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C18C" w14:textId="31A993AF" w:rsidR="00E30042" w:rsidRDefault="00F16F99" w:rsidP="00E30042">
      <w:pPr>
        <w:pStyle w:val="NormalWeb"/>
      </w:pPr>
      <w:r>
        <w:rPr>
          <w:rStyle w:val="Strong"/>
        </w:rPr>
        <w:t>CONVERSION EFFECTS</w:t>
      </w:r>
      <w:r w:rsidR="00C23B17">
        <w:rPr>
          <w:rStyle w:val="Strong"/>
        </w:rPr>
        <w:t xml:space="preserve"> ON SOIL AGG</w:t>
      </w:r>
      <w:r w:rsidR="008F3559">
        <w:rPr>
          <w:rStyle w:val="Strong"/>
        </w:rPr>
        <w:t>REGATE STABILITY UNDER DIFFERENT</w:t>
      </w:r>
      <w:r w:rsidR="00C23B17">
        <w:rPr>
          <w:rStyle w:val="Strong"/>
        </w:rPr>
        <w:t xml:space="preserve"> LAND USES</w:t>
      </w:r>
    </w:p>
    <w:p w14:paraId="3264A8D2" w14:textId="77777777" w:rsidR="00401C5D" w:rsidRPr="00257D8C" w:rsidRDefault="00401C5D" w:rsidP="00C46B79">
      <w:pPr>
        <w:spacing w:after="0" w:line="240" w:lineRule="auto"/>
        <w:jc w:val="both"/>
        <w:rPr>
          <w:rFonts w:ascii="Times New Roman" w:hAnsi="Times New Roman" w:cs="Times New Roman"/>
          <w:sz w:val="24"/>
          <w:szCs w:val="24"/>
        </w:rPr>
      </w:pPr>
    </w:p>
    <w:p w14:paraId="62E8D842" w14:textId="77777777" w:rsidR="001C7107" w:rsidRPr="00C46B79" w:rsidRDefault="009512FA" w:rsidP="001C7107">
      <w:pPr>
        <w:pStyle w:val="NormalWeb"/>
        <w:rPr>
          <w:rStyle w:val="Strong"/>
        </w:rPr>
      </w:pPr>
      <w:r w:rsidRPr="00C46B79">
        <w:rPr>
          <w:rStyle w:val="Strong"/>
        </w:rPr>
        <w:t>Abstract</w:t>
      </w:r>
    </w:p>
    <w:p w14:paraId="19BD3B37" w14:textId="77777777" w:rsidR="001C7107" w:rsidRPr="00795B26" w:rsidRDefault="001C7107" w:rsidP="001C7107">
      <w:pPr>
        <w:spacing w:line="240" w:lineRule="auto"/>
        <w:jc w:val="both"/>
        <w:rPr>
          <w:rFonts w:ascii="Times New Roman" w:eastAsia="Times New Roman" w:hAnsi="Times New Roman" w:cs="Times New Roman"/>
          <w:sz w:val="24"/>
          <w:szCs w:val="24"/>
        </w:rPr>
      </w:pPr>
      <w:r w:rsidRPr="00795B26">
        <w:rPr>
          <w:rFonts w:ascii="Times New Roman" w:eastAsia="Times New Roman" w:hAnsi="Times New Roman" w:cs="Times New Roman"/>
          <w:sz w:val="24"/>
          <w:szCs w:val="24"/>
        </w:rPr>
        <w:t>One of the main causes of soil structural degradation is land use change, which has a direct impact on aggregate stability, a crucial sign of soil resilience, quality, and long-term productivity. This study evaluated how the conversion of forests to agriculture affected the stability of soil aggregates in Kashmir's Kupwara area. A total of 120 soil samples were gathered, 60 of which came from agricultural lands and the other 60 from forest sites. Together with a few supporting soil metrics, such as pH, electrical conductivity (EC), bulk density, particle density, porosity, organic carbon, calcium carbonate content, cation exchange capacity (CEC), and accessible nitrogen, aggregate stability was assessed using the wet sieving method.</w:t>
      </w:r>
      <w:r w:rsidRPr="00795B26">
        <w:rPr>
          <w:b/>
          <w:bCs/>
        </w:rPr>
        <w:t xml:space="preserve"> </w:t>
      </w:r>
      <w:r w:rsidRPr="00795B26">
        <w:rPr>
          <w:rFonts w:ascii="Times New Roman" w:eastAsia="Times New Roman" w:hAnsi="Times New Roman" w:cs="Times New Roman"/>
          <w:sz w:val="24"/>
          <w:szCs w:val="24"/>
        </w:rPr>
        <w:t xml:space="preserve">The findings demonstrated that, in contrast to agricultural soils, which were more susceptible to structural failure under outside influences, forest soils had noticeably greater aggregate stability. Reduced organic matter inputs and the results of intensive management techniques were closely linked to the deterioration in soil stability in farmed areas. These results demonstrate how the transition from forest to agricultural speeds up structural deterioration, increasing the likelihood of erosion and fertility loss. Therefore, it is crucial to support sustainable land management techniques in order to preserve soil aggregation, fertility, and ecosystem services in delicate temperate </w:t>
      </w:r>
      <w:commentRangeStart w:id="0"/>
      <w:r w:rsidRPr="00795B26">
        <w:rPr>
          <w:rFonts w:ascii="Times New Roman" w:eastAsia="Times New Roman" w:hAnsi="Times New Roman" w:cs="Times New Roman"/>
          <w:sz w:val="24"/>
          <w:szCs w:val="24"/>
        </w:rPr>
        <w:t>landscapes</w:t>
      </w:r>
      <w:commentRangeEnd w:id="0"/>
      <w:r w:rsidR="00E33C21">
        <w:rPr>
          <w:rStyle w:val="CommentReference"/>
        </w:rPr>
        <w:commentReference w:id="0"/>
      </w:r>
      <w:r w:rsidRPr="00795B26">
        <w:rPr>
          <w:rFonts w:ascii="Times New Roman" w:eastAsia="Times New Roman" w:hAnsi="Times New Roman" w:cs="Times New Roman"/>
          <w:sz w:val="24"/>
          <w:szCs w:val="24"/>
        </w:rPr>
        <w:t>.</w:t>
      </w:r>
    </w:p>
    <w:p w14:paraId="0B955B4A" w14:textId="77777777" w:rsidR="007F7ABC" w:rsidRPr="00F87F55" w:rsidRDefault="00053F8D" w:rsidP="00F87F55">
      <w:pPr>
        <w:pStyle w:val="NormalWeb"/>
        <w:jc w:val="both"/>
      </w:pPr>
      <w:r>
        <w:rPr>
          <w:rStyle w:val="Strong"/>
        </w:rPr>
        <w:t>Keywords:</w:t>
      </w:r>
      <w:r>
        <w:t xml:space="preserve"> Land use change, Aggregate stability, Forest soils, Agriculture, Soil structure, Sustainable land management</w:t>
      </w:r>
    </w:p>
    <w:p w14:paraId="7BDBE319" w14:textId="77777777" w:rsidR="0090253A" w:rsidRDefault="0090253A" w:rsidP="00C312D0">
      <w:pPr>
        <w:spacing w:before="100" w:beforeAutospacing="1" w:after="100" w:afterAutospacing="1" w:line="240" w:lineRule="auto"/>
        <w:outlineLvl w:val="1"/>
        <w:rPr>
          <w:rFonts w:ascii="Times New Roman" w:eastAsia="Times New Roman" w:hAnsi="Times New Roman" w:cs="Times New Roman"/>
          <w:b/>
          <w:bCs/>
          <w:sz w:val="24"/>
          <w:szCs w:val="24"/>
        </w:rPr>
      </w:pPr>
    </w:p>
    <w:p w14:paraId="3DA41F48" w14:textId="77777777" w:rsidR="0090253A" w:rsidRDefault="0090253A" w:rsidP="00C312D0">
      <w:pPr>
        <w:spacing w:before="100" w:beforeAutospacing="1" w:after="100" w:afterAutospacing="1" w:line="240" w:lineRule="auto"/>
        <w:outlineLvl w:val="1"/>
        <w:rPr>
          <w:rFonts w:ascii="Times New Roman" w:eastAsia="Times New Roman" w:hAnsi="Times New Roman" w:cs="Times New Roman"/>
          <w:b/>
          <w:bCs/>
          <w:sz w:val="24"/>
          <w:szCs w:val="24"/>
        </w:rPr>
      </w:pPr>
    </w:p>
    <w:p w14:paraId="5C50E7E5" w14:textId="77777777" w:rsidR="00C312D0" w:rsidRPr="00C312D0" w:rsidRDefault="00C312D0" w:rsidP="00C312D0">
      <w:pPr>
        <w:spacing w:before="100" w:beforeAutospacing="1" w:after="100" w:afterAutospacing="1" w:line="240" w:lineRule="auto"/>
        <w:outlineLvl w:val="1"/>
        <w:rPr>
          <w:rFonts w:ascii="Times New Roman" w:eastAsia="Times New Roman" w:hAnsi="Times New Roman" w:cs="Times New Roman"/>
          <w:b/>
          <w:bCs/>
          <w:sz w:val="24"/>
          <w:szCs w:val="24"/>
        </w:rPr>
      </w:pPr>
      <w:r w:rsidRPr="00C312D0">
        <w:rPr>
          <w:rFonts w:ascii="Times New Roman" w:eastAsia="Times New Roman" w:hAnsi="Times New Roman" w:cs="Times New Roman"/>
          <w:b/>
          <w:bCs/>
          <w:sz w:val="24"/>
          <w:szCs w:val="24"/>
        </w:rPr>
        <w:t>1. Introduction</w:t>
      </w:r>
    </w:p>
    <w:p w14:paraId="26DD14C2" w14:textId="77777777" w:rsidR="00770820" w:rsidRDefault="0082174E" w:rsidP="008471F7">
      <w:pPr>
        <w:spacing w:after="0" w:line="360" w:lineRule="auto"/>
        <w:ind w:firstLine="720"/>
        <w:jc w:val="both"/>
        <w:rPr>
          <w:rFonts w:ascii="Times New Roman" w:eastAsia="Times New Roman" w:hAnsi="Times New Roman" w:cs="Times New Roman"/>
          <w:sz w:val="24"/>
          <w:szCs w:val="24"/>
        </w:rPr>
      </w:pPr>
      <w:r w:rsidRPr="0082174E">
        <w:rPr>
          <w:rFonts w:ascii="Times New Roman" w:eastAsia="Times New Roman" w:hAnsi="Times New Roman" w:cs="Times New Roman"/>
          <w:sz w:val="24"/>
          <w:szCs w:val="24"/>
        </w:rPr>
        <w:t xml:space="preserve">Covering nearly a third of the world's land area, forests constitute one of the most important ecosystems on the planet. They are essential for maintaining biodiversity, storing carbon, and controlling the climate (Keenan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xml:space="preserve">., 2015; Crowther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2015). With about 800 Pg of carbon stored in plants, litter, and soils, they serve as the greatest terrestrial carbon sinks in the world (</w:t>
      </w:r>
      <w:proofErr w:type="spellStart"/>
      <w:r w:rsidRPr="0082174E">
        <w:rPr>
          <w:rFonts w:ascii="Times New Roman" w:eastAsia="Times New Roman" w:hAnsi="Times New Roman" w:cs="Times New Roman"/>
          <w:sz w:val="24"/>
          <w:szCs w:val="24"/>
        </w:rPr>
        <w:t>Lladó</w:t>
      </w:r>
      <w:proofErr w:type="spellEnd"/>
      <w:r w:rsidRPr="0082174E">
        <w:rPr>
          <w:rFonts w:ascii="Times New Roman" w:eastAsia="Times New Roman" w:hAnsi="Times New Roman" w:cs="Times New Roman"/>
          <w:sz w:val="24"/>
          <w:szCs w:val="24"/>
        </w:rPr>
        <w:t xml:space="preserve">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xml:space="preserve">., 2017). However, as the demand for food, fiber, and energy increases, these ecosystems are </w:t>
      </w:r>
      <w:r w:rsidRPr="0082174E">
        <w:rPr>
          <w:rFonts w:ascii="Times New Roman" w:eastAsia="Times New Roman" w:hAnsi="Times New Roman" w:cs="Times New Roman"/>
          <w:sz w:val="24"/>
          <w:szCs w:val="24"/>
        </w:rPr>
        <w:lastRenderedPageBreak/>
        <w:t xml:space="preserve">becoming more and more threatened by deforestation and agricultural expansion (Zhang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2022). These changes in land use and land cover (LULC) have since been found to be important causes of ecological instability and soil degradation.</w:t>
      </w:r>
      <w:r w:rsidR="00A71CC0" w:rsidRPr="0082174E">
        <w:rPr>
          <w:rFonts w:ascii="Times New Roman" w:hAnsi="Times New Roman" w:cs="Times New Roman"/>
          <w:sz w:val="24"/>
          <w:szCs w:val="24"/>
        </w:rPr>
        <w:t xml:space="preserve"> (</w:t>
      </w:r>
      <w:proofErr w:type="gramStart"/>
      <w:r w:rsidR="00A71CC0" w:rsidRPr="0082174E">
        <w:rPr>
          <w:rFonts w:ascii="Times New Roman" w:hAnsi="Times New Roman" w:cs="Times New Roman"/>
          <w:sz w:val="24"/>
          <w:szCs w:val="24"/>
        </w:rPr>
        <w:t xml:space="preserve">Li </w:t>
      </w:r>
      <w:r w:rsidR="00246098">
        <w:rPr>
          <w:rFonts w:ascii="Times New Roman" w:hAnsi="Times New Roman" w:cs="Times New Roman"/>
          <w:sz w:val="24"/>
          <w:szCs w:val="24"/>
        </w:rPr>
        <w:t xml:space="preserve"> </w:t>
      </w:r>
      <w:r w:rsidR="00C00476" w:rsidRPr="00C00476">
        <w:rPr>
          <w:rFonts w:ascii="Times New Roman" w:hAnsi="Times New Roman" w:cs="Times New Roman"/>
          <w:i/>
          <w:sz w:val="24"/>
          <w:szCs w:val="24"/>
        </w:rPr>
        <w:t>et al</w:t>
      </w:r>
      <w:r w:rsidR="00246098">
        <w:rPr>
          <w:rFonts w:ascii="Times New Roman" w:hAnsi="Times New Roman" w:cs="Times New Roman"/>
          <w:sz w:val="24"/>
          <w:szCs w:val="24"/>
        </w:rPr>
        <w:t>.</w:t>
      </w:r>
      <w:proofErr w:type="gramEnd"/>
      <w:r w:rsidR="00246098">
        <w:rPr>
          <w:rFonts w:ascii="Times New Roman" w:hAnsi="Times New Roman" w:cs="Times New Roman"/>
          <w:sz w:val="24"/>
          <w:szCs w:val="24"/>
        </w:rPr>
        <w:t>,</w:t>
      </w:r>
      <w:r w:rsidR="00A71CC0" w:rsidRPr="0082174E">
        <w:rPr>
          <w:rFonts w:ascii="Times New Roman" w:hAnsi="Times New Roman" w:cs="Times New Roman"/>
          <w:sz w:val="24"/>
          <w:szCs w:val="24"/>
        </w:rPr>
        <w:t>2024).</w:t>
      </w:r>
      <w:r w:rsidR="008471F7">
        <w:rPr>
          <w:rFonts w:ascii="Times New Roman" w:eastAsia="Times New Roman" w:hAnsi="Times New Roman" w:cs="Times New Roman"/>
          <w:sz w:val="24"/>
          <w:szCs w:val="24"/>
        </w:rPr>
        <w:t xml:space="preserve"> </w:t>
      </w:r>
      <w:r w:rsidR="004E76E4" w:rsidRPr="004E76E4">
        <w:rPr>
          <w:rFonts w:ascii="Times New Roman" w:eastAsia="Times New Roman" w:hAnsi="Times New Roman" w:cs="Times New Roman"/>
          <w:sz w:val="24"/>
          <w:szCs w:val="24"/>
        </w:rPr>
        <w:t xml:space="preserve">Because it throws off the balance of physical, chemical, and biological processes, the conversion of forest land to agriculture has a significant impact on soil quality. The ability of soil aggregates to withstand disintegration under external factors like wind, tillage, or rainfall makes soil aggregate stability one of the most crucial of these (Six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2000; Bronick &amp; Lal, 2005). While unstable aggregates are more likely to break down and cause crusting, compaction, and erosion, stable aggregates enhance soil porosity, water infiltration, and organic matter retention (</w:t>
      </w:r>
      <w:proofErr w:type="spellStart"/>
      <w:r w:rsidR="004E76E4" w:rsidRPr="004E76E4">
        <w:rPr>
          <w:rFonts w:ascii="Times New Roman" w:eastAsia="Times New Roman" w:hAnsi="Times New Roman" w:cs="Times New Roman"/>
          <w:sz w:val="24"/>
          <w:szCs w:val="24"/>
        </w:rPr>
        <w:t>Tisdall</w:t>
      </w:r>
      <w:proofErr w:type="spellEnd"/>
      <w:r w:rsidR="004E76E4" w:rsidRPr="004E76E4">
        <w:rPr>
          <w:rFonts w:ascii="Times New Roman" w:eastAsia="Times New Roman" w:hAnsi="Times New Roman" w:cs="Times New Roman"/>
          <w:sz w:val="24"/>
          <w:szCs w:val="24"/>
        </w:rPr>
        <w:t xml:space="preserve"> &amp; </w:t>
      </w:r>
      <w:proofErr w:type="spellStart"/>
      <w:r w:rsidR="004E76E4" w:rsidRPr="004E76E4">
        <w:rPr>
          <w:rFonts w:ascii="Times New Roman" w:eastAsia="Times New Roman" w:hAnsi="Times New Roman" w:cs="Times New Roman"/>
          <w:sz w:val="24"/>
          <w:szCs w:val="24"/>
        </w:rPr>
        <w:t>Oades</w:t>
      </w:r>
      <w:proofErr w:type="spellEnd"/>
      <w:r w:rsidR="004E76E4" w:rsidRPr="004E76E4">
        <w:rPr>
          <w:rFonts w:ascii="Times New Roman" w:eastAsia="Times New Roman" w:hAnsi="Times New Roman" w:cs="Times New Roman"/>
          <w:sz w:val="24"/>
          <w:szCs w:val="24"/>
        </w:rPr>
        <w:t xml:space="preserve">, 1982; Spurgeon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xml:space="preserve">., 2013). Compared to agricultural soils, forest soils that are rich in biological activity and organic inputs typically exhibit superior aggregate stability (Singh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2019).</w:t>
      </w:r>
    </w:p>
    <w:p w14:paraId="0A7224C8" w14:textId="77777777" w:rsidR="00D375DD" w:rsidRPr="00745027" w:rsidRDefault="00770820" w:rsidP="00D375DD">
      <w:pPr>
        <w:spacing w:after="0" w:line="360" w:lineRule="auto"/>
        <w:ind w:firstLine="720"/>
        <w:jc w:val="both"/>
        <w:rPr>
          <w:rFonts w:ascii="Times New Roman" w:eastAsia="Times New Roman" w:hAnsi="Times New Roman" w:cs="Times New Roman"/>
          <w:sz w:val="24"/>
          <w:szCs w:val="24"/>
        </w:rPr>
      </w:pPr>
      <w:r w:rsidRPr="00770820">
        <w:rPr>
          <w:rFonts w:ascii="Times New Roman" w:eastAsia="Times New Roman" w:hAnsi="Times New Roman" w:cs="Times New Roman"/>
          <w:sz w:val="24"/>
          <w:szCs w:val="24"/>
        </w:rPr>
        <w:t>Intensive tillage, mono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cropping, and fertilizer use are examples of agricultural management approaches that frequently undermine the structural integrity of soil, reduce the amount of organic matter, and speed up the disintegration of macro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aggregates into micro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 xml:space="preserve">aggregates (Naresh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xml:space="preserve">, 2017). Converted agricultural soils are therefore more vulnerable to nitrogen loss, erosion, and a long-term drop in production (Lucas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2023). Due to steep slopes, high propensity for erosion, and intense human pressures, recent data from delicate mountain ecosystems, such as the Himalayas, indicates that land use change increases these hazards (</w:t>
      </w:r>
      <w:proofErr w:type="spellStart"/>
      <w:r w:rsidRPr="00770820">
        <w:rPr>
          <w:rFonts w:ascii="Times New Roman" w:eastAsia="Times New Roman" w:hAnsi="Times New Roman" w:cs="Times New Roman"/>
          <w:sz w:val="24"/>
          <w:szCs w:val="24"/>
        </w:rPr>
        <w:t>Masruroh</w:t>
      </w:r>
      <w:proofErr w:type="spellEnd"/>
      <w:r w:rsidRPr="00770820">
        <w:rPr>
          <w:rFonts w:ascii="Times New Roman" w:eastAsia="Times New Roman" w:hAnsi="Times New Roman" w:cs="Times New Roman"/>
          <w:sz w:val="24"/>
          <w:szCs w:val="24"/>
        </w:rPr>
        <w:t xml:space="preserve">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2025).</w:t>
      </w:r>
      <w:r w:rsidR="008471F7">
        <w:rPr>
          <w:rFonts w:ascii="Times New Roman" w:eastAsia="Times New Roman" w:hAnsi="Times New Roman" w:cs="Times New Roman"/>
          <w:sz w:val="24"/>
          <w:szCs w:val="24"/>
        </w:rPr>
        <w:t xml:space="preserve"> </w:t>
      </w:r>
      <w:r w:rsidR="00745027" w:rsidRPr="00745027">
        <w:rPr>
          <w:rFonts w:ascii="Times New Roman" w:eastAsia="Times New Roman" w:hAnsi="Times New Roman" w:cs="Times New Roman"/>
          <w:sz w:val="24"/>
          <w:szCs w:val="24"/>
        </w:rPr>
        <w:t xml:space="preserve">The Kashmir Valley's Kupwara district is an example of an environmentally fragile area where substantial forest-to-agricultural conversion is taking place. Understanding the hazards of soil degradation while establishing sustainable land management plans for temperate ecosystems depend on evaluating changes in soil aggregate stability under these land use transitions. In order to shed light on safeguarding soil structural integrity and long-term ecosystem resilience, the current study assesses the effect of forest-to-agriculture conversion on soil aggregate stability in </w:t>
      </w:r>
      <w:commentRangeStart w:id="1"/>
      <w:r w:rsidR="00745027" w:rsidRPr="00745027">
        <w:rPr>
          <w:rFonts w:ascii="Times New Roman" w:eastAsia="Times New Roman" w:hAnsi="Times New Roman" w:cs="Times New Roman"/>
          <w:sz w:val="24"/>
          <w:szCs w:val="24"/>
        </w:rPr>
        <w:t>Kupwara.</w:t>
      </w:r>
      <w:commentRangeEnd w:id="1"/>
      <w:r w:rsidR="00E33C21">
        <w:rPr>
          <w:rStyle w:val="CommentReference"/>
        </w:rPr>
        <w:commentReference w:id="1"/>
      </w:r>
    </w:p>
    <w:p w14:paraId="57F9B903" w14:textId="77777777" w:rsidR="00B960E7" w:rsidRDefault="008B198C" w:rsidP="00B960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Materials and M</w:t>
      </w:r>
      <w:r w:rsidRPr="004F6EA0">
        <w:rPr>
          <w:rFonts w:ascii="Times New Roman" w:hAnsi="Times New Roman" w:cs="Times New Roman"/>
          <w:b/>
          <w:sz w:val="24"/>
          <w:szCs w:val="24"/>
        </w:rPr>
        <w:t>ethods</w:t>
      </w:r>
    </w:p>
    <w:p w14:paraId="223B9650" w14:textId="77777777" w:rsidR="0050304D" w:rsidRDefault="00260A33" w:rsidP="0050304D">
      <w:pPr>
        <w:spacing w:after="0" w:line="360" w:lineRule="auto"/>
        <w:jc w:val="both"/>
        <w:rPr>
          <w:rStyle w:val="Strong"/>
          <w:rFonts w:ascii="Times New Roman" w:hAnsi="Times New Roman" w:cs="Times New Roman"/>
          <w:color w:val="000000" w:themeColor="text1"/>
          <w:sz w:val="24"/>
          <w:szCs w:val="24"/>
        </w:rPr>
      </w:pPr>
      <w:r w:rsidRPr="00A45160">
        <w:rPr>
          <w:rStyle w:val="Strong"/>
          <w:rFonts w:ascii="Times New Roman" w:hAnsi="Times New Roman" w:cs="Times New Roman"/>
          <w:color w:val="000000" w:themeColor="text1"/>
          <w:sz w:val="24"/>
          <w:szCs w:val="24"/>
        </w:rPr>
        <w:lastRenderedPageBreak/>
        <w:t>Location</w:t>
      </w:r>
    </w:p>
    <w:p w14:paraId="630235F4" w14:textId="77777777" w:rsidR="00260A33" w:rsidRPr="0050304D" w:rsidRDefault="005657B3" w:rsidP="0050304D">
      <w:pPr>
        <w:spacing w:after="0" w:line="360" w:lineRule="auto"/>
        <w:ind w:firstLine="720"/>
        <w:jc w:val="both"/>
        <w:rPr>
          <w:rFonts w:ascii="Times New Roman" w:hAnsi="Times New Roman" w:cs="Times New Roman"/>
          <w:b/>
          <w:bCs/>
          <w:color w:val="000000" w:themeColor="text1"/>
          <w:sz w:val="24"/>
          <w:szCs w:val="24"/>
        </w:rPr>
      </w:pPr>
      <w:r w:rsidRPr="005657B3">
        <w:rPr>
          <w:rFonts w:ascii="Times New Roman" w:hAnsi="Times New Roman" w:cs="Times New Roman"/>
          <w:color w:val="000000" w:themeColor="text1"/>
          <w:sz w:val="24"/>
          <w:szCs w:val="24"/>
        </w:rPr>
        <w:t xml:space="preserve">The current research investigation took place in Kupwara District, which is in the northern section of the Kashmir Valley in the Union Territory of Jammu and Kashmir, India. Geographically, the district spreads across an area of around 2,379 km² and is between the Pir </w:t>
      </w:r>
      <w:proofErr w:type="spellStart"/>
      <w:r w:rsidRPr="005657B3">
        <w:rPr>
          <w:rFonts w:ascii="Times New Roman" w:hAnsi="Times New Roman" w:cs="Times New Roman"/>
          <w:color w:val="000000" w:themeColor="text1"/>
          <w:sz w:val="24"/>
          <w:szCs w:val="24"/>
        </w:rPr>
        <w:t>Panjal</w:t>
      </w:r>
      <w:proofErr w:type="spellEnd"/>
      <w:r w:rsidRPr="005657B3">
        <w:rPr>
          <w:rFonts w:ascii="Times New Roman" w:hAnsi="Times New Roman" w:cs="Times New Roman"/>
          <w:color w:val="000000" w:themeColor="text1"/>
          <w:sz w:val="24"/>
          <w:szCs w:val="24"/>
        </w:rPr>
        <w:t xml:space="preserve"> and </w:t>
      </w:r>
      <w:proofErr w:type="spellStart"/>
      <w:r w:rsidRPr="005657B3">
        <w:rPr>
          <w:rFonts w:ascii="Times New Roman" w:hAnsi="Times New Roman" w:cs="Times New Roman"/>
          <w:color w:val="000000" w:themeColor="text1"/>
          <w:sz w:val="24"/>
          <w:szCs w:val="24"/>
        </w:rPr>
        <w:t>Shamsbari</w:t>
      </w:r>
      <w:proofErr w:type="spellEnd"/>
      <w:r w:rsidRPr="005657B3">
        <w:rPr>
          <w:rFonts w:ascii="Times New Roman" w:hAnsi="Times New Roman" w:cs="Times New Roman"/>
          <w:color w:val="000000" w:themeColor="text1"/>
          <w:sz w:val="24"/>
          <w:szCs w:val="24"/>
        </w:rPr>
        <w:t xml:space="preserve"> mountain ranges.  Kupwara shares international boundaries with Pakistan-administered regions to the north and west, while it is bordered by Baramulla in the south and Bandipora in the east.  The district's elevation changes from about 1,600 m in the valley floors to more than 4,000 m above mean sea level (</w:t>
      </w:r>
      <w:proofErr w:type="spellStart"/>
      <w:r w:rsidRPr="005657B3">
        <w:rPr>
          <w:rFonts w:ascii="Times New Roman" w:hAnsi="Times New Roman" w:cs="Times New Roman"/>
          <w:color w:val="000000" w:themeColor="text1"/>
          <w:sz w:val="24"/>
          <w:szCs w:val="24"/>
        </w:rPr>
        <w:t>amsl</w:t>
      </w:r>
      <w:proofErr w:type="spellEnd"/>
      <w:r w:rsidR="0050304D">
        <w:t xml:space="preserve">). </w:t>
      </w:r>
      <w:r w:rsidR="0050304D" w:rsidRPr="0050304D">
        <w:rPr>
          <w:rFonts w:ascii="Times New Roman" w:eastAsia="Times New Roman" w:hAnsi="Times New Roman" w:cs="Times New Roman"/>
          <w:sz w:val="24"/>
          <w:szCs w:val="24"/>
        </w:rPr>
        <w:t xml:space="preserve">The region is drained by the Kishanganga River and its tributaries, which are crucial for irrigation and farming. The Kishanganga River and its tributaries drain the area and are essential to agriculture and irrigation. Because Kupwara district produces more than 50,000 </w:t>
      </w:r>
      <w:proofErr w:type="spellStart"/>
      <w:r w:rsidR="0050304D" w:rsidRPr="0050304D">
        <w:rPr>
          <w:rFonts w:ascii="Times New Roman" w:eastAsia="Times New Roman" w:hAnsi="Times New Roman" w:cs="Times New Roman"/>
          <w:sz w:val="24"/>
          <w:szCs w:val="24"/>
        </w:rPr>
        <w:t>tonnes</w:t>
      </w:r>
      <w:proofErr w:type="spellEnd"/>
      <w:r w:rsidR="0050304D" w:rsidRPr="0050304D">
        <w:rPr>
          <w:rFonts w:ascii="Times New Roman" w:eastAsia="Times New Roman" w:hAnsi="Times New Roman" w:cs="Times New Roman"/>
          <w:sz w:val="24"/>
          <w:szCs w:val="24"/>
        </w:rPr>
        <w:t xml:space="preserve"> of walnuts a year, it is frequently referred to as the "Walnut District" of Kashmir. Additionally, it uses 68,500 hectares of agricultural and horticultural area to produce almost 300,000 </w:t>
      </w:r>
      <w:proofErr w:type="spellStart"/>
      <w:r w:rsidR="0050304D" w:rsidRPr="0050304D">
        <w:rPr>
          <w:rFonts w:ascii="Times New Roman" w:eastAsia="Times New Roman" w:hAnsi="Times New Roman" w:cs="Times New Roman"/>
          <w:sz w:val="24"/>
          <w:szCs w:val="24"/>
        </w:rPr>
        <w:t>tonnes</w:t>
      </w:r>
      <w:proofErr w:type="spellEnd"/>
      <w:r w:rsidR="0050304D" w:rsidRPr="0050304D">
        <w:rPr>
          <w:rFonts w:ascii="Times New Roman" w:eastAsia="Times New Roman" w:hAnsi="Times New Roman" w:cs="Times New Roman"/>
          <w:sz w:val="24"/>
          <w:szCs w:val="24"/>
        </w:rPr>
        <w:t xml:space="preserve"> of apples.</w:t>
      </w:r>
      <w:r w:rsidR="0050304D">
        <w:rPr>
          <w:rFonts w:ascii="Times New Roman" w:eastAsia="Times New Roman" w:hAnsi="Times New Roman" w:cs="Times New Roman"/>
          <w:sz w:val="24"/>
          <w:szCs w:val="24"/>
        </w:rPr>
        <w:t xml:space="preserve"> </w:t>
      </w:r>
      <w:r w:rsidR="00260A33" w:rsidRPr="00A45160">
        <w:rPr>
          <w:rFonts w:ascii="Times New Roman" w:hAnsi="Times New Roman" w:cs="Times New Roman"/>
          <w:color w:val="000000" w:themeColor="text1"/>
          <w:sz w:val="24"/>
          <w:szCs w:val="24"/>
        </w:rPr>
        <w:t xml:space="preserve"> According to the 2011 census, the district has a population of ~870,000, of which about 87% live in rural areas. ArcGIS software was used to generate a high-resolution study area map, highlighting the spatial distribution of the sampling sites across forest and agricultural land uses in Kupwara district. Figure 1 illustrates the geographical setting of Kupwara, from national (India) to regional (J&amp;K UT) scale, along with mapped sampling sites.</w:t>
      </w:r>
    </w:p>
    <w:p w14:paraId="66DCC900" w14:textId="77777777" w:rsidR="00260A33" w:rsidRDefault="00260A33" w:rsidP="00260A33">
      <w:pPr>
        <w:spacing w:after="0" w:line="360" w:lineRule="auto"/>
        <w:jc w:val="both"/>
        <w:rPr>
          <w:rFonts w:ascii="Times New Roman" w:hAnsi="Times New Roman" w:cs="Times New Roman"/>
          <w:b/>
          <w:sz w:val="24"/>
          <w:szCs w:val="24"/>
        </w:rPr>
      </w:pPr>
    </w:p>
    <w:p w14:paraId="3F17EC67" w14:textId="77777777" w:rsidR="00260A33" w:rsidRDefault="00260A33" w:rsidP="00AB45A5">
      <w:pPr>
        <w:spacing w:after="0" w:line="360" w:lineRule="auto"/>
        <w:jc w:val="both"/>
        <w:rPr>
          <w:rFonts w:ascii="Times New Roman" w:hAnsi="Times New Roman" w:cs="Times New Roman"/>
          <w:b/>
          <w:sz w:val="24"/>
          <w:szCs w:val="24"/>
        </w:rPr>
      </w:pPr>
    </w:p>
    <w:p w14:paraId="13D4F85F" w14:textId="77777777" w:rsidR="00260A33" w:rsidRDefault="00260A33" w:rsidP="00AB45A5">
      <w:pPr>
        <w:spacing w:after="0" w:line="360" w:lineRule="auto"/>
        <w:jc w:val="both"/>
        <w:rPr>
          <w:rFonts w:ascii="Times New Roman" w:hAnsi="Times New Roman" w:cs="Times New Roman"/>
          <w:b/>
          <w:sz w:val="24"/>
          <w:szCs w:val="24"/>
        </w:rPr>
      </w:pPr>
    </w:p>
    <w:p w14:paraId="6C491CE4" w14:textId="77777777" w:rsidR="00260A33" w:rsidRDefault="00260A33" w:rsidP="00AB45A5">
      <w:pPr>
        <w:spacing w:after="0" w:line="360" w:lineRule="auto"/>
        <w:jc w:val="both"/>
        <w:rPr>
          <w:rFonts w:ascii="Times New Roman" w:hAnsi="Times New Roman" w:cs="Times New Roman"/>
          <w:b/>
          <w:sz w:val="24"/>
          <w:szCs w:val="24"/>
        </w:rPr>
      </w:pPr>
    </w:p>
    <w:p w14:paraId="4BE64280" w14:textId="77777777" w:rsidR="00260A33" w:rsidRDefault="00260A33" w:rsidP="00AB45A5">
      <w:pPr>
        <w:spacing w:after="0" w:line="360" w:lineRule="auto"/>
        <w:jc w:val="both"/>
        <w:rPr>
          <w:rFonts w:ascii="Times New Roman" w:hAnsi="Times New Roman" w:cs="Times New Roman"/>
          <w:b/>
          <w:sz w:val="24"/>
          <w:szCs w:val="24"/>
        </w:rPr>
      </w:pPr>
    </w:p>
    <w:p w14:paraId="5B920316" w14:textId="77777777" w:rsidR="00260A33" w:rsidRDefault="00260A33" w:rsidP="00AB45A5">
      <w:pPr>
        <w:spacing w:after="0" w:line="360" w:lineRule="auto"/>
        <w:jc w:val="both"/>
        <w:rPr>
          <w:rFonts w:ascii="Times New Roman" w:hAnsi="Times New Roman" w:cs="Times New Roman"/>
          <w:b/>
          <w:sz w:val="24"/>
          <w:szCs w:val="24"/>
        </w:rPr>
      </w:pPr>
    </w:p>
    <w:p w14:paraId="0B8D53FD" w14:textId="77777777" w:rsidR="00260A33" w:rsidRDefault="00246098" w:rsidP="00AB45A5">
      <w:pPr>
        <w:spacing w:after="0" w:line="360" w:lineRule="auto"/>
        <w:jc w:val="both"/>
        <w:rPr>
          <w:rFonts w:ascii="Times New Roman" w:hAnsi="Times New Roman" w:cs="Times New Roman"/>
          <w:b/>
          <w:sz w:val="24"/>
          <w:szCs w:val="24"/>
        </w:rPr>
      </w:pPr>
      <w:r>
        <w:rPr>
          <w:noProof/>
        </w:rPr>
        <w:lastRenderedPageBreak/>
        <w:drawing>
          <wp:inline distT="0" distB="0" distL="0" distR="0" wp14:anchorId="05D0D34C" wp14:editId="3746CB46">
            <wp:extent cx="5446142" cy="3851809"/>
            <wp:effectExtent l="19050" t="0" r="2158" b="0"/>
            <wp:docPr id="5" name="Picture 18" descr="C:\Users\sumai\AppData\Local\Packages\5319275A.51895FA4EA97F_cv1g1gvanyjgm\TempState\75D447FF881E7A5E48B43FE0CA091AE5\WhatsApp Image 2025-07-22 at 13.14.43_06792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mai\AppData\Local\Packages\5319275A.51895FA4EA97F_cv1g1gvanyjgm\TempState\75D447FF881E7A5E48B43FE0CA091AE5\WhatsApp Image 2025-07-22 at 13.14.43_067924ed.jpg"/>
                    <pic:cNvPicPr>
                      <a:picLocks noChangeAspect="1" noChangeArrowheads="1"/>
                    </pic:cNvPicPr>
                  </pic:nvPicPr>
                  <pic:blipFill>
                    <a:blip r:embed="rId10"/>
                    <a:srcRect/>
                    <a:stretch>
                      <a:fillRect/>
                    </a:stretch>
                  </pic:blipFill>
                  <pic:spPr bwMode="auto">
                    <a:xfrm>
                      <a:off x="0" y="0"/>
                      <a:ext cx="5448718" cy="3853631"/>
                    </a:xfrm>
                    <a:prstGeom prst="rect">
                      <a:avLst/>
                    </a:prstGeom>
                    <a:noFill/>
                    <a:ln w="9525">
                      <a:noFill/>
                      <a:miter lim="800000"/>
                      <a:headEnd/>
                      <a:tailEnd/>
                    </a:ln>
                  </pic:spPr>
                </pic:pic>
              </a:graphicData>
            </a:graphic>
          </wp:inline>
        </w:drawing>
      </w:r>
    </w:p>
    <w:p w14:paraId="47DBC117" w14:textId="77777777" w:rsidR="00BA42F0" w:rsidRDefault="00BA42F0" w:rsidP="00BA42F0">
      <w:pPr>
        <w:rPr>
          <w:rFonts w:ascii="Times New Roman" w:hAnsi="Times New Roman" w:cs="Times New Roman"/>
          <w:color w:val="000000" w:themeColor="text1"/>
          <w:sz w:val="24"/>
          <w:szCs w:val="24"/>
        </w:rPr>
      </w:pPr>
      <w:r w:rsidRPr="002635C8">
        <w:rPr>
          <w:rStyle w:val="Strong"/>
          <w:rFonts w:ascii="Times New Roman" w:hAnsi="Times New Roman" w:cs="Times New Roman"/>
          <w:color w:val="000000" w:themeColor="text1"/>
        </w:rPr>
        <w:t xml:space="preserve">Figure </w:t>
      </w:r>
      <w:r w:rsidR="002635C8">
        <w:rPr>
          <w:rStyle w:val="Strong"/>
          <w:rFonts w:ascii="Times New Roman" w:hAnsi="Times New Roman" w:cs="Times New Roman"/>
          <w:color w:val="000000" w:themeColor="text1"/>
          <w:sz w:val="24"/>
          <w:szCs w:val="24"/>
        </w:rPr>
        <w:t>1</w:t>
      </w:r>
      <w:r w:rsidR="00A45160" w:rsidRPr="00A45160">
        <w:rPr>
          <w:rStyle w:val="Strong"/>
          <w:rFonts w:ascii="Times New Roman" w:hAnsi="Times New Roman" w:cs="Times New Roman"/>
          <w:color w:val="000000" w:themeColor="text1"/>
          <w:sz w:val="24"/>
          <w:szCs w:val="24"/>
        </w:rPr>
        <w:t>.</w:t>
      </w:r>
      <w:r w:rsidR="00A45160" w:rsidRPr="00A45160">
        <w:rPr>
          <w:rFonts w:ascii="Times New Roman" w:hAnsi="Times New Roman" w:cs="Times New Roman"/>
          <w:color w:val="000000" w:themeColor="text1"/>
          <w:sz w:val="24"/>
          <w:szCs w:val="24"/>
        </w:rPr>
        <w:t xml:space="preserve"> Study area map of Kupwara District showing sampling sites across different land uses</w:t>
      </w:r>
    </w:p>
    <w:p w14:paraId="548B6153" w14:textId="77777777" w:rsidR="00635E6D" w:rsidRDefault="00635E6D" w:rsidP="00AB3BFD">
      <w:pPr>
        <w:rPr>
          <w:rStyle w:val="Strong"/>
          <w:rFonts w:ascii="Times New Roman" w:hAnsi="Times New Roman" w:cs="Times New Roman"/>
          <w:bCs w:val="0"/>
          <w:color w:val="000000" w:themeColor="text1"/>
          <w:sz w:val="24"/>
          <w:szCs w:val="24"/>
        </w:rPr>
      </w:pPr>
    </w:p>
    <w:p w14:paraId="0221A26B" w14:textId="77777777" w:rsidR="00AB3BFD" w:rsidRDefault="00A45160" w:rsidP="00AB3BFD">
      <w:pPr>
        <w:rPr>
          <w:rStyle w:val="Strong"/>
          <w:rFonts w:ascii="Times New Roman" w:hAnsi="Times New Roman" w:cs="Times New Roman"/>
          <w:bCs w:val="0"/>
          <w:color w:val="000000" w:themeColor="text1"/>
          <w:sz w:val="24"/>
          <w:szCs w:val="24"/>
        </w:rPr>
      </w:pPr>
      <w:r w:rsidRPr="00BA42F0">
        <w:rPr>
          <w:rStyle w:val="Strong"/>
          <w:rFonts w:ascii="Times New Roman" w:hAnsi="Times New Roman" w:cs="Times New Roman"/>
          <w:bCs w:val="0"/>
          <w:color w:val="000000" w:themeColor="text1"/>
          <w:sz w:val="24"/>
          <w:szCs w:val="24"/>
        </w:rPr>
        <w:t>Climate</w:t>
      </w:r>
    </w:p>
    <w:p w14:paraId="5F60A09C" w14:textId="77777777" w:rsidR="00AB3BFD" w:rsidRPr="00AB3BFD" w:rsidRDefault="00AB3BFD" w:rsidP="00AB3BFD">
      <w:pPr>
        <w:spacing w:line="360" w:lineRule="auto"/>
        <w:ind w:firstLine="720"/>
        <w:jc w:val="both"/>
        <w:rPr>
          <w:rFonts w:ascii="Times New Roman" w:hAnsi="Times New Roman" w:cs="Times New Roman"/>
          <w:b/>
          <w:color w:val="000000" w:themeColor="text1"/>
          <w:sz w:val="24"/>
          <w:szCs w:val="24"/>
        </w:rPr>
      </w:pPr>
      <w:r w:rsidRPr="00AB3BFD">
        <w:rPr>
          <w:rFonts w:ascii="Times New Roman" w:eastAsia="Times New Roman" w:hAnsi="Times New Roman" w:cs="Times New Roman"/>
          <w:sz w:val="24"/>
          <w:szCs w:val="24"/>
        </w:rPr>
        <w:t>Because of its diverse topography, Kupwara has a varied climate. Higher elevations typically see below-freezing temperatures, while the lower valleys have a temperate climate with warm summers (15–30 °C) and cold winters. The region receives 800</w:t>
      </w:r>
      <w:r w:rsidR="00441334">
        <w:rPr>
          <w:rFonts w:ascii="Times New Roman" w:eastAsia="Times New Roman" w:hAnsi="Times New Roman" w:cs="Times New Roman"/>
          <w:sz w:val="24"/>
          <w:szCs w:val="24"/>
        </w:rPr>
        <w:t xml:space="preserve"> </w:t>
      </w:r>
      <w:r w:rsidRPr="00AB3BFD">
        <w:rPr>
          <w:rFonts w:ascii="Times New Roman" w:eastAsia="Times New Roman" w:hAnsi="Times New Roman" w:cs="Times New Roman"/>
          <w:sz w:val="24"/>
          <w:szCs w:val="24"/>
        </w:rPr>
        <w:t>–1200 mm of precipitation annually, mostly during the June–September southwestern monsoon, with winter snowfall serving as a supplement. A range of horticultural crops, including rice and maize, can be grown thanks to this precipitation pattern.</w:t>
      </w:r>
    </w:p>
    <w:p w14:paraId="18FE744B" w14:textId="77777777" w:rsidR="00AB3BFD" w:rsidRDefault="00A45160" w:rsidP="00AB3BFD">
      <w:pPr>
        <w:spacing w:line="360" w:lineRule="auto"/>
        <w:jc w:val="both"/>
        <w:rPr>
          <w:rStyle w:val="Strong"/>
          <w:rFonts w:ascii="Times New Roman" w:hAnsi="Times New Roman" w:cs="Times New Roman"/>
          <w:bCs w:val="0"/>
          <w:color w:val="000000" w:themeColor="text1"/>
          <w:sz w:val="24"/>
          <w:szCs w:val="24"/>
        </w:rPr>
      </w:pPr>
      <w:r w:rsidRPr="00260A33">
        <w:rPr>
          <w:rStyle w:val="Strong"/>
          <w:rFonts w:ascii="Times New Roman" w:hAnsi="Times New Roman" w:cs="Times New Roman"/>
          <w:bCs w:val="0"/>
          <w:color w:val="000000" w:themeColor="text1"/>
          <w:sz w:val="24"/>
          <w:szCs w:val="24"/>
        </w:rPr>
        <w:t>Soi</w:t>
      </w:r>
      <w:r w:rsidR="00260A33" w:rsidRPr="00260A33">
        <w:rPr>
          <w:rStyle w:val="Strong"/>
          <w:rFonts w:ascii="Times New Roman" w:hAnsi="Times New Roman" w:cs="Times New Roman"/>
          <w:bCs w:val="0"/>
          <w:color w:val="000000" w:themeColor="text1"/>
          <w:sz w:val="24"/>
          <w:szCs w:val="24"/>
        </w:rPr>
        <w:t>l</w:t>
      </w:r>
    </w:p>
    <w:p w14:paraId="74C00FC6" w14:textId="77777777" w:rsidR="00BA5424" w:rsidRDefault="00AB3BFD" w:rsidP="00BA5424">
      <w:pPr>
        <w:spacing w:line="360" w:lineRule="auto"/>
        <w:ind w:firstLine="720"/>
        <w:jc w:val="both"/>
        <w:rPr>
          <w:rFonts w:ascii="Times New Roman" w:eastAsia="Times New Roman" w:hAnsi="Times New Roman" w:cs="Times New Roman"/>
          <w:sz w:val="24"/>
          <w:szCs w:val="24"/>
        </w:rPr>
      </w:pPr>
      <w:r w:rsidRPr="00AB3BFD">
        <w:rPr>
          <w:rFonts w:ascii="Times New Roman" w:eastAsia="Times New Roman" w:hAnsi="Times New Roman" w:cs="Times New Roman"/>
          <w:sz w:val="24"/>
          <w:szCs w:val="24"/>
        </w:rPr>
        <w:lastRenderedPageBreak/>
        <w:t xml:space="preserve">The majority of Kupwara's soils are </w:t>
      </w:r>
      <w:proofErr w:type="spellStart"/>
      <w:r w:rsidRPr="00AB3BFD">
        <w:rPr>
          <w:rFonts w:ascii="Times New Roman" w:eastAsia="Times New Roman" w:hAnsi="Times New Roman" w:cs="Times New Roman"/>
          <w:sz w:val="24"/>
          <w:szCs w:val="24"/>
        </w:rPr>
        <w:t>Alfisols</w:t>
      </w:r>
      <w:proofErr w:type="spellEnd"/>
      <w:r w:rsidRPr="00AB3BFD">
        <w:rPr>
          <w:rFonts w:ascii="Times New Roman" w:eastAsia="Times New Roman" w:hAnsi="Times New Roman" w:cs="Times New Roman"/>
          <w:sz w:val="24"/>
          <w:szCs w:val="24"/>
        </w:rPr>
        <w:t>, which are distinguished by their fertility and advantageous drainage characteristics. Clay loam soils under rainfed conditions predominate in mid-altitude temperate zones, while rocky soils with little moisture retention are found at higher elevations (&gt;1500 m). The silty loam to clay loam soils that are commonly irrigated and sustain intensive agriculture and horticulture are found in the lower temperate belt (above 1,450 m). Together, all of these soil types facilitate the district's high levels of biological variety and agricultural output.</w:t>
      </w:r>
    </w:p>
    <w:p w14:paraId="072A176B" w14:textId="77777777" w:rsidR="00BA5424" w:rsidRDefault="00DE2222" w:rsidP="00BA5424">
      <w:pPr>
        <w:spacing w:line="360" w:lineRule="auto"/>
        <w:jc w:val="both"/>
        <w:rPr>
          <w:rStyle w:val="Strong"/>
          <w:rFonts w:ascii="Times New Roman" w:hAnsi="Times New Roman" w:cs="Times New Roman"/>
          <w:color w:val="000000" w:themeColor="text1"/>
          <w:sz w:val="24"/>
          <w:szCs w:val="24"/>
        </w:rPr>
      </w:pPr>
      <w:r w:rsidRPr="00DE2222">
        <w:rPr>
          <w:rStyle w:val="Strong"/>
          <w:rFonts w:ascii="Times New Roman" w:hAnsi="Times New Roman" w:cs="Times New Roman"/>
          <w:color w:val="000000" w:themeColor="text1"/>
          <w:sz w:val="24"/>
          <w:szCs w:val="24"/>
        </w:rPr>
        <w:t>Processing of Samples and Aggregate Stability</w:t>
      </w:r>
    </w:p>
    <w:p w14:paraId="74D11A57" w14:textId="77777777" w:rsidR="00541CA7" w:rsidRPr="00BA5424" w:rsidRDefault="00541CA7" w:rsidP="00BA5424">
      <w:pPr>
        <w:spacing w:line="360" w:lineRule="auto"/>
        <w:ind w:firstLine="720"/>
        <w:jc w:val="both"/>
        <w:rPr>
          <w:rFonts w:ascii="Times New Roman" w:hAnsi="Times New Roman" w:cs="Times New Roman"/>
          <w:b/>
          <w:color w:val="000000" w:themeColor="text1"/>
          <w:sz w:val="24"/>
          <w:szCs w:val="24"/>
        </w:rPr>
      </w:pPr>
      <w:commentRangeStart w:id="2"/>
      <w:r w:rsidRPr="00541CA7">
        <w:rPr>
          <w:rFonts w:ascii="Times New Roman" w:eastAsia="Times New Roman" w:hAnsi="Times New Roman" w:cs="Times New Roman"/>
          <w:sz w:val="24"/>
          <w:szCs w:val="24"/>
        </w:rPr>
        <w:t>Two</w:t>
      </w:r>
      <w:commentRangeEnd w:id="2"/>
      <w:r w:rsidR="00E33C21">
        <w:rPr>
          <w:rStyle w:val="CommentReference"/>
        </w:rPr>
        <w:commentReference w:id="2"/>
      </w:r>
      <w:r w:rsidRPr="00541CA7">
        <w:rPr>
          <w:rFonts w:ascii="Times New Roman" w:eastAsia="Times New Roman" w:hAnsi="Times New Roman" w:cs="Times New Roman"/>
          <w:sz w:val="24"/>
          <w:szCs w:val="24"/>
        </w:rPr>
        <w:t xml:space="preserve"> sections of soil samples were taken from agricultural and forest land uses. While the other portion was air-dried at room temperature, ground with a mortar and pestle, and sieved through a 2 mm mesh for physicochemical analysis, the first portion was kept in sterile zipper bags at 4 °C for microbiological analysis. The wet sieving method was used to determine the aggregate stability (Yo</w:t>
      </w:r>
      <w:r w:rsidR="00635E6D">
        <w:rPr>
          <w:rFonts w:ascii="Times New Roman" w:eastAsia="Times New Roman" w:hAnsi="Times New Roman" w:cs="Times New Roman"/>
          <w:sz w:val="24"/>
          <w:szCs w:val="24"/>
        </w:rPr>
        <w:t>der, 1936; Kemper &amp; Rosenau, 196</w:t>
      </w:r>
      <w:r w:rsidRPr="00541CA7">
        <w:rPr>
          <w:rFonts w:ascii="Times New Roman" w:eastAsia="Times New Roman" w:hAnsi="Times New Roman" w:cs="Times New Roman"/>
          <w:sz w:val="24"/>
          <w:szCs w:val="24"/>
        </w:rPr>
        <w:t>6). Aggregates retained on a 4 mm screen were employed for examination after bulk soil samples were run through an 8 mm sieve.</w:t>
      </w:r>
      <w:r w:rsidRPr="00541CA7">
        <w:rPr>
          <w:rFonts w:ascii="Times New Roman" w:hAnsi="Times New Roman" w:cs="Times New Roman"/>
          <w:sz w:val="24"/>
          <w:szCs w:val="24"/>
        </w:rPr>
        <w:t xml:space="preserve"> </w:t>
      </w:r>
      <w:r w:rsidRPr="00541CA7">
        <w:rPr>
          <w:rFonts w:ascii="Times New Roman" w:eastAsia="Times New Roman" w:hAnsi="Times New Roman" w:cs="Times New Roman"/>
          <w:sz w:val="24"/>
          <w:szCs w:val="24"/>
        </w:rPr>
        <w:t>On top of a nest of 2.36, 2.0, 1.0, 0.5, and 0.25 mm sieves, 50 grams of air-dried aggregates were dropped. Aggregates were allowed to saturate gradually for ten minutes by capillary rise when the sieve set was submerged in water until the base of the top sieve barely touched the water's surface. The sieves were then submerged for 30 minutes and oscillated vertically at 30 cycles per minute. Following sand correction, the soil fractions that were retained on each sieve were gathered, oven-dried at 105 °C, and weighed. The percentage of soil retained in each size class served as an indicator of aggregate stability.</w:t>
      </w:r>
    </w:p>
    <w:p w14:paraId="14EC7DD5" w14:textId="77777777" w:rsidR="00870BA7" w:rsidRDefault="008B198C" w:rsidP="00870BA7">
      <w:pPr>
        <w:pStyle w:val="Heading3"/>
        <w:spacing w:line="360" w:lineRule="auto"/>
        <w:jc w:val="both"/>
        <w:rPr>
          <w:rStyle w:val="Strong"/>
          <w:rFonts w:ascii="Times New Roman" w:hAnsi="Times New Roman" w:cs="Times New Roman"/>
          <w:b/>
          <w:bCs/>
          <w:color w:val="000000" w:themeColor="text1"/>
        </w:rPr>
      </w:pPr>
      <w:r>
        <w:rPr>
          <w:rStyle w:val="Strong"/>
          <w:rFonts w:ascii="Times New Roman" w:hAnsi="Times New Roman" w:cs="Times New Roman"/>
          <w:b/>
          <w:bCs/>
          <w:color w:val="000000" w:themeColor="text1"/>
        </w:rPr>
        <w:t xml:space="preserve">3. </w:t>
      </w:r>
      <w:r w:rsidR="006F412F" w:rsidRPr="006F412F">
        <w:rPr>
          <w:rStyle w:val="Strong"/>
          <w:rFonts w:ascii="Times New Roman" w:hAnsi="Times New Roman" w:cs="Times New Roman"/>
          <w:b/>
          <w:bCs/>
          <w:color w:val="000000" w:themeColor="text1"/>
        </w:rPr>
        <w:t>Results</w:t>
      </w:r>
    </w:p>
    <w:p w14:paraId="4FA42287" w14:textId="77777777" w:rsidR="00DA4D1A" w:rsidRDefault="00DA4D1A" w:rsidP="00DA4D1A">
      <w:pPr>
        <w:pStyle w:val="NormalWeb"/>
        <w:spacing w:line="360" w:lineRule="auto"/>
        <w:ind w:firstLine="720"/>
        <w:jc w:val="both"/>
      </w:pPr>
      <w:r>
        <w:t xml:space="preserve">Land use change from forest to agriculture exerted a pronounced influence on soil aggregate stability, resulting in a marked decline in soil structural integrity under cultivation. Forest soils recorded a significantly higher mean aggregate stability </w:t>
      </w:r>
      <w:r>
        <w:lastRenderedPageBreak/>
        <w:t>(</w:t>
      </w:r>
      <w:r w:rsidRPr="00D375DD">
        <w:rPr>
          <w:rStyle w:val="Strong"/>
          <w:b w:val="0"/>
        </w:rPr>
        <w:t>69.26%</w:t>
      </w:r>
      <w:r w:rsidRPr="00D375DD">
        <w:t>)</w:t>
      </w:r>
      <w:r>
        <w:t xml:space="preserve"> compared to agricultural soils (</w:t>
      </w:r>
      <w:r w:rsidRPr="00D375DD">
        <w:rPr>
          <w:rStyle w:val="Strong"/>
          <w:b w:val="0"/>
        </w:rPr>
        <w:t>51.52%</w:t>
      </w:r>
      <w:r>
        <w:t>), indicating that natural vegetation favors the formation and preservation of stable aggregates through continuous organic matter inputs and minimal mechanical disturbance. The stability range in forest soils (</w:t>
      </w:r>
      <w:r w:rsidRPr="00D375DD">
        <w:rPr>
          <w:rStyle w:val="Strong"/>
          <w:b w:val="0"/>
        </w:rPr>
        <w:t>45.02–86.97%</w:t>
      </w:r>
      <w:r>
        <w:t>) was generally higher than that observed in agricultural soils (</w:t>
      </w:r>
      <w:r w:rsidRPr="00D375DD">
        <w:rPr>
          <w:rStyle w:val="Strong"/>
          <w:b w:val="0"/>
        </w:rPr>
        <w:t>40.02–74.53%</w:t>
      </w:r>
      <w:r>
        <w:t>), reflecting comparatively better structural conditions under forest cover, whereas agricultural soils exhibited a wider spread toward lower values, likely driven by site-specific management practices such as tillage, residue removal, and fertilizer application.</w:t>
      </w:r>
    </w:p>
    <w:p w14:paraId="66CD8030" w14:textId="77777777" w:rsidR="00D05B31" w:rsidRDefault="00DA4D1A" w:rsidP="00AE1F6E">
      <w:pPr>
        <w:pStyle w:val="NormalWeb"/>
        <w:spacing w:line="360" w:lineRule="auto"/>
        <w:ind w:firstLine="720"/>
        <w:jc w:val="both"/>
      </w:pPr>
      <w:r>
        <w:t>Variability indicators further emphasized the contrasting effects of land use. Forest soils exhibited moderate variability (</w:t>
      </w:r>
      <w:r w:rsidRPr="00D375DD">
        <w:rPr>
          <w:rStyle w:val="Strong"/>
          <w:b w:val="0"/>
        </w:rPr>
        <w:t>CV = 14.52</w:t>
      </w:r>
      <w:r>
        <w:rPr>
          <w:rStyle w:val="Strong"/>
        </w:rPr>
        <w:t>%</w:t>
      </w:r>
      <w:r>
        <w:t xml:space="preserve">) with a standard error of </w:t>
      </w:r>
      <w:r w:rsidRPr="00D375DD">
        <w:rPr>
          <w:rStyle w:val="Strong"/>
          <w:b w:val="0"/>
        </w:rPr>
        <w:t>1.31</w:t>
      </w:r>
      <w:r>
        <w:t>, suggesting relatively consistent aggregate stability across locations. In contrast, agricultural soils showed comparable variability (</w:t>
      </w:r>
      <w:r w:rsidRPr="00D375DD">
        <w:rPr>
          <w:rStyle w:val="Strong"/>
          <w:b w:val="0"/>
        </w:rPr>
        <w:t>CV = 14.38</w:t>
      </w:r>
      <w:r>
        <w:rPr>
          <w:rStyle w:val="Strong"/>
        </w:rPr>
        <w:t>%</w:t>
      </w:r>
      <w:r>
        <w:t>) but a slightly lower standard error (</w:t>
      </w:r>
      <w:r w:rsidRPr="00D375DD">
        <w:rPr>
          <w:rStyle w:val="Strong"/>
          <w:b w:val="0"/>
        </w:rPr>
        <w:t>0.96</w:t>
      </w:r>
      <w:r>
        <w:t>), highlighting heterogeneity in structural stability arising from cultivation-induced disturbances. The minimum aggregate stability value in agricultural soils (</w:t>
      </w:r>
      <w:r w:rsidRPr="00D375DD">
        <w:rPr>
          <w:rStyle w:val="Strong"/>
          <w:b w:val="0"/>
        </w:rPr>
        <w:t>40.02%</w:t>
      </w:r>
      <w:r>
        <w:t>) was considerably lower than that of forest soils (</w:t>
      </w:r>
      <w:r w:rsidRPr="00D375DD">
        <w:rPr>
          <w:rStyle w:val="Strong"/>
          <w:b w:val="0"/>
        </w:rPr>
        <w:t>45.02%</w:t>
      </w:r>
      <w:r w:rsidRPr="00D375DD">
        <w:t xml:space="preserve">), </w:t>
      </w:r>
      <w:r>
        <w:t>indicating greater susceptibility of cultivated soils to aggregate breakdown. Conversely, the maximum aggregate stability recorded under forest land use (</w:t>
      </w:r>
      <w:r w:rsidRPr="00D375DD">
        <w:rPr>
          <w:rStyle w:val="Strong"/>
          <w:b w:val="0"/>
        </w:rPr>
        <w:t>86.97%</w:t>
      </w:r>
      <w:r>
        <w:t>) exceeded that of agricultural soils (</w:t>
      </w:r>
      <w:r w:rsidRPr="00D375DD">
        <w:rPr>
          <w:rStyle w:val="Strong"/>
          <w:b w:val="0"/>
        </w:rPr>
        <w:t>74.53%</w:t>
      </w:r>
      <w:r>
        <w:t>), underscoring the superior capacity of forest ecosystems to maintain stable macro-aggregates. Overall, the observed trend (</w:t>
      </w:r>
      <w:r w:rsidRPr="00D375DD">
        <w:rPr>
          <w:rStyle w:val="Strong"/>
          <w:b w:val="0"/>
        </w:rPr>
        <w:t>Forest &gt; Agriculture</w:t>
      </w:r>
      <w:r>
        <w:t>) confirms that land use conversion significantly reduces soil structural resilience. The consistently higher stability in forest soils can be attributed to the protective effects of litter accumulation, root proliferation, and microbial activity, whereas reduced stability in agricultural soils reflects organic matter depletion, mechanical disruption, and weakened biological binding agents. These findings highlight the importance of conserving forest cover and adopting sustainable land management practices to maintain soil structural stability and mitigate degradation in temperate environments</w:t>
      </w:r>
      <w:r w:rsidR="00CE769D">
        <w:t>.</w:t>
      </w:r>
      <w:r>
        <w:t xml:space="preserve">  (</w:t>
      </w:r>
      <w:r>
        <w:rPr>
          <w:rStyle w:val="Strong"/>
        </w:rPr>
        <w:t>Table 1</w:t>
      </w:r>
      <w:r>
        <w:t>)</w:t>
      </w:r>
    </w:p>
    <w:p w14:paraId="74BBA7E5" w14:textId="77777777" w:rsidR="00CE769D" w:rsidRPr="00C00476" w:rsidRDefault="00CE769D" w:rsidP="00C00476">
      <w:pPr>
        <w:pStyle w:val="NormalWeb"/>
        <w:spacing w:line="360" w:lineRule="auto"/>
        <w:jc w:val="both"/>
      </w:pPr>
    </w:p>
    <w:p w14:paraId="5E250310" w14:textId="77777777" w:rsidR="002C3E00" w:rsidRPr="00933D46" w:rsidRDefault="00933D46" w:rsidP="00856966">
      <w:pPr>
        <w:spacing w:line="360" w:lineRule="auto"/>
        <w:jc w:val="both"/>
        <w:rPr>
          <w:rFonts w:ascii="Times New Roman" w:hAnsi="Times New Roman" w:cs="Times New Roman"/>
          <w:sz w:val="24"/>
          <w:szCs w:val="24"/>
        </w:rPr>
      </w:pPr>
      <w:commentRangeStart w:id="3"/>
      <w:r w:rsidRPr="00933D46">
        <w:rPr>
          <w:rFonts w:ascii="Times New Roman" w:hAnsi="Times New Roman" w:cs="Times New Roman"/>
          <w:b/>
        </w:rPr>
        <w:lastRenderedPageBreak/>
        <w:t xml:space="preserve">Table </w:t>
      </w:r>
      <w:commentRangeEnd w:id="3"/>
      <w:r w:rsidR="00DF78E6">
        <w:rPr>
          <w:rStyle w:val="CommentReference"/>
        </w:rPr>
        <w:commentReference w:id="3"/>
      </w:r>
      <w:r w:rsidRPr="00933D46">
        <w:rPr>
          <w:rFonts w:ascii="Times New Roman" w:hAnsi="Times New Roman" w:cs="Times New Roman"/>
          <w:b/>
        </w:rPr>
        <w:t>1: Aggreg</w:t>
      </w:r>
      <w:r w:rsidR="00BB726C">
        <w:rPr>
          <w:rFonts w:ascii="Times New Roman" w:hAnsi="Times New Roman" w:cs="Times New Roman"/>
          <w:b/>
        </w:rPr>
        <w:t xml:space="preserve">ate Stability (%) under Forest and Agriculture </w:t>
      </w:r>
      <w:r w:rsidRPr="00933D46">
        <w:rPr>
          <w:rFonts w:ascii="Times New Roman" w:hAnsi="Times New Roman" w:cs="Times New Roman"/>
          <w:b/>
        </w:rPr>
        <w:t>land uses</w:t>
      </w:r>
    </w:p>
    <w:tbl>
      <w:tblPr>
        <w:tblStyle w:val="TableGrid"/>
        <w:tblW w:w="0" w:type="auto"/>
        <w:tblLook w:val="04A0" w:firstRow="1" w:lastRow="0" w:firstColumn="1" w:lastColumn="0" w:noHBand="0" w:noVBand="1"/>
      </w:tblPr>
      <w:tblGrid>
        <w:gridCol w:w="2829"/>
        <w:gridCol w:w="2829"/>
        <w:gridCol w:w="2829"/>
      </w:tblGrid>
      <w:tr w:rsidR="00C14B90" w:rsidRPr="00CE769D" w14:paraId="7ADBF39E" w14:textId="77777777" w:rsidTr="00011553">
        <w:trPr>
          <w:trHeight w:val="126"/>
        </w:trPr>
        <w:tc>
          <w:tcPr>
            <w:tcW w:w="2829" w:type="dxa"/>
            <w:vMerge w:val="restart"/>
            <w:vAlign w:val="bottom"/>
          </w:tcPr>
          <w:p w14:paraId="4CF354DA"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Locations</w:t>
            </w:r>
          </w:p>
        </w:tc>
        <w:tc>
          <w:tcPr>
            <w:tcW w:w="5658" w:type="dxa"/>
            <w:gridSpan w:val="2"/>
          </w:tcPr>
          <w:p w14:paraId="2E0B1972"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Aggregate Stability</w:t>
            </w:r>
            <w:r w:rsidR="00157519" w:rsidRPr="00CE769D">
              <w:rPr>
                <w:rFonts w:ascii="Times New Roman" w:hAnsi="Times New Roman" w:cs="Times New Roman"/>
                <w:b/>
                <w:bCs/>
                <w:color w:val="000000"/>
              </w:rPr>
              <w:t xml:space="preserve"> </w:t>
            </w:r>
            <w:r w:rsidRPr="00CE769D">
              <w:rPr>
                <w:rFonts w:ascii="Times New Roman" w:hAnsi="Times New Roman" w:cs="Times New Roman"/>
                <w:b/>
                <w:bCs/>
                <w:color w:val="000000"/>
              </w:rPr>
              <w:t>(%)</w:t>
            </w:r>
          </w:p>
        </w:tc>
      </w:tr>
      <w:tr w:rsidR="00C14B90" w:rsidRPr="00CE769D" w14:paraId="74CF2AD8" w14:textId="77777777" w:rsidTr="00310BFB">
        <w:trPr>
          <w:trHeight w:val="126"/>
        </w:trPr>
        <w:tc>
          <w:tcPr>
            <w:tcW w:w="2829" w:type="dxa"/>
            <w:vMerge/>
            <w:vAlign w:val="bottom"/>
          </w:tcPr>
          <w:p w14:paraId="631DDFFE" w14:textId="77777777" w:rsidR="00C14B90" w:rsidRPr="00CE769D" w:rsidRDefault="00C14B90" w:rsidP="005F0473">
            <w:pPr>
              <w:jc w:val="center"/>
              <w:rPr>
                <w:rFonts w:ascii="Times New Roman" w:hAnsi="Times New Roman" w:cs="Times New Roman"/>
                <w:b/>
                <w:bCs/>
                <w:color w:val="000000"/>
              </w:rPr>
            </w:pPr>
          </w:p>
        </w:tc>
        <w:tc>
          <w:tcPr>
            <w:tcW w:w="2829" w:type="dxa"/>
          </w:tcPr>
          <w:p w14:paraId="0C270D2F"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Forest</w:t>
            </w:r>
          </w:p>
        </w:tc>
        <w:tc>
          <w:tcPr>
            <w:tcW w:w="2829" w:type="dxa"/>
          </w:tcPr>
          <w:p w14:paraId="51318BDB"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Agriculture</w:t>
            </w:r>
          </w:p>
        </w:tc>
      </w:tr>
      <w:tr w:rsidR="00950301" w:rsidRPr="00CE769D" w14:paraId="0F0A0230" w14:textId="77777777" w:rsidTr="00CF6C3F">
        <w:tc>
          <w:tcPr>
            <w:tcW w:w="2829" w:type="dxa"/>
            <w:vAlign w:val="center"/>
          </w:tcPr>
          <w:p w14:paraId="4AAB9BF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Treach</w:t>
            </w:r>
          </w:p>
        </w:tc>
        <w:tc>
          <w:tcPr>
            <w:tcW w:w="2829" w:type="dxa"/>
            <w:vAlign w:val="bottom"/>
          </w:tcPr>
          <w:p w14:paraId="348AA04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65.19</w:t>
            </w:r>
          </w:p>
        </w:tc>
        <w:tc>
          <w:tcPr>
            <w:tcW w:w="2829" w:type="dxa"/>
            <w:vAlign w:val="center"/>
          </w:tcPr>
          <w:p w14:paraId="4534A0CF"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46.27</w:t>
            </w:r>
          </w:p>
        </w:tc>
      </w:tr>
      <w:tr w:rsidR="00950301" w:rsidRPr="00CE769D" w14:paraId="59BDE15C" w14:textId="77777777" w:rsidTr="00CF6C3F">
        <w:tc>
          <w:tcPr>
            <w:tcW w:w="2829" w:type="dxa"/>
            <w:vAlign w:val="center"/>
          </w:tcPr>
          <w:p w14:paraId="0E02AEE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Gundgushi</w:t>
            </w:r>
            <w:proofErr w:type="spellEnd"/>
          </w:p>
        </w:tc>
        <w:tc>
          <w:tcPr>
            <w:tcW w:w="2829" w:type="dxa"/>
            <w:vAlign w:val="bottom"/>
          </w:tcPr>
          <w:p w14:paraId="17FB8D2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70.82</w:t>
            </w:r>
          </w:p>
        </w:tc>
        <w:tc>
          <w:tcPr>
            <w:tcW w:w="2829" w:type="dxa"/>
            <w:vAlign w:val="center"/>
          </w:tcPr>
          <w:p w14:paraId="28622F5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48.73</w:t>
            </w:r>
          </w:p>
        </w:tc>
      </w:tr>
      <w:tr w:rsidR="00950301" w:rsidRPr="00CE769D" w14:paraId="323C4D60" w14:textId="77777777" w:rsidTr="00CF6C3F">
        <w:tc>
          <w:tcPr>
            <w:tcW w:w="2829" w:type="dxa"/>
            <w:vAlign w:val="center"/>
          </w:tcPr>
          <w:p w14:paraId="647B6355"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Khumriyal</w:t>
            </w:r>
            <w:proofErr w:type="spellEnd"/>
          </w:p>
        </w:tc>
        <w:tc>
          <w:tcPr>
            <w:tcW w:w="2829" w:type="dxa"/>
            <w:vAlign w:val="bottom"/>
          </w:tcPr>
          <w:p w14:paraId="6C9E96B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60.91</w:t>
            </w:r>
          </w:p>
        </w:tc>
        <w:tc>
          <w:tcPr>
            <w:tcW w:w="2829" w:type="dxa"/>
            <w:vAlign w:val="center"/>
          </w:tcPr>
          <w:p w14:paraId="1B088E0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42.9</w:t>
            </w:r>
          </w:p>
        </w:tc>
      </w:tr>
      <w:tr w:rsidR="00950301" w:rsidRPr="00CE769D" w14:paraId="1A08207D" w14:textId="77777777" w:rsidTr="00CF6C3F">
        <w:tc>
          <w:tcPr>
            <w:tcW w:w="2829" w:type="dxa"/>
            <w:vAlign w:val="center"/>
          </w:tcPr>
          <w:p w14:paraId="4E71184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Manzhar</w:t>
            </w:r>
            <w:proofErr w:type="spellEnd"/>
          </w:p>
        </w:tc>
        <w:tc>
          <w:tcPr>
            <w:tcW w:w="2829" w:type="dxa"/>
            <w:vAlign w:val="bottom"/>
          </w:tcPr>
          <w:p w14:paraId="63BCD1F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DD0458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47.45</w:t>
            </w:r>
          </w:p>
        </w:tc>
      </w:tr>
      <w:tr w:rsidR="00950301" w:rsidRPr="00CE769D" w14:paraId="283C97A4" w14:textId="77777777" w:rsidTr="00713A3D">
        <w:tc>
          <w:tcPr>
            <w:tcW w:w="2829" w:type="dxa"/>
            <w:vAlign w:val="center"/>
          </w:tcPr>
          <w:p w14:paraId="44D32A1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Water Khani</w:t>
            </w:r>
          </w:p>
        </w:tc>
        <w:tc>
          <w:tcPr>
            <w:tcW w:w="2829" w:type="dxa"/>
            <w:vAlign w:val="bottom"/>
          </w:tcPr>
          <w:p w14:paraId="74025D3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72.29</w:t>
            </w:r>
          </w:p>
        </w:tc>
        <w:tc>
          <w:tcPr>
            <w:tcW w:w="2829" w:type="dxa"/>
            <w:vAlign w:val="center"/>
          </w:tcPr>
          <w:p w14:paraId="19BDFA6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52.51</w:t>
            </w:r>
          </w:p>
        </w:tc>
      </w:tr>
      <w:tr w:rsidR="00950301" w:rsidRPr="00CE769D" w14:paraId="5C92A61D" w14:textId="77777777" w:rsidTr="00CF6C3F">
        <w:tc>
          <w:tcPr>
            <w:tcW w:w="2829" w:type="dxa"/>
            <w:vAlign w:val="center"/>
          </w:tcPr>
          <w:p w14:paraId="37922DF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Karihama</w:t>
            </w:r>
            <w:proofErr w:type="spellEnd"/>
          </w:p>
        </w:tc>
        <w:tc>
          <w:tcPr>
            <w:tcW w:w="2829" w:type="dxa"/>
            <w:vAlign w:val="bottom"/>
          </w:tcPr>
          <w:p w14:paraId="7DFA503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65.29</w:t>
            </w:r>
          </w:p>
        </w:tc>
        <w:tc>
          <w:tcPr>
            <w:tcW w:w="2829" w:type="dxa"/>
            <w:vAlign w:val="center"/>
          </w:tcPr>
          <w:p w14:paraId="06E3647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54.67</w:t>
            </w:r>
          </w:p>
        </w:tc>
      </w:tr>
      <w:tr w:rsidR="00950301" w:rsidRPr="00CE769D" w14:paraId="652BBCCA" w14:textId="77777777" w:rsidTr="00CF6C3F">
        <w:tc>
          <w:tcPr>
            <w:tcW w:w="2829" w:type="dxa"/>
            <w:vAlign w:val="center"/>
          </w:tcPr>
          <w:p w14:paraId="00FB81CD"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Dardsun</w:t>
            </w:r>
            <w:proofErr w:type="spellEnd"/>
          </w:p>
        </w:tc>
        <w:tc>
          <w:tcPr>
            <w:tcW w:w="2829" w:type="dxa"/>
            <w:vAlign w:val="bottom"/>
          </w:tcPr>
          <w:p w14:paraId="4BAF521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66.34</w:t>
            </w:r>
          </w:p>
        </w:tc>
        <w:tc>
          <w:tcPr>
            <w:tcW w:w="2829" w:type="dxa"/>
            <w:vAlign w:val="center"/>
          </w:tcPr>
          <w:p w14:paraId="1FED142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50.31</w:t>
            </w:r>
          </w:p>
        </w:tc>
      </w:tr>
      <w:tr w:rsidR="00950301" w:rsidRPr="00CE769D" w14:paraId="2379E247" w14:textId="77777777" w:rsidTr="00CF6C3F">
        <w:tc>
          <w:tcPr>
            <w:tcW w:w="2829" w:type="dxa"/>
            <w:vAlign w:val="center"/>
          </w:tcPr>
          <w:p w14:paraId="59F6854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Shatmuqam</w:t>
            </w:r>
            <w:proofErr w:type="spellEnd"/>
          </w:p>
        </w:tc>
        <w:tc>
          <w:tcPr>
            <w:tcW w:w="2829" w:type="dxa"/>
            <w:vAlign w:val="bottom"/>
          </w:tcPr>
          <w:p w14:paraId="61648E5F"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79.01</w:t>
            </w:r>
          </w:p>
        </w:tc>
        <w:tc>
          <w:tcPr>
            <w:tcW w:w="2829" w:type="dxa"/>
            <w:vAlign w:val="center"/>
          </w:tcPr>
          <w:p w14:paraId="69B6C39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57.34</w:t>
            </w:r>
          </w:p>
        </w:tc>
      </w:tr>
      <w:tr w:rsidR="00950301" w:rsidRPr="00CE769D" w14:paraId="0D0CA153" w14:textId="77777777" w:rsidTr="00CF6C3F">
        <w:tc>
          <w:tcPr>
            <w:tcW w:w="2829" w:type="dxa"/>
            <w:vAlign w:val="center"/>
          </w:tcPr>
          <w:p w14:paraId="15EA8BA5"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Shalpora</w:t>
            </w:r>
            <w:proofErr w:type="spellEnd"/>
          </w:p>
        </w:tc>
        <w:tc>
          <w:tcPr>
            <w:tcW w:w="2829" w:type="dxa"/>
            <w:vAlign w:val="bottom"/>
          </w:tcPr>
          <w:p w14:paraId="61FC083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64.92</w:t>
            </w:r>
          </w:p>
        </w:tc>
        <w:tc>
          <w:tcPr>
            <w:tcW w:w="2829" w:type="dxa"/>
            <w:vAlign w:val="center"/>
          </w:tcPr>
          <w:p w14:paraId="1CD4069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40.02</w:t>
            </w:r>
          </w:p>
        </w:tc>
      </w:tr>
      <w:tr w:rsidR="00950301" w:rsidRPr="00CE769D" w14:paraId="642D87FF" w14:textId="77777777" w:rsidTr="00CF6C3F">
        <w:tc>
          <w:tcPr>
            <w:tcW w:w="2829" w:type="dxa"/>
            <w:vAlign w:val="center"/>
          </w:tcPr>
          <w:p w14:paraId="3895ACE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Zangil</w:t>
            </w:r>
            <w:proofErr w:type="spellEnd"/>
          </w:p>
        </w:tc>
        <w:tc>
          <w:tcPr>
            <w:tcW w:w="2829" w:type="dxa"/>
            <w:vAlign w:val="bottom"/>
          </w:tcPr>
          <w:p w14:paraId="61177CF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D215E5A"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51.51</w:t>
            </w:r>
          </w:p>
        </w:tc>
      </w:tr>
      <w:tr w:rsidR="00950301" w:rsidRPr="00CE769D" w14:paraId="5A52D100" w14:textId="77777777" w:rsidTr="00CF6C3F">
        <w:tc>
          <w:tcPr>
            <w:tcW w:w="2829" w:type="dxa"/>
            <w:vAlign w:val="center"/>
          </w:tcPr>
          <w:p w14:paraId="41C731A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Muqami</w:t>
            </w:r>
            <w:proofErr w:type="spellEnd"/>
            <w:r w:rsidRPr="00CE769D">
              <w:rPr>
                <w:rFonts w:ascii="Times New Roman" w:hAnsi="Times New Roman" w:cs="Times New Roman"/>
                <w:color w:val="000000"/>
              </w:rPr>
              <w:t xml:space="preserve"> </w:t>
            </w:r>
            <w:proofErr w:type="spellStart"/>
            <w:r w:rsidRPr="00CE769D">
              <w:rPr>
                <w:rFonts w:ascii="Times New Roman" w:hAnsi="Times New Roman" w:cs="Times New Roman"/>
                <w:color w:val="000000"/>
              </w:rPr>
              <w:t>Shahwali</w:t>
            </w:r>
            <w:proofErr w:type="spellEnd"/>
          </w:p>
        </w:tc>
        <w:tc>
          <w:tcPr>
            <w:tcW w:w="2829" w:type="dxa"/>
            <w:vAlign w:val="bottom"/>
          </w:tcPr>
          <w:p w14:paraId="11C8C2B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61.03</w:t>
            </w:r>
          </w:p>
        </w:tc>
        <w:tc>
          <w:tcPr>
            <w:tcW w:w="2829" w:type="dxa"/>
            <w:vAlign w:val="center"/>
          </w:tcPr>
          <w:p w14:paraId="5DE2A14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43.14</w:t>
            </w:r>
          </w:p>
        </w:tc>
      </w:tr>
      <w:tr w:rsidR="00950301" w:rsidRPr="00CE769D" w14:paraId="41E005A7" w14:textId="77777777" w:rsidTr="00CF6C3F">
        <w:tc>
          <w:tcPr>
            <w:tcW w:w="2829" w:type="dxa"/>
            <w:vAlign w:val="center"/>
          </w:tcPr>
          <w:p w14:paraId="3628D886"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Pazipora</w:t>
            </w:r>
            <w:proofErr w:type="spellEnd"/>
          </w:p>
        </w:tc>
        <w:tc>
          <w:tcPr>
            <w:tcW w:w="2829" w:type="dxa"/>
            <w:vAlign w:val="bottom"/>
          </w:tcPr>
          <w:p w14:paraId="5807594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70.73</w:t>
            </w:r>
          </w:p>
        </w:tc>
        <w:tc>
          <w:tcPr>
            <w:tcW w:w="2829" w:type="dxa"/>
            <w:vAlign w:val="center"/>
          </w:tcPr>
          <w:p w14:paraId="2CF804E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53.63</w:t>
            </w:r>
          </w:p>
        </w:tc>
      </w:tr>
      <w:tr w:rsidR="00950301" w:rsidRPr="00CE769D" w14:paraId="6D983FF8" w14:textId="77777777" w:rsidTr="00CF6C3F">
        <w:tc>
          <w:tcPr>
            <w:tcW w:w="2829" w:type="dxa"/>
            <w:vAlign w:val="center"/>
          </w:tcPr>
          <w:p w14:paraId="4A45B04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Keegam</w:t>
            </w:r>
            <w:proofErr w:type="spellEnd"/>
          </w:p>
        </w:tc>
        <w:tc>
          <w:tcPr>
            <w:tcW w:w="2829" w:type="dxa"/>
            <w:vAlign w:val="bottom"/>
          </w:tcPr>
          <w:p w14:paraId="6E899BF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75.37</w:t>
            </w:r>
          </w:p>
        </w:tc>
        <w:tc>
          <w:tcPr>
            <w:tcW w:w="2829" w:type="dxa"/>
            <w:vAlign w:val="center"/>
          </w:tcPr>
          <w:p w14:paraId="303147B2"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5C14E3AB" w14:textId="77777777" w:rsidTr="00CF6C3F">
        <w:tc>
          <w:tcPr>
            <w:tcW w:w="2829" w:type="dxa"/>
            <w:vAlign w:val="center"/>
          </w:tcPr>
          <w:p w14:paraId="04DAF1CD"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Zachaldara</w:t>
            </w:r>
            <w:proofErr w:type="spellEnd"/>
          </w:p>
        </w:tc>
        <w:tc>
          <w:tcPr>
            <w:tcW w:w="2829" w:type="dxa"/>
            <w:vAlign w:val="bottom"/>
          </w:tcPr>
          <w:p w14:paraId="5E7AFDB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83.94</w:t>
            </w:r>
          </w:p>
        </w:tc>
        <w:tc>
          <w:tcPr>
            <w:tcW w:w="2829" w:type="dxa"/>
            <w:vAlign w:val="center"/>
          </w:tcPr>
          <w:p w14:paraId="2F654BA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42.39</w:t>
            </w:r>
          </w:p>
        </w:tc>
      </w:tr>
      <w:tr w:rsidR="00950301" w:rsidRPr="00CE769D" w14:paraId="0F89D1DD" w14:textId="77777777" w:rsidTr="00CF6C3F">
        <w:tc>
          <w:tcPr>
            <w:tcW w:w="2829" w:type="dxa"/>
            <w:vAlign w:val="center"/>
          </w:tcPr>
          <w:p w14:paraId="286EFD5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Waiyan</w:t>
            </w:r>
          </w:p>
        </w:tc>
        <w:tc>
          <w:tcPr>
            <w:tcW w:w="2829" w:type="dxa"/>
            <w:vAlign w:val="bottom"/>
          </w:tcPr>
          <w:p w14:paraId="44F929B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w:t>
            </w:r>
          </w:p>
        </w:tc>
        <w:tc>
          <w:tcPr>
            <w:tcW w:w="2829" w:type="dxa"/>
            <w:vAlign w:val="center"/>
          </w:tcPr>
          <w:p w14:paraId="25C19BF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53.14</w:t>
            </w:r>
          </w:p>
        </w:tc>
      </w:tr>
      <w:tr w:rsidR="00950301" w:rsidRPr="00CE769D" w14:paraId="29804FE6" w14:textId="77777777" w:rsidTr="00CF6C3F">
        <w:tc>
          <w:tcPr>
            <w:tcW w:w="2829" w:type="dxa"/>
            <w:vAlign w:val="center"/>
          </w:tcPr>
          <w:p w14:paraId="3544D16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Qalmabad</w:t>
            </w:r>
            <w:proofErr w:type="spellEnd"/>
          </w:p>
        </w:tc>
        <w:tc>
          <w:tcPr>
            <w:tcW w:w="2829" w:type="dxa"/>
            <w:vAlign w:val="bottom"/>
          </w:tcPr>
          <w:p w14:paraId="2C22D05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66.49</w:t>
            </w:r>
          </w:p>
        </w:tc>
        <w:tc>
          <w:tcPr>
            <w:tcW w:w="2829" w:type="dxa"/>
            <w:vAlign w:val="center"/>
          </w:tcPr>
          <w:p w14:paraId="4E9E49C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0E313242" w14:textId="77777777" w:rsidTr="00CF6C3F">
        <w:tc>
          <w:tcPr>
            <w:tcW w:w="2829" w:type="dxa"/>
            <w:vAlign w:val="center"/>
          </w:tcPr>
          <w:p w14:paraId="3A85FBC7"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Nagri</w:t>
            </w:r>
          </w:p>
        </w:tc>
        <w:tc>
          <w:tcPr>
            <w:tcW w:w="2829" w:type="dxa"/>
            <w:vAlign w:val="bottom"/>
          </w:tcPr>
          <w:p w14:paraId="4118D73C"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75.37</w:t>
            </w:r>
          </w:p>
        </w:tc>
        <w:tc>
          <w:tcPr>
            <w:tcW w:w="2829" w:type="dxa"/>
            <w:vAlign w:val="center"/>
          </w:tcPr>
          <w:p w14:paraId="7105FFBF"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55.74</w:t>
            </w:r>
          </w:p>
        </w:tc>
      </w:tr>
      <w:tr w:rsidR="00950301" w:rsidRPr="00CE769D" w14:paraId="2D0B56BD" w14:textId="77777777" w:rsidTr="00713A3D">
        <w:tc>
          <w:tcPr>
            <w:tcW w:w="2829" w:type="dxa"/>
            <w:vAlign w:val="center"/>
          </w:tcPr>
          <w:p w14:paraId="1061C8C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Reshigund</w:t>
            </w:r>
            <w:proofErr w:type="spellEnd"/>
          </w:p>
        </w:tc>
        <w:tc>
          <w:tcPr>
            <w:tcW w:w="2829" w:type="dxa"/>
            <w:vAlign w:val="bottom"/>
          </w:tcPr>
          <w:p w14:paraId="12610424"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66.68</w:t>
            </w:r>
          </w:p>
        </w:tc>
        <w:tc>
          <w:tcPr>
            <w:tcW w:w="2829" w:type="dxa"/>
            <w:vAlign w:val="bottom"/>
          </w:tcPr>
          <w:p w14:paraId="2EE89E3D" w14:textId="77777777" w:rsidR="00950301" w:rsidRPr="00CE769D" w:rsidRDefault="00950301" w:rsidP="00950301">
            <w:pPr>
              <w:jc w:val="center"/>
              <w:rPr>
                <w:rFonts w:ascii="Times New Roman" w:hAnsi="Times New Roman" w:cs="Times New Roman"/>
                <w:color w:val="000000"/>
              </w:rPr>
            </w:pPr>
            <w:r w:rsidRPr="00CE769D">
              <w:rPr>
                <w:rFonts w:ascii="Times New Roman" w:hAnsi="Times New Roman" w:cs="Times New Roman"/>
                <w:color w:val="000000"/>
              </w:rPr>
              <w:t>43.78</w:t>
            </w:r>
          </w:p>
        </w:tc>
      </w:tr>
      <w:tr w:rsidR="00950301" w:rsidRPr="00CE769D" w14:paraId="66A80A75" w14:textId="77777777" w:rsidTr="00CF6C3F">
        <w:tc>
          <w:tcPr>
            <w:tcW w:w="2829" w:type="dxa"/>
            <w:vAlign w:val="center"/>
          </w:tcPr>
          <w:p w14:paraId="270B5C90"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Lach</w:t>
            </w:r>
          </w:p>
        </w:tc>
        <w:tc>
          <w:tcPr>
            <w:tcW w:w="2829" w:type="dxa"/>
            <w:vAlign w:val="bottom"/>
          </w:tcPr>
          <w:p w14:paraId="79EADA3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82.01</w:t>
            </w:r>
          </w:p>
        </w:tc>
        <w:tc>
          <w:tcPr>
            <w:tcW w:w="2829" w:type="dxa"/>
            <w:vAlign w:val="center"/>
          </w:tcPr>
          <w:p w14:paraId="41C2BBB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41.73</w:t>
            </w:r>
          </w:p>
        </w:tc>
      </w:tr>
      <w:tr w:rsidR="00950301" w:rsidRPr="00CE769D" w14:paraId="50FA9D94" w14:textId="77777777" w:rsidTr="00CF6C3F">
        <w:tc>
          <w:tcPr>
            <w:tcW w:w="2829" w:type="dxa"/>
            <w:vAlign w:val="center"/>
          </w:tcPr>
          <w:p w14:paraId="57A6266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Guzriyal</w:t>
            </w:r>
            <w:proofErr w:type="spellEnd"/>
          </w:p>
        </w:tc>
        <w:tc>
          <w:tcPr>
            <w:tcW w:w="2829" w:type="dxa"/>
            <w:vAlign w:val="bottom"/>
          </w:tcPr>
          <w:p w14:paraId="1C1D5AC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54.18</w:t>
            </w:r>
          </w:p>
        </w:tc>
        <w:tc>
          <w:tcPr>
            <w:tcW w:w="2829" w:type="dxa"/>
            <w:vAlign w:val="center"/>
          </w:tcPr>
          <w:p w14:paraId="2D31223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53.14</w:t>
            </w:r>
          </w:p>
        </w:tc>
      </w:tr>
      <w:tr w:rsidR="00950301" w:rsidRPr="00CE769D" w14:paraId="72C208A2" w14:textId="77777777" w:rsidTr="00CF6C3F">
        <w:tc>
          <w:tcPr>
            <w:tcW w:w="2829" w:type="dxa"/>
            <w:vAlign w:val="center"/>
          </w:tcPr>
          <w:p w14:paraId="397C0B6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Shatgund</w:t>
            </w:r>
            <w:proofErr w:type="spellEnd"/>
          </w:p>
        </w:tc>
        <w:tc>
          <w:tcPr>
            <w:tcW w:w="2829" w:type="dxa"/>
            <w:vAlign w:val="bottom"/>
          </w:tcPr>
          <w:p w14:paraId="66CF84E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50.19</w:t>
            </w:r>
          </w:p>
        </w:tc>
        <w:tc>
          <w:tcPr>
            <w:tcW w:w="2829" w:type="dxa"/>
            <w:vAlign w:val="center"/>
          </w:tcPr>
          <w:p w14:paraId="422A7B1E"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57.34</w:t>
            </w:r>
          </w:p>
        </w:tc>
      </w:tr>
      <w:tr w:rsidR="00950301" w:rsidRPr="00CE769D" w14:paraId="1C109736" w14:textId="77777777" w:rsidTr="00CF6C3F">
        <w:tc>
          <w:tcPr>
            <w:tcW w:w="2829" w:type="dxa"/>
            <w:vAlign w:val="center"/>
          </w:tcPr>
          <w:p w14:paraId="18D22DC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Gulgam</w:t>
            </w:r>
            <w:proofErr w:type="spellEnd"/>
          </w:p>
        </w:tc>
        <w:tc>
          <w:tcPr>
            <w:tcW w:w="2829" w:type="dxa"/>
            <w:vAlign w:val="bottom"/>
          </w:tcPr>
          <w:p w14:paraId="5233201B"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70.34</w:t>
            </w:r>
          </w:p>
        </w:tc>
        <w:tc>
          <w:tcPr>
            <w:tcW w:w="2829" w:type="dxa"/>
            <w:vAlign w:val="center"/>
          </w:tcPr>
          <w:p w14:paraId="0E638C7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47.21</w:t>
            </w:r>
          </w:p>
        </w:tc>
      </w:tr>
      <w:tr w:rsidR="00950301" w:rsidRPr="00CE769D" w14:paraId="7ED26051" w14:textId="77777777" w:rsidTr="00CF6C3F">
        <w:tc>
          <w:tcPr>
            <w:tcW w:w="2829" w:type="dxa"/>
            <w:vAlign w:val="center"/>
          </w:tcPr>
          <w:p w14:paraId="4385AE4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Mawer</w:t>
            </w:r>
          </w:p>
        </w:tc>
        <w:tc>
          <w:tcPr>
            <w:tcW w:w="2829" w:type="dxa"/>
            <w:vAlign w:val="bottom"/>
          </w:tcPr>
          <w:p w14:paraId="7A7B0A4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45.02</w:t>
            </w:r>
          </w:p>
        </w:tc>
        <w:tc>
          <w:tcPr>
            <w:tcW w:w="2829" w:type="dxa"/>
            <w:vAlign w:val="center"/>
          </w:tcPr>
          <w:p w14:paraId="5D46C3C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62.9</w:t>
            </w:r>
          </w:p>
        </w:tc>
      </w:tr>
      <w:tr w:rsidR="00950301" w:rsidRPr="00CE769D" w14:paraId="65A35883" w14:textId="77777777" w:rsidTr="00CF6C3F">
        <w:tc>
          <w:tcPr>
            <w:tcW w:w="2829" w:type="dxa"/>
            <w:vAlign w:val="center"/>
          </w:tcPr>
          <w:p w14:paraId="67C60340"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Shanoo</w:t>
            </w:r>
          </w:p>
        </w:tc>
        <w:tc>
          <w:tcPr>
            <w:tcW w:w="2829" w:type="dxa"/>
            <w:vAlign w:val="bottom"/>
          </w:tcPr>
          <w:p w14:paraId="3277A9F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82.92</w:t>
            </w:r>
          </w:p>
        </w:tc>
        <w:tc>
          <w:tcPr>
            <w:tcW w:w="2829" w:type="dxa"/>
            <w:vAlign w:val="center"/>
          </w:tcPr>
          <w:p w14:paraId="33BFF19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41.96</w:t>
            </w:r>
          </w:p>
        </w:tc>
      </w:tr>
      <w:tr w:rsidR="00950301" w:rsidRPr="00CE769D" w14:paraId="10A8484F" w14:textId="77777777" w:rsidTr="00CF6C3F">
        <w:tc>
          <w:tcPr>
            <w:tcW w:w="2829" w:type="dxa"/>
            <w:vAlign w:val="center"/>
          </w:tcPr>
          <w:p w14:paraId="468777B3"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Jaggerpora</w:t>
            </w:r>
            <w:proofErr w:type="spellEnd"/>
          </w:p>
        </w:tc>
        <w:tc>
          <w:tcPr>
            <w:tcW w:w="2829" w:type="dxa"/>
            <w:vAlign w:val="bottom"/>
          </w:tcPr>
          <w:p w14:paraId="5607ED4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68.29</w:t>
            </w:r>
          </w:p>
        </w:tc>
        <w:tc>
          <w:tcPr>
            <w:tcW w:w="2829" w:type="dxa"/>
            <w:vAlign w:val="center"/>
          </w:tcPr>
          <w:p w14:paraId="0925F80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52.51</w:t>
            </w:r>
          </w:p>
        </w:tc>
      </w:tr>
      <w:tr w:rsidR="00950301" w:rsidRPr="00CE769D" w14:paraId="7B29180B" w14:textId="77777777" w:rsidTr="00CF6C3F">
        <w:tc>
          <w:tcPr>
            <w:tcW w:w="2829" w:type="dxa"/>
            <w:vAlign w:val="center"/>
          </w:tcPr>
          <w:p w14:paraId="22EAC18A"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Mugalpora</w:t>
            </w:r>
            <w:proofErr w:type="spellEnd"/>
          </w:p>
        </w:tc>
        <w:tc>
          <w:tcPr>
            <w:tcW w:w="2829" w:type="dxa"/>
            <w:vAlign w:val="bottom"/>
          </w:tcPr>
          <w:p w14:paraId="230F7F8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51.93</w:t>
            </w:r>
          </w:p>
        </w:tc>
        <w:tc>
          <w:tcPr>
            <w:tcW w:w="2829" w:type="dxa"/>
            <w:vAlign w:val="center"/>
          </w:tcPr>
          <w:p w14:paraId="249B76C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40.55</w:t>
            </w:r>
          </w:p>
        </w:tc>
      </w:tr>
      <w:tr w:rsidR="00950301" w:rsidRPr="00CE769D" w14:paraId="0B3D0735" w14:textId="77777777" w:rsidTr="00CF6C3F">
        <w:tc>
          <w:tcPr>
            <w:tcW w:w="2829" w:type="dxa"/>
            <w:vAlign w:val="center"/>
          </w:tcPr>
          <w:p w14:paraId="728C5714"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Goose</w:t>
            </w:r>
          </w:p>
        </w:tc>
        <w:tc>
          <w:tcPr>
            <w:tcW w:w="2829" w:type="dxa"/>
            <w:vAlign w:val="bottom"/>
          </w:tcPr>
          <w:p w14:paraId="0CF5887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78.02</w:t>
            </w:r>
          </w:p>
        </w:tc>
        <w:tc>
          <w:tcPr>
            <w:tcW w:w="2829" w:type="dxa"/>
            <w:vAlign w:val="center"/>
          </w:tcPr>
          <w:p w14:paraId="4281DE6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w:t>
            </w:r>
          </w:p>
        </w:tc>
      </w:tr>
      <w:tr w:rsidR="00950301" w:rsidRPr="00CE769D" w14:paraId="429ABBCD" w14:textId="77777777" w:rsidTr="00CF6C3F">
        <w:tc>
          <w:tcPr>
            <w:tcW w:w="2829" w:type="dxa"/>
            <w:vAlign w:val="center"/>
          </w:tcPr>
          <w:p w14:paraId="3F4A392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Hafrada</w:t>
            </w:r>
            <w:proofErr w:type="spellEnd"/>
          </w:p>
        </w:tc>
        <w:tc>
          <w:tcPr>
            <w:tcW w:w="2829" w:type="dxa"/>
            <w:vAlign w:val="bottom"/>
          </w:tcPr>
          <w:p w14:paraId="1D801A5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67E33E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31F7E922" w14:textId="77777777" w:rsidTr="00CF6C3F">
        <w:tc>
          <w:tcPr>
            <w:tcW w:w="2829" w:type="dxa"/>
            <w:vAlign w:val="center"/>
          </w:tcPr>
          <w:p w14:paraId="452383D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Langate</w:t>
            </w:r>
            <w:proofErr w:type="spellEnd"/>
          </w:p>
        </w:tc>
        <w:tc>
          <w:tcPr>
            <w:tcW w:w="2829" w:type="dxa"/>
            <w:vAlign w:val="bottom"/>
          </w:tcPr>
          <w:p w14:paraId="7E86675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52.96</w:t>
            </w:r>
          </w:p>
        </w:tc>
        <w:tc>
          <w:tcPr>
            <w:tcW w:w="2829" w:type="dxa"/>
            <w:vAlign w:val="center"/>
          </w:tcPr>
          <w:p w14:paraId="053734F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44.24</w:t>
            </w:r>
          </w:p>
        </w:tc>
      </w:tr>
      <w:tr w:rsidR="00950301" w:rsidRPr="00CE769D" w14:paraId="717747B8" w14:textId="77777777" w:rsidTr="00CF6C3F">
        <w:tc>
          <w:tcPr>
            <w:tcW w:w="2829" w:type="dxa"/>
            <w:vAlign w:val="center"/>
          </w:tcPr>
          <w:p w14:paraId="0EB78B6E"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Hatmulla</w:t>
            </w:r>
            <w:proofErr w:type="spellEnd"/>
          </w:p>
        </w:tc>
        <w:tc>
          <w:tcPr>
            <w:tcW w:w="2829" w:type="dxa"/>
            <w:vAlign w:val="bottom"/>
          </w:tcPr>
          <w:p w14:paraId="326CB8C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68.29</w:t>
            </w:r>
          </w:p>
        </w:tc>
        <w:tc>
          <w:tcPr>
            <w:tcW w:w="2829" w:type="dxa"/>
            <w:vAlign w:val="center"/>
          </w:tcPr>
          <w:p w14:paraId="0FF97E8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43.92</w:t>
            </w:r>
          </w:p>
        </w:tc>
      </w:tr>
      <w:tr w:rsidR="00950301" w:rsidRPr="00CE769D" w14:paraId="7C177A47" w14:textId="77777777" w:rsidTr="00CF6C3F">
        <w:tc>
          <w:tcPr>
            <w:tcW w:w="2829" w:type="dxa"/>
            <w:vAlign w:val="center"/>
          </w:tcPr>
          <w:p w14:paraId="08075FC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Kandi Khas</w:t>
            </w:r>
          </w:p>
        </w:tc>
        <w:tc>
          <w:tcPr>
            <w:tcW w:w="2829" w:type="dxa"/>
            <w:vAlign w:val="bottom"/>
          </w:tcPr>
          <w:p w14:paraId="1DF1E13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72.19</w:t>
            </w:r>
          </w:p>
        </w:tc>
        <w:tc>
          <w:tcPr>
            <w:tcW w:w="2829" w:type="dxa"/>
            <w:vAlign w:val="center"/>
          </w:tcPr>
          <w:p w14:paraId="63598385"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51.73</w:t>
            </w:r>
          </w:p>
        </w:tc>
      </w:tr>
      <w:tr w:rsidR="00950301" w:rsidRPr="00CE769D" w14:paraId="6F22A1EE" w14:textId="77777777" w:rsidTr="00CF6C3F">
        <w:tc>
          <w:tcPr>
            <w:tcW w:w="2829" w:type="dxa"/>
            <w:vAlign w:val="center"/>
          </w:tcPr>
          <w:p w14:paraId="2BBAE46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Sogam</w:t>
            </w:r>
            <w:proofErr w:type="spellEnd"/>
          </w:p>
        </w:tc>
        <w:tc>
          <w:tcPr>
            <w:tcW w:w="2829" w:type="dxa"/>
            <w:vAlign w:val="bottom"/>
          </w:tcPr>
          <w:p w14:paraId="3BD887B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82.31</w:t>
            </w:r>
          </w:p>
        </w:tc>
        <w:tc>
          <w:tcPr>
            <w:tcW w:w="2829" w:type="dxa"/>
            <w:vAlign w:val="center"/>
          </w:tcPr>
          <w:p w14:paraId="7CDAC0C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41.96</w:t>
            </w:r>
          </w:p>
        </w:tc>
      </w:tr>
      <w:tr w:rsidR="00950301" w:rsidRPr="00CE769D" w14:paraId="02DF097E" w14:textId="77777777" w:rsidTr="00CF6C3F">
        <w:tc>
          <w:tcPr>
            <w:tcW w:w="2829" w:type="dxa"/>
            <w:vAlign w:val="center"/>
          </w:tcPr>
          <w:p w14:paraId="1EAB093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Gundmancher</w:t>
            </w:r>
            <w:proofErr w:type="spellEnd"/>
          </w:p>
        </w:tc>
        <w:tc>
          <w:tcPr>
            <w:tcW w:w="2829" w:type="dxa"/>
            <w:vAlign w:val="bottom"/>
          </w:tcPr>
          <w:p w14:paraId="228E6B0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65.18</w:t>
            </w:r>
          </w:p>
        </w:tc>
        <w:tc>
          <w:tcPr>
            <w:tcW w:w="2829" w:type="dxa"/>
            <w:vAlign w:val="center"/>
          </w:tcPr>
          <w:p w14:paraId="4CAC239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51.54</w:t>
            </w:r>
          </w:p>
        </w:tc>
      </w:tr>
      <w:tr w:rsidR="00950301" w:rsidRPr="00CE769D" w14:paraId="31E2DE06" w14:textId="77777777" w:rsidTr="00CF6C3F">
        <w:tc>
          <w:tcPr>
            <w:tcW w:w="2829" w:type="dxa"/>
            <w:vAlign w:val="center"/>
          </w:tcPr>
          <w:p w14:paraId="417BD6E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Trehgam</w:t>
            </w:r>
            <w:proofErr w:type="spellEnd"/>
          </w:p>
        </w:tc>
        <w:tc>
          <w:tcPr>
            <w:tcW w:w="2829" w:type="dxa"/>
            <w:vAlign w:val="bottom"/>
          </w:tcPr>
          <w:p w14:paraId="46EF40B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82.72</w:t>
            </w:r>
          </w:p>
        </w:tc>
        <w:tc>
          <w:tcPr>
            <w:tcW w:w="2829" w:type="dxa"/>
            <w:vAlign w:val="center"/>
          </w:tcPr>
          <w:p w14:paraId="6393A30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60.12</w:t>
            </w:r>
          </w:p>
        </w:tc>
      </w:tr>
      <w:tr w:rsidR="00950301" w:rsidRPr="00CE769D" w14:paraId="7253AB64" w14:textId="77777777" w:rsidTr="00CF6C3F">
        <w:tc>
          <w:tcPr>
            <w:tcW w:w="2829" w:type="dxa"/>
            <w:vAlign w:val="center"/>
          </w:tcPr>
          <w:p w14:paraId="676C5DC6"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Ogabal</w:t>
            </w:r>
            <w:proofErr w:type="spellEnd"/>
          </w:p>
        </w:tc>
        <w:tc>
          <w:tcPr>
            <w:tcW w:w="2829" w:type="dxa"/>
            <w:vAlign w:val="bottom"/>
          </w:tcPr>
          <w:p w14:paraId="43566DB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70.27</w:t>
            </w:r>
          </w:p>
        </w:tc>
        <w:tc>
          <w:tcPr>
            <w:tcW w:w="2829" w:type="dxa"/>
            <w:vAlign w:val="center"/>
          </w:tcPr>
          <w:p w14:paraId="65BBD7D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54.67</w:t>
            </w:r>
          </w:p>
        </w:tc>
      </w:tr>
      <w:tr w:rsidR="00950301" w:rsidRPr="00CE769D" w14:paraId="465A332A" w14:textId="77777777" w:rsidTr="00CF6C3F">
        <w:tc>
          <w:tcPr>
            <w:tcW w:w="2829" w:type="dxa"/>
            <w:vAlign w:val="center"/>
          </w:tcPr>
          <w:p w14:paraId="0EE31132"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Haril</w:t>
            </w:r>
          </w:p>
        </w:tc>
        <w:tc>
          <w:tcPr>
            <w:tcW w:w="2829" w:type="dxa"/>
            <w:vAlign w:val="bottom"/>
          </w:tcPr>
          <w:p w14:paraId="3817540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81.91</w:t>
            </w:r>
          </w:p>
        </w:tc>
        <w:tc>
          <w:tcPr>
            <w:tcW w:w="2829" w:type="dxa"/>
            <w:vAlign w:val="center"/>
          </w:tcPr>
          <w:p w14:paraId="71FE5D9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58.48</w:t>
            </w:r>
          </w:p>
        </w:tc>
      </w:tr>
      <w:tr w:rsidR="00950301" w:rsidRPr="00CE769D" w14:paraId="3BFE4088" w14:textId="77777777" w:rsidTr="00CF6C3F">
        <w:tc>
          <w:tcPr>
            <w:tcW w:w="2829" w:type="dxa"/>
            <w:vAlign w:val="center"/>
          </w:tcPr>
          <w:p w14:paraId="0D69B817"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Halmantpora</w:t>
            </w:r>
            <w:proofErr w:type="spellEnd"/>
          </w:p>
        </w:tc>
        <w:tc>
          <w:tcPr>
            <w:tcW w:w="2829" w:type="dxa"/>
            <w:vAlign w:val="bottom"/>
          </w:tcPr>
          <w:p w14:paraId="2BC7F81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47.86</w:t>
            </w:r>
          </w:p>
        </w:tc>
        <w:tc>
          <w:tcPr>
            <w:tcW w:w="2829" w:type="dxa"/>
            <w:vAlign w:val="center"/>
          </w:tcPr>
          <w:p w14:paraId="3184500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50.11</w:t>
            </w:r>
          </w:p>
        </w:tc>
      </w:tr>
      <w:tr w:rsidR="00950301" w:rsidRPr="00CE769D" w14:paraId="0703163B" w14:textId="77777777" w:rsidTr="00CF6C3F">
        <w:tc>
          <w:tcPr>
            <w:tcW w:w="2829" w:type="dxa"/>
            <w:vAlign w:val="center"/>
          </w:tcPr>
          <w:p w14:paraId="23FE792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Kachi Hama</w:t>
            </w:r>
          </w:p>
        </w:tc>
        <w:tc>
          <w:tcPr>
            <w:tcW w:w="2829" w:type="dxa"/>
            <w:vAlign w:val="bottom"/>
          </w:tcPr>
          <w:p w14:paraId="747A752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75.1</w:t>
            </w:r>
          </w:p>
        </w:tc>
        <w:tc>
          <w:tcPr>
            <w:tcW w:w="2829" w:type="dxa"/>
            <w:vAlign w:val="center"/>
          </w:tcPr>
          <w:p w14:paraId="18EE3F6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52.53</w:t>
            </w:r>
          </w:p>
        </w:tc>
      </w:tr>
      <w:tr w:rsidR="00950301" w:rsidRPr="00CE769D" w14:paraId="5D42A818" w14:textId="77777777" w:rsidTr="00CF6C3F">
        <w:tc>
          <w:tcPr>
            <w:tcW w:w="2829" w:type="dxa"/>
            <w:vAlign w:val="center"/>
          </w:tcPr>
          <w:p w14:paraId="1C7897A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Hangalkoot</w:t>
            </w:r>
            <w:proofErr w:type="spellEnd"/>
          </w:p>
        </w:tc>
        <w:tc>
          <w:tcPr>
            <w:tcW w:w="2829" w:type="dxa"/>
            <w:vAlign w:val="bottom"/>
          </w:tcPr>
          <w:p w14:paraId="595F6AD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65.49</w:t>
            </w:r>
          </w:p>
        </w:tc>
        <w:tc>
          <w:tcPr>
            <w:tcW w:w="2829" w:type="dxa"/>
            <w:vAlign w:val="center"/>
          </w:tcPr>
          <w:p w14:paraId="3C928D4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62.9</w:t>
            </w:r>
          </w:p>
        </w:tc>
      </w:tr>
      <w:tr w:rsidR="00950301" w:rsidRPr="00CE769D" w14:paraId="6AA3615E" w14:textId="77777777" w:rsidTr="00713A3D">
        <w:tc>
          <w:tcPr>
            <w:tcW w:w="2829" w:type="dxa"/>
            <w:vAlign w:val="center"/>
          </w:tcPr>
          <w:p w14:paraId="61378F9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Krihimpora</w:t>
            </w:r>
            <w:proofErr w:type="spellEnd"/>
          </w:p>
        </w:tc>
        <w:tc>
          <w:tcPr>
            <w:tcW w:w="2829" w:type="dxa"/>
            <w:vAlign w:val="bottom"/>
          </w:tcPr>
          <w:p w14:paraId="2B8D4D48"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70.19</w:t>
            </w:r>
          </w:p>
        </w:tc>
        <w:tc>
          <w:tcPr>
            <w:tcW w:w="2829" w:type="dxa"/>
            <w:vAlign w:val="bottom"/>
          </w:tcPr>
          <w:p w14:paraId="66DA956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45.96</w:t>
            </w:r>
          </w:p>
        </w:tc>
      </w:tr>
      <w:tr w:rsidR="00950301" w:rsidRPr="00CE769D" w14:paraId="05042B88" w14:textId="77777777" w:rsidTr="00CF6C3F">
        <w:tc>
          <w:tcPr>
            <w:tcW w:w="2829" w:type="dxa"/>
            <w:vAlign w:val="center"/>
          </w:tcPr>
          <w:p w14:paraId="18DB4D22"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Marble Colony</w:t>
            </w:r>
          </w:p>
        </w:tc>
        <w:tc>
          <w:tcPr>
            <w:tcW w:w="2829" w:type="dxa"/>
            <w:vAlign w:val="bottom"/>
          </w:tcPr>
          <w:p w14:paraId="302AE01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77E41B9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62.39</w:t>
            </w:r>
          </w:p>
        </w:tc>
      </w:tr>
      <w:tr w:rsidR="00950301" w:rsidRPr="00CE769D" w14:paraId="56DE0973" w14:textId="77777777" w:rsidTr="00CF6C3F">
        <w:tc>
          <w:tcPr>
            <w:tcW w:w="2829" w:type="dxa"/>
            <w:vAlign w:val="center"/>
          </w:tcPr>
          <w:p w14:paraId="0C06BDA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Bumhama</w:t>
            </w:r>
            <w:proofErr w:type="spellEnd"/>
          </w:p>
        </w:tc>
        <w:tc>
          <w:tcPr>
            <w:tcW w:w="2829" w:type="dxa"/>
            <w:vAlign w:val="bottom"/>
          </w:tcPr>
          <w:p w14:paraId="79A565F5" w14:textId="77777777" w:rsidR="00950301" w:rsidRPr="00CE769D" w:rsidRDefault="00950301">
            <w:pPr>
              <w:jc w:val="center"/>
              <w:rPr>
                <w:rFonts w:ascii="Times New Roman" w:hAnsi="Times New Roman" w:cs="Times New Roman"/>
              </w:rPr>
            </w:pPr>
            <w:r w:rsidRPr="00CE769D">
              <w:rPr>
                <w:rFonts w:ascii="Times New Roman" w:hAnsi="Times New Roman" w:cs="Times New Roman"/>
              </w:rPr>
              <w:t>71.29</w:t>
            </w:r>
          </w:p>
        </w:tc>
        <w:tc>
          <w:tcPr>
            <w:tcW w:w="2829" w:type="dxa"/>
            <w:vAlign w:val="center"/>
          </w:tcPr>
          <w:p w14:paraId="5945691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50.87</w:t>
            </w:r>
          </w:p>
        </w:tc>
      </w:tr>
      <w:tr w:rsidR="00950301" w:rsidRPr="00CE769D" w14:paraId="2F965452" w14:textId="77777777" w:rsidTr="00CF6C3F">
        <w:tc>
          <w:tcPr>
            <w:tcW w:w="2829" w:type="dxa"/>
            <w:vAlign w:val="center"/>
          </w:tcPr>
          <w:p w14:paraId="1F1D560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Chandigam</w:t>
            </w:r>
            <w:proofErr w:type="spellEnd"/>
          </w:p>
        </w:tc>
        <w:tc>
          <w:tcPr>
            <w:tcW w:w="2829" w:type="dxa"/>
            <w:vAlign w:val="bottom"/>
          </w:tcPr>
          <w:p w14:paraId="437AD8F6"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82.83</w:t>
            </w:r>
          </w:p>
        </w:tc>
        <w:tc>
          <w:tcPr>
            <w:tcW w:w="2829" w:type="dxa"/>
            <w:vAlign w:val="center"/>
          </w:tcPr>
          <w:p w14:paraId="5AE21D9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61.73</w:t>
            </w:r>
          </w:p>
        </w:tc>
      </w:tr>
      <w:tr w:rsidR="00950301" w:rsidRPr="00CE769D" w14:paraId="30932A0F" w14:textId="77777777" w:rsidTr="00713A3D">
        <w:tc>
          <w:tcPr>
            <w:tcW w:w="2829" w:type="dxa"/>
            <w:vAlign w:val="center"/>
          </w:tcPr>
          <w:p w14:paraId="352D8A2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lastRenderedPageBreak/>
              <w:t>Dedikoot</w:t>
            </w:r>
            <w:proofErr w:type="spellEnd"/>
          </w:p>
        </w:tc>
        <w:tc>
          <w:tcPr>
            <w:tcW w:w="2829" w:type="dxa"/>
            <w:vAlign w:val="bottom"/>
          </w:tcPr>
          <w:p w14:paraId="2F1AEFF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65.49</w:t>
            </w:r>
          </w:p>
        </w:tc>
        <w:tc>
          <w:tcPr>
            <w:tcW w:w="2829" w:type="dxa"/>
            <w:vAlign w:val="bottom"/>
          </w:tcPr>
          <w:p w14:paraId="37757841" w14:textId="77777777" w:rsidR="00950301" w:rsidRPr="00CE769D" w:rsidRDefault="00950301" w:rsidP="00950301">
            <w:pPr>
              <w:jc w:val="center"/>
              <w:rPr>
                <w:rFonts w:ascii="Times New Roman" w:hAnsi="Times New Roman" w:cs="Times New Roman"/>
                <w:color w:val="000000"/>
              </w:rPr>
            </w:pPr>
            <w:r w:rsidRPr="00CE769D">
              <w:rPr>
                <w:rFonts w:ascii="Times New Roman" w:hAnsi="Times New Roman" w:cs="Times New Roman"/>
                <w:color w:val="000000"/>
              </w:rPr>
              <w:t>43.78</w:t>
            </w:r>
          </w:p>
        </w:tc>
      </w:tr>
      <w:tr w:rsidR="00950301" w:rsidRPr="00CE769D" w14:paraId="2BD925D6" w14:textId="77777777" w:rsidTr="00CF6C3F">
        <w:tc>
          <w:tcPr>
            <w:tcW w:w="2829" w:type="dxa"/>
            <w:vAlign w:val="center"/>
          </w:tcPr>
          <w:p w14:paraId="18C1502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Anderhama</w:t>
            </w:r>
            <w:proofErr w:type="spellEnd"/>
          </w:p>
        </w:tc>
        <w:tc>
          <w:tcPr>
            <w:tcW w:w="2829" w:type="dxa"/>
            <w:vAlign w:val="bottom"/>
          </w:tcPr>
          <w:p w14:paraId="4B2BAAD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65.43</w:t>
            </w:r>
          </w:p>
        </w:tc>
        <w:tc>
          <w:tcPr>
            <w:tcW w:w="2829" w:type="dxa"/>
            <w:vAlign w:val="center"/>
          </w:tcPr>
          <w:p w14:paraId="65453A4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74.53</w:t>
            </w:r>
          </w:p>
        </w:tc>
      </w:tr>
      <w:tr w:rsidR="00950301" w:rsidRPr="00CE769D" w14:paraId="5BD8DAEF" w14:textId="77777777" w:rsidTr="00CF6C3F">
        <w:tc>
          <w:tcPr>
            <w:tcW w:w="2829" w:type="dxa"/>
            <w:vAlign w:val="center"/>
          </w:tcPr>
          <w:p w14:paraId="448D4222"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Punzwa</w:t>
            </w:r>
            <w:proofErr w:type="spellEnd"/>
          </w:p>
        </w:tc>
        <w:tc>
          <w:tcPr>
            <w:tcW w:w="2829" w:type="dxa"/>
            <w:vAlign w:val="bottom"/>
          </w:tcPr>
          <w:p w14:paraId="7A2EDF7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69.42</w:t>
            </w:r>
          </w:p>
        </w:tc>
        <w:tc>
          <w:tcPr>
            <w:tcW w:w="2829" w:type="dxa"/>
            <w:vAlign w:val="center"/>
          </w:tcPr>
          <w:p w14:paraId="733F3B75"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40.31</w:t>
            </w:r>
          </w:p>
        </w:tc>
      </w:tr>
      <w:tr w:rsidR="00950301" w:rsidRPr="00CE769D" w14:paraId="43499EFA" w14:textId="77777777" w:rsidTr="00CF6C3F">
        <w:tc>
          <w:tcPr>
            <w:tcW w:w="2829" w:type="dxa"/>
            <w:vAlign w:val="center"/>
          </w:tcPr>
          <w:p w14:paraId="2953DE2A"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Shumnag</w:t>
            </w:r>
            <w:proofErr w:type="spellEnd"/>
          </w:p>
        </w:tc>
        <w:tc>
          <w:tcPr>
            <w:tcW w:w="2829" w:type="dxa"/>
            <w:vAlign w:val="bottom"/>
          </w:tcPr>
          <w:p w14:paraId="117EB4D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59.93</w:t>
            </w:r>
          </w:p>
        </w:tc>
        <w:tc>
          <w:tcPr>
            <w:tcW w:w="2829" w:type="dxa"/>
            <w:vAlign w:val="center"/>
          </w:tcPr>
          <w:p w14:paraId="44EC962A"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47.21</w:t>
            </w:r>
          </w:p>
        </w:tc>
      </w:tr>
      <w:tr w:rsidR="00950301" w:rsidRPr="00CE769D" w14:paraId="0B28FF8F" w14:textId="77777777" w:rsidTr="00CF6C3F">
        <w:tc>
          <w:tcPr>
            <w:tcW w:w="2829" w:type="dxa"/>
            <w:vAlign w:val="center"/>
          </w:tcPr>
          <w:p w14:paraId="7A64AEDD"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Daril</w:t>
            </w:r>
          </w:p>
        </w:tc>
        <w:tc>
          <w:tcPr>
            <w:tcW w:w="2829" w:type="dxa"/>
            <w:vAlign w:val="bottom"/>
          </w:tcPr>
          <w:p w14:paraId="0395508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82.12</w:t>
            </w:r>
          </w:p>
        </w:tc>
        <w:tc>
          <w:tcPr>
            <w:tcW w:w="2829" w:type="dxa"/>
            <w:vAlign w:val="center"/>
          </w:tcPr>
          <w:p w14:paraId="123EB81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59.04</w:t>
            </w:r>
          </w:p>
        </w:tc>
      </w:tr>
      <w:tr w:rsidR="00950301" w:rsidRPr="00CE769D" w14:paraId="707F9614" w14:textId="77777777" w:rsidTr="00CF6C3F">
        <w:tc>
          <w:tcPr>
            <w:tcW w:w="2829" w:type="dxa"/>
            <w:vAlign w:val="center"/>
          </w:tcPr>
          <w:p w14:paraId="3EE0C31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Meelyal</w:t>
            </w:r>
            <w:proofErr w:type="spellEnd"/>
          </w:p>
        </w:tc>
        <w:tc>
          <w:tcPr>
            <w:tcW w:w="2829" w:type="dxa"/>
            <w:vAlign w:val="bottom"/>
          </w:tcPr>
          <w:p w14:paraId="4FA89D9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68.24</w:t>
            </w:r>
          </w:p>
        </w:tc>
        <w:tc>
          <w:tcPr>
            <w:tcW w:w="2829" w:type="dxa"/>
            <w:vAlign w:val="center"/>
          </w:tcPr>
          <w:p w14:paraId="12B2CD6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64.53</w:t>
            </w:r>
          </w:p>
        </w:tc>
      </w:tr>
      <w:tr w:rsidR="00950301" w:rsidRPr="00CE769D" w14:paraId="31AA2EA0" w14:textId="77777777" w:rsidTr="00CF6C3F">
        <w:tc>
          <w:tcPr>
            <w:tcW w:w="2829" w:type="dxa"/>
            <w:vAlign w:val="center"/>
          </w:tcPr>
          <w:p w14:paraId="69AD620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Putushy</w:t>
            </w:r>
            <w:proofErr w:type="spellEnd"/>
          </w:p>
        </w:tc>
        <w:tc>
          <w:tcPr>
            <w:tcW w:w="2829" w:type="dxa"/>
            <w:vAlign w:val="bottom"/>
          </w:tcPr>
          <w:p w14:paraId="3B9725A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55.93</w:t>
            </w:r>
          </w:p>
        </w:tc>
        <w:tc>
          <w:tcPr>
            <w:tcW w:w="2829" w:type="dxa"/>
            <w:vAlign w:val="center"/>
          </w:tcPr>
          <w:p w14:paraId="308D23F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40.31</w:t>
            </w:r>
          </w:p>
        </w:tc>
      </w:tr>
      <w:tr w:rsidR="00950301" w:rsidRPr="00CE769D" w14:paraId="2D8F068D" w14:textId="77777777" w:rsidTr="00CF6C3F">
        <w:tc>
          <w:tcPr>
            <w:tcW w:w="2829" w:type="dxa"/>
            <w:vAlign w:val="center"/>
          </w:tcPr>
          <w:p w14:paraId="68CB6CD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Awoora</w:t>
            </w:r>
            <w:proofErr w:type="spellEnd"/>
          </w:p>
        </w:tc>
        <w:tc>
          <w:tcPr>
            <w:tcW w:w="2829" w:type="dxa"/>
            <w:vAlign w:val="bottom"/>
          </w:tcPr>
          <w:p w14:paraId="5F1A6CB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77.19</w:t>
            </w:r>
          </w:p>
        </w:tc>
        <w:tc>
          <w:tcPr>
            <w:tcW w:w="2829" w:type="dxa"/>
            <w:vAlign w:val="center"/>
          </w:tcPr>
          <w:p w14:paraId="13C9535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w:t>
            </w:r>
          </w:p>
        </w:tc>
      </w:tr>
      <w:tr w:rsidR="00950301" w:rsidRPr="00CE769D" w14:paraId="3DE3F495" w14:textId="77777777" w:rsidTr="00CF6C3F">
        <w:tc>
          <w:tcPr>
            <w:tcW w:w="2829" w:type="dxa"/>
            <w:vAlign w:val="center"/>
          </w:tcPr>
          <w:p w14:paraId="62FB0FC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Chipeer</w:t>
            </w:r>
            <w:proofErr w:type="spellEnd"/>
          </w:p>
        </w:tc>
        <w:tc>
          <w:tcPr>
            <w:tcW w:w="2829" w:type="dxa"/>
            <w:vAlign w:val="bottom"/>
          </w:tcPr>
          <w:p w14:paraId="549A681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49.82</w:t>
            </w:r>
          </w:p>
        </w:tc>
        <w:tc>
          <w:tcPr>
            <w:tcW w:w="2829" w:type="dxa"/>
            <w:vAlign w:val="center"/>
          </w:tcPr>
          <w:p w14:paraId="4297354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54.76</w:t>
            </w:r>
          </w:p>
        </w:tc>
      </w:tr>
      <w:tr w:rsidR="00950301" w:rsidRPr="00CE769D" w14:paraId="4296B881" w14:textId="77777777" w:rsidTr="00CF6C3F">
        <w:tc>
          <w:tcPr>
            <w:tcW w:w="2829" w:type="dxa"/>
            <w:vAlign w:val="center"/>
          </w:tcPr>
          <w:p w14:paraId="6D2AC168"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Dedi Koot</w:t>
            </w:r>
          </w:p>
        </w:tc>
        <w:tc>
          <w:tcPr>
            <w:tcW w:w="2829" w:type="dxa"/>
            <w:vAlign w:val="bottom"/>
          </w:tcPr>
          <w:p w14:paraId="1C4AA55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72.18</w:t>
            </w:r>
          </w:p>
        </w:tc>
        <w:tc>
          <w:tcPr>
            <w:tcW w:w="2829" w:type="dxa"/>
            <w:vAlign w:val="center"/>
          </w:tcPr>
          <w:p w14:paraId="76B616D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58.9</w:t>
            </w:r>
          </w:p>
        </w:tc>
      </w:tr>
      <w:tr w:rsidR="00950301" w:rsidRPr="00CE769D" w14:paraId="351CE9A7" w14:textId="77777777" w:rsidTr="00CF6C3F">
        <w:tc>
          <w:tcPr>
            <w:tcW w:w="2829" w:type="dxa"/>
            <w:vAlign w:val="center"/>
          </w:tcPr>
          <w:p w14:paraId="2B30FF83"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Dorusa</w:t>
            </w:r>
            <w:proofErr w:type="spellEnd"/>
          </w:p>
        </w:tc>
        <w:tc>
          <w:tcPr>
            <w:tcW w:w="2829" w:type="dxa"/>
            <w:vAlign w:val="bottom"/>
          </w:tcPr>
          <w:p w14:paraId="11C7057B"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82.62</w:t>
            </w:r>
          </w:p>
        </w:tc>
        <w:tc>
          <w:tcPr>
            <w:tcW w:w="2829" w:type="dxa"/>
            <w:vAlign w:val="center"/>
          </w:tcPr>
          <w:p w14:paraId="1B29FEB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51.73</w:t>
            </w:r>
          </w:p>
        </w:tc>
      </w:tr>
      <w:tr w:rsidR="00950301" w:rsidRPr="00CE769D" w14:paraId="0E266DA2" w14:textId="77777777" w:rsidTr="00CF6C3F">
        <w:tc>
          <w:tcPr>
            <w:tcW w:w="2829" w:type="dxa"/>
            <w:vAlign w:val="center"/>
          </w:tcPr>
          <w:p w14:paraId="313C703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Gungloosa</w:t>
            </w:r>
            <w:proofErr w:type="spellEnd"/>
          </w:p>
        </w:tc>
        <w:tc>
          <w:tcPr>
            <w:tcW w:w="2829" w:type="dxa"/>
            <w:vAlign w:val="bottom"/>
          </w:tcPr>
          <w:p w14:paraId="76AA42A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77.15</w:t>
            </w:r>
          </w:p>
        </w:tc>
        <w:tc>
          <w:tcPr>
            <w:tcW w:w="2829" w:type="dxa"/>
            <w:vAlign w:val="center"/>
          </w:tcPr>
          <w:p w14:paraId="7CCAE0FE"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54.88</w:t>
            </w:r>
          </w:p>
        </w:tc>
      </w:tr>
      <w:tr w:rsidR="00950301" w:rsidRPr="00CE769D" w14:paraId="68A3907A" w14:textId="77777777" w:rsidTr="00CF6C3F">
        <w:tc>
          <w:tcPr>
            <w:tcW w:w="2829" w:type="dxa"/>
            <w:vAlign w:val="center"/>
          </w:tcPr>
          <w:p w14:paraId="73488EF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Lawoosa</w:t>
            </w:r>
            <w:proofErr w:type="spellEnd"/>
          </w:p>
        </w:tc>
        <w:tc>
          <w:tcPr>
            <w:tcW w:w="2829" w:type="dxa"/>
            <w:vAlign w:val="bottom"/>
          </w:tcPr>
          <w:p w14:paraId="41A216B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53.93</w:t>
            </w:r>
          </w:p>
        </w:tc>
        <w:tc>
          <w:tcPr>
            <w:tcW w:w="2829" w:type="dxa"/>
            <w:vAlign w:val="center"/>
          </w:tcPr>
          <w:p w14:paraId="024D402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52.41</w:t>
            </w:r>
          </w:p>
        </w:tc>
      </w:tr>
      <w:tr w:rsidR="00950301" w:rsidRPr="00CE769D" w14:paraId="0F3EFE58" w14:textId="77777777" w:rsidTr="00CF6C3F">
        <w:tc>
          <w:tcPr>
            <w:tcW w:w="2829" w:type="dxa"/>
            <w:vAlign w:val="center"/>
          </w:tcPr>
          <w:p w14:paraId="65EA96E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Manigah</w:t>
            </w:r>
            <w:proofErr w:type="spellEnd"/>
          </w:p>
        </w:tc>
        <w:tc>
          <w:tcPr>
            <w:tcW w:w="2829" w:type="dxa"/>
            <w:vAlign w:val="bottom"/>
          </w:tcPr>
          <w:p w14:paraId="73AAF832"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72.29</w:t>
            </w:r>
          </w:p>
        </w:tc>
        <w:tc>
          <w:tcPr>
            <w:tcW w:w="2829" w:type="dxa"/>
            <w:vAlign w:val="center"/>
          </w:tcPr>
          <w:p w14:paraId="01009AC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40.53</w:t>
            </w:r>
          </w:p>
        </w:tc>
      </w:tr>
      <w:tr w:rsidR="00950301" w:rsidRPr="00CE769D" w14:paraId="27481A45" w14:textId="77777777" w:rsidTr="00CF6C3F">
        <w:tc>
          <w:tcPr>
            <w:tcW w:w="2829" w:type="dxa"/>
            <w:vAlign w:val="center"/>
          </w:tcPr>
          <w:p w14:paraId="7EB029F7"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Shatpora</w:t>
            </w:r>
            <w:proofErr w:type="spellEnd"/>
          </w:p>
        </w:tc>
        <w:tc>
          <w:tcPr>
            <w:tcW w:w="2829" w:type="dxa"/>
            <w:vAlign w:val="bottom"/>
          </w:tcPr>
          <w:p w14:paraId="4746F6AF"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80.12</w:t>
            </w:r>
          </w:p>
        </w:tc>
        <w:tc>
          <w:tcPr>
            <w:tcW w:w="2829" w:type="dxa"/>
            <w:vAlign w:val="center"/>
          </w:tcPr>
          <w:p w14:paraId="087262E2"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56.27</w:t>
            </w:r>
          </w:p>
        </w:tc>
      </w:tr>
      <w:tr w:rsidR="00950301" w:rsidRPr="00CE769D" w14:paraId="5D261849" w14:textId="77777777" w:rsidTr="00713A3D">
        <w:tc>
          <w:tcPr>
            <w:tcW w:w="2829" w:type="dxa"/>
            <w:vAlign w:val="center"/>
          </w:tcPr>
          <w:p w14:paraId="14249C5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Tarathpora</w:t>
            </w:r>
            <w:proofErr w:type="spellEnd"/>
          </w:p>
        </w:tc>
        <w:tc>
          <w:tcPr>
            <w:tcW w:w="2829" w:type="dxa"/>
            <w:vAlign w:val="bottom"/>
          </w:tcPr>
          <w:p w14:paraId="5B8D7B5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66.36</w:t>
            </w:r>
          </w:p>
        </w:tc>
        <w:tc>
          <w:tcPr>
            <w:tcW w:w="2829" w:type="dxa"/>
            <w:vAlign w:val="center"/>
          </w:tcPr>
          <w:p w14:paraId="5DC156A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61.08</w:t>
            </w:r>
          </w:p>
        </w:tc>
      </w:tr>
      <w:tr w:rsidR="00950301" w:rsidRPr="00CE769D" w14:paraId="1DD3B135" w14:textId="77777777" w:rsidTr="00CF6C3F">
        <w:tc>
          <w:tcPr>
            <w:tcW w:w="2829" w:type="dxa"/>
            <w:vAlign w:val="center"/>
          </w:tcPr>
          <w:p w14:paraId="197E9DA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Wayne</w:t>
            </w:r>
          </w:p>
        </w:tc>
        <w:tc>
          <w:tcPr>
            <w:tcW w:w="2829" w:type="dxa"/>
            <w:vAlign w:val="bottom"/>
          </w:tcPr>
          <w:p w14:paraId="29722605" w14:textId="77777777" w:rsidR="00950301" w:rsidRPr="00CE769D" w:rsidRDefault="00950301">
            <w:pPr>
              <w:jc w:val="center"/>
              <w:rPr>
                <w:rFonts w:ascii="Times New Roman" w:hAnsi="Times New Roman" w:cs="Times New Roman"/>
                <w:bCs/>
                <w:color w:val="000000"/>
              </w:rPr>
            </w:pPr>
            <w:r w:rsidRPr="00CE769D">
              <w:rPr>
                <w:rFonts w:ascii="Times New Roman" w:hAnsi="Times New Roman" w:cs="Times New Roman"/>
                <w:bCs/>
                <w:color w:val="000000"/>
              </w:rPr>
              <w:t>86.97</w:t>
            </w:r>
          </w:p>
        </w:tc>
        <w:tc>
          <w:tcPr>
            <w:tcW w:w="2829" w:type="dxa"/>
            <w:vAlign w:val="center"/>
          </w:tcPr>
          <w:p w14:paraId="1B29635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51.54</w:t>
            </w:r>
          </w:p>
        </w:tc>
      </w:tr>
      <w:tr w:rsidR="00950301" w:rsidRPr="00CE769D" w14:paraId="1FD522F7" w14:textId="77777777" w:rsidTr="00A63831">
        <w:tc>
          <w:tcPr>
            <w:tcW w:w="2829" w:type="dxa"/>
            <w:vAlign w:val="bottom"/>
          </w:tcPr>
          <w:p w14:paraId="5D41FA1F"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Mean</w:t>
            </w:r>
          </w:p>
        </w:tc>
        <w:tc>
          <w:tcPr>
            <w:tcW w:w="2829" w:type="dxa"/>
            <w:vAlign w:val="bottom"/>
          </w:tcPr>
          <w:p w14:paraId="4725561F"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69.26</w:t>
            </w:r>
          </w:p>
        </w:tc>
        <w:tc>
          <w:tcPr>
            <w:tcW w:w="2829" w:type="dxa"/>
            <w:vAlign w:val="bottom"/>
          </w:tcPr>
          <w:p w14:paraId="7E65BB73"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51.52</w:t>
            </w:r>
          </w:p>
        </w:tc>
      </w:tr>
      <w:tr w:rsidR="00950301" w:rsidRPr="00CE769D" w14:paraId="014D5E23" w14:textId="77777777" w:rsidTr="00A63831">
        <w:tc>
          <w:tcPr>
            <w:tcW w:w="2829" w:type="dxa"/>
            <w:vAlign w:val="bottom"/>
          </w:tcPr>
          <w:p w14:paraId="4EAB1EB1"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Standard Error</w:t>
            </w:r>
          </w:p>
        </w:tc>
        <w:tc>
          <w:tcPr>
            <w:tcW w:w="2829" w:type="dxa"/>
            <w:vAlign w:val="bottom"/>
          </w:tcPr>
          <w:p w14:paraId="15C558A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1.31</w:t>
            </w:r>
          </w:p>
        </w:tc>
        <w:tc>
          <w:tcPr>
            <w:tcW w:w="2829" w:type="dxa"/>
            <w:vAlign w:val="bottom"/>
          </w:tcPr>
          <w:p w14:paraId="4EE6A4C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0.96</w:t>
            </w:r>
          </w:p>
        </w:tc>
      </w:tr>
      <w:tr w:rsidR="00950301" w:rsidRPr="00CE769D" w14:paraId="7886C418" w14:textId="77777777" w:rsidTr="00A63831">
        <w:tc>
          <w:tcPr>
            <w:tcW w:w="2829" w:type="dxa"/>
            <w:vAlign w:val="bottom"/>
          </w:tcPr>
          <w:p w14:paraId="10211C64"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Standard Deviation</w:t>
            </w:r>
          </w:p>
        </w:tc>
        <w:tc>
          <w:tcPr>
            <w:tcW w:w="2829" w:type="dxa"/>
            <w:vAlign w:val="bottom"/>
          </w:tcPr>
          <w:p w14:paraId="614ADA3B"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10.06</w:t>
            </w:r>
          </w:p>
        </w:tc>
        <w:tc>
          <w:tcPr>
            <w:tcW w:w="2829" w:type="dxa"/>
            <w:vAlign w:val="bottom"/>
          </w:tcPr>
          <w:p w14:paraId="0FA2EDBA"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7.41</w:t>
            </w:r>
          </w:p>
        </w:tc>
      </w:tr>
      <w:tr w:rsidR="00950301" w:rsidRPr="00CE769D" w14:paraId="1AF40FD6" w14:textId="77777777" w:rsidTr="00A63831">
        <w:tc>
          <w:tcPr>
            <w:tcW w:w="2829" w:type="dxa"/>
            <w:vAlign w:val="bottom"/>
          </w:tcPr>
          <w:p w14:paraId="651DD084"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Minimum</w:t>
            </w:r>
          </w:p>
        </w:tc>
        <w:tc>
          <w:tcPr>
            <w:tcW w:w="2829" w:type="dxa"/>
            <w:vAlign w:val="bottom"/>
          </w:tcPr>
          <w:p w14:paraId="43D5454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45.02</w:t>
            </w:r>
          </w:p>
        </w:tc>
        <w:tc>
          <w:tcPr>
            <w:tcW w:w="2829" w:type="dxa"/>
            <w:vAlign w:val="bottom"/>
          </w:tcPr>
          <w:p w14:paraId="67CF68CB"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40.02</w:t>
            </w:r>
          </w:p>
        </w:tc>
      </w:tr>
      <w:tr w:rsidR="00950301" w:rsidRPr="00CE769D" w14:paraId="27A3FD3B" w14:textId="77777777" w:rsidTr="00A63831">
        <w:tc>
          <w:tcPr>
            <w:tcW w:w="2829" w:type="dxa"/>
            <w:vAlign w:val="bottom"/>
          </w:tcPr>
          <w:p w14:paraId="20104149"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Maximum</w:t>
            </w:r>
          </w:p>
        </w:tc>
        <w:tc>
          <w:tcPr>
            <w:tcW w:w="2829" w:type="dxa"/>
            <w:vAlign w:val="bottom"/>
          </w:tcPr>
          <w:p w14:paraId="2AA55E5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86.97</w:t>
            </w:r>
          </w:p>
        </w:tc>
        <w:tc>
          <w:tcPr>
            <w:tcW w:w="2829" w:type="dxa"/>
            <w:vAlign w:val="bottom"/>
          </w:tcPr>
          <w:p w14:paraId="2522159D"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74.53</w:t>
            </w:r>
          </w:p>
        </w:tc>
      </w:tr>
      <w:tr w:rsidR="00950301" w:rsidRPr="00CE769D" w14:paraId="0B06CDB3" w14:textId="77777777" w:rsidTr="00A63831">
        <w:tc>
          <w:tcPr>
            <w:tcW w:w="2829" w:type="dxa"/>
            <w:vAlign w:val="bottom"/>
          </w:tcPr>
          <w:p w14:paraId="59368810"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 xml:space="preserve">Confidence </w:t>
            </w:r>
            <w:proofErr w:type="gramStart"/>
            <w:r w:rsidRPr="00CE769D">
              <w:rPr>
                <w:rFonts w:ascii="Times New Roman" w:hAnsi="Times New Roman" w:cs="Times New Roman"/>
                <w:b/>
                <w:color w:val="000000"/>
              </w:rPr>
              <w:t>Level(</w:t>
            </w:r>
            <w:proofErr w:type="gramEnd"/>
            <w:r w:rsidRPr="00CE769D">
              <w:rPr>
                <w:rFonts w:ascii="Times New Roman" w:hAnsi="Times New Roman" w:cs="Times New Roman"/>
                <w:b/>
                <w:color w:val="000000"/>
              </w:rPr>
              <w:t>95.0%)</w:t>
            </w:r>
          </w:p>
        </w:tc>
        <w:tc>
          <w:tcPr>
            <w:tcW w:w="2829" w:type="dxa"/>
            <w:vAlign w:val="bottom"/>
          </w:tcPr>
          <w:p w14:paraId="1C0EC088"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2.62</w:t>
            </w:r>
          </w:p>
        </w:tc>
        <w:tc>
          <w:tcPr>
            <w:tcW w:w="2829" w:type="dxa"/>
            <w:vAlign w:val="bottom"/>
          </w:tcPr>
          <w:p w14:paraId="7CFCD86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1.93</w:t>
            </w:r>
          </w:p>
        </w:tc>
      </w:tr>
      <w:tr w:rsidR="00950301" w:rsidRPr="00CE769D" w14:paraId="21719B1D" w14:textId="77777777" w:rsidTr="009D3BF8">
        <w:tc>
          <w:tcPr>
            <w:tcW w:w="2829" w:type="dxa"/>
            <w:vAlign w:val="bottom"/>
          </w:tcPr>
          <w:p w14:paraId="1F0DFD42"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CV%</w:t>
            </w:r>
          </w:p>
        </w:tc>
        <w:tc>
          <w:tcPr>
            <w:tcW w:w="2829" w:type="dxa"/>
            <w:vAlign w:val="bottom"/>
          </w:tcPr>
          <w:p w14:paraId="76B98D69"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14.52</w:t>
            </w:r>
          </w:p>
        </w:tc>
        <w:tc>
          <w:tcPr>
            <w:tcW w:w="2829" w:type="dxa"/>
            <w:vAlign w:val="bottom"/>
          </w:tcPr>
          <w:p w14:paraId="4772FD70"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14.38</w:t>
            </w:r>
          </w:p>
        </w:tc>
      </w:tr>
      <w:tr w:rsidR="00950301" w:rsidRPr="00CE769D" w14:paraId="5C3985AA" w14:textId="77777777" w:rsidTr="009D3BF8">
        <w:tc>
          <w:tcPr>
            <w:tcW w:w="2829" w:type="dxa"/>
            <w:vAlign w:val="bottom"/>
          </w:tcPr>
          <w:p w14:paraId="1E5870D1"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UL</w:t>
            </w:r>
          </w:p>
        </w:tc>
        <w:tc>
          <w:tcPr>
            <w:tcW w:w="2829" w:type="dxa"/>
            <w:vAlign w:val="bottom"/>
          </w:tcPr>
          <w:p w14:paraId="41ECCE21"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71.88</w:t>
            </w:r>
          </w:p>
        </w:tc>
        <w:tc>
          <w:tcPr>
            <w:tcW w:w="2829" w:type="dxa"/>
            <w:vAlign w:val="bottom"/>
          </w:tcPr>
          <w:p w14:paraId="34AC976A"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53.45</w:t>
            </w:r>
          </w:p>
        </w:tc>
      </w:tr>
      <w:tr w:rsidR="00950301" w:rsidRPr="00CE769D" w14:paraId="6A972246" w14:textId="77777777" w:rsidTr="009D3BF8">
        <w:tc>
          <w:tcPr>
            <w:tcW w:w="2829" w:type="dxa"/>
            <w:vAlign w:val="bottom"/>
          </w:tcPr>
          <w:p w14:paraId="25C9A187"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LL</w:t>
            </w:r>
          </w:p>
        </w:tc>
        <w:tc>
          <w:tcPr>
            <w:tcW w:w="2829" w:type="dxa"/>
            <w:vAlign w:val="bottom"/>
          </w:tcPr>
          <w:p w14:paraId="4346788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66.64</w:t>
            </w:r>
          </w:p>
        </w:tc>
        <w:tc>
          <w:tcPr>
            <w:tcW w:w="2829" w:type="dxa"/>
            <w:vAlign w:val="bottom"/>
          </w:tcPr>
          <w:p w14:paraId="018BC87D"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49.59</w:t>
            </w:r>
          </w:p>
        </w:tc>
      </w:tr>
    </w:tbl>
    <w:p w14:paraId="430AC07B" w14:textId="77777777" w:rsidR="00AA4847" w:rsidRDefault="00AA4847" w:rsidP="00635EF3"/>
    <w:p w14:paraId="0E8706F4" w14:textId="77777777" w:rsidR="00AA4847" w:rsidRDefault="00AA4847" w:rsidP="00635EF3"/>
    <w:p w14:paraId="6D227111" w14:textId="77777777" w:rsidR="00AA4847" w:rsidRDefault="00AA4847" w:rsidP="00635EF3"/>
    <w:p w14:paraId="5D587C61" w14:textId="77777777" w:rsidR="00AA4847" w:rsidRDefault="00AA4847" w:rsidP="00AA4847"/>
    <w:p w14:paraId="26A881F6" w14:textId="77777777" w:rsidR="00CE769D" w:rsidRDefault="00CE769D" w:rsidP="00AA4847"/>
    <w:p w14:paraId="298E8359" w14:textId="77777777" w:rsidR="00C00476" w:rsidRDefault="00C00476" w:rsidP="00AA4847"/>
    <w:p w14:paraId="5B51C406" w14:textId="77777777" w:rsidR="00BA5424" w:rsidRDefault="00BA5424" w:rsidP="00AA4847"/>
    <w:p w14:paraId="6AD9FA16" w14:textId="77777777" w:rsidR="00157519" w:rsidRPr="00AA4847" w:rsidRDefault="00157519" w:rsidP="00AA4847">
      <w:pPr>
        <w:rPr>
          <w:rStyle w:val="Strong"/>
          <w:b w:val="0"/>
          <w:bCs w:val="0"/>
        </w:rPr>
      </w:pPr>
      <w:r w:rsidRPr="00157519">
        <w:rPr>
          <w:rStyle w:val="Strong"/>
          <w:rFonts w:ascii="Times New Roman" w:hAnsi="Times New Roman" w:cs="Times New Roman"/>
          <w:sz w:val="24"/>
          <w:szCs w:val="24"/>
        </w:rPr>
        <w:t>Box</w:t>
      </w:r>
      <w:r w:rsidR="00DD413A">
        <w:rPr>
          <w:rStyle w:val="Strong"/>
          <w:rFonts w:ascii="Times New Roman" w:hAnsi="Times New Roman" w:cs="Times New Roman"/>
          <w:sz w:val="24"/>
          <w:szCs w:val="24"/>
        </w:rPr>
        <w:t xml:space="preserve"> </w:t>
      </w:r>
      <w:r w:rsidRPr="00157519">
        <w:rPr>
          <w:rStyle w:val="Strong"/>
          <w:rFonts w:ascii="Times New Roman" w:hAnsi="Times New Roman" w:cs="Times New Roman"/>
          <w:sz w:val="24"/>
          <w:szCs w:val="24"/>
        </w:rPr>
        <w:t>plot (Forest vs Agriculture)</w:t>
      </w:r>
    </w:p>
    <w:p w14:paraId="475C0B03" w14:textId="1ED57DD2" w:rsidR="00290531" w:rsidRDefault="00290531" w:rsidP="00290531">
      <w:pPr>
        <w:pStyle w:val="NormalWeb"/>
        <w:spacing w:line="360" w:lineRule="auto"/>
        <w:ind w:firstLine="720"/>
        <w:jc w:val="both"/>
      </w:pPr>
      <w:r>
        <w:t>The box</w:t>
      </w:r>
      <w:r w:rsidR="00DD413A">
        <w:t xml:space="preserve"> </w:t>
      </w:r>
      <w:r>
        <w:t xml:space="preserve">plot (Figure </w:t>
      </w:r>
      <w:r w:rsidR="004633BD">
        <w:t>2</w:t>
      </w:r>
      <w:r>
        <w:t xml:space="preserve">) illustrates a pronounced contrast in aggregate stability between forest and agricultural land uses. Forest soils exhibited a higher median aggregate stability and a distribution skewed toward higher values, indicating </w:t>
      </w:r>
      <w:r>
        <w:lastRenderedPageBreak/>
        <w:t>stronger and more persistent soil structural stability under natural vegetation. The interquartile range for forest soils was comparatively narrower, reflecting relatively consistent aggregation across sites. In contrast, agricultural soils displayed a lower median value and a broader spread toward the lower end of the distribution, highlighting reduced aggregate stability under cultivation. The wider dispersion of values in agricultural soils indicates greater structural heterogeneity, likely arising from differences in tillage intensity, residue management, and fertilizer use. Although variability was comparable between land uses (CV ≈ 14.5% in forest and 14.38% in agriculture), the downward shift of the agricultural distribution emphasizes the negative impact of land use conversion on soil structure.</w:t>
      </w:r>
    </w:p>
    <w:p w14:paraId="3B9DB6C5" w14:textId="1E79D929" w:rsidR="00401C5D" w:rsidRDefault="00401C5D" w:rsidP="00401C5D">
      <w:pPr>
        <w:pStyle w:val="NormalWeb"/>
        <w:spacing w:line="360" w:lineRule="auto"/>
        <w:ind w:left="3600" w:firstLine="720"/>
        <w:jc w:val="both"/>
      </w:pPr>
      <w:commentRangeStart w:id="4"/>
      <w:r w:rsidRPr="00401C5D">
        <w:rPr>
          <w:b/>
          <w:bCs/>
        </w:rPr>
        <w:t xml:space="preserve">Figure </w:t>
      </w:r>
      <w:commentRangeEnd w:id="4"/>
      <w:r w:rsidR="00DF78E6">
        <w:rPr>
          <w:rStyle w:val="CommentReference"/>
          <w:rFonts w:asciiTheme="minorHAnsi" w:eastAsiaTheme="minorEastAsia" w:hAnsiTheme="minorHAnsi" w:cstheme="minorBidi"/>
        </w:rPr>
        <w:commentReference w:id="4"/>
      </w:r>
      <w:r w:rsidR="004633BD">
        <w:rPr>
          <w:b/>
          <w:bCs/>
        </w:rPr>
        <w:t>2</w:t>
      </w:r>
    </w:p>
    <w:p w14:paraId="311F5705" w14:textId="77777777" w:rsidR="00290531" w:rsidRDefault="00157519" w:rsidP="00290531">
      <w:pPr>
        <w:pStyle w:val="NormalWeb"/>
      </w:pPr>
      <w:r>
        <w:rPr>
          <w:noProof/>
        </w:rPr>
        <w:t xml:space="preserve">                           </w:t>
      </w:r>
      <w:r w:rsidR="00290531">
        <w:rPr>
          <w:noProof/>
        </w:rPr>
        <w:drawing>
          <wp:inline distT="0" distB="0" distL="0" distR="0" wp14:anchorId="31F10CE7" wp14:editId="0788D6E8">
            <wp:extent cx="3844824" cy="3064365"/>
            <wp:effectExtent l="19050" t="0" r="3276" b="0"/>
            <wp:docPr id="7" name="Picture 7" descr="C:\Users\sumai\Downloads\aggregate_stability_boxplot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mai\Downloads\aggregate_stability_boxplot_corrected.png"/>
                    <pic:cNvPicPr>
                      <a:picLocks noChangeAspect="1" noChangeArrowheads="1"/>
                    </pic:cNvPicPr>
                  </pic:nvPicPr>
                  <pic:blipFill>
                    <a:blip r:embed="rId11" cstate="print"/>
                    <a:srcRect/>
                    <a:stretch>
                      <a:fillRect/>
                    </a:stretch>
                  </pic:blipFill>
                  <pic:spPr bwMode="auto">
                    <a:xfrm>
                      <a:off x="0" y="0"/>
                      <a:ext cx="3846425" cy="3065641"/>
                    </a:xfrm>
                    <a:prstGeom prst="rect">
                      <a:avLst/>
                    </a:prstGeom>
                    <a:noFill/>
                    <a:ln w="9525">
                      <a:noFill/>
                      <a:miter lim="800000"/>
                      <a:headEnd/>
                      <a:tailEnd/>
                    </a:ln>
                  </pic:spPr>
                </pic:pic>
              </a:graphicData>
            </a:graphic>
          </wp:inline>
        </w:drawing>
      </w:r>
    </w:p>
    <w:p w14:paraId="1A5A27FF" w14:textId="73E80431" w:rsidR="00AA4847" w:rsidRDefault="00290531" w:rsidP="00AA4847">
      <w:pPr>
        <w:pStyle w:val="NormalWeb"/>
      </w:pPr>
      <w:r>
        <w:rPr>
          <w:rStyle w:val="Strong"/>
        </w:rPr>
        <w:t xml:space="preserve">               </w:t>
      </w:r>
      <w:r>
        <w:rPr>
          <w:rStyle w:val="Strong"/>
        </w:rPr>
        <w:tab/>
      </w:r>
      <w:r>
        <w:rPr>
          <w:rStyle w:val="Strong"/>
        </w:rPr>
        <w:tab/>
      </w:r>
      <w:r>
        <w:rPr>
          <w:rStyle w:val="Strong"/>
        </w:rPr>
        <w:tab/>
      </w:r>
      <w:r>
        <w:rPr>
          <w:rStyle w:val="Strong"/>
        </w:rPr>
        <w:tab/>
      </w:r>
      <w:r>
        <w:rPr>
          <w:rStyle w:val="Strong"/>
        </w:rPr>
        <w:tab/>
      </w:r>
    </w:p>
    <w:p w14:paraId="0FBD1890" w14:textId="77777777" w:rsidR="00C80113" w:rsidRPr="00C80113" w:rsidRDefault="00AA4847" w:rsidP="0035080B">
      <w:pPr>
        <w:pStyle w:val="NormalWeb"/>
      </w:pPr>
      <w:r>
        <w:rPr>
          <w:noProof/>
        </w:rPr>
        <w:t xml:space="preserve">                                                                  </w:t>
      </w:r>
    </w:p>
    <w:p w14:paraId="64640542" w14:textId="77777777" w:rsidR="00C80113" w:rsidRDefault="00157519" w:rsidP="00C80113">
      <w:pPr>
        <w:pStyle w:val="Heading3"/>
        <w:spacing w:line="360" w:lineRule="auto"/>
        <w:jc w:val="both"/>
        <w:rPr>
          <w:rStyle w:val="Strong"/>
          <w:rFonts w:ascii="Times New Roman" w:hAnsi="Times New Roman" w:cs="Times New Roman"/>
          <w:b/>
          <w:bCs/>
          <w:color w:val="auto"/>
          <w:sz w:val="24"/>
          <w:szCs w:val="24"/>
        </w:rPr>
      </w:pPr>
      <w:r w:rsidRPr="00157519">
        <w:rPr>
          <w:rStyle w:val="Strong"/>
          <w:rFonts w:ascii="Times New Roman" w:hAnsi="Times New Roman" w:cs="Times New Roman"/>
          <w:b/>
          <w:bCs/>
          <w:color w:val="auto"/>
          <w:sz w:val="24"/>
          <w:szCs w:val="24"/>
        </w:rPr>
        <w:lastRenderedPageBreak/>
        <w:t>Violin Plot (Distribution Shape)</w:t>
      </w:r>
    </w:p>
    <w:p w14:paraId="6C2A909D" w14:textId="0B28360B" w:rsidR="005D03BF" w:rsidRDefault="0035080B" w:rsidP="0035080B">
      <w:pPr>
        <w:pStyle w:val="Heading3"/>
        <w:spacing w:line="360" w:lineRule="auto"/>
        <w:ind w:firstLine="720"/>
        <w:jc w:val="both"/>
        <w:rPr>
          <w:rFonts w:ascii="Times New Roman" w:hAnsi="Times New Roman" w:cs="Times New Roman"/>
          <w:b w:val="0"/>
          <w:color w:val="auto"/>
          <w:sz w:val="24"/>
          <w:szCs w:val="24"/>
        </w:rPr>
      </w:pPr>
      <w:r w:rsidRPr="0035080B">
        <w:rPr>
          <w:rFonts w:ascii="Times New Roman" w:hAnsi="Times New Roman" w:cs="Times New Roman"/>
          <w:b w:val="0"/>
          <w:color w:val="auto"/>
          <w:sz w:val="24"/>
          <w:szCs w:val="24"/>
        </w:rPr>
        <w:t xml:space="preserve">The violin plot (Figure </w:t>
      </w:r>
      <w:r w:rsidR="004633BD">
        <w:rPr>
          <w:rFonts w:ascii="Times New Roman" w:hAnsi="Times New Roman" w:cs="Times New Roman"/>
          <w:b w:val="0"/>
          <w:color w:val="auto"/>
          <w:sz w:val="24"/>
          <w:szCs w:val="24"/>
        </w:rPr>
        <w:t>3</w:t>
      </w:r>
      <w:r w:rsidRPr="0035080B">
        <w:rPr>
          <w:rFonts w:ascii="Times New Roman" w:hAnsi="Times New Roman" w:cs="Times New Roman"/>
          <w:b w:val="0"/>
          <w:color w:val="auto"/>
          <w:sz w:val="24"/>
          <w:szCs w:val="24"/>
        </w:rPr>
        <w:t xml:space="preserve">) illustrates the distribution and density of aggregate stability values under forest and agricultural land uses. Forest soils exhibited a more symmetrical and compact distribution centered </w:t>
      </w:r>
      <w:r w:rsidR="00C53E2B" w:rsidRPr="0035080B">
        <w:rPr>
          <w:rFonts w:ascii="Times New Roman" w:hAnsi="Times New Roman" w:cs="Times New Roman"/>
          <w:b w:val="0"/>
          <w:color w:val="auto"/>
          <w:sz w:val="24"/>
          <w:szCs w:val="24"/>
        </w:rPr>
        <w:t>on</w:t>
      </w:r>
      <w:r w:rsidRPr="0035080B">
        <w:rPr>
          <w:rFonts w:ascii="Times New Roman" w:hAnsi="Times New Roman" w:cs="Times New Roman"/>
          <w:b w:val="0"/>
          <w:color w:val="auto"/>
          <w:sz w:val="24"/>
          <w:szCs w:val="24"/>
        </w:rPr>
        <w:t xml:space="preserve"> higher aggregate stability values, indicating relatively uniform and stable soil structure across sites. In contrast, agricultural soils showed a broader and more asymmetrical distribution, with density extending toward lower stability values. This wider spread reflects greater heterogeneity and structural disturbance under cultivation. The clustering of forest samples around higher stability levels highlights the role of natural vegetation in maintaining well-aggregated soils, whereas the downward shift and dispersion observed in agricultural soils emphasize the adverse impact of land use conversion on soil structural integrity.</w:t>
      </w:r>
    </w:p>
    <w:p w14:paraId="338DF91C" w14:textId="4DF2E382" w:rsidR="007A06F8" w:rsidRPr="007A06F8" w:rsidRDefault="007A06F8" w:rsidP="007A06F8">
      <w:r w:rsidRPr="007A06F8">
        <w:t xml:space="preserve">                                                   </w:t>
      </w:r>
      <w:r>
        <w:tab/>
      </w:r>
      <w:r>
        <w:tab/>
      </w:r>
      <w:r w:rsidRPr="007A06F8">
        <w:rPr>
          <w:b/>
        </w:rPr>
        <w:t xml:space="preserve">Figure </w:t>
      </w:r>
      <w:r w:rsidR="004633BD">
        <w:rPr>
          <w:b/>
        </w:rPr>
        <w:t>3</w:t>
      </w:r>
      <w:r w:rsidRPr="007A06F8">
        <w:t xml:space="preserve">                         </w:t>
      </w:r>
    </w:p>
    <w:p w14:paraId="37FAB67F" w14:textId="77777777" w:rsidR="00C53E2B" w:rsidRDefault="00A61C59" w:rsidP="00C53E2B">
      <w:pPr>
        <w:pStyle w:val="NormalWeb"/>
      </w:pPr>
      <w:r>
        <w:rPr>
          <w:noProof/>
        </w:rPr>
        <w:t xml:space="preserve">       </w:t>
      </w:r>
      <w:r w:rsidR="00C53E2B">
        <w:rPr>
          <w:noProof/>
        </w:rPr>
        <w:drawing>
          <wp:inline distT="0" distB="0" distL="0" distR="0" wp14:anchorId="27A945B8" wp14:editId="23E4699B">
            <wp:extent cx="4876260" cy="3657600"/>
            <wp:effectExtent l="19050" t="0" r="540" b="0"/>
            <wp:docPr id="12" name="Picture 12" descr="C:\Users\sumai\Downloads\aggregate_stability_violin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mai\Downloads\aggregate_stability_violin_corrected.png"/>
                    <pic:cNvPicPr>
                      <a:picLocks noChangeAspect="1" noChangeArrowheads="1"/>
                    </pic:cNvPicPr>
                  </pic:nvPicPr>
                  <pic:blipFill>
                    <a:blip r:embed="rId12" cstate="print"/>
                    <a:srcRect/>
                    <a:stretch>
                      <a:fillRect/>
                    </a:stretch>
                  </pic:blipFill>
                  <pic:spPr bwMode="auto">
                    <a:xfrm>
                      <a:off x="0" y="0"/>
                      <a:ext cx="4873716" cy="3655692"/>
                    </a:xfrm>
                    <a:prstGeom prst="rect">
                      <a:avLst/>
                    </a:prstGeom>
                    <a:noFill/>
                    <a:ln w="9525">
                      <a:noFill/>
                      <a:miter lim="800000"/>
                      <a:headEnd/>
                      <a:tailEnd/>
                    </a:ln>
                  </pic:spPr>
                </pic:pic>
              </a:graphicData>
            </a:graphic>
          </wp:inline>
        </w:drawing>
      </w:r>
    </w:p>
    <w:p w14:paraId="2837E980" w14:textId="224A4EDA" w:rsidR="00157519" w:rsidRPr="00D93D22" w:rsidRDefault="00C53E2B" w:rsidP="00D93D22">
      <w:pPr>
        <w:spacing w:line="240" w:lineRule="auto"/>
        <w:jc w:val="both"/>
        <w:rPr>
          <w:rFonts w:ascii="Times New Roman" w:hAnsi="Times New Roman" w:cs="Times New Roman"/>
          <w:b/>
          <w:sz w:val="24"/>
          <w:szCs w:val="24"/>
        </w:rPr>
      </w:pPr>
      <w:r>
        <w:tab/>
      </w:r>
      <w:r>
        <w:rPr>
          <w:noProof/>
        </w:rPr>
        <w:t xml:space="preserve"> </w:t>
      </w:r>
    </w:p>
    <w:p w14:paraId="0405924B" w14:textId="77777777" w:rsidR="005D03BF" w:rsidRDefault="00157519" w:rsidP="00D93D22">
      <w:pPr>
        <w:pStyle w:val="Heading3"/>
        <w:tabs>
          <w:tab w:val="left" w:pos="2727"/>
        </w:tabs>
        <w:spacing w:line="360" w:lineRule="auto"/>
        <w:jc w:val="both"/>
        <w:rPr>
          <w:rStyle w:val="Strong"/>
          <w:rFonts w:ascii="Times New Roman" w:hAnsi="Times New Roman" w:cs="Times New Roman"/>
          <w:b/>
          <w:bCs/>
          <w:color w:val="auto"/>
          <w:sz w:val="24"/>
          <w:szCs w:val="24"/>
        </w:rPr>
      </w:pPr>
      <w:r w:rsidRPr="00157519">
        <w:rPr>
          <w:rStyle w:val="Strong"/>
          <w:rFonts w:ascii="Times New Roman" w:hAnsi="Times New Roman" w:cs="Times New Roman"/>
          <w:b/>
          <w:bCs/>
          <w:color w:val="auto"/>
          <w:sz w:val="24"/>
          <w:szCs w:val="24"/>
        </w:rPr>
        <w:lastRenderedPageBreak/>
        <w:t>Trend Plot (Paired Location-wise Comparison)</w:t>
      </w:r>
    </w:p>
    <w:p w14:paraId="64CA02F6" w14:textId="23478A67" w:rsidR="005D03BF" w:rsidRDefault="005D03BF" w:rsidP="005D03BF">
      <w:pPr>
        <w:pStyle w:val="Heading3"/>
        <w:spacing w:line="360" w:lineRule="auto"/>
        <w:ind w:firstLine="720"/>
        <w:jc w:val="both"/>
        <w:rPr>
          <w:rFonts w:ascii="Times New Roman" w:eastAsia="Times New Roman" w:hAnsi="Times New Roman" w:cs="Times New Roman"/>
          <w:b w:val="0"/>
          <w:color w:val="auto"/>
          <w:sz w:val="24"/>
          <w:szCs w:val="24"/>
        </w:rPr>
      </w:pPr>
      <w:r w:rsidRPr="005D03BF">
        <w:rPr>
          <w:rFonts w:ascii="Times New Roman" w:eastAsia="Times New Roman" w:hAnsi="Times New Roman" w:cs="Times New Roman"/>
          <w:b w:val="0"/>
          <w:color w:val="auto"/>
          <w:sz w:val="24"/>
          <w:szCs w:val="24"/>
        </w:rPr>
        <w:t xml:space="preserve">Aggregate stability between agriculture and forests is compared by location using the paired trend plot (Figure </w:t>
      </w:r>
      <w:r w:rsidR="004633BD">
        <w:rPr>
          <w:rFonts w:ascii="Times New Roman" w:eastAsia="Times New Roman" w:hAnsi="Times New Roman" w:cs="Times New Roman"/>
          <w:b w:val="0"/>
          <w:color w:val="auto"/>
          <w:sz w:val="24"/>
          <w:szCs w:val="24"/>
        </w:rPr>
        <w:t>4</w:t>
      </w:r>
      <w:r w:rsidRPr="005D03BF">
        <w:rPr>
          <w:rFonts w:ascii="Times New Roman" w:eastAsia="Times New Roman" w:hAnsi="Times New Roman" w:cs="Times New Roman"/>
          <w:b w:val="0"/>
          <w:color w:val="auto"/>
          <w:sz w:val="24"/>
          <w:szCs w:val="24"/>
        </w:rPr>
        <w:t xml:space="preserve">). Almost all sites exhibit a steady downward tendency, with agriculture displaying lower values in comparison to the matching forest location. While lesser variations at sites like </w:t>
      </w:r>
      <w:proofErr w:type="spellStart"/>
      <w:r w:rsidRPr="005D03BF">
        <w:rPr>
          <w:rFonts w:ascii="Times New Roman" w:eastAsia="Times New Roman" w:hAnsi="Times New Roman" w:cs="Times New Roman"/>
          <w:b w:val="0"/>
          <w:color w:val="auto"/>
          <w:sz w:val="24"/>
          <w:szCs w:val="24"/>
        </w:rPr>
        <w:t>Trehgam</w:t>
      </w:r>
      <w:proofErr w:type="spellEnd"/>
      <w:r w:rsidRPr="005D03BF">
        <w:rPr>
          <w:rFonts w:ascii="Times New Roman" w:eastAsia="Times New Roman" w:hAnsi="Times New Roman" w:cs="Times New Roman"/>
          <w:b w:val="0"/>
          <w:color w:val="auto"/>
          <w:sz w:val="24"/>
          <w:szCs w:val="24"/>
        </w:rPr>
        <w:t xml:space="preserve"> and </w:t>
      </w:r>
      <w:proofErr w:type="spellStart"/>
      <w:r w:rsidRPr="005D03BF">
        <w:rPr>
          <w:rFonts w:ascii="Times New Roman" w:eastAsia="Times New Roman" w:hAnsi="Times New Roman" w:cs="Times New Roman"/>
          <w:b w:val="0"/>
          <w:color w:val="auto"/>
          <w:sz w:val="24"/>
          <w:szCs w:val="24"/>
        </w:rPr>
        <w:t>Ogabal</w:t>
      </w:r>
      <w:proofErr w:type="spellEnd"/>
      <w:r w:rsidRPr="005D03BF">
        <w:rPr>
          <w:rFonts w:ascii="Times New Roman" w:eastAsia="Times New Roman" w:hAnsi="Times New Roman" w:cs="Times New Roman"/>
          <w:b w:val="0"/>
          <w:color w:val="auto"/>
          <w:sz w:val="24"/>
          <w:szCs w:val="24"/>
        </w:rPr>
        <w:t xml:space="preserve"> imply that localized management or soil conditions may act as a buffer against aggregate loss, the sharp losses at sites like Wayne, </w:t>
      </w:r>
      <w:proofErr w:type="spellStart"/>
      <w:r w:rsidRPr="005D03BF">
        <w:rPr>
          <w:rFonts w:ascii="Times New Roman" w:eastAsia="Times New Roman" w:hAnsi="Times New Roman" w:cs="Times New Roman"/>
          <w:b w:val="0"/>
          <w:color w:val="auto"/>
          <w:sz w:val="24"/>
          <w:szCs w:val="24"/>
        </w:rPr>
        <w:t>Shatpora</w:t>
      </w:r>
      <w:proofErr w:type="spellEnd"/>
      <w:r w:rsidRPr="005D03BF">
        <w:rPr>
          <w:rFonts w:ascii="Times New Roman" w:eastAsia="Times New Roman" w:hAnsi="Times New Roman" w:cs="Times New Roman"/>
          <w:b w:val="0"/>
          <w:color w:val="auto"/>
          <w:sz w:val="24"/>
          <w:szCs w:val="24"/>
        </w:rPr>
        <w:t xml:space="preserve">, and </w:t>
      </w:r>
      <w:proofErr w:type="spellStart"/>
      <w:r w:rsidRPr="005D03BF">
        <w:rPr>
          <w:rFonts w:ascii="Times New Roman" w:eastAsia="Times New Roman" w:hAnsi="Times New Roman" w:cs="Times New Roman"/>
          <w:b w:val="0"/>
          <w:color w:val="auto"/>
          <w:sz w:val="24"/>
          <w:szCs w:val="24"/>
        </w:rPr>
        <w:t>Manigah</w:t>
      </w:r>
      <w:proofErr w:type="spellEnd"/>
      <w:r w:rsidRPr="005D03BF">
        <w:rPr>
          <w:rFonts w:ascii="Times New Roman" w:eastAsia="Times New Roman" w:hAnsi="Times New Roman" w:cs="Times New Roman"/>
          <w:b w:val="0"/>
          <w:color w:val="auto"/>
          <w:sz w:val="24"/>
          <w:szCs w:val="24"/>
        </w:rPr>
        <w:t xml:space="preserve"> highlight the susceptibility of aggregates under cultivation. The evidence that land use conversion causes a systematic decline in soil structural stability is reinforced by this matched visualization.</w:t>
      </w:r>
    </w:p>
    <w:p w14:paraId="50325868" w14:textId="1FC525B9" w:rsidR="007A06F8" w:rsidRPr="007A06F8" w:rsidRDefault="007A06F8" w:rsidP="007A06F8">
      <w:pPr>
        <w:ind w:left="3600" w:firstLine="720"/>
      </w:pPr>
      <w:r>
        <w:rPr>
          <w:rStyle w:val="Strong"/>
        </w:rPr>
        <w:t xml:space="preserve">Figure </w:t>
      </w:r>
      <w:r w:rsidR="004633BD">
        <w:rPr>
          <w:rStyle w:val="Strong"/>
        </w:rPr>
        <w:t>4</w:t>
      </w:r>
    </w:p>
    <w:p w14:paraId="34E08EA7" w14:textId="20464802" w:rsidR="00A27332" w:rsidRPr="0090253A" w:rsidRDefault="005D03BF" w:rsidP="00A27332">
      <w:pPr>
        <w:pStyle w:val="NormalWeb"/>
        <w:spacing w:line="360" w:lineRule="auto"/>
        <w:jc w:val="both"/>
        <w:rPr>
          <w:rStyle w:val="Strong"/>
          <w:b w:val="0"/>
          <w:bCs w:val="0"/>
        </w:rPr>
      </w:pPr>
      <w:r>
        <w:rPr>
          <w:noProof/>
        </w:rPr>
        <w:drawing>
          <wp:inline distT="0" distB="0" distL="0" distR="0" wp14:anchorId="0CB416E9" wp14:editId="73DF9393">
            <wp:extent cx="6045891" cy="3592863"/>
            <wp:effectExtent l="19050" t="0" r="0" b="0"/>
            <wp:docPr id="4" name="Picture 23" descr="C:\Users\sumai\Downloads\aggregate_stability_tr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umai\Downloads\aggregate_stability_trend.png"/>
                    <pic:cNvPicPr>
                      <a:picLocks noChangeAspect="1" noChangeArrowheads="1"/>
                    </pic:cNvPicPr>
                  </pic:nvPicPr>
                  <pic:blipFill>
                    <a:blip r:embed="rId13" cstate="print"/>
                    <a:srcRect/>
                    <a:stretch>
                      <a:fillRect/>
                    </a:stretch>
                  </pic:blipFill>
                  <pic:spPr bwMode="auto">
                    <a:xfrm>
                      <a:off x="0" y="0"/>
                      <a:ext cx="6045893" cy="3592864"/>
                    </a:xfrm>
                    <a:prstGeom prst="rect">
                      <a:avLst/>
                    </a:prstGeom>
                    <a:noFill/>
                    <a:ln w="9525">
                      <a:noFill/>
                      <a:miter lim="800000"/>
                      <a:headEnd/>
                      <a:tailEnd/>
                    </a:ln>
                  </pic:spPr>
                </pic:pic>
              </a:graphicData>
            </a:graphic>
          </wp:inline>
        </w:drawing>
      </w:r>
      <w:r>
        <w:t xml:space="preserve">                                                                 </w:t>
      </w:r>
    </w:p>
    <w:p w14:paraId="25CD7D1A" w14:textId="77777777" w:rsidR="00A27332" w:rsidRDefault="00A27332" w:rsidP="00A27332">
      <w:pPr>
        <w:pStyle w:val="NormalWeb"/>
        <w:spacing w:line="360" w:lineRule="auto"/>
        <w:jc w:val="both"/>
        <w:rPr>
          <w:rStyle w:val="Strong"/>
        </w:rPr>
      </w:pPr>
    </w:p>
    <w:p w14:paraId="57451F84" w14:textId="77777777" w:rsidR="00A27332" w:rsidRDefault="00A27332" w:rsidP="00A27332">
      <w:pPr>
        <w:pStyle w:val="NormalWeb"/>
        <w:spacing w:line="360" w:lineRule="auto"/>
        <w:jc w:val="both"/>
        <w:rPr>
          <w:rStyle w:val="Strong"/>
        </w:rPr>
      </w:pPr>
    </w:p>
    <w:p w14:paraId="11D6F953" w14:textId="77777777" w:rsidR="0021007E" w:rsidRDefault="008B198C" w:rsidP="0021007E">
      <w:pPr>
        <w:pStyle w:val="NormalWeb"/>
        <w:spacing w:line="360" w:lineRule="auto"/>
        <w:jc w:val="both"/>
        <w:rPr>
          <w:b/>
        </w:rPr>
      </w:pPr>
      <w:r>
        <w:rPr>
          <w:b/>
        </w:rPr>
        <w:lastRenderedPageBreak/>
        <w:t xml:space="preserve">4. </w:t>
      </w:r>
      <w:commentRangeStart w:id="5"/>
      <w:r w:rsidR="00A61C59" w:rsidRPr="00A27332">
        <w:rPr>
          <w:b/>
        </w:rPr>
        <w:t>Discussion</w:t>
      </w:r>
      <w:commentRangeEnd w:id="5"/>
      <w:r w:rsidR="00DF78E6">
        <w:rPr>
          <w:rStyle w:val="CommentReference"/>
          <w:rFonts w:asciiTheme="minorHAnsi" w:eastAsiaTheme="minorEastAsia" w:hAnsiTheme="minorHAnsi" w:cstheme="minorBidi"/>
        </w:rPr>
        <w:commentReference w:id="5"/>
      </w:r>
    </w:p>
    <w:p w14:paraId="7F27ADFB" w14:textId="77777777" w:rsidR="001114A9" w:rsidRDefault="001114A9" w:rsidP="001114A9">
      <w:pPr>
        <w:pStyle w:val="NormalWeb"/>
        <w:spacing w:line="360" w:lineRule="auto"/>
        <w:jc w:val="both"/>
      </w:pPr>
      <w:r>
        <w:t>The results of this study clearly indicate that land use conversion from forest to agriculture significantly reduces soil aggregate stability. Forest soils consistently exhibited higher aggregate stability (mean=</w:t>
      </w:r>
      <w:r w:rsidRPr="001114A9">
        <w:rPr>
          <w:rStyle w:val="Strong"/>
          <w:b w:val="0"/>
        </w:rPr>
        <w:t>69.26%</w:t>
      </w:r>
      <w:r w:rsidRPr="001114A9">
        <w:rPr>
          <w:b/>
        </w:rPr>
        <w:t>)</w:t>
      </w:r>
      <w:r>
        <w:t xml:space="preserve"> than agricultural soils (</w:t>
      </w:r>
      <w:r w:rsidRPr="001114A9">
        <w:rPr>
          <w:rStyle w:val="Strong"/>
          <w:b w:val="0"/>
        </w:rPr>
        <w:t>51.52%</w:t>
      </w:r>
      <w:r>
        <w:t xml:space="preserve">), highlighting the role of natural vegetation in maintaining soil structural integrity. Improved aggregation under forest cover can be attributed to continuous organic matter inputs, limited mechanical disturbance, and enhanced biological activity, particularly from fungal networks and root systems (Six </w:t>
      </w:r>
      <w:r w:rsidR="00C00476" w:rsidRPr="00C00476">
        <w:rPr>
          <w:i/>
        </w:rPr>
        <w:t>et al</w:t>
      </w:r>
      <w:r>
        <w:t xml:space="preserve">., 2006; Centenaro </w:t>
      </w:r>
      <w:r w:rsidR="00C00476" w:rsidRPr="00C00476">
        <w:rPr>
          <w:i/>
        </w:rPr>
        <w:t>et al</w:t>
      </w:r>
      <w:r>
        <w:t xml:space="preserve">., 2018; Sithole </w:t>
      </w:r>
      <w:r w:rsidR="00C00476" w:rsidRPr="00C00476">
        <w:rPr>
          <w:i/>
        </w:rPr>
        <w:t>et al</w:t>
      </w:r>
      <w:r>
        <w:t xml:space="preserve">., 2019). Variability in aggregate stability was comparable between land uses (CV ≈ </w:t>
      </w:r>
      <w:r w:rsidRPr="001114A9">
        <w:rPr>
          <w:rStyle w:val="Strong"/>
          <w:b w:val="0"/>
        </w:rPr>
        <w:t>14.5%</w:t>
      </w:r>
      <w:r>
        <w:t>), but agricultural soils showed a downward shift toward lower stability values (</w:t>
      </w:r>
      <w:r w:rsidRPr="001114A9">
        <w:rPr>
          <w:rStyle w:val="Strong"/>
          <w:b w:val="0"/>
        </w:rPr>
        <w:t>40.02–74.53%</w:t>
      </w:r>
      <w:r w:rsidRPr="001114A9">
        <w:t xml:space="preserve">) </w:t>
      </w:r>
      <w:r>
        <w:t>compared to forests (</w:t>
      </w:r>
      <w:r w:rsidRPr="001114A9">
        <w:rPr>
          <w:rStyle w:val="Strong"/>
          <w:b w:val="0"/>
        </w:rPr>
        <w:t>45.02–86.97%</w:t>
      </w:r>
      <w:r w:rsidRPr="001114A9">
        <w:rPr>
          <w:b/>
        </w:rPr>
        <w:t>).</w:t>
      </w:r>
      <w:r>
        <w:t xml:space="preserve"> This decline reflects the disruptive effects of cultivation practices such as tillage, residue removal, and reduced biological binding agents (Nugroho </w:t>
      </w:r>
      <w:r w:rsidR="00C00476" w:rsidRPr="00C00476">
        <w:rPr>
          <w:i/>
        </w:rPr>
        <w:t>et al</w:t>
      </w:r>
      <w:r>
        <w:t xml:space="preserve">., 2024). Similar patterns have been reported in temperate Himalayan ecosystems, where croplands exhibit weaker aggregation than adjacent forest soils (Sharma </w:t>
      </w:r>
      <w:r w:rsidR="00C00476" w:rsidRPr="00C00476">
        <w:rPr>
          <w:i/>
        </w:rPr>
        <w:t>et al</w:t>
      </w:r>
      <w:r>
        <w:t xml:space="preserve">., 2023). </w:t>
      </w:r>
    </w:p>
    <w:p w14:paraId="304A654E" w14:textId="77777777" w:rsidR="00E345AE" w:rsidRDefault="003F1106" w:rsidP="00E345AE">
      <w:pPr>
        <w:pStyle w:val="NormalWeb"/>
        <w:spacing w:line="360" w:lineRule="auto"/>
        <w:ind w:firstLine="720"/>
        <w:jc w:val="both"/>
      </w:pPr>
      <w:commentRangeStart w:id="6"/>
      <w:r w:rsidRPr="0021007E">
        <w:t>This s</w:t>
      </w:r>
      <w:commentRangeEnd w:id="6"/>
      <w:r w:rsidR="00E33C21">
        <w:rPr>
          <w:rStyle w:val="CommentReference"/>
          <w:rFonts w:asciiTheme="minorHAnsi" w:eastAsiaTheme="minorEastAsia" w:hAnsiTheme="minorHAnsi" w:cstheme="minorBidi"/>
        </w:rPr>
        <w:commentReference w:id="6"/>
      </w:r>
      <w:r w:rsidRPr="0021007E">
        <w:t>harp drop indicates that, in comparison to their forest counterparts, cultivated soils are more vulnerable to erosion, compaction, and porosity loss.</w:t>
      </w:r>
      <w:r w:rsidR="0021007E" w:rsidRPr="0021007E">
        <w:t xml:space="preserve"> </w:t>
      </w:r>
      <w:r w:rsidR="00A61C59" w:rsidRPr="0021007E">
        <w:t xml:space="preserve">Similar patterns have been observed in temperate Himalayan ecosystems, where croplands showed weaker aggregation and higher vulnerability </w:t>
      </w:r>
      <w:r w:rsidR="00CD2DC1" w:rsidRPr="0021007E">
        <w:t xml:space="preserve">than adjoining forest soils (Sharma </w:t>
      </w:r>
      <w:r w:rsidR="00C00476" w:rsidRPr="00C00476">
        <w:rPr>
          <w:i/>
        </w:rPr>
        <w:t>et al</w:t>
      </w:r>
      <w:r w:rsidR="00CD2DC1" w:rsidRPr="0021007E">
        <w:t>., 2023</w:t>
      </w:r>
      <w:r w:rsidR="00A61C59" w:rsidRPr="0021007E">
        <w:t>).</w:t>
      </w:r>
      <w:r w:rsidR="0021007E" w:rsidRPr="0021007E">
        <w:t xml:space="preserve">  Overall, the results show that while agricultural conversion without compensatory practices causes structural breakdown, forests are essential for maintaining the structural integrity of soil. It has been demonstrated that implementing reduced tillage, keeping crop residues, and adding organic amendments enhance aggregate stability in agricultural soils. Such actions might be essential for reducing soil degradation and guaranteeing long-term resilience in areas like Kupwara.</w:t>
      </w:r>
    </w:p>
    <w:p w14:paraId="311D2333" w14:textId="77777777" w:rsidR="001114A9" w:rsidRDefault="001114A9" w:rsidP="00E345AE">
      <w:pPr>
        <w:pStyle w:val="NormalWeb"/>
        <w:spacing w:line="360" w:lineRule="auto"/>
        <w:ind w:firstLine="720"/>
        <w:jc w:val="both"/>
      </w:pPr>
    </w:p>
    <w:p w14:paraId="45DC2867" w14:textId="77777777" w:rsidR="00E345AE" w:rsidRDefault="008B198C" w:rsidP="00E345AE">
      <w:pPr>
        <w:pStyle w:val="NormalWeb"/>
        <w:spacing w:line="360" w:lineRule="auto"/>
        <w:jc w:val="both"/>
        <w:rPr>
          <w:rStyle w:val="Strong"/>
        </w:rPr>
      </w:pPr>
      <w:r>
        <w:rPr>
          <w:rStyle w:val="Strong"/>
        </w:rPr>
        <w:lastRenderedPageBreak/>
        <w:t>5. Conclusion</w:t>
      </w:r>
    </w:p>
    <w:p w14:paraId="2A06DF32" w14:textId="77777777" w:rsidR="00E345AE" w:rsidRDefault="00E345AE" w:rsidP="008F22CF">
      <w:pPr>
        <w:pStyle w:val="NormalWeb"/>
        <w:spacing w:line="360" w:lineRule="auto"/>
        <w:ind w:firstLine="720"/>
        <w:jc w:val="both"/>
      </w:pPr>
      <w:r w:rsidRPr="00E345AE">
        <w:t>Land use had a significant impact on aggregate stability, with agricultural soils clearly having lower aggregate stability than forest soils. Forest sites exhibited greater soil structural integrity and resilience under natural vegetation, as evidenced by their consistently higher mean aggregate stability (</w:t>
      </w:r>
      <w:r w:rsidR="00FC0121">
        <w:t>69.26%</w:t>
      </w:r>
      <w:r w:rsidRPr="00E345AE">
        <w:t>) and narrower variability. Agricultural soils, on the other hand, showed considerably lower mean values (</w:t>
      </w:r>
      <w:r w:rsidR="008B1BC3">
        <w:t>51.52</w:t>
      </w:r>
      <w:r w:rsidRPr="00E345AE">
        <w:t>%) and greater variability, suggesting that management techniques like fertilizer application, residue removal, and tillage have a detrimental effect on soil structure.</w:t>
      </w:r>
      <w:r>
        <w:t xml:space="preserve"> </w:t>
      </w:r>
      <w:r w:rsidR="00657B82">
        <w:t>The vulnerability of cultivated soils to aggregate breakdown and erosion is evident from the lower minimum stability observed under agriculture (40.02%), while forest soils achieved much higher maximum stability (86.97%), exceeding agricultural soils (74.53%) by more than 12%.</w:t>
      </w:r>
      <w:r w:rsidRPr="00E345AE">
        <w:t xml:space="preserve"> These findings show that soil structural stability significantly deteriorates as land use shifts from forest to agricultural, with forests offering the best conditions for aggregate persistence and resilience. The results emphasize how crucial it is to preserve natural vegetation and implement sustainable land management techniques in order to preserve soil structure and lower the danger </w:t>
      </w:r>
      <w:commentRangeStart w:id="7"/>
      <w:r w:rsidRPr="00E345AE">
        <w:t>of deterioration.</w:t>
      </w:r>
      <w:commentRangeEnd w:id="7"/>
      <w:r w:rsidR="00E33C21">
        <w:rPr>
          <w:rStyle w:val="CommentReference"/>
          <w:rFonts w:asciiTheme="minorHAnsi" w:eastAsiaTheme="minorEastAsia" w:hAnsiTheme="minorHAnsi" w:cstheme="minorBidi"/>
        </w:rPr>
        <w:commentReference w:id="7"/>
      </w:r>
    </w:p>
    <w:p w14:paraId="64AD4A98" w14:textId="77777777" w:rsidR="00BA5424" w:rsidRDefault="00BA5424" w:rsidP="008F22CF">
      <w:pPr>
        <w:pStyle w:val="NormalWeb"/>
        <w:spacing w:line="360" w:lineRule="auto"/>
        <w:ind w:firstLine="720"/>
        <w:jc w:val="both"/>
      </w:pPr>
    </w:p>
    <w:p w14:paraId="6713835B" w14:textId="77777777" w:rsidR="00BA5424" w:rsidRDefault="00BA5424" w:rsidP="008F22CF">
      <w:pPr>
        <w:pStyle w:val="NormalWeb"/>
        <w:spacing w:line="360" w:lineRule="auto"/>
        <w:ind w:firstLine="720"/>
        <w:jc w:val="both"/>
      </w:pPr>
    </w:p>
    <w:p w14:paraId="5466FC97" w14:textId="77777777" w:rsidR="00726D8D" w:rsidRPr="003A29C6" w:rsidRDefault="00726D8D" w:rsidP="00726D8D">
      <w:pPr>
        <w:jc w:val="both"/>
        <w:outlineLvl w:val="0"/>
        <w:rPr>
          <w:rFonts w:ascii="Arial" w:hAnsi="Arial" w:cs="Arial"/>
        </w:rPr>
      </w:pPr>
      <w:r w:rsidRPr="003A29C6">
        <w:rPr>
          <w:rFonts w:ascii="Arial" w:hAnsi="Arial" w:cs="Arial"/>
          <w:b/>
          <w:bCs/>
        </w:rPr>
        <w:t>COMPETING INTERESTS DISCLAIMER:</w:t>
      </w:r>
    </w:p>
    <w:p w14:paraId="0DF50353" w14:textId="77777777" w:rsidR="00726D8D" w:rsidRDefault="00726D8D" w:rsidP="00726D8D">
      <w:r w:rsidRPr="00A10EDE">
        <w:t>Authors have declared that they have no known competing financial interests OR non-financial interests OR personal relationships that could have appeared to influence the work reported in this paper.</w:t>
      </w:r>
    </w:p>
    <w:p w14:paraId="72A3279A" w14:textId="77777777" w:rsidR="00BA5424" w:rsidRDefault="00BA5424" w:rsidP="008F22CF">
      <w:pPr>
        <w:pStyle w:val="NormalWeb"/>
        <w:spacing w:line="360" w:lineRule="auto"/>
        <w:ind w:firstLine="720"/>
        <w:jc w:val="both"/>
      </w:pPr>
    </w:p>
    <w:p w14:paraId="78332E36" w14:textId="77777777" w:rsidR="00BA5424" w:rsidRDefault="00BA5424" w:rsidP="008F22CF">
      <w:pPr>
        <w:pStyle w:val="NormalWeb"/>
        <w:spacing w:line="360" w:lineRule="auto"/>
        <w:ind w:firstLine="720"/>
        <w:jc w:val="both"/>
      </w:pPr>
    </w:p>
    <w:p w14:paraId="5E80C3C7" w14:textId="77777777" w:rsidR="00BA5424" w:rsidRDefault="00BA5424" w:rsidP="008F22CF">
      <w:pPr>
        <w:pStyle w:val="NormalWeb"/>
        <w:spacing w:line="360" w:lineRule="auto"/>
        <w:ind w:firstLine="720"/>
        <w:jc w:val="both"/>
      </w:pPr>
    </w:p>
    <w:p w14:paraId="7FE7BF6B" w14:textId="77777777" w:rsidR="0030636F" w:rsidRPr="00474BAA" w:rsidRDefault="0030636F" w:rsidP="00474BAA">
      <w:pPr>
        <w:pStyle w:val="NormalWeb"/>
        <w:spacing w:line="360" w:lineRule="auto"/>
        <w:jc w:val="both"/>
      </w:pPr>
      <w:r w:rsidRPr="00F74679">
        <w:rPr>
          <w:b/>
        </w:rPr>
        <w:lastRenderedPageBreak/>
        <w:t>REFERENCES</w:t>
      </w:r>
    </w:p>
    <w:p w14:paraId="78A769E6" w14:textId="77777777" w:rsidR="003C6EE7" w:rsidRDefault="003C6EE7" w:rsidP="001F7798">
      <w:pPr>
        <w:pStyle w:val="NormalWeb"/>
        <w:spacing w:line="360" w:lineRule="auto"/>
        <w:ind w:left="720" w:hanging="720"/>
        <w:jc w:val="both"/>
      </w:pPr>
      <w:r>
        <w:t xml:space="preserve">Bronick CJ, Lal R (2005) Manuring and rotation effects on soil organic carbon concentration for different aggregate size fractions on two soils in northeastern Ohio, USA. </w:t>
      </w:r>
      <w:r w:rsidRPr="003C6EE7">
        <w:rPr>
          <w:i/>
        </w:rPr>
        <w:t>Soil Tillage</w:t>
      </w:r>
      <w:r>
        <w:rPr>
          <w:i/>
        </w:rPr>
        <w:t xml:space="preserve"> </w:t>
      </w:r>
      <w:proofErr w:type="gramStart"/>
      <w:r>
        <w:rPr>
          <w:i/>
        </w:rPr>
        <w:t xml:space="preserve">and </w:t>
      </w:r>
      <w:r w:rsidRPr="003C6EE7">
        <w:rPr>
          <w:i/>
        </w:rPr>
        <w:t xml:space="preserve"> Research</w:t>
      </w:r>
      <w:proofErr w:type="gramEnd"/>
      <w:r>
        <w:rPr>
          <w:i/>
        </w:rPr>
        <w:t>,</w:t>
      </w:r>
      <w:r>
        <w:t xml:space="preserve"> </w:t>
      </w:r>
      <w:r w:rsidRPr="003C6EE7">
        <w:rPr>
          <w:b/>
        </w:rPr>
        <w:t>81</w:t>
      </w:r>
      <w:r>
        <w:t>: 239-252.</w:t>
      </w:r>
    </w:p>
    <w:p w14:paraId="49968A79" w14:textId="77777777" w:rsidR="00313D90" w:rsidRPr="00313D90" w:rsidRDefault="00313D90" w:rsidP="001F7798">
      <w:pPr>
        <w:pStyle w:val="NormalWeb"/>
        <w:spacing w:line="360" w:lineRule="auto"/>
        <w:ind w:left="720" w:hanging="720"/>
        <w:jc w:val="both"/>
      </w:pPr>
      <w:r w:rsidRPr="00313D90">
        <w:rPr>
          <w:color w:val="222222"/>
          <w:shd w:val="clear" w:color="auto" w:fill="FFFFFF"/>
        </w:rPr>
        <w:t>Centenaro, G., Hudek, C., Zanella, A., &amp; Crivellaro, A. (2018). Root-soil physical and biotic interactions with a focus on tree root systems: A review. </w:t>
      </w:r>
      <w:r w:rsidRPr="00313D90">
        <w:rPr>
          <w:i/>
          <w:iCs/>
          <w:color w:val="222222"/>
          <w:shd w:val="clear" w:color="auto" w:fill="FFFFFF"/>
        </w:rPr>
        <w:t>Applied soil ecology</w:t>
      </w:r>
      <w:r w:rsidRPr="00313D90">
        <w:rPr>
          <w:color w:val="222222"/>
          <w:shd w:val="clear" w:color="auto" w:fill="FFFFFF"/>
        </w:rPr>
        <w:t>, </w:t>
      </w:r>
      <w:r w:rsidRPr="00313D90">
        <w:rPr>
          <w:b/>
          <w:iCs/>
          <w:color w:val="222222"/>
          <w:shd w:val="clear" w:color="auto" w:fill="FFFFFF"/>
        </w:rPr>
        <w:t>123</w:t>
      </w:r>
      <w:r>
        <w:rPr>
          <w:color w:val="222222"/>
          <w:shd w:val="clear" w:color="auto" w:fill="FFFFFF"/>
        </w:rPr>
        <w:t>:</w:t>
      </w:r>
      <w:r w:rsidRPr="00313D90">
        <w:rPr>
          <w:color w:val="222222"/>
          <w:shd w:val="clear" w:color="auto" w:fill="FFFFFF"/>
        </w:rPr>
        <w:t xml:space="preserve"> 318-327.</w:t>
      </w:r>
    </w:p>
    <w:p w14:paraId="2F4B2FC8" w14:textId="77777777" w:rsidR="00D33602" w:rsidRPr="00B406AB" w:rsidRDefault="00D33602" w:rsidP="001F7798">
      <w:pPr>
        <w:pStyle w:val="NormalWeb"/>
        <w:spacing w:line="360" w:lineRule="auto"/>
        <w:ind w:left="720" w:hanging="720"/>
        <w:jc w:val="both"/>
      </w:pPr>
      <w:r w:rsidRPr="00B406AB">
        <w:t xml:space="preserve">Crowther, T.W., Glick, H.B. Covey, K.R. </w:t>
      </w:r>
      <w:proofErr w:type="spellStart"/>
      <w:r w:rsidRPr="00B406AB">
        <w:t>Bettigole</w:t>
      </w:r>
      <w:proofErr w:type="spellEnd"/>
      <w:r w:rsidRPr="00B406AB">
        <w:t xml:space="preserve">, C. Maynard, D.S. Thomas, S.M. Smith, J.R. Hintler, G. Duguid, M.C. Amatulli, G. and </w:t>
      </w:r>
      <w:proofErr w:type="spellStart"/>
      <w:r w:rsidRPr="00B406AB">
        <w:t>Tuanmu</w:t>
      </w:r>
      <w:proofErr w:type="spellEnd"/>
      <w:r w:rsidRPr="00B406AB">
        <w:t xml:space="preserve">, M.N. 2015. Mapping tree density at a global scale. </w:t>
      </w:r>
      <w:r w:rsidRPr="00B406AB">
        <w:rPr>
          <w:i/>
          <w:iCs/>
        </w:rPr>
        <w:t>Nature</w:t>
      </w:r>
      <w:r w:rsidRPr="00B406AB">
        <w:t xml:space="preserve">, </w:t>
      </w:r>
      <w:r w:rsidRPr="00B406AB">
        <w:rPr>
          <w:b/>
          <w:bCs/>
        </w:rPr>
        <w:t>525</w:t>
      </w:r>
      <w:r w:rsidRPr="00B406AB">
        <w:t xml:space="preserve">(7568): 201-205. </w:t>
      </w:r>
    </w:p>
    <w:p w14:paraId="7274CDBE" w14:textId="77777777" w:rsidR="00B406AB" w:rsidRDefault="00B406AB" w:rsidP="001F7798">
      <w:pPr>
        <w:pStyle w:val="NormalWeb"/>
        <w:spacing w:line="360" w:lineRule="auto"/>
        <w:ind w:left="720" w:hanging="720"/>
        <w:jc w:val="both"/>
      </w:pPr>
      <w:r w:rsidRPr="00B406AB">
        <w:t xml:space="preserve">Keenan, R.J., Reams, G.A. Achard, F. de Freitas, J.V. Grainger, A. and Lindquist, E. 2015. Dynamics of global forest area: Results from the FAO Global Forest Resources Assessment 2015. </w:t>
      </w:r>
      <w:r w:rsidRPr="00B406AB">
        <w:rPr>
          <w:i/>
          <w:iCs/>
        </w:rPr>
        <w:t xml:space="preserve">Forest Ecology and Management, </w:t>
      </w:r>
      <w:r w:rsidRPr="00B406AB">
        <w:rPr>
          <w:b/>
          <w:bCs/>
        </w:rPr>
        <w:t>352</w:t>
      </w:r>
      <w:r w:rsidRPr="00B406AB">
        <w:t xml:space="preserve">: 9-20. </w:t>
      </w:r>
    </w:p>
    <w:p w14:paraId="0605D3CF" w14:textId="77777777" w:rsidR="002635C8" w:rsidRPr="002635C8" w:rsidRDefault="002635C8" w:rsidP="001F7798">
      <w:pPr>
        <w:pStyle w:val="NormalWeb"/>
        <w:spacing w:line="360" w:lineRule="auto"/>
        <w:ind w:left="720" w:hanging="720"/>
        <w:jc w:val="both"/>
      </w:pPr>
      <w:r w:rsidRPr="002635C8">
        <w:rPr>
          <w:color w:val="222222"/>
          <w:shd w:val="clear" w:color="auto" w:fill="FFFFFF"/>
        </w:rPr>
        <w:t>Kemper, W. D., &amp; Koch, E. J. (1966). Aggregate stability of soils from the western portions of the United States and Canada, US Dep. </w:t>
      </w:r>
      <w:r w:rsidRPr="002635C8">
        <w:rPr>
          <w:i/>
          <w:iCs/>
          <w:color w:val="222222"/>
          <w:shd w:val="clear" w:color="auto" w:fill="FFFFFF"/>
        </w:rPr>
        <w:t>Agric. Tech. Bull</w:t>
      </w:r>
      <w:r w:rsidRPr="002635C8">
        <w:rPr>
          <w:color w:val="222222"/>
          <w:shd w:val="clear" w:color="auto" w:fill="FFFFFF"/>
        </w:rPr>
        <w:t>, </w:t>
      </w:r>
      <w:r w:rsidRPr="002635C8">
        <w:rPr>
          <w:i/>
          <w:iCs/>
          <w:color w:val="222222"/>
          <w:shd w:val="clear" w:color="auto" w:fill="FFFFFF"/>
        </w:rPr>
        <w:t>1355</w:t>
      </w:r>
      <w:r w:rsidRPr="002635C8">
        <w:rPr>
          <w:color w:val="222222"/>
          <w:shd w:val="clear" w:color="auto" w:fill="FFFFFF"/>
        </w:rPr>
        <w:t>.</w:t>
      </w:r>
    </w:p>
    <w:p w14:paraId="289B6153" w14:textId="77777777" w:rsidR="002A7086" w:rsidRPr="002A7086" w:rsidRDefault="002A7086" w:rsidP="002A7086">
      <w:pPr>
        <w:pStyle w:val="Default"/>
        <w:spacing w:line="360" w:lineRule="auto"/>
        <w:ind w:left="720" w:hanging="720"/>
        <w:jc w:val="both"/>
      </w:pPr>
      <w:r w:rsidRPr="002A7086">
        <w:t>Li, Y</w:t>
      </w:r>
      <w:r w:rsidR="000A427F">
        <w:t>., Westlund, H. and Liu, Y. 2024</w:t>
      </w:r>
      <w:r w:rsidRPr="002A7086">
        <w:t xml:space="preserve">. Why some rural areas decline </w:t>
      </w:r>
      <w:proofErr w:type="gramStart"/>
      <w:r w:rsidRPr="002A7086">
        <w:t>while  some</w:t>
      </w:r>
      <w:proofErr w:type="gramEnd"/>
      <w:r w:rsidRPr="002A7086">
        <w:t xml:space="preserve"> others not: An overview of rural evolution in the world. </w:t>
      </w:r>
      <w:r w:rsidRPr="002A7086">
        <w:rPr>
          <w:i/>
          <w:iCs/>
        </w:rPr>
        <w:t>Journal of Rural Studies</w:t>
      </w:r>
      <w:r w:rsidRPr="002A7086">
        <w:t xml:space="preserve">, </w:t>
      </w:r>
      <w:r w:rsidRPr="002A7086">
        <w:rPr>
          <w:b/>
          <w:bCs/>
        </w:rPr>
        <w:t>68</w:t>
      </w:r>
      <w:r w:rsidRPr="002A7086">
        <w:t xml:space="preserve">:135-143. </w:t>
      </w:r>
    </w:p>
    <w:p w14:paraId="6BF17EAC" w14:textId="77777777" w:rsidR="00D2292A" w:rsidRDefault="00D2292A" w:rsidP="00D2292A">
      <w:pPr>
        <w:pStyle w:val="NormalWeb"/>
        <w:spacing w:line="360" w:lineRule="auto"/>
        <w:ind w:left="720" w:hanging="720"/>
        <w:jc w:val="both"/>
      </w:pPr>
      <w:r w:rsidRPr="00D2292A">
        <w:rPr>
          <w:color w:val="222222"/>
          <w:shd w:val="clear" w:color="auto" w:fill="FFFFFF"/>
        </w:rPr>
        <w:t xml:space="preserve">Liu, J. E., Zhang, X., &amp; Zhou, Z. (2019). Quantifying effects of root systems of planted and natural vegetation on rill detachment and erodibility of a </w:t>
      </w:r>
      <w:proofErr w:type="spellStart"/>
      <w:r w:rsidRPr="00D2292A">
        <w:rPr>
          <w:color w:val="222222"/>
          <w:shd w:val="clear" w:color="auto" w:fill="FFFFFF"/>
        </w:rPr>
        <w:t>loessial</w:t>
      </w:r>
      <w:proofErr w:type="spellEnd"/>
      <w:r w:rsidRPr="00D2292A">
        <w:rPr>
          <w:color w:val="222222"/>
          <w:shd w:val="clear" w:color="auto" w:fill="FFFFFF"/>
        </w:rPr>
        <w:t xml:space="preserve"> soil. </w:t>
      </w:r>
      <w:r w:rsidRPr="00D2292A">
        <w:rPr>
          <w:i/>
          <w:iCs/>
          <w:color w:val="222222"/>
          <w:shd w:val="clear" w:color="auto" w:fill="FFFFFF"/>
        </w:rPr>
        <w:t>Soil and Tillage Research</w:t>
      </w:r>
      <w:r w:rsidRPr="00D2292A">
        <w:rPr>
          <w:color w:val="222222"/>
          <w:shd w:val="clear" w:color="auto" w:fill="FFFFFF"/>
        </w:rPr>
        <w:t>, </w:t>
      </w:r>
      <w:r w:rsidRPr="00D2292A">
        <w:rPr>
          <w:b/>
          <w:iCs/>
          <w:color w:val="222222"/>
          <w:shd w:val="clear" w:color="auto" w:fill="FFFFFF"/>
        </w:rPr>
        <w:t>195</w:t>
      </w:r>
      <w:r>
        <w:rPr>
          <w:color w:val="222222"/>
          <w:shd w:val="clear" w:color="auto" w:fill="FFFFFF"/>
        </w:rPr>
        <w:t>:</w:t>
      </w:r>
      <w:r w:rsidRPr="00D2292A">
        <w:rPr>
          <w:color w:val="222222"/>
          <w:shd w:val="clear" w:color="auto" w:fill="FFFFFF"/>
        </w:rPr>
        <w:t xml:space="preserve"> 104420.</w:t>
      </w:r>
    </w:p>
    <w:p w14:paraId="2A957E4D" w14:textId="77777777" w:rsidR="00546E61" w:rsidRDefault="00546E61" w:rsidP="00D2292A">
      <w:pPr>
        <w:pStyle w:val="NormalWeb"/>
        <w:spacing w:line="360" w:lineRule="auto"/>
        <w:ind w:left="720" w:hanging="720"/>
        <w:jc w:val="both"/>
      </w:pPr>
      <w:r w:rsidRPr="00546E61">
        <w:t xml:space="preserve">Llado, S., Lopez-Mondejar, R. and Baldrian, P. 2017. Forest soil bacteria: diversity, involvement in ecosystem processes, and response to global change. </w:t>
      </w:r>
      <w:r w:rsidRPr="00546E61">
        <w:rPr>
          <w:i/>
          <w:iCs/>
        </w:rPr>
        <w:t>Microbiology and Molecular Biology Reviews</w:t>
      </w:r>
      <w:r w:rsidRPr="00546E61">
        <w:t xml:space="preserve">, </w:t>
      </w:r>
      <w:r w:rsidRPr="00546E61">
        <w:rPr>
          <w:b/>
          <w:bCs/>
        </w:rPr>
        <w:t>81</w:t>
      </w:r>
      <w:r w:rsidRPr="00546E61">
        <w:t xml:space="preserve">(2):16. </w:t>
      </w:r>
    </w:p>
    <w:p w14:paraId="441B2684" w14:textId="77777777" w:rsidR="00097B06" w:rsidRDefault="00097B06" w:rsidP="00097B06">
      <w:pPr>
        <w:pStyle w:val="NormalWeb"/>
        <w:spacing w:line="360" w:lineRule="auto"/>
        <w:ind w:left="720" w:hanging="720"/>
        <w:jc w:val="both"/>
        <w:rPr>
          <w:color w:val="222222"/>
          <w:shd w:val="clear" w:color="auto" w:fill="FFFFFF"/>
        </w:rPr>
      </w:pPr>
      <w:r w:rsidRPr="00097B06">
        <w:rPr>
          <w:color w:val="222222"/>
          <w:shd w:val="clear" w:color="auto" w:fill="FFFFFF"/>
        </w:rPr>
        <w:lastRenderedPageBreak/>
        <w:t>Lucas, E., Kennedy, B., Roswall, T., Burgis, C., &amp; Toor, G. S. (2023). Climate change effects on phosphorus loss from agricultural land to water: a review. </w:t>
      </w:r>
      <w:r w:rsidRPr="00097B06">
        <w:rPr>
          <w:i/>
          <w:iCs/>
          <w:color w:val="222222"/>
          <w:shd w:val="clear" w:color="auto" w:fill="FFFFFF"/>
        </w:rPr>
        <w:t>Current Pollution Reports</w:t>
      </w:r>
      <w:r w:rsidRPr="00097B06">
        <w:rPr>
          <w:color w:val="222222"/>
          <w:shd w:val="clear" w:color="auto" w:fill="FFFFFF"/>
        </w:rPr>
        <w:t>, </w:t>
      </w:r>
      <w:r w:rsidRPr="00097B06">
        <w:rPr>
          <w:b/>
          <w:iCs/>
          <w:color w:val="222222"/>
          <w:shd w:val="clear" w:color="auto" w:fill="FFFFFF"/>
        </w:rPr>
        <w:t>9</w:t>
      </w:r>
      <w:r>
        <w:rPr>
          <w:color w:val="222222"/>
          <w:shd w:val="clear" w:color="auto" w:fill="FFFFFF"/>
        </w:rPr>
        <w:t xml:space="preserve">(4): </w:t>
      </w:r>
      <w:r w:rsidRPr="00097B06">
        <w:rPr>
          <w:color w:val="222222"/>
          <w:shd w:val="clear" w:color="auto" w:fill="FFFFFF"/>
        </w:rPr>
        <w:t>623-645.</w:t>
      </w:r>
    </w:p>
    <w:p w14:paraId="60A167EC" w14:textId="77777777" w:rsidR="003155D4" w:rsidRPr="003155D4" w:rsidRDefault="003155D4" w:rsidP="00097B06">
      <w:pPr>
        <w:pStyle w:val="NormalWeb"/>
        <w:spacing w:line="360" w:lineRule="auto"/>
        <w:ind w:left="720" w:hanging="720"/>
        <w:jc w:val="both"/>
      </w:pPr>
      <w:proofErr w:type="spellStart"/>
      <w:r w:rsidRPr="003155D4">
        <w:rPr>
          <w:color w:val="222222"/>
          <w:shd w:val="clear" w:color="auto" w:fill="FFFFFF"/>
        </w:rPr>
        <w:t>Masruroh</w:t>
      </w:r>
      <w:proofErr w:type="spellEnd"/>
      <w:r w:rsidRPr="003155D4">
        <w:rPr>
          <w:color w:val="222222"/>
          <w:shd w:val="clear" w:color="auto" w:fill="FFFFFF"/>
        </w:rPr>
        <w:t>, H., Irawan, L. Y., &amp; Anam, C. (2025). Comprehensive spatial analysis landslide susceptibility modelling, spatial cluster analysis and priority zoning for environment analysis. </w:t>
      </w:r>
      <w:r w:rsidRPr="003155D4">
        <w:rPr>
          <w:i/>
          <w:iCs/>
          <w:color w:val="222222"/>
          <w:shd w:val="clear" w:color="auto" w:fill="FFFFFF"/>
        </w:rPr>
        <w:t>International Journal of Environmental Science and Technology</w:t>
      </w:r>
      <w:r w:rsidRPr="003155D4">
        <w:rPr>
          <w:color w:val="222222"/>
          <w:shd w:val="clear" w:color="auto" w:fill="FFFFFF"/>
        </w:rPr>
        <w:t>, </w:t>
      </w:r>
      <w:r w:rsidRPr="003155D4">
        <w:rPr>
          <w:b/>
          <w:iCs/>
          <w:color w:val="222222"/>
          <w:shd w:val="clear" w:color="auto" w:fill="FFFFFF"/>
        </w:rPr>
        <w:t>22</w:t>
      </w:r>
      <w:r>
        <w:rPr>
          <w:color w:val="222222"/>
          <w:shd w:val="clear" w:color="auto" w:fill="FFFFFF"/>
        </w:rPr>
        <w:t xml:space="preserve">(7): </w:t>
      </w:r>
      <w:r w:rsidRPr="003155D4">
        <w:rPr>
          <w:color w:val="222222"/>
          <w:shd w:val="clear" w:color="auto" w:fill="FFFFFF"/>
        </w:rPr>
        <w:t xml:space="preserve"> 5555-5576.</w:t>
      </w:r>
    </w:p>
    <w:p w14:paraId="2B1CBE00" w14:textId="77777777" w:rsidR="001D1B39" w:rsidRDefault="001D1B39" w:rsidP="001D1B39">
      <w:pPr>
        <w:pStyle w:val="NormalWeb"/>
        <w:spacing w:line="360" w:lineRule="auto"/>
        <w:ind w:left="720" w:hanging="720"/>
        <w:jc w:val="both"/>
        <w:rPr>
          <w:color w:val="222222"/>
          <w:shd w:val="clear" w:color="auto" w:fill="FFFFFF"/>
        </w:rPr>
      </w:pPr>
      <w:r w:rsidRPr="001D1B39">
        <w:rPr>
          <w:color w:val="222222"/>
          <w:shd w:val="clear" w:color="auto" w:fill="FFFFFF"/>
        </w:rPr>
        <w:t>Naresh, R. K., Timsina, J., Bhaskar, S., Gupta, R. K., Singh, A. K., Dhaliwal, S. S., ... &amp; Mahajan, N. C. (2017). Effects of tillage, residue and nutrient management on soil organic carbon dynamics and its fractions, soil aggregate stability and soil carbon sequestration: A review. </w:t>
      </w:r>
      <w:r w:rsidRPr="001D1B39">
        <w:rPr>
          <w:i/>
          <w:iCs/>
          <w:color w:val="222222"/>
          <w:shd w:val="clear" w:color="auto" w:fill="FFFFFF"/>
        </w:rPr>
        <w:t>EC Nutrition</w:t>
      </w:r>
      <w:r w:rsidRPr="001D1B39">
        <w:rPr>
          <w:color w:val="222222"/>
          <w:shd w:val="clear" w:color="auto" w:fill="FFFFFF"/>
        </w:rPr>
        <w:t>, </w:t>
      </w:r>
      <w:r w:rsidRPr="001D1B39">
        <w:rPr>
          <w:b/>
          <w:iCs/>
          <w:color w:val="222222"/>
          <w:shd w:val="clear" w:color="auto" w:fill="FFFFFF"/>
        </w:rPr>
        <w:t>12</w:t>
      </w:r>
      <w:r>
        <w:rPr>
          <w:color w:val="222222"/>
          <w:shd w:val="clear" w:color="auto" w:fill="FFFFFF"/>
        </w:rPr>
        <w:t xml:space="preserve">(2): </w:t>
      </w:r>
      <w:r w:rsidRPr="001D1B39">
        <w:rPr>
          <w:color w:val="222222"/>
          <w:shd w:val="clear" w:color="auto" w:fill="FFFFFF"/>
        </w:rPr>
        <w:t>53-80.</w:t>
      </w:r>
    </w:p>
    <w:p w14:paraId="08B1C3BF" w14:textId="77777777" w:rsidR="000B0779" w:rsidRPr="000B0779" w:rsidRDefault="000B0779" w:rsidP="001D1B39">
      <w:pPr>
        <w:pStyle w:val="NormalWeb"/>
        <w:spacing w:line="360" w:lineRule="auto"/>
        <w:ind w:left="720" w:hanging="720"/>
        <w:jc w:val="both"/>
      </w:pPr>
      <w:r w:rsidRPr="000B0779">
        <w:rPr>
          <w:color w:val="222222"/>
          <w:shd w:val="clear" w:color="auto" w:fill="FFFFFF"/>
        </w:rPr>
        <w:t>Nugroho, P. A. (2024). </w:t>
      </w:r>
      <w:r w:rsidRPr="000B0779">
        <w:rPr>
          <w:i/>
          <w:iCs/>
          <w:color w:val="222222"/>
          <w:shd w:val="clear" w:color="auto" w:fill="FFFFFF"/>
        </w:rPr>
        <w:t>Indicative Soil Biological Parameters in Long-Term Conventional and Conservation Tillage Experiment</w:t>
      </w:r>
      <w:r w:rsidRPr="000B0779">
        <w:rPr>
          <w:color w:val="222222"/>
          <w:shd w:val="clear" w:color="auto" w:fill="FFFFFF"/>
        </w:rPr>
        <w:t xml:space="preserve"> (Doctoral dissertation, Magyar </w:t>
      </w:r>
      <w:proofErr w:type="spellStart"/>
      <w:r w:rsidRPr="000B0779">
        <w:rPr>
          <w:color w:val="222222"/>
          <w:shd w:val="clear" w:color="auto" w:fill="FFFFFF"/>
        </w:rPr>
        <w:t>Agrár-és</w:t>
      </w:r>
      <w:proofErr w:type="spellEnd"/>
      <w:r w:rsidRPr="000B0779">
        <w:rPr>
          <w:color w:val="222222"/>
          <w:shd w:val="clear" w:color="auto" w:fill="FFFFFF"/>
        </w:rPr>
        <w:t xml:space="preserve"> </w:t>
      </w:r>
      <w:proofErr w:type="spellStart"/>
      <w:r w:rsidRPr="000B0779">
        <w:rPr>
          <w:color w:val="222222"/>
          <w:shd w:val="clear" w:color="auto" w:fill="FFFFFF"/>
        </w:rPr>
        <w:t>Élettudományi</w:t>
      </w:r>
      <w:proofErr w:type="spellEnd"/>
      <w:r w:rsidRPr="000B0779">
        <w:rPr>
          <w:color w:val="222222"/>
          <w:shd w:val="clear" w:color="auto" w:fill="FFFFFF"/>
        </w:rPr>
        <w:t xml:space="preserve"> </w:t>
      </w:r>
      <w:proofErr w:type="spellStart"/>
      <w:r w:rsidRPr="000B0779">
        <w:rPr>
          <w:color w:val="222222"/>
          <w:shd w:val="clear" w:color="auto" w:fill="FFFFFF"/>
        </w:rPr>
        <w:t>Egyetem</w:t>
      </w:r>
      <w:proofErr w:type="spellEnd"/>
      <w:r w:rsidRPr="000B0779">
        <w:rPr>
          <w:color w:val="222222"/>
          <w:shd w:val="clear" w:color="auto" w:fill="FFFFFF"/>
        </w:rPr>
        <w:t>).</w:t>
      </w:r>
    </w:p>
    <w:p w14:paraId="26AF1D47" w14:textId="77777777" w:rsidR="00CD2DC1" w:rsidRPr="00CD2DC1" w:rsidRDefault="00CD2DC1" w:rsidP="001F7798">
      <w:pPr>
        <w:pStyle w:val="NormalWeb"/>
        <w:spacing w:line="360" w:lineRule="auto"/>
        <w:ind w:left="720" w:hanging="720"/>
        <w:jc w:val="both"/>
      </w:pPr>
      <w:r w:rsidRPr="00CD2DC1">
        <w:rPr>
          <w:color w:val="222222"/>
          <w:shd w:val="clear" w:color="auto" w:fill="FFFFFF"/>
        </w:rPr>
        <w:t>Sharma, U. C., Datta, M., &amp; Sharma, V. (2023). Soils of HKH Region. In </w:t>
      </w:r>
      <w:r w:rsidRPr="00CD2DC1">
        <w:rPr>
          <w:i/>
          <w:iCs/>
          <w:color w:val="222222"/>
          <w:shd w:val="clear" w:color="auto" w:fill="FFFFFF"/>
        </w:rPr>
        <w:t>Soils in the Hindu Kush Himalayas: Management for Agricultural Land Use</w:t>
      </w:r>
      <w:r w:rsidRPr="00CD2DC1">
        <w:rPr>
          <w:color w:val="222222"/>
          <w:shd w:val="clear" w:color="auto" w:fill="FFFFFF"/>
        </w:rPr>
        <w:t> (pp. 145-294). Cham: Springer International Publishing.</w:t>
      </w:r>
    </w:p>
    <w:p w14:paraId="2702EAB0" w14:textId="77777777" w:rsidR="00CD2DC1" w:rsidRDefault="001F7798" w:rsidP="00CD2DC1">
      <w:pPr>
        <w:pStyle w:val="NormalWeb"/>
        <w:spacing w:line="360" w:lineRule="auto"/>
        <w:ind w:left="720" w:hanging="720"/>
        <w:jc w:val="both"/>
      </w:pPr>
      <w:r>
        <w:t xml:space="preserve">Singh, J., Ghosh, P., &amp; Ghoshal, S. (2019). Soil aggregation and soil organic carbon storage in relation to land use change in temperate Himalaya. </w:t>
      </w:r>
      <w:r>
        <w:rPr>
          <w:rStyle w:val="Emphasis"/>
        </w:rPr>
        <w:t xml:space="preserve">Geoderma, </w:t>
      </w:r>
      <w:r w:rsidRPr="001F7798">
        <w:rPr>
          <w:rStyle w:val="Emphasis"/>
          <w:b/>
          <w:i w:val="0"/>
        </w:rPr>
        <w:t>353</w:t>
      </w:r>
      <w:r w:rsidRPr="001F7798">
        <w:rPr>
          <w:b/>
        </w:rPr>
        <w:t>:</w:t>
      </w:r>
      <w:r w:rsidRPr="001F7798">
        <w:t xml:space="preserve"> </w:t>
      </w:r>
      <w:r>
        <w:t>65–75</w:t>
      </w:r>
    </w:p>
    <w:p w14:paraId="35F216C3" w14:textId="77777777" w:rsidR="00225E64" w:rsidRPr="00CD2DC1" w:rsidRDefault="00225E64" w:rsidP="00CD2DC1">
      <w:pPr>
        <w:pStyle w:val="NormalWeb"/>
        <w:spacing w:line="360" w:lineRule="auto"/>
        <w:ind w:left="720" w:hanging="720"/>
        <w:jc w:val="both"/>
      </w:pPr>
      <w:r w:rsidRPr="00225E64">
        <w:rPr>
          <w:color w:val="222222"/>
          <w:shd w:val="clear" w:color="auto" w:fill="FFFFFF"/>
        </w:rPr>
        <w:t>Sithole, N. J., Magwaza, L. S., &amp; Thibaud, G. R. (2019). Long-term impact of no-till conservation agriculture and N-fertilizer on soil aggregate stability, infiltration and distribution of C in different size fractions. </w:t>
      </w:r>
      <w:r w:rsidRPr="00225E64">
        <w:rPr>
          <w:i/>
          <w:iCs/>
          <w:color w:val="222222"/>
          <w:shd w:val="clear" w:color="auto" w:fill="FFFFFF"/>
        </w:rPr>
        <w:t>Soil and Tillage Research</w:t>
      </w:r>
      <w:r w:rsidRPr="00225E64">
        <w:rPr>
          <w:color w:val="222222"/>
          <w:shd w:val="clear" w:color="auto" w:fill="FFFFFF"/>
        </w:rPr>
        <w:t>, </w:t>
      </w:r>
      <w:r w:rsidRPr="00225E64">
        <w:rPr>
          <w:b/>
          <w:iCs/>
          <w:color w:val="222222"/>
          <w:shd w:val="clear" w:color="auto" w:fill="FFFFFF"/>
        </w:rPr>
        <w:t>190</w:t>
      </w:r>
      <w:r>
        <w:rPr>
          <w:color w:val="222222"/>
          <w:shd w:val="clear" w:color="auto" w:fill="FFFFFF"/>
        </w:rPr>
        <w:t>:</w:t>
      </w:r>
      <w:r w:rsidRPr="00225E64">
        <w:rPr>
          <w:color w:val="222222"/>
          <w:shd w:val="clear" w:color="auto" w:fill="FFFFFF"/>
        </w:rPr>
        <w:t xml:space="preserve"> 147-156.</w:t>
      </w:r>
    </w:p>
    <w:p w14:paraId="236012DB" w14:textId="77777777" w:rsidR="005B0029" w:rsidRDefault="005B0029" w:rsidP="001F7798">
      <w:pPr>
        <w:pStyle w:val="NormalWeb"/>
        <w:spacing w:line="360" w:lineRule="auto"/>
        <w:ind w:left="720" w:hanging="720"/>
        <w:jc w:val="both"/>
        <w:rPr>
          <w:color w:val="222222"/>
          <w:shd w:val="clear" w:color="auto" w:fill="FFFFFF"/>
        </w:rPr>
      </w:pPr>
      <w:r w:rsidRPr="005B0029">
        <w:rPr>
          <w:color w:val="222222"/>
          <w:shd w:val="clear" w:color="auto" w:fill="FFFFFF"/>
        </w:rPr>
        <w:lastRenderedPageBreak/>
        <w:t>Six, J., Elliott, E. T., &amp; Paustian, K. (2000). Soil structure and soil organic matter II. A normalized stability index and the effect of mineralogy. </w:t>
      </w:r>
      <w:r w:rsidRPr="005B0029">
        <w:rPr>
          <w:i/>
          <w:iCs/>
          <w:color w:val="222222"/>
          <w:shd w:val="clear" w:color="auto" w:fill="FFFFFF"/>
        </w:rPr>
        <w:t>Soil Science Society of America Journal</w:t>
      </w:r>
      <w:r w:rsidRPr="005B0029">
        <w:rPr>
          <w:color w:val="222222"/>
          <w:shd w:val="clear" w:color="auto" w:fill="FFFFFF"/>
        </w:rPr>
        <w:t>, </w:t>
      </w:r>
      <w:r w:rsidRPr="005B0029">
        <w:rPr>
          <w:b/>
          <w:iCs/>
          <w:color w:val="222222"/>
          <w:shd w:val="clear" w:color="auto" w:fill="FFFFFF"/>
        </w:rPr>
        <w:t>64</w:t>
      </w:r>
      <w:r>
        <w:rPr>
          <w:color w:val="222222"/>
          <w:shd w:val="clear" w:color="auto" w:fill="FFFFFF"/>
        </w:rPr>
        <w:t xml:space="preserve">(3): </w:t>
      </w:r>
      <w:r w:rsidRPr="005B0029">
        <w:rPr>
          <w:color w:val="222222"/>
          <w:shd w:val="clear" w:color="auto" w:fill="FFFFFF"/>
        </w:rPr>
        <w:t>1042-1049.</w:t>
      </w:r>
    </w:p>
    <w:p w14:paraId="37C01122" w14:textId="77777777" w:rsidR="00057C98" w:rsidRPr="00057C98" w:rsidRDefault="00057C98" w:rsidP="001F7798">
      <w:pPr>
        <w:pStyle w:val="NormalWeb"/>
        <w:spacing w:line="360" w:lineRule="auto"/>
        <w:ind w:left="720" w:hanging="720"/>
        <w:jc w:val="both"/>
      </w:pPr>
      <w:r w:rsidRPr="00057C98">
        <w:rPr>
          <w:color w:val="222222"/>
          <w:shd w:val="clear" w:color="auto" w:fill="FFFFFF"/>
        </w:rPr>
        <w:t>Six, J., Frey, S. D., Thiet, R. K., &amp; Batten, K. M. (2006). Bacterial and fungal contributions to carbon sequestration in agroecosystems. </w:t>
      </w:r>
      <w:r w:rsidRPr="00057C98">
        <w:rPr>
          <w:i/>
          <w:iCs/>
          <w:color w:val="222222"/>
          <w:shd w:val="clear" w:color="auto" w:fill="FFFFFF"/>
        </w:rPr>
        <w:t>Soil Science Society of America Journal</w:t>
      </w:r>
      <w:r w:rsidRPr="00057C98">
        <w:rPr>
          <w:color w:val="222222"/>
          <w:shd w:val="clear" w:color="auto" w:fill="FFFFFF"/>
        </w:rPr>
        <w:t>, </w:t>
      </w:r>
      <w:r w:rsidRPr="00057C98">
        <w:rPr>
          <w:b/>
          <w:iCs/>
          <w:color w:val="222222"/>
          <w:shd w:val="clear" w:color="auto" w:fill="FFFFFF"/>
        </w:rPr>
        <w:t>70</w:t>
      </w:r>
      <w:r>
        <w:rPr>
          <w:color w:val="222222"/>
          <w:shd w:val="clear" w:color="auto" w:fill="FFFFFF"/>
        </w:rPr>
        <w:t>(2):</w:t>
      </w:r>
      <w:r w:rsidRPr="00057C98">
        <w:rPr>
          <w:color w:val="222222"/>
          <w:shd w:val="clear" w:color="auto" w:fill="FFFFFF"/>
        </w:rPr>
        <w:t xml:space="preserve"> 555-569.</w:t>
      </w:r>
    </w:p>
    <w:p w14:paraId="5E5E1A52" w14:textId="77777777" w:rsidR="001F7798" w:rsidRDefault="001F7798" w:rsidP="001F7798">
      <w:pPr>
        <w:pStyle w:val="NormalWeb"/>
        <w:spacing w:line="360" w:lineRule="auto"/>
        <w:ind w:left="720" w:hanging="720"/>
        <w:jc w:val="both"/>
      </w:pPr>
      <w:r>
        <w:t xml:space="preserve">Spurgeon, D. J., Keith, A. M., Schmidt, O., </w:t>
      </w:r>
      <w:proofErr w:type="spellStart"/>
      <w:r>
        <w:t>Lammertsma</w:t>
      </w:r>
      <w:proofErr w:type="spellEnd"/>
      <w:r>
        <w:t xml:space="preserve">, D. R., &amp; Faber, J. H. (2013). Land use and land management change: Relationships with earthworm and fungi communities and soil structural properties. </w:t>
      </w:r>
      <w:r>
        <w:rPr>
          <w:rStyle w:val="Emphasis"/>
        </w:rPr>
        <w:t xml:space="preserve">BMC Ecology, </w:t>
      </w:r>
      <w:r w:rsidRPr="001F7798">
        <w:rPr>
          <w:rStyle w:val="Emphasis"/>
          <w:b/>
          <w:i w:val="0"/>
        </w:rPr>
        <w:t>13</w:t>
      </w:r>
      <w:r>
        <w:t>(1): 46</w:t>
      </w:r>
    </w:p>
    <w:p w14:paraId="5B2494E1" w14:textId="77777777" w:rsidR="00AF0789" w:rsidRDefault="003115EF" w:rsidP="001F7798">
      <w:pPr>
        <w:pStyle w:val="NormalWeb"/>
        <w:spacing w:line="360" w:lineRule="auto"/>
        <w:ind w:left="720" w:hanging="720"/>
        <w:jc w:val="both"/>
      </w:pPr>
      <w:r>
        <w:t xml:space="preserve">Tisdall, J.M. &amp; </w:t>
      </w:r>
      <w:proofErr w:type="spellStart"/>
      <w:r>
        <w:t>Oades</w:t>
      </w:r>
      <w:proofErr w:type="spellEnd"/>
      <w:r>
        <w:t>, J.M. 1982</w:t>
      </w:r>
      <w:r w:rsidR="00AF0789" w:rsidRPr="00AF0789">
        <w:t xml:space="preserve">. The effect of crop rotation </w:t>
      </w:r>
      <w:proofErr w:type="spellStart"/>
      <w:r w:rsidR="00AF0789" w:rsidRPr="00AF0789">
        <w:t>onaggregation</w:t>
      </w:r>
      <w:proofErr w:type="spellEnd"/>
      <w:r w:rsidR="00AF0789" w:rsidRPr="00AF0789">
        <w:t xml:space="preserve"> in a red brown earth. </w:t>
      </w:r>
      <w:r w:rsidR="00AF0789" w:rsidRPr="00AF0789">
        <w:rPr>
          <w:i/>
        </w:rPr>
        <w:t>Australian Journal of Soil</w:t>
      </w:r>
      <w:r w:rsidR="00AF0789">
        <w:rPr>
          <w:i/>
        </w:rPr>
        <w:t xml:space="preserve"> </w:t>
      </w:r>
      <w:r w:rsidR="00AF0789" w:rsidRPr="00AF0789">
        <w:rPr>
          <w:i/>
        </w:rPr>
        <w:t>Research</w:t>
      </w:r>
      <w:r w:rsidR="00AF0789" w:rsidRPr="00AF0789">
        <w:t xml:space="preserve">, </w:t>
      </w:r>
      <w:r w:rsidR="00AF0789" w:rsidRPr="00AF0789">
        <w:rPr>
          <w:b/>
        </w:rPr>
        <w:t>18</w:t>
      </w:r>
      <w:r w:rsidR="00AF0789">
        <w:t>:</w:t>
      </w:r>
      <w:r w:rsidR="00AF0789" w:rsidRPr="00AF0789">
        <w:t xml:space="preserve"> 423–433</w:t>
      </w:r>
    </w:p>
    <w:p w14:paraId="25705475" w14:textId="77777777" w:rsidR="001F7798" w:rsidRDefault="001F7798" w:rsidP="001F7798">
      <w:pPr>
        <w:pStyle w:val="NormalWeb"/>
        <w:spacing w:line="360" w:lineRule="auto"/>
        <w:ind w:left="720" w:hanging="720"/>
        <w:jc w:val="both"/>
      </w:pPr>
      <w:r>
        <w:t xml:space="preserve">Yoder, R. E. (1936). A direct method of aggregate analysis of soils and a study of the physical nature of erosion losses. </w:t>
      </w:r>
      <w:r>
        <w:rPr>
          <w:rStyle w:val="Emphasis"/>
        </w:rPr>
        <w:t xml:space="preserve">Agronomy Journal, </w:t>
      </w:r>
      <w:r w:rsidRPr="001F7798">
        <w:rPr>
          <w:rStyle w:val="Emphasis"/>
          <w:b/>
          <w:i w:val="0"/>
        </w:rPr>
        <w:t>28</w:t>
      </w:r>
      <w:r>
        <w:t xml:space="preserve">(5): </w:t>
      </w:r>
      <w:r w:rsidR="00814D07">
        <w:t xml:space="preserve"> </w:t>
      </w:r>
      <w:r>
        <w:t xml:space="preserve">337–351. </w:t>
      </w:r>
    </w:p>
    <w:p w14:paraId="6164C260" w14:textId="77777777" w:rsidR="00475412" w:rsidRDefault="00475412" w:rsidP="001F7798">
      <w:pPr>
        <w:pStyle w:val="NormalWeb"/>
        <w:spacing w:line="360" w:lineRule="auto"/>
        <w:ind w:left="720" w:hanging="720"/>
        <w:jc w:val="both"/>
      </w:pPr>
      <w:r w:rsidRPr="00475412">
        <w:rPr>
          <w:color w:val="222222"/>
          <w:shd w:val="clear" w:color="auto" w:fill="FFFFFF"/>
        </w:rPr>
        <w:t>Zhao, F. Z., Fan, X. D., Ren, C. J., Zhang, L., Han, X. H., Yang, G. H., ... &amp; Doughty, R. (2018). Changes of the organic carbon content and stability of soil aggregates affected by soil bacterial community after afforestation. </w:t>
      </w:r>
      <w:r w:rsidRPr="00475412">
        <w:rPr>
          <w:i/>
          <w:iCs/>
          <w:color w:val="222222"/>
          <w:shd w:val="clear" w:color="auto" w:fill="FFFFFF"/>
        </w:rPr>
        <w:t>Catena</w:t>
      </w:r>
      <w:r w:rsidRPr="00475412">
        <w:rPr>
          <w:color w:val="222222"/>
          <w:shd w:val="clear" w:color="auto" w:fill="FFFFFF"/>
        </w:rPr>
        <w:t>, </w:t>
      </w:r>
      <w:r w:rsidRPr="00475412">
        <w:rPr>
          <w:b/>
          <w:iCs/>
          <w:color w:val="222222"/>
          <w:shd w:val="clear" w:color="auto" w:fill="FFFFFF"/>
        </w:rPr>
        <w:t>171</w:t>
      </w:r>
      <w:r>
        <w:rPr>
          <w:color w:val="222222"/>
          <w:shd w:val="clear" w:color="auto" w:fill="FFFFFF"/>
        </w:rPr>
        <w:t>:</w:t>
      </w:r>
      <w:r w:rsidRPr="00475412">
        <w:rPr>
          <w:color w:val="222222"/>
          <w:shd w:val="clear" w:color="auto" w:fill="FFFFFF"/>
        </w:rPr>
        <w:t xml:space="preserve"> 622-631</w:t>
      </w:r>
      <w:r>
        <w:rPr>
          <w:rFonts w:ascii="Arial" w:hAnsi="Arial" w:cs="Arial"/>
          <w:color w:val="222222"/>
          <w:sz w:val="20"/>
          <w:szCs w:val="20"/>
          <w:shd w:val="clear" w:color="auto" w:fill="FFFFFF"/>
        </w:rPr>
        <w:t>.</w:t>
      </w:r>
    </w:p>
    <w:p w14:paraId="7181CDB7" w14:textId="77777777" w:rsidR="00813185" w:rsidRPr="00813185" w:rsidRDefault="00813185" w:rsidP="001F7798">
      <w:pPr>
        <w:pStyle w:val="NormalWeb"/>
        <w:spacing w:line="360" w:lineRule="auto"/>
        <w:ind w:left="720" w:hanging="720"/>
        <w:jc w:val="both"/>
      </w:pPr>
      <w:r w:rsidRPr="00813185">
        <w:t xml:space="preserve">Zhang, T., Liu, Y. Sui, X. Frey, B. and Song, F. 2022. Effects of Land Conversion on Soil Microbial Community Structure and Diversity in </w:t>
      </w:r>
      <w:proofErr w:type="spellStart"/>
      <w:r w:rsidRPr="00813185">
        <w:t>Songnen</w:t>
      </w:r>
      <w:proofErr w:type="spellEnd"/>
      <w:r w:rsidRPr="00813185">
        <w:t xml:space="preserve"> Plain, Northeast China. </w:t>
      </w:r>
      <w:r w:rsidRPr="00813185">
        <w:rPr>
          <w:i/>
          <w:iCs/>
        </w:rPr>
        <w:t>Sustainability</w:t>
      </w:r>
      <w:r w:rsidRPr="00813185">
        <w:t xml:space="preserve">, </w:t>
      </w:r>
      <w:r w:rsidRPr="00813185">
        <w:rPr>
          <w:b/>
          <w:bCs/>
        </w:rPr>
        <w:t>14</w:t>
      </w:r>
      <w:r w:rsidRPr="00813185">
        <w:t>(17): 10767.</w:t>
      </w:r>
    </w:p>
    <w:p w14:paraId="1BBDD474" w14:textId="77777777" w:rsidR="009109BB" w:rsidRDefault="009109BB" w:rsidP="00A71CC0">
      <w:pPr>
        <w:pStyle w:val="NormalWeb"/>
        <w:spacing w:line="360" w:lineRule="auto"/>
        <w:jc w:val="both"/>
      </w:pPr>
    </w:p>
    <w:p w14:paraId="5C8C1A11" w14:textId="77777777" w:rsidR="000D6638" w:rsidRDefault="000D6638" w:rsidP="00A71CC0">
      <w:pPr>
        <w:spacing w:line="360" w:lineRule="auto"/>
        <w:jc w:val="both"/>
      </w:pPr>
    </w:p>
    <w:sectPr w:rsidR="000D6638" w:rsidSect="007F7ABC">
      <w:headerReference w:type="even" r:id="rId14"/>
      <w:headerReference w:type="default" r:id="rId15"/>
      <w:footerReference w:type="even" r:id="rId16"/>
      <w:footerReference w:type="default" r:id="rId17"/>
      <w:headerReference w:type="first" r:id="rId18"/>
      <w:footerReference w:type="first" r:id="rId19"/>
      <w:pgSz w:w="12240" w:h="15840"/>
      <w:pgMar w:top="1701" w:right="2268"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5-12-24T12:29:00Z" w:initials="R">
    <w:p w14:paraId="0006B78E" w14:textId="13C7B4AB" w:rsidR="00E33C21" w:rsidRPr="00E33C21" w:rsidRDefault="00E33C21">
      <w:pPr>
        <w:pStyle w:val="CommentText"/>
        <w:rPr>
          <w:rFonts w:asciiTheme="majorBidi" w:hAnsiTheme="majorBidi" w:cstheme="majorBidi"/>
          <w:sz w:val="22"/>
          <w:szCs w:val="22"/>
        </w:rPr>
      </w:pPr>
      <w:r>
        <w:rPr>
          <w:rStyle w:val="CommentReference"/>
        </w:rPr>
        <w:annotationRef/>
      </w:r>
      <w:r w:rsidRPr="00E33C21">
        <w:rPr>
          <w:rFonts w:asciiTheme="majorBidi" w:hAnsiTheme="majorBidi" w:cstheme="majorBidi"/>
          <w:sz w:val="22"/>
          <w:szCs w:val="22"/>
        </w:rPr>
        <w:t>Consider briefly mentioning the methodological approach (wet sieving and soil metrics) in the abstract to give readers a clear idea of how the conclusions were reached.</w:t>
      </w:r>
    </w:p>
  </w:comment>
  <w:comment w:id="1" w:author="Reviewer" w:date="2025-12-24T12:31:00Z" w:initials="R">
    <w:p w14:paraId="279741AA" w14:textId="1519DACD" w:rsidR="00E33C21" w:rsidRDefault="00E33C21">
      <w:pPr>
        <w:pStyle w:val="CommentText"/>
      </w:pPr>
      <w:r>
        <w:rPr>
          <w:rStyle w:val="CommentReference"/>
        </w:rPr>
        <w:annotationRef/>
      </w:r>
      <w:r w:rsidRPr="00E33C21">
        <w:rPr>
          <w:rFonts w:asciiTheme="majorBidi" w:hAnsiTheme="majorBidi" w:cstheme="majorBidi"/>
          <w:sz w:val="22"/>
          <w:szCs w:val="22"/>
        </w:rPr>
        <w:t>The introduction could briefly highlight any knowledge gaps or previous studies in Kupwara specifically, to better justify the study’s novelty.</w:t>
      </w:r>
    </w:p>
  </w:comment>
  <w:comment w:id="2" w:author="Reviewer" w:date="2025-12-24T12:33:00Z" w:initials="R">
    <w:p w14:paraId="6BE5E754" w14:textId="04F3875C" w:rsidR="00E33C21" w:rsidRDefault="00E33C21">
      <w:pPr>
        <w:pStyle w:val="CommentText"/>
      </w:pPr>
      <w:r>
        <w:rPr>
          <w:rStyle w:val="CommentReference"/>
        </w:rPr>
        <w:annotationRef/>
      </w:r>
      <w:r w:rsidRPr="00E33C21">
        <w:rPr>
          <w:rFonts w:asciiTheme="majorBidi" w:hAnsiTheme="majorBidi" w:cstheme="majorBidi"/>
          <w:sz w:val="22"/>
          <w:szCs w:val="22"/>
        </w:rPr>
        <w:t>It would strengthen clarity if the authors specify the replication per site and the exact number of aggregates used per sample for the wet sieving procedure.</w:t>
      </w:r>
    </w:p>
  </w:comment>
  <w:comment w:id="3" w:author="Reviewer" w:date="2025-12-24T12:47:00Z" w:initials="R">
    <w:p w14:paraId="1C6E7DED" w14:textId="2A847BFA" w:rsidR="00DF78E6" w:rsidRPr="00DF78E6" w:rsidRDefault="00DF78E6">
      <w:pPr>
        <w:pStyle w:val="CommentText"/>
        <w:rPr>
          <w:rFonts w:asciiTheme="majorBidi" w:hAnsiTheme="majorBidi" w:cstheme="majorBidi"/>
        </w:rPr>
      </w:pPr>
      <w:r>
        <w:rPr>
          <w:rStyle w:val="CommentReference"/>
        </w:rPr>
        <w:annotationRef/>
      </w:r>
      <w:r w:rsidRPr="00DF78E6">
        <w:rPr>
          <w:rFonts w:asciiTheme="majorBidi" w:hAnsiTheme="majorBidi" w:cstheme="majorBidi"/>
          <w:sz w:val="22"/>
          <w:szCs w:val="22"/>
        </w:rPr>
        <w:t>The table provides descriptive statistics for forest and agricultural soils, but it does not indicate whether the observed differences are statistically significant. Consider including results of an appropriate statistical test (e.g., t-test or ANOVA) with p-values to support the claim that forest soils have higher aggregate stability than agricultural soils</w:t>
      </w:r>
      <w:r w:rsidRPr="00DF78E6">
        <w:rPr>
          <w:rFonts w:asciiTheme="majorBidi" w:hAnsiTheme="majorBidi" w:cstheme="majorBidi"/>
          <w:sz w:val="22"/>
          <w:szCs w:val="22"/>
        </w:rPr>
        <w:t>.</w:t>
      </w:r>
    </w:p>
  </w:comment>
  <w:comment w:id="4" w:author="Reviewer" w:date="2025-12-24T12:41:00Z" w:initials="R">
    <w:p w14:paraId="5EA2B886" w14:textId="6142C494" w:rsidR="00DF78E6" w:rsidRPr="00DF78E6" w:rsidRDefault="00DF78E6">
      <w:pPr>
        <w:pStyle w:val="CommentText"/>
        <w:rPr>
          <w:rFonts w:asciiTheme="majorBidi" w:hAnsiTheme="majorBidi" w:cstheme="majorBidi"/>
        </w:rPr>
      </w:pPr>
      <w:r>
        <w:rPr>
          <w:rStyle w:val="CommentReference"/>
        </w:rPr>
        <w:annotationRef/>
      </w:r>
      <w:r w:rsidRPr="00DF78E6">
        <w:rPr>
          <w:rFonts w:asciiTheme="majorBidi" w:hAnsiTheme="majorBidi" w:cstheme="majorBidi"/>
          <w:sz w:val="22"/>
          <w:szCs w:val="22"/>
        </w:rPr>
        <w:t>It is recommended to add a short explanatory caption below each figure summarizing the main trends (higher mean in forest, wider spread in agricultural soils) for easier visual interpretation. Additionally, figure titles should be placed outside the figures rather than embedded within them.</w:t>
      </w:r>
      <w:r>
        <w:rPr>
          <w:rFonts w:asciiTheme="majorBidi" w:hAnsiTheme="majorBidi" w:cstheme="majorBidi"/>
          <w:sz w:val="22"/>
          <w:szCs w:val="22"/>
        </w:rPr>
        <w:t xml:space="preserve"> Fig 2 &amp; 3</w:t>
      </w:r>
    </w:p>
  </w:comment>
  <w:comment w:id="5" w:author="Reviewer" w:date="2025-12-24T12:43:00Z" w:initials="R">
    <w:p w14:paraId="597C480B" w14:textId="265816C6" w:rsidR="00DF78E6" w:rsidRPr="00DF78E6" w:rsidRDefault="00DF78E6">
      <w:pPr>
        <w:pStyle w:val="CommentText"/>
        <w:rPr>
          <w:rFonts w:asciiTheme="majorBidi" w:hAnsiTheme="majorBidi" w:cstheme="majorBidi"/>
        </w:rPr>
      </w:pPr>
      <w:r>
        <w:rPr>
          <w:rStyle w:val="CommentReference"/>
        </w:rPr>
        <w:annotationRef/>
      </w:r>
      <w:r w:rsidRPr="00DF78E6">
        <w:rPr>
          <w:rFonts w:asciiTheme="majorBidi" w:hAnsiTheme="majorBidi" w:cstheme="majorBidi"/>
          <w:sz w:val="22"/>
          <w:szCs w:val="22"/>
        </w:rPr>
        <w:t>The discussion could briefly relate findings to potential management interventions in Kupwara, suggesting actionable practices beyond general reduced tillage or residue retention.</w:t>
      </w:r>
    </w:p>
  </w:comment>
  <w:comment w:id="6" w:author="Reviewer" w:date="2025-12-24T12:36:00Z" w:initials="R">
    <w:p w14:paraId="085DA367" w14:textId="5F7802A3" w:rsidR="00E33C21" w:rsidRPr="00E33C21" w:rsidRDefault="00E33C21">
      <w:pPr>
        <w:pStyle w:val="CommentText"/>
        <w:rPr>
          <w:rFonts w:asciiTheme="majorBidi" w:hAnsiTheme="majorBidi" w:cstheme="majorBidi"/>
          <w:sz w:val="22"/>
          <w:szCs w:val="22"/>
        </w:rPr>
      </w:pPr>
      <w:r w:rsidRPr="00E33C21">
        <w:rPr>
          <w:rStyle w:val="CommentReference"/>
          <w:rFonts w:asciiTheme="majorBidi" w:hAnsiTheme="majorBidi" w:cstheme="majorBidi"/>
          <w:sz w:val="22"/>
          <w:szCs w:val="22"/>
        </w:rPr>
        <w:annotationRef/>
      </w:r>
      <w:r w:rsidRPr="00E33C21">
        <w:rPr>
          <w:rFonts w:asciiTheme="majorBidi" w:hAnsiTheme="majorBidi" w:cstheme="majorBidi"/>
          <w:sz w:val="22"/>
          <w:szCs w:val="22"/>
        </w:rPr>
        <w:t>The discussion could briefly relate findings to potential management interventions in Kupwara, suggesting actionable practices beyond general reduced tillage or residue retention.</w:t>
      </w:r>
    </w:p>
  </w:comment>
  <w:comment w:id="7" w:author="Reviewer" w:date="2025-12-24T12:38:00Z" w:initials="R">
    <w:p w14:paraId="1A0A016E" w14:textId="052BC50F" w:rsidR="00E33C21" w:rsidRDefault="00E33C21">
      <w:pPr>
        <w:pStyle w:val="CommentText"/>
      </w:pPr>
      <w:r>
        <w:rPr>
          <w:rStyle w:val="CommentReference"/>
        </w:rPr>
        <w:annotationRef/>
      </w:r>
      <w:r w:rsidRPr="00E33C21">
        <w:rPr>
          <w:rFonts w:asciiTheme="majorBidi" w:hAnsiTheme="majorBidi" w:cstheme="majorBidi"/>
          <w:sz w:val="22"/>
          <w:szCs w:val="22"/>
        </w:rPr>
        <w:t>Consider adding a forward-looking statement regarding future research or long-term monitoring to strengthen the manuscript’s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6B78E" w15:done="0"/>
  <w15:commentEx w15:paraId="279741AA" w15:done="0"/>
  <w15:commentEx w15:paraId="6BE5E754" w15:done="0"/>
  <w15:commentEx w15:paraId="1C6E7DED" w15:done="0"/>
  <w15:commentEx w15:paraId="5EA2B886" w15:done="0"/>
  <w15:commentEx w15:paraId="597C480B" w15:done="0"/>
  <w15:commentEx w15:paraId="085DA367" w15:done="0"/>
  <w15:commentEx w15:paraId="1A0A0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65B38" w16cex:dateUtc="2025-12-24T08:59:00Z"/>
  <w16cex:commentExtensible w16cex:durableId="2CF65BA3" w16cex:dateUtc="2025-12-24T09:01:00Z"/>
  <w16cex:commentExtensible w16cex:durableId="2CF65C2A" w16cex:dateUtc="2025-12-24T09:03:00Z"/>
  <w16cex:commentExtensible w16cex:durableId="2CF65F4E" w16cex:dateUtc="2025-12-24T09:17:00Z"/>
  <w16cex:commentExtensible w16cex:durableId="2CF65DDE" w16cex:dateUtc="2025-12-24T09:11:00Z"/>
  <w16cex:commentExtensible w16cex:durableId="2CF65E85" w16cex:dateUtc="2025-12-24T09:13:00Z"/>
  <w16cex:commentExtensible w16cex:durableId="2CF65CDF" w16cex:dateUtc="2025-12-24T09:06:00Z"/>
  <w16cex:commentExtensible w16cex:durableId="2CF65D42" w16cex:dateUtc="2025-12-24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6B78E" w16cid:durableId="2CF65B38"/>
  <w16cid:commentId w16cid:paraId="279741AA" w16cid:durableId="2CF65BA3"/>
  <w16cid:commentId w16cid:paraId="6BE5E754" w16cid:durableId="2CF65C2A"/>
  <w16cid:commentId w16cid:paraId="1C6E7DED" w16cid:durableId="2CF65F4E"/>
  <w16cid:commentId w16cid:paraId="5EA2B886" w16cid:durableId="2CF65DDE"/>
  <w16cid:commentId w16cid:paraId="597C480B" w16cid:durableId="2CF65E85"/>
  <w16cid:commentId w16cid:paraId="085DA367" w16cid:durableId="2CF65CDF"/>
  <w16cid:commentId w16cid:paraId="1A0A016E" w16cid:durableId="2CF65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7F80" w14:textId="77777777" w:rsidR="00181DA1" w:rsidRDefault="00181DA1" w:rsidP="00F32B20">
      <w:pPr>
        <w:spacing w:after="0" w:line="240" w:lineRule="auto"/>
      </w:pPr>
      <w:r>
        <w:separator/>
      </w:r>
    </w:p>
  </w:endnote>
  <w:endnote w:type="continuationSeparator" w:id="0">
    <w:p w14:paraId="7ADDEE6F" w14:textId="77777777" w:rsidR="00181DA1" w:rsidRDefault="00181DA1" w:rsidP="00F3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8DEC" w14:textId="77777777" w:rsidR="00F32B20" w:rsidRDefault="00F3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C541" w14:textId="77777777" w:rsidR="00F32B20" w:rsidRDefault="00F32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D663" w14:textId="77777777" w:rsidR="00F32B20" w:rsidRDefault="00F3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9955" w14:textId="77777777" w:rsidR="00181DA1" w:rsidRDefault="00181DA1" w:rsidP="00F32B20">
      <w:pPr>
        <w:spacing w:after="0" w:line="240" w:lineRule="auto"/>
      </w:pPr>
      <w:r>
        <w:separator/>
      </w:r>
    </w:p>
  </w:footnote>
  <w:footnote w:type="continuationSeparator" w:id="0">
    <w:p w14:paraId="130827C9" w14:textId="77777777" w:rsidR="00181DA1" w:rsidRDefault="00181DA1" w:rsidP="00F3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303C" w14:textId="33306637" w:rsidR="00F32B20" w:rsidRDefault="00000000">
    <w:pPr>
      <w:pStyle w:val="Header"/>
    </w:pPr>
    <w:r>
      <w:rPr>
        <w:noProof/>
      </w:rPr>
      <w:pict w14:anchorId="232A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3" o:spid="_x0000_s1026"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4632" w14:textId="5D923EBB" w:rsidR="00F32B20" w:rsidRDefault="00000000">
    <w:pPr>
      <w:pStyle w:val="Header"/>
    </w:pPr>
    <w:r>
      <w:rPr>
        <w:noProof/>
      </w:rPr>
      <w:pict w14:anchorId="5D388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4" o:spid="_x0000_s1027"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EE82" w14:textId="049B83C0" w:rsidR="00F32B20" w:rsidRDefault="00000000">
    <w:pPr>
      <w:pStyle w:val="Header"/>
    </w:pPr>
    <w:r>
      <w:rPr>
        <w:noProof/>
      </w:rPr>
      <w:pict w14:anchorId="5599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2" o:spid="_x0000_s1025"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042"/>
    <w:rsid w:val="00027AC4"/>
    <w:rsid w:val="0003588A"/>
    <w:rsid w:val="0004007F"/>
    <w:rsid w:val="00053F8D"/>
    <w:rsid w:val="00057C98"/>
    <w:rsid w:val="0008395B"/>
    <w:rsid w:val="00084173"/>
    <w:rsid w:val="00097B06"/>
    <w:rsid w:val="000A427F"/>
    <w:rsid w:val="000B0779"/>
    <w:rsid w:val="000C3D95"/>
    <w:rsid w:val="000D2D2B"/>
    <w:rsid w:val="000D6638"/>
    <w:rsid w:val="001114A9"/>
    <w:rsid w:val="00157519"/>
    <w:rsid w:val="00174D17"/>
    <w:rsid w:val="00181DA1"/>
    <w:rsid w:val="001C7107"/>
    <w:rsid w:val="001D1B39"/>
    <w:rsid w:val="001D23FD"/>
    <w:rsid w:val="001D5F1F"/>
    <w:rsid w:val="001F7798"/>
    <w:rsid w:val="0021007E"/>
    <w:rsid w:val="002201A3"/>
    <w:rsid w:val="00225E64"/>
    <w:rsid w:val="00246098"/>
    <w:rsid w:val="00257D8C"/>
    <w:rsid w:val="00260A33"/>
    <w:rsid w:val="002635C8"/>
    <w:rsid w:val="00267F93"/>
    <w:rsid w:val="00290531"/>
    <w:rsid w:val="002A4113"/>
    <w:rsid w:val="002A7086"/>
    <w:rsid w:val="002A70A7"/>
    <w:rsid w:val="002C3E00"/>
    <w:rsid w:val="002F7FD7"/>
    <w:rsid w:val="0030636F"/>
    <w:rsid w:val="00307349"/>
    <w:rsid w:val="0031140A"/>
    <w:rsid w:val="003115EF"/>
    <w:rsid w:val="00313D90"/>
    <w:rsid w:val="003155D4"/>
    <w:rsid w:val="00326B6D"/>
    <w:rsid w:val="0035080B"/>
    <w:rsid w:val="00392A24"/>
    <w:rsid w:val="003C6EE7"/>
    <w:rsid w:val="003E0633"/>
    <w:rsid w:val="003F1106"/>
    <w:rsid w:val="00401C5D"/>
    <w:rsid w:val="00410000"/>
    <w:rsid w:val="00412E06"/>
    <w:rsid w:val="00441334"/>
    <w:rsid w:val="004633BD"/>
    <w:rsid w:val="00474BAA"/>
    <w:rsid w:val="00475412"/>
    <w:rsid w:val="004A4868"/>
    <w:rsid w:val="004B549E"/>
    <w:rsid w:val="004E6E4D"/>
    <w:rsid w:val="004E76E4"/>
    <w:rsid w:val="0050304D"/>
    <w:rsid w:val="0053194A"/>
    <w:rsid w:val="0053415E"/>
    <w:rsid w:val="00541CA7"/>
    <w:rsid w:val="005432C9"/>
    <w:rsid w:val="00546E61"/>
    <w:rsid w:val="005657B3"/>
    <w:rsid w:val="005B0029"/>
    <w:rsid w:val="005D03BF"/>
    <w:rsid w:val="005F0473"/>
    <w:rsid w:val="00612860"/>
    <w:rsid w:val="0062185B"/>
    <w:rsid w:val="00631F1D"/>
    <w:rsid w:val="00635E6D"/>
    <w:rsid w:val="00635EF3"/>
    <w:rsid w:val="0065556D"/>
    <w:rsid w:val="00657B82"/>
    <w:rsid w:val="006B3863"/>
    <w:rsid w:val="006C429B"/>
    <w:rsid w:val="006D7086"/>
    <w:rsid w:val="006F33B2"/>
    <w:rsid w:val="006F412F"/>
    <w:rsid w:val="007061EF"/>
    <w:rsid w:val="00726D8D"/>
    <w:rsid w:val="00745027"/>
    <w:rsid w:val="00770820"/>
    <w:rsid w:val="00794CA3"/>
    <w:rsid w:val="00795B26"/>
    <w:rsid w:val="007A06F8"/>
    <w:rsid w:val="007A219D"/>
    <w:rsid w:val="007C5F8F"/>
    <w:rsid w:val="007E7BB9"/>
    <w:rsid w:val="007F0DA5"/>
    <w:rsid w:val="007F7ABC"/>
    <w:rsid w:val="00813185"/>
    <w:rsid w:val="00814D07"/>
    <w:rsid w:val="0082174E"/>
    <w:rsid w:val="008471F7"/>
    <w:rsid w:val="00856966"/>
    <w:rsid w:val="0085773E"/>
    <w:rsid w:val="00870BA7"/>
    <w:rsid w:val="008B198C"/>
    <w:rsid w:val="008B1BC3"/>
    <w:rsid w:val="008F22CF"/>
    <w:rsid w:val="008F3559"/>
    <w:rsid w:val="008F629B"/>
    <w:rsid w:val="0090253A"/>
    <w:rsid w:val="009109BB"/>
    <w:rsid w:val="00933D46"/>
    <w:rsid w:val="00950301"/>
    <w:rsid w:val="009512FA"/>
    <w:rsid w:val="009E4D70"/>
    <w:rsid w:val="00A27332"/>
    <w:rsid w:val="00A319A3"/>
    <w:rsid w:val="00A45160"/>
    <w:rsid w:val="00A61C59"/>
    <w:rsid w:val="00A71CC0"/>
    <w:rsid w:val="00A83D47"/>
    <w:rsid w:val="00AA41BD"/>
    <w:rsid w:val="00AA4847"/>
    <w:rsid w:val="00AB3BFD"/>
    <w:rsid w:val="00AB45A5"/>
    <w:rsid w:val="00AE1F6E"/>
    <w:rsid w:val="00AE2283"/>
    <w:rsid w:val="00AF0789"/>
    <w:rsid w:val="00AF1D7B"/>
    <w:rsid w:val="00AF34AB"/>
    <w:rsid w:val="00B23861"/>
    <w:rsid w:val="00B406AB"/>
    <w:rsid w:val="00B47B3C"/>
    <w:rsid w:val="00B6478E"/>
    <w:rsid w:val="00B8114F"/>
    <w:rsid w:val="00B960E7"/>
    <w:rsid w:val="00BA42F0"/>
    <w:rsid w:val="00BA5424"/>
    <w:rsid w:val="00BB726C"/>
    <w:rsid w:val="00BE0AF7"/>
    <w:rsid w:val="00C00476"/>
    <w:rsid w:val="00C14B90"/>
    <w:rsid w:val="00C23B17"/>
    <w:rsid w:val="00C312D0"/>
    <w:rsid w:val="00C46B79"/>
    <w:rsid w:val="00C53E2B"/>
    <w:rsid w:val="00C80113"/>
    <w:rsid w:val="00C878E2"/>
    <w:rsid w:val="00C9260E"/>
    <w:rsid w:val="00CD2DC1"/>
    <w:rsid w:val="00CE769D"/>
    <w:rsid w:val="00CF6E65"/>
    <w:rsid w:val="00D0402D"/>
    <w:rsid w:val="00D05B31"/>
    <w:rsid w:val="00D2292A"/>
    <w:rsid w:val="00D33602"/>
    <w:rsid w:val="00D375DD"/>
    <w:rsid w:val="00D93D22"/>
    <w:rsid w:val="00D948F9"/>
    <w:rsid w:val="00D94A95"/>
    <w:rsid w:val="00DA4D1A"/>
    <w:rsid w:val="00DC336B"/>
    <w:rsid w:val="00DD413A"/>
    <w:rsid w:val="00DE2222"/>
    <w:rsid w:val="00DE36BA"/>
    <w:rsid w:val="00DF78E6"/>
    <w:rsid w:val="00E03A5E"/>
    <w:rsid w:val="00E247DF"/>
    <w:rsid w:val="00E30042"/>
    <w:rsid w:val="00E33C21"/>
    <w:rsid w:val="00E345AE"/>
    <w:rsid w:val="00EB249C"/>
    <w:rsid w:val="00EC50AD"/>
    <w:rsid w:val="00F06267"/>
    <w:rsid w:val="00F16F99"/>
    <w:rsid w:val="00F32B20"/>
    <w:rsid w:val="00F47A5D"/>
    <w:rsid w:val="00F74946"/>
    <w:rsid w:val="00F87F55"/>
    <w:rsid w:val="00FB2A6B"/>
    <w:rsid w:val="00FC0121"/>
    <w:rsid w:val="00FE7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54F1"/>
  <w15:docId w15:val="{C7CE15E2-CA72-4416-A6EF-E030A082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BA"/>
  </w:style>
  <w:style w:type="paragraph" w:styleId="Heading2">
    <w:name w:val="heading 2"/>
    <w:basedOn w:val="Normal"/>
    <w:link w:val="Heading2Char"/>
    <w:uiPriority w:val="9"/>
    <w:qFormat/>
    <w:rsid w:val="00C31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451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0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2"/>
    <w:rPr>
      <w:b/>
      <w:bCs/>
    </w:rPr>
  </w:style>
  <w:style w:type="character" w:customStyle="1" w:styleId="Heading2Char">
    <w:name w:val="Heading 2 Char"/>
    <w:basedOn w:val="DefaultParagraphFont"/>
    <w:link w:val="Heading2"/>
    <w:uiPriority w:val="9"/>
    <w:rsid w:val="00C31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16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A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F0"/>
    <w:rPr>
      <w:rFonts w:ascii="Tahoma" w:hAnsi="Tahoma" w:cs="Tahoma"/>
      <w:sz w:val="16"/>
      <w:szCs w:val="16"/>
    </w:rPr>
  </w:style>
  <w:style w:type="table" w:styleId="TableGrid">
    <w:name w:val="Table Grid"/>
    <w:basedOn w:val="TableNormal"/>
    <w:uiPriority w:val="59"/>
    <w:rsid w:val="00635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06267"/>
    <w:rPr>
      <w:color w:val="0000FF" w:themeColor="hyperlink"/>
      <w:u w:val="single"/>
    </w:rPr>
  </w:style>
  <w:style w:type="character" w:styleId="Emphasis">
    <w:name w:val="Emphasis"/>
    <w:basedOn w:val="DefaultParagraphFont"/>
    <w:uiPriority w:val="20"/>
    <w:qFormat/>
    <w:rsid w:val="001F7798"/>
    <w:rPr>
      <w:i/>
      <w:iCs/>
    </w:rPr>
  </w:style>
  <w:style w:type="paragraph" w:customStyle="1" w:styleId="Default">
    <w:name w:val="Default"/>
    <w:rsid w:val="002A708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8395B"/>
    <w:rPr>
      <w:color w:val="605E5C"/>
      <w:shd w:val="clear" w:color="auto" w:fill="E1DFDD"/>
    </w:rPr>
  </w:style>
  <w:style w:type="paragraph" w:styleId="Header">
    <w:name w:val="header"/>
    <w:basedOn w:val="Normal"/>
    <w:link w:val="HeaderChar"/>
    <w:uiPriority w:val="99"/>
    <w:unhideWhenUsed/>
    <w:rsid w:val="00F3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20"/>
  </w:style>
  <w:style w:type="paragraph" w:styleId="Footer">
    <w:name w:val="footer"/>
    <w:basedOn w:val="Normal"/>
    <w:link w:val="FooterChar"/>
    <w:uiPriority w:val="99"/>
    <w:unhideWhenUsed/>
    <w:rsid w:val="00F3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20"/>
  </w:style>
  <w:style w:type="character" w:styleId="CommentReference">
    <w:name w:val="annotation reference"/>
    <w:basedOn w:val="DefaultParagraphFont"/>
    <w:uiPriority w:val="99"/>
    <w:semiHidden/>
    <w:unhideWhenUsed/>
    <w:rsid w:val="00E33C21"/>
    <w:rPr>
      <w:sz w:val="16"/>
      <w:szCs w:val="16"/>
    </w:rPr>
  </w:style>
  <w:style w:type="paragraph" w:styleId="CommentText">
    <w:name w:val="annotation text"/>
    <w:basedOn w:val="Normal"/>
    <w:link w:val="CommentTextChar"/>
    <w:uiPriority w:val="99"/>
    <w:semiHidden/>
    <w:unhideWhenUsed/>
    <w:rsid w:val="00E33C21"/>
    <w:pPr>
      <w:spacing w:line="240" w:lineRule="auto"/>
    </w:pPr>
    <w:rPr>
      <w:sz w:val="20"/>
      <w:szCs w:val="20"/>
    </w:rPr>
  </w:style>
  <w:style w:type="character" w:customStyle="1" w:styleId="CommentTextChar">
    <w:name w:val="Comment Text Char"/>
    <w:basedOn w:val="DefaultParagraphFont"/>
    <w:link w:val="CommentText"/>
    <w:uiPriority w:val="99"/>
    <w:semiHidden/>
    <w:rsid w:val="00E33C21"/>
    <w:rPr>
      <w:sz w:val="20"/>
      <w:szCs w:val="20"/>
    </w:rPr>
  </w:style>
  <w:style w:type="paragraph" w:styleId="CommentSubject">
    <w:name w:val="annotation subject"/>
    <w:basedOn w:val="CommentText"/>
    <w:next w:val="CommentText"/>
    <w:link w:val="CommentSubjectChar"/>
    <w:uiPriority w:val="99"/>
    <w:semiHidden/>
    <w:unhideWhenUsed/>
    <w:rsid w:val="00E33C21"/>
    <w:rPr>
      <w:b/>
      <w:bCs/>
    </w:rPr>
  </w:style>
  <w:style w:type="character" w:customStyle="1" w:styleId="CommentSubjectChar">
    <w:name w:val="Comment Subject Char"/>
    <w:basedOn w:val="CommentTextChar"/>
    <w:link w:val="CommentSubject"/>
    <w:uiPriority w:val="99"/>
    <w:semiHidden/>
    <w:rsid w:val="00E33C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509">
      <w:bodyDiv w:val="1"/>
      <w:marLeft w:val="0"/>
      <w:marRight w:val="0"/>
      <w:marTop w:val="0"/>
      <w:marBottom w:val="0"/>
      <w:divBdr>
        <w:top w:val="none" w:sz="0" w:space="0" w:color="auto"/>
        <w:left w:val="none" w:sz="0" w:space="0" w:color="auto"/>
        <w:bottom w:val="none" w:sz="0" w:space="0" w:color="auto"/>
        <w:right w:val="none" w:sz="0" w:space="0" w:color="auto"/>
      </w:divBdr>
    </w:div>
    <w:div w:id="44136412">
      <w:bodyDiv w:val="1"/>
      <w:marLeft w:val="0"/>
      <w:marRight w:val="0"/>
      <w:marTop w:val="0"/>
      <w:marBottom w:val="0"/>
      <w:divBdr>
        <w:top w:val="none" w:sz="0" w:space="0" w:color="auto"/>
        <w:left w:val="none" w:sz="0" w:space="0" w:color="auto"/>
        <w:bottom w:val="none" w:sz="0" w:space="0" w:color="auto"/>
        <w:right w:val="none" w:sz="0" w:space="0" w:color="auto"/>
      </w:divBdr>
    </w:div>
    <w:div w:id="55668140">
      <w:bodyDiv w:val="1"/>
      <w:marLeft w:val="0"/>
      <w:marRight w:val="0"/>
      <w:marTop w:val="0"/>
      <w:marBottom w:val="0"/>
      <w:divBdr>
        <w:top w:val="none" w:sz="0" w:space="0" w:color="auto"/>
        <w:left w:val="none" w:sz="0" w:space="0" w:color="auto"/>
        <w:bottom w:val="none" w:sz="0" w:space="0" w:color="auto"/>
        <w:right w:val="none" w:sz="0" w:space="0" w:color="auto"/>
      </w:divBdr>
    </w:div>
    <w:div w:id="113642659">
      <w:bodyDiv w:val="1"/>
      <w:marLeft w:val="0"/>
      <w:marRight w:val="0"/>
      <w:marTop w:val="0"/>
      <w:marBottom w:val="0"/>
      <w:divBdr>
        <w:top w:val="none" w:sz="0" w:space="0" w:color="auto"/>
        <w:left w:val="none" w:sz="0" w:space="0" w:color="auto"/>
        <w:bottom w:val="none" w:sz="0" w:space="0" w:color="auto"/>
        <w:right w:val="none" w:sz="0" w:space="0" w:color="auto"/>
      </w:divBdr>
    </w:div>
    <w:div w:id="154490694">
      <w:bodyDiv w:val="1"/>
      <w:marLeft w:val="0"/>
      <w:marRight w:val="0"/>
      <w:marTop w:val="0"/>
      <w:marBottom w:val="0"/>
      <w:divBdr>
        <w:top w:val="none" w:sz="0" w:space="0" w:color="auto"/>
        <w:left w:val="none" w:sz="0" w:space="0" w:color="auto"/>
        <w:bottom w:val="none" w:sz="0" w:space="0" w:color="auto"/>
        <w:right w:val="none" w:sz="0" w:space="0" w:color="auto"/>
      </w:divBdr>
    </w:div>
    <w:div w:id="210389381">
      <w:bodyDiv w:val="1"/>
      <w:marLeft w:val="0"/>
      <w:marRight w:val="0"/>
      <w:marTop w:val="0"/>
      <w:marBottom w:val="0"/>
      <w:divBdr>
        <w:top w:val="none" w:sz="0" w:space="0" w:color="auto"/>
        <w:left w:val="none" w:sz="0" w:space="0" w:color="auto"/>
        <w:bottom w:val="none" w:sz="0" w:space="0" w:color="auto"/>
        <w:right w:val="none" w:sz="0" w:space="0" w:color="auto"/>
      </w:divBdr>
    </w:div>
    <w:div w:id="262539149">
      <w:bodyDiv w:val="1"/>
      <w:marLeft w:val="0"/>
      <w:marRight w:val="0"/>
      <w:marTop w:val="0"/>
      <w:marBottom w:val="0"/>
      <w:divBdr>
        <w:top w:val="none" w:sz="0" w:space="0" w:color="auto"/>
        <w:left w:val="none" w:sz="0" w:space="0" w:color="auto"/>
        <w:bottom w:val="none" w:sz="0" w:space="0" w:color="auto"/>
        <w:right w:val="none" w:sz="0" w:space="0" w:color="auto"/>
      </w:divBdr>
    </w:div>
    <w:div w:id="288587381">
      <w:bodyDiv w:val="1"/>
      <w:marLeft w:val="0"/>
      <w:marRight w:val="0"/>
      <w:marTop w:val="0"/>
      <w:marBottom w:val="0"/>
      <w:divBdr>
        <w:top w:val="none" w:sz="0" w:space="0" w:color="auto"/>
        <w:left w:val="none" w:sz="0" w:space="0" w:color="auto"/>
        <w:bottom w:val="none" w:sz="0" w:space="0" w:color="auto"/>
        <w:right w:val="none" w:sz="0" w:space="0" w:color="auto"/>
      </w:divBdr>
    </w:div>
    <w:div w:id="306787885">
      <w:bodyDiv w:val="1"/>
      <w:marLeft w:val="0"/>
      <w:marRight w:val="0"/>
      <w:marTop w:val="0"/>
      <w:marBottom w:val="0"/>
      <w:divBdr>
        <w:top w:val="none" w:sz="0" w:space="0" w:color="auto"/>
        <w:left w:val="none" w:sz="0" w:space="0" w:color="auto"/>
        <w:bottom w:val="none" w:sz="0" w:space="0" w:color="auto"/>
        <w:right w:val="none" w:sz="0" w:space="0" w:color="auto"/>
      </w:divBdr>
    </w:div>
    <w:div w:id="333068725">
      <w:bodyDiv w:val="1"/>
      <w:marLeft w:val="0"/>
      <w:marRight w:val="0"/>
      <w:marTop w:val="0"/>
      <w:marBottom w:val="0"/>
      <w:divBdr>
        <w:top w:val="none" w:sz="0" w:space="0" w:color="auto"/>
        <w:left w:val="none" w:sz="0" w:space="0" w:color="auto"/>
        <w:bottom w:val="none" w:sz="0" w:space="0" w:color="auto"/>
        <w:right w:val="none" w:sz="0" w:space="0" w:color="auto"/>
      </w:divBdr>
    </w:div>
    <w:div w:id="393624724">
      <w:bodyDiv w:val="1"/>
      <w:marLeft w:val="0"/>
      <w:marRight w:val="0"/>
      <w:marTop w:val="0"/>
      <w:marBottom w:val="0"/>
      <w:divBdr>
        <w:top w:val="none" w:sz="0" w:space="0" w:color="auto"/>
        <w:left w:val="none" w:sz="0" w:space="0" w:color="auto"/>
        <w:bottom w:val="none" w:sz="0" w:space="0" w:color="auto"/>
        <w:right w:val="none" w:sz="0" w:space="0" w:color="auto"/>
      </w:divBdr>
    </w:div>
    <w:div w:id="474489195">
      <w:bodyDiv w:val="1"/>
      <w:marLeft w:val="0"/>
      <w:marRight w:val="0"/>
      <w:marTop w:val="0"/>
      <w:marBottom w:val="0"/>
      <w:divBdr>
        <w:top w:val="none" w:sz="0" w:space="0" w:color="auto"/>
        <w:left w:val="none" w:sz="0" w:space="0" w:color="auto"/>
        <w:bottom w:val="none" w:sz="0" w:space="0" w:color="auto"/>
        <w:right w:val="none" w:sz="0" w:space="0" w:color="auto"/>
      </w:divBdr>
    </w:div>
    <w:div w:id="488179953">
      <w:bodyDiv w:val="1"/>
      <w:marLeft w:val="0"/>
      <w:marRight w:val="0"/>
      <w:marTop w:val="0"/>
      <w:marBottom w:val="0"/>
      <w:divBdr>
        <w:top w:val="none" w:sz="0" w:space="0" w:color="auto"/>
        <w:left w:val="none" w:sz="0" w:space="0" w:color="auto"/>
        <w:bottom w:val="none" w:sz="0" w:space="0" w:color="auto"/>
        <w:right w:val="none" w:sz="0" w:space="0" w:color="auto"/>
      </w:divBdr>
    </w:div>
    <w:div w:id="516429277">
      <w:bodyDiv w:val="1"/>
      <w:marLeft w:val="0"/>
      <w:marRight w:val="0"/>
      <w:marTop w:val="0"/>
      <w:marBottom w:val="0"/>
      <w:divBdr>
        <w:top w:val="none" w:sz="0" w:space="0" w:color="auto"/>
        <w:left w:val="none" w:sz="0" w:space="0" w:color="auto"/>
        <w:bottom w:val="none" w:sz="0" w:space="0" w:color="auto"/>
        <w:right w:val="none" w:sz="0" w:space="0" w:color="auto"/>
      </w:divBdr>
    </w:div>
    <w:div w:id="560021833">
      <w:bodyDiv w:val="1"/>
      <w:marLeft w:val="0"/>
      <w:marRight w:val="0"/>
      <w:marTop w:val="0"/>
      <w:marBottom w:val="0"/>
      <w:divBdr>
        <w:top w:val="none" w:sz="0" w:space="0" w:color="auto"/>
        <w:left w:val="none" w:sz="0" w:space="0" w:color="auto"/>
        <w:bottom w:val="none" w:sz="0" w:space="0" w:color="auto"/>
        <w:right w:val="none" w:sz="0" w:space="0" w:color="auto"/>
      </w:divBdr>
    </w:div>
    <w:div w:id="641613722">
      <w:bodyDiv w:val="1"/>
      <w:marLeft w:val="0"/>
      <w:marRight w:val="0"/>
      <w:marTop w:val="0"/>
      <w:marBottom w:val="0"/>
      <w:divBdr>
        <w:top w:val="none" w:sz="0" w:space="0" w:color="auto"/>
        <w:left w:val="none" w:sz="0" w:space="0" w:color="auto"/>
        <w:bottom w:val="none" w:sz="0" w:space="0" w:color="auto"/>
        <w:right w:val="none" w:sz="0" w:space="0" w:color="auto"/>
      </w:divBdr>
    </w:div>
    <w:div w:id="654798779">
      <w:bodyDiv w:val="1"/>
      <w:marLeft w:val="0"/>
      <w:marRight w:val="0"/>
      <w:marTop w:val="0"/>
      <w:marBottom w:val="0"/>
      <w:divBdr>
        <w:top w:val="none" w:sz="0" w:space="0" w:color="auto"/>
        <w:left w:val="none" w:sz="0" w:space="0" w:color="auto"/>
        <w:bottom w:val="none" w:sz="0" w:space="0" w:color="auto"/>
        <w:right w:val="none" w:sz="0" w:space="0" w:color="auto"/>
      </w:divBdr>
    </w:div>
    <w:div w:id="707949916">
      <w:bodyDiv w:val="1"/>
      <w:marLeft w:val="0"/>
      <w:marRight w:val="0"/>
      <w:marTop w:val="0"/>
      <w:marBottom w:val="0"/>
      <w:divBdr>
        <w:top w:val="none" w:sz="0" w:space="0" w:color="auto"/>
        <w:left w:val="none" w:sz="0" w:space="0" w:color="auto"/>
        <w:bottom w:val="none" w:sz="0" w:space="0" w:color="auto"/>
        <w:right w:val="none" w:sz="0" w:space="0" w:color="auto"/>
      </w:divBdr>
    </w:div>
    <w:div w:id="712576253">
      <w:bodyDiv w:val="1"/>
      <w:marLeft w:val="0"/>
      <w:marRight w:val="0"/>
      <w:marTop w:val="0"/>
      <w:marBottom w:val="0"/>
      <w:divBdr>
        <w:top w:val="none" w:sz="0" w:space="0" w:color="auto"/>
        <w:left w:val="none" w:sz="0" w:space="0" w:color="auto"/>
        <w:bottom w:val="none" w:sz="0" w:space="0" w:color="auto"/>
        <w:right w:val="none" w:sz="0" w:space="0" w:color="auto"/>
      </w:divBdr>
    </w:div>
    <w:div w:id="847251468">
      <w:bodyDiv w:val="1"/>
      <w:marLeft w:val="0"/>
      <w:marRight w:val="0"/>
      <w:marTop w:val="0"/>
      <w:marBottom w:val="0"/>
      <w:divBdr>
        <w:top w:val="none" w:sz="0" w:space="0" w:color="auto"/>
        <w:left w:val="none" w:sz="0" w:space="0" w:color="auto"/>
        <w:bottom w:val="none" w:sz="0" w:space="0" w:color="auto"/>
        <w:right w:val="none" w:sz="0" w:space="0" w:color="auto"/>
      </w:divBdr>
    </w:div>
    <w:div w:id="919368576">
      <w:bodyDiv w:val="1"/>
      <w:marLeft w:val="0"/>
      <w:marRight w:val="0"/>
      <w:marTop w:val="0"/>
      <w:marBottom w:val="0"/>
      <w:divBdr>
        <w:top w:val="none" w:sz="0" w:space="0" w:color="auto"/>
        <w:left w:val="none" w:sz="0" w:space="0" w:color="auto"/>
        <w:bottom w:val="none" w:sz="0" w:space="0" w:color="auto"/>
        <w:right w:val="none" w:sz="0" w:space="0" w:color="auto"/>
      </w:divBdr>
    </w:div>
    <w:div w:id="1016535942">
      <w:bodyDiv w:val="1"/>
      <w:marLeft w:val="0"/>
      <w:marRight w:val="0"/>
      <w:marTop w:val="0"/>
      <w:marBottom w:val="0"/>
      <w:divBdr>
        <w:top w:val="none" w:sz="0" w:space="0" w:color="auto"/>
        <w:left w:val="none" w:sz="0" w:space="0" w:color="auto"/>
        <w:bottom w:val="none" w:sz="0" w:space="0" w:color="auto"/>
        <w:right w:val="none" w:sz="0" w:space="0" w:color="auto"/>
      </w:divBdr>
    </w:div>
    <w:div w:id="1149638620">
      <w:bodyDiv w:val="1"/>
      <w:marLeft w:val="0"/>
      <w:marRight w:val="0"/>
      <w:marTop w:val="0"/>
      <w:marBottom w:val="0"/>
      <w:divBdr>
        <w:top w:val="none" w:sz="0" w:space="0" w:color="auto"/>
        <w:left w:val="none" w:sz="0" w:space="0" w:color="auto"/>
        <w:bottom w:val="none" w:sz="0" w:space="0" w:color="auto"/>
        <w:right w:val="none" w:sz="0" w:space="0" w:color="auto"/>
      </w:divBdr>
    </w:div>
    <w:div w:id="1333024479">
      <w:bodyDiv w:val="1"/>
      <w:marLeft w:val="0"/>
      <w:marRight w:val="0"/>
      <w:marTop w:val="0"/>
      <w:marBottom w:val="0"/>
      <w:divBdr>
        <w:top w:val="none" w:sz="0" w:space="0" w:color="auto"/>
        <w:left w:val="none" w:sz="0" w:space="0" w:color="auto"/>
        <w:bottom w:val="none" w:sz="0" w:space="0" w:color="auto"/>
        <w:right w:val="none" w:sz="0" w:space="0" w:color="auto"/>
      </w:divBdr>
    </w:div>
    <w:div w:id="1341545132">
      <w:bodyDiv w:val="1"/>
      <w:marLeft w:val="0"/>
      <w:marRight w:val="0"/>
      <w:marTop w:val="0"/>
      <w:marBottom w:val="0"/>
      <w:divBdr>
        <w:top w:val="none" w:sz="0" w:space="0" w:color="auto"/>
        <w:left w:val="none" w:sz="0" w:space="0" w:color="auto"/>
        <w:bottom w:val="none" w:sz="0" w:space="0" w:color="auto"/>
        <w:right w:val="none" w:sz="0" w:space="0" w:color="auto"/>
      </w:divBdr>
    </w:div>
    <w:div w:id="1355038641">
      <w:bodyDiv w:val="1"/>
      <w:marLeft w:val="0"/>
      <w:marRight w:val="0"/>
      <w:marTop w:val="0"/>
      <w:marBottom w:val="0"/>
      <w:divBdr>
        <w:top w:val="none" w:sz="0" w:space="0" w:color="auto"/>
        <w:left w:val="none" w:sz="0" w:space="0" w:color="auto"/>
        <w:bottom w:val="none" w:sz="0" w:space="0" w:color="auto"/>
        <w:right w:val="none" w:sz="0" w:space="0" w:color="auto"/>
      </w:divBdr>
    </w:div>
    <w:div w:id="1356737079">
      <w:bodyDiv w:val="1"/>
      <w:marLeft w:val="0"/>
      <w:marRight w:val="0"/>
      <w:marTop w:val="0"/>
      <w:marBottom w:val="0"/>
      <w:divBdr>
        <w:top w:val="none" w:sz="0" w:space="0" w:color="auto"/>
        <w:left w:val="none" w:sz="0" w:space="0" w:color="auto"/>
        <w:bottom w:val="none" w:sz="0" w:space="0" w:color="auto"/>
        <w:right w:val="none" w:sz="0" w:space="0" w:color="auto"/>
      </w:divBdr>
    </w:div>
    <w:div w:id="1382440758">
      <w:bodyDiv w:val="1"/>
      <w:marLeft w:val="0"/>
      <w:marRight w:val="0"/>
      <w:marTop w:val="0"/>
      <w:marBottom w:val="0"/>
      <w:divBdr>
        <w:top w:val="none" w:sz="0" w:space="0" w:color="auto"/>
        <w:left w:val="none" w:sz="0" w:space="0" w:color="auto"/>
        <w:bottom w:val="none" w:sz="0" w:space="0" w:color="auto"/>
        <w:right w:val="none" w:sz="0" w:space="0" w:color="auto"/>
      </w:divBdr>
    </w:div>
    <w:div w:id="1403019803">
      <w:bodyDiv w:val="1"/>
      <w:marLeft w:val="0"/>
      <w:marRight w:val="0"/>
      <w:marTop w:val="0"/>
      <w:marBottom w:val="0"/>
      <w:divBdr>
        <w:top w:val="none" w:sz="0" w:space="0" w:color="auto"/>
        <w:left w:val="none" w:sz="0" w:space="0" w:color="auto"/>
        <w:bottom w:val="none" w:sz="0" w:space="0" w:color="auto"/>
        <w:right w:val="none" w:sz="0" w:space="0" w:color="auto"/>
      </w:divBdr>
    </w:div>
    <w:div w:id="1420057336">
      <w:bodyDiv w:val="1"/>
      <w:marLeft w:val="0"/>
      <w:marRight w:val="0"/>
      <w:marTop w:val="0"/>
      <w:marBottom w:val="0"/>
      <w:divBdr>
        <w:top w:val="none" w:sz="0" w:space="0" w:color="auto"/>
        <w:left w:val="none" w:sz="0" w:space="0" w:color="auto"/>
        <w:bottom w:val="none" w:sz="0" w:space="0" w:color="auto"/>
        <w:right w:val="none" w:sz="0" w:space="0" w:color="auto"/>
      </w:divBdr>
    </w:div>
    <w:div w:id="1439644761">
      <w:bodyDiv w:val="1"/>
      <w:marLeft w:val="0"/>
      <w:marRight w:val="0"/>
      <w:marTop w:val="0"/>
      <w:marBottom w:val="0"/>
      <w:divBdr>
        <w:top w:val="none" w:sz="0" w:space="0" w:color="auto"/>
        <w:left w:val="none" w:sz="0" w:space="0" w:color="auto"/>
        <w:bottom w:val="none" w:sz="0" w:space="0" w:color="auto"/>
        <w:right w:val="none" w:sz="0" w:space="0" w:color="auto"/>
      </w:divBdr>
    </w:div>
    <w:div w:id="1459715175">
      <w:bodyDiv w:val="1"/>
      <w:marLeft w:val="0"/>
      <w:marRight w:val="0"/>
      <w:marTop w:val="0"/>
      <w:marBottom w:val="0"/>
      <w:divBdr>
        <w:top w:val="none" w:sz="0" w:space="0" w:color="auto"/>
        <w:left w:val="none" w:sz="0" w:space="0" w:color="auto"/>
        <w:bottom w:val="none" w:sz="0" w:space="0" w:color="auto"/>
        <w:right w:val="none" w:sz="0" w:space="0" w:color="auto"/>
      </w:divBdr>
    </w:div>
    <w:div w:id="1471827855">
      <w:bodyDiv w:val="1"/>
      <w:marLeft w:val="0"/>
      <w:marRight w:val="0"/>
      <w:marTop w:val="0"/>
      <w:marBottom w:val="0"/>
      <w:divBdr>
        <w:top w:val="none" w:sz="0" w:space="0" w:color="auto"/>
        <w:left w:val="none" w:sz="0" w:space="0" w:color="auto"/>
        <w:bottom w:val="none" w:sz="0" w:space="0" w:color="auto"/>
        <w:right w:val="none" w:sz="0" w:space="0" w:color="auto"/>
      </w:divBdr>
    </w:div>
    <w:div w:id="1495410735">
      <w:bodyDiv w:val="1"/>
      <w:marLeft w:val="0"/>
      <w:marRight w:val="0"/>
      <w:marTop w:val="0"/>
      <w:marBottom w:val="0"/>
      <w:divBdr>
        <w:top w:val="none" w:sz="0" w:space="0" w:color="auto"/>
        <w:left w:val="none" w:sz="0" w:space="0" w:color="auto"/>
        <w:bottom w:val="none" w:sz="0" w:space="0" w:color="auto"/>
        <w:right w:val="none" w:sz="0" w:space="0" w:color="auto"/>
      </w:divBdr>
    </w:div>
    <w:div w:id="1555583250">
      <w:bodyDiv w:val="1"/>
      <w:marLeft w:val="0"/>
      <w:marRight w:val="0"/>
      <w:marTop w:val="0"/>
      <w:marBottom w:val="0"/>
      <w:divBdr>
        <w:top w:val="none" w:sz="0" w:space="0" w:color="auto"/>
        <w:left w:val="none" w:sz="0" w:space="0" w:color="auto"/>
        <w:bottom w:val="none" w:sz="0" w:space="0" w:color="auto"/>
        <w:right w:val="none" w:sz="0" w:space="0" w:color="auto"/>
      </w:divBdr>
    </w:div>
    <w:div w:id="1615288537">
      <w:bodyDiv w:val="1"/>
      <w:marLeft w:val="0"/>
      <w:marRight w:val="0"/>
      <w:marTop w:val="0"/>
      <w:marBottom w:val="0"/>
      <w:divBdr>
        <w:top w:val="none" w:sz="0" w:space="0" w:color="auto"/>
        <w:left w:val="none" w:sz="0" w:space="0" w:color="auto"/>
        <w:bottom w:val="none" w:sz="0" w:space="0" w:color="auto"/>
        <w:right w:val="none" w:sz="0" w:space="0" w:color="auto"/>
      </w:divBdr>
    </w:div>
    <w:div w:id="1692409989">
      <w:bodyDiv w:val="1"/>
      <w:marLeft w:val="0"/>
      <w:marRight w:val="0"/>
      <w:marTop w:val="0"/>
      <w:marBottom w:val="0"/>
      <w:divBdr>
        <w:top w:val="none" w:sz="0" w:space="0" w:color="auto"/>
        <w:left w:val="none" w:sz="0" w:space="0" w:color="auto"/>
        <w:bottom w:val="none" w:sz="0" w:space="0" w:color="auto"/>
        <w:right w:val="none" w:sz="0" w:space="0" w:color="auto"/>
      </w:divBdr>
    </w:div>
    <w:div w:id="1704280245">
      <w:bodyDiv w:val="1"/>
      <w:marLeft w:val="0"/>
      <w:marRight w:val="0"/>
      <w:marTop w:val="0"/>
      <w:marBottom w:val="0"/>
      <w:divBdr>
        <w:top w:val="none" w:sz="0" w:space="0" w:color="auto"/>
        <w:left w:val="none" w:sz="0" w:space="0" w:color="auto"/>
        <w:bottom w:val="none" w:sz="0" w:space="0" w:color="auto"/>
        <w:right w:val="none" w:sz="0" w:space="0" w:color="auto"/>
      </w:divBdr>
    </w:div>
    <w:div w:id="1781989644">
      <w:bodyDiv w:val="1"/>
      <w:marLeft w:val="0"/>
      <w:marRight w:val="0"/>
      <w:marTop w:val="0"/>
      <w:marBottom w:val="0"/>
      <w:divBdr>
        <w:top w:val="none" w:sz="0" w:space="0" w:color="auto"/>
        <w:left w:val="none" w:sz="0" w:space="0" w:color="auto"/>
        <w:bottom w:val="none" w:sz="0" w:space="0" w:color="auto"/>
        <w:right w:val="none" w:sz="0" w:space="0" w:color="auto"/>
      </w:divBdr>
    </w:div>
    <w:div w:id="1837114155">
      <w:bodyDiv w:val="1"/>
      <w:marLeft w:val="0"/>
      <w:marRight w:val="0"/>
      <w:marTop w:val="0"/>
      <w:marBottom w:val="0"/>
      <w:divBdr>
        <w:top w:val="none" w:sz="0" w:space="0" w:color="auto"/>
        <w:left w:val="none" w:sz="0" w:space="0" w:color="auto"/>
        <w:bottom w:val="none" w:sz="0" w:space="0" w:color="auto"/>
        <w:right w:val="none" w:sz="0" w:space="0" w:color="auto"/>
      </w:divBdr>
    </w:div>
    <w:div w:id="1848862355">
      <w:bodyDiv w:val="1"/>
      <w:marLeft w:val="0"/>
      <w:marRight w:val="0"/>
      <w:marTop w:val="0"/>
      <w:marBottom w:val="0"/>
      <w:divBdr>
        <w:top w:val="none" w:sz="0" w:space="0" w:color="auto"/>
        <w:left w:val="none" w:sz="0" w:space="0" w:color="auto"/>
        <w:bottom w:val="none" w:sz="0" w:space="0" w:color="auto"/>
        <w:right w:val="none" w:sz="0" w:space="0" w:color="auto"/>
      </w:divBdr>
    </w:div>
    <w:div w:id="1935549680">
      <w:bodyDiv w:val="1"/>
      <w:marLeft w:val="0"/>
      <w:marRight w:val="0"/>
      <w:marTop w:val="0"/>
      <w:marBottom w:val="0"/>
      <w:divBdr>
        <w:top w:val="none" w:sz="0" w:space="0" w:color="auto"/>
        <w:left w:val="none" w:sz="0" w:space="0" w:color="auto"/>
        <w:bottom w:val="none" w:sz="0" w:space="0" w:color="auto"/>
        <w:right w:val="none" w:sz="0" w:space="0" w:color="auto"/>
      </w:divBdr>
    </w:div>
    <w:div w:id="2011254957">
      <w:bodyDiv w:val="1"/>
      <w:marLeft w:val="0"/>
      <w:marRight w:val="0"/>
      <w:marTop w:val="0"/>
      <w:marBottom w:val="0"/>
      <w:divBdr>
        <w:top w:val="none" w:sz="0" w:space="0" w:color="auto"/>
        <w:left w:val="none" w:sz="0" w:space="0" w:color="auto"/>
        <w:bottom w:val="none" w:sz="0" w:space="0" w:color="auto"/>
        <w:right w:val="none" w:sz="0" w:space="0" w:color="auto"/>
      </w:divBdr>
    </w:div>
    <w:div w:id="2082561736">
      <w:bodyDiv w:val="1"/>
      <w:marLeft w:val="0"/>
      <w:marRight w:val="0"/>
      <w:marTop w:val="0"/>
      <w:marBottom w:val="0"/>
      <w:divBdr>
        <w:top w:val="none" w:sz="0" w:space="0" w:color="auto"/>
        <w:left w:val="none" w:sz="0" w:space="0" w:color="auto"/>
        <w:bottom w:val="none" w:sz="0" w:space="0" w:color="auto"/>
        <w:right w:val="none" w:sz="0" w:space="0" w:color="auto"/>
      </w:divBdr>
    </w:div>
    <w:div w:id="2127431817">
      <w:bodyDiv w:val="1"/>
      <w:marLeft w:val="0"/>
      <w:marRight w:val="0"/>
      <w:marTop w:val="0"/>
      <w:marBottom w:val="0"/>
      <w:divBdr>
        <w:top w:val="none" w:sz="0" w:space="0" w:color="auto"/>
        <w:left w:val="none" w:sz="0" w:space="0" w:color="auto"/>
        <w:bottom w:val="none" w:sz="0" w:space="0" w:color="auto"/>
        <w:right w:val="none" w:sz="0" w:space="0" w:color="auto"/>
      </w:divBdr>
    </w:div>
    <w:div w:id="21421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1</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dc:creator>
  <cp:keywords/>
  <dc:description/>
  <cp:lastModifiedBy>Reviewer</cp:lastModifiedBy>
  <cp:revision>156</cp:revision>
  <dcterms:created xsi:type="dcterms:W3CDTF">2025-09-04T14:42:00Z</dcterms:created>
  <dcterms:modified xsi:type="dcterms:W3CDTF">2025-12-24T09:20:00Z</dcterms:modified>
</cp:coreProperties>
</file>