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43F26DB" w14:textId="77777777" w:rsidR="00B85036" w:rsidRPr="00B85036" w:rsidRDefault="00B85036" w:rsidP="00B85036">
      <w:pPr>
        <w:pStyle w:val="Heading1"/>
        <w:rPr>
          <w:i/>
          <w:iCs/>
          <w:u w:val="single"/>
        </w:rPr>
      </w:pPr>
      <w:r w:rsidRPr="00B85036">
        <w:rPr>
          <w:i/>
          <w:iCs/>
          <w:u w:val="single"/>
        </w:rPr>
        <w:t>Review Article</w:t>
      </w:r>
    </w:p>
    <w:p w14:paraId="7B1F427F" w14:textId="77777777" w:rsidR="003F02C5" w:rsidRPr="009D0B9D" w:rsidRDefault="003F02C5" w:rsidP="003F02C5">
      <w:pPr>
        <w:pStyle w:val="Heading1"/>
        <w:rPr>
          <w:lang w:val="en-GB"/>
        </w:rPr>
      </w:pPr>
      <w:bookmarkStart w:id="0" w:name="_Hlk216541812"/>
      <w:r w:rsidRPr="009D0B9D">
        <w:rPr>
          <w:lang w:val="en-GB"/>
        </w:rPr>
        <w:t>Genetic Variability in Groundnut: Decoding Effects on Yield, Disease Resistance, and Nut Quality</w:t>
      </w:r>
    </w:p>
    <w:bookmarkEnd w:id="0"/>
    <w:p w14:paraId="7946F48D" w14:textId="77777777" w:rsidR="003F02C5" w:rsidRPr="009D0B9D" w:rsidRDefault="003F02C5" w:rsidP="003F02C5">
      <w:pPr>
        <w:pStyle w:val="Heading2"/>
        <w:rPr>
          <w:lang w:val="en-GB"/>
        </w:rPr>
      </w:pPr>
      <w:r w:rsidRPr="009D0B9D">
        <w:rPr>
          <w:lang w:val="en-GB"/>
        </w:rPr>
        <w:t>Abstract</w:t>
      </w:r>
    </w:p>
    <w:p w14:paraId="3220AD26" w14:textId="77777777" w:rsidR="003F02C5" w:rsidRPr="009D0B9D" w:rsidRDefault="003F02C5" w:rsidP="003F02C5">
      <w:pPr>
        <w:pStyle w:val="NormalWeb"/>
        <w:rPr>
          <w:lang w:val="en-GB"/>
        </w:rPr>
      </w:pPr>
      <w:r w:rsidRPr="009D0B9D">
        <w:rPr>
          <w:lang w:val="en-GB"/>
        </w:rPr>
        <w:t>Groundnut (Arachis hypogaea L.) is a globally important oilseed and food legume whose productivity and end-use value are shaped by complex interactions among genetic variability, target trait architecture, and highly variable production environments. Despite the crop’s polyploid origin and historically perceived narrow diversity within elite gene pools, modern genomics has revealed extensive allelic, haplotypic, and structural variation—much of it traceable to diploid progenitors and wild Arachis relatives—and has enabled more systematic translation of diversity into improved yield stability, durable disease resistance, and enhanced nut quality. This review synthesizes recent advances in understanding and exploiting genetic variability for three tightly linked breeding targets: (</w:t>
      </w:r>
      <w:proofErr w:type="spellStart"/>
      <w:r w:rsidRPr="009D0B9D">
        <w:rPr>
          <w:lang w:val="en-GB"/>
        </w:rPr>
        <w:t>i</w:t>
      </w:r>
      <w:proofErr w:type="spellEnd"/>
      <w:r w:rsidRPr="009D0B9D">
        <w:rPr>
          <w:lang w:val="en-GB"/>
        </w:rPr>
        <w:t xml:space="preserve">) yield and its component traits (pod number, seed size, partitioning, phenology, and environment responsiveness), (ii) resistance to major diseases (foliar fungal diseases such as late leaf spot and rust, bacterial wilt, emerging threats such as peanut smut, and resistance mechanisms that reduce </w:t>
      </w:r>
      <w:commentRangeStart w:id="1"/>
      <w:r w:rsidRPr="009D0B9D">
        <w:rPr>
          <w:lang w:val="en-GB"/>
        </w:rPr>
        <w:t>aflatoxin risk</w:t>
      </w:r>
      <w:commentRangeEnd w:id="1"/>
      <w:r w:rsidR="00731B06">
        <w:rPr>
          <w:rStyle w:val="CommentReference"/>
          <w:rFonts w:asciiTheme="minorHAnsi" w:eastAsiaTheme="minorHAnsi" w:hAnsiTheme="minorHAnsi" w:cstheme="minorBidi"/>
          <w:lang w:val="en-GB"/>
        </w:rPr>
        <w:commentReference w:id="1"/>
      </w:r>
      <w:r w:rsidRPr="009D0B9D">
        <w:rPr>
          <w:lang w:val="en-GB"/>
        </w:rPr>
        <w:t>), and (iii) nut quality (oil content, fatty acid composition, and trait combinations that improve nutrition and shelf-life). We highlight how high-quality reference genomes, pangenome resources, dense SNP arrays, GWAS in diverse panels and multi-parent populations, and genomic prediction approaches are reshaping trait dissection and breeding strategy. The evidence indicates that yield, resistance, and quality can be improved together when breeding programs explicitly manage trade-offs via multi-trait selection indices, environment-aware genomic prediction, and marker-assisted introgression for major-effect loci (e.g., high oleic acid alleles and key disease-resistance QTL). We conclude with practical recommendations for aligning germplasm design, phenotyping, and genomics to accelerate genetic gain while safeguarding farmer adoption and value-chain requirements.</w:t>
      </w:r>
    </w:p>
    <w:p w14:paraId="2A9F623F" w14:textId="77777777" w:rsidR="003F02C5" w:rsidRPr="009D0B9D" w:rsidRDefault="003F02C5" w:rsidP="003F02C5">
      <w:pPr>
        <w:pStyle w:val="NormalWeb"/>
        <w:rPr>
          <w:lang w:val="en-GB"/>
        </w:rPr>
      </w:pPr>
      <w:r w:rsidRPr="009D0B9D">
        <w:rPr>
          <w:rStyle w:val="Strong"/>
          <w:lang w:val="en-GB"/>
        </w:rPr>
        <w:t>Keywords:</w:t>
      </w:r>
      <w:r w:rsidRPr="009D0B9D">
        <w:rPr>
          <w:lang w:val="en-GB"/>
        </w:rPr>
        <w:t xml:space="preserve"> Arachis hypogaea; genetic diversity; GWAS; genomic selection; pangenome; late leaf spot; rust; aflatoxin; high oleic; fatty acid composition; marker-assisted breeding.</w:t>
      </w:r>
    </w:p>
    <w:p w14:paraId="3F88E3C1" w14:textId="77777777" w:rsidR="003F02C5" w:rsidRPr="009D0B9D" w:rsidRDefault="003F02C5" w:rsidP="003F02C5"/>
    <w:p w14:paraId="019626ED" w14:textId="77777777" w:rsidR="003F02C5" w:rsidRPr="009D0B9D" w:rsidRDefault="003F02C5" w:rsidP="003F02C5">
      <w:pPr>
        <w:pStyle w:val="Heading2"/>
        <w:rPr>
          <w:lang w:val="en-GB"/>
        </w:rPr>
      </w:pPr>
      <w:r w:rsidRPr="009D0B9D">
        <w:rPr>
          <w:lang w:val="en-GB"/>
        </w:rPr>
        <w:t>1. Introduction</w:t>
      </w:r>
    </w:p>
    <w:p w14:paraId="78601455" w14:textId="77777777" w:rsidR="003F02C5" w:rsidRPr="009D0B9D" w:rsidRDefault="003F02C5" w:rsidP="003F02C5">
      <w:pPr>
        <w:pStyle w:val="NormalWeb"/>
        <w:rPr>
          <w:lang w:val="en-GB"/>
        </w:rPr>
      </w:pPr>
      <w:r w:rsidRPr="009D0B9D">
        <w:rPr>
          <w:lang w:val="en-GB"/>
        </w:rPr>
        <w:t xml:space="preserve">Groundnut (Arachis hypogaea L.), also known as peanut, underpins food security, edible oil supply, and rural incomes across semi-arid and sub-humid tropics, while also supporting high-value snack and confectionery markets. The crop’s performance and market value are determined by a trait triad: yield (and yield stability), disease resistance (which protects yield and reduces pesticide dependence), and nut quality (which governs nutrition, shelf-life, processing </w:t>
      </w:r>
      <w:proofErr w:type="spellStart"/>
      <w:r w:rsidRPr="009D0B9D">
        <w:rPr>
          <w:lang w:val="en-GB"/>
        </w:rPr>
        <w:t>behavior</w:t>
      </w:r>
      <w:proofErr w:type="spellEnd"/>
      <w:r w:rsidRPr="009D0B9D">
        <w:rPr>
          <w:lang w:val="en-GB"/>
        </w:rPr>
        <w:t xml:space="preserve">, and consumer acceptance). These targets are not independent; they often share physiological pathways, genetic correlations, and trade-offs. Consequently, decoding </w:t>
      </w:r>
      <w:r w:rsidRPr="009D0B9D">
        <w:rPr>
          <w:lang w:val="en-GB"/>
        </w:rPr>
        <w:lastRenderedPageBreak/>
        <w:t xml:space="preserve">and deploying genetic variability across this triad is central to modern groundnut improvement </w:t>
      </w:r>
      <w:commentRangeStart w:id="2"/>
      <w:r w:rsidRPr="009D0B9D">
        <w:rPr>
          <w:lang w:val="en-GB"/>
        </w:rPr>
        <w:t>(</w:t>
      </w:r>
      <w:proofErr w:type="spellStart"/>
      <w:r w:rsidRPr="009D0B9D">
        <w:rPr>
          <w:lang w:val="en-GB"/>
        </w:rPr>
        <w:t>Desmae</w:t>
      </w:r>
      <w:proofErr w:type="spellEnd"/>
      <w:r w:rsidRPr="009D0B9D">
        <w:rPr>
          <w:lang w:val="en-GB"/>
        </w:rPr>
        <w:t xml:space="preserve"> et al., 2019).</w:t>
      </w:r>
      <w:commentRangeEnd w:id="2"/>
      <w:r w:rsidR="00731B06">
        <w:rPr>
          <w:rStyle w:val="CommentReference"/>
          <w:rFonts w:asciiTheme="minorHAnsi" w:eastAsiaTheme="minorHAnsi" w:hAnsiTheme="minorHAnsi" w:cstheme="minorBidi"/>
          <w:lang w:val="en-GB"/>
        </w:rPr>
        <w:commentReference w:id="2"/>
      </w:r>
    </w:p>
    <w:p w14:paraId="18F8F09A" w14:textId="77777777" w:rsidR="003F02C5" w:rsidRPr="009D0B9D" w:rsidRDefault="003F02C5" w:rsidP="003F02C5">
      <w:pPr>
        <w:pStyle w:val="NormalWeb"/>
        <w:rPr>
          <w:lang w:val="en-GB"/>
        </w:rPr>
      </w:pPr>
      <w:r w:rsidRPr="009D0B9D">
        <w:rPr>
          <w:lang w:val="en-GB"/>
        </w:rPr>
        <w:t>Historically, cultivated groundnut was often described as having narrow genetic diversity, largely because many elite breeding pools are derived from a limited number of founders and because phenotypic variation for some traits is constrained by domestication bottlenec</w:t>
      </w:r>
      <w:commentRangeStart w:id="3"/>
      <w:r w:rsidRPr="009D0B9D">
        <w:rPr>
          <w:lang w:val="en-GB"/>
        </w:rPr>
        <w:t xml:space="preserve">ks. </w:t>
      </w:r>
      <w:commentRangeEnd w:id="3"/>
      <w:r w:rsidR="00731B06">
        <w:rPr>
          <w:rStyle w:val="CommentReference"/>
          <w:rFonts w:asciiTheme="minorHAnsi" w:eastAsiaTheme="minorHAnsi" w:hAnsiTheme="minorHAnsi" w:cstheme="minorBidi"/>
          <w:lang w:val="en-GB"/>
        </w:rPr>
        <w:commentReference w:id="3"/>
      </w:r>
      <w:r w:rsidRPr="009D0B9D">
        <w:rPr>
          <w:lang w:val="en-GB"/>
        </w:rPr>
        <w:t>However, genomic resources developed over the last decade have reframed this narrative. Sequenced diploid progenitors and improved assemblies of the allotetraploid crop have clarified the evolutionary origins of variation, while large-scale genotyping, association mapping, and pangenome analyses have uncovered both subtle allelic diversity and major structural variants with large phenotypic effects (</w:t>
      </w:r>
      <w:proofErr w:type="spellStart"/>
      <w:r w:rsidRPr="009D0B9D">
        <w:rPr>
          <w:lang w:val="en-GB"/>
        </w:rPr>
        <w:t>Bertioli</w:t>
      </w:r>
      <w:proofErr w:type="spellEnd"/>
      <w:r w:rsidRPr="009D0B9D">
        <w:rPr>
          <w:lang w:val="en-GB"/>
        </w:rPr>
        <w:t xml:space="preserve"> et al., 2016; </w:t>
      </w:r>
      <w:proofErr w:type="spellStart"/>
      <w:r w:rsidRPr="009D0B9D">
        <w:rPr>
          <w:lang w:val="en-GB"/>
        </w:rPr>
        <w:t>Bertioli</w:t>
      </w:r>
      <w:proofErr w:type="spellEnd"/>
      <w:r w:rsidRPr="009D0B9D">
        <w:rPr>
          <w:lang w:val="en-GB"/>
        </w:rPr>
        <w:t xml:space="preserve"> et al., 2019; Zhuang et al., 2019; Zhao et al., 2025). At the same time, practical breeding toolkits—dense SNP arrays, KASP markers, genomic prediction models, and multi-parent mapping populations—have matured and are increasingly aligned with breeding pipelines and seed systems (Pandey et al., 2017; Pandey et al., 2020).</w:t>
      </w:r>
    </w:p>
    <w:p w14:paraId="2132FC5E" w14:textId="77777777" w:rsidR="003F02C5" w:rsidRPr="009D0B9D" w:rsidRDefault="003F02C5" w:rsidP="003F02C5">
      <w:pPr>
        <w:pStyle w:val="Heading3"/>
        <w:rPr>
          <w:lang w:val="en-GB"/>
        </w:rPr>
      </w:pPr>
      <w:r w:rsidRPr="009D0B9D">
        <w:rPr>
          <w:lang w:val="en-GB"/>
        </w:rPr>
        <w:t>1.1 Scope and objective of the review</w:t>
      </w:r>
    </w:p>
    <w:p w14:paraId="3C08735F" w14:textId="77777777" w:rsidR="003F02C5" w:rsidRPr="009D0B9D" w:rsidRDefault="003F02C5" w:rsidP="003F02C5">
      <w:pPr>
        <w:pStyle w:val="NormalWeb"/>
        <w:rPr>
          <w:lang w:val="en-GB"/>
        </w:rPr>
      </w:pPr>
      <w:r w:rsidRPr="009D0B9D">
        <w:rPr>
          <w:lang w:val="en-GB"/>
        </w:rPr>
        <w:t>This review focuses on how genetic variability in groundnut has been decoded and translated into improvement for three target domains: yield, disease resistance, and nut quality. Specifically, the objectives are to:</w:t>
      </w:r>
      <w:r w:rsidRPr="009D0B9D">
        <w:rPr>
          <w:lang w:val="en-GB"/>
        </w:rPr>
        <w:br/>
        <w:t>(</w:t>
      </w:r>
      <w:proofErr w:type="spellStart"/>
      <w:r w:rsidRPr="009D0B9D">
        <w:rPr>
          <w:lang w:val="en-GB"/>
        </w:rPr>
        <w:t>i</w:t>
      </w:r>
      <w:proofErr w:type="spellEnd"/>
      <w:r w:rsidRPr="009D0B9D">
        <w:rPr>
          <w:lang w:val="en-GB"/>
        </w:rPr>
        <w:t xml:space="preserve">) </w:t>
      </w:r>
      <w:commentRangeStart w:id="4"/>
      <w:r w:rsidRPr="009D0B9D">
        <w:rPr>
          <w:lang w:val="en-GB"/>
        </w:rPr>
        <w:t>su</w:t>
      </w:r>
      <w:commentRangeEnd w:id="4"/>
      <w:r w:rsidR="00731B06">
        <w:rPr>
          <w:rStyle w:val="CommentReference"/>
          <w:rFonts w:asciiTheme="minorHAnsi" w:eastAsiaTheme="minorHAnsi" w:hAnsiTheme="minorHAnsi" w:cstheme="minorBidi"/>
          <w:lang w:val="en-GB"/>
        </w:rPr>
        <w:commentReference w:id="4"/>
      </w:r>
      <w:r w:rsidRPr="009D0B9D">
        <w:rPr>
          <w:lang w:val="en-GB"/>
        </w:rPr>
        <w:t>mmarize the contemporary sources and forms of genetic variability relevant to groundnut breeding, including allelic, haplotypic, and structural variation;</w:t>
      </w:r>
      <w:r w:rsidRPr="009D0B9D">
        <w:rPr>
          <w:lang w:val="en-GB"/>
        </w:rPr>
        <w:br/>
        <w:t xml:space="preserve">(ii) </w:t>
      </w:r>
      <w:commentRangeStart w:id="5"/>
      <w:r w:rsidRPr="009D0B9D">
        <w:rPr>
          <w:lang w:val="en-GB"/>
        </w:rPr>
        <w:t>s</w:t>
      </w:r>
      <w:commentRangeEnd w:id="5"/>
      <w:r w:rsidR="00731B06">
        <w:rPr>
          <w:rStyle w:val="CommentReference"/>
          <w:rFonts w:asciiTheme="minorHAnsi" w:eastAsiaTheme="minorHAnsi" w:hAnsiTheme="minorHAnsi" w:cstheme="minorBidi"/>
          <w:lang w:val="en-GB"/>
        </w:rPr>
        <w:commentReference w:id="5"/>
      </w:r>
      <w:r w:rsidRPr="009D0B9D">
        <w:rPr>
          <w:lang w:val="en-GB"/>
        </w:rPr>
        <w:t>ynthesize recent findings that link genetic variability to yield and yield components, resistance to major diseases, and nut quality traits, emphasizing robust signals from multi-environment studies and multi-parent populations;</w:t>
      </w:r>
      <w:r w:rsidRPr="009D0B9D">
        <w:rPr>
          <w:lang w:val="en-GB"/>
        </w:rPr>
        <w:br/>
        <w:t xml:space="preserve">(iii) </w:t>
      </w:r>
      <w:commentRangeStart w:id="6"/>
      <w:r w:rsidRPr="009D0B9D">
        <w:rPr>
          <w:lang w:val="en-GB"/>
        </w:rPr>
        <w:t>d</w:t>
      </w:r>
      <w:commentRangeEnd w:id="6"/>
      <w:r w:rsidR="00731B06">
        <w:rPr>
          <w:rStyle w:val="CommentReference"/>
          <w:rFonts w:asciiTheme="minorHAnsi" w:eastAsiaTheme="minorHAnsi" w:hAnsiTheme="minorHAnsi" w:cstheme="minorBidi"/>
          <w:lang w:val="en-GB"/>
        </w:rPr>
        <w:commentReference w:id="6"/>
      </w:r>
      <w:r w:rsidRPr="009D0B9D">
        <w:rPr>
          <w:lang w:val="en-GB"/>
        </w:rPr>
        <w:t>iscuss how current breeding strategies integrate major-effect loci (marker-assisted selection) with genome-wide signals (genomic selection and pangenome-informed breeding); and</w:t>
      </w:r>
      <w:r w:rsidRPr="009D0B9D">
        <w:rPr>
          <w:lang w:val="en-GB"/>
        </w:rPr>
        <w:br/>
        <w:t xml:space="preserve">(iv) </w:t>
      </w:r>
      <w:commentRangeStart w:id="7"/>
      <w:r w:rsidRPr="009D0B9D">
        <w:rPr>
          <w:lang w:val="en-GB"/>
        </w:rPr>
        <w:t>i</w:t>
      </w:r>
      <w:commentRangeEnd w:id="7"/>
      <w:r w:rsidR="00731B06">
        <w:rPr>
          <w:rStyle w:val="CommentReference"/>
          <w:rFonts w:asciiTheme="minorHAnsi" w:eastAsiaTheme="minorHAnsi" w:hAnsiTheme="minorHAnsi" w:cstheme="minorBidi"/>
          <w:lang w:val="en-GB"/>
        </w:rPr>
        <w:commentReference w:id="7"/>
      </w:r>
      <w:r w:rsidRPr="009D0B9D">
        <w:rPr>
          <w:lang w:val="en-GB"/>
        </w:rPr>
        <w:t>dentify practical gaps and future research directions for achieving simultaneous genetic gain across yield, resistance, and quality.</w:t>
      </w:r>
    </w:p>
    <w:p w14:paraId="2B3ED975" w14:textId="77777777" w:rsidR="003F02C5" w:rsidRPr="009D0B9D" w:rsidRDefault="003F02C5" w:rsidP="003F02C5">
      <w:pPr>
        <w:pStyle w:val="Heading3"/>
        <w:rPr>
          <w:lang w:val="en-GB"/>
        </w:rPr>
      </w:pPr>
      <w:r w:rsidRPr="009D0B9D">
        <w:rPr>
          <w:lang w:val="en-GB"/>
        </w:rPr>
        <w:t>1.2 Genetic variability in a polyploid crop: why it is not just “more alleles”</w:t>
      </w:r>
    </w:p>
    <w:p w14:paraId="25291E18" w14:textId="77777777" w:rsidR="003F02C5" w:rsidRPr="009D0B9D" w:rsidRDefault="003F02C5" w:rsidP="003F02C5">
      <w:pPr>
        <w:pStyle w:val="NormalWeb"/>
        <w:rPr>
          <w:lang w:val="en-GB"/>
        </w:rPr>
      </w:pPr>
      <w:r w:rsidRPr="009D0B9D">
        <w:rPr>
          <w:lang w:val="en-GB"/>
        </w:rPr>
        <w:t xml:space="preserve">Groundnut is an allotetraploid (AABB genome), combining two </w:t>
      </w:r>
      <w:commentRangeStart w:id="8"/>
      <w:proofErr w:type="spellStart"/>
      <w:r w:rsidRPr="009D0B9D">
        <w:rPr>
          <w:lang w:val="en-GB"/>
        </w:rPr>
        <w:t>subgenomes</w:t>
      </w:r>
      <w:proofErr w:type="spellEnd"/>
      <w:r w:rsidRPr="009D0B9D">
        <w:rPr>
          <w:lang w:val="en-GB"/>
        </w:rPr>
        <w:t xml:space="preserve"> derived from diploid ancestors. Polyploidy introduces genetic redundancy, homoeologous gene pairs, and complex linkage structures that influence how variation manifests in traits</w:t>
      </w:r>
      <w:commentRangeEnd w:id="8"/>
      <w:r w:rsidR="00731B06">
        <w:rPr>
          <w:rStyle w:val="CommentReference"/>
          <w:rFonts w:asciiTheme="minorHAnsi" w:eastAsiaTheme="minorHAnsi" w:hAnsiTheme="minorHAnsi" w:cstheme="minorBidi"/>
          <w:lang w:val="en-GB"/>
        </w:rPr>
        <w:commentReference w:id="8"/>
      </w:r>
      <w:r w:rsidRPr="009D0B9D">
        <w:rPr>
          <w:lang w:val="en-GB"/>
        </w:rPr>
        <w:t>. A key implication is that trait variation may arise not only from SNPs within coding sequences but also from changes in regulatory elements, copy number variation, presence/absence variation, and large structural variants (SVs) that reshape resistance gene clusters or modify dosage-sensitive pathways (</w:t>
      </w:r>
      <w:proofErr w:type="spellStart"/>
      <w:r w:rsidRPr="009D0B9D">
        <w:rPr>
          <w:lang w:val="en-GB"/>
        </w:rPr>
        <w:t>Bertioli</w:t>
      </w:r>
      <w:proofErr w:type="spellEnd"/>
      <w:r w:rsidRPr="009D0B9D">
        <w:rPr>
          <w:lang w:val="en-GB"/>
        </w:rPr>
        <w:t xml:space="preserve"> et al., 2019; Zhao et al., 2025). Therefore, breeding strategies that focus solely on single-locus markers may miss important variation unless they are complemented by genome-wide and SV-aware approaches.</w:t>
      </w:r>
    </w:p>
    <w:p w14:paraId="35744839" w14:textId="77777777" w:rsidR="003F02C5" w:rsidRPr="009D0B9D" w:rsidRDefault="003F02C5" w:rsidP="003F02C5">
      <w:pPr>
        <w:pStyle w:val="Heading3"/>
        <w:rPr>
          <w:lang w:val="en-GB"/>
        </w:rPr>
      </w:pPr>
      <w:r w:rsidRPr="009D0B9D">
        <w:rPr>
          <w:lang w:val="en-GB"/>
        </w:rPr>
        <w:t>1.3 Trait triad logic: yield, resistance, and quality are genetically and physiologically entangled</w:t>
      </w:r>
    </w:p>
    <w:p w14:paraId="490393D0" w14:textId="77777777" w:rsidR="003F02C5" w:rsidRPr="009D0B9D" w:rsidRDefault="003F02C5" w:rsidP="003F02C5">
      <w:pPr>
        <w:pStyle w:val="NormalWeb"/>
        <w:rPr>
          <w:lang w:val="en-GB"/>
        </w:rPr>
      </w:pPr>
      <w:r w:rsidRPr="009D0B9D">
        <w:rPr>
          <w:lang w:val="en-GB"/>
        </w:rPr>
        <w:t xml:space="preserve">Yield is an emergent phenotype resulting from complex component traits and their interactions with climate, soil, and management. Disease pressure modifies yield formation </w:t>
      </w:r>
      <w:r w:rsidRPr="009D0B9D">
        <w:rPr>
          <w:lang w:val="en-GB"/>
        </w:rPr>
        <w:lastRenderedPageBreak/>
        <w:t xml:space="preserve">by disrupting photosynthesis, canopy longevity, and assimilate partitioning. Nut quality reflects both biosynthetic capacity (e.g., lipid metabolism) and post-harvest stability, which can be influenced by disease and stress (e.g., drought and heat) and by genotype-specific seed composition. Thus, genetic variability that improves one domain may indirectly affect another, either positively (e.g., disease resistance protecting seed fill) or negatively (e.g., linkage drag from wild introgressions affecting agronomic type). The central breeding challenge is to transform genetic variability into </w:t>
      </w:r>
      <w:proofErr w:type="spellStart"/>
      <w:r w:rsidRPr="009D0B9D">
        <w:rPr>
          <w:lang w:val="en-GB"/>
        </w:rPr>
        <w:t>favorable</w:t>
      </w:r>
      <w:proofErr w:type="spellEnd"/>
      <w:r w:rsidRPr="009D0B9D">
        <w:rPr>
          <w:lang w:val="en-GB"/>
        </w:rPr>
        <w:t xml:space="preserve"> multi-trait combinations without compromising adaptation and market class</w:t>
      </w:r>
      <w:commentRangeStart w:id="9"/>
      <w:r w:rsidRPr="009D0B9D">
        <w:rPr>
          <w:lang w:val="en-GB"/>
        </w:rPr>
        <w:t>.</w:t>
      </w:r>
      <w:commentRangeEnd w:id="9"/>
      <w:r w:rsidR="00731B06">
        <w:rPr>
          <w:rStyle w:val="CommentReference"/>
          <w:rFonts w:asciiTheme="minorHAnsi" w:eastAsiaTheme="minorHAnsi" w:hAnsiTheme="minorHAnsi" w:cstheme="minorBidi"/>
          <w:lang w:val="en-GB"/>
        </w:rPr>
        <w:commentReference w:id="9"/>
      </w:r>
    </w:p>
    <w:p w14:paraId="294A7BFD" w14:textId="77777777" w:rsidR="003F02C5" w:rsidRPr="009D0B9D" w:rsidRDefault="003F02C5" w:rsidP="003F02C5">
      <w:pPr>
        <w:pStyle w:val="Heading2"/>
        <w:rPr>
          <w:lang w:val="en-GB"/>
        </w:rPr>
      </w:pPr>
      <w:r w:rsidRPr="009D0B9D">
        <w:rPr>
          <w:lang w:val="en-GB"/>
        </w:rPr>
        <w:t>2. Methods and resources for decoding genetic variability</w:t>
      </w:r>
    </w:p>
    <w:p w14:paraId="29836231" w14:textId="77777777" w:rsidR="003F02C5" w:rsidRPr="009D0B9D" w:rsidRDefault="003F02C5" w:rsidP="003F02C5">
      <w:pPr>
        <w:pStyle w:val="Heading3"/>
        <w:rPr>
          <w:lang w:val="en-GB"/>
        </w:rPr>
      </w:pPr>
      <w:r w:rsidRPr="009D0B9D">
        <w:rPr>
          <w:lang w:val="en-GB"/>
        </w:rPr>
        <w:t>2.1 Methods for literature selection</w:t>
      </w:r>
    </w:p>
    <w:p w14:paraId="305ABE01" w14:textId="77777777" w:rsidR="003F02C5" w:rsidRPr="009D0B9D" w:rsidRDefault="003F02C5" w:rsidP="003F02C5">
      <w:pPr>
        <w:pStyle w:val="NormalWeb"/>
        <w:rPr>
          <w:lang w:val="en-GB"/>
        </w:rPr>
      </w:pPr>
      <w:r w:rsidRPr="009D0B9D">
        <w:rPr>
          <w:lang w:val="en-GB"/>
        </w:rPr>
        <w:t xml:space="preserve">A structured literature search was conducted across </w:t>
      </w:r>
      <w:r w:rsidRPr="009D0B9D">
        <w:rPr>
          <w:rStyle w:val="Strong"/>
          <w:lang w:val="en-GB"/>
        </w:rPr>
        <w:t>Web of Science</w:t>
      </w:r>
      <w:r w:rsidRPr="009D0B9D">
        <w:rPr>
          <w:lang w:val="en-GB"/>
        </w:rPr>
        <w:t xml:space="preserve">, </w:t>
      </w:r>
      <w:r w:rsidRPr="009D0B9D">
        <w:rPr>
          <w:rStyle w:val="Strong"/>
          <w:lang w:val="en-GB"/>
        </w:rPr>
        <w:t>Scopus</w:t>
      </w:r>
      <w:r w:rsidRPr="009D0B9D">
        <w:rPr>
          <w:lang w:val="en-GB"/>
        </w:rPr>
        <w:t xml:space="preserve">, </w:t>
      </w:r>
      <w:r w:rsidRPr="009D0B9D">
        <w:rPr>
          <w:rStyle w:val="Strong"/>
          <w:lang w:val="en-GB"/>
        </w:rPr>
        <w:t>PubMed</w:t>
      </w:r>
      <w:r w:rsidRPr="009D0B9D">
        <w:rPr>
          <w:lang w:val="en-GB"/>
        </w:rPr>
        <w:t xml:space="preserve">, </w:t>
      </w:r>
      <w:r w:rsidRPr="009D0B9D">
        <w:rPr>
          <w:rStyle w:val="Strong"/>
          <w:lang w:val="en-GB"/>
        </w:rPr>
        <w:t>CAB Abstracts</w:t>
      </w:r>
      <w:r w:rsidRPr="009D0B9D">
        <w:rPr>
          <w:lang w:val="en-GB"/>
        </w:rPr>
        <w:t xml:space="preserve">, and </w:t>
      </w:r>
      <w:r w:rsidRPr="009D0B9D">
        <w:rPr>
          <w:rStyle w:val="Strong"/>
          <w:lang w:val="en-GB"/>
        </w:rPr>
        <w:t>Google Scholar</w:t>
      </w:r>
      <w:r w:rsidRPr="009D0B9D">
        <w:rPr>
          <w:lang w:val="en-GB"/>
        </w:rPr>
        <w:t xml:space="preserve"> to identify peer-reviewed studies relevant to genetic variability in groundnut and its effects on yield, disease resistance, and nut quality. Searches were limited to the period </w:t>
      </w:r>
      <w:r w:rsidRPr="009D0B9D">
        <w:rPr>
          <w:rStyle w:val="Strong"/>
          <w:lang w:val="en-GB"/>
        </w:rPr>
        <w:t>1 January 2015 to 31 October 2025</w:t>
      </w:r>
      <w:r w:rsidRPr="009D0B9D">
        <w:rPr>
          <w:lang w:val="en-GB"/>
        </w:rPr>
        <w:t xml:space="preserve"> to emphasize recent genomics-enabled advances, while allowing foundational genome resources slightly earlier when necessary for context. Example search strings included combinations of:</w:t>
      </w:r>
      <w:r w:rsidRPr="009D0B9D">
        <w:rPr>
          <w:lang w:val="en-GB"/>
        </w:rPr>
        <w:br/>
        <w:t>“</w:t>
      </w:r>
      <w:r w:rsidRPr="009D0B9D">
        <w:rPr>
          <w:rStyle w:val="Emphasis"/>
          <w:lang w:val="en-GB"/>
        </w:rPr>
        <w:t>Arachis hypogaea</w:t>
      </w:r>
      <w:r w:rsidRPr="009D0B9D">
        <w:rPr>
          <w:lang w:val="en-GB"/>
        </w:rPr>
        <w:t xml:space="preserve"> AND (genetic diversity OR variability OR pangenome OR structural variation)”;</w:t>
      </w:r>
      <w:r w:rsidRPr="009D0B9D">
        <w:rPr>
          <w:lang w:val="en-GB"/>
        </w:rPr>
        <w:br/>
        <w:t>“peanut AND (GWAS OR QTL OR genomic selection) AND (yield OR pod weight OR seed size)”;</w:t>
      </w:r>
      <w:r w:rsidRPr="009D0B9D">
        <w:rPr>
          <w:lang w:val="en-GB"/>
        </w:rPr>
        <w:br/>
        <w:t>“groundnut AND (late leaf spot OR rust OR bacterial wilt OR aflatoxin) AND (QTL OR marker)”;</w:t>
      </w:r>
      <w:r w:rsidRPr="009D0B9D">
        <w:rPr>
          <w:lang w:val="en-GB"/>
        </w:rPr>
        <w:br/>
        <w:t>and “peanut AND (high oleic OR fatty acid composition OR oil quality) AND (marker-assisted OR GWAS)”.</w:t>
      </w:r>
    </w:p>
    <w:p w14:paraId="2437FBCA" w14:textId="77777777" w:rsidR="003F02C5" w:rsidRPr="009D0B9D" w:rsidRDefault="003F02C5" w:rsidP="003F02C5">
      <w:pPr>
        <w:pStyle w:val="NormalWeb"/>
        <w:rPr>
          <w:lang w:val="en-GB"/>
        </w:rPr>
      </w:pPr>
      <w:commentRangeStart w:id="10"/>
      <w:r w:rsidRPr="009D0B9D">
        <w:rPr>
          <w:lang w:val="en-GB"/>
        </w:rPr>
        <w:t>Inclusion criteria were: (</w:t>
      </w:r>
      <w:proofErr w:type="spellStart"/>
      <w:r w:rsidRPr="009D0B9D">
        <w:rPr>
          <w:lang w:val="en-GB"/>
        </w:rPr>
        <w:t>i</w:t>
      </w:r>
      <w:proofErr w:type="spellEnd"/>
      <w:r w:rsidRPr="009D0B9D">
        <w:rPr>
          <w:lang w:val="en-GB"/>
        </w:rPr>
        <w:t>) studies in reputable peer-reviewed journals; (ii) explicit genetic or genomic analysis (e.g., genome sequencing, SNP arrays, GWAS/QTL mapping, pangenome/SV analysis, genomic prediction); and (iii) clear linkage to yield, disease resistance, and/or nut quality. Exclusion criteria included: (</w:t>
      </w:r>
      <w:proofErr w:type="spellStart"/>
      <w:r w:rsidRPr="009D0B9D">
        <w:rPr>
          <w:lang w:val="en-GB"/>
        </w:rPr>
        <w:t>i</w:t>
      </w:r>
      <w:proofErr w:type="spellEnd"/>
      <w:r w:rsidRPr="009D0B9D">
        <w:rPr>
          <w:lang w:val="en-GB"/>
        </w:rPr>
        <w:t>) non-peer-reviewed sources, conference-only abstracts, or articles lacking methodological detail; (ii) studies without genetic inference (purely agronomic trials unless directly connected to mapped loci); and (iii) papers outside groundnut/peanut unless used only for methodological framing.</w:t>
      </w:r>
      <w:commentRangeEnd w:id="10"/>
      <w:r w:rsidR="00731B06">
        <w:rPr>
          <w:rStyle w:val="CommentReference"/>
          <w:rFonts w:asciiTheme="minorHAnsi" w:eastAsiaTheme="minorHAnsi" w:hAnsiTheme="minorHAnsi" w:cstheme="minorBidi"/>
          <w:lang w:val="en-GB"/>
        </w:rPr>
        <w:commentReference w:id="10"/>
      </w:r>
    </w:p>
    <w:p w14:paraId="12C33C8B" w14:textId="77777777" w:rsidR="003F02C5" w:rsidRPr="009D0B9D" w:rsidRDefault="003F02C5" w:rsidP="003F02C5">
      <w:pPr>
        <w:pStyle w:val="Heading3"/>
        <w:rPr>
          <w:lang w:val="en-GB"/>
        </w:rPr>
      </w:pPr>
      <w:r w:rsidRPr="009D0B9D">
        <w:rPr>
          <w:lang w:val="en-GB"/>
        </w:rPr>
        <w:t>2.2 Sources and forms of genetic variability relevant to breeding</w:t>
      </w:r>
    </w:p>
    <w:p w14:paraId="66F650E6" w14:textId="77777777" w:rsidR="003F02C5" w:rsidRPr="009D0B9D" w:rsidRDefault="003F02C5" w:rsidP="003F02C5">
      <w:pPr>
        <w:pStyle w:val="NormalWeb"/>
        <w:rPr>
          <w:lang w:val="en-GB"/>
        </w:rPr>
      </w:pPr>
      <w:r w:rsidRPr="009D0B9D">
        <w:rPr>
          <w:lang w:val="en-GB"/>
        </w:rPr>
        <w:t xml:space="preserve">Genetic variability accessible to breeding programs arises from multiple reservoirs. Cultivated germplasm includes landraces and historical cultivars that carry adaptive variation for phenology, architecture, and local stress responses. </w:t>
      </w:r>
      <w:commentRangeStart w:id="11"/>
      <w:r w:rsidRPr="009D0B9D">
        <w:rPr>
          <w:lang w:val="en-GB"/>
        </w:rPr>
        <w:t xml:space="preserve">Wild Arachis relatives provide strong sources of disease resistance and abiotic stress tolerance, although introgression can bring linkage drag. In parallel, induced mutants and targeted crossing designs create additional variation, often enabling clean separation of major effect alleles (e.g., lipid pathway mutations) from background noise. </w:t>
      </w:r>
      <w:commentRangeEnd w:id="11"/>
      <w:r w:rsidR="00731B06">
        <w:rPr>
          <w:rStyle w:val="CommentReference"/>
          <w:rFonts w:asciiTheme="minorHAnsi" w:eastAsiaTheme="minorHAnsi" w:hAnsiTheme="minorHAnsi" w:cstheme="minorBidi"/>
          <w:lang w:val="en-GB"/>
        </w:rPr>
        <w:commentReference w:id="11"/>
      </w:r>
      <w:r w:rsidRPr="009D0B9D">
        <w:rPr>
          <w:lang w:val="en-GB"/>
        </w:rPr>
        <w:t>Modern breeding has also adopted multi-parent resources—nested association mapping (NAM) and multi-parent advanced generation inter-cross (MAGIC) populations—which expand allelic diversity, increase recombination, and improve mapping resolution for complex traits (Gangurde et al., 2020; Wankhade et al., 2023).</w:t>
      </w:r>
    </w:p>
    <w:p w14:paraId="128A6E6F" w14:textId="77777777" w:rsidR="003F02C5" w:rsidRPr="009D0B9D" w:rsidRDefault="003F02C5" w:rsidP="003F02C5">
      <w:pPr>
        <w:pStyle w:val="NormalWeb"/>
        <w:rPr>
          <w:lang w:val="en-GB"/>
        </w:rPr>
      </w:pPr>
      <w:r w:rsidRPr="009D0B9D">
        <w:rPr>
          <w:lang w:val="en-GB"/>
        </w:rPr>
        <w:lastRenderedPageBreak/>
        <w:t>Crucially, genomic studies demonstrate that variability in groundnut is not limited to SNPs. Resistance often maps to clusters of NBS-LRR genes that are particularly prone to copy number changes and structural rearrangements. Yield- and seed-size-related loci can also reflect structural differences, including insertions/deletions and rearrangements that alter expression or dosage. Pangenome analyses have formalized this by showing that a single reference genome does not capture the full repertoire of genes and structural variants influencing traits (Zhao et al., 2025).</w:t>
      </w:r>
    </w:p>
    <w:p w14:paraId="63BB5ADC" w14:textId="77777777" w:rsidR="003F02C5" w:rsidRPr="009D0B9D" w:rsidRDefault="003F02C5" w:rsidP="003F02C5">
      <w:pPr>
        <w:pStyle w:val="Heading3"/>
        <w:rPr>
          <w:lang w:val="en-GB"/>
        </w:rPr>
      </w:pPr>
      <w:r w:rsidRPr="009D0B9D">
        <w:rPr>
          <w:lang w:val="en-GB"/>
        </w:rPr>
        <w:t>2.3 Genomics infrastructure: from reference genomes to pangenomes</w:t>
      </w:r>
    </w:p>
    <w:p w14:paraId="25998F27" w14:textId="77777777" w:rsidR="003F02C5" w:rsidRPr="009D0B9D" w:rsidRDefault="003F02C5" w:rsidP="003F02C5">
      <w:pPr>
        <w:pStyle w:val="NormalWeb"/>
        <w:rPr>
          <w:lang w:val="en-GB"/>
        </w:rPr>
      </w:pPr>
      <w:r w:rsidRPr="009D0B9D">
        <w:rPr>
          <w:lang w:val="en-GB"/>
        </w:rPr>
        <w:t>Sequencing of the diploid progenitors has provided an evolutionary scaffold for interpreting variation in the cultivated allotetraploid genome and has improved marker anchoring and gene annotation (</w:t>
      </w:r>
      <w:proofErr w:type="spellStart"/>
      <w:r w:rsidRPr="009D0B9D">
        <w:rPr>
          <w:lang w:val="en-GB"/>
        </w:rPr>
        <w:t>Bertioli</w:t>
      </w:r>
      <w:proofErr w:type="spellEnd"/>
      <w:r w:rsidRPr="009D0B9D">
        <w:rPr>
          <w:lang w:val="en-GB"/>
        </w:rPr>
        <w:t xml:space="preserve"> et al., 2016). Subsequent assemblies of cultivated peanut have refined understanding of </w:t>
      </w:r>
      <w:proofErr w:type="spellStart"/>
      <w:r w:rsidRPr="009D0B9D">
        <w:rPr>
          <w:lang w:val="en-GB"/>
        </w:rPr>
        <w:t>subgenome</w:t>
      </w:r>
      <w:proofErr w:type="spellEnd"/>
      <w:r w:rsidRPr="009D0B9D">
        <w:rPr>
          <w:lang w:val="en-GB"/>
        </w:rPr>
        <w:t xml:space="preserve"> relationships, domestication signals, and chromosomal architecture (</w:t>
      </w:r>
      <w:proofErr w:type="spellStart"/>
      <w:r w:rsidRPr="009D0B9D">
        <w:rPr>
          <w:lang w:val="en-GB"/>
        </w:rPr>
        <w:t>Bertioli</w:t>
      </w:r>
      <w:proofErr w:type="spellEnd"/>
      <w:r w:rsidRPr="009D0B9D">
        <w:rPr>
          <w:lang w:val="en-GB"/>
        </w:rPr>
        <w:t xml:space="preserve"> et al., 2019; Zhuang et al., 2019). Genome-level resources have been particularly impactful for identifying candidate genes for oil metabolism and seed traits, enabling direct hypotheses about how variability influences quality (Chen et al., 2019).</w:t>
      </w:r>
    </w:p>
    <w:p w14:paraId="0F158DDC" w14:textId="77777777" w:rsidR="003F02C5" w:rsidRPr="009D0B9D" w:rsidRDefault="003F02C5" w:rsidP="003F02C5">
      <w:pPr>
        <w:pStyle w:val="NormalWeb"/>
        <w:rPr>
          <w:lang w:val="en-GB"/>
        </w:rPr>
      </w:pPr>
      <w:r w:rsidRPr="009D0B9D">
        <w:rPr>
          <w:lang w:val="en-GB"/>
        </w:rPr>
        <w:t>More recently, pangenome efforts have extended the focus from SNP-level variation to structural variation and presence/absence variation, revealing trait-associated SVs that can be leveraged for breeding once robust markers are developed (Zhao et al., 2025). From a breeding perspective, this implies a shift from “selecting alleles at known loci” to “designing haplotypes and structural variants” that maximize multi-trait value.</w:t>
      </w:r>
    </w:p>
    <w:p w14:paraId="48EFD75C" w14:textId="77777777" w:rsidR="003F02C5" w:rsidRPr="009D0B9D" w:rsidRDefault="003F02C5" w:rsidP="003F02C5">
      <w:pPr>
        <w:pStyle w:val="Heading3"/>
        <w:rPr>
          <w:lang w:val="en-GB"/>
        </w:rPr>
      </w:pPr>
      <w:r w:rsidRPr="009D0B9D">
        <w:rPr>
          <w:lang w:val="en-GB"/>
        </w:rPr>
        <w:t>2.4 Genotyping and mapping platforms: dense arrays, resequencing, and multi-environment phenotyping</w:t>
      </w:r>
    </w:p>
    <w:p w14:paraId="3425C53B" w14:textId="77777777" w:rsidR="003F02C5" w:rsidRPr="009D0B9D" w:rsidRDefault="003F02C5" w:rsidP="003F02C5">
      <w:pPr>
        <w:pStyle w:val="NormalWeb"/>
        <w:rPr>
          <w:lang w:val="en-GB"/>
        </w:rPr>
      </w:pPr>
      <w:r w:rsidRPr="009D0B9D">
        <w:rPr>
          <w:lang w:val="en-GB"/>
        </w:rPr>
        <w:t xml:space="preserve">The transition from low-density SSR markers to high-density SNP arrays marked a pivotal jump in groundnut genetics. The </w:t>
      </w:r>
      <w:proofErr w:type="spellStart"/>
      <w:r w:rsidRPr="009D0B9D">
        <w:rPr>
          <w:lang w:val="en-GB"/>
        </w:rPr>
        <w:t>Axiom_Arachis</w:t>
      </w:r>
      <w:proofErr w:type="spellEnd"/>
      <w:r w:rsidRPr="009D0B9D">
        <w:rPr>
          <w:lang w:val="en-GB"/>
        </w:rPr>
        <w:t xml:space="preserve"> SNP array enabled consistent, scalable genotyping across diverse germplasm and mapping populations, improving both diversity analysis and trait mapping resolution (Pandey et al., 2017). These array platforms also facilitated comparative mapping across studies, supporting meta-analysis of genomic regions for disease resistance and yield components.</w:t>
      </w:r>
    </w:p>
    <w:p w14:paraId="280C35FC" w14:textId="77777777" w:rsidR="003F02C5" w:rsidRPr="009D0B9D" w:rsidRDefault="003F02C5" w:rsidP="003F02C5">
      <w:pPr>
        <w:pStyle w:val="NormalWeb"/>
        <w:rPr>
          <w:lang w:val="en-GB"/>
        </w:rPr>
      </w:pPr>
      <w:r w:rsidRPr="009D0B9D">
        <w:rPr>
          <w:lang w:val="en-GB"/>
        </w:rPr>
        <w:t>Genome-wide association studies (GWAS) have increasingly adopted multi-environment designs, recognizing that yield and disease phenotypes are environment-responsive. Multi-environment phenotyping is particularly critical for foliar diseases (where pathogen pressure varies) and for quality traits (where temperature and drought alter oil biosynthesis). Studies that integrate multi-environment phenotypes with genome-wide markers provide more actionable marker-trait associations because they can identify stable loci and environment-specific loci relevant to target population of environments (Guo et al., 2024).</w:t>
      </w:r>
    </w:p>
    <w:p w14:paraId="777FDE4F" w14:textId="77777777" w:rsidR="003F02C5" w:rsidRPr="009D0B9D" w:rsidRDefault="003F02C5" w:rsidP="003F02C5">
      <w:pPr>
        <w:pStyle w:val="Heading3"/>
        <w:rPr>
          <w:lang w:val="en-GB"/>
        </w:rPr>
      </w:pPr>
      <w:r w:rsidRPr="009D0B9D">
        <w:rPr>
          <w:lang w:val="en-GB"/>
        </w:rPr>
        <w:t>2.5 Analytical approaches: QTL mapping, GWAS, genomic selection, and SV-aware inference</w:t>
      </w:r>
    </w:p>
    <w:p w14:paraId="7F806DC3" w14:textId="77777777" w:rsidR="003F02C5" w:rsidRPr="009D0B9D" w:rsidRDefault="003F02C5" w:rsidP="003F02C5">
      <w:pPr>
        <w:pStyle w:val="NormalWeb"/>
        <w:rPr>
          <w:lang w:val="en-GB"/>
        </w:rPr>
      </w:pPr>
      <w:r w:rsidRPr="009D0B9D">
        <w:rPr>
          <w:lang w:val="en-GB"/>
        </w:rPr>
        <w:t xml:space="preserve">QTL mapping remains valuable for detecting major-effect loci in bi-parental populations, particularly for disease resistance and specific quality traits. However, GWAS in diverse panels and multi-parent populations offers higher resolution and broader allelic sampling, improving the chance of identifying breeding-relevant variants. Genomic selection (GS) </w:t>
      </w:r>
      <w:r w:rsidRPr="009D0B9D">
        <w:rPr>
          <w:lang w:val="en-GB"/>
        </w:rPr>
        <w:lastRenderedPageBreak/>
        <w:t>complements both by enabling genome-wide prediction for complex traits like yield under genotype-by-environment interaction, thereby enabling earlier and more efficient selection (Pandey et al., 2020). Finally, SV-aware analyses and pangenome frameworks add another layer by recognizing that some of the most impactful trait determinants may not be captured by SNP-only representations (Zhao et al., 2025).</w:t>
      </w:r>
    </w:p>
    <w:p w14:paraId="7CFFD5C9" w14:textId="77777777" w:rsidR="003F02C5" w:rsidRPr="009D0B9D" w:rsidRDefault="003F02C5" w:rsidP="003F02C5"/>
    <w:p w14:paraId="7DB97B46" w14:textId="77777777" w:rsidR="003F02C5" w:rsidRPr="009D0B9D" w:rsidRDefault="003F02C5" w:rsidP="003F02C5">
      <w:pPr>
        <w:pStyle w:val="Heading2"/>
        <w:rPr>
          <w:lang w:val="en-GB"/>
        </w:rPr>
      </w:pPr>
      <w:r w:rsidRPr="009D0B9D">
        <w:rPr>
          <w:lang w:val="en-GB"/>
        </w:rPr>
        <w:t>3. Genetic variability and yield formation</w:t>
      </w:r>
    </w:p>
    <w:p w14:paraId="4FBB24FD" w14:textId="77777777" w:rsidR="003F02C5" w:rsidRPr="009D0B9D" w:rsidRDefault="003F02C5" w:rsidP="003F02C5">
      <w:pPr>
        <w:pStyle w:val="Heading3"/>
        <w:rPr>
          <w:lang w:val="en-GB"/>
        </w:rPr>
      </w:pPr>
      <w:r w:rsidRPr="009D0B9D">
        <w:rPr>
          <w:lang w:val="en-GB"/>
        </w:rPr>
        <w:t>3.1 Yield as a complex trait: component traits, recombination, and environment interaction</w:t>
      </w:r>
    </w:p>
    <w:p w14:paraId="5986E1CA" w14:textId="77777777" w:rsidR="003F02C5" w:rsidRPr="009D0B9D" w:rsidRDefault="003F02C5" w:rsidP="003F02C5">
      <w:pPr>
        <w:pStyle w:val="NormalWeb"/>
        <w:rPr>
          <w:lang w:val="en-GB"/>
        </w:rPr>
      </w:pPr>
      <w:commentRangeStart w:id="12"/>
      <w:r w:rsidRPr="009D0B9D">
        <w:rPr>
          <w:lang w:val="en-GB"/>
        </w:rPr>
        <w:t>Groundnut yield integrates pod number, seed size, seed filling duration, partitioning efficiency, phenology, and plant architecture. Each component is itself polygenic and often influenced by environment (temperature, photoperiod, water availability) and management (plant density, fertilization, disease control). As a result, the genetic basis of yield often includes many loci with small-to-moderate effects plus a smaller number of larger-effect loci that act on key yield components. Breeding progress therefore depends on (</w:t>
      </w:r>
      <w:proofErr w:type="spellStart"/>
      <w:r w:rsidRPr="009D0B9D">
        <w:rPr>
          <w:lang w:val="en-GB"/>
        </w:rPr>
        <w:t>i</w:t>
      </w:r>
      <w:proofErr w:type="spellEnd"/>
      <w:r w:rsidRPr="009D0B9D">
        <w:rPr>
          <w:lang w:val="en-GB"/>
        </w:rPr>
        <w:t>) identifying stable loci for major components, (ii) managing trade-offs among components, and (iii) selecting for performance across representative environments.</w:t>
      </w:r>
      <w:commentRangeEnd w:id="12"/>
      <w:r w:rsidR="00731B06">
        <w:rPr>
          <w:rStyle w:val="CommentReference"/>
          <w:rFonts w:asciiTheme="minorHAnsi" w:eastAsiaTheme="minorHAnsi" w:hAnsiTheme="minorHAnsi" w:cstheme="minorBidi"/>
          <w:lang w:val="en-GB"/>
        </w:rPr>
        <w:commentReference w:id="12"/>
      </w:r>
    </w:p>
    <w:p w14:paraId="2690E118" w14:textId="77777777" w:rsidR="003F02C5" w:rsidRPr="009D0B9D" w:rsidRDefault="003F02C5" w:rsidP="003F02C5">
      <w:pPr>
        <w:pStyle w:val="Heading3"/>
        <w:rPr>
          <w:lang w:val="en-GB"/>
        </w:rPr>
      </w:pPr>
      <w:r w:rsidRPr="009D0B9D">
        <w:rPr>
          <w:lang w:val="en-GB"/>
        </w:rPr>
        <w:t>3.2 High-resolution dissection of seed and pod weights: NAM and candidate genes</w:t>
      </w:r>
    </w:p>
    <w:p w14:paraId="1F181FFA" w14:textId="77777777" w:rsidR="003F02C5" w:rsidRPr="009D0B9D" w:rsidRDefault="003F02C5" w:rsidP="003F02C5">
      <w:pPr>
        <w:pStyle w:val="NormalWeb"/>
        <w:rPr>
          <w:lang w:val="en-GB"/>
        </w:rPr>
      </w:pPr>
      <w:r w:rsidRPr="009D0B9D">
        <w:rPr>
          <w:lang w:val="en-GB"/>
        </w:rPr>
        <w:t>Nested association mapping has provided a powerful design for dissecting seed and pod weight traits. By combining multiple founders and recombination-rich progeny, NAM improves mapping power while allowing more direct translation to breeding because founders can be chosen for local relevance. In a NAM-based genetic dissection, candidate genes influencing seed and pod weights were identified, illustrating how variability across multiple founder haplotypes can be mined for yield component improvement (Gangurde et al., 2020). Such results reinforce a pragmatic view: yield improvement can be accelerated by treating major yield components as primary selection targets, with yield itself evaluated as an integrated outcome across environments.</w:t>
      </w:r>
    </w:p>
    <w:p w14:paraId="7B8F6D84" w14:textId="77777777" w:rsidR="003F02C5" w:rsidRPr="009D0B9D" w:rsidRDefault="003F02C5" w:rsidP="003F02C5">
      <w:pPr>
        <w:pStyle w:val="Heading3"/>
        <w:rPr>
          <w:lang w:val="en-GB"/>
        </w:rPr>
      </w:pPr>
      <w:r w:rsidRPr="009D0B9D">
        <w:rPr>
          <w:lang w:val="en-GB"/>
        </w:rPr>
        <w:t>3.3 A major pod size regulator and its breeding relevance</w:t>
      </w:r>
    </w:p>
    <w:p w14:paraId="48696DE5" w14:textId="77777777" w:rsidR="003F02C5" w:rsidRPr="009D0B9D" w:rsidRDefault="003F02C5" w:rsidP="003F02C5">
      <w:pPr>
        <w:pStyle w:val="NormalWeb"/>
        <w:rPr>
          <w:lang w:val="en-GB"/>
        </w:rPr>
      </w:pPr>
      <w:r w:rsidRPr="009D0B9D">
        <w:rPr>
          <w:lang w:val="en-GB"/>
        </w:rPr>
        <w:t>A key recent advance was the functional characterization of POD SIZE/WEIGHT1 (PSW1), an LRR receptor kinase regulating pod size, linking a mapped locus to a plausible mechanistic gene and enabling marker-assisted selection for pod-size-related yield improvement (Zhao et al., 2023). From a breeding strategy perspective, loci such as PSW1 are valuable because they provide a clear genetic handle on a component trait that is directly measurable and strongly tied to market class requirements (kernel size categories) as well as yield.</w:t>
      </w:r>
    </w:p>
    <w:p w14:paraId="0FA9B74C" w14:textId="77777777" w:rsidR="003F02C5" w:rsidRPr="009D0B9D" w:rsidRDefault="003F02C5" w:rsidP="003F02C5">
      <w:pPr>
        <w:pStyle w:val="Heading3"/>
        <w:rPr>
          <w:lang w:val="en-GB"/>
        </w:rPr>
      </w:pPr>
      <w:r w:rsidRPr="009D0B9D">
        <w:rPr>
          <w:lang w:val="en-GB"/>
        </w:rPr>
        <w:t>3.4 Multi-environment GWAS and marker development for yield and quality</w:t>
      </w:r>
    </w:p>
    <w:p w14:paraId="7CE98E8F" w14:textId="77777777" w:rsidR="003F02C5" w:rsidRPr="009D0B9D" w:rsidRDefault="003F02C5" w:rsidP="003F02C5">
      <w:pPr>
        <w:pStyle w:val="NormalWeb"/>
        <w:rPr>
          <w:lang w:val="en-GB"/>
        </w:rPr>
      </w:pPr>
      <w:r w:rsidRPr="009D0B9D">
        <w:rPr>
          <w:lang w:val="en-GB"/>
        </w:rPr>
        <w:t>Multi-environment GWAS integrating yield components with quality traits is particularly valuable because it reveals loci that either (</w:t>
      </w:r>
      <w:proofErr w:type="spellStart"/>
      <w:r w:rsidRPr="009D0B9D">
        <w:rPr>
          <w:lang w:val="en-GB"/>
        </w:rPr>
        <w:t>i</w:t>
      </w:r>
      <w:proofErr w:type="spellEnd"/>
      <w:r w:rsidRPr="009D0B9D">
        <w:rPr>
          <w:lang w:val="en-GB"/>
        </w:rPr>
        <w:t xml:space="preserve">) contribute positively to both yield and quality or </w:t>
      </w:r>
      <w:r w:rsidRPr="009D0B9D">
        <w:rPr>
          <w:lang w:val="en-GB"/>
        </w:rPr>
        <w:lastRenderedPageBreak/>
        <w:t>(ii) expose trade-offs that require careful selection index design. A recent study integrating resequencing-based genotypes with yield components and quality traits across multiple environments identified marker-trait associations and developed molecular markers that can support simultaneous improvement (Guo et al., 2024). The practical value lies not only in mapping but also in translating signals into deployable markers and prioritizing stable associations that can survive the noise of real-world breeding environments.</w:t>
      </w:r>
    </w:p>
    <w:p w14:paraId="270F0DBF" w14:textId="77777777" w:rsidR="003F02C5" w:rsidRPr="009D0B9D" w:rsidRDefault="003F02C5" w:rsidP="003F02C5">
      <w:pPr>
        <w:pStyle w:val="Heading3"/>
        <w:rPr>
          <w:lang w:val="en-GB"/>
        </w:rPr>
      </w:pPr>
      <w:r w:rsidRPr="009D0B9D">
        <w:rPr>
          <w:lang w:val="en-GB"/>
        </w:rPr>
        <w:t>3.5 Genomic selection for yield stability and accelerated genetic gain</w:t>
      </w:r>
    </w:p>
    <w:p w14:paraId="078F0D5D" w14:textId="77777777" w:rsidR="003F02C5" w:rsidRPr="009D0B9D" w:rsidRDefault="003F02C5" w:rsidP="003F02C5">
      <w:pPr>
        <w:pStyle w:val="NormalWeb"/>
        <w:rPr>
          <w:lang w:val="en-GB"/>
        </w:rPr>
      </w:pPr>
      <w:r w:rsidRPr="009D0B9D">
        <w:rPr>
          <w:lang w:val="en-GB"/>
        </w:rPr>
        <w:t>Genomic selection addresses a persistent bottleneck in groundnut improvement: yield is expensive to phenotype robustly, and genotype-by-environment interaction can weaken selection efficiency. Genome-based trait prediction models that incorporate interaction structures can improve prediction accuracy, helping breeders select superior genotypes earlier and across more environments than would be feasible using phenotype-only selection (Pandey et al., 2020). The strategic implication is that GS is best viewed as a pipeline accelerator—shifting selection intensity forward—rather than a replacement for multi-environment testing. It can also be integrated with marker-assisted selection for major loci (e.g., quality and disease resistance QTL), creating a hybrid approach that combines predictable major effects with genome-wide polygenic gain.</w:t>
      </w:r>
    </w:p>
    <w:p w14:paraId="16006C60" w14:textId="77777777" w:rsidR="003F02C5" w:rsidRPr="009D0B9D" w:rsidRDefault="003F02C5" w:rsidP="003F02C5">
      <w:pPr>
        <w:pStyle w:val="Heading3"/>
        <w:rPr>
          <w:lang w:val="en-GB"/>
        </w:rPr>
      </w:pPr>
      <w:r w:rsidRPr="009D0B9D">
        <w:rPr>
          <w:lang w:val="en-GB"/>
        </w:rPr>
        <w:t>3.6 Drought tolerance and yield resilience: multi-parent mapping for climate resilience</w:t>
      </w:r>
    </w:p>
    <w:p w14:paraId="294A4C35" w14:textId="77777777" w:rsidR="003F02C5" w:rsidRPr="009D0B9D" w:rsidRDefault="003F02C5" w:rsidP="003F02C5">
      <w:pPr>
        <w:pStyle w:val="NormalWeb"/>
        <w:rPr>
          <w:lang w:val="en-GB"/>
        </w:rPr>
      </w:pPr>
      <w:r w:rsidRPr="009D0B9D">
        <w:rPr>
          <w:lang w:val="en-GB"/>
        </w:rPr>
        <w:t>Yield stability in rainfed systems depends heavily on drought response traits, including transpiration efficiency, phenology adjustment, and maintenance of seed filling under water deficit. Mapping in a MAGIC population has identified genomic regions and candidate genes associated with drought tolerance traits, enabling the development of marker resources and trait-linked loci for climate resilience breeding (Sharma et al., 2024). This work illustrates why multi-parent resources are particularly useful for drought: they capture diverse drought response strategies from multiple founders and produce recombination patterns that can separate beneficial alleles from undesirable background effects.</w:t>
      </w:r>
    </w:p>
    <w:p w14:paraId="225A62F9" w14:textId="77777777" w:rsidR="003F02C5" w:rsidRPr="009D0B9D" w:rsidRDefault="003F02C5" w:rsidP="003F02C5"/>
    <w:p w14:paraId="0093BC82" w14:textId="77777777" w:rsidR="003F02C5" w:rsidRPr="009D0B9D" w:rsidRDefault="003F02C5" w:rsidP="003F02C5">
      <w:pPr>
        <w:pStyle w:val="Heading2"/>
        <w:rPr>
          <w:lang w:val="en-GB"/>
        </w:rPr>
      </w:pPr>
      <w:r w:rsidRPr="009D0B9D">
        <w:rPr>
          <w:lang w:val="en-GB"/>
        </w:rPr>
        <w:t>4. Genetic variability and disease resistance</w:t>
      </w:r>
    </w:p>
    <w:p w14:paraId="3EB376BB" w14:textId="77777777" w:rsidR="003F02C5" w:rsidRPr="009D0B9D" w:rsidRDefault="003F02C5" w:rsidP="003F02C5">
      <w:pPr>
        <w:pStyle w:val="Heading3"/>
        <w:rPr>
          <w:lang w:val="en-GB"/>
        </w:rPr>
      </w:pPr>
      <w:r w:rsidRPr="009D0B9D">
        <w:rPr>
          <w:lang w:val="en-GB"/>
        </w:rPr>
        <w:t>4.1 Foliar fungal diseases: late leaf spot as a case study for stable QTL and structural variation</w:t>
      </w:r>
    </w:p>
    <w:p w14:paraId="05DEC3EC" w14:textId="77777777" w:rsidR="003F02C5" w:rsidRPr="009D0B9D" w:rsidRDefault="003F02C5" w:rsidP="003F02C5">
      <w:pPr>
        <w:pStyle w:val="NormalWeb"/>
        <w:rPr>
          <w:lang w:val="en-GB"/>
        </w:rPr>
      </w:pPr>
      <w:r w:rsidRPr="009D0B9D">
        <w:rPr>
          <w:lang w:val="en-GB"/>
        </w:rPr>
        <w:t>Late leaf spot (LLS) is among the most yield-limiting foliar diseases in many groundnut-growing regions. Breeding for LLS resistance has long relied on phenotypic selection and introgression from resistant sources, but modern genomics is clarifying the underlying architecture. GWAS in a MAGIC population identified functional nucleotide polymorphisms associated with LLS resistance traits, offering marker opportunities for selection in breeding populations (Wankhade et al., 2023). Beyond SNP associations, QTL mapping combined with QTL-</w:t>
      </w:r>
      <w:proofErr w:type="spellStart"/>
      <w:r w:rsidRPr="009D0B9D">
        <w:rPr>
          <w:lang w:val="en-GB"/>
        </w:rPr>
        <w:t>seq</w:t>
      </w:r>
      <w:proofErr w:type="spellEnd"/>
      <w:r w:rsidRPr="009D0B9D">
        <w:rPr>
          <w:lang w:val="en-GB"/>
        </w:rPr>
        <w:t xml:space="preserve"> has identified stable major QTL for LLS resistance and highlighted a large structural variant interval enriched for NBS-LRR resistance genes, suggesting that SV-mediated </w:t>
      </w:r>
      <w:proofErr w:type="spellStart"/>
      <w:r w:rsidRPr="009D0B9D">
        <w:rPr>
          <w:lang w:val="en-GB"/>
        </w:rPr>
        <w:t>remodeling</w:t>
      </w:r>
      <w:proofErr w:type="spellEnd"/>
      <w:r w:rsidRPr="009D0B9D">
        <w:rPr>
          <w:lang w:val="en-GB"/>
        </w:rPr>
        <w:t xml:space="preserve"> of resistance gene clusters can produce meaningful resistance gains (Chen et al., 2025). This is an important conceptual shift: durable resistance may sometimes </w:t>
      </w:r>
      <w:r w:rsidRPr="009D0B9D">
        <w:rPr>
          <w:lang w:val="en-GB"/>
        </w:rPr>
        <w:lastRenderedPageBreak/>
        <w:t>be encoded as structural haplotypes rather than single SNPs, and breeding may need SV-diagnostic markers in addition to SNP markers.</w:t>
      </w:r>
    </w:p>
    <w:p w14:paraId="4E0EE776" w14:textId="77777777" w:rsidR="003F02C5" w:rsidRPr="009D0B9D" w:rsidRDefault="003F02C5" w:rsidP="003F02C5">
      <w:pPr>
        <w:pStyle w:val="Heading3"/>
        <w:rPr>
          <w:lang w:val="en-GB"/>
        </w:rPr>
      </w:pPr>
      <w:r w:rsidRPr="009D0B9D">
        <w:rPr>
          <w:lang w:val="en-GB"/>
        </w:rPr>
        <w:t>4.2 Rust resistance: leveraging wild alleles and deploying breeder-friendly markers</w:t>
      </w:r>
    </w:p>
    <w:p w14:paraId="2CD27295" w14:textId="77777777" w:rsidR="003F02C5" w:rsidRPr="009D0B9D" w:rsidRDefault="003F02C5" w:rsidP="003F02C5">
      <w:pPr>
        <w:pStyle w:val="NormalWeb"/>
        <w:rPr>
          <w:lang w:val="en-GB"/>
        </w:rPr>
      </w:pPr>
      <w:r w:rsidRPr="009D0B9D">
        <w:rPr>
          <w:lang w:val="en-GB"/>
        </w:rPr>
        <w:t xml:space="preserve">Rust resistance has benefited from systematic mining of wild Arachis relatives, which often carry strong resistance not present in cultivated pools. QTL mapping in wild-derived material identified rust resistance loci and </w:t>
      </w:r>
      <w:commentRangeStart w:id="13"/>
      <w:r w:rsidRPr="009D0B9D">
        <w:rPr>
          <w:lang w:val="en-GB"/>
        </w:rPr>
        <w:t>enabled development of KASP markers for marker-assisted selection (Leal-</w:t>
      </w:r>
      <w:proofErr w:type="spellStart"/>
      <w:r w:rsidRPr="009D0B9D">
        <w:rPr>
          <w:lang w:val="en-GB"/>
        </w:rPr>
        <w:t>Bertioli</w:t>
      </w:r>
      <w:proofErr w:type="spellEnd"/>
      <w:r w:rsidRPr="009D0B9D">
        <w:rPr>
          <w:lang w:val="en-GB"/>
        </w:rPr>
        <w:t xml:space="preserve"> et al., 2015). This represents a translational pathway with clear breeding logic: identify resistance in wild germplasm, map QTL, develop robust markers, </w:t>
      </w:r>
      <w:proofErr w:type="spellStart"/>
      <w:r w:rsidRPr="009D0B9D">
        <w:rPr>
          <w:lang w:val="en-GB"/>
        </w:rPr>
        <w:t>introgress</w:t>
      </w:r>
      <w:proofErr w:type="spellEnd"/>
      <w:r w:rsidRPr="009D0B9D">
        <w:rPr>
          <w:lang w:val="en-GB"/>
        </w:rPr>
        <w:t xml:space="preserve"> with marker-assisted backcrossing, and validate resistance across environments. The continuing challenge is minimizing linkage drag while retaining durable resistance.</w:t>
      </w:r>
      <w:commentRangeEnd w:id="13"/>
      <w:r w:rsidR="00731B06">
        <w:rPr>
          <w:rStyle w:val="CommentReference"/>
          <w:rFonts w:asciiTheme="minorHAnsi" w:eastAsiaTheme="minorHAnsi" w:hAnsiTheme="minorHAnsi" w:cstheme="minorBidi"/>
          <w:lang w:val="en-GB"/>
        </w:rPr>
        <w:commentReference w:id="13"/>
      </w:r>
    </w:p>
    <w:p w14:paraId="20829A5E" w14:textId="77777777" w:rsidR="003F02C5" w:rsidRPr="009D0B9D" w:rsidRDefault="003F02C5" w:rsidP="003F02C5">
      <w:pPr>
        <w:pStyle w:val="Heading3"/>
        <w:rPr>
          <w:lang w:val="en-GB"/>
        </w:rPr>
      </w:pPr>
      <w:r w:rsidRPr="009D0B9D">
        <w:rPr>
          <w:lang w:val="en-GB"/>
        </w:rPr>
        <w:t>4.3 Bacterial wilt: from QTL to fine-mapped markers</w:t>
      </w:r>
    </w:p>
    <w:p w14:paraId="4D68D2A0" w14:textId="77777777" w:rsidR="003F02C5" w:rsidRPr="009D0B9D" w:rsidRDefault="003F02C5" w:rsidP="003F02C5">
      <w:pPr>
        <w:pStyle w:val="NormalWeb"/>
        <w:rPr>
          <w:lang w:val="en-GB"/>
        </w:rPr>
      </w:pPr>
      <w:r w:rsidRPr="009D0B9D">
        <w:rPr>
          <w:lang w:val="en-GB"/>
        </w:rPr>
        <w:t xml:space="preserve">Bacterial wilt caused by </w:t>
      </w:r>
      <w:proofErr w:type="spellStart"/>
      <w:r w:rsidRPr="009D0B9D">
        <w:rPr>
          <w:lang w:val="en-GB"/>
        </w:rPr>
        <w:t>Ralstonia</w:t>
      </w:r>
      <w:proofErr w:type="spellEnd"/>
      <w:r w:rsidRPr="009D0B9D">
        <w:rPr>
          <w:lang w:val="en-GB"/>
        </w:rPr>
        <w:t xml:space="preserve"> solanacearum is highly destructive in certain production regions and often difficult to manage agronomically. Fine mapping has delivered a major QTL that was narrowed to a small physical region, along with a useful KASP marker for breeding resistant varieties (Qi et al., 2022). This is a strong example of a “breeding-ready” outcome: a stable, large-effect locus with a directly deployable diagnostic marker, enabling selection even in environments where disease screening is inconsistent or high-risk.</w:t>
      </w:r>
    </w:p>
    <w:p w14:paraId="49653318" w14:textId="77777777" w:rsidR="003F02C5" w:rsidRPr="009D0B9D" w:rsidRDefault="003F02C5" w:rsidP="003F02C5">
      <w:pPr>
        <w:pStyle w:val="Heading3"/>
        <w:rPr>
          <w:lang w:val="en-GB"/>
        </w:rPr>
      </w:pPr>
      <w:r w:rsidRPr="009D0B9D">
        <w:rPr>
          <w:lang w:val="en-GB"/>
        </w:rPr>
        <w:t>4.4 Emerging disease threats: peanut smut and the value of genomic preparedness</w:t>
      </w:r>
    </w:p>
    <w:p w14:paraId="4A65F9EF" w14:textId="77777777" w:rsidR="003F02C5" w:rsidRPr="009D0B9D" w:rsidRDefault="003F02C5" w:rsidP="003F02C5">
      <w:pPr>
        <w:pStyle w:val="NormalWeb"/>
        <w:rPr>
          <w:lang w:val="en-GB"/>
        </w:rPr>
      </w:pPr>
      <w:r w:rsidRPr="009D0B9D">
        <w:rPr>
          <w:lang w:val="en-GB"/>
        </w:rPr>
        <w:t>Peanut smut (</w:t>
      </w:r>
      <w:proofErr w:type="spellStart"/>
      <w:r w:rsidRPr="009D0B9D">
        <w:rPr>
          <w:lang w:val="en-GB"/>
        </w:rPr>
        <w:t>Thecaphora</w:t>
      </w:r>
      <w:proofErr w:type="spellEnd"/>
      <w:r w:rsidRPr="009D0B9D">
        <w:rPr>
          <w:lang w:val="en-GB"/>
        </w:rPr>
        <w:t xml:space="preserve"> </w:t>
      </w:r>
      <w:proofErr w:type="spellStart"/>
      <w:r w:rsidRPr="009D0B9D">
        <w:rPr>
          <w:lang w:val="en-GB"/>
        </w:rPr>
        <w:t>frezii</w:t>
      </w:r>
      <w:proofErr w:type="spellEnd"/>
      <w:r w:rsidRPr="009D0B9D">
        <w:rPr>
          <w:lang w:val="en-GB"/>
        </w:rPr>
        <w:t>) is a major constraint in some production regions and illustrates how new disease threats can require rapid genetic solutions. QTL mapping revealed a major and a minor QTL whose combined effects substantially reduced disease incidence and were stable across years, supporting the feasibility of breeding for resistance using linked markers (de Blas et al., 2021). The broader lesson is strategic: as climate change and trade reshape pathogen distributions, genomic preparedness—diverse germplasm, high-throughput genotyping, and rapid mapping capacity—becomes a core risk-management asset for breeding programs.</w:t>
      </w:r>
    </w:p>
    <w:p w14:paraId="453213F9" w14:textId="77777777" w:rsidR="003F02C5" w:rsidRPr="009D0B9D" w:rsidRDefault="003F02C5" w:rsidP="003F02C5">
      <w:pPr>
        <w:pStyle w:val="Heading3"/>
        <w:rPr>
          <w:lang w:val="en-GB"/>
        </w:rPr>
      </w:pPr>
      <w:r w:rsidRPr="009D0B9D">
        <w:rPr>
          <w:lang w:val="en-GB"/>
        </w:rPr>
        <w:t>4.5 Aflatoxin risk reduction: host resistance and transcriptomic signals</w:t>
      </w:r>
    </w:p>
    <w:p w14:paraId="2D35229B" w14:textId="77777777" w:rsidR="003F02C5" w:rsidRPr="009D0B9D" w:rsidRDefault="003F02C5" w:rsidP="003F02C5">
      <w:pPr>
        <w:pStyle w:val="NormalWeb"/>
        <w:rPr>
          <w:lang w:val="en-GB"/>
        </w:rPr>
      </w:pPr>
      <w:r w:rsidRPr="009D0B9D">
        <w:rPr>
          <w:lang w:val="en-GB"/>
        </w:rPr>
        <w:t>Aflatoxin contamination is primarily driven by infection by Aspergillus flavus and is strongly modulated by drought and heat stress, making it a complex target involving both pathogen resistance and stress resilience. Comparative transcriptome and co-expression network analyses have identified candidate hub genes associated with resistance responses, providing mechanistic hypotheses and potential marker targets for breeding and functional validation (Cui et al., 2022). While transcriptomic markers are not automatically breeding-ready, they help prioritize pathways and genes for downstream validation and may be integrated with genomic selection or SV-aware breeding as multi-</w:t>
      </w:r>
      <w:proofErr w:type="spellStart"/>
      <w:r w:rsidRPr="009D0B9D">
        <w:rPr>
          <w:lang w:val="en-GB"/>
        </w:rPr>
        <w:t>omic</w:t>
      </w:r>
      <w:proofErr w:type="spellEnd"/>
      <w:r w:rsidRPr="009D0B9D">
        <w:rPr>
          <w:lang w:val="en-GB"/>
        </w:rPr>
        <w:t xml:space="preserve"> datasets expand.</w:t>
      </w:r>
    </w:p>
    <w:p w14:paraId="6A7D6468" w14:textId="77777777" w:rsidR="003F02C5" w:rsidRPr="009D0B9D" w:rsidRDefault="003F02C5" w:rsidP="003F02C5">
      <w:pPr>
        <w:pStyle w:val="Heading3"/>
        <w:rPr>
          <w:lang w:val="en-GB"/>
        </w:rPr>
      </w:pPr>
      <w:r w:rsidRPr="009D0B9D">
        <w:rPr>
          <w:lang w:val="en-GB"/>
        </w:rPr>
        <w:t>4.6 Toward durable resistance: pyramiding, multi-trait breeding, and SV-aware marker systems</w:t>
      </w:r>
    </w:p>
    <w:p w14:paraId="6781CA49" w14:textId="77777777" w:rsidR="003F02C5" w:rsidRPr="009D0B9D" w:rsidRDefault="003F02C5" w:rsidP="003F02C5">
      <w:pPr>
        <w:pStyle w:val="NormalWeb"/>
        <w:rPr>
          <w:lang w:val="en-GB"/>
        </w:rPr>
      </w:pPr>
      <w:r w:rsidRPr="009D0B9D">
        <w:rPr>
          <w:lang w:val="en-GB"/>
        </w:rPr>
        <w:lastRenderedPageBreak/>
        <w:t>The disease resistance landscape suggests a pragmatic framework. For diseases with major stable loci and strong markers (e.g., bacterial wilt), marker-assisted selection and QTL pyramiding are efficient. For diseases with complex architecture and environment dependency (e.g., foliar diseases), multi-parent GWAS and genomic prediction can provide broader gains, while SV-aware diagnostics may be needed when resistance derives from structural haplotypes (Chen et al., 2025; Wankhade et al., 2023). Integrating these approaches into a single breeding pipeline requires careful design of selection indices so that resistance gains do not compromise yield components or market quality traits.</w:t>
      </w:r>
    </w:p>
    <w:p w14:paraId="793A50EC" w14:textId="77777777" w:rsidR="003F02C5" w:rsidRPr="009D0B9D" w:rsidRDefault="003F02C5" w:rsidP="003F02C5"/>
    <w:p w14:paraId="4D3F57FB" w14:textId="77777777" w:rsidR="003F02C5" w:rsidRPr="009D0B9D" w:rsidRDefault="003F02C5" w:rsidP="003F02C5">
      <w:pPr>
        <w:pStyle w:val="Heading2"/>
        <w:rPr>
          <w:lang w:val="en-GB"/>
        </w:rPr>
      </w:pPr>
      <w:r w:rsidRPr="009D0B9D">
        <w:rPr>
          <w:lang w:val="en-GB"/>
        </w:rPr>
        <w:t>5. Genetic variability and nut quality</w:t>
      </w:r>
    </w:p>
    <w:p w14:paraId="121F27E8" w14:textId="77777777" w:rsidR="003F02C5" w:rsidRPr="009D0B9D" w:rsidRDefault="003F02C5" w:rsidP="003F02C5">
      <w:pPr>
        <w:pStyle w:val="Heading3"/>
        <w:rPr>
          <w:lang w:val="en-GB"/>
        </w:rPr>
      </w:pPr>
      <w:r w:rsidRPr="009D0B9D">
        <w:rPr>
          <w:lang w:val="en-GB"/>
        </w:rPr>
        <w:t>5.1 Nut quality as a breeding target: nutrition, shelf-life, processing, and safety</w:t>
      </w:r>
    </w:p>
    <w:p w14:paraId="504A9C16" w14:textId="77777777" w:rsidR="003F02C5" w:rsidRPr="009D0B9D" w:rsidRDefault="003F02C5" w:rsidP="003F02C5">
      <w:pPr>
        <w:pStyle w:val="NormalWeb"/>
        <w:rPr>
          <w:lang w:val="en-GB"/>
        </w:rPr>
      </w:pPr>
      <w:r w:rsidRPr="009D0B9D">
        <w:rPr>
          <w:lang w:val="en-GB"/>
        </w:rPr>
        <w:t>Groundnut quality includes oil content, fatty acid composition, protein and micronutrient profiles, sensory traits (</w:t>
      </w:r>
      <w:proofErr w:type="spellStart"/>
      <w:r w:rsidRPr="009D0B9D">
        <w:rPr>
          <w:lang w:val="en-GB"/>
        </w:rPr>
        <w:t>flavor</w:t>
      </w:r>
      <w:proofErr w:type="spellEnd"/>
      <w:r w:rsidRPr="009D0B9D">
        <w:rPr>
          <w:lang w:val="en-GB"/>
        </w:rPr>
        <w:t xml:space="preserve">, sweetness, texture), and safety attributes (including reduced susceptibility to rancidity and lower risk of mycotoxin contamination). In many markets, quality traits are not optional: high-oleic types can command premiums due to improved oxidative stability and longer shelf-life, while consistent kernel size and </w:t>
      </w:r>
      <w:proofErr w:type="spellStart"/>
      <w:r w:rsidRPr="009D0B9D">
        <w:rPr>
          <w:lang w:val="en-GB"/>
        </w:rPr>
        <w:t>flavor</w:t>
      </w:r>
      <w:proofErr w:type="spellEnd"/>
      <w:r w:rsidRPr="009D0B9D">
        <w:rPr>
          <w:lang w:val="en-GB"/>
        </w:rPr>
        <w:t xml:space="preserve"> are required for snack and confectionery sectors. Importantly, quality traits can be sensitive to environment, so robust improvement requires both genetic control and evaluation under representative conditions</w:t>
      </w:r>
      <w:commentRangeStart w:id="14"/>
      <w:r w:rsidRPr="009D0B9D">
        <w:rPr>
          <w:lang w:val="en-GB"/>
        </w:rPr>
        <w:t>.</w:t>
      </w:r>
      <w:commentRangeEnd w:id="14"/>
      <w:r w:rsidR="00731B06">
        <w:rPr>
          <w:rStyle w:val="CommentReference"/>
          <w:rFonts w:asciiTheme="minorHAnsi" w:eastAsiaTheme="minorHAnsi" w:hAnsiTheme="minorHAnsi" w:cstheme="minorBidi"/>
          <w:lang w:val="en-GB"/>
        </w:rPr>
        <w:commentReference w:id="14"/>
      </w:r>
    </w:p>
    <w:p w14:paraId="5952E9A8" w14:textId="77777777" w:rsidR="003F02C5" w:rsidRPr="009D0B9D" w:rsidRDefault="003F02C5" w:rsidP="003F02C5">
      <w:pPr>
        <w:pStyle w:val="Heading3"/>
        <w:rPr>
          <w:lang w:val="en-GB"/>
        </w:rPr>
      </w:pPr>
      <w:r w:rsidRPr="009D0B9D">
        <w:rPr>
          <w:lang w:val="en-GB"/>
        </w:rPr>
        <w:t>5.2 High oleic trait: major alleles and marker-assisted introgression</w:t>
      </w:r>
    </w:p>
    <w:p w14:paraId="5CDAC0EC" w14:textId="77777777" w:rsidR="003F02C5" w:rsidRPr="009D0B9D" w:rsidRDefault="003F02C5" w:rsidP="003F02C5">
      <w:pPr>
        <w:pStyle w:val="NormalWeb"/>
        <w:rPr>
          <w:lang w:val="en-GB"/>
        </w:rPr>
      </w:pPr>
      <w:r w:rsidRPr="009D0B9D">
        <w:rPr>
          <w:lang w:val="en-GB"/>
        </w:rPr>
        <w:t>The high oleic trait is one of the clearest examples where genetic variability has been translated into direct product value. Marker-assisted introgression of mutant ahFAD2 alleles into elite cultivars has generated high-oleic lines while maintaining other desirable agronomic attributes, including disease resistance in the recipient background (</w:t>
      </w:r>
      <w:proofErr w:type="spellStart"/>
      <w:r w:rsidRPr="009D0B9D">
        <w:rPr>
          <w:lang w:val="en-GB"/>
        </w:rPr>
        <w:t>Nawade</w:t>
      </w:r>
      <w:proofErr w:type="spellEnd"/>
      <w:r w:rsidRPr="009D0B9D">
        <w:rPr>
          <w:lang w:val="en-GB"/>
        </w:rPr>
        <w:t xml:space="preserve"> et al., 2019). This illustrates an efficient quality-breeding pathway: identify major alleles with large effect, develop diagnostic markers, </w:t>
      </w:r>
      <w:proofErr w:type="spellStart"/>
      <w:r w:rsidRPr="009D0B9D">
        <w:rPr>
          <w:lang w:val="en-GB"/>
        </w:rPr>
        <w:t>introgress</w:t>
      </w:r>
      <w:proofErr w:type="spellEnd"/>
      <w:r w:rsidRPr="009D0B9D">
        <w:rPr>
          <w:lang w:val="en-GB"/>
        </w:rPr>
        <w:t xml:space="preserve"> into locally adapted cultivars, and validate fatty acid profiles under target environments.</w:t>
      </w:r>
    </w:p>
    <w:p w14:paraId="4F281758" w14:textId="77777777" w:rsidR="003F02C5" w:rsidRPr="009D0B9D" w:rsidRDefault="003F02C5" w:rsidP="003F02C5">
      <w:pPr>
        <w:pStyle w:val="Heading3"/>
        <w:rPr>
          <w:lang w:val="en-GB"/>
        </w:rPr>
      </w:pPr>
      <w:r w:rsidRPr="009D0B9D">
        <w:rPr>
          <w:lang w:val="en-GB"/>
        </w:rPr>
        <w:t>5.3 Beyond single-locus quality: genome-wide architecture of fatty acid composition</w:t>
      </w:r>
    </w:p>
    <w:p w14:paraId="50145D3D" w14:textId="77777777" w:rsidR="003F02C5" w:rsidRPr="009D0B9D" w:rsidRDefault="003F02C5" w:rsidP="003F02C5">
      <w:pPr>
        <w:pStyle w:val="NormalWeb"/>
        <w:rPr>
          <w:lang w:val="en-GB"/>
        </w:rPr>
      </w:pPr>
      <w:r w:rsidRPr="009D0B9D">
        <w:rPr>
          <w:lang w:val="en-GB"/>
        </w:rPr>
        <w:t>Fatty acid composition is influenced not only by major loci but also by polygenic networks and epistatic interactions. Genome-wide analyses in diverse collections have delineated additive, epistatic, and pleiotropic variants controlling fatty acid composition, emphasizing that quality improvement can benefit from genome-wide approaches rather than relying solely on a small number of pathway genes (</w:t>
      </w:r>
      <w:proofErr w:type="spellStart"/>
      <w:r w:rsidRPr="009D0B9D">
        <w:rPr>
          <w:lang w:val="en-GB"/>
        </w:rPr>
        <w:t>Otyama</w:t>
      </w:r>
      <w:proofErr w:type="spellEnd"/>
      <w:r w:rsidRPr="009D0B9D">
        <w:rPr>
          <w:lang w:val="en-GB"/>
        </w:rPr>
        <w:t xml:space="preserve"> et al., 2022). For breeding, the implication is that combining major-effect alleles (for strong shifts such as high oleic) with genomic selection for the polygenic background may produce more consistent quality across environments and better multi-trait outcomes.</w:t>
      </w:r>
    </w:p>
    <w:p w14:paraId="3849D7EF" w14:textId="77777777" w:rsidR="003F02C5" w:rsidRPr="009D0B9D" w:rsidRDefault="003F02C5" w:rsidP="003F02C5">
      <w:pPr>
        <w:pStyle w:val="Heading3"/>
        <w:rPr>
          <w:lang w:val="en-GB"/>
        </w:rPr>
      </w:pPr>
      <w:r w:rsidRPr="009D0B9D">
        <w:rPr>
          <w:lang w:val="en-GB"/>
        </w:rPr>
        <w:t>5.4 Genomics-guided integration of yield and quality</w:t>
      </w:r>
    </w:p>
    <w:p w14:paraId="03EDBF73" w14:textId="77777777" w:rsidR="003F02C5" w:rsidRPr="009D0B9D" w:rsidRDefault="003F02C5" w:rsidP="003F02C5">
      <w:pPr>
        <w:pStyle w:val="NormalWeb"/>
        <w:rPr>
          <w:lang w:val="en-GB"/>
        </w:rPr>
      </w:pPr>
      <w:r w:rsidRPr="009D0B9D">
        <w:rPr>
          <w:lang w:val="en-GB"/>
        </w:rPr>
        <w:lastRenderedPageBreak/>
        <w:t>A persistent challenge is that selection for yield can inadvertently alter quality if correlated responses are unmanaged. Multi-environment GWAS that includes both yield components and quality traits provides an empirical basis to identify loci that support “win–win” combinations or, alternatively, to reveal genetic trade-offs that require explicit management (Guo et al., 2024). In practice, breeding programs can use such results to build selection indices that combine yield stability with quality thresholds (e.g., minimum oleic/linoleic ratio, oil content bounds, kernel size class requirements), supported by targeted markers and genome-wide prediction.</w:t>
      </w:r>
    </w:p>
    <w:p w14:paraId="52D6472A" w14:textId="77777777" w:rsidR="003F02C5" w:rsidRPr="009D0B9D" w:rsidRDefault="003F02C5" w:rsidP="003F02C5">
      <w:pPr>
        <w:pStyle w:val="Heading3"/>
        <w:rPr>
          <w:lang w:val="en-GB"/>
        </w:rPr>
      </w:pPr>
      <w:r w:rsidRPr="009D0B9D">
        <w:rPr>
          <w:lang w:val="en-GB"/>
        </w:rPr>
        <w:t>5.5 Genome and pangenome perspectives on quality improvement</w:t>
      </w:r>
    </w:p>
    <w:p w14:paraId="0174EC6E" w14:textId="77777777" w:rsidR="003F02C5" w:rsidRPr="009D0B9D" w:rsidRDefault="003F02C5" w:rsidP="003F02C5">
      <w:pPr>
        <w:pStyle w:val="NormalWeb"/>
        <w:rPr>
          <w:lang w:val="en-GB"/>
        </w:rPr>
      </w:pPr>
      <w:r w:rsidRPr="009D0B9D">
        <w:rPr>
          <w:lang w:val="en-GB"/>
        </w:rPr>
        <w:t xml:space="preserve">Genome sequencing in cultivated peanut has revealed extensive </w:t>
      </w:r>
      <w:proofErr w:type="spellStart"/>
      <w:r w:rsidRPr="009D0B9D">
        <w:rPr>
          <w:lang w:val="en-GB"/>
        </w:rPr>
        <w:t>catalogs</w:t>
      </w:r>
      <w:proofErr w:type="spellEnd"/>
      <w:r w:rsidRPr="009D0B9D">
        <w:rPr>
          <w:lang w:val="en-GB"/>
        </w:rPr>
        <w:t xml:space="preserve"> of oil metabolism-related genes and their expression dynamics, enabling more targeted hypotheses about how variability influences oil biosynthesis and seed composition (Chen et al., 2019). Pangenome analyses extend this by highlighting structural variants associated with seed size and weight traits, which are linked to market quality categories and indirectly to yield (Zhao et al., 2025). As SV-aware markers become more routine, quality improvement may increasingly rely on selecting </w:t>
      </w:r>
      <w:proofErr w:type="spellStart"/>
      <w:r w:rsidRPr="009D0B9D">
        <w:rPr>
          <w:lang w:val="en-GB"/>
        </w:rPr>
        <w:t>favorable</w:t>
      </w:r>
      <w:proofErr w:type="spellEnd"/>
      <w:r w:rsidRPr="009D0B9D">
        <w:rPr>
          <w:lang w:val="en-GB"/>
        </w:rPr>
        <w:t xml:space="preserve"> structural haplotypes (for seed traits) alongside SNP-defined alleles (for biosynthetic pathways).</w:t>
      </w:r>
    </w:p>
    <w:p w14:paraId="7D9EE716" w14:textId="77777777" w:rsidR="003F02C5" w:rsidRPr="009D0B9D" w:rsidRDefault="003F02C5" w:rsidP="003F02C5"/>
    <w:p w14:paraId="541440DC" w14:textId="77777777" w:rsidR="003F02C5" w:rsidRPr="009D0B9D" w:rsidRDefault="003F02C5" w:rsidP="003F02C5">
      <w:pPr>
        <w:pStyle w:val="Heading2"/>
        <w:rPr>
          <w:lang w:val="en-GB"/>
        </w:rPr>
      </w:pPr>
      <w:r w:rsidRPr="009D0B9D">
        <w:rPr>
          <w:lang w:val="en-GB"/>
        </w:rPr>
        <w:t>6. Translational breeding pathways: turning variability into cultivars</w:t>
      </w:r>
    </w:p>
    <w:p w14:paraId="280925B2" w14:textId="77777777" w:rsidR="003F02C5" w:rsidRPr="009D0B9D" w:rsidRDefault="003F02C5" w:rsidP="003F02C5">
      <w:pPr>
        <w:pStyle w:val="Heading3"/>
        <w:rPr>
          <w:lang w:val="en-GB"/>
        </w:rPr>
      </w:pPr>
      <w:r w:rsidRPr="009D0B9D">
        <w:rPr>
          <w:lang w:val="en-GB"/>
        </w:rPr>
        <w:t>6.1 Germplasm strategy: characterization, pre-breeding, and smart crosses</w:t>
      </w:r>
    </w:p>
    <w:p w14:paraId="01F7D51D" w14:textId="77777777" w:rsidR="003F02C5" w:rsidRPr="009D0B9D" w:rsidRDefault="003F02C5" w:rsidP="003F02C5">
      <w:pPr>
        <w:pStyle w:val="NormalWeb"/>
        <w:rPr>
          <w:lang w:val="en-GB"/>
        </w:rPr>
      </w:pPr>
      <w:commentRangeStart w:id="15"/>
      <w:r w:rsidRPr="009D0B9D">
        <w:rPr>
          <w:lang w:val="en-GB"/>
        </w:rPr>
        <w:t>The foundation of genetic gain is the right germplasm strategy. Modern practice suggests a tiered approach: (</w:t>
      </w:r>
      <w:proofErr w:type="spellStart"/>
      <w:r w:rsidRPr="009D0B9D">
        <w:rPr>
          <w:lang w:val="en-GB"/>
        </w:rPr>
        <w:t>i</w:t>
      </w:r>
      <w:proofErr w:type="spellEnd"/>
      <w:r w:rsidRPr="009D0B9D">
        <w:rPr>
          <w:lang w:val="en-GB"/>
        </w:rPr>
        <w:t xml:space="preserve">) characterize diverse germplasm using dense genotyping (arrays/resequencing) and standardized phenotyping; (ii) identify donors for specific traits (disease resistance, quality, stress resilience); (iii) conduct pre-breeding to reduce linkage drag and recover agronomic type; and (iv) deploy smart cross designs (including multi-parent populations) to recombine </w:t>
      </w:r>
      <w:proofErr w:type="spellStart"/>
      <w:r w:rsidRPr="009D0B9D">
        <w:rPr>
          <w:lang w:val="en-GB"/>
        </w:rPr>
        <w:t>favorable</w:t>
      </w:r>
      <w:proofErr w:type="spellEnd"/>
      <w:r w:rsidRPr="009D0B9D">
        <w:rPr>
          <w:lang w:val="en-GB"/>
        </w:rPr>
        <w:t xml:space="preserve"> alleles efficiently. Reviews of groundnut genetics and breeding emphasize that the strategic integration of genomics into this pipeline is critical for sustained progress (</w:t>
      </w:r>
      <w:proofErr w:type="spellStart"/>
      <w:r w:rsidRPr="009D0B9D">
        <w:rPr>
          <w:lang w:val="en-GB"/>
        </w:rPr>
        <w:t>Desmae</w:t>
      </w:r>
      <w:proofErr w:type="spellEnd"/>
      <w:r w:rsidRPr="009D0B9D">
        <w:rPr>
          <w:lang w:val="en-GB"/>
        </w:rPr>
        <w:t xml:space="preserve"> et al., 2019).</w:t>
      </w:r>
      <w:commentRangeEnd w:id="15"/>
      <w:r w:rsidR="00731B06">
        <w:rPr>
          <w:rStyle w:val="CommentReference"/>
          <w:rFonts w:asciiTheme="minorHAnsi" w:eastAsiaTheme="minorHAnsi" w:hAnsiTheme="minorHAnsi" w:cstheme="minorBidi"/>
          <w:lang w:val="en-GB"/>
        </w:rPr>
        <w:commentReference w:id="15"/>
      </w:r>
    </w:p>
    <w:p w14:paraId="1BB77CE6" w14:textId="77777777" w:rsidR="003F02C5" w:rsidRPr="009D0B9D" w:rsidRDefault="003F02C5" w:rsidP="003F02C5">
      <w:pPr>
        <w:pStyle w:val="Heading3"/>
        <w:rPr>
          <w:lang w:val="en-GB"/>
        </w:rPr>
      </w:pPr>
      <w:r w:rsidRPr="009D0B9D">
        <w:rPr>
          <w:lang w:val="en-GB"/>
        </w:rPr>
        <w:t>6.2 Marker-assisted selection and introgression: best used for large-effect loci</w:t>
      </w:r>
    </w:p>
    <w:p w14:paraId="693F4258" w14:textId="77777777" w:rsidR="003F02C5" w:rsidRPr="009D0B9D" w:rsidRDefault="003F02C5" w:rsidP="003F02C5">
      <w:pPr>
        <w:pStyle w:val="NormalWeb"/>
        <w:rPr>
          <w:lang w:val="en-GB"/>
        </w:rPr>
      </w:pPr>
      <w:r w:rsidRPr="009D0B9D">
        <w:rPr>
          <w:lang w:val="en-GB"/>
        </w:rPr>
        <w:t>Marker-assisted selection excels when loci have large, stable effects and robust markers. Examples include diagnostic markers for major disease resistance QTL (e.g., bacterial wilt) and high-impact quality alleles (e.g., high oleic). Fine-mapped loci and validated KASP markers can convert difficult phenotypes into straightforward genotyping decisions, improving selection intensity and reducing dependence on variable screening environments (Leal-</w:t>
      </w:r>
      <w:proofErr w:type="spellStart"/>
      <w:r w:rsidRPr="009D0B9D">
        <w:rPr>
          <w:lang w:val="en-GB"/>
        </w:rPr>
        <w:t>Bertioli</w:t>
      </w:r>
      <w:proofErr w:type="spellEnd"/>
      <w:r w:rsidRPr="009D0B9D">
        <w:rPr>
          <w:lang w:val="en-GB"/>
        </w:rPr>
        <w:t xml:space="preserve"> et al., 2015; </w:t>
      </w:r>
      <w:proofErr w:type="spellStart"/>
      <w:r w:rsidRPr="009D0B9D">
        <w:rPr>
          <w:lang w:val="en-GB"/>
        </w:rPr>
        <w:t>Nawade</w:t>
      </w:r>
      <w:proofErr w:type="spellEnd"/>
      <w:r w:rsidRPr="009D0B9D">
        <w:rPr>
          <w:lang w:val="en-GB"/>
        </w:rPr>
        <w:t xml:space="preserve"> et al., 2019; Qi et al., 2022).</w:t>
      </w:r>
    </w:p>
    <w:p w14:paraId="3AE1230E" w14:textId="77777777" w:rsidR="003F02C5" w:rsidRPr="009D0B9D" w:rsidRDefault="003F02C5" w:rsidP="003F02C5">
      <w:pPr>
        <w:pStyle w:val="Heading3"/>
        <w:rPr>
          <w:lang w:val="en-GB"/>
        </w:rPr>
      </w:pPr>
      <w:r w:rsidRPr="009D0B9D">
        <w:rPr>
          <w:lang w:val="en-GB"/>
        </w:rPr>
        <w:t>6.3 Genomic selection: best used for complex traits under G×E</w:t>
      </w:r>
    </w:p>
    <w:p w14:paraId="6A0A97F1" w14:textId="77777777" w:rsidR="003F02C5" w:rsidRPr="009D0B9D" w:rsidRDefault="003F02C5" w:rsidP="003F02C5">
      <w:pPr>
        <w:pStyle w:val="NormalWeb"/>
        <w:rPr>
          <w:lang w:val="en-GB"/>
        </w:rPr>
      </w:pPr>
      <w:r w:rsidRPr="009D0B9D">
        <w:rPr>
          <w:lang w:val="en-GB"/>
        </w:rPr>
        <w:lastRenderedPageBreak/>
        <w:t>For yield and drought resilience, polygenic control and genotype-by-environment interaction limit the efficiency of purely marker-assisted strategies. Genomic prediction models that incorporate interaction terms can increase selection accuracy, enabling earlier decisions and broader multi-environment coverage (Pandey et al., 2020). A practical hybrid pipeline is increasingly justified: use marker-assisted selection to “fix” major alleles for quality and disease resistance early, then apply genomic selection to rank and advance lines for yield stability and adaptation.</w:t>
      </w:r>
    </w:p>
    <w:p w14:paraId="3373D9CF" w14:textId="77777777" w:rsidR="003F02C5" w:rsidRPr="009D0B9D" w:rsidRDefault="003F02C5" w:rsidP="003F02C5">
      <w:pPr>
        <w:pStyle w:val="Heading3"/>
        <w:rPr>
          <w:lang w:val="en-GB"/>
        </w:rPr>
      </w:pPr>
      <w:r w:rsidRPr="009D0B9D">
        <w:rPr>
          <w:lang w:val="en-GB"/>
        </w:rPr>
        <w:t>6.4 Pangenome and SV-aware breeding: the next frontier for resistance and seed traits</w:t>
      </w:r>
    </w:p>
    <w:p w14:paraId="7E77AB31" w14:textId="77777777" w:rsidR="003F02C5" w:rsidRPr="009D0B9D" w:rsidRDefault="003F02C5" w:rsidP="003F02C5">
      <w:pPr>
        <w:pStyle w:val="NormalWeb"/>
        <w:rPr>
          <w:lang w:val="en-GB"/>
        </w:rPr>
      </w:pPr>
      <w:r w:rsidRPr="009D0B9D">
        <w:rPr>
          <w:lang w:val="en-GB"/>
        </w:rPr>
        <w:t>Structural variants can reshape resistance gene clusters and influence seed size/weight architectures, potentially producing effects larger than typical SNPs. Pangenome analyses have connected SV to seed size and weight traits, while disease studies have highlighted SV intervals enriched for resistance genes (Chen et al., 2025; Zhao et al., 2025). Translationally, this requires (</w:t>
      </w:r>
      <w:proofErr w:type="spellStart"/>
      <w:r w:rsidRPr="009D0B9D">
        <w:rPr>
          <w:lang w:val="en-GB"/>
        </w:rPr>
        <w:t>i</w:t>
      </w:r>
      <w:proofErr w:type="spellEnd"/>
      <w:r w:rsidRPr="009D0B9D">
        <w:rPr>
          <w:lang w:val="en-GB"/>
        </w:rPr>
        <w:t>) robust SV detection in breeding germplasm, (ii) breeder-friendly diagnostic markers for SV haplotypes, and (iii) validation across backgrounds and environments. As these steps mature, SV-aware selection may become routine for a subset of high-value loci.</w:t>
      </w:r>
    </w:p>
    <w:p w14:paraId="4FEF8491" w14:textId="77777777" w:rsidR="003F02C5" w:rsidRPr="009D0B9D" w:rsidRDefault="003F02C5" w:rsidP="003F02C5">
      <w:pPr>
        <w:pStyle w:val="Heading3"/>
        <w:rPr>
          <w:lang w:val="en-GB"/>
        </w:rPr>
      </w:pPr>
      <w:r w:rsidRPr="009D0B9D">
        <w:rPr>
          <w:lang w:val="en-GB"/>
        </w:rPr>
        <w:t>6.5 Operationalizing multi-trait improvement: selection indices and product profiles</w:t>
      </w:r>
    </w:p>
    <w:p w14:paraId="32BD7BA1" w14:textId="77777777" w:rsidR="003F02C5" w:rsidRPr="009D0B9D" w:rsidRDefault="003F02C5" w:rsidP="003F02C5">
      <w:pPr>
        <w:pStyle w:val="NormalWeb"/>
        <w:rPr>
          <w:lang w:val="en-GB"/>
        </w:rPr>
      </w:pPr>
      <w:r w:rsidRPr="009D0B9D">
        <w:rPr>
          <w:lang w:val="en-GB"/>
        </w:rPr>
        <w:t>Because yield, resistance, and quality are entangled, “single-trait optimization” is rarely optimal. Breeding programs can accelerate adoption and impact by defining explicit product profiles (market class, maturity window, disease package, quality thresholds) and using multi-trait selection indices that incorporate genomic and phenotypic information. This approach is particularly important when introducing wild alleles for resistance, where linkage drag and market-class mismatch can slow adoption. Multi-parent resources and genomic prediction help reduce these risks by enabling recombination and selection that more efficiently recovers desirable agronomic and quality backgrounds while retaining resistance alleles (Gangurde et al., 2020; Wankhade et al., 2023</w:t>
      </w:r>
      <w:commentRangeStart w:id="16"/>
      <w:r w:rsidRPr="009D0B9D">
        <w:rPr>
          <w:lang w:val="en-GB"/>
        </w:rPr>
        <w:t>).</w:t>
      </w:r>
      <w:commentRangeEnd w:id="16"/>
      <w:r w:rsidR="00731B06">
        <w:rPr>
          <w:rStyle w:val="CommentReference"/>
          <w:rFonts w:asciiTheme="minorHAnsi" w:eastAsiaTheme="minorHAnsi" w:hAnsiTheme="minorHAnsi" w:cstheme="minorBidi"/>
          <w:lang w:val="en-GB"/>
        </w:rPr>
        <w:commentReference w:id="16"/>
      </w:r>
    </w:p>
    <w:p w14:paraId="2A3C97DF" w14:textId="77777777" w:rsidR="003F02C5" w:rsidRPr="009D0B9D" w:rsidRDefault="003F02C5" w:rsidP="003F02C5"/>
    <w:p w14:paraId="719B0B51" w14:textId="77777777" w:rsidR="003F02C5" w:rsidRPr="009D0B9D" w:rsidRDefault="003F02C5" w:rsidP="003F02C5">
      <w:pPr>
        <w:pStyle w:val="Heading2"/>
        <w:rPr>
          <w:lang w:val="en-GB"/>
        </w:rPr>
      </w:pPr>
      <w:r w:rsidRPr="009D0B9D">
        <w:rPr>
          <w:lang w:val="en-GB"/>
        </w:rPr>
        <w:t>7. Future directions</w:t>
      </w:r>
    </w:p>
    <w:p w14:paraId="640E234D" w14:textId="77777777" w:rsidR="003F02C5" w:rsidRPr="009D0B9D" w:rsidRDefault="003F02C5" w:rsidP="003F02C5">
      <w:pPr>
        <w:pStyle w:val="Heading3"/>
        <w:rPr>
          <w:lang w:val="en-GB"/>
        </w:rPr>
      </w:pPr>
      <w:r w:rsidRPr="009D0B9D">
        <w:rPr>
          <w:lang w:val="en-GB"/>
        </w:rPr>
        <w:t>7.1 Multi-omics integration and functional validation</w:t>
      </w:r>
    </w:p>
    <w:p w14:paraId="0D6D2B00" w14:textId="77777777" w:rsidR="003F02C5" w:rsidRPr="009D0B9D" w:rsidRDefault="003F02C5" w:rsidP="003F02C5">
      <w:pPr>
        <w:pStyle w:val="NormalWeb"/>
        <w:rPr>
          <w:lang w:val="en-GB"/>
        </w:rPr>
      </w:pPr>
      <w:r w:rsidRPr="009D0B9D">
        <w:rPr>
          <w:lang w:val="en-GB"/>
        </w:rPr>
        <w:t>A consistent limitation of association mapping is that statistical signals do not automatically identify causal mechanisms. The next phase of groundnut improvement will likely emphasize integrating genomics with transcriptomics, metabolomics, and high-throughput phenomics to prioritize candidate genes and validate causality. Co-expression network analyses already illustrate the value of transcriptomic context for complex resistance traits, such as responses associated with aflatoxin risk reduction (Cui et al., 2022). The breeding relevance of multi-omics will increase as causal variants are validated and translated into robust markers.</w:t>
      </w:r>
    </w:p>
    <w:p w14:paraId="3017534D" w14:textId="77777777" w:rsidR="003F02C5" w:rsidRPr="009D0B9D" w:rsidRDefault="003F02C5" w:rsidP="003F02C5">
      <w:pPr>
        <w:pStyle w:val="Heading3"/>
        <w:rPr>
          <w:lang w:val="en-GB"/>
        </w:rPr>
      </w:pPr>
      <w:r w:rsidRPr="009D0B9D">
        <w:rPr>
          <w:lang w:val="en-GB"/>
        </w:rPr>
        <w:t>7.2 Expanding pangenome diversity and breeding-ready SV diagnostics</w:t>
      </w:r>
    </w:p>
    <w:p w14:paraId="09E38293" w14:textId="77777777" w:rsidR="003F02C5" w:rsidRPr="009D0B9D" w:rsidRDefault="003F02C5" w:rsidP="003F02C5">
      <w:pPr>
        <w:pStyle w:val="NormalWeb"/>
        <w:rPr>
          <w:lang w:val="en-GB"/>
        </w:rPr>
      </w:pPr>
      <w:r w:rsidRPr="009D0B9D">
        <w:rPr>
          <w:lang w:val="en-GB"/>
        </w:rPr>
        <w:lastRenderedPageBreak/>
        <w:t xml:space="preserve">Pangenome studies provide a platform for capturing gene presence/absence and structural haplotypes that are invisible to single-reference frameworks. As pangenome resources expand across botanical varieties and market classes, breeders will be able to choose parents with complementary structural haplotypes and avoid </w:t>
      </w:r>
      <w:proofErr w:type="spellStart"/>
      <w:r w:rsidRPr="009D0B9D">
        <w:rPr>
          <w:lang w:val="en-GB"/>
        </w:rPr>
        <w:t>unfavorable</w:t>
      </w:r>
      <w:proofErr w:type="spellEnd"/>
      <w:r w:rsidRPr="009D0B9D">
        <w:rPr>
          <w:lang w:val="en-GB"/>
        </w:rPr>
        <w:t xml:space="preserve"> SV combinations. The critical implementation step will be converting SV discoveries into low-cost assays suitable for routine breeding operations (Zhao et al., 2025).</w:t>
      </w:r>
    </w:p>
    <w:p w14:paraId="7814ED75" w14:textId="77777777" w:rsidR="003F02C5" w:rsidRPr="009D0B9D" w:rsidRDefault="003F02C5" w:rsidP="003F02C5">
      <w:pPr>
        <w:pStyle w:val="Heading3"/>
        <w:rPr>
          <w:lang w:val="en-GB"/>
        </w:rPr>
      </w:pPr>
      <w:r w:rsidRPr="009D0B9D">
        <w:rPr>
          <w:lang w:val="en-GB"/>
        </w:rPr>
        <w:t>7.3 Environment-aware prediction and deployment: connecting genetics to farmer fields</w:t>
      </w:r>
    </w:p>
    <w:p w14:paraId="55E69A36" w14:textId="77777777" w:rsidR="003F02C5" w:rsidRPr="009D0B9D" w:rsidRDefault="003F02C5" w:rsidP="003F02C5">
      <w:pPr>
        <w:pStyle w:val="NormalWeb"/>
        <w:rPr>
          <w:lang w:val="en-GB"/>
        </w:rPr>
      </w:pPr>
      <w:r w:rsidRPr="009D0B9D">
        <w:rPr>
          <w:lang w:val="en-GB"/>
        </w:rPr>
        <w:t>Climate variability is increasing, and disease pressure patterns are shifting. Breeding strategies should therefore prioritize environment-aware selection, including genomic prediction models trained on multi-environment data and explicit targeting of genotype-by-environment patterns. Multi-parent drought tolerance mapping (Sharma et al., 2024) and multi-environment GWAS for yield and quality (Guo et al., 2024) point to a future where cultivar deployment is based not only on mean performance but also on stability and risk profiles across environments.</w:t>
      </w:r>
    </w:p>
    <w:p w14:paraId="0AB6FB70" w14:textId="77777777" w:rsidR="003F02C5" w:rsidRPr="009D0B9D" w:rsidRDefault="003F02C5" w:rsidP="003F02C5"/>
    <w:p w14:paraId="28D8A7CB" w14:textId="77777777" w:rsidR="003F02C5" w:rsidRPr="009D0B9D" w:rsidRDefault="003F02C5" w:rsidP="003F02C5">
      <w:pPr>
        <w:pStyle w:val="Heading2"/>
        <w:rPr>
          <w:lang w:val="en-GB"/>
        </w:rPr>
      </w:pPr>
      <w:r w:rsidRPr="009D0B9D">
        <w:rPr>
          <w:lang w:val="en-GB"/>
        </w:rPr>
        <w:t>8. Conclusions</w:t>
      </w:r>
    </w:p>
    <w:p w14:paraId="1AA9E1C0" w14:textId="77777777" w:rsidR="0052448D" w:rsidRDefault="0052448D" w:rsidP="0052448D">
      <w:pPr>
        <w:pStyle w:val="NormalWeb"/>
        <w:numPr>
          <w:ilvl w:val="0"/>
          <w:numId w:val="24"/>
        </w:numPr>
      </w:pPr>
      <w:r>
        <w:t>Genetic variability in groundnut is broader and more actionable than previously assumed, extending beyond visible phenotypic differences to include haplotypic diversity and structural variation that can have large effects on agronomic performance.</w:t>
      </w:r>
    </w:p>
    <w:p w14:paraId="024655C6" w14:textId="77777777" w:rsidR="0052448D" w:rsidRDefault="0052448D" w:rsidP="0052448D">
      <w:pPr>
        <w:pStyle w:val="NormalWeb"/>
        <w:numPr>
          <w:ilvl w:val="0"/>
          <w:numId w:val="24"/>
        </w:numPr>
      </w:pPr>
      <w:r>
        <w:t>Yield improvement is best approached as a multi-component optimization problem rather than a single-trait target, because pod number, seed size, maturity, and assimilate partitioning are controlled by many loci and interact strongly with environment and management.</w:t>
      </w:r>
    </w:p>
    <w:p w14:paraId="5F554A4B" w14:textId="77777777" w:rsidR="0052448D" w:rsidRDefault="0052448D" w:rsidP="0052448D">
      <w:pPr>
        <w:pStyle w:val="NormalWeb"/>
        <w:numPr>
          <w:ilvl w:val="0"/>
          <w:numId w:val="24"/>
        </w:numPr>
      </w:pPr>
      <w:r>
        <w:t>Multi-environment evaluation is essential for identifying stable yield-related alleles and for distinguishing broadly adaptive genotypes from those that perform well only under specific stress or management contexts.</w:t>
      </w:r>
    </w:p>
    <w:p w14:paraId="66101662" w14:textId="77777777" w:rsidR="0052448D" w:rsidRDefault="0052448D" w:rsidP="0052448D">
      <w:pPr>
        <w:pStyle w:val="NormalWeb"/>
        <w:numPr>
          <w:ilvl w:val="0"/>
          <w:numId w:val="24"/>
        </w:numPr>
      </w:pPr>
      <w:r>
        <w:t>Disease resistance gains are most efficient when breeding pipelines treat resistance as a package, combining loci that reduce susceptibility to multiple diseases while maintaining canopy function and yield formation across seasons.</w:t>
      </w:r>
    </w:p>
    <w:p w14:paraId="1237971B" w14:textId="77777777" w:rsidR="0052448D" w:rsidRDefault="0052448D" w:rsidP="0052448D">
      <w:pPr>
        <w:pStyle w:val="NormalWeb"/>
        <w:numPr>
          <w:ilvl w:val="0"/>
          <w:numId w:val="24"/>
        </w:numPr>
      </w:pPr>
      <w:r>
        <w:t>Marker-assisted selection is particularly powerful for traits governed by major-effect loci, enabling early-generation screening and rapid fixation of high-value alleles in breeding populations without relying solely on disease nurseries or quality laboratories.</w:t>
      </w:r>
    </w:p>
    <w:p w14:paraId="79AC90B1" w14:textId="77777777" w:rsidR="0052448D" w:rsidRDefault="0052448D" w:rsidP="0052448D">
      <w:pPr>
        <w:pStyle w:val="NormalWeb"/>
        <w:numPr>
          <w:ilvl w:val="0"/>
          <w:numId w:val="24"/>
        </w:numPr>
      </w:pPr>
      <w:r>
        <w:t>For complex traits such as yield stability and stress resilience, genomic selection offers a practical route to accelerate genetic gain by capturing many small-effect loci simultaneously and improving selection intensity under genotype-by-environment interaction.</w:t>
      </w:r>
    </w:p>
    <w:p w14:paraId="6C37C4BE" w14:textId="77777777" w:rsidR="0052448D" w:rsidRDefault="0052448D" w:rsidP="0052448D">
      <w:pPr>
        <w:pStyle w:val="NormalWeb"/>
        <w:numPr>
          <w:ilvl w:val="0"/>
          <w:numId w:val="24"/>
        </w:numPr>
      </w:pPr>
      <w:r>
        <w:t>Nut quality improvement benefits from a dual strategy: fixing key quality alleles that drive major compositional changes and simultaneously selecting a favorable polygenic background to stabilize quality expression across environments.</w:t>
      </w:r>
    </w:p>
    <w:p w14:paraId="3283A356" w14:textId="77777777" w:rsidR="0052448D" w:rsidRDefault="0052448D" w:rsidP="0052448D">
      <w:pPr>
        <w:pStyle w:val="NormalWeb"/>
        <w:numPr>
          <w:ilvl w:val="0"/>
          <w:numId w:val="24"/>
        </w:numPr>
      </w:pPr>
      <w:r>
        <w:lastRenderedPageBreak/>
        <w:t>Breeding for quality must be explicitly linked to market class requirements, post-harvest performance, and processing needs, ensuring that genetic gain translates into real value for farmers, processors, and consumers.</w:t>
      </w:r>
    </w:p>
    <w:p w14:paraId="7F1DECE2" w14:textId="77777777" w:rsidR="0052448D" w:rsidRDefault="0052448D" w:rsidP="0052448D">
      <w:pPr>
        <w:pStyle w:val="NormalWeb"/>
        <w:numPr>
          <w:ilvl w:val="0"/>
          <w:numId w:val="24"/>
        </w:numPr>
      </w:pPr>
      <w:r>
        <w:t>Trade-offs among yield, resistance, and quality can be reduced when breeding programs use multi-trait selection indices and product profiles, rather than sequentially optimizing single traits in isolation.</w:t>
      </w:r>
    </w:p>
    <w:p w14:paraId="3A15A7B7" w14:textId="77777777" w:rsidR="0052448D" w:rsidRDefault="0052448D" w:rsidP="0052448D">
      <w:pPr>
        <w:pStyle w:val="NormalWeb"/>
        <w:numPr>
          <w:ilvl w:val="0"/>
          <w:numId w:val="24"/>
        </w:numPr>
      </w:pPr>
      <w:r>
        <w:t>Incorporating wild and exotic germplasm remains critical for expanding resistance and resilience, but its success depends on pre-breeding, careful recombination, and strong selection to minimize linkage drag and retain desirable agronomic type.</w:t>
      </w:r>
    </w:p>
    <w:p w14:paraId="6BCFFD02" w14:textId="77777777" w:rsidR="0052448D" w:rsidRDefault="0052448D" w:rsidP="0052448D">
      <w:pPr>
        <w:pStyle w:val="NormalWeb"/>
        <w:numPr>
          <w:ilvl w:val="0"/>
          <w:numId w:val="24"/>
        </w:numPr>
      </w:pPr>
      <w:r>
        <w:t>Structural variants and presence/absence variation represent an emerging frontier for both resistance and seed trait improvement, and their routine deployment will require breeding-friendly diagnostic markers and validation across genetic backgrounds.</w:t>
      </w:r>
    </w:p>
    <w:p w14:paraId="252A144A" w14:textId="77777777" w:rsidR="0052448D" w:rsidRDefault="0052448D" w:rsidP="0052448D">
      <w:pPr>
        <w:pStyle w:val="NormalWeb"/>
        <w:numPr>
          <w:ilvl w:val="0"/>
          <w:numId w:val="24"/>
        </w:numPr>
      </w:pPr>
      <w:r>
        <w:t>Future progress will depend on integrating genomics with robust phenotyping, data-driven selection models, and coordinated deployment pathways so that improved cultivars deliver durable field performance and consistent quality under changing climates.</w:t>
      </w:r>
    </w:p>
    <w:p w14:paraId="5A591759" w14:textId="77777777" w:rsidR="003F02C5" w:rsidRPr="009D0B9D" w:rsidRDefault="003F02C5" w:rsidP="003F02C5"/>
    <w:p w14:paraId="26E1A194" w14:textId="77777777" w:rsidR="003F02C5" w:rsidRPr="009D0B9D" w:rsidRDefault="003F02C5" w:rsidP="003F02C5">
      <w:pPr>
        <w:pStyle w:val="Heading2"/>
        <w:rPr>
          <w:lang w:val="en-GB"/>
        </w:rPr>
      </w:pPr>
      <w:r w:rsidRPr="009D0B9D">
        <w:rPr>
          <w:lang w:val="en-GB"/>
        </w:rPr>
        <w:t>9. Limitations</w:t>
      </w:r>
    </w:p>
    <w:p w14:paraId="390061FD" w14:textId="77777777" w:rsidR="0052448D" w:rsidRDefault="0052448D" w:rsidP="0052448D">
      <w:pPr>
        <w:pStyle w:val="NormalWeb"/>
        <w:numPr>
          <w:ilvl w:val="0"/>
          <w:numId w:val="25"/>
        </w:numPr>
      </w:pPr>
      <w:r>
        <w:t>This review emphasizes genomics-enabled research and therefore may underrepresent valuable classical breeding evidence and long-term agronomic studies that did not use molecular tools but still inform trait inheritance and selection strategies.</w:t>
      </w:r>
    </w:p>
    <w:p w14:paraId="5EBBFBBA" w14:textId="77777777" w:rsidR="0052448D" w:rsidRDefault="0052448D" w:rsidP="0052448D">
      <w:pPr>
        <w:pStyle w:val="NormalWeb"/>
        <w:numPr>
          <w:ilvl w:val="0"/>
          <w:numId w:val="25"/>
        </w:numPr>
      </w:pPr>
      <w:r>
        <w:t>Many reported marker–trait associations for yield and stress-related traits are environment-sensitive; their effects can vary across seasons, locations, and management conditions, which limits direct transferability without local validation.</w:t>
      </w:r>
    </w:p>
    <w:p w14:paraId="6CB50016" w14:textId="77777777" w:rsidR="0052448D" w:rsidRDefault="0052448D" w:rsidP="0052448D">
      <w:pPr>
        <w:pStyle w:val="NormalWeb"/>
        <w:numPr>
          <w:ilvl w:val="0"/>
          <w:numId w:val="25"/>
        </w:numPr>
      </w:pPr>
      <w:r>
        <w:t>A proportion of GWAS and QTL findings remain “candidate” signals; not all loci have been functionally validated or converted into robust, low-cost diagnostic markers suitable for routine breeding operations.</w:t>
      </w:r>
    </w:p>
    <w:p w14:paraId="76D12CF2" w14:textId="77777777" w:rsidR="0052448D" w:rsidRDefault="0052448D" w:rsidP="0052448D">
      <w:pPr>
        <w:pStyle w:val="NormalWeb"/>
        <w:numPr>
          <w:ilvl w:val="0"/>
          <w:numId w:val="25"/>
        </w:numPr>
      </w:pPr>
      <w:r>
        <w:t>Disease resistance phenotypes can be confounded by uneven pathogen pressure, mixed infections, or differences in screening protocols, which may reduce comparability across studies and sometimes inflate or mask genetic effects.</w:t>
      </w:r>
    </w:p>
    <w:p w14:paraId="51B641EA" w14:textId="77777777" w:rsidR="0052448D" w:rsidRDefault="0052448D" w:rsidP="0052448D">
      <w:pPr>
        <w:pStyle w:val="NormalWeb"/>
        <w:numPr>
          <w:ilvl w:val="0"/>
          <w:numId w:val="25"/>
        </w:numPr>
      </w:pPr>
      <w:r>
        <w:t>Introgression from wild relatives can introduce linkage drag, leading to undesirable agronomic traits or market-class deviations; reducing this drag requires time, large populations, and intensive selection.</w:t>
      </w:r>
    </w:p>
    <w:p w14:paraId="580B8D8A" w14:textId="77777777" w:rsidR="0052448D" w:rsidRDefault="0052448D" w:rsidP="0052448D">
      <w:pPr>
        <w:pStyle w:val="NormalWeb"/>
        <w:numPr>
          <w:ilvl w:val="0"/>
          <w:numId w:val="25"/>
        </w:numPr>
      </w:pPr>
      <w:r>
        <w:t>Nut quality traits such as oil composition and flavor can be influenced by post-harvest handling and storage conditions, making it difficult to separate genetic effects from processing and environmental effects when studies lack standardized protocols.</w:t>
      </w:r>
    </w:p>
    <w:p w14:paraId="4E41D7AD" w14:textId="77777777" w:rsidR="0052448D" w:rsidRDefault="0052448D" w:rsidP="0052448D">
      <w:pPr>
        <w:pStyle w:val="NormalWeb"/>
        <w:numPr>
          <w:ilvl w:val="0"/>
          <w:numId w:val="25"/>
        </w:numPr>
      </w:pPr>
      <w:r>
        <w:t>Structural variation and presence/absence variation are increasingly recognized as important, but many breeding programs still rely mainly on SNP markers, and SV-aware diagnostic assays are not yet routine or universally accessible.</w:t>
      </w:r>
    </w:p>
    <w:p w14:paraId="4EFBDAF1" w14:textId="77777777" w:rsidR="0052448D" w:rsidRDefault="0052448D" w:rsidP="0052448D">
      <w:pPr>
        <w:pStyle w:val="NormalWeb"/>
        <w:numPr>
          <w:ilvl w:val="0"/>
          <w:numId w:val="25"/>
        </w:numPr>
      </w:pPr>
      <w:r>
        <w:t>Genomic selection performance depends on the size, diversity, and representativeness of training populations; prediction accuracy may drop when models are applied to new genetic backgrounds or new target environments.</w:t>
      </w:r>
    </w:p>
    <w:p w14:paraId="2F0B3A40" w14:textId="77777777" w:rsidR="0052448D" w:rsidRDefault="0052448D" w:rsidP="0052448D">
      <w:pPr>
        <w:pStyle w:val="NormalWeb"/>
        <w:numPr>
          <w:ilvl w:val="0"/>
          <w:numId w:val="25"/>
        </w:numPr>
      </w:pPr>
      <w:r>
        <w:t>Literature coverage is constrained by publication bias and uneven reporting of negative results, which can overemphasize successful loci or approaches while underreporting limitations encountered in operational breeding.</w:t>
      </w:r>
    </w:p>
    <w:p w14:paraId="5CC675E6" w14:textId="77777777" w:rsidR="003F02C5" w:rsidRPr="009D0B9D" w:rsidRDefault="003F02C5" w:rsidP="003F02C5"/>
    <w:p w14:paraId="44A5F1CA" w14:textId="77777777" w:rsidR="003F02C5" w:rsidRPr="009D0B9D" w:rsidRDefault="003F02C5" w:rsidP="003F02C5">
      <w:pPr>
        <w:pStyle w:val="Heading2"/>
        <w:rPr>
          <w:lang w:val="en-GB"/>
        </w:rPr>
      </w:pPr>
      <w:r w:rsidRPr="009D0B9D">
        <w:rPr>
          <w:lang w:val="en-GB"/>
        </w:rPr>
        <w:t xml:space="preserve">References </w:t>
      </w:r>
    </w:p>
    <w:p w14:paraId="2D39A82D" w14:textId="77777777" w:rsidR="0052448D" w:rsidRPr="003C31E9" w:rsidRDefault="0052448D" w:rsidP="003F02C5">
      <w:pPr>
        <w:pStyle w:val="NormalWeb"/>
        <w:rPr>
          <w:lang w:val="en-GB"/>
        </w:rPr>
      </w:pPr>
      <w:proofErr w:type="spellStart"/>
      <w:r w:rsidRPr="003C31E9">
        <w:rPr>
          <w:color w:val="222222"/>
          <w:shd w:val="clear" w:color="auto" w:fill="FFFFFF"/>
        </w:rPr>
        <w:t>Bertioli</w:t>
      </w:r>
      <w:proofErr w:type="spellEnd"/>
      <w:r w:rsidRPr="003C31E9">
        <w:rPr>
          <w:color w:val="222222"/>
          <w:shd w:val="clear" w:color="auto" w:fill="FFFFFF"/>
        </w:rPr>
        <w:t xml:space="preserve">, D. J., Cannon, S. B., </w:t>
      </w:r>
      <w:proofErr w:type="spellStart"/>
      <w:r w:rsidRPr="003C31E9">
        <w:rPr>
          <w:color w:val="222222"/>
          <w:shd w:val="clear" w:color="auto" w:fill="FFFFFF"/>
        </w:rPr>
        <w:t>Froenicke</w:t>
      </w:r>
      <w:proofErr w:type="spellEnd"/>
      <w:r w:rsidRPr="003C31E9">
        <w:rPr>
          <w:color w:val="222222"/>
          <w:shd w:val="clear" w:color="auto" w:fill="FFFFFF"/>
        </w:rPr>
        <w:t xml:space="preserve">, L., Huang, G., Farmer, A. D., Cannon, E. K., ... &amp; Ozias-Akins, P. (2016). The genome sequences of Arachis </w:t>
      </w:r>
      <w:proofErr w:type="spellStart"/>
      <w:r w:rsidRPr="003C31E9">
        <w:rPr>
          <w:color w:val="222222"/>
          <w:shd w:val="clear" w:color="auto" w:fill="FFFFFF"/>
        </w:rPr>
        <w:t>duranensis</w:t>
      </w:r>
      <w:proofErr w:type="spellEnd"/>
      <w:r w:rsidRPr="003C31E9">
        <w:rPr>
          <w:color w:val="222222"/>
          <w:shd w:val="clear" w:color="auto" w:fill="FFFFFF"/>
        </w:rPr>
        <w:t xml:space="preserve"> and Arachis </w:t>
      </w:r>
      <w:proofErr w:type="spellStart"/>
      <w:r w:rsidRPr="003C31E9">
        <w:rPr>
          <w:color w:val="222222"/>
          <w:shd w:val="clear" w:color="auto" w:fill="FFFFFF"/>
        </w:rPr>
        <w:t>ipaensis</w:t>
      </w:r>
      <w:proofErr w:type="spellEnd"/>
      <w:r w:rsidRPr="003C31E9">
        <w:rPr>
          <w:color w:val="222222"/>
          <w:shd w:val="clear" w:color="auto" w:fill="FFFFFF"/>
        </w:rPr>
        <w:t>, the diploid ancestors of cultivated peanut. </w:t>
      </w:r>
      <w:r w:rsidRPr="003C31E9">
        <w:rPr>
          <w:i/>
          <w:iCs/>
          <w:color w:val="222222"/>
          <w:shd w:val="clear" w:color="auto" w:fill="FFFFFF"/>
        </w:rPr>
        <w:t>Nature genetics</w:t>
      </w:r>
      <w:r w:rsidRPr="003C31E9">
        <w:rPr>
          <w:color w:val="222222"/>
          <w:shd w:val="clear" w:color="auto" w:fill="FFFFFF"/>
        </w:rPr>
        <w:t>, </w:t>
      </w:r>
      <w:r w:rsidRPr="003C31E9">
        <w:rPr>
          <w:i/>
          <w:iCs/>
          <w:color w:val="222222"/>
          <w:shd w:val="clear" w:color="auto" w:fill="FFFFFF"/>
        </w:rPr>
        <w:t>48</w:t>
      </w:r>
      <w:r w:rsidRPr="003C31E9">
        <w:rPr>
          <w:color w:val="222222"/>
          <w:shd w:val="clear" w:color="auto" w:fill="FFFFFF"/>
        </w:rPr>
        <w:t xml:space="preserve">(4), 438-446. </w:t>
      </w:r>
      <w:hyperlink r:id="rId12" w:history="1">
        <w:r w:rsidRPr="003C31E9">
          <w:rPr>
            <w:rStyle w:val="Hyperlink"/>
            <w:lang w:val="en-GB"/>
          </w:rPr>
          <w:t>https://doi.org/10.1038/ng.3517</w:t>
        </w:r>
      </w:hyperlink>
    </w:p>
    <w:p w14:paraId="17F59F5E" w14:textId="77777777" w:rsidR="0052448D" w:rsidRPr="003C31E9" w:rsidRDefault="0052448D" w:rsidP="003F02C5">
      <w:pPr>
        <w:pStyle w:val="NormalWeb"/>
        <w:rPr>
          <w:lang w:val="en-GB"/>
        </w:rPr>
      </w:pPr>
      <w:proofErr w:type="spellStart"/>
      <w:r w:rsidRPr="003C31E9">
        <w:rPr>
          <w:color w:val="222222"/>
          <w:shd w:val="clear" w:color="auto" w:fill="FFFFFF"/>
        </w:rPr>
        <w:t>Bertioli</w:t>
      </w:r>
      <w:proofErr w:type="spellEnd"/>
      <w:r w:rsidRPr="003C31E9">
        <w:rPr>
          <w:color w:val="222222"/>
          <w:shd w:val="clear" w:color="auto" w:fill="FFFFFF"/>
        </w:rPr>
        <w:t>, D. J., Jenkins, J., Clevenger, J., Dudchenko, O., Gao, D., Seijo, G., ... &amp; Schmutz, J. (2019). The genome sequence of segmental allotetraploid peanut Arachis hypogaea. </w:t>
      </w:r>
      <w:r w:rsidRPr="003C31E9">
        <w:rPr>
          <w:i/>
          <w:iCs/>
          <w:color w:val="222222"/>
          <w:shd w:val="clear" w:color="auto" w:fill="FFFFFF"/>
        </w:rPr>
        <w:t>Nature genetics</w:t>
      </w:r>
      <w:r w:rsidRPr="003C31E9">
        <w:rPr>
          <w:color w:val="222222"/>
          <w:shd w:val="clear" w:color="auto" w:fill="FFFFFF"/>
        </w:rPr>
        <w:t>, </w:t>
      </w:r>
      <w:r w:rsidRPr="003C31E9">
        <w:rPr>
          <w:i/>
          <w:iCs/>
          <w:color w:val="222222"/>
          <w:shd w:val="clear" w:color="auto" w:fill="FFFFFF"/>
        </w:rPr>
        <w:t>51</w:t>
      </w:r>
      <w:r w:rsidRPr="003C31E9">
        <w:rPr>
          <w:color w:val="222222"/>
          <w:shd w:val="clear" w:color="auto" w:fill="FFFFFF"/>
        </w:rPr>
        <w:t xml:space="preserve">(5), 877-884. </w:t>
      </w:r>
      <w:hyperlink r:id="rId13" w:history="1">
        <w:r w:rsidRPr="003C31E9">
          <w:rPr>
            <w:rStyle w:val="Hyperlink"/>
            <w:lang w:val="en-GB"/>
          </w:rPr>
          <w:t>https://doi.org/10.1038/s41588-019-0405-z</w:t>
        </w:r>
      </w:hyperlink>
      <w:r w:rsidRPr="003C31E9">
        <w:rPr>
          <w:lang w:val="en-GB"/>
        </w:rPr>
        <w:t xml:space="preserve"> </w:t>
      </w:r>
    </w:p>
    <w:p w14:paraId="44EF8488" w14:textId="77777777" w:rsidR="003F02C5" w:rsidRPr="003C31E9" w:rsidRDefault="0052448D" w:rsidP="003F02C5">
      <w:pPr>
        <w:pStyle w:val="NormalWeb"/>
        <w:rPr>
          <w:lang w:val="en-GB"/>
        </w:rPr>
      </w:pPr>
      <w:r w:rsidRPr="003C31E9">
        <w:rPr>
          <w:color w:val="222222"/>
          <w:shd w:val="clear" w:color="auto" w:fill="FFFFFF"/>
        </w:rPr>
        <w:t>Chen, X., Lu, Q., Liu, H., Zhang, J., Hong, Y., Lan, H., ... &amp; Liang, X. (2019). Sequencing of cultivated peanut, Arachis hypogaea, yields insights into genome evolution and oil improvement. </w:t>
      </w:r>
      <w:r w:rsidRPr="003C31E9">
        <w:rPr>
          <w:i/>
          <w:iCs/>
          <w:color w:val="222222"/>
          <w:shd w:val="clear" w:color="auto" w:fill="FFFFFF"/>
        </w:rPr>
        <w:t>Molecular plant</w:t>
      </w:r>
      <w:r w:rsidRPr="003C31E9">
        <w:rPr>
          <w:color w:val="222222"/>
          <w:shd w:val="clear" w:color="auto" w:fill="FFFFFF"/>
        </w:rPr>
        <w:t>, </w:t>
      </w:r>
      <w:r w:rsidRPr="003C31E9">
        <w:rPr>
          <w:i/>
          <w:iCs/>
          <w:color w:val="222222"/>
          <w:shd w:val="clear" w:color="auto" w:fill="FFFFFF"/>
        </w:rPr>
        <w:t>12</w:t>
      </w:r>
      <w:r w:rsidRPr="003C31E9">
        <w:rPr>
          <w:color w:val="222222"/>
          <w:shd w:val="clear" w:color="auto" w:fill="FFFFFF"/>
        </w:rPr>
        <w:t xml:space="preserve">(7), 920-934. </w:t>
      </w:r>
      <w:r w:rsidR="003F02C5" w:rsidRPr="003C31E9">
        <w:rPr>
          <w:lang w:val="en-GB"/>
        </w:rPr>
        <w:t xml:space="preserve"> </w:t>
      </w:r>
      <w:hyperlink r:id="rId14" w:history="1">
        <w:r w:rsidRPr="003C31E9">
          <w:rPr>
            <w:rStyle w:val="Hyperlink"/>
            <w:lang w:val="en-GB"/>
          </w:rPr>
          <w:t>https://doi.org/10.1016/j.molp.2019.03.005</w:t>
        </w:r>
      </w:hyperlink>
      <w:r w:rsidRPr="003C31E9">
        <w:rPr>
          <w:lang w:val="en-GB"/>
        </w:rPr>
        <w:t xml:space="preserve"> </w:t>
      </w:r>
    </w:p>
    <w:p w14:paraId="33BC35C4" w14:textId="77777777" w:rsidR="003F02C5" w:rsidRPr="003C31E9" w:rsidRDefault="0052448D" w:rsidP="003F02C5">
      <w:pPr>
        <w:pStyle w:val="NormalWeb"/>
        <w:rPr>
          <w:lang w:val="en-GB"/>
        </w:rPr>
      </w:pPr>
      <w:r w:rsidRPr="003C31E9">
        <w:rPr>
          <w:color w:val="222222"/>
          <w:shd w:val="clear" w:color="auto" w:fill="FFFFFF"/>
        </w:rPr>
        <w:t>Chen, G., Sheng, L., Wu, L., Yin, L., Li, S., Wang, H., ... &amp; Yuan, M. (2024). Identification of novel QTLs for resistance to late leaf spot in peanut by SNP array and QTL-seq. </w:t>
      </w:r>
      <w:r w:rsidRPr="003C31E9">
        <w:rPr>
          <w:i/>
          <w:iCs/>
          <w:color w:val="222222"/>
          <w:shd w:val="clear" w:color="auto" w:fill="FFFFFF"/>
        </w:rPr>
        <w:t>Journal of Integrative Agriculture</w:t>
      </w:r>
      <w:r w:rsidRPr="003C31E9">
        <w:rPr>
          <w:color w:val="222222"/>
          <w:shd w:val="clear" w:color="auto" w:fill="FFFFFF"/>
        </w:rPr>
        <w:t>.</w:t>
      </w:r>
      <w:r w:rsidRPr="003C31E9">
        <w:rPr>
          <w:lang w:val="en-GB"/>
        </w:rPr>
        <w:t xml:space="preserve"> </w:t>
      </w:r>
      <w:hyperlink r:id="rId15" w:history="1">
        <w:r w:rsidRPr="003C31E9">
          <w:rPr>
            <w:rStyle w:val="Hyperlink"/>
            <w:lang w:val="en-GB"/>
          </w:rPr>
          <w:t>https://doi.org/10.1016/j.jia.2024.03.008</w:t>
        </w:r>
      </w:hyperlink>
      <w:r w:rsidRPr="003C31E9">
        <w:rPr>
          <w:lang w:val="en-GB"/>
        </w:rPr>
        <w:t xml:space="preserve"> </w:t>
      </w:r>
    </w:p>
    <w:p w14:paraId="56676A4E" w14:textId="77777777" w:rsidR="003F02C5" w:rsidRPr="003C31E9" w:rsidRDefault="0052448D" w:rsidP="003F02C5">
      <w:pPr>
        <w:pStyle w:val="NormalWeb"/>
        <w:rPr>
          <w:lang w:val="en-GB"/>
        </w:rPr>
      </w:pPr>
      <w:r w:rsidRPr="003C31E9">
        <w:rPr>
          <w:color w:val="222222"/>
          <w:shd w:val="clear" w:color="auto" w:fill="FFFFFF"/>
        </w:rPr>
        <w:t xml:space="preserve">Cui, M., Han, S., Wang, D., Haider, M. S., Guo, J., Zhao, Q., ... &amp; Zhang, X. (2022). Gene Co-expression Network Analysis of the Comparative Transcriptome Identifies Hub Genes Associated </w:t>
      </w:r>
      <w:proofErr w:type="gramStart"/>
      <w:r w:rsidRPr="003C31E9">
        <w:rPr>
          <w:color w:val="222222"/>
          <w:shd w:val="clear" w:color="auto" w:fill="FFFFFF"/>
        </w:rPr>
        <w:t>With</w:t>
      </w:r>
      <w:proofErr w:type="gramEnd"/>
      <w:r w:rsidRPr="003C31E9">
        <w:rPr>
          <w:color w:val="222222"/>
          <w:shd w:val="clear" w:color="auto" w:fill="FFFFFF"/>
        </w:rPr>
        <w:t xml:space="preserve"> Resistance to Aspergillus flavus L. in Cultivated Peanut (Arachis </w:t>
      </w:r>
      <w:proofErr w:type="spellStart"/>
      <w:r w:rsidRPr="003C31E9">
        <w:rPr>
          <w:color w:val="222222"/>
          <w:shd w:val="clear" w:color="auto" w:fill="FFFFFF"/>
        </w:rPr>
        <w:t>hypogae</w:t>
      </w:r>
      <w:proofErr w:type="spellEnd"/>
      <w:r w:rsidRPr="003C31E9">
        <w:rPr>
          <w:color w:val="222222"/>
          <w:shd w:val="clear" w:color="auto" w:fill="FFFFFF"/>
        </w:rPr>
        <w:t xml:space="preserve"> a L.). </w:t>
      </w:r>
      <w:r w:rsidRPr="003C31E9">
        <w:rPr>
          <w:i/>
          <w:iCs/>
          <w:color w:val="222222"/>
          <w:shd w:val="clear" w:color="auto" w:fill="FFFFFF"/>
        </w:rPr>
        <w:t>Frontiers in Plant Science</w:t>
      </w:r>
      <w:r w:rsidRPr="003C31E9">
        <w:rPr>
          <w:color w:val="222222"/>
          <w:shd w:val="clear" w:color="auto" w:fill="FFFFFF"/>
        </w:rPr>
        <w:t>, </w:t>
      </w:r>
      <w:r w:rsidRPr="003C31E9">
        <w:rPr>
          <w:i/>
          <w:iCs/>
          <w:color w:val="222222"/>
          <w:shd w:val="clear" w:color="auto" w:fill="FFFFFF"/>
        </w:rPr>
        <w:t>13</w:t>
      </w:r>
      <w:r w:rsidRPr="003C31E9">
        <w:rPr>
          <w:color w:val="222222"/>
          <w:shd w:val="clear" w:color="auto" w:fill="FFFFFF"/>
        </w:rPr>
        <w:t>, 899177.</w:t>
      </w:r>
      <w:r w:rsidRPr="003C31E9">
        <w:rPr>
          <w:lang w:val="en-GB"/>
        </w:rPr>
        <w:t xml:space="preserve"> </w:t>
      </w:r>
      <w:hyperlink r:id="rId16" w:history="1">
        <w:r w:rsidRPr="003C31E9">
          <w:rPr>
            <w:rStyle w:val="Hyperlink"/>
            <w:lang w:val="en-GB"/>
          </w:rPr>
          <w:t>https://doi.org/10.3389/fpls.2022.899177</w:t>
        </w:r>
      </w:hyperlink>
      <w:r w:rsidRPr="003C31E9">
        <w:rPr>
          <w:lang w:val="en-GB"/>
        </w:rPr>
        <w:t xml:space="preserve"> </w:t>
      </w:r>
    </w:p>
    <w:p w14:paraId="586624D3" w14:textId="77777777" w:rsidR="003F02C5" w:rsidRPr="003C31E9" w:rsidRDefault="00804929" w:rsidP="003F02C5">
      <w:pPr>
        <w:pStyle w:val="NormalWeb"/>
        <w:rPr>
          <w:lang w:val="en-GB"/>
        </w:rPr>
      </w:pPr>
      <w:r w:rsidRPr="003C31E9">
        <w:rPr>
          <w:color w:val="222222"/>
          <w:shd w:val="clear" w:color="auto" w:fill="FFFFFF"/>
        </w:rPr>
        <w:t xml:space="preserve">de Blas, F. J., Bruno, C. I., Arias, R. S., </w:t>
      </w:r>
      <w:proofErr w:type="spellStart"/>
      <w:r w:rsidRPr="003C31E9">
        <w:rPr>
          <w:color w:val="222222"/>
          <w:shd w:val="clear" w:color="auto" w:fill="FFFFFF"/>
        </w:rPr>
        <w:t>Ballén-Taborda</w:t>
      </w:r>
      <w:proofErr w:type="spellEnd"/>
      <w:r w:rsidRPr="003C31E9">
        <w:rPr>
          <w:color w:val="222222"/>
          <w:shd w:val="clear" w:color="auto" w:fill="FFFFFF"/>
        </w:rPr>
        <w:t xml:space="preserve">, C., Mamani, E., </w:t>
      </w:r>
      <w:proofErr w:type="spellStart"/>
      <w:r w:rsidRPr="003C31E9">
        <w:rPr>
          <w:color w:val="222222"/>
          <w:shd w:val="clear" w:color="auto" w:fill="FFFFFF"/>
        </w:rPr>
        <w:t>Oddino</w:t>
      </w:r>
      <w:proofErr w:type="spellEnd"/>
      <w:r w:rsidRPr="003C31E9">
        <w:rPr>
          <w:color w:val="222222"/>
          <w:shd w:val="clear" w:color="auto" w:fill="FFFFFF"/>
        </w:rPr>
        <w:t>, C., ... &amp; Massa, A. N. (2021). Genetic mapping and QTL analysis for peanut smut resistance. </w:t>
      </w:r>
      <w:r w:rsidRPr="003C31E9">
        <w:rPr>
          <w:i/>
          <w:iCs/>
          <w:color w:val="222222"/>
          <w:shd w:val="clear" w:color="auto" w:fill="FFFFFF"/>
        </w:rPr>
        <w:t>BMC plant biology</w:t>
      </w:r>
      <w:r w:rsidRPr="003C31E9">
        <w:rPr>
          <w:color w:val="222222"/>
          <w:shd w:val="clear" w:color="auto" w:fill="FFFFFF"/>
        </w:rPr>
        <w:t>, </w:t>
      </w:r>
      <w:r w:rsidRPr="003C31E9">
        <w:rPr>
          <w:i/>
          <w:iCs/>
          <w:color w:val="222222"/>
          <w:shd w:val="clear" w:color="auto" w:fill="FFFFFF"/>
        </w:rPr>
        <w:t>21</w:t>
      </w:r>
      <w:r w:rsidRPr="003C31E9">
        <w:rPr>
          <w:color w:val="222222"/>
          <w:shd w:val="clear" w:color="auto" w:fill="FFFFFF"/>
        </w:rPr>
        <w:t>(1), 312.</w:t>
      </w:r>
      <w:r w:rsidRPr="003C31E9">
        <w:rPr>
          <w:lang w:val="en-GB"/>
        </w:rPr>
        <w:t xml:space="preserve"> </w:t>
      </w:r>
      <w:hyperlink r:id="rId17" w:history="1">
        <w:r w:rsidRPr="003C31E9">
          <w:rPr>
            <w:rStyle w:val="Hyperlink"/>
            <w:lang w:val="en-GB"/>
          </w:rPr>
          <w:t>https://doi.org/10.1186/s12870-021-03023-4</w:t>
        </w:r>
      </w:hyperlink>
      <w:r w:rsidRPr="003C31E9">
        <w:rPr>
          <w:lang w:val="en-GB"/>
        </w:rPr>
        <w:t xml:space="preserve"> </w:t>
      </w:r>
    </w:p>
    <w:p w14:paraId="619FA178" w14:textId="77777777" w:rsidR="003F02C5" w:rsidRPr="003C31E9" w:rsidRDefault="00804929" w:rsidP="003F02C5">
      <w:pPr>
        <w:pStyle w:val="NormalWeb"/>
        <w:rPr>
          <w:lang w:val="en-GB"/>
        </w:rPr>
      </w:pPr>
      <w:proofErr w:type="spellStart"/>
      <w:r w:rsidRPr="003C31E9">
        <w:rPr>
          <w:color w:val="222222"/>
          <w:shd w:val="clear" w:color="auto" w:fill="FFFFFF"/>
        </w:rPr>
        <w:t>Desmae</w:t>
      </w:r>
      <w:proofErr w:type="spellEnd"/>
      <w:r w:rsidRPr="003C31E9">
        <w:rPr>
          <w:color w:val="222222"/>
          <w:shd w:val="clear" w:color="auto" w:fill="FFFFFF"/>
        </w:rPr>
        <w:t xml:space="preserve">, H., Janila, P., Okori, P., Pandey, M. K., </w:t>
      </w:r>
      <w:proofErr w:type="spellStart"/>
      <w:r w:rsidRPr="003C31E9">
        <w:rPr>
          <w:color w:val="222222"/>
          <w:shd w:val="clear" w:color="auto" w:fill="FFFFFF"/>
        </w:rPr>
        <w:t>Motagi</w:t>
      </w:r>
      <w:proofErr w:type="spellEnd"/>
      <w:r w:rsidRPr="003C31E9">
        <w:rPr>
          <w:color w:val="222222"/>
          <w:shd w:val="clear" w:color="auto" w:fill="FFFFFF"/>
        </w:rPr>
        <w:t>, B. N., Monyo, E., ... &amp; Varshney, R. K. (2019). Genetics, genomics and breeding of groundnut (Arachis hypogaea L.). </w:t>
      </w:r>
      <w:r w:rsidRPr="003C31E9">
        <w:rPr>
          <w:i/>
          <w:iCs/>
          <w:color w:val="222222"/>
          <w:shd w:val="clear" w:color="auto" w:fill="FFFFFF"/>
        </w:rPr>
        <w:t>Plant Breeding</w:t>
      </w:r>
      <w:r w:rsidRPr="003C31E9">
        <w:rPr>
          <w:color w:val="222222"/>
          <w:shd w:val="clear" w:color="auto" w:fill="FFFFFF"/>
        </w:rPr>
        <w:t>, </w:t>
      </w:r>
      <w:r w:rsidRPr="003C31E9">
        <w:rPr>
          <w:i/>
          <w:iCs/>
          <w:color w:val="222222"/>
          <w:shd w:val="clear" w:color="auto" w:fill="FFFFFF"/>
        </w:rPr>
        <w:t>138</w:t>
      </w:r>
      <w:r w:rsidRPr="003C31E9">
        <w:rPr>
          <w:color w:val="222222"/>
          <w:shd w:val="clear" w:color="auto" w:fill="FFFFFF"/>
        </w:rPr>
        <w:t>(4), 425-444.</w:t>
      </w:r>
      <w:r w:rsidR="003F02C5" w:rsidRPr="003C31E9">
        <w:rPr>
          <w:lang w:val="en-GB"/>
        </w:rPr>
        <w:t xml:space="preserve"> </w:t>
      </w:r>
      <w:hyperlink r:id="rId18" w:history="1">
        <w:r w:rsidRPr="003C31E9">
          <w:rPr>
            <w:rStyle w:val="Hyperlink"/>
            <w:lang w:val="en-GB"/>
          </w:rPr>
          <w:t>https://doi.org/10.1111/pbr.12645</w:t>
        </w:r>
      </w:hyperlink>
      <w:r w:rsidRPr="003C31E9">
        <w:rPr>
          <w:lang w:val="en-GB"/>
        </w:rPr>
        <w:t xml:space="preserve"> </w:t>
      </w:r>
    </w:p>
    <w:p w14:paraId="44026B3C" w14:textId="77777777" w:rsidR="003F02C5" w:rsidRPr="003C31E9" w:rsidRDefault="00804929" w:rsidP="003F02C5">
      <w:pPr>
        <w:pStyle w:val="NormalWeb"/>
        <w:rPr>
          <w:lang w:val="en-GB"/>
        </w:rPr>
      </w:pPr>
      <w:r w:rsidRPr="003C31E9">
        <w:rPr>
          <w:color w:val="222222"/>
          <w:shd w:val="clear" w:color="auto" w:fill="FFFFFF"/>
        </w:rPr>
        <w:t xml:space="preserve">Gangurde, S. S., Wang, H., </w:t>
      </w:r>
      <w:proofErr w:type="spellStart"/>
      <w:r w:rsidRPr="003C31E9">
        <w:rPr>
          <w:color w:val="222222"/>
          <w:shd w:val="clear" w:color="auto" w:fill="FFFFFF"/>
        </w:rPr>
        <w:t>Yaduru</w:t>
      </w:r>
      <w:proofErr w:type="spellEnd"/>
      <w:r w:rsidRPr="003C31E9">
        <w:rPr>
          <w:color w:val="222222"/>
          <w:shd w:val="clear" w:color="auto" w:fill="FFFFFF"/>
        </w:rPr>
        <w:t>, S., Pandey, M. K., Fountain, J. C., Chu, Y., ... &amp; Guo, B. (2020). Nested‐association mapping (NAM)‐based genetic dissection uncovers candidate genes for seed and pod weights in peanut (Arachis hypogaea). </w:t>
      </w:r>
      <w:r w:rsidRPr="003C31E9">
        <w:rPr>
          <w:i/>
          <w:iCs/>
          <w:color w:val="222222"/>
          <w:shd w:val="clear" w:color="auto" w:fill="FFFFFF"/>
        </w:rPr>
        <w:t>Plant Biotechnology Journal</w:t>
      </w:r>
      <w:r w:rsidRPr="003C31E9">
        <w:rPr>
          <w:color w:val="222222"/>
          <w:shd w:val="clear" w:color="auto" w:fill="FFFFFF"/>
        </w:rPr>
        <w:t>, </w:t>
      </w:r>
      <w:r w:rsidRPr="003C31E9">
        <w:rPr>
          <w:i/>
          <w:iCs/>
          <w:color w:val="222222"/>
          <w:shd w:val="clear" w:color="auto" w:fill="FFFFFF"/>
        </w:rPr>
        <w:t>18</w:t>
      </w:r>
      <w:r w:rsidRPr="003C31E9">
        <w:rPr>
          <w:color w:val="222222"/>
          <w:shd w:val="clear" w:color="auto" w:fill="FFFFFF"/>
        </w:rPr>
        <w:t xml:space="preserve">(6), 1457-1471. </w:t>
      </w:r>
      <w:hyperlink r:id="rId19" w:history="1">
        <w:r w:rsidRPr="003C31E9">
          <w:rPr>
            <w:rStyle w:val="Hyperlink"/>
            <w:lang w:val="en-GB"/>
          </w:rPr>
          <w:t>https://doi.org/10.1111/pbi.13311</w:t>
        </w:r>
      </w:hyperlink>
      <w:r w:rsidRPr="003C31E9">
        <w:rPr>
          <w:lang w:val="en-GB"/>
        </w:rPr>
        <w:t xml:space="preserve"> </w:t>
      </w:r>
    </w:p>
    <w:p w14:paraId="2BD8B331" w14:textId="77777777" w:rsidR="003F02C5" w:rsidRPr="003C31E9" w:rsidRDefault="00804929" w:rsidP="003F02C5">
      <w:pPr>
        <w:pStyle w:val="NormalWeb"/>
        <w:rPr>
          <w:lang w:val="en-GB"/>
        </w:rPr>
      </w:pPr>
      <w:r w:rsidRPr="003C31E9">
        <w:rPr>
          <w:color w:val="222222"/>
          <w:shd w:val="clear" w:color="auto" w:fill="FFFFFF"/>
        </w:rPr>
        <w:t>Guo, M., Deng, L., Gu, J., Miao, J., Yin, J., Li, Y., ... &amp; Ren, L. (2024). Genome-wide association study and development of molecular markers for yield and quality traits in peanut (Arachis hypogaea L.). </w:t>
      </w:r>
      <w:r w:rsidRPr="003C31E9">
        <w:rPr>
          <w:i/>
          <w:iCs/>
          <w:color w:val="222222"/>
          <w:shd w:val="clear" w:color="auto" w:fill="FFFFFF"/>
        </w:rPr>
        <w:t>BMC Plant Biology</w:t>
      </w:r>
      <w:r w:rsidRPr="003C31E9">
        <w:rPr>
          <w:color w:val="222222"/>
          <w:shd w:val="clear" w:color="auto" w:fill="FFFFFF"/>
        </w:rPr>
        <w:t>, </w:t>
      </w:r>
      <w:r w:rsidRPr="003C31E9">
        <w:rPr>
          <w:i/>
          <w:iCs/>
          <w:color w:val="222222"/>
          <w:shd w:val="clear" w:color="auto" w:fill="FFFFFF"/>
        </w:rPr>
        <w:t>24</w:t>
      </w:r>
      <w:r w:rsidRPr="003C31E9">
        <w:rPr>
          <w:color w:val="222222"/>
          <w:shd w:val="clear" w:color="auto" w:fill="FFFFFF"/>
        </w:rPr>
        <w:t xml:space="preserve">(1), 244. </w:t>
      </w:r>
      <w:hyperlink r:id="rId20" w:history="1">
        <w:r w:rsidRPr="003C31E9">
          <w:rPr>
            <w:rStyle w:val="Hyperlink"/>
            <w:lang w:val="en-GB"/>
          </w:rPr>
          <w:t>https://doi.org/10.1186/s12870-024-04937-5</w:t>
        </w:r>
      </w:hyperlink>
      <w:r w:rsidRPr="003C31E9">
        <w:rPr>
          <w:lang w:val="en-GB"/>
        </w:rPr>
        <w:t xml:space="preserve"> </w:t>
      </w:r>
    </w:p>
    <w:p w14:paraId="335F22D6" w14:textId="77777777" w:rsidR="003F02C5" w:rsidRPr="003C31E9" w:rsidRDefault="00804929" w:rsidP="003F02C5">
      <w:pPr>
        <w:pStyle w:val="NormalWeb"/>
        <w:rPr>
          <w:lang w:val="en-GB"/>
        </w:rPr>
      </w:pPr>
      <w:r w:rsidRPr="003C31E9">
        <w:rPr>
          <w:color w:val="222222"/>
          <w:shd w:val="clear" w:color="auto" w:fill="FFFFFF"/>
        </w:rPr>
        <w:t>Leal-</w:t>
      </w:r>
      <w:proofErr w:type="spellStart"/>
      <w:r w:rsidRPr="003C31E9">
        <w:rPr>
          <w:color w:val="222222"/>
          <w:shd w:val="clear" w:color="auto" w:fill="FFFFFF"/>
        </w:rPr>
        <w:t>Bertioli</w:t>
      </w:r>
      <w:proofErr w:type="spellEnd"/>
      <w:r w:rsidRPr="003C31E9">
        <w:rPr>
          <w:color w:val="222222"/>
          <w:shd w:val="clear" w:color="auto" w:fill="FFFFFF"/>
        </w:rPr>
        <w:t xml:space="preserve">, S. C., Cavalcante, U., Gouvea, E. G., </w:t>
      </w:r>
      <w:proofErr w:type="spellStart"/>
      <w:r w:rsidRPr="003C31E9">
        <w:rPr>
          <w:color w:val="222222"/>
          <w:shd w:val="clear" w:color="auto" w:fill="FFFFFF"/>
        </w:rPr>
        <w:t>Ballén-Taborda</w:t>
      </w:r>
      <w:proofErr w:type="spellEnd"/>
      <w:r w:rsidRPr="003C31E9">
        <w:rPr>
          <w:color w:val="222222"/>
          <w:shd w:val="clear" w:color="auto" w:fill="FFFFFF"/>
        </w:rPr>
        <w:t xml:space="preserve">, C., </w:t>
      </w:r>
      <w:proofErr w:type="spellStart"/>
      <w:r w:rsidRPr="003C31E9">
        <w:rPr>
          <w:color w:val="222222"/>
          <w:shd w:val="clear" w:color="auto" w:fill="FFFFFF"/>
        </w:rPr>
        <w:t>Shirasawa</w:t>
      </w:r>
      <w:proofErr w:type="spellEnd"/>
      <w:r w:rsidRPr="003C31E9">
        <w:rPr>
          <w:color w:val="222222"/>
          <w:shd w:val="clear" w:color="auto" w:fill="FFFFFF"/>
        </w:rPr>
        <w:t xml:space="preserve">, K., Guimarães, P. M., ... &amp; </w:t>
      </w:r>
      <w:proofErr w:type="spellStart"/>
      <w:r w:rsidRPr="003C31E9">
        <w:rPr>
          <w:color w:val="222222"/>
          <w:shd w:val="clear" w:color="auto" w:fill="FFFFFF"/>
        </w:rPr>
        <w:t>Moretzsohn</w:t>
      </w:r>
      <w:proofErr w:type="spellEnd"/>
      <w:r w:rsidRPr="003C31E9">
        <w:rPr>
          <w:color w:val="222222"/>
          <w:shd w:val="clear" w:color="auto" w:fill="FFFFFF"/>
        </w:rPr>
        <w:t>, M. C. (2015). Identification of QTLs for rust resistance in the peanut wild species Arachis magna and the development of KASP markers for marker-assisted selection. </w:t>
      </w:r>
      <w:r w:rsidRPr="003C31E9">
        <w:rPr>
          <w:i/>
          <w:iCs/>
          <w:color w:val="222222"/>
          <w:shd w:val="clear" w:color="auto" w:fill="FFFFFF"/>
        </w:rPr>
        <w:t>G3: Genes, Genomes, Genetics</w:t>
      </w:r>
      <w:r w:rsidRPr="003C31E9">
        <w:rPr>
          <w:color w:val="222222"/>
          <w:shd w:val="clear" w:color="auto" w:fill="FFFFFF"/>
        </w:rPr>
        <w:t>, </w:t>
      </w:r>
      <w:r w:rsidRPr="003C31E9">
        <w:rPr>
          <w:i/>
          <w:iCs/>
          <w:color w:val="222222"/>
          <w:shd w:val="clear" w:color="auto" w:fill="FFFFFF"/>
        </w:rPr>
        <w:t>5</w:t>
      </w:r>
      <w:r w:rsidRPr="003C31E9">
        <w:rPr>
          <w:color w:val="222222"/>
          <w:shd w:val="clear" w:color="auto" w:fill="FFFFFF"/>
        </w:rPr>
        <w:t>(7), 1403-1413.</w:t>
      </w:r>
      <w:r w:rsidR="003F02C5" w:rsidRPr="003C31E9">
        <w:rPr>
          <w:lang w:val="en-GB"/>
        </w:rPr>
        <w:t xml:space="preserve"> </w:t>
      </w:r>
      <w:hyperlink r:id="rId21" w:history="1">
        <w:r w:rsidRPr="003C31E9">
          <w:rPr>
            <w:rStyle w:val="Hyperlink"/>
            <w:lang w:val="en-GB"/>
          </w:rPr>
          <w:t>https://doi.org/10.1534/g3.115.018796</w:t>
        </w:r>
      </w:hyperlink>
      <w:r w:rsidRPr="003C31E9">
        <w:rPr>
          <w:lang w:val="en-GB"/>
        </w:rPr>
        <w:t xml:space="preserve"> </w:t>
      </w:r>
    </w:p>
    <w:p w14:paraId="63C842E2" w14:textId="77777777" w:rsidR="003F02C5" w:rsidRPr="003C31E9" w:rsidRDefault="00804929" w:rsidP="003F02C5">
      <w:pPr>
        <w:pStyle w:val="NormalWeb"/>
        <w:rPr>
          <w:lang w:val="en-GB"/>
        </w:rPr>
      </w:pPr>
      <w:proofErr w:type="spellStart"/>
      <w:r w:rsidRPr="003C31E9">
        <w:rPr>
          <w:color w:val="222222"/>
          <w:shd w:val="clear" w:color="auto" w:fill="FFFFFF"/>
        </w:rPr>
        <w:lastRenderedPageBreak/>
        <w:t>Nawade</w:t>
      </w:r>
      <w:proofErr w:type="spellEnd"/>
      <w:r w:rsidRPr="003C31E9">
        <w:rPr>
          <w:color w:val="222222"/>
          <w:shd w:val="clear" w:color="auto" w:fill="FFFFFF"/>
        </w:rPr>
        <w:t>, B., Mishra, G. P., Radhakrishnan, T., Sangh, C., Dobariya, J. R., &amp; Kundu, R. (2019). Development of high oleic peanut lines through marker-assisted introgression of mutant ahFAD2 alleles and its fatty acid profiles under open-field and controlled conditions. </w:t>
      </w:r>
      <w:r w:rsidRPr="003C31E9">
        <w:rPr>
          <w:i/>
          <w:iCs/>
          <w:color w:val="222222"/>
          <w:shd w:val="clear" w:color="auto" w:fill="FFFFFF"/>
        </w:rPr>
        <w:t>3 Biotech</w:t>
      </w:r>
      <w:r w:rsidRPr="003C31E9">
        <w:rPr>
          <w:color w:val="222222"/>
          <w:shd w:val="clear" w:color="auto" w:fill="FFFFFF"/>
        </w:rPr>
        <w:t>, </w:t>
      </w:r>
      <w:r w:rsidRPr="003C31E9">
        <w:rPr>
          <w:i/>
          <w:iCs/>
          <w:color w:val="222222"/>
          <w:shd w:val="clear" w:color="auto" w:fill="FFFFFF"/>
        </w:rPr>
        <w:t>9</w:t>
      </w:r>
      <w:r w:rsidRPr="003C31E9">
        <w:rPr>
          <w:color w:val="222222"/>
          <w:shd w:val="clear" w:color="auto" w:fill="FFFFFF"/>
        </w:rPr>
        <w:t>(6), 243.</w:t>
      </w:r>
      <w:r w:rsidRPr="003C31E9">
        <w:rPr>
          <w:lang w:val="en-GB"/>
        </w:rPr>
        <w:t xml:space="preserve"> </w:t>
      </w:r>
      <w:hyperlink r:id="rId22" w:history="1">
        <w:r w:rsidRPr="003C31E9">
          <w:rPr>
            <w:rStyle w:val="Hyperlink"/>
            <w:lang w:val="en-GB"/>
          </w:rPr>
          <w:t>https://doi.org/10.1007/s13205-019-1774-9</w:t>
        </w:r>
      </w:hyperlink>
      <w:r w:rsidRPr="003C31E9">
        <w:rPr>
          <w:lang w:val="en-GB"/>
        </w:rPr>
        <w:t xml:space="preserve"> </w:t>
      </w:r>
    </w:p>
    <w:p w14:paraId="14BABB76" w14:textId="77777777" w:rsidR="003F02C5" w:rsidRPr="003C31E9" w:rsidRDefault="00804929" w:rsidP="003F02C5">
      <w:pPr>
        <w:pStyle w:val="NormalWeb"/>
        <w:rPr>
          <w:lang w:val="en-GB"/>
        </w:rPr>
      </w:pPr>
      <w:proofErr w:type="spellStart"/>
      <w:r w:rsidRPr="003C31E9">
        <w:rPr>
          <w:color w:val="222222"/>
          <w:shd w:val="clear" w:color="auto" w:fill="FFFFFF"/>
        </w:rPr>
        <w:t>Otyama</w:t>
      </w:r>
      <w:proofErr w:type="spellEnd"/>
      <w:r w:rsidRPr="003C31E9">
        <w:rPr>
          <w:color w:val="222222"/>
          <w:shd w:val="clear" w:color="auto" w:fill="FFFFFF"/>
        </w:rPr>
        <w:t>, P. I., Chamberlin, K., Ozias-Akins, P., Graham, M. A., Cannon, E. K., Cannon, S. B., ... &amp; Anglin, N. L. (2022). Genome-wide approaches delineate the additive, epistatic, and pleiotropic nature of variants controlling fatty acid composition in peanut (Arachis hypogaea L.). </w:t>
      </w:r>
      <w:r w:rsidRPr="003C31E9">
        <w:rPr>
          <w:i/>
          <w:iCs/>
          <w:color w:val="222222"/>
          <w:shd w:val="clear" w:color="auto" w:fill="FFFFFF"/>
        </w:rPr>
        <w:t>G3</w:t>
      </w:r>
      <w:r w:rsidRPr="003C31E9">
        <w:rPr>
          <w:color w:val="222222"/>
          <w:shd w:val="clear" w:color="auto" w:fill="FFFFFF"/>
        </w:rPr>
        <w:t>, </w:t>
      </w:r>
      <w:r w:rsidRPr="003C31E9">
        <w:rPr>
          <w:i/>
          <w:iCs/>
          <w:color w:val="222222"/>
          <w:shd w:val="clear" w:color="auto" w:fill="FFFFFF"/>
        </w:rPr>
        <w:t>12</w:t>
      </w:r>
      <w:r w:rsidRPr="003C31E9">
        <w:rPr>
          <w:color w:val="222222"/>
          <w:shd w:val="clear" w:color="auto" w:fill="FFFFFF"/>
        </w:rPr>
        <w:t xml:space="preserve">(1), jkab382. </w:t>
      </w:r>
      <w:hyperlink r:id="rId23" w:history="1">
        <w:r w:rsidRPr="003C31E9">
          <w:rPr>
            <w:rStyle w:val="Hyperlink"/>
            <w:lang w:val="en-GB"/>
          </w:rPr>
          <w:t>https://doi.org/10.1093/g3journal/jkab382</w:t>
        </w:r>
      </w:hyperlink>
      <w:r w:rsidRPr="003C31E9">
        <w:rPr>
          <w:lang w:val="en-GB"/>
        </w:rPr>
        <w:t xml:space="preserve"> </w:t>
      </w:r>
    </w:p>
    <w:p w14:paraId="5AB64BCC" w14:textId="77777777" w:rsidR="003F02C5" w:rsidRPr="003C31E9" w:rsidRDefault="00804929" w:rsidP="003F02C5">
      <w:pPr>
        <w:pStyle w:val="NormalWeb"/>
        <w:rPr>
          <w:lang w:val="en-GB"/>
        </w:rPr>
      </w:pPr>
      <w:r w:rsidRPr="003C31E9">
        <w:rPr>
          <w:color w:val="222222"/>
          <w:shd w:val="clear" w:color="auto" w:fill="FFFFFF"/>
        </w:rPr>
        <w:t xml:space="preserve">Pandey, M. K., Agarwal, G., Kale, S. M., Clevenger, J., Nayak, S. N., </w:t>
      </w:r>
      <w:proofErr w:type="spellStart"/>
      <w:r w:rsidRPr="003C31E9">
        <w:rPr>
          <w:color w:val="222222"/>
          <w:shd w:val="clear" w:color="auto" w:fill="FFFFFF"/>
        </w:rPr>
        <w:t>Sriswathi</w:t>
      </w:r>
      <w:proofErr w:type="spellEnd"/>
      <w:r w:rsidRPr="003C31E9">
        <w:rPr>
          <w:color w:val="222222"/>
          <w:shd w:val="clear" w:color="auto" w:fill="FFFFFF"/>
        </w:rPr>
        <w:t>, M., ... &amp; Varshney, R. K. (2017). Development and evaluation of a high density genotyping ‘Axiom_ Arachis’ array with 58 K SNPs for accelerating genetics and breeding in groundnut. </w:t>
      </w:r>
      <w:r w:rsidRPr="003C31E9">
        <w:rPr>
          <w:i/>
          <w:iCs/>
          <w:color w:val="222222"/>
          <w:shd w:val="clear" w:color="auto" w:fill="FFFFFF"/>
        </w:rPr>
        <w:t>Scientific Reports</w:t>
      </w:r>
      <w:r w:rsidRPr="003C31E9">
        <w:rPr>
          <w:color w:val="222222"/>
          <w:shd w:val="clear" w:color="auto" w:fill="FFFFFF"/>
        </w:rPr>
        <w:t>, </w:t>
      </w:r>
      <w:r w:rsidRPr="003C31E9">
        <w:rPr>
          <w:i/>
          <w:iCs/>
          <w:color w:val="222222"/>
          <w:shd w:val="clear" w:color="auto" w:fill="FFFFFF"/>
        </w:rPr>
        <w:t>7</w:t>
      </w:r>
      <w:r w:rsidRPr="003C31E9">
        <w:rPr>
          <w:color w:val="222222"/>
          <w:shd w:val="clear" w:color="auto" w:fill="FFFFFF"/>
        </w:rPr>
        <w:t xml:space="preserve">(1), 40577. </w:t>
      </w:r>
      <w:r w:rsidR="003F02C5" w:rsidRPr="003C31E9">
        <w:rPr>
          <w:lang w:val="en-GB"/>
        </w:rPr>
        <w:t xml:space="preserve"> </w:t>
      </w:r>
      <w:hyperlink r:id="rId24" w:history="1">
        <w:r w:rsidRPr="003C31E9">
          <w:rPr>
            <w:rStyle w:val="Hyperlink"/>
            <w:lang w:val="en-GB"/>
          </w:rPr>
          <w:t>https://doi.org/10.1038/srep40577</w:t>
        </w:r>
      </w:hyperlink>
      <w:r w:rsidRPr="003C31E9">
        <w:rPr>
          <w:lang w:val="en-GB"/>
        </w:rPr>
        <w:t xml:space="preserve"> </w:t>
      </w:r>
    </w:p>
    <w:p w14:paraId="1E86B837" w14:textId="77777777" w:rsidR="003F02C5" w:rsidRPr="003C31E9" w:rsidRDefault="003C31E9" w:rsidP="003F02C5">
      <w:pPr>
        <w:pStyle w:val="NormalWeb"/>
        <w:rPr>
          <w:lang w:val="en-GB"/>
        </w:rPr>
      </w:pPr>
      <w:r w:rsidRPr="003C31E9">
        <w:rPr>
          <w:color w:val="222222"/>
          <w:shd w:val="clear" w:color="auto" w:fill="FFFFFF"/>
        </w:rPr>
        <w:t>Pandey, M. K., Chaudhari, S., Jarquin, D., Janila, P., Crossa, J., Patil, S. C., ... &amp; Varshney, R. K. (2020). Genome-based trait prediction in multi-environment breeding trials in groundnut. </w:t>
      </w:r>
      <w:r w:rsidRPr="003C31E9">
        <w:rPr>
          <w:i/>
          <w:iCs/>
          <w:color w:val="222222"/>
          <w:shd w:val="clear" w:color="auto" w:fill="FFFFFF"/>
        </w:rPr>
        <w:t>Theoretical and Applied Genetics</w:t>
      </w:r>
      <w:r w:rsidRPr="003C31E9">
        <w:rPr>
          <w:color w:val="222222"/>
          <w:shd w:val="clear" w:color="auto" w:fill="FFFFFF"/>
        </w:rPr>
        <w:t>, </w:t>
      </w:r>
      <w:r w:rsidRPr="003C31E9">
        <w:rPr>
          <w:i/>
          <w:iCs/>
          <w:color w:val="222222"/>
          <w:shd w:val="clear" w:color="auto" w:fill="FFFFFF"/>
        </w:rPr>
        <w:t>133</w:t>
      </w:r>
      <w:r w:rsidRPr="003C31E9">
        <w:rPr>
          <w:color w:val="222222"/>
          <w:shd w:val="clear" w:color="auto" w:fill="FFFFFF"/>
        </w:rPr>
        <w:t xml:space="preserve">(11), 3101-3117. </w:t>
      </w:r>
      <w:r w:rsidR="003F02C5" w:rsidRPr="003C31E9">
        <w:rPr>
          <w:lang w:val="en-GB"/>
        </w:rPr>
        <w:t xml:space="preserve"> </w:t>
      </w:r>
      <w:hyperlink r:id="rId25" w:history="1">
        <w:r w:rsidRPr="003C31E9">
          <w:rPr>
            <w:rStyle w:val="Hyperlink"/>
            <w:lang w:val="en-GB"/>
          </w:rPr>
          <w:t>https://doi.org/10.1007/s00122-020-03658-1</w:t>
        </w:r>
      </w:hyperlink>
      <w:r w:rsidRPr="003C31E9">
        <w:rPr>
          <w:lang w:val="en-GB"/>
        </w:rPr>
        <w:t xml:space="preserve"> </w:t>
      </w:r>
    </w:p>
    <w:p w14:paraId="3155C70F" w14:textId="77777777" w:rsidR="003F02C5" w:rsidRPr="003C31E9" w:rsidRDefault="003C31E9" w:rsidP="003F02C5">
      <w:pPr>
        <w:pStyle w:val="NormalWeb"/>
        <w:rPr>
          <w:lang w:val="en-GB"/>
        </w:rPr>
      </w:pPr>
      <w:r w:rsidRPr="003C31E9">
        <w:rPr>
          <w:color w:val="222222"/>
          <w:shd w:val="clear" w:color="auto" w:fill="FFFFFF"/>
        </w:rPr>
        <w:t>Qi, F., Sun, Z., Liu, H., Zheng, Z., Qin, L., Shi, L., ... &amp; Zhang, X. (2022). QTL identification, fine mapping, and marker development for breeding peanut (Arachis hypogaea L.) resistant to bacterial wilt. </w:t>
      </w:r>
      <w:r w:rsidRPr="003C31E9">
        <w:rPr>
          <w:i/>
          <w:iCs/>
          <w:color w:val="222222"/>
          <w:shd w:val="clear" w:color="auto" w:fill="FFFFFF"/>
        </w:rPr>
        <w:t>Theoretical and Applied Genetics</w:t>
      </w:r>
      <w:r w:rsidRPr="003C31E9">
        <w:rPr>
          <w:color w:val="222222"/>
          <w:shd w:val="clear" w:color="auto" w:fill="FFFFFF"/>
        </w:rPr>
        <w:t>, </w:t>
      </w:r>
      <w:r w:rsidRPr="003C31E9">
        <w:rPr>
          <w:i/>
          <w:iCs/>
          <w:color w:val="222222"/>
          <w:shd w:val="clear" w:color="auto" w:fill="FFFFFF"/>
        </w:rPr>
        <w:t>135</w:t>
      </w:r>
      <w:r w:rsidRPr="003C31E9">
        <w:rPr>
          <w:color w:val="222222"/>
          <w:shd w:val="clear" w:color="auto" w:fill="FFFFFF"/>
        </w:rPr>
        <w:t>(4), 1319-1330.</w:t>
      </w:r>
      <w:r w:rsidRPr="003C31E9">
        <w:rPr>
          <w:lang w:val="en-GB"/>
        </w:rPr>
        <w:t xml:space="preserve"> </w:t>
      </w:r>
      <w:hyperlink r:id="rId26" w:history="1">
        <w:r w:rsidRPr="003C31E9">
          <w:rPr>
            <w:rStyle w:val="Hyperlink"/>
            <w:lang w:val="en-GB"/>
          </w:rPr>
          <w:t>https://doi.org/10.1007/s00122-022-04033-y</w:t>
        </w:r>
      </w:hyperlink>
      <w:r w:rsidRPr="003C31E9">
        <w:rPr>
          <w:lang w:val="en-GB"/>
        </w:rPr>
        <w:t xml:space="preserve"> </w:t>
      </w:r>
    </w:p>
    <w:p w14:paraId="42C26350" w14:textId="77777777" w:rsidR="003F02C5" w:rsidRPr="003C31E9" w:rsidRDefault="003C31E9" w:rsidP="003F02C5">
      <w:pPr>
        <w:pStyle w:val="NormalWeb"/>
        <w:rPr>
          <w:lang w:val="en-GB"/>
        </w:rPr>
      </w:pPr>
      <w:r w:rsidRPr="003C31E9">
        <w:rPr>
          <w:color w:val="222222"/>
          <w:shd w:val="clear" w:color="auto" w:fill="FFFFFF"/>
        </w:rPr>
        <w:t>Sharma, V., Mahadevaiah, S. S., Latha, P., Gowda, S. A., Manohar, S. S., Jadhav, K., ... &amp; Pandey, M. K. (2024). Dissecting genomic regions and underlying candidate genes in groundnut MAGIC population for drought tolerance. </w:t>
      </w:r>
      <w:r w:rsidRPr="003C31E9">
        <w:rPr>
          <w:i/>
          <w:iCs/>
          <w:color w:val="222222"/>
          <w:shd w:val="clear" w:color="auto" w:fill="FFFFFF"/>
        </w:rPr>
        <w:t>BMC plant biology</w:t>
      </w:r>
      <w:r w:rsidRPr="003C31E9">
        <w:rPr>
          <w:color w:val="222222"/>
          <w:shd w:val="clear" w:color="auto" w:fill="FFFFFF"/>
        </w:rPr>
        <w:t>, </w:t>
      </w:r>
      <w:r w:rsidRPr="003C31E9">
        <w:rPr>
          <w:i/>
          <w:iCs/>
          <w:color w:val="222222"/>
          <w:shd w:val="clear" w:color="auto" w:fill="FFFFFF"/>
        </w:rPr>
        <w:t>24</w:t>
      </w:r>
      <w:r w:rsidRPr="003C31E9">
        <w:rPr>
          <w:color w:val="222222"/>
          <w:shd w:val="clear" w:color="auto" w:fill="FFFFFF"/>
        </w:rPr>
        <w:t>(1), 1044.</w:t>
      </w:r>
      <w:r w:rsidRPr="003C31E9">
        <w:rPr>
          <w:lang w:val="en-GB"/>
        </w:rPr>
        <w:t xml:space="preserve"> </w:t>
      </w:r>
      <w:hyperlink r:id="rId27" w:history="1">
        <w:r w:rsidRPr="003C31E9">
          <w:rPr>
            <w:rStyle w:val="Hyperlink"/>
            <w:lang w:val="en-GB"/>
          </w:rPr>
          <w:t>https://doi.org/10.1186/s12870-024-05749-3</w:t>
        </w:r>
      </w:hyperlink>
      <w:r w:rsidRPr="003C31E9">
        <w:rPr>
          <w:lang w:val="en-GB"/>
        </w:rPr>
        <w:t xml:space="preserve"> </w:t>
      </w:r>
    </w:p>
    <w:p w14:paraId="3668DE3D" w14:textId="77777777" w:rsidR="003F02C5" w:rsidRPr="003C31E9" w:rsidRDefault="003C31E9" w:rsidP="003F02C5">
      <w:pPr>
        <w:pStyle w:val="NormalWeb"/>
        <w:rPr>
          <w:lang w:val="en-GB"/>
        </w:rPr>
      </w:pPr>
      <w:r w:rsidRPr="003C31E9">
        <w:rPr>
          <w:color w:val="222222"/>
          <w:shd w:val="clear" w:color="auto" w:fill="FFFFFF"/>
        </w:rPr>
        <w:t xml:space="preserve">Wankhade, A. P., Chimote, V. P., Viswanatha, K. P., </w:t>
      </w:r>
      <w:proofErr w:type="spellStart"/>
      <w:r w:rsidRPr="003C31E9">
        <w:rPr>
          <w:color w:val="222222"/>
          <w:shd w:val="clear" w:color="auto" w:fill="FFFFFF"/>
        </w:rPr>
        <w:t>Yadaru</w:t>
      </w:r>
      <w:proofErr w:type="spellEnd"/>
      <w:r w:rsidRPr="003C31E9">
        <w:rPr>
          <w:color w:val="222222"/>
          <w:shd w:val="clear" w:color="auto" w:fill="FFFFFF"/>
        </w:rPr>
        <w:t>, S., Deshmukh, D. B., Gattu, S., ... &amp; Pasupuleti, J. (2023). Genome-wide association mapping for LLS resistance in a MAGIC population of groundnut (Arachis hypogaea L.). </w:t>
      </w:r>
      <w:r w:rsidRPr="003C31E9">
        <w:rPr>
          <w:i/>
          <w:iCs/>
          <w:color w:val="222222"/>
          <w:shd w:val="clear" w:color="auto" w:fill="FFFFFF"/>
        </w:rPr>
        <w:t>Theoretical and Applied Genetics</w:t>
      </w:r>
      <w:r w:rsidRPr="003C31E9">
        <w:rPr>
          <w:color w:val="222222"/>
          <w:shd w:val="clear" w:color="auto" w:fill="FFFFFF"/>
        </w:rPr>
        <w:t>, </w:t>
      </w:r>
      <w:r w:rsidRPr="003C31E9">
        <w:rPr>
          <w:i/>
          <w:iCs/>
          <w:color w:val="222222"/>
          <w:shd w:val="clear" w:color="auto" w:fill="FFFFFF"/>
        </w:rPr>
        <w:t>136</w:t>
      </w:r>
      <w:r w:rsidRPr="003C31E9">
        <w:rPr>
          <w:color w:val="222222"/>
          <w:shd w:val="clear" w:color="auto" w:fill="FFFFFF"/>
        </w:rPr>
        <w:t xml:space="preserve">(3), 43. </w:t>
      </w:r>
      <w:r w:rsidR="003F02C5" w:rsidRPr="003C31E9">
        <w:rPr>
          <w:lang w:val="en-GB"/>
        </w:rPr>
        <w:t xml:space="preserve"> </w:t>
      </w:r>
      <w:hyperlink r:id="rId28" w:history="1">
        <w:r w:rsidRPr="003C31E9">
          <w:rPr>
            <w:rStyle w:val="Hyperlink"/>
            <w:lang w:val="en-GB"/>
          </w:rPr>
          <w:t>https://doi.org/10.1007/s00122-023-04256-7</w:t>
        </w:r>
      </w:hyperlink>
      <w:r w:rsidRPr="003C31E9">
        <w:rPr>
          <w:lang w:val="en-GB"/>
        </w:rPr>
        <w:t xml:space="preserve"> </w:t>
      </w:r>
    </w:p>
    <w:p w14:paraId="70228C65" w14:textId="77777777" w:rsidR="003F02C5" w:rsidRPr="003C31E9" w:rsidRDefault="003C31E9" w:rsidP="003F02C5">
      <w:pPr>
        <w:pStyle w:val="NormalWeb"/>
        <w:rPr>
          <w:lang w:val="en-GB"/>
        </w:rPr>
      </w:pPr>
      <w:r w:rsidRPr="003C31E9">
        <w:rPr>
          <w:color w:val="222222"/>
          <w:shd w:val="clear" w:color="auto" w:fill="FFFFFF"/>
        </w:rPr>
        <w:t>Zhao, K., Wang, L., Qiu, D., Cao, Z., Wang, K., Li, Z., ... &amp; Yin, D. (2023). PSW1, an LRR receptor kinase, regulates pod size in peanut. </w:t>
      </w:r>
      <w:r w:rsidRPr="003C31E9">
        <w:rPr>
          <w:i/>
          <w:iCs/>
          <w:color w:val="222222"/>
          <w:shd w:val="clear" w:color="auto" w:fill="FFFFFF"/>
        </w:rPr>
        <w:t>Plant Biotechnology Journal</w:t>
      </w:r>
      <w:r w:rsidRPr="003C31E9">
        <w:rPr>
          <w:color w:val="222222"/>
          <w:shd w:val="clear" w:color="auto" w:fill="FFFFFF"/>
        </w:rPr>
        <w:t>, </w:t>
      </w:r>
      <w:r w:rsidRPr="003C31E9">
        <w:rPr>
          <w:i/>
          <w:iCs/>
          <w:color w:val="222222"/>
          <w:shd w:val="clear" w:color="auto" w:fill="FFFFFF"/>
        </w:rPr>
        <w:t>21</w:t>
      </w:r>
      <w:r w:rsidRPr="003C31E9">
        <w:rPr>
          <w:color w:val="222222"/>
          <w:shd w:val="clear" w:color="auto" w:fill="FFFFFF"/>
        </w:rPr>
        <w:t xml:space="preserve">(10), 2113-2124. </w:t>
      </w:r>
      <w:r w:rsidR="003F02C5" w:rsidRPr="003C31E9">
        <w:rPr>
          <w:lang w:val="en-GB"/>
        </w:rPr>
        <w:t xml:space="preserve"> </w:t>
      </w:r>
      <w:hyperlink r:id="rId29" w:history="1">
        <w:r w:rsidRPr="003C31E9">
          <w:rPr>
            <w:rStyle w:val="Hyperlink"/>
            <w:lang w:val="en-GB"/>
          </w:rPr>
          <w:t>https://doi.org/10.1111/pbi.14117</w:t>
        </w:r>
      </w:hyperlink>
      <w:r w:rsidRPr="003C31E9">
        <w:rPr>
          <w:lang w:val="en-GB"/>
        </w:rPr>
        <w:t xml:space="preserve"> </w:t>
      </w:r>
    </w:p>
    <w:p w14:paraId="7870EE68" w14:textId="77777777" w:rsidR="003F02C5" w:rsidRPr="003C31E9" w:rsidRDefault="003C31E9" w:rsidP="003F02C5">
      <w:pPr>
        <w:pStyle w:val="NormalWeb"/>
        <w:rPr>
          <w:lang w:val="en-GB"/>
        </w:rPr>
      </w:pPr>
      <w:r w:rsidRPr="003C31E9">
        <w:rPr>
          <w:color w:val="222222"/>
          <w:shd w:val="clear" w:color="auto" w:fill="FFFFFF"/>
        </w:rPr>
        <w:t xml:space="preserve">Zhao, K., Xue, H., Li, G., </w:t>
      </w:r>
      <w:proofErr w:type="spellStart"/>
      <w:r w:rsidRPr="003C31E9">
        <w:rPr>
          <w:color w:val="222222"/>
          <w:shd w:val="clear" w:color="auto" w:fill="FFFFFF"/>
        </w:rPr>
        <w:t>Chitikineni</w:t>
      </w:r>
      <w:proofErr w:type="spellEnd"/>
      <w:r w:rsidRPr="003C31E9">
        <w:rPr>
          <w:color w:val="222222"/>
          <w:shd w:val="clear" w:color="auto" w:fill="FFFFFF"/>
        </w:rPr>
        <w:t>, A., Fan, Y., Cao, Z., ... &amp; Yin, D. (2025). Pangenome analysis reveals structural variation associated with seed size and weight traits in peanut. </w:t>
      </w:r>
      <w:r w:rsidRPr="003C31E9">
        <w:rPr>
          <w:i/>
          <w:iCs/>
          <w:color w:val="222222"/>
          <w:shd w:val="clear" w:color="auto" w:fill="FFFFFF"/>
        </w:rPr>
        <w:t>Nature genetics</w:t>
      </w:r>
      <w:r w:rsidRPr="003C31E9">
        <w:rPr>
          <w:color w:val="222222"/>
          <w:shd w:val="clear" w:color="auto" w:fill="FFFFFF"/>
        </w:rPr>
        <w:t>, </w:t>
      </w:r>
      <w:r w:rsidRPr="003C31E9">
        <w:rPr>
          <w:i/>
          <w:iCs/>
          <w:color w:val="222222"/>
          <w:shd w:val="clear" w:color="auto" w:fill="FFFFFF"/>
        </w:rPr>
        <w:t>57</w:t>
      </w:r>
      <w:r w:rsidRPr="003C31E9">
        <w:rPr>
          <w:color w:val="222222"/>
          <w:shd w:val="clear" w:color="auto" w:fill="FFFFFF"/>
        </w:rPr>
        <w:t>(5), 1250-</w:t>
      </w:r>
      <w:proofErr w:type="gramStart"/>
      <w:r w:rsidRPr="003C31E9">
        <w:rPr>
          <w:color w:val="222222"/>
          <w:shd w:val="clear" w:color="auto" w:fill="FFFFFF"/>
        </w:rPr>
        <w:t>1261.</w:t>
      </w:r>
      <w:r w:rsidR="003F02C5" w:rsidRPr="003C31E9">
        <w:rPr>
          <w:lang w:val="en-GB"/>
        </w:rPr>
        <w:t>.</w:t>
      </w:r>
      <w:proofErr w:type="gramEnd"/>
      <w:r w:rsidR="003F02C5" w:rsidRPr="003C31E9">
        <w:rPr>
          <w:lang w:val="en-GB"/>
        </w:rPr>
        <w:t xml:space="preserve"> </w:t>
      </w:r>
      <w:hyperlink r:id="rId30" w:tgtFrame="_new" w:history="1">
        <w:r w:rsidR="003F02C5" w:rsidRPr="003C31E9">
          <w:rPr>
            <w:rStyle w:val="Hyperlink"/>
            <w:lang w:val="en-GB"/>
          </w:rPr>
          <w:t>https://doi.org/10.1038/s41588-025-02170-w</w:t>
        </w:r>
      </w:hyperlink>
      <w:r w:rsidRPr="003C31E9">
        <w:rPr>
          <w:lang w:val="en-GB"/>
        </w:rPr>
        <w:t xml:space="preserve"> </w:t>
      </w:r>
    </w:p>
    <w:p w14:paraId="1F770564" w14:textId="77777777" w:rsidR="003F02C5" w:rsidRPr="003C31E9" w:rsidRDefault="003C31E9" w:rsidP="003F02C5">
      <w:pPr>
        <w:pStyle w:val="NormalWeb"/>
        <w:rPr>
          <w:lang w:val="en-GB"/>
        </w:rPr>
      </w:pPr>
      <w:r w:rsidRPr="003C31E9">
        <w:rPr>
          <w:color w:val="222222"/>
          <w:shd w:val="clear" w:color="auto" w:fill="FFFFFF"/>
        </w:rPr>
        <w:t>Zhuang, W., Chen, H., Yang, M., Wang, J., Pandey, M. K., Zhang, C., ... &amp; Varshney, R. K. (2019). The genome of cultivated peanut provides insight into legume karyotypes, polyploid evolution and crop domestication. </w:t>
      </w:r>
      <w:r w:rsidRPr="003C31E9">
        <w:rPr>
          <w:i/>
          <w:iCs/>
          <w:color w:val="222222"/>
          <w:shd w:val="clear" w:color="auto" w:fill="FFFFFF"/>
        </w:rPr>
        <w:t>Nature genetics</w:t>
      </w:r>
      <w:r w:rsidRPr="003C31E9">
        <w:rPr>
          <w:color w:val="222222"/>
          <w:shd w:val="clear" w:color="auto" w:fill="FFFFFF"/>
        </w:rPr>
        <w:t>, </w:t>
      </w:r>
      <w:r w:rsidRPr="003C31E9">
        <w:rPr>
          <w:i/>
          <w:iCs/>
          <w:color w:val="222222"/>
          <w:shd w:val="clear" w:color="auto" w:fill="FFFFFF"/>
        </w:rPr>
        <w:t>51</w:t>
      </w:r>
      <w:r w:rsidRPr="003C31E9">
        <w:rPr>
          <w:color w:val="222222"/>
          <w:shd w:val="clear" w:color="auto" w:fill="FFFFFF"/>
        </w:rPr>
        <w:t xml:space="preserve">(5), 865-876. </w:t>
      </w:r>
      <w:r w:rsidR="003F02C5" w:rsidRPr="003C31E9">
        <w:rPr>
          <w:lang w:val="en-GB"/>
        </w:rPr>
        <w:t xml:space="preserve">. </w:t>
      </w:r>
      <w:hyperlink r:id="rId31" w:history="1">
        <w:r w:rsidRPr="003C31E9">
          <w:rPr>
            <w:rStyle w:val="Hyperlink"/>
            <w:lang w:val="en-GB"/>
          </w:rPr>
          <w:t>https://doi.org/10.1038/s41588-019-0402-2</w:t>
        </w:r>
      </w:hyperlink>
      <w:r w:rsidRPr="003C31E9">
        <w:rPr>
          <w:lang w:val="en-GB"/>
        </w:rPr>
        <w:t xml:space="preserve"> </w:t>
      </w:r>
    </w:p>
    <w:p w14:paraId="34169FAD" w14:textId="77777777" w:rsidR="008A4BFC" w:rsidRPr="009D0B9D" w:rsidRDefault="008A4BFC" w:rsidP="003F02C5"/>
    <w:sectPr w:rsidR="008A4BFC" w:rsidRPr="009D0B9D" w:rsidSect="00CB6EB6">
      <w:headerReference w:type="even" r:id="rId32"/>
      <w:headerReference w:type="default" r:id="rId33"/>
      <w:footerReference w:type="even" r:id="rId34"/>
      <w:footerReference w:type="default" r:id="rId35"/>
      <w:headerReference w:type="first" r:id="rId36"/>
      <w:footerReference w:type="first" r:id="rId37"/>
      <w:pgSz w:w="11906" w:h="16838"/>
      <w:pgMar w:top="1440" w:right="1440" w:bottom="1440" w:left="1440"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1" w:author="fahad rahul" w:date="2025-12-16T18:03:00Z" w:initials="fr">
    <w:p w14:paraId="3A847FA4" w14:textId="4EAAFB5E" w:rsidR="00731B06" w:rsidRDefault="00731B06">
      <w:pPr>
        <w:pStyle w:val="CommentText"/>
      </w:pPr>
      <w:r>
        <w:rPr>
          <w:rStyle w:val="CommentReference"/>
        </w:rPr>
        <w:annotationRef/>
      </w:r>
      <w:r>
        <w:t xml:space="preserve">2 </w:t>
      </w:r>
      <w:proofErr w:type="gramStart"/>
      <w:r>
        <w:t>line</w:t>
      </w:r>
      <w:proofErr w:type="gramEnd"/>
      <w:r>
        <w:t xml:space="preserve"> explain this. </w:t>
      </w:r>
    </w:p>
  </w:comment>
  <w:comment w:id="2" w:author="fahad rahul" w:date="2025-12-16T18:05:00Z" w:initials="fr">
    <w:p w14:paraId="107A157A" w14:textId="5E7DA16E" w:rsidR="00731B06" w:rsidRDefault="00731B06">
      <w:pPr>
        <w:pStyle w:val="CommentText"/>
      </w:pPr>
      <w:r>
        <w:rPr>
          <w:rStyle w:val="CommentReference"/>
        </w:rPr>
        <w:annotationRef/>
      </w:r>
      <w:r>
        <w:t xml:space="preserve">Use recent references </w:t>
      </w:r>
    </w:p>
  </w:comment>
  <w:comment w:id="3" w:author="fahad rahul" w:date="2025-12-16T18:06:00Z" w:initials="fr">
    <w:p w14:paraId="14A6D341" w14:textId="32CDF620" w:rsidR="00731B06" w:rsidRDefault="00731B06">
      <w:pPr>
        <w:pStyle w:val="CommentText"/>
      </w:pPr>
      <w:r>
        <w:rPr>
          <w:rStyle w:val="CommentReference"/>
        </w:rPr>
        <w:annotationRef/>
      </w:r>
      <w:r>
        <w:t xml:space="preserve">Use citation </w:t>
      </w:r>
    </w:p>
  </w:comment>
  <w:comment w:id="4" w:author="fahad rahul" w:date="2025-12-16T18:06:00Z" w:initials="fr">
    <w:p w14:paraId="2267E5B8" w14:textId="52606FFA" w:rsidR="00731B06" w:rsidRDefault="00731B06">
      <w:pPr>
        <w:pStyle w:val="CommentText"/>
      </w:pPr>
      <w:r>
        <w:rPr>
          <w:rStyle w:val="CommentReference"/>
        </w:rPr>
        <w:annotationRef/>
      </w:r>
      <w:r>
        <w:t>Capital S</w:t>
      </w:r>
    </w:p>
  </w:comment>
  <w:comment w:id="5" w:author="fahad rahul" w:date="2025-12-16T18:06:00Z" w:initials="fr">
    <w:p w14:paraId="58B4A90E" w14:textId="22EFA928" w:rsidR="00731B06" w:rsidRDefault="00731B06">
      <w:pPr>
        <w:pStyle w:val="CommentText"/>
      </w:pPr>
      <w:r>
        <w:rPr>
          <w:rStyle w:val="CommentReference"/>
        </w:rPr>
        <w:annotationRef/>
      </w:r>
      <w:r>
        <w:t>Capital S</w:t>
      </w:r>
    </w:p>
  </w:comment>
  <w:comment w:id="6" w:author="fahad rahul" w:date="2025-12-16T18:06:00Z" w:initials="fr">
    <w:p w14:paraId="5F39314E" w14:textId="43E36228" w:rsidR="00731B06" w:rsidRDefault="00731B06">
      <w:pPr>
        <w:pStyle w:val="CommentText"/>
      </w:pPr>
      <w:r>
        <w:rPr>
          <w:rStyle w:val="CommentReference"/>
        </w:rPr>
        <w:annotationRef/>
      </w:r>
      <w:r>
        <w:t>Capital D</w:t>
      </w:r>
    </w:p>
  </w:comment>
  <w:comment w:id="7" w:author="fahad rahul" w:date="2025-12-16T18:07:00Z" w:initials="fr">
    <w:p w14:paraId="0539688F" w14:textId="412E5156" w:rsidR="00731B06" w:rsidRDefault="00731B06">
      <w:pPr>
        <w:pStyle w:val="CommentText"/>
      </w:pPr>
      <w:r>
        <w:rPr>
          <w:rStyle w:val="CommentReference"/>
        </w:rPr>
        <w:annotationRef/>
      </w:r>
      <w:r>
        <w:t>Capital I</w:t>
      </w:r>
    </w:p>
  </w:comment>
  <w:comment w:id="8" w:author="fahad rahul" w:date="2025-12-16T18:07:00Z" w:initials="fr">
    <w:p w14:paraId="28F31C85" w14:textId="71AB2E94" w:rsidR="00731B06" w:rsidRDefault="00731B06">
      <w:pPr>
        <w:pStyle w:val="CommentText"/>
      </w:pPr>
      <w:r>
        <w:rPr>
          <w:rStyle w:val="CommentReference"/>
        </w:rPr>
        <w:annotationRef/>
      </w:r>
      <w:r>
        <w:t xml:space="preserve">Explain more </w:t>
      </w:r>
    </w:p>
  </w:comment>
  <w:comment w:id="9" w:author="fahad rahul" w:date="2025-12-16T18:07:00Z" w:initials="fr">
    <w:p w14:paraId="4F26DB80" w14:textId="7B5132A5" w:rsidR="00731B06" w:rsidRDefault="00731B06">
      <w:pPr>
        <w:pStyle w:val="CommentText"/>
      </w:pPr>
      <w:r>
        <w:rPr>
          <w:rStyle w:val="CommentReference"/>
        </w:rPr>
        <w:annotationRef/>
      </w:r>
      <w:r>
        <w:t xml:space="preserve">Use citation </w:t>
      </w:r>
    </w:p>
  </w:comment>
  <w:comment w:id="10" w:author="fahad rahul" w:date="2025-12-16T18:08:00Z" w:initials="fr">
    <w:p w14:paraId="7510D335" w14:textId="0EFBDD17" w:rsidR="00731B06" w:rsidRDefault="00731B06">
      <w:pPr>
        <w:pStyle w:val="CommentText"/>
      </w:pPr>
      <w:r>
        <w:rPr>
          <w:rStyle w:val="CommentReference"/>
        </w:rPr>
        <w:annotationRef/>
      </w:r>
      <w:r>
        <w:t>Using capital where it is need.</w:t>
      </w:r>
    </w:p>
  </w:comment>
  <w:comment w:id="11" w:author="fahad rahul" w:date="2025-12-16T18:08:00Z" w:initials="fr">
    <w:p w14:paraId="6F5D786B" w14:textId="302975DF" w:rsidR="00731B06" w:rsidRDefault="00731B06">
      <w:pPr>
        <w:pStyle w:val="CommentText"/>
      </w:pPr>
      <w:r>
        <w:rPr>
          <w:rStyle w:val="CommentReference"/>
        </w:rPr>
        <w:annotationRef/>
      </w:r>
      <w:r>
        <w:t xml:space="preserve">Need correction </w:t>
      </w:r>
    </w:p>
  </w:comment>
  <w:comment w:id="12" w:author="fahad rahul" w:date="2025-12-16T18:09:00Z" w:initials="fr">
    <w:p w14:paraId="419BB418" w14:textId="226D870D" w:rsidR="00731B06" w:rsidRDefault="00731B06">
      <w:pPr>
        <w:pStyle w:val="CommentText"/>
      </w:pPr>
      <w:r>
        <w:rPr>
          <w:rStyle w:val="CommentReference"/>
        </w:rPr>
        <w:annotationRef/>
      </w:r>
      <w:r>
        <w:t xml:space="preserve">Use capital </w:t>
      </w:r>
    </w:p>
  </w:comment>
  <w:comment w:id="13" w:author="fahad rahul" w:date="2025-12-16T18:10:00Z" w:initials="fr">
    <w:p w14:paraId="5EE2CBCC" w14:textId="07E22510" w:rsidR="00731B06" w:rsidRDefault="00731B06">
      <w:pPr>
        <w:pStyle w:val="CommentText"/>
      </w:pPr>
      <w:r>
        <w:rPr>
          <w:rStyle w:val="CommentReference"/>
        </w:rPr>
        <w:annotationRef/>
      </w:r>
      <w:r>
        <w:t xml:space="preserve">Proper citation use </w:t>
      </w:r>
    </w:p>
  </w:comment>
  <w:comment w:id="14" w:author="fahad rahul" w:date="2025-12-16T18:11:00Z" w:initials="fr">
    <w:p w14:paraId="09B4814D" w14:textId="130FBAE8" w:rsidR="00731B06" w:rsidRDefault="00731B06">
      <w:pPr>
        <w:pStyle w:val="CommentText"/>
      </w:pPr>
      <w:r>
        <w:rPr>
          <w:rStyle w:val="CommentReference"/>
        </w:rPr>
        <w:annotationRef/>
      </w:r>
      <w:r>
        <w:t xml:space="preserve">Proper citation. </w:t>
      </w:r>
    </w:p>
  </w:comment>
  <w:comment w:id="15" w:author="fahad rahul" w:date="2025-12-16T18:12:00Z" w:initials="fr">
    <w:p w14:paraId="5D820077" w14:textId="7656A367" w:rsidR="00731B06" w:rsidRDefault="00731B06">
      <w:pPr>
        <w:pStyle w:val="CommentText"/>
      </w:pPr>
      <w:r>
        <w:rPr>
          <w:rStyle w:val="CommentReference"/>
        </w:rPr>
        <w:annotationRef/>
      </w:r>
      <w:r>
        <w:t xml:space="preserve">Use capital </w:t>
      </w:r>
    </w:p>
  </w:comment>
  <w:comment w:id="16" w:author="fahad rahul" w:date="2025-12-16T18:12:00Z" w:initials="fr">
    <w:p w14:paraId="74C78C64" w14:textId="651A1F24" w:rsidR="00731B06" w:rsidRDefault="00731B06">
      <w:pPr>
        <w:pStyle w:val="CommentText"/>
      </w:pPr>
      <w:r>
        <w:rPr>
          <w:rStyle w:val="CommentReference"/>
        </w:rPr>
        <w:annotationRef/>
      </w:r>
      <w:r>
        <w:t xml:space="preserve">Lack of </w:t>
      </w:r>
      <w:r>
        <w:t>information</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3A847FA4" w15:done="0"/>
  <w15:commentEx w15:paraId="107A157A" w15:done="0"/>
  <w15:commentEx w15:paraId="14A6D341" w15:done="0"/>
  <w15:commentEx w15:paraId="2267E5B8" w15:done="0"/>
  <w15:commentEx w15:paraId="58B4A90E" w15:done="0"/>
  <w15:commentEx w15:paraId="5F39314E" w15:done="0"/>
  <w15:commentEx w15:paraId="0539688F" w15:done="0"/>
  <w15:commentEx w15:paraId="28F31C85" w15:done="0"/>
  <w15:commentEx w15:paraId="4F26DB80" w15:done="0"/>
  <w15:commentEx w15:paraId="7510D335" w15:done="0"/>
  <w15:commentEx w15:paraId="6F5D786B" w15:done="0"/>
  <w15:commentEx w15:paraId="419BB418" w15:done="0"/>
  <w15:commentEx w15:paraId="5EE2CBCC" w15:done="0"/>
  <w15:commentEx w15:paraId="09B4814D" w15:done="0"/>
  <w15:commentEx w15:paraId="5D820077" w15:done="0"/>
  <w15:commentEx w15:paraId="74C78C64"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CEC1D5E" w16cex:dateUtc="2025-12-16T12:03:00Z"/>
  <w16cex:commentExtensible w16cex:durableId="2CEC1DF2" w16cex:dateUtc="2025-12-16T12:05:00Z"/>
  <w16cex:commentExtensible w16cex:durableId="2CEC1E10" w16cex:dateUtc="2025-12-16T12:06:00Z"/>
  <w16cex:commentExtensible w16cex:durableId="2CEC1E2A" w16cex:dateUtc="2025-12-16T12:06:00Z"/>
  <w16cex:commentExtensible w16cex:durableId="2CEC1E32" w16cex:dateUtc="2025-12-16T12:06:00Z"/>
  <w16cex:commentExtensible w16cex:durableId="2CEC1E3C" w16cex:dateUtc="2025-12-16T12:06:00Z"/>
  <w16cex:commentExtensible w16cex:durableId="2CEC1E4C" w16cex:dateUtc="2025-12-16T12:07:00Z"/>
  <w16cex:commentExtensible w16cex:durableId="2CEC1E62" w16cex:dateUtc="2025-12-16T12:07:00Z"/>
  <w16cex:commentExtensible w16cex:durableId="2CEC1E73" w16cex:dateUtc="2025-12-16T12:07:00Z"/>
  <w16cex:commentExtensible w16cex:durableId="2CEC1E94" w16cex:dateUtc="2025-12-16T12:08:00Z"/>
  <w16cex:commentExtensible w16cex:durableId="2CEC1EAE" w16cex:dateUtc="2025-12-16T12:08:00Z"/>
  <w16cex:commentExtensible w16cex:durableId="2CEC1EDD" w16cex:dateUtc="2025-12-16T12:09:00Z"/>
  <w16cex:commentExtensible w16cex:durableId="2CEC1F27" w16cex:dateUtc="2025-12-16T12:10:00Z"/>
  <w16cex:commentExtensible w16cex:durableId="2CEC1F4B" w16cex:dateUtc="2025-12-16T12:11:00Z"/>
  <w16cex:commentExtensible w16cex:durableId="2CEC1F73" w16cex:dateUtc="2025-12-16T12:12:00Z"/>
  <w16cex:commentExtensible w16cex:durableId="2CEC1F86" w16cex:dateUtc="2025-12-16T12:12: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3A847FA4" w16cid:durableId="2CEC1D5E"/>
  <w16cid:commentId w16cid:paraId="107A157A" w16cid:durableId="2CEC1DF2"/>
  <w16cid:commentId w16cid:paraId="14A6D341" w16cid:durableId="2CEC1E10"/>
  <w16cid:commentId w16cid:paraId="2267E5B8" w16cid:durableId="2CEC1E2A"/>
  <w16cid:commentId w16cid:paraId="58B4A90E" w16cid:durableId="2CEC1E32"/>
  <w16cid:commentId w16cid:paraId="5F39314E" w16cid:durableId="2CEC1E3C"/>
  <w16cid:commentId w16cid:paraId="0539688F" w16cid:durableId="2CEC1E4C"/>
  <w16cid:commentId w16cid:paraId="28F31C85" w16cid:durableId="2CEC1E62"/>
  <w16cid:commentId w16cid:paraId="4F26DB80" w16cid:durableId="2CEC1E73"/>
  <w16cid:commentId w16cid:paraId="7510D335" w16cid:durableId="2CEC1E94"/>
  <w16cid:commentId w16cid:paraId="6F5D786B" w16cid:durableId="2CEC1EAE"/>
  <w16cid:commentId w16cid:paraId="419BB418" w16cid:durableId="2CEC1EDD"/>
  <w16cid:commentId w16cid:paraId="5EE2CBCC" w16cid:durableId="2CEC1F27"/>
  <w16cid:commentId w16cid:paraId="09B4814D" w16cid:durableId="2CEC1F4B"/>
  <w16cid:commentId w16cid:paraId="5D820077" w16cid:durableId="2CEC1F73"/>
  <w16cid:commentId w16cid:paraId="74C78C64" w16cid:durableId="2CEC1F86"/>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0437127" w14:textId="77777777" w:rsidR="0059762A" w:rsidRDefault="0059762A" w:rsidP="0099288F">
      <w:pPr>
        <w:spacing w:after="0" w:line="240" w:lineRule="auto"/>
      </w:pPr>
      <w:r>
        <w:separator/>
      </w:r>
    </w:p>
  </w:endnote>
  <w:endnote w:type="continuationSeparator" w:id="0">
    <w:p w14:paraId="22E44116" w14:textId="77777777" w:rsidR="0059762A" w:rsidRDefault="0059762A" w:rsidP="0099288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4B3241" w14:textId="77777777" w:rsidR="0099288F" w:rsidRDefault="0099288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A67F5E" w14:textId="77777777" w:rsidR="0099288F" w:rsidRDefault="0099288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812727" w14:textId="77777777" w:rsidR="0099288F" w:rsidRDefault="0099288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4E3B5FC" w14:textId="77777777" w:rsidR="0059762A" w:rsidRDefault="0059762A" w:rsidP="0099288F">
      <w:pPr>
        <w:spacing w:after="0" w:line="240" w:lineRule="auto"/>
      </w:pPr>
      <w:r>
        <w:separator/>
      </w:r>
    </w:p>
  </w:footnote>
  <w:footnote w:type="continuationSeparator" w:id="0">
    <w:p w14:paraId="6FBDBC1F" w14:textId="77777777" w:rsidR="0059762A" w:rsidRDefault="0059762A" w:rsidP="0099288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12D9EE" w14:textId="40E4CD2D" w:rsidR="0099288F" w:rsidRDefault="0059762A">
    <w:pPr>
      <w:pStyle w:val="Header"/>
    </w:pPr>
    <w:r>
      <w:rPr>
        <w:noProof/>
      </w:rPr>
      <w:pict w14:anchorId="23564D6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93735454" o:spid="_x0000_s2050" type="#_x0000_t136" style="position:absolute;margin-left:0;margin-top:0;width:535.3pt;height:100.9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AB4F2B" w14:textId="4D3A5D1B" w:rsidR="0099288F" w:rsidRDefault="0059762A">
    <w:pPr>
      <w:pStyle w:val="Header"/>
    </w:pPr>
    <w:r>
      <w:rPr>
        <w:noProof/>
      </w:rPr>
      <w:pict w14:anchorId="6BA2524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93735455" o:spid="_x0000_s2051" type="#_x0000_t136" style="position:absolute;margin-left:0;margin-top:0;width:535.3pt;height:100.9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BDD9DE" w14:textId="5FCA2B4E" w:rsidR="0099288F" w:rsidRDefault="0059762A">
    <w:pPr>
      <w:pStyle w:val="Header"/>
    </w:pPr>
    <w:r>
      <w:rPr>
        <w:noProof/>
      </w:rPr>
      <w:pict w14:anchorId="09B7808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93735453" o:spid="_x0000_s2049" type="#_x0000_t136" style="position:absolute;margin-left:0;margin-top:0;width:535.3pt;height:100.9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521674"/>
    <w:multiLevelType w:val="hybridMultilevel"/>
    <w:tmpl w:val="0416373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6AC2859"/>
    <w:multiLevelType w:val="hybridMultilevel"/>
    <w:tmpl w:val="2FA070F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B9A3A11"/>
    <w:multiLevelType w:val="multilevel"/>
    <w:tmpl w:val="CBC4C98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1134363"/>
    <w:multiLevelType w:val="hybridMultilevel"/>
    <w:tmpl w:val="B8FACB5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1745093"/>
    <w:multiLevelType w:val="hybridMultilevel"/>
    <w:tmpl w:val="C1F427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51A4052"/>
    <w:multiLevelType w:val="hybridMultilevel"/>
    <w:tmpl w:val="9C92F67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2D02C80"/>
    <w:multiLevelType w:val="multilevel"/>
    <w:tmpl w:val="E5B4ACE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255E390A"/>
    <w:multiLevelType w:val="hybridMultilevel"/>
    <w:tmpl w:val="FAF8949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CAA2460"/>
    <w:multiLevelType w:val="multilevel"/>
    <w:tmpl w:val="47D632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2436C55"/>
    <w:multiLevelType w:val="multilevel"/>
    <w:tmpl w:val="70B2DB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36397016"/>
    <w:multiLevelType w:val="multilevel"/>
    <w:tmpl w:val="A0ECFB8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39787BF5"/>
    <w:multiLevelType w:val="multilevel"/>
    <w:tmpl w:val="78F0F1C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3F141B99"/>
    <w:multiLevelType w:val="multilevel"/>
    <w:tmpl w:val="E26276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42685D28"/>
    <w:multiLevelType w:val="hybridMultilevel"/>
    <w:tmpl w:val="1ADEFB1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75C5490"/>
    <w:multiLevelType w:val="hybridMultilevel"/>
    <w:tmpl w:val="B872891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AFD04D5"/>
    <w:multiLevelType w:val="hybridMultilevel"/>
    <w:tmpl w:val="F9BE75F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CEB1874"/>
    <w:multiLevelType w:val="multilevel"/>
    <w:tmpl w:val="BECACE8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517E2570"/>
    <w:multiLevelType w:val="multilevel"/>
    <w:tmpl w:val="ED58127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53192923"/>
    <w:multiLevelType w:val="hybridMultilevel"/>
    <w:tmpl w:val="A2B441C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45629D4"/>
    <w:multiLevelType w:val="hybridMultilevel"/>
    <w:tmpl w:val="B6DE104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B11692E"/>
    <w:multiLevelType w:val="hybridMultilevel"/>
    <w:tmpl w:val="87F2EC6C"/>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20F183F"/>
    <w:multiLevelType w:val="hybridMultilevel"/>
    <w:tmpl w:val="C51A182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C582B42"/>
    <w:multiLevelType w:val="hybridMultilevel"/>
    <w:tmpl w:val="592EB4C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73C768F2"/>
    <w:multiLevelType w:val="multilevel"/>
    <w:tmpl w:val="8ECE200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750A4CE2"/>
    <w:multiLevelType w:val="hybridMultilevel"/>
    <w:tmpl w:val="87646C1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78DC6FAA"/>
    <w:multiLevelType w:val="multilevel"/>
    <w:tmpl w:val="408A500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8"/>
  </w:num>
  <w:num w:numId="2">
    <w:abstractNumId w:val="23"/>
  </w:num>
  <w:num w:numId="3">
    <w:abstractNumId w:val="22"/>
  </w:num>
  <w:num w:numId="4">
    <w:abstractNumId w:val="24"/>
  </w:num>
  <w:num w:numId="5">
    <w:abstractNumId w:val="19"/>
  </w:num>
  <w:num w:numId="6">
    <w:abstractNumId w:val="2"/>
  </w:num>
  <w:num w:numId="7">
    <w:abstractNumId w:val="21"/>
  </w:num>
  <w:num w:numId="8">
    <w:abstractNumId w:val="6"/>
  </w:num>
  <w:num w:numId="9">
    <w:abstractNumId w:val="4"/>
  </w:num>
  <w:num w:numId="10">
    <w:abstractNumId w:val="13"/>
  </w:num>
  <w:num w:numId="11">
    <w:abstractNumId w:val="3"/>
  </w:num>
  <w:num w:numId="12">
    <w:abstractNumId w:val="15"/>
  </w:num>
  <w:num w:numId="13">
    <w:abstractNumId w:val="5"/>
  </w:num>
  <w:num w:numId="14">
    <w:abstractNumId w:val="18"/>
  </w:num>
  <w:num w:numId="15">
    <w:abstractNumId w:val="1"/>
  </w:num>
  <w:num w:numId="16">
    <w:abstractNumId w:val="9"/>
  </w:num>
  <w:num w:numId="17">
    <w:abstractNumId w:val="10"/>
  </w:num>
  <w:num w:numId="18">
    <w:abstractNumId w:val="14"/>
  </w:num>
  <w:num w:numId="19">
    <w:abstractNumId w:val="11"/>
  </w:num>
  <w:num w:numId="20">
    <w:abstractNumId w:val="16"/>
  </w:num>
  <w:num w:numId="21">
    <w:abstractNumId w:val="17"/>
  </w:num>
  <w:num w:numId="22">
    <w:abstractNumId w:val="25"/>
  </w:num>
  <w:num w:numId="23">
    <w:abstractNumId w:val="0"/>
  </w:num>
  <w:num w:numId="24">
    <w:abstractNumId w:val="12"/>
  </w:num>
  <w:num w:numId="25">
    <w:abstractNumId w:val="7"/>
  </w:num>
  <w:num w:numId="26">
    <w:abstractNumId w:val="2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fahad rahul">
    <w15:presenceInfo w15:providerId="Windows Live" w15:userId="f795e331baabca99"/>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61CB6"/>
    <w:rsid w:val="000425DD"/>
    <w:rsid w:val="00053D7A"/>
    <w:rsid w:val="0006413B"/>
    <w:rsid w:val="000643E7"/>
    <w:rsid w:val="000A0EB4"/>
    <w:rsid w:val="000C4F0E"/>
    <w:rsid w:val="000F27AA"/>
    <w:rsid w:val="001261CC"/>
    <w:rsid w:val="00126ADF"/>
    <w:rsid w:val="00131E50"/>
    <w:rsid w:val="00135191"/>
    <w:rsid w:val="00142919"/>
    <w:rsid w:val="001560E3"/>
    <w:rsid w:val="00186E2A"/>
    <w:rsid w:val="001A3703"/>
    <w:rsid w:val="001E6EC5"/>
    <w:rsid w:val="0022042D"/>
    <w:rsid w:val="0024324D"/>
    <w:rsid w:val="00284F1F"/>
    <w:rsid w:val="002B76E6"/>
    <w:rsid w:val="002C48BB"/>
    <w:rsid w:val="00307595"/>
    <w:rsid w:val="0031286E"/>
    <w:rsid w:val="003664CE"/>
    <w:rsid w:val="003975AE"/>
    <w:rsid w:val="003A104D"/>
    <w:rsid w:val="003A4787"/>
    <w:rsid w:val="003B3553"/>
    <w:rsid w:val="003B400E"/>
    <w:rsid w:val="003B6CCD"/>
    <w:rsid w:val="003C31E9"/>
    <w:rsid w:val="003F02C5"/>
    <w:rsid w:val="00405181"/>
    <w:rsid w:val="004132B1"/>
    <w:rsid w:val="004148F5"/>
    <w:rsid w:val="00416C8C"/>
    <w:rsid w:val="00456E20"/>
    <w:rsid w:val="00461CAB"/>
    <w:rsid w:val="004A5427"/>
    <w:rsid w:val="004C6306"/>
    <w:rsid w:val="004E7311"/>
    <w:rsid w:val="00516AA1"/>
    <w:rsid w:val="0051763F"/>
    <w:rsid w:val="0052448D"/>
    <w:rsid w:val="0054487D"/>
    <w:rsid w:val="0056389E"/>
    <w:rsid w:val="00564FB4"/>
    <w:rsid w:val="00571246"/>
    <w:rsid w:val="0059762A"/>
    <w:rsid w:val="0061521F"/>
    <w:rsid w:val="00622C65"/>
    <w:rsid w:val="00626F6E"/>
    <w:rsid w:val="00632906"/>
    <w:rsid w:val="00661483"/>
    <w:rsid w:val="006618F5"/>
    <w:rsid w:val="0067007E"/>
    <w:rsid w:val="00676549"/>
    <w:rsid w:val="0067685B"/>
    <w:rsid w:val="00692471"/>
    <w:rsid w:val="00695D59"/>
    <w:rsid w:val="006A2C8B"/>
    <w:rsid w:val="006A39B3"/>
    <w:rsid w:val="006D455D"/>
    <w:rsid w:val="006E4B0A"/>
    <w:rsid w:val="00711B14"/>
    <w:rsid w:val="00713825"/>
    <w:rsid w:val="00720F41"/>
    <w:rsid w:val="00731B06"/>
    <w:rsid w:val="00761CB6"/>
    <w:rsid w:val="0078275D"/>
    <w:rsid w:val="007C7951"/>
    <w:rsid w:val="007D03BC"/>
    <w:rsid w:val="007E249F"/>
    <w:rsid w:val="00804929"/>
    <w:rsid w:val="008107F6"/>
    <w:rsid w:val="00812006"/>
    <w:rsid w:val="0083179B"/>
    <w:rsid w:val="008374C4"/>
    <w:rsid w:val="00856AFD"/>
    <w:rsid w:val="008811F8"/>
    <w:rsid w:val="008A4BFC"/>
    <w:rsid w:val="008F3850"/>
    <w:rsid w:val="00951A3D"/>
    <w:rsid w:val="0099288F"/>
    <w:rsid w:val="00992B92"/>
    <w:rsid w:val="00994A4A"/>
    <w:rsid w:val="009B55DE"/>
    <w:rsid w:val="009D0B9D"/>
    <w:rsid w:val="009D5BA5"/>
    <w:rsid w:val="009F0120"/>
    <w:rsid w:val="00A029C3"/>
    <w:rsid w:val="00A2270F"/>
    <w:rsid w:val="00A478B2"/>
    <w:rsid w:val="00A50845"/>
    <w:rsid w:val="00A5299F"/>
    <w:rsid w:val="00A54719"/>
    <w:rsid w:val="00A57A87"/>
    <w:rsid w:val="00A7055A"/>
    <w:rsid w:val="00AE651D"/>
    <w:rsid w:val="00B1065D"/>
    <w:rsid w:val="00B451DB"/>
    <w:rsid w:val="00B84C19"/>
    <w:rsid w:val="00B85036"/>
    <w:rsid w:val="00BB6828"/>
    <w:rsid w:val="00BC43AE"/>
    <w:rsid w:val="00BD22E5"/>
    <w:rsid w:val="00BF0896"/>
    <w:rsid w:val="00BF26BF"/>
    <w:rsid w:val="00C13468"/>
    <w:rsid w:val="00C404E0"/>
    <w:rsid w:val="00C6694F"/>
    <w:rsid w:val="00C93A8A"/>
    <w:rsid w:val="00CB6EB6"/>
    <w:rsid w:val="00CE0C42"/>
    <w:rsid w:val="00CE5BFA"/>
    <w:rsid w:val="00D40796"/>
    <w:rsid w:val="00D63323"/>
    <w:rsid w:val="00D75C9D"/>
    <w:rsid w:val="00DC6BC2"/>
    <w:rsid w:val="00DF20BB"/>
    <w:rsid w:val="00DF5AB4"/>
    <w:rsid w:val="00E125DA"/>
    <w:rsid w:val="00E643E8"/>
    <w:rsid w:val="00E7044C"/>
    <w:rsid w:val="00EE2E7D"/>
    <w:rsid w:val="00F13040"/>
    <w:rsid w:val="00F6047F"/>
    <w:rsid w:val="00F754E8"/>
    <w:rsid w:val="00FA03AB"/>
    <w:rsid w:val="00FA7321"/>
    <w:rsid w:val="00FB647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3020F4E8"/>
  <w15:docId w15:val="{64FE3ABC-114F-4A9E-9C35-3A31BA0297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6047F"/>
  </w:style>
  <w:style w:type="paragraph" w:styleId="Heading1">
    <w:name w:val="heading 1"/>
    <w:basedOn w:val="Normal"/>
    <w:link w:val="Heading1Char"/>
    <w:uiPriority w:val="9"/>
    <w:qFormat/>
    <w:rsid w:val="00761CB6"/>
    <w:pPr>
      <w:spacing w:before="100" w:beforeAutospacing="1" w:after="100" w:afterAutospacing="1" w:line="240" w:lineRule="auto"/>
      <w:outlineLvl w:val="0"/>
    </w:pPr>
    <w:rPr>
      <w:rFonts w:ascii="Times New Roman" w:eastAsia="Times New Roman" w:hAnsi="Times New Roman" w:cs="Times New Roman"/>
      <w:b/>
      <w:bCs/>
      <w:kern w:val="36"/>
      <w:sz w:val="48"/>
      <w:szCs w:val="48"/>
      <w:lang w:val="en-US"/>
    </w:rPr>
  </w:style>
  <w:style w:type="paragraph" w:styleId="Heading2">
    <w:name w:val="heading 2"/>
    <w:basedOn w:val="Normal"/>
    <w:link w:val="Heading2Char"/>
    <w:uiPriority w:val="9"/>
    <w:qFormat/>
    <w:rsid w:val="00761CB6"/>
    <w:pPr>
      <w:spacing w:before="100" w:beforeAutospacing="1" w:after="100" w:afterAutospacing="1" w:line="240" w:lineRule="auto"/>
      <w:outlineLvl w:val="1"/>
    </w:pPr>
    <w:rPr>
      <w:rFonts w:ascii="Times New Roman" w:eastAsia="Times New Roman" w:hAnsi="Times New Roman" w:cs="Times New Roman"/>
      <w:b/>
      <w:bCs/>
      <w:sz w:val="36"/>
      <w:szCs w:val="36"/>
      <w:lang w:val="en-US"/>
    </w:rPr>
  </w:style>
  <w:style w:type="paragraph" w:styleId="Heading3">
    <w:name w:val="heading 3"/>
    <w:basedOn w:val="Normal"/>
    <w:link w:val="Heading3Char"/>
    <w:uiPriority w:val="9"/>
    <w:qFormat/>
    <w:rsid w:val="00761CB6"/>
    <w:pPr>
      <w:spacing w:before="100" w:beforeAutospacing="1" w:after="100" w:afterAutospacing="1" w:line="240" w:lineRule="auto"/>
      <w:outlineLvl w:val="2"/>
    </w:pPr>
    <w:rPr>
      <w:rFonts w:ascii="Times New Roman" w:eastAsia="Times New Roman" w:hAnsi="Times New Roman" w:cs="Times New Roman"/>
      <w:b/>
      <w:bCs/>
      <w:sz w:val="27"/>
      <w:szCs w:val="27"/>
      <w:lang w:val="en-US"/>
    </w:rPr>
  </w:style>
  <w:style w:type="paragraph" w:styleId="Heading4">
    <w:name w:val="heading 4"/>
    <w:basedOn w:val="Normal"/>
    <w:next w:val="Normal"/>
    <w:link w:val="Heading4Char"/>
    <w:uiPriority w:val="9"/>
    <w:semiHidden/>
    <w:unhideWhenUsed/>
    <w:qFormat/>
    <w:rsid w:val="00711B14"/>
    <w:pPr>
      <w:keepNext/>
      <w:keepLines/>
      <w:spacing w:before="200" w:after="0"/>
      <w:outlineLvl w:val="3"/>
    </w:pPr>
    <w:rPr>
      <w:rFonts w:asciiTheme="majorHAnsi" w:eastAsiaTheme="majorEastAsia" w:hAnsiTheme="majorHAnsi" w:cstheme="majorBidi"/>
      <w:b/>
      <w:bCs/>
      <w:i/>
      <w:iCs/>
      <w:color w:val="4472C4"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61CB6"/>
    <w:rPr>
      <w:rFonts w:ascii="Times New Roman" w:eastAsia="Times New Roman" w:hAnsi="Times New Roman" w:cs="Times New Roman"/>
      <w:b/>
      <w:bCs/>
      <w:kern w:val="36"/>
      <w:sz w:val="48"/>
      <w:szCs w:val="48"/>
      <w:lang w:val="en-US"/>
    </w:rPr>
  </w:style>
  <w:style w:type="character" w:customStyle="1" w:styleId="Heading2Char">
    <w:name w:val="Heading 2 Char"/>
    <w:basedOn w:val="DefaultParagraphFont"/>
    <w:link w:val="Heading2"/>
    <w:uiPriority w:val="9"/>
    <w:rsid w:val="00761CB6"/>
    <w:rPr>
      <w:rFonts w:ascii="Times New Roman" w:eastAsia="Times New Roman" w:hAnsi="Times New Roman" w:cs="Times New Roman"/>
      <w:b/>
      <w:bCs/>
      <w:sz w:val="36"/>
      <w:szCs w:val="36"/>
      <w:lang w:val="en-US"/>
    </w:rPr>
  </w:style>
  <w:style w:type="character" w:customStyle="1" w:styleId="Heading3Char">
    <w:name w:val="Heading 3 Char"/>
    <w:basedOn w:val="DefaultParagraphFont"/>
    <w:link w:val="Heading3"/>
    <w:uiPriority w:val="9"/>
    <w:rsid w:val="00761CB6"/>
    <w:rPr>
      <w:rFonts w:ascii="Times New Roman" w:eastAsia="Times New Roman" w:hAnsi="Times New Roman" w:cs="Times New Roman"/>
      <w:b/>
      <w:bCs/>
      <w:sz w:val="27"/>
      <w:szCs w:val="27"/>
      <w:lang w:val="en-US"/>
    </w:rPr>
  </w:style>
  <w:style w:type="paragraph" w:styleId="NormalWeb">
    <w:name w:val="Normal (Web)"/>
    <w:basedOn w:val="Normal"/>
    <w:uiPriority w:val="99"/>
    <w:unhideWhenUsed/>
    <w:rsid w:val="00761CB6"/>
    <w:pPr>
      <w:spacing w:before="100" w:beforeAutospacing="1" w:after="100" w:afterAutospacing="1" w:line="240" w:lineRule="auto"/>
    </w:pPr>
    <w:rPr>
      <w:rFonts w:ascii="Times New Roman" w:eastAsia="Times New Roman" w:hAnsi="Times New Roman" w:cs="Times New Roman"/>
      <w:sz w:val="24"/>
      <w:szCs w:val="24"/>
      <w:lang w:val="en-US"/>
    </w:rPr>
  </w:style>
  <w:style w:type="character" w:styleId="Strong">
    <w:name w:val="Strong"/>
    <w:basedOn w:val="DefaultParagraphFont"/>
    <w:uiPriority w:val="22"/>
    <w:qFormat/>
    <w:rsid w:val="00761CB6"/>
    <w:rPr>
      <w:b/>
      <w:bCs/>
    </w:rPr>
  </w:style>
  <w:style w:type="character" w:styleId="Emphasis">
    <w:name w:val="Emphasis"/>
    <w:basedOn w:val="DefaultParagraphFont"/>
    <w:uiPriority w:val="20"/>
    <w:qFormat/>
    <w:rsid w:val="00761CB6"/>
    <w:rPr>
      <w:i/>
      <w:iCs/>
    </w:rPr>
  </w:style>
  <w:style w:type="character" w:customStyle="1" w:styleId="ms-1">
    <w:name w:val="ms-1"/>
    <w:basedOn w:val="DefaultParagraphFont"/>
    <w:rsid w:val="00761CB6"/>
  </w:style>
  <w:style w:type="character" w:customStyle="1" w:styleId="max-w-15ch">
    <w:name w:val="max-w-[15ch]"/>
    <w:basedOn w:val="DefaultParagraphFont"/>
    <w:rsid w:val="00761CB6"/>
  </w:style>
  <w:style w:type="character" w:customStyle="1" w:styleId="-me-1">
    <w:name w:val="-me-1"/>
    <w:basedOn w:val="DefaultParagraphFont"/>
    <w:rsid w:val="00761CB6"/>
  </w:style>
  <w:style w:type="character" w:styleId="Hyperlink">
    <w:name w:val="Hyperlink"/>
    <w:basedOn w:val="DefaultParagraphFont"/>
    <w:uiPriority w:val="99"/>
    <w:unhideWhenUsed/>
    <w:rsid w:val="00053D7A"/>
    <w:rPr>
      <w:color w:val="0000FF"/>
      <w:u w:val="single"/>
    </w:rPr>
  </w:style>
  <w:style w:type="paragraph" w:styleId="ListParagraph">
    <w:name w:val="List Paragraph"/>
    <w:basedOn w:val="Normal"/>
    <w:uiPriority w:val="34"/>
    <w:qFormat/>
    <w:rsid w:val="00711B14"/>
    <w:pPr>
      <w:ind w:left="720"/>
      <w:contextualSpacing/>
    </w:pPr>
  </w:style>
  <w:style w:type="character" w:customStyle="1" w:styleId="Heading4Char">
    <w:name w:val="Heading 4 Char"/>
    <w:basedOn w:val="DefaultParagraphFont"/>
    <w:link w:val="Heading4"/>
    <w:uiPriority w:val="9"/>
    <w:semiHidden/>
    <w:rsid w:val="00711B14"/>
    <w:rPr>
      <w:rFonts w:asciiTheme="majorHAnsi" w:eastAsiaTheme="majorEastAsia" w:hAnsiTheme="majorHAnsi" w:cstheme="majorBidi"/>
      <w:b/>
      <w:bCs/>
      <w:i/>
      <w:iCs/>
      <w:color w:val="4472C4" w:themeColor="accent1"/>
    </w:rPr>
  </w:style>
  <w:style w:type="paragraph" w:styleId="TOCHeading">
    <w:name w:val="TOC Heading"/>
    <w:basedOn w:val="Heading1"/>
    <w:next w:val="Normal"/>
    <w:uiPriority w:val="39"/>
    <w:unhideWhenUsed/>
    <w:qFormat/>
    <w:rsid w:val="0078275D"/>
    <w:pPr>
      <w:keepNext/>
      <w:keepLines/>
      <w:spacing w:before="480" w:beforeAutospacing="0" w:after="0" w:afterAutospacing="0" w:line="276" w:lineRule="auto"/>
      <w:outlineLvl w:val="9"/>
    </w:pPr>
    <w:rPr>
      <w:rFonts w:asciiTheme="majorHAnsi" w:eastAsiaTheme="majorEastAsia" w:hAnsiTheme="majorHAnsi" w:cstheme="majorBidi"/>
      <w:color w:val="2F5496" w:themeColor="accent1" w:themeShade="BF"/>
      <w:kern w:val="0"/>
      <w:sz w:val="28"/>
      <w:szCs w:val="28"/>
    </w:rPr>
  </w:style>
  <w:style w:type="paragraph" w:styleId="TOC1">
    <w:name w:val="toc 1"/>
    <w:basedOn w:val="Normal"/>
    <w:next w:val="Normal"/>
    <w:autoRedefine/>
    <w:uiPriority w:val="39"/>
    <w:unhideWhenUsed/>
    <w:rsid w:val="0078275D"/>
    <w:pPr>
      <w:spacing w:after="100"/>
    </w:pPr>
  </w:style>
  <w:style w:type="paragraph" w:styleId="TOC2">
    <w:name w:val="toc 2"/>
    <w:basedOn w:val="Normal"/>
    <w:next w:val="Normal"/>
    <w:autoRedefine/>
    <w:uiPriority w:val="39"/>
    <w:unhideWhenUsed/>
    <w:rsid w:val="0078275D"/>
    <w:pPr>
      <w:spacing w:after="100"/>
      <w:ind w:left="220"/>
    </w:pPr>
  </w:style>
  <w:style w:type="paragraph" w:styleId="TOC3">
    <w:name w:val="toc 3"/>
    <w:basedOn w:val="Normal"/>
    <w:next w:val="Normal"/>
    <w:autoRedefine/>
    <w:uiPriority w:val="39"/>
    <w:unhideWhenUsed/>
    <w:rsid w:val="0078275D"/>
    <w:pPr>
      <w:spacing w:after="100"/>
      <w:ind w:left="440"/>
    </w:pPr>
  </w:style>
  <w:style w:type="paragraph" w:styleId="BalloonText">
    <w:name w:val="Balloon Text"/>
    <w:basedOn w:val="Normal"/>
    <w:link w:val="BalloonTextChar"/>
    <w:uiPriority w:val="99"/>
    <w:semiHidden/>
    <w:unhideWhenUsed/>
    <w:rsid w:val="0078275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8275D"/>
    <w:rPr>
      <w:rFonts w:ascii="Tahoma" w:hAnsi="Tahoma" w:cs="Tahoma"/>
      <w:sz w:val="16"/>
      <w:szCs w:val="16"/>
    </w:rPr>
  </w:style>
  <w:style w:type="character" w:customStyle="1" w:styleId="al-author-delim">
    <w:name w:val="al-author-delim"/>
    <w:basedOn w:val="DefaultParagraphFont"/>
    <w:rsid w:val="003664CE"/>
  </w:style>
  <w:style w:type="character" w:customStyle="1" w:styleId="author">
    <w:name w:val="author"/>
    <w:basedOn w:val="DefaultParagraphFont"/>
    <w:rsid w:val="0083179B"/>
  </w:style>
  <w:style w:type="character" w:customStyle="1" w:styleId="pubyear">
    <w:name w:val="pubyear"/>
    <w:basedOn w:val="DefaultParagraphFont"/>
    <w:rsid w:val="0083179B"/>
  </w:style>
  <w:style w:type="character" w:customStyle="1" w:styleId="articletitle">
    <w:name w:val="articletitle"/>
    <w:basedOn w:val="DefaultParagraphFont"/>
    <w:rsid w:val="0083179B"/>
  </w:style>
  <w:style w:type="character" w:customStyle="1" w:styleId="pagefirst">
    <w:name w:val="pagefirst"/>
    <w:basedOn w:val="DefaultParagraphFont"/>
    <w:rsid w:val="0083179B"/>
  </w:style>
  <w:style w:type="character" w:customStyle="1" w:styleId="pagelast">
    <w:name w:val="pagelast"/>
    <w:basedOn w:val="DefaultParagraphFont"/>
    <w:rsid w:val="0083179B"/>
  </w:style>
  <w:style w:type="paragraph" w:styleId="Header">
    <w:name w:val="header"/>
    <w:basedOn w:val="Normal"/>
    <w:link w:val="HeaderChar"/>
    <w:uiPriority w:val="99"/>
    <w:unhideWhenUsed/>
    <w:rsid w:val="0099288F"/>
    <w:pPr>
      <w:tabs>
        <w:tab w:val="center" w:pos="4680"/>
        <w:tab w:val="right" w:pos="9360"/>
      </w:tabs>
      <w:spacing w:after="0" w:line="240" w:lineRule="auto"/>
    </w:pPr>
  </w:style>
  <w:style w:type="character" w:customStyle="1" w:styleId="HeaderChar">
    <w:name w:val="Header Char"/>
    <w:basedOn w:val="DefaultParagraphFont"/>
    <w:link w:val="Header"/>
    <w:uiPriority w:val="99"/>
    <w:rsid w:val="0099288F"/>
  </w:style>
  <w:style w:type="paragraph" w:styleId="Footer">
    <w:name w:val="footer"/>
    <w:basedOn w:val="Normal"/>
    <w:link w:val="FooterChar"/>
    <w:uiPriority w:val="99"/>
    <w:unhideWhenUsed/>
    <w:rsid w:val="0099288F"/>
    <w:pPr>
      <w:tabs>
        <w:tab w:val="center" w:pos="4680"/>
        <w:tab w:val="right" w:pos="9360"/>
      </w:tabs>
      <w:spacing w:after="0" w:line="240" w:lineRule="auto"/>
    </w:pPr>
  </w:style>
  <w:style w:type="character" w:customStyle="1" w:styleId="FooterChar">
    <w:name w:val="Footer Char"/>
    <w:basedOn w:val="DefaultParagraphFont"/>
    <w:link w:val="Footer"/>
    <w:uiPriority w:val="99"/>
    <w:rsid w:val="0099288F"/>
  </w:style>
  <w:style w:type="character" w:styleId="CommentReference">
    <w:name w:val="annotation reference"/>
    <w:basedOn w:val="DefaultParagraphFont"/>
    <w:uiPriority w:val="99"/>
    <w:semiHidden/>
    <w:unhideWhenUsed/>
    <w:rsid w:val="00731B06"/>
    <w:rPr>
      <w:sz w:val="16"/>
      <w:szCs w:val="16"/>
    </w:rPr>
  </w:style>
  <w:style w:type="paragraph" w:styleId="CommentText">
    <w:name w:val="annotation text"/>
    <w:basedOn w:val="Normal"/>
    <w:link w:val="CommentTextChar"/>
    <w:uiPriority w:val="99"/>
    <w:semiHidden/>
    <w:unhideWhenUsed/>
    <w:rsid w:val="00731B06"/>
    <w:pPr>
      <w:spacing w:line="240" w:lineRule="auto"/>
    </w:pPr>
    <w:rPr>
      <w:sz w:val="20"/>
      <w:szCs w:val="20"/>
    </w:rPr>
  </w:style>
  <w:style w:type="character" w:customStyle="1" w:styleId="CommentTextChar">
    <w:name w:val="Comment Text Char"/>
    <w:basedOn w:val="DefaultParagraphFont"/>
    <w:link w:val="CommentText"/>
    <w:uiPriority w:val="99"/>
    <w:semiHidden/>
    <w:rsid w:val="00731B06"/>
    <w:rPr>
      <w:sz w:val="20"/>
      <w:szCs w:val="20"/>
    </w:rPr>
  </w:style>
  <w:style w:type="paragraph" w:styleId="CommentSubject">
    <w:name w:val="annotation subject"/>
    <w:basedOn w:val="CommentText"/>
    <w:next w:val="CommentText"/>
    <w:link w:val="CommentSubjectChar"/>
    <w:uiPriority w:val="99"/>
    <w:semiHidden/>
    <w:unhideWhenUsed/>
    <w:rsid w:val="00731B06"/>
    <w:rPr>
      <w:b/>
      <w:bCs/>
    </w:rPr>
  </w:style>
  <w:style w:type="character" w:customStyle="1" w:styleId="CommentSubjectChar">
    <w:name w:val="Comment Subject Char"/>
    <w:basedOn w:val="CommentTextChar"/>
    <w:link w:val="CommentSubject"/>
    <w:uiPriority w:val="99"/>
    <w:semiHidden/>
    <w:rsid w:val="00731B06"/>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064838">
      <w:bodyDiv w:val="1"/>
      <w:marLeft w:val="0"/>
      <w:marRight w:val="0"/>
      <w:marTop w:val="0"/>
      <w:marBottom w:val="0"/>
      <w:divBdr>
        <w:top w:val="none" w:sz="0" w:space="0" w:color="auto"/>
        <w:left w:val="none" w:sz="0" w:space="0" w:color="auto"/>
        <w:bottom w:val="none" w:sz="0" w:space="0" w:color="auto"/>
        <w:right w:val="none" w:sz="0" w:space="0" w:color="auto"/>
      </w:divBdr>
    </w:div>
    <w:div w:id="17893074">
      <w:bodyDiv w:val="1"/>
      <w:marLeft w:val="0"/>
      <w:marRight w:val="0"/>
      <w:marTop w:val="0"/>
      <w:marBottom w:val="0"/>
      <w:divBdr>
        <w:top w:val="none" w:sz="0" w:space="0" w:color="auto"/>
        <w:left w:val="none" w:sz="0" w:space="0" w:color="auto"/>
        <w:bottom w:val="none" w:sz="0" w:space="0" w:color="auto"/>
        <w:right w:val="none" w:sz="0" w:space="0" w:color="auto"/>
      </w:divBdr>
    </w:div>
    <w:div w:id="29458320">
      <w:bodyDiv w:val="1"/>
      <w:marLeft w:val="0"/>
      <w:marRight w:val="0"/>
      <w:marTop w:val="0"/>
      <w:marBottom w:val="0"/>
      <w:divBdr>
        <w:top w:val="none" w:sz="0" w:space="0" w:color="auto"/>
        <w:left w:val="none" w:sz="0" w:space="0" w:color="auto"/>
        <w:bottom w:val="none" w:sz="0" w:space="0" w:color="auto"/>
        <w:right w:val="none" w:sz="0" w:space="0" w:color="auto"/>
      </w:divBdr>
    </w:div>
    <w:div w:id="47800996">
      <w:bodyDiv w:val="1"/>
      <w:marLeft w:val="0"/>
      <w:marRight w:val="0"/>
      <w:marTop w:val="0"/>
      <w:marBottom w:val="0"/>
      <w:divBdr>
        <w:top w:val="none" w:sz="0" w:space="0" w:color="auto"/>
        <w:left w:val="none" w:sz="0" w:space="0" w:color="auto"/>
        <w:bottom w:val="none" w:sz="0" w:space="0" w:color="auto"/>
        <w:right w:val="none" w:sz="0" w:space="0" w:color="auto"/>
      </w:divBdr>
      <w:divsChild>
        <w:div w:id="1468427969">
          <w:marLeft w:val="0"/>
          <w:marRight w:val="0"/>
          <w:marTop w:val="0"/>
          <w:marBottom w:val="0"/>
          <w:divBdr>
            <w:top w:val="none" w:sz="0" w:space="0" w:color="auto"/>
            <w:left w:val="none" w:sz="0" w:space="0" w:color="auto"/>
            <w:bottom w:val="none" w:sz="0" w:space="0" w:color="auto"/>
            <w:right w:val="none" w:sz="0" w:space="0" w:color="auto"/>
          </w:divBdr>
          <w:divsChild>
            <w:div w:id="564069775">
              <w:marLeft w:val="0"/>
              <w:marRight w:val="0"/>
              <w:marTop w:val="0"/>
              <w:marBottom w:val="0"/>
              <w:divBdr>
                <w:top w:val="none" w:sz="0" w:space="0" w:color="auto"/>
                <w:left w:val="none" w:sz="0" w:space="0" w:color="auto"/>
                <w:bottom w:val="none" w:sz="0" w:space="0" w:color="auto"/>
                <w:right w:val="none" w:sz="0" w:space="0" w:color="auto"/>
              </w:divBdr>
              <w:divsChild>
                <w:div w:id="1235242961">
                  <w:marLeft w:val="0"/>
                  <w:marRight w:val="0"/>
                  <w:marTop w:val="0"/>
                  <w:marBottom w:val="0"/>
                  <w:divBdr>
                    <w:top w:val="none" w:sz="0" w:space="0" w:color="auto"/>
                    <w:left w:val="none" w:sz="0" w:space="0" w:color="auto"/>
                    <w:bottom w:val="none" w:sz="0" w:space="0" w:color="auto"/>
                    <w:right w:val="none" w:sz="0" w:space="0" w:color="auto"/>
                  </w:divBdr>
                  <w:divsChild>
                    <w:div w:id="1649244994">
                      <w:marLeft w:val="0"/>
                      <w:marRight w:val="0"/>
                      <w:marTop w:val="0"/>
                      <w:marBottom w:val="0"/>
                      <w:divBdr>
                        <w:top w:val="none" w:sz="0" w:space="0" w:color="auto"/>
                        <w:left w:val="none" w:sz="0" w:space="0" w:color="auto"/>
                        <w:bottom w:val="none" w:sz="0" w:space="0" w:color="auto"/>
                        <w:right w:val="none" w:sz="0" w:space="0" w:color="auto"/>
                      </w:divBdr>
                      <w:divsChild>
                        <w:div w:id="1839350171">
                          <w:marLeft w:val="0"/>
                          <w:marRight w:val="0"/>
                          <w:marTop w:val="0"/>
                          <w:marBottom w:val="0"/>
                          <w:divBdr>
                            <w:top w:val="none" w:sz="0" w:space="0" w:color="auto"/>
                            <w:left w:val="none" w:sz="0" w:space="0" w:color="auto"/>
                            <w:bottom w:val="none" w:sz="0" w:space="0" w:color="auto"/>
                            <w:right w:val="none" w:sz="0" w:space="0" w:color="auto"/>
                          </w:divBdr>
                          <w:divsChild>
                            <w:div w:id="17216338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3184438">
      <w:bodyDiv w:val="1"/>
      <w:marLeft w:val="0"/>
      <w:marRight w:val="0"/>
      <w:marTop w:val="0"/>
      <w:marBottom w:val="0"/>
      <w:divBdr>
        <w:top w:val="none" w:sz="0" w:space="0" w:color="auto"/>
        <w:left w:val="none" w:sz="0" w:space="0" w:color="auto"/>
        <w:bottom w:val="none" w:sz="0" w:space="0" w:color="auto"/>
        <w:right w:val="none" w:sz="0" w:space="0" w:color="auto"/>
      </w:divBdr>
      <w:divsChild>
        <w:div w:id="1808819861">
          <w:marLeft w:val="0"/>
          <w:marRight w:val="0"/>
          <w:marTop w:val="0"/>
          <w:marBottom w:val="0"/>
          <w:divBdr>
            <w:top w:val="none" w:sz="0" w:space="0" w:color="auto"/>
            <w:left w:val="none" w:sz="0" w:space="0" w:color="auto"/>
            <w:bottom w:val="none" w:sz="0" w:space="0" w:color="auto"/>
            <w:right w:val="none" w:sz="0" w:space="0" w:color="auto"/>
          </w:divBdr>
          <w:divsChild>
            <w:div w:id="447895898">
              <w:marLeft w:val="0"/>
              <w:marRight w:val="0"/>
              <w:marTop w:val="0"/>
              <w:marBottom w:val="0"/>
              <w:divBdr>
                <w:top w:val="none" w:sz="0" w:space="0" w:color="auto"/>
                <w:left w:val="none" w:sz="0" w:space="0" w:color="auto"/>
                <w:bottom w:val="none" w:sz="0" w:space="0" w:color="auto"/>
                <w:right w:val="none" w:sz="0" w:space="0" w:color="auto"/>
              </w:divBdr>
              <w:divsChild>
                <w:div w:id="128593243">
                  <w:marLeft w:val="0"/>
                  <w:marRight w:val="0"/>
                  <w:marTop w:val="0"/>
                  <w:marBottom w:val="0"/>
                  <w:divBdr>
                    <w:top w:val="none" w:sz="0" w:space="0" w:color="auto"/>
                    <w:left w:val="none" w:sz="0" w:space="0" w:color="auto"/>
                    <w:bottom w:val="none" w:sz="0" w:space="0" w:color="auto"/>
                    <w:right w:val="none" w:sz="0" w:space="0" w:color="auto"/>
                  </w:divBdr>
                  <w:divsChild>
                    <w:div w:id="1931423204">
                      <w:marLeft w:val="0"/>
                      <w:marRight w:val="0"/>
                      <w:marTop w:val="0"/>
                      <w:marBottom w:val="0"/>
                      <w:divBdr>
                        <w:top w:val="none" w:sz="0" w:space="0" w:color="auto"/>
                        <w:left w:val="none" w:sz="0" w:space="0" w:color="auto"/>
                        <w:bottom w:val="none" w:sz="0" w:space="0" w:color="auto"/>
                        <w:right w:val="none" w:sz="0" w:space="0" w:color="auto"/>
                      </w:divBdr>
                      <w:divsChild>
                        <w:div w:id="428547120">
                          <w:marLeft w:val="0"/>
                          <w:marRight w:val="0"/>
                          <w:marTop w:val="0"/>
                          <w:marBottom w:val="0"/>
                          <w:divBdr>
                            <w:top w:val="none" w:sz="0" w:space="0" w:color="auto"/>
                            <w:left w:val="none" w:sz="0" w:space="0" w:color="auto"/>
                            <w:bottom w:val="none" w:sz="0" w:space="0" w:color="auto"/>
                            <w:right w:val="none" w:sz="0" w:space="0" w:color="auto"/>
                          </w:divBdr>
                          <w:divsChild>
                            <w:div w:id="67851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5416228">
      <w:bodyDiv w:val="1"/>
      <w:marLeft w:val="0"/>
      <w:marRight w:val="0"/>
      <w:marTop w:val="0"/>
      <w:marBottom w:val="0"/>
      <w:divBdr>
        <w:top w:val="none" w:sz="0" w:space="0" w:color="auto"/>
        <w:left w:val="none" w:sz="0" w:space="0" w:color="auto"/>
        <w:bottom w:val="none" w:sz="0" w:space="0" w:color="auto"/>
        <w:right w:val="none" w:sz="0" w:space="0" w:color="auto"/>
      </w:divBdr>
    </w:div>
    <w:div w:id="138811302">
      <w:bodyDiv w:val="1"/>
      <w:marLeft w:val="0"/>
      <w:marRight w:val="0"/>
      <w:marTop w:val="0"/>
      <w:marBottom w:val="0"/>
      <w:divBdr>
        <w:top w:val="none" w:sz="0" w:space="0" w:color="auto"/>
        <w:left w:val="none" w:sz="0" w:space="0" w:color="auto"/>
        <w:bottom w:val="none" w:sz="0" w:space="0" w:color="auto"/>
        <w:right w:val="none" w:sz="0" w:space="0" w:color="auto"/>
      </w:divBdr>
    </w:div>
    <w:div w:id="189415580">
      <w:bodyDiv w:val="1"/>
      <w:marLeft w:val="0"/>
      <w:marRight w:val="0"/>
      <w:marTop w:val="0"/>
      <w:marBottom w:val="0"/>
      <w:divBdr>
        <w:top w:val="none" w:sz="0" w:space="0" w:color="auto"/>
        <w:left w:val="none" w:sz="0" w:space="0" w:color="auto"/>
        <w:bottom w:val="none" w:sz="0" w:space="0" w:color="auto"/>
        <w:right w:val="none" w:sz="0" w:space="0" w:color="auto"/>
      </w:divBdr>
    </w:div>
    <w:div w:id="231082361">
      <w:bodyDiv w:val="1"/>
      <w:marLeft w:val="0"/>
      <w:marRight w:val="0"/>
      <w:marTop w:val="0"/>
      <w:marBottom w:val="0"/>
      <w:divBdr>
        <w:top w:val="none" w:sz="0" w:space="0" w:color="auto"/>
        <w:left w:val="none" w:sz="0" w:space="0" w:color="auto"/>
        <w:bottom w:val="none" w:sz="0" w:space="0" w:color="auto"/>
        <w:right w:val="none" w:sz="0" w:space="0" w:color="auto"/>
      </w:divBdr>
    </w:div>
    <w:div w:id="248075664">
      <w:bodyDiv w:val="1"/>
      <w:marLeft w:val="0"/>
      <w:marRight w:val="0"/>
      <w:marTop w:val="0"/>
      <w:marBottom w:val="0"/>
      <w:divBdr>
        <w:top w:val="none" w:sz="0" w:space="0" w:color="auto"/>
        <w:left w:val="none" w:sz="0" w:space="0" w:color="auto"/>
        <w:bottom w:val="none" w:sz="0" w:space="0" w:color="auto"/>
        <w:right w:val="none" w:sz="0" w:space="0" w:color="auto"/>
      </w:divBdr>
    </w:div>
    <w:div w:id="319430697">
      <w:bodyDiv w:val="1"/>
      <w:marLeft w:val="0"/>
      <w:marRight w:val="0"/>
      <w:marTop w:val="0"/>
      <w:marBottom w:val="0"/>
      <w:divBdr>
        <w:top w:val="none" w:sz="0" w:space="0" w:color="auto"/>
        <w:left w:val="none" w:sz="0" w:space="0" w:color="auto"/>
        <w:bottom w:val="none" w:sz="0" w:space="0" w:color="auto"/>
        <w:right w:val="none" w:sz="0" w:space="0" w:color="auto"/>
      </w:divBdr>
    </w:div>
    <w:div w:id="357313729">
      <w:bodyDiv w:val="1"/>
      <w:marLeft w:val="0"/>
      <w:marRight w:val="0"/>
      <w:marTop w:val="0"/>
      <w:marBottom w:val="0"/>
      <w:divBdr>
        <w:top w:val="none" w:sz="0" w:space="0" w:color="auto"/>
        <w:left w:val="none" w:sz="0" w:space="0" w:color="auto"/>
        <w:bottom w:val="none" w:sz="0" w:space="0" w:color="auto"/>
        <w:right w:val="none" w:sz="0" w:space="0" w:color="auto"/>
      </w:divBdr>
    </w:div>
    <w:div w:id="357630600">
      <w:bodyDiv w:val="1"/>
      <w:marLeft w:val="0"/>
      <w:marRight w:val="0"/>
      <w:marTop w:val="0"/>
      <w:marBottom w:val="0"/>
      <w:divBdr>
        <w:top w:val="none" w:sz="0" w:space="0" w:color="auto"/>
        <w:left w:val="none" w:sz="0" w:space="0" w:color="auto"/>
        <w:bottom w:val="none" w:sz="0" w:space="0" w:color="auto"/>
        <w:right w:val="none" w:sz="0" w:space="0" w:color="auto"/>
      </w:divBdr>
    </w:div>
    <w:div w:id="373702645">
      <w:bodyDiv w:val="1"/>
      <w:marLeft w:val="0"/>
      <w:marRight w:val="0"/>
      <w:marTop w:val="0"/>
      <w:marBottom w:val="0"/>
      <w:divBdr>
        <w:top w:val="none" w:sz="0" w:space="0" w:color="auto"/>
        <w:left w:val="none" w:sz="0" w:space="0" w:color="auto"/>
        <w:bottom w:val="none" w:sz="0" w:space="0" w:color="auto"/>
        <w:right w:val="none" w:sz="0" w:space="0" w:color="auto"/>
      </w:divBdr>
    </w:div>
    <w:div w:id="391852071">
      <w:bodyDiv w:val="1"/>
      <w:marLeft w:val="0"/>
      <w:marRight w:val="0"/>
      <w:marTop w:val="0"/>
      <w:marBottom w:val="0"/>
      <w:divBdr>
        <w:top w:val="none" w:sz="0" w:space="0" w:color="auto"/>
        <w:left w:val="none" w:sz="0" w:space="0" w:color="auto"/>
        <w:bottom w:val="none" w:sz="0" w:space="0" w:color="auto"/>
        <w:right w:val="none" w:sz="0" w:space="0" w:color="auto"/>
      </w:divBdr>
      <w:divsChild>
        <w:div w:id="1847942067">
          <w:marLeft w:val="0"/>
          <w:marRight w:val="0"/>
          <w:marTop w:val="0"/>
          <w:marBottom w:val="0"/>
          <w:divBdr>
            <w:top w:val="none" w:sz="0" w:space="0" w:color="auto"/>
            <w:left w:val="none" w:sz="0" w:space="0" w:color="auto"/>
            <w:bottom w:val="none" w:sz="0" w:space="0" w:color="auto"/>
            <w:right w:val="none" w:sz="0" w:space="0" w:color="auto"/>
          </w:divBdr>
          <w:divsChild>
            <w:div w:id="969477931">
              <w:marLeft w:val="0"/>
              <w:marRight w:val="0"/>
              <w:marTop w:val="0"/>
              <w:marBottom w:val="0"/>
              <w:divBdr>
                <w:top w:val="none" w:sz="0" w:space="0" w:color="auto"/>
                <w:left w:val="none" w:sz="0" w:space="0" w:color="auto"/>
                <w:bottom w:val="none" w:sz="0" w:space="0" w:color="auto"/>
                <w:right w:val="none" w:sz="0" w:space="0" w:color="auto"/>
              </w:divBdr>
              <w:divsChild>
                <w:div w:id="841428176">
                  <w:marLeft w:val="0"/>
                  <w:marRight w:val="0"/>
                  <w:marTop w:val="0"/>
                  <w:marBottom w:val="0"/>
                  <w:divBdr>
                    <w:top w:val="none" w:sz="0" w:space="0" w:color="auto"/>
                    <w:left w:val="none" w:sz="0" w:space="0" w:color="auto"/>
                    <w:bottom w:val="none" w:sz="0" w:space="0" w:color="auto"/>
                    <w:right w:val="none" w:sz="0" w:space="0" w:color="auto"/>
                  </w:divBdr>
                  <w:divsChild>
                    <w:div w:id="1124926379">
                      <w:marLeft w:val="0"/>
                      <w:marRight w:val="0"/>
                      <w:marTop w:val="0"/>
                      <w:marBottom w:val="0"/>
                      <w:divBdr>
                        <w:top w:val="none" w:sz="0" w:space="0" w:color="auto"/>
                        <w:left w:val="none" w:sz="0" w:space="0" w:color="auto"/>
                        <w:bottom w:val="none" w:sz="0" w:space="0" w:color="auto"/>
                        <w:right w:val="none" w:sz="0" w:space="0" w:color="auto"/>
                      </w:divBdr>
                      <w:divsChild>
                        <w:div w:id="1755319348">
                          <w:marLeft w:val="0"/>
                          <w:marRight w:val="0"/>
                          <w:marTop w:val="0"/>
                          <w:marBottom w:val="0"/>
                          <w:divBdr>
                            <w:top w:val="none" w:sz="0" w:space="0" w:color="auto"/>
                            <w:left w:val="none" w:sz="0" w:space="0" w:color="auto"/>
                            <w:bottom w:val="none" w:sz="0" w:space="0" w:color="auto"/>
                            <w:right w:val="none" w:sz="0" w:space="0" w:color="auto"/>
                          </w:divBdr>
                          <w:divsChild>
                            <w:div w:id="1311864016">
                              <w:marLeft w:val="0"/>
                              <w:marRight w:val="0"/>
                              <w:marTop w:val="0"/>
                              <w:marBottom w:val="0"/>
                              <w:divBdr>
                                <w:top w:val="none" w:sz="0" w:space="0" w:color="auto"/>
                                <w:left w:val="none" w:sz="0" w:space="0" w:color="auto"/>
                                <w:bottom w:val="none" w:sz="0" w:space="0" w:color="auto"/>
                                <w:right w:val="none" w:sz="0" w:space="0" w:color="auto"/>
                              </w:divBdr>
                              <w:divsChild>
                                <w:div w:id="1004090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53445895">
      <w:bodyDiv w:val="1"/>
      <w:marLeft w:val="0"/>
      <w:marRight w:val="0"/>
      <w:marTop w:val="0"/>
      <w:marBottom w:val="0"/>
      <w:divBdr>
        <w:top w:val="none" w:sz="0" w:space="0" w:color="auto"/>
        <w:left w:val="none" w:sz="0" w:space="0" w:color="auto"/>
        <w:bottom w:val="none" w:sz="0" w:space="0" w:color="auto"/>
        <w:right w:val="none" w:sz="0" w:space="0" w:color="auto"/>
      </w:divBdr>
    </w:div>
    <w:div w:id="466819838">
      <w:bodyDiv w:val="1"/>
      <w:marLeft w:val="0"/>
      <w:marRight w:val="0"/>
      <w:marTop w:val="0"/>
      <w:marBottom w:val="0"/>
      <w:divBdr>
        <w:top w:val="none" w:sz="0" w:space="0" w:color="auto"/>
        <w:left w:val="none" w:sz="0" w:space="0" w:color="auto"/>
        <w:bottom w:val="none" w:sz="0" w:space="0" w:color="auto"/>
        <w:right w:val="none" w:sz="0" w:space="0" w:color="auto"/>
      </w:divBdr>
    </w:div>
    <w:div w:id="495459949">
      <w:bodyDiv w:val="1"/>
      <w:marLeft w:val="0"/>
      <w:marRight w:val="0"/>
      <w:marTop w:val="0"/>
      <w:marBottom w:val="0"/>
      <w:divBdr>
        <w:top w:val="none" w:sz="0" w:space="0" w:color="auto"/>
        <w:left w:val="none" w:sz="0" w:space="0" w:color="auto"/>
        <w:bottom w:val="none" w:sz="0" w:space="0" w:color="auto"/>
        <w:right w:val="none" w:sz="0" w:space="0" w:color="auto"/>
      </w:divBdr>
    </w:div>
    <w:div w:id="516164290">
      <w:bodyDiv w:val="1"/>
      <w:marLeft w:val="0"/>
      <w:marRight w:val="0"/>
      <w:marTop w:val="0"/>
      <w:marBottom w:val="0"/>
      <w:divBdr>
        <w:top w:val="none" w:sz="0" w:space="0" w:color="auto"/>
        <w:left w:val="none" w:sz="0" w:space="0" w:color="auto"/>
        <w:bottom w:val="none" w:sz="0" w:space="0" w:color="auto"/>
        <w:right w:val="none" w:sz="0" w:space="0" w:color="auto"/>
      </w:divBdr>
    </w:div>
    <w:div w:id="624821255">
      <w:bodyDiv w:val="1"/>
      <w:marLeft w:val="0"/>
      <w:marRight w:val="0"/>
      <w:marTop w:val="0"/>
      <w:marBottom w:val="0"/>
      <w:divBdr>
        <w:top w:val="none" w:sz="0" w:space="0" w:color="auto"/>
        <w:left w:val="none" w:sz="0" w:space="0" w:color="auto"/>
        <w:bottom w:val="none" w:sz="0" w:space="0" w:color="auto"/>
        <w:right w:val="none" w:sz="0" w:space="0" w:color="auto"/>
      </w:divBdr>
    </w:div>
    <w:div w:id="627010803">
      <w:bodyDiv w:val="1"/>
      <w:marLeft w:val="0"/>
      <w:marRight w:val="0"/>
      <w:marTop w:val="0"/>
      <w:marBottom w:val="0"/>
      <w:divBdr>
        <w:top w:val="none" w:sz="0" w:space="0" w:color="auto"/>
        <w:left w:val="none" w:sz="0" w:space="0" w:color="auto"/>
        <w:bottom w:val="none" w:sz="0" w:space="0" w:color="auto"/>
        <w:right w:val="none" w:sz="0" w:space="0" w:color="auto"/>
      </w:divBdr>
      <w:divsChild>
        <w:div w:id="2005887935">
          <w:marLeft w:val="0"/>
          <w:marRight w:val="0"/>
          <w:marTop w:val="0"/>
          <w:marBottom w:val="0"/>
          <w:divBdr>
            <w:top w:val="none" w:sz="0" w:space="0" w:color="auto"/>
            <w:left w:val="none" w:sz="0" w:space="0" w:color="auto"/>
            <w:bottom w:val="none" w:sz="0" w:space="0" w:color="auto"/>
            <w:right w:val="none" w:sz="0" w:space="0" w:color="auto"/>
          </w:divBdr>
          <w:divsChild>
            <w:div w:id="18712626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1416669">
      <w:bodyDiv w:val="1"/>
      <w:marLeft w:val="0"/>
      <w:marRight w:val="0"/>
      <w:marTop w:val="0"/>
      <w:marBottom w:val="0"/>
      <w:divBdr>
        <w:top w:val="none" w:sz="0" w:space="0" w:color="auto"/>
        <w:left w:val="none" w:sz="0" w:space="0" w:color="auto"/>
        <w:bottom w:val="none" w:sz="0" w:space="0" w:color="auto"/>
        <w:right w:val="none" w:sz="0" w:space="0" w:color="auto"/>
      </w:divBdr>
    </w:div>
    <w:div w:id="702560397">
      <w:bodyDiv w:val="1"/>
      <w:marLeft w:val="0"/>
      <w:marRight w:val="0"/>
      <w:marTop w:val="0"/>
      <w:marBottom w:val="0"/>
      <w:divBdr>
        <w:top w:val="none" w:sz="0" w:space="0" w:color="auto"/>
        <w:left w:val="none" w:sz="0" w:space="0" w:color="auto"/>
        <w:bottom w:val="none" w:sz="0" w:space="0" w:color="auto"/>
        <w:right w:val="none" w:sz="0" w:space="0" w:color="auto"/>
      </w:divBdr>
    </w:div>
    <w:div w:id="816074811">
      <w:bodyDiv w:val="1"/>
      <w:marLeft w:val="0"/>
      <w:marRight w:val="0"/>
      <w:marTop w:val="0"/>
      <w:marBottom w:val="0"/>
      <w:divBdr>
        <w:top w:val="none" w:sz="0" w:space="0" w:color="auto"/>
        <w:left w:val="none" w:sz="0" w:space="0" w:color="auto"/>
        <w:bottom w:val="none" w:sz="0" w:space="0" w:color="auto"/>
        <w:right w:val="none" w:sz="0" w:space="0" w:color="auto"/>
      </w:divBdr>
    </w:div>
    <w:div w:id="817069677">
      <w:bodyDiv w:val="1"/>
      <w:marLeft w:val="0"/>
      <w:marRight w:val="0"/>
      <w:marTop w:val="0"/>
      <w:marBottom w:val="0"/>
      <w:divBdr>
        <w:top w:val="none" w:sz="0" w:space="0" w:color="auto"/>
        <w:left w:val="none" w:sz="0" w:space="0" w:color="auto"/>
        <w:bottom w:val="none" w:sz="0" w:space="0" w:color="auto"/>
        <w:right w:val="none" w:sz="0" w:space="0" w:color="auto"/>
      </w:divBdr>
    </w:div>
    <w:div w:id="857811347">
      <w:bodyDiv w:val="1"/>
      <w:marLeft w:val="0"/>
      <w:marRight w:val="0"/>
      <w:marTop w:val="0"/>
      <w:marBottom w:val="0"/>
      <w:divBdr>
        <w:top w:val="none" w:sz="0" w:space="0" w:color="auto"/>
        <w:left w:val="none" w:sz="0" w:space="0" w:color="auto"/>
        <w:bottom w:val="none" w:sz="0" w:space="0" w:color="auto"/>
        <w:right w:val="none" w:sz="0" w:space="0" w:color="auto"/>
      </w:divBdr>
      <w:divsChild>
        <w:div w:id="1210068533">
          <w:marLeft w:val="0"/>
          <w:marRight w:val="0"/>
          <w:marTop w:val="0"/>
          <w:marBottom w:val="0"/>
          <w:divBdr>
            <w:top w:val="none" w:sz="0" w:space="0" w:color="auto"/>
            <w:left w:val="none" w:sz="0" w:space="0" w:color="auto"/>
            <w:bottom w:val="none" w:sz="0" w:space="0" w:color="auto"/>
            <w:right w:val="none" w:sz="0" w:space="0" w:color="auto"/>
          </w:divBdr>
          <w:divsChild>
            <w:div w:id="570703231">
              <w:marLeft w:val="0"/>
              <w:marRight w:val="0"/>
              <w:marTop w:val="0"/>
              <w:marBottom w:val="0"/>
              <w:divBdr>
                <w:top w:val="none" w:sz="0" w:space="0" w:color="auto"/>
                <w:left w:val="none" w:sz="0" w:space="0" w:color="auto"/>
                <w:bottom w:val="none" w:sz="0" w:space="0" w:color="auto"/>
                <w:right w:val="none" w:sz="0" w:space="0" w:color="auto"/>
              </w:divBdr>
              <w:divsChild>
                <w:div w:id="1576821110">
                  <w:marLeft w:val="0"/>
                  <w:marRight w:val="0"/>
                  <w:marTop w:val="0"/>
                  <w:marBottom w:val="0"/>
                  <w:divBdr>
                    <w:top w:val="none" w:sz="0" w:space="0" w:color="auto"/>
                    <w:left w:val="none" w:sz="0" w:space="0" w:color="auto"/>
                    <w:bottom w:val="none" w:sz="0" w:space="0" w:color="auto"/>
                    <w:right w:val="none" w:sz="0" w:space="0" w:color="auto"/>
                  </w:divBdr>
                  <w:divsChild>
                    <w:div w:id="2131127563">
                      <w:marLeft w:val="0"/>
                      <w:marRight w:val="0"/>
                      <w:marTop w:val="0"/>
                      <w:marBottom w:val="0"/>
                      <w:divBdr>
                        <w:top w:val="none" w:sz="0" w:space="0" w:color="auto"/>
                        <w:left w:val="none" w:sz="0" w:space="0" w:color="auto"/>
                        <w:bottom w:val="none" w:sz="0" w:space="0" w:color="auto"/>
                        <w:right w:val="none" w:sz="0" w:space="0" w:color="auto"/>
                      </w:divBdr>
                      <w:divsChild>
                        <w:div w:id="1947274534">
                          <w:marLeft w:val="0"/>
                          <w:marRight w:val="0"/>
                          <w:marTop w:val="0"/>
                          <w:marBottom w:val="0"/>
                          <w:divBdr>
                            <w:top w:val="none" w:sz="0" w:space="0" w:color="auto"/>
                            <w:left w:val="none" w:sz="0" w:space="0" w:color="auto"/>
                            <w:bottom w:val="none" w:sz="0" w:space="0" w:color="auto"/>
                            <w:right w:val="none" w:sz="0" w:space="0" w:color="auto"/>
                          </w:divBdr>
                          <w:divsChild>
                            <w:div w:id="527328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99831261">
      <w:bodyDiv w:val="1"/>
      <w:marLeft w:val="0"/>
      <w:marRight w:val="0"/>
      <w:marTop w:val="0"/>
      <w:marBottom w:val="0"/>
      <w:divBdr>
        <w:top w:val="none" w:sz="0" w:space="0" w:color="auto"/>
        <w:left w:val="none" w:sz="0" w:space="0" w:color="auto"/>
        <w:bottom w:val="none" w:sz="0" w:space="0" w:color="auto"/>
        <w:right w:val="none" w:sz="0" w:space="0" w:color="auto"/>
      </w:divBdr>
    </w:div>
    <w:div w:id="912546520">
      <w:bodyDiv w:val="1"/>
      <w:marLeft w:val="0"/>
      <w:marRight w:val="0"/>
      <w:marTop w:val="0"/>
      <w:marBottom w:val="0"/>
      <w:divBdr>
        <w:top w:val="none" w:sz="0" w:space="0" w:color="auto"/>
        <w:left w:val="none" w:sz="0" w:space="0" w:color="auto"/>
        <w:bottom w:val="none" w:sz="0" w:space="0" w:color="auto"/>
        <w:right w:val="none" w:sz="0" w:space="0" w:color="auto"/>
      </w:divBdr>
    </w:div>
    <w:div w:id="932470887">
      <w:bodyDiv w:val="1"/>
      <w:marLeft w:val="0"/>
      <w:marRight w:val="0"/>
      <w:marTop w:val="0"/>
      <w:marBottom w:val="0"/>
      <w:divBdr>
        <w:top w:val="none" w:sz="0" w:space="0" w:color="auto"/>
        <w:left w:val="none" w:sz="0" w:space="0" w:color="auto"/>
        <w:bottom w:val="none" w:sz="0" w:space="0" w:color="auto"/>
        <w:right w:val="none" w:sz="0" w:space="0" w:color="auto"/>
      </w:divBdr>
      <w:divsChild>
        <w:div w:id="616983361">
          <w:marLeft w:val="0"/>
          <w:marRight w:val="0"/>
          <w:marTop w:val="0"/>
          <w:marBottom w:val="0"/>
          <w:divBdr>
            <w:top w:val="none" w:sz="0" w:space="0" w:color="auto"/>
            <w:left w:val="none" w:sz="0" w:space="0" w:color="auto"/>
            <w:bottom w:val="none" w:sz="0" w:space="0" w:color="auto"/>
            <w:right w:val="none" w:sz="0" w:space="0" w:color="auto"/>
          </w:divBdr>
          <w:divsChild>
            <w:div w:id="168105466">
              <w:marLeft w:val="0"/>
              <w:marRight w:val="0"/>
              <w:marTop w:val="0"/>
              <w:marBottom w:val="0"/>
              <w:divBdr>
                <w:top w:val="none" w:sz="0" w:space="0" w:color="auto"/>
                <w:left w:val="none" w:sz="0" w:space="0" w:color="auto"/>
                <w:bottom w:val="none" w:sz="0" w:space="0" w:color="auto"/>
                <w:right w:val="none" w:sz="0" w:space="0" w:color="auto"/>
              </w:divBdr>
              <w:divsChild>
                <w:div w:id="658651010">
                  <w:marLeft w:val="0"/>
                  <w:marRight w:val="0"/>
                  <w:marTop w:val="0"/>
                  <w:marBottom w:val="0"/>
                  <w:divBdr>
                    <w:top w:val="none" w:sz="0" w:space="0" w:color="auto"/>
                    <w:left w:val="none" w:sz="0" w:space="0" w:color="auto"/>
                    <w:bottom w:val="none" w:sz="0" w:space="0" w:color="auto"/>
                    <w:right w:val="none" w:sz="0" w:space="0" w:color="auto"/>
                  </w:divBdr>
                  <w:divsChild>
                    <w:div w:id="1440637022">
                      <w:marLeft w:val="0"/>
                      <w:marRight w:val="0"/>
                      <w:marTop w:val="0"/>
                      <w:marBottom w:val="0"/>
                      <w:divBdr>
                        <w:top w:val="none" w:sz="0" w:space="0" w:color="auto"/>
                        <w:left w:val="none" w:sz="0" w:space="0" w:color="auto"/>
                        <w:bottom w:val="none" w:sz="0" w:space="0" w:color="auto"/>
                        <w:right w:val="none" w:sz="0" w:space="0" w:color="auto"/>
                      </w:divBdr>
                      <w:divsChild>
                        <w:div w:id="1837261790">
                          <w:marLeft w:val="0"/>
                          <w:marRight w:val="0"/>
                          <w:marTop w:val="0"/>
                          <w:marBottom w:val="0"/>
                          <w:divBdr>
                            <w:top w:val="none" w:sz="0" w:space="0" w:color="auto"/>
                            <w:left w:val="none" w:sz="0" w:space="0" w:color="auto"/>
                            <w:bottom w:val="none" w:sz="0" w:space="0" w:color="auto"/>
                            <w:right w:val="none" w:sz="0" w:space="0" w:color="auto"/>
                          </w:divBdr>
                          <w:divsChild>
                            <w:div w:id="1192303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98922649">
      <w:bodyDiv w:val="1"/>
      <w:marLeft w:val="0"/>
      <w:marRight w:val="0"/>
      <w:marTop w:val="0"/>
      <w:marBottom w:val="0"/>
      <w:divBdr>
        <w:top w:val="none" w:sz="0" w:space="0" w:color="auto"/>
        <w:left w:val="none" w:sz="0" w:space="0" w:color="auto"/>
        <w:bottom w:val="none" w:sz="0" w:space="0" w:color="auto"/>
        <w:right w:val="none" w:sz="0" w:space="0" w:color="auto"/>
      </w:divBdr>
    </w:div>
    <w:div w:id="1047069584">
      <w:bodyDiv w:val="1"/>
      <w:marLeft w:val="0"/>
      <w:marRight w:val="0"/>
      <w:marTop w:val="0"/>
      <w:marBottom w:val="0"/>
      <w:divBdr>
        <w:top w:val="none" w:sz="0" w:space="0" w:color="auto"/>
        <w:left w:val="none" w:sz="0" w:space="0" w:color="auto"/>
        <w:bottom w:val="none" w:sz="0" w:space="0" w:color="auto"/>
        <w:right w:val="none" w:sz="0" w:space="0" w:color="auto"/>
      </w:divBdr>
      <w:divsChild>
        <w:div w:id="195235526">
          <w:marLeft w:val="0"/>
          <w:marRight w:val="0"/>
          <w:marTop w:val="0"/>
          <w:marBottom w:val="0"/>
          <w:divBdr>
            <w:top w:val="none" w:sz="0" w:space="0" w:color="auto"/>
            <w:left w:val="none" w:sz="0" w:space="0" w:color="auto"/>
            <w:bottom w:val="none" w:sz="0" w:space="0" w:color="auto"/>
            <w:right w:val="none" w:sz="0" w:space="0" w:color="auto"/>
          </w:divBdr>
          <w:divsChild>
            <w:div w:id="477497732">
              <w:marLeft w:val="0"/>
              <w:marRight w:val="0"/>
              <w:marTop w:val="0"/>
              <w:marBottom w:val="0"/>
              <w:divBdr>
                <w:top w:val="none" w:sz="0" w:space="0" w:color="auto"/>
                <w:left w:val="none" w:sz="0" w:space="0" w:color="auto"/>
                <w:bottom w:val="none" w:sz="0" w:space="0" w:color="auto"/>
                <w:right w:val="none" w:sz="0" w:space="0" w:color="auto"/>
              </w:divBdr>
              <w:divsChild>
                <w:div w:id="1904296048">
                  <w:marLeft w:val="0"/>
                  <w:marRight w:val="0"/>
                  <w:marTop w:val="0"/>
                  <w:marBottom w:val="0"/>
                  <w:divBdr>
                    <w:top w:val="none" w:sz="0" w:space="0" w:color="auto"/>
                    <w:left w:val="none" w:sz="0" w:space="0" w:color="auto"/>
                    <w:bottom w:val="none" w:sz="0" w:space="0" w:color="auto"/>
                    <w:right w:val="none" w:sz="0" w:space="0" w:color="auto"/>
                  </w:divBdr>
                  <w:divsChild>
                    <w:div w:id="1332874741">
                      <w:marLeft w:val="0"/>
                      <w:marRight w:val="0"/>
                      <w:marTop w:val="0"/>
                      <w:marBottom w:val="0"/>
                      <w:divBdr>
                        <w:top w:val="none" w:sz="0" w:space="0" w:color="auto"/>
                        <w:left w:val="none" w:sz="0" w:space="0" w:color="auto"/>
                        <w:bottom w:val="none" w:sz="0" w:space="0" w:color="auto"/>
                        <w:right w:val="none" w:sz="0" w:space="0" w:color="auto"/>
                      </w:divBdr>
                      <w:divsChild>
                        <w:div w:id="1067192486">
                          <w:marLeft w:val="0"/>
                          <w:marRight w:val="0"/>
                          <w:marTop w:val="0"/>
                          <w:marBottom w:val="0"/>
                          <w:divBdr>
                            <w:top w:val="none" w:sz="0" w:space="0" w:color="auto"/>
                            <w:left w:val="none" w:sz="0" w:space="0" w:color="auto"/>
                            <w:bottom w:val="none" w:sz="0" w:space="0" w:color="auto"/>
                            <w:right w:val="none" w:sz="0" w:space="0" w:color="auto"/>
                          </w:divBdr>
                          <w:divsChild>
                            <w:div w:id="15527676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91270636">
      <w:bodyDiv w:val="1"/>
      <w:marLeft w:val="0"/>
      <w:marRight w:val="0"/>
      <w:marTop w:val="0"/>
      <w:marBottom w:val="0"/>
      <w:divBdr>
        <w:top w:val="none" w:sz="0" w:space="0" w:color="auto"/>
        <w:left w:val="none" w:sz="0" w:space="0" w:color="auto"/>
        <w:bottom w:val="none" w:sz="0" w:space="0" w:color="auto"/>
        <w:right w:val="none" w:sz="0" w:space="0" w:color="auto"/>
      </w:divBdr>
    </w:div>
    <w:div w:id="1103188779">
      <w:bodyDiv w:val="1"/>
      <w:marLeft w:val="0"/>
      <w:marRight w:val="0"/>
      <w:marTop w:val="0"/>
      <w:marBottom w:val="0"/>
      <w:divBdr>
        <w:top w:val="none" w:sz="0" w:space="0" w:color="auto"/>
        <w:left w:val="none" w:sz="0" w:space="0" w:color="auto"/>
        <w:bottom w:val="none" w:sz="0" w:space="0" w:color="auto"/>
        <w:right w:val="none" w:sz="0" w:space="0" w:color="auto"/>
      </w:divBdr>
      <w:divsChild>
        <w:div w:id="1830367127">
          <w:marLeft w:val="0"/>
          <w:marRight w:val="0"/>
          <w:marTop w:val="0"/>
          <w:marBottom w:val="0"/>
          <w:divBdr>
            <w:top w:val="none" w:sz="0" w:space="0" w:color="auto"/>
            <w:left w:val="none" w:sz="0" w:space="0" w:color="auto"/>
            <w:bottom w:val="none" w:sz="0" w:space="0" w:color="auto"/>
            <w:right w:val="none" w:sz="0" w:space="0" w:color="auto"/>
          </w:divBdr>
          <w:divsChild>
            <w:div w:id="419252489">
              <w:marLeft w:val="0"/>
              <w:marRight w:val="0"/>
              <w:marTop w:val="0"/>
              <w:marBottom w:val="0"/>
              <w:divBdr>
                <w:top w:val="none" w:sz="0" w:space="0" w:color="auto"/>
                <w:left w:val="none" w:sz="0" w:space="0" w:color="auto"/>
                <w:bottom w:val="none" w:sz="0" w:space="0" w:color="auto"/>
                <w:right w:val="none" w:sz="0" w:space="0" w:color="auto"/>
              </w:divBdr>
              <w:divsChild>
                <w:div w:id="967049920">
                  <w:marLeft w:val="0"/>
                  <w:marRight w:val="0"/>
                  <w:marTop w:val="0"/>
                  <w:marBottom w:val="0"/>
                  <w:divBdr>
                    <w:top w:val="none" w:sz="0" w:space="0" w:color="auto"/>
                    <w:left w:val="none" w:sz="0" w:space="0" w:color="auto"/>
                    <w:bottom w:val="none" w:sz="0" w:space="0" w:color="auto"/>
                    <w:right w:val="none" w:sz="0" w:space="0" w:color="auto"/>
                  </w:divBdr>
                  <w:divsChild>
                    <w:div w:id="10262484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08426025">
      <w:bodyDiv w:val="1"/>
      <w:marLeft w:val="0"/>
      <w:marRight w:val="0"/>
      <w:marTop w:val="0"/>
      <w:marBottom w:val="0"/>
      <w:divBdr>
        <w:top w:val="none" w:sz="0" w:space="0" w:color="auto"/>
        <w:left w:val="none" w:sz="0" w:space="0" w:color="auto"/>
        <w:bottom w:val="none" w:sz="0" w:space="0" w:color="auto"/>
        <w:right w:val="none" w:sz="0" w:space="0" w:color="auto"/>
      </w:divBdr>
    </w:div>
    <w:div w:id="1132093174">
      <w:bodyDiv w:val="1"/>
      <w:marLeft w:val="0"/>
      <w:marRight w:val="0"/>
      <w:marTop w:val="0"/>
      <w:marBottom w:val="0"/>
      <w:divBdr>
        <w:top w:val="none" w:sz="0" w:space="0" w:color="auto"/>
        <w:left w:val="none" w:sz="0" w:space="0" w:color="auto"/>
        <w:bottom w:val="none" w:sz="0" w:space="0" w:color="auto"/>
        <w:right w:val="none" w:sz="0" w:space="0" w:color="auto"/>
      </w:divBdr>
    </w:div>
    <w:div w:id="1188443079">
      <w:bodyDiv w:val="1"/>
      <w:marLeft w:val="0"/>
      <w:marRight w:val="0"/>
      <w:marTop w:val="0"/>
      <w:marBottom w:val="0"/>
      <w:divBdr>
        <w:top w:val="none" w:sz="0" w:space="0" w:color="auto"/>
        <w:left w:val="none" w:sz="0" w:space="0" w:color="auto"/>
        <w:bottom w:val="none" w:sz="0" w:space="0" w:color="auto"/>
        <w:right w:val="none" w:sz="0" w:space="0" w:color="auto"/>
      </w:divBdr>
      <w:divsChild>
        <w:div w:id="1882403775">
          <w:marLeft w:val="0"/>
          <w:marRight w:val="0"/>
          <w:marTop w:val="0"/>
          <w:marBottom w:val="0"/>
          <w:divBdr>
            <w:top w:val="none" w:sz="0" w:space="0" w:color="auto"/>
            <w:left w:val="none" w:sz="0" w:space="0" w:color="auto"/>
            <w:bottom w:val="none" w:sz="0" w:space="0" w:color="auto"/>
            <w:right w:val="none" w:sz="0" w:space="0" w:color="auto"/>
          </w:divBdr>
          <w:divsChild>
            <w:div w:id="971637786">
              <w:marLeft w:val="0"/>
              <w:marRight w:val="0"/>
              <w:marTop w:val="0"/>
              <w:marBottom w:val="0"/>
              <w:divBdr>
                <w:top w:val="none" w:sz="0" w:space="0" w:color="auto"/>
                <w:left w:val="none" w:sz="0" w:space="0" w:color="auto"/>
                <w:bottom w:val="none" w:sz="0" w:space="0" w:color="auto"/>
                <w:right w:val="none" w:sz="0" w:space="0" w:color="auto"/>
              </w:divBdr>
              <w:divsChild>
                <w:div w:id="2115124056">
                  <w:marLeft w:val="0"/>
                  <w:marRight w:val="0"/>
                  <w:marTop w:val="0"/>
                  <w:marBottom w:val="0"/>
                  <w:divBdr>
                    <w:top w:val="none" w:sz="0" w:space="0" w:color="auto"/>
                    <w:left w:val="none" w:sz="0" w:space="0" w:color="auto"/>
                    <w:bottom w:val="none" w:sz="0" w:space="0" w:color="auto"/>
                    <w:right w:val="none" w:sz="0" w:space="0" w:color="auto"/>
                  </w:divBdr>
                  <w:divsChild>
                    <w:div w:id="1123113183">
                      <w:marLeft w:val="0"/>
                      <w:marRight w:val="0"/>
                      <w:marTop w:val="0"/>
                      <w:marBottom w:val="0"/>
                      <w:divBdr>
                        <w:top w:val="none" w:sz="0" w:space="0" w:color="auto"/>
                        <w:left w:val="none" w:sz="0" w:space="0" w:color="auto"/>
                        <w:bottom w:val="none" w:sz="0" w:space="0" w:color="auto"/>
                        <w:right w:val="none" w:sz="0" w:space="0" w:color="auto"/>
                      </w:divBdr>
                      <w:divsChild>
                        <w:div w:id="24603994">
                          <w:marLeft w:val="0"/>
                          <w:marRight w:val="0"/>
                          <w:marTop w:val="0"/>
                          <w:marBottom w:val="0"/>
                          <w:divBdr>
                            <w:top w:val="none" w:sz="0" w:space="0" w:color="auto"/>
                            <w:left w:val="none" w:sz="0" w:space="0" w:color="auto"/>
                            <w:bottom w:val="none" w:sz="0" w:space="0" w:color="auto"/>
                            <w:right w:val="none" w:sz="0" w:space="0" w:color="auto"/>
                          </w:divBdr>
                          <w:divsChild>
                            <w:div w:id="1893423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65261850">
      <w:bodyDiv w:val="1"/>
      <w:marLeft w:val="0"/>
      <w:marRight w:val="0"/>
      <w:marTop w:val="0"/>
      <w:marBottom w:val="0"/>
      <w:divBdr>
        <w:top w:val="none" w:sz="0" w:space="0" w:color="auto"/>
        <w:left w:val="none" w:sz="0" w:space="0" w:color="auto"/>
        <w:bottom w:val="none" w:sz="0" w:space="0" w:color="auto"/>
        <w:right w:val="none" w:sz="0" w:space="0" w:color="auto"/>
      </w:divBdr>
    </w:div>
    <w:div w:id="1290938645">
      <w:bodyDiv w:val="1"/>
      <w:marLeft w:val="0"/>
      <w:marRight w:val="0"/>
      <w:marTop w:val="0"/>
      <w:marBottom w:val="0"/>
      <w:divBdr>
        <w:top w:val="none" w:sz="0" w:space="0" w:color="auto"/>
        <w:left w:val="none" w:sz="0" w:space="0" w:color="auto"/>
        <w:bottom w:val="none" w:sz="0" w:space="0" w:color="auto"/>
        <w:right w:val="none" w:sz="0" w:space="0" w:color="auto"/>
      </w:divBdr>
    </w:div>
    <w:div w:id="1299413365">
      <w:bodyDiv w:val="1"/>
      <w:marLeft w:val="0"/>
      <w:marRight w:val="0"/>
      <w:marTop w:val="0"/>
      <w:marBottom w:val="0"/>
      <w:divBdr>
        <w:top w:val="none" w:sz="0" w:space="0" w:color="auto"/>
        <w:left w:val="none" w:sz="0" w:space="0" w:color="auto"/>
        <w:bottom w:val="none" w:sz="0" w:space="0" w:color="auto"/>
        <w:right w:val="none" w:sz="0" w:space="0" w:color="auto"/>
      </w:divBdr>
      <w:divsChild>
        <w:div w:id="876241435">
          <w:marLeft w:val="0"/>
          <w:marRight w:val="0"/>
          <w:marTop w:val="0"/>
          <w:marBottom w:val="0"/>
          <w:divBdr>
            <w:top w:val="none" w:sz="0" w:space="0" w:color="auto"/>
            <w:left w:val="none" w:sz="0" w:space="0" w:color="auto"/>
            <w:bottom w:val="none" w:sz="0" w:space="0" w:color="auto"/>
            <w:right w:val="none" w:sz="0" w:space="0" w:color="auto"/>
          </w:divBdr>
          <w:divsChild>
            <w:div w:id="8587402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6030552">
      <w:bodyDiv w:val="1"/>
      <w:marLeft w:val="0"/>
      <w:marRight w:val="0"/>
      <w:marTop w:val="0"/>
      <w:marBottom w:val="0"/>
      <w:divBdr>
        <w:top w:val="none" w:sz="0" w:space="0" w:color="auto"/>
        <w:left w:val="none" w:sz="0" w:space="0" w:color="auto"/>
        <w:bottom w:val="none" w:sz="0" w:space="0" w:color="auto"/>
        <w:right w:val="none" w:sz="0" w:space="0" w:color="auto"/>
      </w:divBdr>
    </w:div>
    <w:div w:id="1329139815">
      <w:bodyDiv w:val="1"/>
      <w:marLeft w:val="0"/>
      <w:marRight w:val="0"/>
      <w:marTop w:val="0"/>
      <w:marBottom w:val="0"/>
      <w:divBdr>
        <w:top w:val="none" w:sz="0" w:space="0" w:color="auto"/>
        <w:left w:val="none" w:sz="0" w:space="0" w:color="auto"/>
        <w:bottom w:val="none" w:sz="0" w:space="0" w:color="auto"/>
        <w:right w:val="none" w:sz="0" w:space="0" w:color="auto"/>
      </w:divBdr>
    </w:div>
    <w:div w:id="1334533836">
      <w:bodyDiv w:val="1"/>
      <w:marLeft w:val="0"/>
      <w:marRight w:val="0"/>
      <w:marTop w:val="0"/>
      <w:marBottom w:val="0"/>
      <w:divBdr>
        <w:top w:val="none" w:sz="0" w:space="0" w:color="auto"/>
        <w:left w:val="none" w:sz="0" w:space="0" w:color="auto"/>
        <w:bottom w:val="none" w:sz="0" w:space="0" w:color="auto"/>
        <w:right w:val="none" w:sz="0" w:space="0" w:color="auto"/>
      </w:divBdr>
    </w:div>
    <w:div w:id="1343624707">
      <w:bodyDiv w:val="1"/>
      <w:marLeft w:val="0"/>
      <w:marRight w:val="0"/>
      <w:marTop w:val="0"/>
      <w:marBottom w:val="0"/>
      <w:divBdr>
        <w:top w:val="none" w:sz="0" w:space="0" w:color="auto"/>
        <w:left w:val="none" w:sz="0" w:space="0" w:color="auto"/>
        <w:bottom w:val="none" w:sz="0" w:space="0" w:color="auto"/>
        <w:right w:val="none" w:sz="0" w:space="0" w:color="auto"/>
      </w:divBdr>
    </w:div>
    <w:div w:id="1438989020">
      <w:bodyDiv w:val="1"/>
      <w:marLeft w:val="0"/>
      <w:marRight w:val="0"/>
      <w:marTop w:val="0"/>
      <w:marBottom w:val="0"/>
      <w:divBdr>
        <w:top w:val="none" w:sz="0" w:space="0" w:color="auto"/>
        <w:left w:val="none" w:sz="0" w:space="0" w:color="auto"/>
        <w:bottom w:val="none" w:sz="0" w:space="0" w:color="auto"/>
        <w:right w:val="none" w:sz="0" w:space="0" w:color="auto"/>
      </w:divBdr>
    </w:div>
    <w:div w:id="1439451996">
      <w:bodyDiv w:val="1"/>
      <w:marLeft w:val="0"/>
      <w:marRight w:val="0"/>
      <w:marTop w:val="0"/>
      <w:marBottom w:val="0"/>
      <w:divBdr>
        <w:top w:val="none" w:sz="0" w:space="0" w:color="auto"/>
        <w:left w:val="none" w:sz="0" w:space="0" w:color="auto"/>
        <w:bottom w:val="none" w:sz="0" w:space="0" w:color="auto"/>
        <w:right w:val="none" w:sz="0" w:space="0" w:color="auto"/>
      </w:divBdr>
      <w:divsChild>
        <w:div w:id="205994127">
          <w:marLeft w:val="0"/>
          <w:marRight w:val="0"/>
          <w:marTop w:val="0"/>
          <w:marBottom w:val="0"/>
          <w:divBdr>
            <w:top w:val="none" w:sz="0" w:space="0" w:color="auto"/>
            <w:left w:val="none" w:sz="0" w:space="0" w:color="auto"/>
            <w:bottom w:val="none" w:sz="0" w:space="0" w:color="auto"/>
            <w:right w:val="none" w:sz="0" w:space="0" w:color="auto"/>
          </w:divBdr>
          <w:divsChild>
            <w:div w:id="2131581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8744511">
      <w:bodyDiv w:val="1"/>
      <w:marLeft w:val="0"/>
      <w:marRight w:val="0"/>
      <w:marTop w:val="0"/>
      <w:marBottom w:val="0"/>
      <w:divBdr>
        <w:top w:val="none" w:sz="0" w:space="0" w:color="auto"/>
        <w:left w:val="none" w:sz="0" w:space="0" w:color="auto"/>
        <w:bottom w:val="none" w:sz="0" w:space="0" w:color="auto"/>
        <w:right w:val="none" w:sz="0" w:space="0" w:color="auto"/>
      </w:divBdr>
    </w:div>
    <w:div w:id="1520006262">
      <w:bodyDiv w:val="1"/>
      <w:marLeft w:val="0"/>
      <w:marRight w:val="0"/>
      <w:marTop w:val="0"/>
      <w:marBottom w:val="0"/>
      <w:divBdr>
        <w:top w:val="none" w:sz="0" w:space="0" w:color="auto"/>
        <w:left w:val="none" w:sz="0" w:space="0" w:color="auto"/>
        <w:bottom w:val="none" w:sz="0" w:space="0" w:color="auto"/>
        <w:right w:val="none" w:sz="0" w:space="0" w:color="auto"/>
      </w:divBdr>
    </w:div>
    <w:div w:id="1525048402">
      <w:bodyDiv w:val="1"/>
      <w:marLeft w:val="0"/>
      <w:marRight w:val="0"/>
      <w:marTop w:val="0"/>
      <w:marBottom w:val="0"/>
      <w:divBdr>
        <w:top w:val="none" w:sz="0" w:space="0" w:color="auto"/>
        <w:left w:val="none" w:sz="0" w:space="0" w:color="auto"/>
        <w:bottom w:val="none" w:sz="0" w:space="0" w:color="auto"/>
        <w:right w:val="none" w:sz="0" w:space="0" w:color="auto"/>
      </w:divBdr>
      <w:divsChild>
        <w:div w:id="624390247">
          <w:marLeft w:val="0"/>
          <w:marRight w:val="0"/>
          <w:marTop w:val="0"/>
          <w:marBottom w:val="0"/>
          <w:divBdr>
            <w:top w:val="none" w:sz="0" w:space="0" w:color="auto"/>
            <w:left w:val="none" w:sz="0" w:space="0" w:color="auto"/>
            <w:bottom w:val="none" w:sz="0" w:space="0" w:color="auto"/>
            <w:right w:val="none" w:sz="0" w:space="0" w:color="auto"/>
          </w:divBdr>
          <w:divsChild>
            <w:div w:id="1978604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0747107">
      <w:bodyDiv w:val="1"/>
      <w:marLeft w:val="0"/>
      <w:marRight w:val="0"/>
      <w:marTop w:val="0"/>
      <w:marBottom w:val="0"/>
      <w:divBdr>
        <w:top w:val="none" w:sz="0" w:space="0" w:color="auto"/>
        <w:left w:val="none" w:sz="0" w:space="0" w:color="auto"/>
        <w:bottom w:val="none" w:sz="0" w:space="0" w:color="auto"/>
        <w:right w:val="none" w:sz="0" w:space="0" w:color="auto"/>
      </w:divBdr>
    </w:div>
    <w:div w:id="1616672098">
      <w:bodyDiv w:val="1"/>
      <w:marLeft w:val="0"/>
      <w:marRight w:val="0"/>
      <w:marTop w:val="0"/>
      <w:marBottom w:val="0"/>
      <w:divBdr>
        <w:top w:val="none" w:sz="0" w:space="0" w:color="auto"/>
        <w:left w:val="none" w:sz="0" w:space="0" w:color="auto"/>
        <w:bottom w:val="none" w:sz="0" w:space="0" w:color="auto"/>
        <w:right w:val="none" w:sz="0" w:space="0" w:color="auto"/>
      </w:divBdr>
    </w:div>
    <w:div w:id="1678849219">
      <w:bodyDiv w:val="1"/>
      <w:marLeft w:val="0"/>
      <w:marRight w:val="0"/>
      <w:marTop w:val="0"/>
      <w:marBottom w:val="0"/>
      <w:divBdr>
        <w:top w:val="none" w:sz="0" w:space="0" w:color="auto"/>
        <w:left w:val="none" w:sz="0" w:space="0" w:color="auto"/>
        <w:bottom w:val="none" w:sz="0" w:space="0" w:color="auto"/>
        <w:right w:val="none" w:sz="0" w:space="0" w:color="auto"/>
      </w:divBdr>
    </w:div>
    <w:div w:id="1695185821">
      <w:bodyDiv w:val="1"/>
      <w:marLeft w:val="0"/>
      <w:marRight w:val="0"/>
      <w:marTop w:val="0"/>
      <w:marBottom w:val="0"/>
      <w:divBdr>
        <w:top w:val="none" w:sz="0" w:space="0" w:color="auto"/>
        <w:left w:val="none" w:sz="0" w:space="0" w:color="auto"/>
        <w:bottom w:val="none" w:sz="0" w:space="0" w:color="auto"/>
        <w:right w:val="none" w:sz="0" w:space="0" w:color="auto"/>
      </w:divBdr>
    </w:div>
    <w:div w:id="1700205800">
      <w:bodyDiv w:val="1"/>
      <w:marLeft w:val="0"/>
      <w:marRight w:val="0"/>
      <w:marTop w:val="0"/>
      <w:marBottom w:val="0"/>
      <w:divBdr>
        <w:top w:val="none" w:sz="0" w:space="0" w:color="auto"/>
        <w:left w:val="none" w:sz="0" w:space="0" w:color="auto"/>
        <w:bottom w:val="none" w:sz="0" w:space="0" w:color="auto"/>
        <w:right w:val="none" w:sz="0" w:space="0" w:color="auto"/>
      </w:divBdr>
    </w:div>
    <w:div w:id="1752005236">
      <w:bodyDiv w:val="1"/>
      <w:marLeft w:val="0"/>
      <w:marRight w:val="0"/>
      <w:marTop w:val="0"/>
      <w:marBottom w:val="0"/>
      <w:divBdr>
        <w:top w:val="none" w:sz="0" w:space="0" w:color="auto"/>
        <w:left w:val="none" w:sz="0" w:space="0" w:color="auto"/>
        <w:bottom w:val="none" w:sz="0" w:space="0" w:color="auto"/>
        <w:right w:val="none" w:sz="0" w:space="0" w:color="auto"/>
      </w:divBdr>
    </w:div>
    <w:div w:id="1780710730">
      <w:bodyDiv w:val="1"/>
      <w:marLeft w:val="0"/>
      <w:marRight w:val="0"/>
      <w:marTop w:val="0"/>
      <w:marBottom w:val="0"/>
      <w:divBdr>
        <w:top w:val="none" w:sz="0" w:space="0" w:color="auto"/>
        <w:left w:val="none" w:sz="0" w:space="0" w:color="auto"/>
        <w:bottom w:val="none" w:sz="0" w:space="0" w:color="auto"/>
        <w:right w:val="none" w:sz="0" w:space="0" w:color="auto"/>
      </w:divBdr>
    </w:div>
    <w:div w:id="1789817525">
      <w:bodyDiv w:val="1"/>
      <w:marLeft w:val="0"/>
      <w:marRight w:val="0"/>
      <w:marTop w:val="0"/>
      <w:marBottom w:val="0"/>
      <w:divBdr>
        <w:top w:val="none" w:sz="0" w:space="0" w:color="auto"/>
        <w:left w:val="none" w:sz="0" w:space="0" w:color="auto"/>
        <w:bottom w:val="none" w:sz="0" w:space="0" w:color="auto"/>
        <w:right w:val="none" w:sz="0" w:space="0" w:color="auto"/>
      </w:divBdr>
    </w:div>
    <w:div w:id="1839273609">
      <w:bodyDiv w:val="1"/>
      <w:marLeft w:val="0"/>
      <w:marRight w:val="0"/>
      <w:marTop w:val="0"/>
      <w:marBottom w:val="0"/>
      <w:divBdr>
        <w:top w:val="none" w:sz="0" w:space="0" w:color="auto"/>
        <w:left w:val="none" w:sz="0" w:space="0" w:color="auto"/>
        <w:bottom w:val="none" w:sz="0" w:space="0" w:color="auto"/>
        <w:right w:val="none" w:sz="0" w:space="0" w:color="auto"/>
      </w:divBdr>
    </w:div>
    <w:div w:id="1874726730">
      <w:bodyDiv w:val="1"/>
      <w:marLeft w:val="0"/>
      <w:marRight w:val="0"/>
      <w:marTop w:val="0"/>
      <w:marBottom w:val="0"/>
      <w:divBdr>
        <w:top w:val="none" w:sz="0" w:space="0" w:color="auto"/>
        <w:left w:val="none" w:sz="0" w:space="0" w:color="auto"/>
        <w:bottom w:val="none" w:sz="0" w:space="0" w:color="auto"/>
        <w:right w:val="none" w:sz="0" w:space="0" w:color="auto"/>
      </w:divBdr>
      <w:divsChild>
        <w:div w:id="555625828">
          <w:marLeft w:val="0"/>
          <w:marRight w:val="0"/>
          <w:marTop w:val="0"/>
          <w:marBottom w:val="0"/>
          <w:divBdr>
            <w:top w:val="none" w:sz="0" w:space="0" w:color="auto"/>
            <w:left w:val="none" w:sz="0" w:space="0" w:color="auto"/>
            <w:bottom w:val="none" w:sz="0" w:space="0" w:color="auto"/>
            <w:right w:val="none" w:sz="0" w:space="0" w:color="auto"/>
          </w:divBdr>
          <w:divsChild>
            <w:div w:id="1684622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6011554">
      <w:bodyDiv w:val="1"/>
      <w:marLeft w:val="0"/>
      <w:marRight w:val="0"/>
      <w:marTop w:val="0"/>
      <w:marBottom w:val="0"/>
      <w:divBdr>
        <w:top w:val="none" w:sz="0" w:space="0" w:color="auto"/>
        <w:left w:val="none" w:sz="0" w:space="0" w:color="auto"/>
        <w:bottom w:val="none" w:sz="0" w:space="0" w:color="auto"/>
        <w:right w:val="none" w:sz="0" w:space="0" w:color="auto"/>
      </w:divBdr>
    </w:div>
    <w:div w:id="2031445284">
      <w:bodyDiv w:val="1"/>
      <w:marLeft w:val="0"/>
      <w:marRight w:val="0"/>
      <w:marTop w:val="0"/>
      <w:marBottom w:val="0"/>
      <w:divBdr>
        <w:top w:val="none" w:sz="0" w:space="0" w:color="auto"/>
        <w:left w:val="none" w:sz="0" w:space="0" w:color="auto"/>
        <w:bottom w:val="none" w:sz="0" w:space="0" w:color="auto"/>
        <w:right w:val="none" w:sz="0" w:space="0" w:color="auto"/>
      </w:divBdr>
    </w:div>
    <w:div w:id="2044624612">
      <w:bodyDiv w:val="1"/>
      <w:marLeft w:val="0"/>
      <w:marRight w:val="0"/>
      <w:marTop w:val="0"/>
      <w:marBottom w:val="0"/>
      <w:divBdr>
        <w:top w:val="none" w:sz="0" w:space="0" w:color="auto"/>
        <w:left w:val="none" w:sz="0" w:space="0" w:color="auto"/>
        <w:bottom w:val="none" w:sz="0" w:space="0" w:color="auto"/>
        <w:right w:val="none" w:sz="0" w:space="0" w:color="auto"/>
      </w:divBdr>
    </w:div>
    <w:div w:id="2066179906">
      <w:bodyDiv w:val="1"/>
      <w:marLeft w:val="0"/>
      <w:marRight w:val="0"/>
      <w:marTop w:val="0"/>
      <w:marBottom w:val="0"/>
      <w:divBdr>
        <w:top w:val="none" w:sz="0" w:space="0" w:color="auto"/>
        <w:left w:val="none" w:sz="0" w:space="0" w:color="auto"/>
        <w:bottom w:val="none" w:sz="0" w:space="0" w:color="auto"/>
        <w:right w:val="none" w:sz="0" w:space="0" w:color="auto"/>
      </w:divBdr>
    </w:div>
    <w:div w:id="2103715938">
      <w:bodyDiv w:val="1"/>
      <w:marLeft w:val="0"/>
      <w:marRight w:val="0"/>
      <w:marTop w:val="0"/>
      <w:marBottom w:val="0"/>
      <w:divBdr>
        <w:top w:val="none" w:sz="0" w:space="0" w:color="auto"/>
        <w:left w:val="none" w:sz="0" w:space="0" w:color="auto"/>
        <w:bottom w:val="none" w:sz="0" w:space="0" w:color="auto"/>
        <w:right w:val="none" w:sz="0" w:space="0" w:color="auto"/>
      </w:divBdr>
    </w:div>
    <w:div w:id="2109885523">
      <w:bodyDiv w:val="1"/>
      <w:marLeft w:val="0"/>
      <w:marRight w:val="0"/>
      <w:marTop w:val="0"/>
      <w:marBottom w:val="0"/>
      <w:divBdr>
        <w:top w:val="none" w:sz="0" w:space="0" w:color="auto"/>
        <w:left w:val="none" w:sz="0" w:space="0" w:color="auto"/>
        <w:bottom w:val="none" w:sz="0" w:space="0" w:color="auto"/>
        <w:right w:val="none" w:sz="0" w:space="0" w:color="auto"/>
      </w:divBdr>
    </w:div>
    <w:div w:id="21315891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doi.org/10.1038/s41588-019-0405-z" TargetMode="External"/><Relationship Id="rId18" Type="http://schemas.openxmlformats.org/officeDocument/2006/relationships/hyperlink" Target="https://doi.org/10.1111/pbr.12645" TargetMode="External"/><Relationship Id="rId26" Type="http://schemas.openxmlformats.org/officeDocument/2006/relationships/hyperlink" Target="https://doi.org/10.1007/s00122-022-04033-y" TargetMode="External"/><Relationship Id="rId39" Type="http://schemas.microsoft.com/office/2011/relationships/people" Target="people.xml"/><Relationship Id="rId21" Type="http://schemas.openxmlformats.org/officeDocument/2006/relationships/hyperlink" Target="https://doi.org/10.1534/g3.115.018796" TargetMode="External"/><Relationship Id="rId34"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hyperlink" Target="https://doi.org/10.1038/ng.3517" TargetMode="External"/><Relationship Id="rId17" Type="http://schemas.openxmlformats.org/officeDocument/2006/relationships/hyperlink" Target="https://doi.org/10.1186/s12870-021-03023-4" TargetMode="External"/><Relationship Id="rId25" Type="http://schemas.openxmlformats.org/officeDocument/2006/relationships/hyperlink" Target="https://doi.org/10.1007/s00122-020-03658-1" TargetMode="External"/><Relationship Id="rId33" Type="http://schemas.openxmlformats.org/officeDocument/2006/relationships/header" Target="header2.xml"/><Relationship Id="rId38"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doi.org/10.3389/fpls.2022.899177" TargetMode="External"/><Relationship Id="rId20" Type="http://schemas.openxmlformats.org/officeDocument/2006/relationships/hyperlink" Target="https://doi.org/10.1186/s12870-024-04937-5" TargetMode="External"/><Relationship Id="rId29" Type="http://schemas.openxmlformats.org/officeDocument/2006/relationships/hyperlink" Target="https://doi.org/10.1111/pbi.14117"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8/08/relationships/commentsExtensible" Target="commentsExtensible.xml"/><Relationship Id="rId24" Type="http://schemas.openxmlformats.org/officeDocument/2006/relationships/hyperlink" Target="https://doi.org/10.1038/srep40577" TargetMode="External"/><Relationship Id="rId32" Type="http://schemas.openxmlformats.org/officeDocument/2006/relationships/header" Target="header1.xml"/><Relationship Id="rId37" Type="http://schemas.openxmlformats.org/officeDocument/2006/relationships/footer" Target="footer3.xml"/><Relationship Id="rId40"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doi.org/10.1016/j.jia.2024.03.008" TargetMode="External"/><Relationship Id="rId23" Type="http://schemas.openxmlformats.org/officeDocument/2006/relationships/hyperlink" Target="https://doi.org/10.1093/g3journal/jkab382" TargetMode="External"/><Relationship Id="rId28" Type="http://schemas.openxmlformats.org/officeDocument/2006/relationships/hyperlink" Target="https://doi.org/10.1007/s00122-023-04256-7" TargetMode="External"/><Relationship Id="rId36" Type="http://schemas.openxmlformats.org/officeDocument/2006/relationships/header" Target="header3.xml"/><Relationship Id="rId10" Type="http://schemas.microsoft.com/office/2016/09/relationships/commentsIds" Target="commentsIds.xml"/><Relationship Id="rId19" Type="http://schemas.openxmlformats.org/officeDocument/2006/relationships/hyperlink" Target="https://doi.org/10.1111/pbi.13311" TargetMode="External"/><Relationship Id="rId31" Type="http://schemas.openxmlformats.org/officeDocument/2006/relationships/hyperlink" Target="https://doi.org/10.1038/s41588-019-0402-2" TargetMode="External"/><Relationship Id="rId4" Type="http://schemas.openxmlformats.org/officeDocument/2006/relationships/settings" Target="settings.xml"/><Relationship Id="rId9" Type="http://schemas.microsoft.com/office/2011/relationships/commentsExtended" Target="commentsExtended.xml"/><Relationship Id="rId14" Type="http://schemas.openxmlformats.org/officeDocument/2006/relationships/hyperlink" Target="https://doi.org/10.1016/j.molp.2019.03.005" TargetMode="External"/><Relationship Id="rId22" Type="http://schemas.openxmlformats.org/officeDocument/2006/relationships/hyperlink" Target="https://doi.org/10.1007/s13205-019-1774-9" TargetMode="External"/><Relationship Id="rId27" Type="http://schemas.openxmlformats.org/officeDocument/2006/relationships/hyperlink" Target="https://doi.org/10.1186/s12870-024-05749-3" TargetMode="External"/><Relationship Id="rId30" Type="http://schemas.openxmlformats.org/officeDocument/2006/relationships/hyperlink" Target="https://doi.org/10.1038/s41588-025-02170-w" TargetMode="External"/><Relationship Id="rId35" Type="http://schemas.openxmlformats.org/officeDocument/2006/relationships/footer" Target="footer2.xml"/><Relationship Id="rId8" Type="http://schemas.openxmlformats.org/officeDocument/2006/relationships/comments" Target="comments.xml"/><Relationship Id="rId3"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B31A318-77DD-4078-A0E2-576FC73375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14</Pages>
  <Words>6558</Words>
  <Characters>37384</Characters>
  <Application>Microsoft Office Word</Application>
  <DocSecurity>0</DocSecurity>
  <Lines>311</Lines>
  <Paragraphs>87</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43855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Managing Editor</dc:creator>
  <cp:lastModifiedBy>fahad rahul</cp:lastModifiedBy>
  <cp:revision>2</cp:revision>
  <cp:lastPrinted>2025-12-13T07:14:00Z</cp:lastPrinted>
  <dcterms:created xsi:type="dcterms:W3CDTF">2025-12-16T12:13:00Z</dcterms:created>
  <dcterms:modified xsi:type="dcterms:W3CDTF">2025-12-16T12:13:00Z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2f1ccb4d-0097-4e6d-af5e-f6372f928ed1</vt:lpwstr>
  </property>
</Properties>
</file>