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5644" w14:textId="77777777" w:rsidR="005623FA" w:rsidRDefault="00357A3C">
      <w:pPr>
        <w:jc w:val="both"/>
        <w:rPr>
          <w:rFonts w:cs="Times New Roman"/>
          <w:b/>
          <w:szCs w:val="24"/>
          <w:lang w:val="en-US"/>
        </w:rPr>
      </w:pPr>
      <w:r>
        <w:rPr>
          <w:rFonts w:cs="Times New Roman"/>
          <w:b/>
          <w:szCs w:val="24"/>
          <w:lang w:val="en-US"/>
        </w:rPr>
        <w:t xml:space="preserve">Co-occurrence of Quinolone Resistance Genes and Extended-Spectrum Beta-Lactamase (ESBL) in </w:t>
      </w:r>
      <w:r>
        <w:rPr>
          <w:rFonts w:cs="Times New Roman"/>
          <w:b/>
          <w:i/>
          <w:iCs/>
          <w:szCs w:val="24"/>
          <w:lang w:val="en-US"/>
        </w:rPr>
        <w:t>Klebsiella pneumoniae</w:t>
      </w:r>
      <w:r>
        <w:rPr>
          <w:rFonts w:cs="Times New Roman"/>
          <w:b/>
          <w:szCs w:val="24"/>
          <w:lang w:val="en-US"/>
        </w:rPr>
        <w:t xml:space="preserve"> and </w:t>
      </w:r>
      <w:r>
        <w:rPr>
          <w:rFonts w:cs="Times New Roman"/>
          <w:b/>
          <w:i/>
          <w:iCs/>
          <w:szCs w:val="24"/>
          <w:lang w:val="en-US"/>
        </w:rPr>
        <w:t xml:space="preserve">Escherichia coli, </w:t>
      </w:r>
      <w:r>
        <w:rPr>
          <w:rFonts w:cs="Times New Roman"/>
          <w:b/>
          <w:szCs w:val="24"/>
          <w:lang w:val="en-US"/>
        </w:rPr>
        <w:t>from patients attending Hospital in Onitsha.</w:t>
      </w:r>
    </w:p>
    <w:p w14:paraId="6A733ABB" w14:textId="77777777" w:rsidR="005623FA" w:rsidRDefault="00357A3C">
      <w:pPr>
        <w:rPr>
          <w:rFonts w:cs="Times New Roman"/>
          <w:szCs w:val="24"/>
        </w:rPr>
      </w:pPr>
      <w:r>
        <w:rPr>
          <w:rFonts w:cs="Times New Roman"/>
          <w:b/>
          <w:szCs w:val="24"/>
        </w:rPr>
        <w:t>ABSTRACT</w:t>
      </w:r>
    </w:p>
    <w:p w14:paraId="61A0FE82" w14:textId="77777777" w:rsidR="005623FA" w:rsidRDefault="00357A3C">
      <w:pPr>
        <w:pStyle w:val="NormalWeb"/>
        <w:spacing w:line="360" w:lineRule="auto"/>
        <w:jc w:val="both"/>
      </w:pPr>
      <w:r>
        <w:rPr>
          <w:rStyle w:val="Emphasis"/>
        </w:rPr>
        <w:t>Escherichia coli</w:t>
      </w:r>
      <w:r>
        <w:t xml:space="preserve"> and </w:t>
      </w:r>
      <w:r>
        <w:rPr>
          <w:rStyle w:val="Emphasis"/>
        </w:rPr>
        <w:t>Klebsiella pneumoniae</w:t>
      </w:r>
      <w:r>
        <w:t xml:space="preserve"> are leading </w:t>
      </w:r>
      <w:proofErr w:type="spellStart"/>
      <w:r>
        <w:t>uropathogens</w:t>
      </w:r>
      <w:proofErr w:type="spellEnd"/>
      <w:r>
        <w:t xml:space="preserve">, with rising resistance to fluoroquinolones and β-lactams posing major treatment challenges. The co-occurrence of plasmid-mediated quinolone resistance (PMQR) genes and extended-spectrum β-lactamase (ESBL) determinants further complicates therapy. A cross-sectional study was conducted on urine specimens collected from patients with suspected urinary tract infections (UTIs) in Onitsha, Nigeria. Isolates were identified by standard microbiological and biochemical procedures. Antibiotic susceptibility study was assessed using the Kirby–Bauer disk diffusion method and interpreted according to CLSI guidelines. Phenotypic ESBL detection was performed by the double-disk synergy test, while PCR was employed to detect </w:t>
      </w:r>
      <w:proofErr w:type="spellStart"/>
      <w:r>
        <w:rPr>
          <w:rStyle w:val="Emphasis"/>
        </w:rPr>
        <w:t>qnrA</w:t>
      </w:r>
      <w:proofErr w:type="spellEnd"/>
      <w:r>
        <w:t xml:space="preserve">, </w:t>
      </w:r>
      <w:proofErr w:type="spellStart"/>
      <w:r>
        <w:rPr>
          <w:rStyle w:val="Emphasis"/>
        </w:rPr>
        <w:t>qnrB</w:t>
      </w:r>
      <w:proofErr w:type="spellEnd"/>
      <w:r>
        <w:t xml:space="preserve">, and </w:t>
      </w:r>
      <w:r>
        <w:rPr>
          <w:rStyle w:val="Emphasis"/>
        </w:rPr>
        <w:t>CTX-M</w:t>
      </w:r>
      <w:r>
        <w:t xml:space="preserve"> genes. Among 297 urine samples, 158 (53.2%) yielded significant bacterial growth, predominantly </w:t>
      </w:r>
      <w:r>
        <w:rPr>
          <w:rStyle w:val="Emphasis"/>
        </w:rPr>
        <w:t>K. pneumoniae</w:t>
      </w:r>
      <w:r>
        <w:t xml:space="preserve"> (51.9%) and </w:t>
      </w:r>
      <w:r>
        <w:rPr>
          <w:rStyle w:val="Emphasis"/>
        </w:rPr>
        <w:t>E. coli</w:t>
      </w:r>
      <w:r>
        <w:t xml:space="preserve"> (48.1%). High resistance rates were observed to cefotaxime (64.6% </w:t>
      </w:r>
      <w:r>
        <w:rPr>
          <w:rStyle w:val="Emphasis"/>
        </w:rPr>
        <w:t>K. pneumoniae</w:t>
      </w:r>
      <w:r>
        <w:t xml:space="preserve">, 63.2% </w:t>
      </w:r>
      <w:r>
        <w:rPr>
          <w:rStyle w:val="Emphasis"/>
        </w:rPr>
        <w:t>E. coli</w:t>
      </w:r>
      <w:r>
        <w:t xml:space="preserve">), fluoroquinolones (42–61%), and β-lactams. Phenotypic ESBL production was not detected; however, PCR identified </w:t>
      </w:r>
      <w:r>
        <w:rPr>
          <w:rStyle w:val="Emphasis"/>
        </w:rPr>
        <w:t>CTX-M</w:t>
      </w:r>
      <w:r>
        <w:t xml:space="preserve"> in 6.6% of the isolates and </w:t>
      </w:r>
      <w:proofErr w:type="spellStart"/>
      <w:r>
        <w:rPr>
          <w:rStyle w:val="Emphasis"/>
        </w:rPr>
        <w:t>qnrA</w:t>
      </w:r>
      <w:proofErr w:type="spellEnd"/>
      <w:r>
        <w:rPr>
          <w:rStyle w:val="Emphasis"/>
        </w:rPr>
        <w:t>/</w:t>
      </w:r>
      <w:proofErr w:type="spellStart"/>
      <w:r>
        <w:rPr>
          <w:rStyle w:val="Emphasis"/>
        </w:rPr>
        <w:t>qnrB</w:t>
      </w:r>
      <w:proofErr w:type="spellEnd"/>
      <w:r>
        <w:t xml:space="preserve"> in 36.7% of the isolates. The high prevalence of multidrug resistance and plasmid-mediated quinolone resistance among </w:t>
      </w:r>
      <w:r>
        <w:rPr>
          <w:rStyle w:val="Emphasis"/>
        </w:rPr>
        <w:t>E. coli</w:t>
      </w:r>
      <w:r>
        <w:t xml:space="preserve"> and </w:t>
      </w:r>
      <w:r>
        <w:rPr>
          <w:rStyle w:val="Emphasis"/>
        </w:rPr>
        <w:t>K. pneumoniae</w:t>
      </w:r>
      <w:r>
        <w:t xml:space="preserve"> in Onitsha highlights the urgent need for routine molecular surveillance. Incorporating genotypic screening into resistance monitoring programs is critical for guiding effective antimicrobial stewardship and preserving therapeutic options. </w:t>
      </w:r>
    </w:p>
    <w:p w14:paraId="7850B49D" w14:textId="77777777" w:rsidR="005623FA" w:rsidRDefault="00357A3C">
      <w:pPr>
        <w:pStyle w:val="NormalWeb"/>
        <w:spacing w:line="360" w:lineRule="auto"/>
        <w:jc w:val="both"/>
      </w:pPr>
      <w:r>
        <w:rPr>
          <w:rStyle w:val="Strong"/>
        </w:rPr>
        <w:t>Keywords:</w:t>
      </w:r>
      <w:r>
        <w:t xml:space="preserve"> Urinary tract infections, </w:t>
      </w:r>
      <w:r>
        <w:rPr>
          <w:rStyle w:val="Emphasis"/>
        </w:rPr>
        <w:t>Escherichia coli</w:t>
      </w:r>
      <w:r>
        <w:t xml:space="preserve">, </w:t>
      </w:r>
      <w:r>
        <w:rPr>
          <w:rStyle w:val="Emphasis"/>
        </w:rPr>
        <w:t>Klebsiella pneumoniae</w:t>
      </w:r>
      <w:r>
        <w:t xml:space="preserve">, quinolone resistance, ESBL, </w:t>
      </w:r>
      <w:proofErr w:type="spellStart"/>
      <w:r>
        <w:rPr>
          <w:rStyle w:val="Emphasis"/>
        </w:rPr>
        <w:t>qnr</w:t>
      </w:r>
      <w:proofErr w:type="spellEnd"/>
      <w:r>
        <w:t xml:space="preserve">, </w:t>
      </w:r>
      <w:r>
        <w:rPr>
          <w:rStyle w:val="Emphasis"/>
        </w:rPr>
        <w:t>CTX-M</w:t>
      </w:r>
      <w:r>
        <w:t>.</w:t>
      </w:r>
    </w:p>
    <w:p w14:paraId="7EC9C8F1" w14:textId="77777777" w:rsidR="005623FA" w:rsidRDefault="005623FA">
      <w:pPr>
        <w:pStyle w:val="NormalWeb"/>
        <w:spacing w:line="360" w:lineRule="auto"/>
        <w:jc w:val="both"/>
      </w:pPr>
    </w:p>
    <w:p w14:paraId="1E2EBE7D" w14:textId="77777777" w:rsidR="005623FA" w:rsidRDefault="00357A3C">
      <w:pPr>
        <w:numPr>
          <w:ilvl w:val="0"/>
          <w:numId w:val="1"/>
        </w:numPr>
        <w:spacing w:before="100" w:beforeAutospacing="1" w:after="100" w:afterAutospacing="1"/>
        <w:jc w:val="both"/>
        <w:rPr>
          <w:rFonts w:cs="Times New Roman"/>
          <w:b/>
          <w:szCs w:val="24"/>
          <w:lang w:val="en-US"/>
        </w:rPr>
      </w:pPr>
      <w:r>
        <w:rPr>
          <w:rFonts w:cs="Times New Roman"/>
          <w:b/>
          <w:szCs w:val="24"/>
          <w:lang w:val="en-US"/>
        </w:rPr>
        <w:t>INTRODUCTION</w:t>
      </w:r>
    </w:p>
    <w:p w14:paraId="024E7B7C" w14:textId="77777777" w:rsidR="005623FA" w:rsidRDefault="00357A3C">
      <w:pPr>
        <w:pStyle w:val="NormalWeb"/>
        <w:spacing w:line="360" w:lineRule="auto"/>
        <w:jc w:val="both"/>
      </w:pPr>
      <w:r>
        <w:t xml:space="preserve">Quinolone antibiotics are widely used antibacterial agents known for their broad-spectrum activity and excellent oral absorption, making them effective in treating a variety of bacterial infections. Their clinical popularity over the past five decades stems from several favorable characteristics, including potent antibacterial action, extensive tissue penetration, ease of </w:t>
      </w:r>
      <w:r>
        <w:lastRenderedPageBreak/>
        <w:t>administration with tolerable side effects (1, 2). Quinolones function by disrupting bacterial DNA replication through inhibition of DNA gyrase and topoisomerase IV enzymes critical for maintaining DNA topology and cellular viability (3).</w:t>
      </w:r>
    </w:p>
    <w:p w14:paraId="17E3EEC2" w14:textId="77777777" w:rsidR="005623FA" w:rsidRDefault="00357A3C">
      <w:pPr>
        <w:pStyle w:val="NormalWeb"/>
        <w:spacing w:line="360" w:lineRule="auto"/>
        <w:jc w:val="both"/>
      </w:pPr>
      <w:r>
        <w:t>Despite their effectiveness, increasing resistance to quinolones has emerged due to genetic mutations that alter the structure of their target enzymes, thereby diminishing drug their binding efficacy. This resistance trend is a growing concern in the management of infectious diseases (4).</w:t>
      </w:r>
    </w:p>
    <w:p w14:paraId="1E4B507D" w14:textId="77777777" w:rsidR="005623FA" w:rsidRDefault="00357A3C">
      <w:pPr>
        <w:pStyle w:val="NormalWeb"/>
        <w:spacing w:line="360" w:lineRule="auto"/>
        <w:jc w:val="both"/>
      </w:pPr>
      <w:r>
        <w:t>Extended-Spectrum Beta-Lactamases (ESBLs) have become a significant resistance mechanism among Gram-negative bacteria. These enzymes enable bacteria to degrade a broad range of beta-lactam antibiotics, rendering them ineffective. ESBL-producing bacteria are found in both hospital and community environments, and they pose increased risk to patients, particularly those with compromised immune systems or indwelling medical devices (5, 6).</w:t>
      </w:r>
    </w:p>
    <w:p w14:paraId="4A5B84E1" w14:textId="77777777" w:rsidR="005623FA" w:rsidRDefault="00357A3C">
      <w:pPr>
        <w:jc w:val="both"/>
        <w:rPr>
          <w:rFonts w:cs="Times New Roman"/>
          <w:szCs w:val="24"/>
        </w:rPr>
      </w:pPr>
      <w:r>
        <w:rPr>
          <w:rFonts w:cs="Times New Roman"/>
          <w:szCs w:val="24"/>
        </w:rPr>
        <w:t xml:space="preserve">Members of the Enterobacteriaceae family, particularly </w:t>
      </w:r>
      <w:r>
        <w:rPr>
          <w:rFonts w:cs="Times New Roman"/>
          <w:i/>
          <w:szCs w:val="24"/>
        </w:rPr>
        <w:t>Escherichia coli</w:t>
      </w:r>
      <w:r>
        <w:rPr>
          <w:rFonts w:cs="Times New Roman"/>
          <w:szCs w:val="24"/>
        </w:rPr>
        <w:t xml:space="preserve"> and </w:t>
      </w:r>
      <w:r>
        <w:rPr>
          <w:rFonts w:cs="Times New Roman"/>
          <w:i/>
          <w:szCs w:val="24"/>
        </w:rPr>
        <w:t>Klebsiella pneumoniae</w:t>
      </w:r>
      <w:r>
        <w:rPr>
          <w:rFonts w:cs="Times New Roman"/>
          <w:szCs w:val="24"/>
        </w:rPr>
        <w:t xml:space="preserve">, are common in urinary tract infections (UTI). These infections are not only widespread, but also becoming more resistant due to the combined processes of ESBL development and quinolone resistance (6, 7, 8). The presence of several resistance characteristics in a single bacterial strain complicates therapy and can lead to therapeutic failure unless more potent or combination medicines are utilized </w:t>
      </w:r>
      <w:r>
        <w:rPr>
          <w:rFonts w:cs="Times New Roman"/>
          <w:szCs w:val="24"/>
          <w:lang w:val="en-US"/>
        </w:rPr>
        <w:t>(1, 9)</w:t>
      </w:r>
      <w:r>
        <w:rPr>
          <w:rFonts w:cs="Times New Roman"/>
          <w:szCs w:val="24"/>
        </w:rPr>
        <w:t>.</w:t>
      </w:r>
    </w:p>
    <w:p w14:paraId="340591CB" w14:textId="77777777" w:rsidR="005623FA" w:rsidRDefault="00357A3C">
      <w:pPr>
        <w:pStyle w:val="NormalWeb"/>
        <w:spacing w:line="360" w:lineRule="auto"/>
        <w:jc w:val="both"/>
      </w:pPr>
      <w:r>
        <w:t xml:space="preserve">This study investigates the co-occurrence of Quinolone resistance genes and ESBL production in </w:t>
      </w:r>
      <w:r>
        <w:rPr>
          <w:rStyle w:val="Emphasis"/>
        </w:rPr>
        <w:t>E. coli</w:t>
      </w:r>
      <w:r>
        <w:t xml:space="preserve"> and </w:t>
      </w:r>
      <w:r>
        <w:rPr>
          <w:rStyle w:val="Emphasis"/>
        </w:rPr>
        <w:t>K. pneumoniae</w:t>
      </w:r>
      <w:r>
        <w:t xml:space="preserve"> isolates obtained from patients with UTIs in Onitsha, Anambra State, Nigeria.</w:t>
      </w:r>
    </w:p>
    <w:p w14:paraId="54B6DB5B" w14:textId="77777777" w:rsidR="005623FA" w:rsidRDefault="005623FA">
      <w:pPr>
        <w:pStyle w:val="NormalWeb"/>
        <w:spacing w:line="360" w:lineRule="auto"/>
        <w:jc w:val="both"/>
      </w:pPr>
    </w:p>
    <w:p w14:paraId="060A1E42" w14:textId="77777777" w:rsidR="005623FA" w:rsidRDefault="005623FA">
      <w:pPr>
        <w:rPr>
          <w:rFonts w:eastAsia="Times New Roman" w:cs="Times New Roman"/>
          <w:szCs w:val="24"/>
          <w:lang w:val="en-US"/>
        </w:rPr>
      </w:pPr>
    </w:p>
    <w:p w14:paraId="4D37888B" w14:textId="77777777" w:rsidR="005623FA" w:rsidRDefault="00357A3C">
      <w:pPr>
        <w:pStyle w:val="Heading2"/>
        <w:numPr>
          <w:ilvl w:val="0"/>
          <w:numId w:val="1"/>
        </w:numPr>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METHODS</w:t>
      </w:r>
    </w:p>
    <w:p w14:paraId="667E09AC"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Study design and ethical approval</w:t>
      </w:r>
    </w:p>
    <w:p w14:paraId="0C45E8C6" w14:textId="77777777" w:rsidR="005623FA" w:rsidRDefault="00357A3C">
      <w:pPr>
        <w:pStyle w:val="NormalWeb"/>
        <w:spacing w:line="360" w:lineRule="auto"/>
        <w:jc w:val="both"/>
      </w:pPr>
      <w:r>
        <w:t xml:space="preserve">A descriptive cross-sectional study was conducted between March and October 2024 at St. Charles Borromeo Hospital, Onitsha, Anambra State, Nigeria. Mid-stream urine specimens </w:t>
      </w:r>
      <w:r>
        <w:lastRenderedPageBreak/>
        <w:t>were obtained from patients with clinically suspected urinary tract infections (UTIs). Ethical clearance was obtained from the hospital’s Clinical Sciences and Ethics Committee (Ref: CH/ETH.C/007). Written informed consent was secured from participants prior to enrolment.</w:t>
      </w:r>
    </w:p>
    <w:p w14:paraId="70FFACDF"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Sample collection and transport</w:t>
      </w:r>
    </w:p>
    <w:p w14:paraId="1B97E904" w14:textId="77777777" w:rsidR="005623FA" w:rsidRDefault="00357A3C">
      <w:pPr>
        <w:pStyle w:val="NormalWeb"/>
        <w:spacing w:line="360" w:lineRule="auto"/>
        <w:jc w:val="both"/>
      </w:pPr>
      <w:r>
        <w:t>Mid-stream urine specimens were collected in sterile, wide-mouthed universal containers labeled with unique identifiers. All samples were transported to the Microbiology Laboratory, Department of Pharmaceutical Microbiology and Biotechnology, Nnamdi Azikiwe University, within 3–4 hours of collection, under recommended storage conditions to maintain integrity.</w:t>
      </w:r>
    </w:p>
    <w:p w14:paraId="2DD2F7A0"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Bacterial culture and identification</w:t>
      </w:r>
    </w:p>
    <w:p w14:paraId="11727F4F" w14:textId="77777777" w:rsidR="005623FA" w:rsidRDefault="00357A3C">
      <w:pPr>
        <w:pStyle w:val="NormalWeb"/>
        <w:spacing w:line="360" w:lineRule="auto"/>
        <w:jc w:val="both"/>
      </w:pPr>
      <w:r>
        <w:t xml:space="preserve">Urine samples (10 </w:t>
      </w:r>
      <w:proofErr w:type="spellStart"/>
      <w:r>
        <w:t>μL</w:t>
      </w:r>
      <w:proofErr w:type="spellEnd"/>
      <w:r>
        <w:t xml:space="preserve"> each) were streaked onto MacConkey agar and incubated at 37 °C for 18–24 hours. Distinct colonies were purified by sub-culturing, then maintained on nutrient agar slants at 4 °C. Preliminary identification was based on colonial morphology and Gram staining. Standard biochemical tests, including indole, citrate, catalase, and oxidase reactions, were used to confirm </w:t>
      </w:r>
      <w:r>
        <w:rPr>
          <w:rStyle w:val="Emphasis"/>
        </w:rPr>
        <w:t>Escherichia coli</w:t>
      </w:r>
      <w:r>
        <w:t xml:space="preserve"> and </w:t>
      </w:r>
      <w:r>
        <w:rPr>
          <w:rStyle w:val="Emphasis"/>
        </w:rPr>
        <w:t>Klebsiella pneumoniae</w:t>
      </w:r>
      <w:r>
        <w:t>.</w:t>
      </w:r>
    </w:p>
    <w:p w14:paraId="708AA66E"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Antibiotic susceptibility testing</w:t>
      </w:r>
    </w:p>
    <w:p w14:paraId="121FB4A9" w14:textId="77777777" w:rsidR="005623FA" w:rsidRDefault="00357A3C">
      <w:pPr>
        <w:pStyle w:val="NormalWeb"/>
        <w:spacing w:line="360" w:lineRule="auto"/>
        <w:jc w:val="both"/>
      </w:pPr>
      <w:r>
        <w:t xml:space="preserve">Antibiotic susceptibility was assessed using the </w:t>
      </w:r>
      <w:r>
        <w:rPr>
          <w:rStyle w:val="Strong"/>
          <w:b w:val="0"/>
          <w:bCs w:val="0"/>
        </w:rPr>
        <w:t>Kirby–Bauer disk diffusion method</w:t>
      </w:r>
      <w:r>
        <w:t xml:space="preserve"> on Mueller–Hinton agar, and results interpreted in accordance with Clinical and Laboratory Standards Institute (10) guidelines. Bacterial suspensions were standardized to 0.5 McFarland turbidity (≈1.5 × 10⁸ CFU/mL). Antibiotics tested included quinolones (ciprofloxacin, levofloxacin, ofloxacin, nalidixic acid), β-lactams (cefotaxime, ceftriaxone, cefuroxime, cefixime, amoxicillin–clavulanate), gentamicin, nitrofurantoin, and imipenem. Following overnight incubation at 37 °C, inhibition zones were measured and interpreted as susceptible, intermediate, or resistant following CLSI breakpoint.</w:t>
      </w:r>
    </w:p>
    <w:p w14:paraId="6562840B" w14:textId="77777777" w:rsidR="005623FA" w:rsidRDefault="005623FA">
      <w:pPr>
        <w:pStyle w:val="NormalWeb"/>
        <w:spacing w:line="360" w:lineRule="auto"/>
        <w:jc w:val="both"/>
      </w:pPr>
    </w:p>
    <w:p w14:paraId="0F70933C"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Phenotypic detection of ESBL</w:t>
      </w:r>
    </w:p>
    <w:p w14:paraId="6CCD1439" w14:textId="77777777" w:rsidR="005623FA" w:rsidRDefault="00357A3C">
      <w:pPr>
        <w:pStyle w:val="NormalWeb"/>
        <w:spacing w:line="360" w:lineRule="auto"/>
        <w:jc w:val="both"/>
      </w:pPr>
      <w:r>
        <w:lastRenderedPageBreak/>
        <w:t xml:space="preserve">Screening for extended-spectrum β-lactamase (ESBL) activity was carried out by disk diffusion with ceftazidime (30 µg) and ceftriaxone (30 µg). Isolates with reduced susceptibility to the 3rd generation Cephalosporins were further subjected to double disk </w:t>
      </w:r>
      <w:r>
        <w:rPr>
          <w:rStyle w:val="Strong"/>
          <w:b w:val="0"/>
          <w:bCs w:val="0"/>
        </w:rPr>
        <w:t>synergy test (DDST)</w:t>
      </w:r>
      <w:r>
        <w:t xml:space="preserve"> using cephalosporin–clavulanate combinations. Enhancement of inhibition zones toward the clavulanate disc was interpreted as ESBL production (10).</w:t>
      </w:r>
    </w:p>
    <w:p w14:paraId="128DCE17" w14:textId="77777777" w:rsidR="005623FA" w:rsidRDefault="00357A3C">
      <w:pPr>
        <w:pStyle w:val="Heading3"/>
        <w:numPr>
          <w:ilvl w:val="1"/>
          <w:numId w:val="1"/>
        </w:numPr>
        <w:spacing w:line="360" w:lineRule="auto"/>
        <w:jc w:val="both"/>
        <w:rPr>
          <w:rFonts w:ascii="Times New Roman" w:hAnsi="Times New Roman" w:hint="default"/>
          <w:sz w:val="24"/>
          <w:szCs w:val="24"/>
        </w:rPr>
      </w:pPr>
      <w:commentRangeStart w:id="0"/>
      <w:r>
        <w:rPr>
          <w:rFonts w:ascii="Times New Roman" w:hAnsi="Times New Roman" w:hint="default"/>
          <w:sz w:val="24"/>
          <w:szCs w:val="24"/>
        </w:rPr>
        <w:t>Molecular detection of resistance genes</w:t>
      </w:r>
      <w:commentRangeEnd w:id="0"/>
      <w:r w:rsidR="00615C2A">
        <w:rPr>
          <w:rStyle w:val="CommentReference"/>
          <w:rFonts w:ascii="Times New Roman" w:eastAsiaTheme="minorHAnsi" w:hAnsi="Times New Roman" w:cstheme="minorBidi" w:hint="default"/>
          <w:b w:val="0"/>
          <w:bCs w:val="0"/>
          <w:lang w:val="en-GB" w:eastAsia="en-US"/>
        </w:rPr>
        <w:commentReference w:id="0"/>
      </w:r>
    </w:p>
    <w:p w14:paraId="6527F3BD" w14:textId="77777777" w:rsidR="005623FA" w:rsidRDefault="00357A3C">
      <w:pPr>
        <w:pStyle w:val="NormalWeb"/>
        <w:spacing w:line="360" w:lineRule="auto"/>
        <w:jc w:val="both"/>
      </w:pPr>
      <w:r>
        <w:t xml:space="preserve">Genomic DNA was extracted using a boiling lysis method. The presence of </w:t>
      </w:r>
      <w:proofErr w:type="spellStart"/>
      <w:r>
        <w:rPr>
          <w:rStyle w:val="Strong"/>
          <w:b w:val="0"/>
          <w:bCs w:val="0"/>
        </w:rPr>
        <w:t>qnrA</w:t>
      </w:r>
      <w:proofErr w:type="spellEnd"/>
      <w:r>
        <w:rPr>
          <w:rStyle w:val="Strong"/>
          <w:b w:val="0"/>
          <w:bCs w:val="0"/>
        </w:rPr>
        <w:t xml:space="preserve">, </w:t>
      </w:r>
      <w:proofErr w:type="spellStart"/>
      <w:r>
        <w:rPr>
          <w:rStyle w:val="Strong"/>
          <w:b w:val="0"/>
          <w:bCs w:val="0"/>
        </w:rPr>
        <w:t>qnrB</w:t>
      </w:r>
      <w:proofErr w:type="spellEnd"/>
      <w:r>
        <w:t xml:space="preserve">, and </w:t>
      </w:r>
      <w:r>
        <w:rPr>
          <w:rStyle w:val="Strong"/>
          <w:b w:val="0"/>
          <w:bCs w:val="0"/>
        </w:rPr>
        <w:t>CTX-M</w:t>
      </w:r>
      <w:r>
        <w:t xml:space="preserve"> genes was determined by conventional PCR with gene-specific primers as previously described (1, 9). Amplification was performed in 25 µL reactions containing </w:t>
      </w:r>
      <w:proofErr w:type="spellStart"/>
      <w:r>
        <w:t>OneTaq</w:t>
      </w:r>
      <w:proofErr w:type="spellEnd"/>
      <w:r>
        <w:t xml:space="preserve"> Master Mix (New England Biolabs), template DNA, and primers. Cycling conditions included initial denaturation, followed by 30–45 cycles of denaturation, annealing, and extension, with a final elongation step.</w:t>
      </w:r>
    </w:p>
    <w:p w14:paraId="48BE7A05"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Gel electrophoresis</w:t>
      </w:r>
    </w:p>
    <w:p w14:paraId="4E5BDBEC" w14:textId="77777777" w:rsidR="005623FA" w:rsidRDefault="00357A3C">
      <w:pPr>
        <w:pStyle w:val="NormalWeb"/>
        <w:spacing w:line="360" w:lineRule="auto"/>
        <w:jc w:val="both"/>
      </w:pPr>
      <w:r>
        <w:t>Amplicons were resolved on 1.5% agarose gels prepared in TBE buffer with ethidium bromide. Electrophoresis was conducted at 120 V for ~40 minutes, and DNA bands were visualized under UV illumination.</w:t>
      </w:r>
    </w:p>
    <w:p w14:paraId="3510B8DD" w14:textId="77777777" w:rsidR="005623FA" w:rsidRDefault="005623FA">
      <w:pPr>
        <w:spacing w:after="240"/>
        <w:ind w:left="-90"/>
        <w:jc w:val="both"/>
        <w:rPr>
          <w:rFonts w:eastAsia="Times New Roman" w:cs="Times New Roman"/>
          <w:szCs w:val="24"/>
        </w:rPr>
      </w:pPr>
    </w:p>
    <w:p w14:paraId="5D90BEBD" w14:textId="77777777" w:rsidR="005623FA" w:rsidRDefault="00357A3C">
      <w:pPr>
        <w:rPr>
          <w:rFonts w:eastAsia="Times New Roman" w:cs="Times New Roman"/>
          <w:szCs w:val="24"/>
        </w:rPr>
      </w:pPr>
      <w:r>
        <w:rPr>
          <w:rFonts w:eastAsia="Times New Roman" w:cs="Times New Roman"/>
          <w:szCs w:val="24"/>
        </w:rPr>
        <w:br w:type="page"/>
      </w:r>
    </w:p>
    <w:p w14:paraId="14F24B4E" w14:textId="77777777" w:rsidR="005623FA" w:rsidRDefault="00357A3C">
      <w:pPr>
        <w:numPr>
          <w:ilvl w:val="0"/>
          <w:numId w:val="1"/>
        </w:numPr>
        <w:spacing w:after="240"/>
        <w:jc w:val="both"/>
        <w:rPr>
          <w:rFonts w:eastAsia="Times New Roman" w:cs="Times New Roman"/>
          <w:b/>
          <w:szCs w:val="24"/>
        </w:rPr>
      </w:pPr>
      <w:r>
        <w:rPr>
          <w:rFonts w:eastAsia="Times New Roman" w:cs="Times New Roman"/>
          <w:b/>
          <w:szCs w:val="24"/>
        </w:rPr>
        <w:lastRenderedPageBreak/>
        <w:t>RESULTS</w:t>
      </w:r>
    </w:p>
    <w:p w14:paraId="2E3F9F5E" w14:textId="77777777" w:rsidR="005623FA" w:rsidRDefault="00357A3C">
      <w:pPr>
        <w:numPr>
          <w:ilvl w:val="1"/>
          <w:numId w:val="1"/>
        </w:numPr>
        <w:rPr>
          <w:rFonts w:cs="Times New Roman"/>
          <w:b/>
          <w:bCs/>
          <w:szCs w:val="24"/>
        </w:rPr>
      </w:pPr>
      <w:r>
        <w:rPr>
          <w:rFonts w:eastAsia="Cambria-Bold" w:cs="Times New Roman"/>
          <w:b/>
          <w:bCs/>
          <w:color w:val="000000"/>
          <w:szCs w:val="24"/>
          <w:lang w:val="en-US" w:eastAsia="zh-CN"/>
        </w:rPr>
        <w:t xml:space="preserve">Sample distribution </w:t>
      </w:r>
    </w:p>
    <w:p w14:paraId="59D19D2F" w14:textId="77777777" w:rsidR="005623FA" w:rsidRDefault="00357A3C">
      <w:pPr>
        <w:spacing w:after="240"/>
        <w:ind w:left="-90"/>
        <w:jc w:val="both"/>
        <w:rPr>
          <w:rFonts w:eastAsia="Times New Roman" w:cs="Times New Roman"/>
          <w:b/>
          <w:bCs/>
          <w:szCs w:val="24"/>
        </w:rPr>
      </w:pPr>
      <w:r>
        <w:rPr>
          <w:rFonts w:eastAsia="Times New Roman" w:cs="Times New Roman"/>
          <w:bCs/>
          <w:szCs w:val="24"/>
        </w:rPr>
        <w:t>A total of 299 urine samples were collected for microbiological analysis</w:t>
      </w:r>
      <w:r>
        <w:rPr>
          <w:rFonts w:eastAsia="Times New Roman" w:cs="Times New Roman"/>
          <w:bCs/>
          <w:szCs w:val="24"/>
          <w:lang w:val="en-US"/>
        </w:rPr>
        <w:t xml:space="preserve"> and </w:t>
      </w:r>
      <w:r>
        <w:rPr>
          <w:rFonts w:eastAsia="Times New Roman" w:cs="Times New Roman"/>
          <w:bCs/>
          <w:szCs w:val="24"/>
        </w:rPr>
        <w:t xml:space="preserve">158 (52.8%) yielded bacterial isolates confirmed through morphological assessment, Gram staining, and biochemical testing. Among the confirmed isolates, </w:t>
      </w:r>
      <w:r>
        <w:rPr>
          <w:rFonts w:eastAsia="Times New Roman" w:cs="Times New Roman"/>
          <w:bCs/>
          <w:i/>
          <w:szCs w:val="24"/>
        </w:rPr>
        <w:t>Klebsiella spp</w:t>
      </w:r>
      <w:r>
        <w:rPr>
          <w:rFonts w:eastAsia="Times New Roman" w:cs="Times New Roman"/>
          <w:bCs/>
          <w:szCs w:val="24"/>
        </w:rPr>
        <w:t xml:space="preserve">. (n = 82, 51.9%) and </w:t>
      </w:r>
      <w:r>
        <w:rPr>
          <w:rFonts w:eastAsia="Times New Roman" w:cs="Times New Roman"/>
          <w:bCs/>
          <w:i/>
          <w:szCs w:val="24"/>
        </w:rPr>
        <w:t>Escherichia coli</w:t>
      </w:r>
      <w:r>
        <w:rPr>
          <w:rFonts w:eastAsia="Times New Roman" w:cs="Times New Roman"/>
          <w:bCs/>
          <w:szCs w:val="24"/>
        </w:rPr>
        <w:t xml:space="preserve"> (n = 76, 48.1%) were the predominant pathogens identified. </w:t>
      </w:r>
    </w:p>
    <w:p w14:paraId="5987EB37" w14:textId="77777777" w:rsidR="005623FA" w:rsidRDefault="00357A3C">
      <w:pPr>
        <w:numPr>
          <w:ilvl w:val="1"/>
          <w:numId w:val="1"/>
        </w:numPr>
        <w:spacing w:after="240"/>
        <w:jc w:val="both"/>
        <w:rPr>
          <w:rFonts w:eastAsia="Times New Roman" w:cs="Times New Roman"/>
          <w:b/>
          <w:bCs/>
          <w:szCs w:val="24"/>
        </w:rPr>
      </w:pPr>
      <w:r>
        <w:rPr>
          <w:rFonts w:eastAsia="Times New Roman" w:cs="Times New Roman"/>
          <w:b/>
          <w:bCs/>
          <w:szCs w:val="24"/>
        </w:rPr>
        <w:t>Age-Specific Distribution</w:t>
      </w:r>
      <w:r>
        <w:rPr>
          <w:rFonts w:eastAsia="Times New Roman" w:cs="Times New Roman"/>
          <w:b/>
          <w:bCs/>
          <w:szCs w:val="24"/>
          <w:lang w:val="en-US"/>
        </w:rPr>
        <w:t xml:space="preserve"> of </w:t>
      </w:r>
      <w:commentRangeStart w:id="1"/>
      <w:r>
        <w:rPr>
          <w:rFonts w:eastAsia="Times New Roman" w:cs="Times New Roman"/>
          <w:b/>
          <w:bCs/>
          <w:szCs w:val="24"/>
          <w:lang w:val="en-US"/>
        </w:rPr>
        <w:t>Isolates</w:t>
      </w:r>
      <w:commentRangeEnd w:id="1"/>
      <w:r w:rsidR="00615C2A">
        <w:rPr>
          <w:rStyle w:val="CommentReference"/>
        </w:rPr>
        <w:commentReference w:id="1"/>
      </w:r>
    </w:p>
    <w:p w14:paraId="4E578056" w14:textId="77777777" w:rsidR="005623FA" w:rsidRDefault="00357A3C">
      <w:pPr>
        <w:keepNext/>
        <w:spacing w:after="240"/>
        <w:ind w:left="-90"/>
        <w:jc w:val="center"/>
        <w:rPr>
          <w:rFonts w:cs="Times New Roman"/>
          <w:szCs w:val="24"/>
        </w:rPr>
      </w:pPr>
      <w:r>
        <w:rPr>
          <w:rFonts w:cs="Times New Roman"/>
          <w:noProof/>
          <w:szCs w:val="24"/>
          <w:lang w:val="en-US"/>
        </w:rPr>
        <w:drawing>
          <wp:inline distT="0" distB="0" distL="0" distR="0" wp14:anchorId="40493F24" wp14:editId="5508285C">
            <wp:extent cx="4572000" cy="2743200"/>
            <wp:effectExtent l="4445" t="4445" r="14605" b="1460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E3378A" w14:textId="77777777" w:rsidR="005623FA" w:rsidRDefault="00357A3C">
      <w:pPr>
        <w:pStyle w:val="Caption"/>
        <w:spacing w:line="360" w:lineRule="auto"/>
        <w:jc w:val="center"/>
        <w:rPr>
          <w:rFonts w:eastAsia="Times New Roman" w:cs="Times New Roman"/>
          <w:b/>
          <w:bCs/>
          <w:i w:val="0"/>
          <w:iCs w:val="0"/>
          <w:color w:val="auto"/>
          <w:sz w:val="24"/>
          <w:szCs w:val="24"/>
        </w:rPr>
      </w:pPr>
      <w:r>
        <w:rPr>
          <w:rFonts w:cs="Times New Roman"/>
          <w:b/>
          <w:bCs/>
          <w:i w:val="0"/>
          <w:iCs w:val="0"/>
          <w:color w:val="auto"/>
          <w:sz w:val="24"/>
          <w:szCs w:val="24"/>
        </w:rPr>
        <w:t xml:space="preserve">Figure </w:t>
      </w:r>
      <w:r>
        <w:rPr>
          <w:rFonts w:cs="Times New Roman"/>
          <w:b/>
          <w:bCs/>
          <w:i w:val="0"/>
          <w:iCs w:val="0"/>
          <w:color w:val="auto"/>
          <w:sz w:val="24"/>
          <w:szCs w:val="24"/>
          <w:lang w:val="en-US"/>
        </w:rPr>
        <w:t>1</w:t>
      </w:r>
      <w:r>
        <w:rPr>
          <w:rFonts w:cs="Times New Roman"/>
          <w:b/>
          <w:bCs/>
          <w:i w:val="0"/>
          <w:iCs w:val="0"/>
          <w:color w:val="auto"/>
          <w:sz w:val="24"/>
          <w:szCs w:val="24"/>
        </w:rPr>
        <w:t xml:space="preserve">: Graphical representation of age group and total isolates of </w:t>
      </w:r>
      <w:r>
        <w:rPr>
          <w:rFonts w:cs="Times New Roman"/>
          <w:b/>
          <w:bCs/>
          <w:color w:val="auto"/>
          <w:sz w:val="24"/>
          <w:szCs w:val="24"/>
        </w:rPr>
        <w:t xml:space="preserve">E. coli </w:t>
      </w:r>
      <w:r>
        <w:rPr>
          <w:rFonts w:cs="Times New Roman"/>
          <w:b/>
          <w:bCs/>
          <w:i w:val="0"/>
          <w:iCs w:val="0"/>
          <w:color w:val="auto"/>
          <w:sz w:val="24"/>
          <w:szCs w:val="24"/>
        </w:rPr>
        <w:t xml:space="preserve">and </w:t>
      </w:r>
      <w:r>
        <w:rPr>
          <w:rFonts w:cs="Times New Roman"/>
          <w:b/>
          <w:bCs/>
          <w:color w:val="auto"/>
          <w:sz w:val="24"/>
          <w:szCs w:val="24"/>
        </w:rPr>
        <w:t>Klebsiella</w:t>
      </w:r>
      <w:r>
        <w:rPr>
          <w:rFonts w:cs="Times New Roman"/>
          <w:b/>
          <w:bCs/>
          <w:i w:val="0"/>
          <w:iCs w:val="0"/>
          <w:color w:val="auto"/>
          <w:sz w:val="24"/>
          <w:szCs w:val="24"/>
        </w:rPr>
        <w:t xml:space="preserve"> spp.</w:t>
      </w:r>
    </w:p>
    <w:p w14:paraId="60D669DF" w14:textId="77777777" w:rsidR="005623FA" w:rsidRDefault="00357A3C">
      <w:pPr>
        <w:spacing w:after="240"/>
        <w:ind w:left="-90"/>
        <w:jc w:val="both"/>
        <w:rPr>
          <w:rFonts w:eastAsia="Times New Roman" w:cs="Times New Roman"/>
          <w:bCs/>
          <w:szCs w:val="24"/>
        </w:rPr>
      </w:pPr>
      <w:r>
        <w:rPr>
          <w:rFonts w:eastAsia="Times New Roman" w:cs="Times New Roman"/>
          <w:bCs/>
          <w:szCs w:val="24"/>
        </w:rPr>
        <w:t xml:space="preserve">According to Figure </w:t>
      </w:r>
      <w:r>
        <w:rPr>
          <w:rFonts w:eastAsia="Times New Roman" w:cs="Times New Roman"/>
          <w:bCs/>
          <w:szCs w:val="24"/>
          <w:lang w:val="en-US"/>
        </w:rPr>
        <w:t>1</w:t>
      </w:r>
      <w:r>
        <w:rPr>
          <w:rFonts w:eastAsia="Times New Roman" w:cs="Times New Roman"/>
          <w:bCs/>
          <w:szCs w:val="24"/>
        </w:rPr>
        <w:t>, the 41–50-year age group exhibited the highest rate of culture-positive bacterial isolates (32.9%), followed by the 18–30-year group (25.95%) and the 31–40-year group (24.68%). The ≥ 51-year cohort showed the lowest proportion of infections, accounting for only 16.46% of all isolates.</w:t>
      </w:r>
    </w:p>
    <w:p w14:paraId="1CA86775" w14:textId="77777777" w:rsidR="005623FA" w:rsidRDefault="00357A3C">
      <w:pPr>
        <w:numPr>
          <w:ilvl w:val="1"/>
          <w:numId w:val="1"/>
        </w:numPr>
        <w:spacing w:after="240"/>
        <w:jc w:val="both"/>
        <w:rPr>
          <w:rFonts w:eastAsia="Times New Roman" w:cs="Times New Roman"/>
          <w:b/>
          <w:bCs/>
          <w:szCs w:val="24"/>
        </w:rPr>
      </w:pPr>
      <w:r>
        <w:rPr>
          <w:rFonts w:eastAsia="Times New Roman" w:cs="Times New Roman"/>
          <w:b/>
          <w:bCs/>
          <w:szCs w:val="24"/>
        </w:rPr>
        <w:t>Phenotypic and Biochemical Characterization of Isolates</w:t>
      </w:r>
    </w:p>
    <w:p w14:paraId="0395A602" w14:textId="77777777" w:rsidR="005623FA" w:rsidRDefault="00357A3C">
      <w:pPr>
        <w:spacing w:after="0"/>
        <w:ind w:left="-90"/>
        <w:jc w:val="both"/>
        <w:rPr>
          <w:rFonts w:eastAsia="Times New Roman" w:cs="Times New Roman"/>
          <w:b/>
          <w:szCs w:val="24"/>
        </w:rPr>
      </w:pPr>
      <w:r>
        <w:rPr>
          <w:rFonts w:cs="Times New Roman"/>
          <w:szCs w:val="24"/>
        </w:rPr>
        <w:t xml:space="preserve">The isolated microorganisms were characterized based on their colonial morphology. </w:t>
      </w:r>
      <w:r>
        <w:rPr>
          <w:rStyle w:val="Strong"/>
          <w:rFonts w:cs="Times New Roman"/>
          <w:b w:val="0"/>
          <w:i/>
          <w:szCs w:val="24"/>
        </w:rPr>
        <w:t xml:space="preserve">E. coli </w:t>
      </w:r>
      <w:r>
        <w:rPr>
          <w:rFonts w:cs="Times New Roman"/>
          <w:szCs w:val="24"/>
        </w:rPr>
        <w:t xml:space="preserve">appeared as </w:t>
      </w:r>
      <w:r>
        <w:rPr>
          <w:rStyle w:val="Strong"/>
          <w:rFonts w:cs="Times New Roman"/>
          <w:b w:val="0"/>
          <w:szCs w:val="24"/>
        </w:rPr>
        <w:t>pure pink, Gram-negative colonies</w:t>
      </w:r>
      <w:r>
        <w:rPr>
          <w:rFonts w:cs="Times New Roman"/>
          <w:szCs w:val="24"/>
        </w:rPr>
        <w:t xml:space="preserve"> with a </w:t>
      </w:r>
      <w:r>
        <w:rPr>
          <w:rStyle w:val="Strong"/>
          <w:rFonts w:cs="Times New Roman"/>
          <w:b w:val="0"/>
          <w:szCs w:val="24"/>
        </w:rPr>
        <w:t>shiny surface</w:t>
      </w:r>
      <w:r>
        <w:rPr>
          <w:rFonts w:cs="Times New Roman"/>
          <w:szCs w:val="24"/>
        </w:rPr>
        <w:t xml:space="preserve"> on the MacConkey Agar plate, indicating lactose fermentation. In contrast, </w:t>
      </w:r>
      <w:r>
        <w:rPr>
          <w:rStyle w:val="Strong"/>
          <w:rFonts w:cs="Times New Roman"/>
          <w:b w:val="0"/>
          <w:i/>
          <w:szCs w:val="24"/>
        </w:rPr>
        <w:t xml:space="preserve">Klebsiella </w:t>
      </w:r>
      <w:r>
        <w:rPr>
          <w:rStyle w:val="Strong"/>
          <w:rFonts w:cs="Times New Roman"/>
          <w:b w:val="0"/>
          <w:iCs/>
          <w:szCs w:val="24"/>
          <w:lang w:val="en-US"/>
        </w:rPr>
        <w:t>spp</w:t>
      </w:r>
      <w:r>
        <w:rPr>
          <w:rStyle w:val="Strong"/>
          <w:rFonts w:cs="Times New Roman"/>
          <w:b w:val="0"/>
          <w:i/>
          <w:szCs w:val="24"/>
          <w:lang w:val="en-US"/>
        </w:rPr>
        <w:t>.</w:t>
      </w:r>
      <w:r>
        <w:rPr>
          <w:rFonts w:cs="Times New Roman"/>
          <w:szCs w:val="24"/>
        </w:rPr>
        <w:t xml:space="preserve"> exhibited a </w:t>
      </w:r>
      <w:r>
        <w:rPr>
          <w:rStyle w:val="Strong"/>
          <w:rFonts w:cs="Times New Roman"/>
          <w:szCs w:val="24"/>
        </w:rPr>
        <w:t>t</w:t>
      </w:r>
      <w:r>
        <w:rPr>
          <w:rStyle w:val="Strong"/>
          <w:rFonts w:cs="Times New Roman"/>
          <w:b w:val="0"/>
          <w:szCs w:val="24"/>
        </w:rPr>
        <w:t>hread-like circular shape</w:t>
      </w:r>
      <w:r>
        <w:rPr>
          <w:rFonts w:cs="Times New Roman"/>
          <w:szCs w:val="24"/>
        </w:rPr>
        <w:t xml:space="preserve"> with a </w:t>
      </w:r>
      <w:r>
        <w:rPr>
          <w:rStyle w:val="Strong"/>
          <w:rFonts w:cs="Times New Roman"/>
          <w:b w:val="0"/>
          <w:szCs w:val="24"/>
        </w:rPr>
        <w:t>slightly pink coloration</w:t>
      </w:r>
      <w:r>
        <w:rPr>
          <w:rFonts w:cs="Times New Roman"/>
          <w:szCs w:val="24"/>
        </w:rPr>
        <w:t xml:space="preserve"> but lacked the dazzling surface observed in </w:t>
      </w:r>
      <w:r>
        <w:rPr>
          <w:rStyle w:val="Strong"/>
          <w:rFonts w:cs="Times New Roman"/>
          <w:b w:val="0"/>
          <w:i/>
          <w:szCs w:val="24"/>
        </w:rPr>
        <w:t xml:space="preserve">E. </w:t>
      </w:r>
      <w:r>
        <w:rPr>
          <w:rStyle w:val="Strong"/>
          <w:rFonts w:cs="Times New Roman"/>
          <w:b w:val="0"/>
          <w:i/>
          <w:szCs w:val="24"/>
        </w:rPr>
        <w:lastRenderedPageBreak/>
        <w:t>coli</w:t>
      </w:r>
      <w:r>
        <w:rPr>
          <w:rFonts w:cs="Times New Roman"/>
          <w:szCs w:val="24"/>
        </w:rPr>
        <w:t>. These distinct morphological features were used as preliminary identification criteria before further biochemical and molecular characterization.</w:t>
      </w:r>
    </w:p>
    <w:p w14:paraId="1F0E5E8A" w14:textId="77777777" w:rsidR="005623FA" w:rsidRDefault="00357A3C">
      <w:pPr>
        <w:spacing w:after="0"/>
        <w:ind w:left="-90" w:hanging="90"/>
        <w:jc w:val="both"/>
        <w:rPr>
          <w:rFonts w:cs="Times New Roman"/>
          <w:szCs w:val="24"/>
        </w:rPr>
      </w:pPr>
      <w:r>
        <w:rPr>
          <w:rFonts w:cs="Times New Roman"/>
          <w:szCs w:val="24"/>
        </w:rPr>
        <w:t xml:space="preserve">The biochemical tests conducted for </w:t>
      </w:r>
      <w:r>
        <w:rPr>
          <w:rStyle w:val="Emphasis"/>
          <w:rFonts w:cs="Times New Roman"/>
          <w:szCs w:val="24"/>
        </w:rPr>
        <w:t>E. coli</w:t>
      </w:r>
      <w:r>
        <w:rPr>
          <w:rFonts w:cs="Times New Roman"/>
          <w:szCs w:val="24"/>
        </w:rPr>
        <w:t xml:space="preserve"> and </w:t>
      </w:r>
      <w:r>
        <w:rPr>
          <w:rStyle w:val="Emphasis"/>
          <w:rFonts w:cs="Times New Roman"/>
          <w:szCs w:val="24"/>
        </w:rPr>
        <w:t>Klebsiella</w:t>
      </w:r>
      <w:r>
        <w:rPr>
          <w:rFonts w:cs="Times New Roman"/>
          <w:szCs w:val="24"/>
        </w:rPr>
        <w:t xml:space="preserve"> spp. revealed that </w:t>
      </w:r>
      <w:r>
        <w:rPr>
          <w:rStyle w:val="Emphasis"/>
          <w:rFonts w:cs="Times New Roman"/>
          <w:szCs w:val="24"/>
        </w:rPr>
        <w:t>E. coli</w:t>
      </w:r>
      <w:r>
        <w:rPr>
          <w:rFonts w:cs="Times New Roman"/>
          <w:szCs w:val="24"/>
        </w:rPr>
        <w:t xml:space="preserve"> was negative for the citrate and oxidase tests but positive for the indole test. </w:t>
      </w:r>
      <w:r>
        <w:rPr>
          <w:rStyle w:val="Emphasis"/>
          <w:rFonts w:cs="Times New Roman"/>
          <w:szCs w:val="24"/>
        </w:rPr>
        <w:t>Klebsiella</w:t>
      </w:r>
      <w:r>
        <w:rPr>
          <w:rFonts w:cs="Times New Roman"/>
          <w:szCs w:val="24"/>
        </w:rPr>
        <w:t xml:space="preserve"> spp. tested positive for the catalase test, negative for the oxidase test and negative for indole test.</w:t>
      </w:r>
    </w:p>
    <w:p w14:paraId="054D9660" w14:textId="77777777" w:rsidR="005623FA" w:rsidRDefault="005623FA">
      <w:pPr>
        <w:spacing w:after="0"/>
        <w:ind w:left="-90" w:hanging="90"/>
        <w:jc w:val="both"/>
        <w:rPr>
          <w:rFonts w:cs="Times New Roman"/>
          <w:szCs w:val="24"/>
        </w:rPr>
      </w:pPr>
    </w:p>
    <w:p w14:paraId="0C8E83DF" w14:textId="77777777" w:rsidR="005623FA" w:rsidRDefault="00357A3C">
      <w:pPr>
        <w:numPr>
          <w:ilvl w:val="1"/>
          <w:numId w:val="1"/>
        </w:numPr>
        <w:spacing w:after="240"/>
        <w:jc w:val="both"/>
        <w:rPr>
          <w:rFonts w:eastAsia="Times New Roman" w:cs="Times New Roman"/>
          <w:b/>
          <w:bCs/>
          <w:szCs w:val="24"/>
        </w:rPr>
      </w:pPr>
      <w:r>
        <w:rPr>
          <w:rFonts w:eastAsia="Times New Roman" w:cs="Times New Roman"/>
          <w:b/>
          <w:bCs/>
          <w:szCs w:val="24"/>
        </w:rPr>
        <w:t>Antibiotic Susceptibility Profiles</w:t>
      </w:r>
    </w:p>
    <w:p w14:paraId="5265AED1" w14:textId="77777777" w:rsidR="005623FA" w:rsidRDefault="00357A3C">
      <w:pPr>
        <w:spacing w:after="240"/>
        <w:ind w:left="-90"/>
        <w:jc w:val="both"/>
        <w:rPr>
          <w:rFonts w:eastAsia="Times New Roman" w:cs="Times New Roman"/>
          <w:bCs/>
          <w:szCs w:val="24"/>
        </w:rPr>
      </w:pPr>
      <w:r>
        <w:rPr>
          <w:rFonts w:eastAsia="Times New Roman" w:cs="Times New Roman"/>
          <w:bCs/>
          <w:szCs w:val="24"/>
        </w:rPr>
        <w:t xml:space="preserve">Antibiotic susceptibility testing revealed high levels of multidrug resistance in both </w:t>
      </w:r>
      <w:r>
        <w:rPr>
          <w:rFonts w:eastAsia="Times New Roman" w:cs="Times New Roman"/>
          <w:bCs/>
          <w:i/>
          <w:szCs w:val="24"/>
        </w:rPr>
        <w:t>Klebsiella pneumoniae</w:t>
      </w:r>
      <w:r>
        <w:rPr>
          <w:rFonts w:eastAsia="Times New Roman" w:cs="Times New Roman"/>
          <w:bCs/>
          <w:szCs w:val="24"/>
        </w:rPr>
        <w:t xml:space="preserve"> and </w:t>
      </w:r>
      <w:r>
        <w:rPr>
          <w:rFonts w:eastAsia="Times New Roman" w:cs="Times New Roman"/>
          <w:bCs/>
          <w:i/>
          <w:szCs w:val="24"/>
        </w:rPr>
        <w:t>Escherichia coli</w:t>
      </w:r>
      <w:r>
        <w:rPr>
          <w:rFonts w:eastAsia="Times New Roman" w:cs="Times New Roman"/>
          <w:bCs/>
          <w:szCs w:val="24"/>
        </w:rPr>
        <w:t xml:space="preserve"> isolates.</w:t>
      </w:r>
    </w:p>
    <w:p w14:paraId="21F07998" w14:textId="77777777" w:rsidR="005623FA" w:rsidRDefault="00357A3C">
      <w:pPr>
        <w:spacing w:after="0" w:line="480" w:lineRule="auto"/>
        <w:rPr>
          <w:rFonts w:eastAsia="Times New Roman" w:cs="Times New Roman"/>
          <w:b/>
          <w:szCs w:val="24"/>
        </w:rPr>
      </w:pPr>
      <w:r>
        <w:rPr>
          <w:rFonts w:eastAsia="Times New Roman" w:cs="Times New Roman"/>
          <w:b/>
          <w:szCs w:val="24"/>
        </w:rPr>
        <w:t xml:space="preserve">Table </w:t>
      </w:r>
      <w:r>
        <w:rPr>
          <w:rFonts w:eastAsia="Times New Roman" w:cs="Times New Roman"/>
          <w:b/>
          <w:szCs w:val="24"/>
          <w:lang w:val="en-US"/>
        </w:rPr>
        <w:t>1</w:t>
      </w:r>
      <w:r>
        <w:rPr>
          <w:rFonts w:eastAsia="Times New Roman" w:cs="Times New Roman"/>
          <w:b/>
          <w:szCs w:val="24"/>
        </w:rPr>
        <w:t xml:space="preserve">: Result of Antibiotics sensitivity test of </w:t>
      </w:r>
      <w:r>
        <w:rPr>
          <w:rFonts w:eastAsia="Times New Roman" w:cs="Times New Roman"/>
          <w:b/>
          <w:i/>
          <w:szCs w:val="24"/>
        </w:rPr>
        <w:t xml:space="preserve">Klebsiella pneumoniae </w:t>
      </w:r>
      <w:r>
        <w:rPr>
          <w:rFonts w:eastAsia="Times New Roman" w:cs="Times New Roman"/>
          <w:b/>
          <w:szCs w:val="24"/>
        </w:rPr>
        <w:t xml:space="preserve">and </w:t>
      </w:r>
      <w:proofErr w:type="gramStart"/>
      <w:r>
        <w:rPr>
          <w:rFonts w:eastAsia="Times New Roman" w:cs="Times New Roman"/>
          <w:b/>
          <w:i/>
          <w:szCs w:val="24"/>
        </w:rPr>
        <w:t>E.coli</w:t>
      </w:r>
      <w:proofErr w:type="gramEnd"/>
      <w:r>
        <w:rPr>
          <w:rFonts w:eastAsia="Times New Roman" w:cs="Times New Roman"/>
          <w:b/>
          <w:i/>
          <w:szCs w:val="24"/>
        </w:rPr>
        <w:t xml:space="preserve"> </w:t>
      </w:r>
      <w:commentRangeStart w:id="2"/>
      <w:r>
        <w:rPr>
          <w:rFonts w:eastAsia="Times New Roman" w:cs="Times New Roman"/>
          <w:b/>
          <w:szCs w:val="24"/>
        </w:rPr>
        <w:t>isolates</w:t>
      </w:r>
      <w:commentRangeEnd w:id="2"/>
      <w:r w:rsidR="00615C2A">
        <w:rPr>
          <w:rStyle w:val="CommentReference"/>
        </w:rPr>
        <w:commentReference w:id="2"/>
      </w:r>
      <w:r>
        <w:rPr>
          <w:rFonts w:eastAsia="Times New Roman" w:cs="Times New Roman"/>
          <w:b/>
          <w:szCs w:val="24"/>
        </w:rPr>
        <w:t>.</w:t>
      </w:r>
    </w:p>
    <w:tbl>
      <w:tblPr>
        <w:tblStyle w:val="PlainTable21"/>
        <w:tblW w:w="1006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356"/>
        <w:gridCol w:w="1419"/>
        <w:gridCol w:w="1437"/>
        <w:gridCol w:w="1417"/>
        <w:gridCol w:w="1325"/>
        <w:gridCol w:w="1302"/>
      </w:tblGrid>
      <w:tr w:rsidR="005623FA" w14:paraId="4335830E" w14:textId="77777777" w:rsidTr="005623FA">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217584C0" w14:textId="77777777" w:rsidR="005623FA" w:rsidRDefault="005623FA">
            <w:pPr>
              <w:spacing w:after="0"/>
              <w:rPr>
                <w:rFonts w:cs="Times New Roman"/>
                <w:b w:val="0"/>
                <w:bCs w:val="0"/>
                <w:szCs w:val="24"/>
                <w:lang w:val="en-US"/>
              </w:rPr>
            </w:pPr>
          </w:p>
        </w:tc>
        <w:tc>
          <w:tcPr>
            <w:tcW w:w="4212" w:type="dxa"/>
            <w:gridSpan w:val="3"/>
            <w:vAlign w:val="center"/>
          </w:tcPr>
          <w:p w14:paraId="34728CFF" w14:textId="77777777" w:rsidR="005623FA" w:rsidRDefault="00357A3C">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en-US"/>
              </w:rPr>
            </w:pPr>
            <w:r>
              <w:rPr>
                <w:rFonts w:cs="Times New Roman"/>
                <w:i/>
                <w:szCs w:val="24"/>
                <w:lang w:val="en-US"/>
              </w:rPr>
              <w:t xml:space="preserve">Klebsiella pneumonia </w:t>
            </w:r>
            <w:r>
              <w:rPr>
                <w:rFonts w:cs="Times New Roman"/>
                <w:szCs w:val="24"/>
                <w:lang w:val="en-US"/>
              </w:rPr>
              <w:t xml:space="preserve">(N=82) </w:t>
            </w:r>
          </w:p>
        </w:tc>
        <w:tc>
          <w:tcPr>
            <w:tcW w:w="4044" w:type="dxa"/>
            <w:gridSpan w:val="3"/>
            <w:vAlign w:val="center"/>
          </w:tcPr>
          <w:p w14:paraId="2997E4E9" w14:textId="77777777" w:rsidR="005623FA" w:rsidRDefault="00357A3C">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en-US"/>
              </w:rPr>
            </w:pPr>
            <w:r>
              <w:rPr>
                <w:rFonts w:cs="Times New Roman"/>
                <w:i/>
                <w:szCs w:val="24"/>
              </w:rPr>
              <w:t>Escherichia</w:t>
            </w:r>
            <w:r>
              <w:rPr>
                <w:rFonts w:cs="Times New Roman"/>
                <w:i/>
                <w:szCs w:val="24"/>
                <w:lang w:val="en-US"/>
              </w:rPr>
              <w:t xml:space="preserve"> coli</w:t>
            </w:r>
            <w:r>
              <w:rPr>
                <w:rFonts w:cs="Times New Roman"/>
                <w:szCs w:val="24"/>
                <w:lang w:val="en-US"/>
              </w:rPr>
              <w:t xml:space="preserve"> (N=76) </w:t>
            </w:r>
          </w:p>
        </w:tc>
      </w:tr>
      <w:tr w:rsidR="005623FA" w14:paraId="43ADB969" w14:textId="77777777" w:rsidTr="005623FA">
        <w:trPr>
          <w:trHeight w:val="89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76F183B4" w14:textId="77777777" w:rsidR="005623FA" w:rsidRDefault="005623FA">
            <w:pPr>
              <w:spacing w:after="0"/>
              <w:rPr>
                <w:rFonts w:cs="Times New Roman"/>
                <w:b w:val="0"/>
                <w:bCs w:val="0"/>
                <w:szCs w:val="24"/>
                <w:lang w:val="en-US"/>
              </w:rPr>
            </w:pPr>
          </w:p>
          <w:p w14:paraId="2A568581" w14:textId="77777777" w:rsidR="005623FA" w:rsidRDefault="00357A3C">
            <w:pPr>
              <w:spacing w:after="0"/>
              <w:rPr>
                <w:rFonts w:cs="Times New Roman"/>
                <w:b w:val="0"/>
                <w:bCs w:val="0"/>
                <w:szCs w:val="24"/>
                <w:lang w:val="en-US"/>
              </w:rPr>
            </w:pPr>
            <w:r>
              <w:rPr>
                <w:rFonts w:cs="Times New Roman"/>
                <w:szCs w:val="24"/>
                <w:lang w:val="en-US"/>
              </w:rPr>
              <w:t>Antibiotics</w:t>
            </w:r>
          </w:p>
        </w:tc>
        <w:tc>
          <w:tcPr>
            <w:tcW w:w="1356" w:type="dxa"/>
            <w:vAlign w:val="center"/>
          </w:tcPr>
          <w:p w14:paraId="544C7C1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S</w:t>
            </w:r>
          </w:p>
        </w:tc>
        <w:tc>
          <w:tcPr>
            <w:tcW w:w="1419" w:type="dxa"/>
            <w:vAlign w:val="center"/>
          </w:tcPr>
          <w:p w14:paraId="1541F446"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I</w:t>
            </w:r>
          </w:p>
        </w:tc>
        <w:tc>
          <w:tcPr>
            <w:tcW w:w="1437" w:type="dxa"/>
            <w:vAlign w:val="center"/>
          </w:tcPr>
          <w:p w14:paraId="1E44DA74"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R</w:t>
            </w:r>
          </w:p>
        </w:tc>
        <w:tc>
          <w:tcPr>
            <w:tcW w:w="1417" w:type="dxa"/>
            <w:vAlign w:val="center"/>
          </w:tcPr>
          <w:p w14:paraId="527D5062"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S</w:t>
            </w:r>
          </w:p>
        </w:tc>
        <w:tc>
          <w:tcPr>
            <w:tcW w:w="1325" w:type="dxa"/>
            <w:vAlign w:val="center"/>
          </w:tcPr>
          <w:p w14:paraId="2C819AF1"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I</w:t>
            </w:r>
          </w:p>
        </w:tc>
        <w:tc>
          <w:tcPr>
            <w:tcW w:w="1302" w:type="dxa"/>
            <w:vAlign w:val="center"/>
          </w:tcPr>
          <w:p w14:paraId="0321D324"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R</w:t>
            </w:r>
          </w:p>
        </w:tc>
      </w:tr>
      <w:tr w:rsidR="005623FA" w14:paraId="2D84B04D"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7AAEC6DD" w14:textId="77777777" w:rsidR="005623FA" w:rsidRDefault="00357A3C">
            <w:pPr>
              <w:spacing w:after="0"/>
              <w:rPr>
                <w:rFonts w:cs="Times New Roman"/>
                <w:b w:val="0"/>
                <w:bCs w:val="0"/>
                <w:szCs w:val="24"/>
                <w:lang w:val="en-US"/>
              </w:rPr>
            </w:pPr>
            <w:r>
              <w:rPr>
                <w:rFonts w:cs="Times New Roman"/>
                <w:szCs w:val="24"/>
                <w:lang w:val="en-US"/>
              </w:rPr>
              <w:t>Cefotaxime (25µg)</w:t>
            </w:r>
          </w:p>
        </w:tc>
        <w:tc>
          <w:tcPr>
            <w:tcW w:w="1356" w:type="dxa"/>
            <w:vAlign w:val="center"/>
          </w:tcPr>
          <w:p w14:paraId="1E0FF556"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25 (30.5%)</w:t>
            </w:r>
          </w:p>
        </w:tc>
        <w:tc>
          <w:tcPr>
            <w:tcW w:w="1419" w:type="dxa"/>
            <w:vAlign w:val="center"/>
          </w:tcPr>
          <w:p w14:paraId="6543B131"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(18.3%)</w:t>
            </w:r>
          </w:p>
        </w:tc>
        <w:tc>
          <w:tcPr>
            <w:tcW w:w="1437" w:type="dxa"/>
            <w:vAlign w:val="center"/>
          </w:tcPr>
          <w:p w14:paraId="70F1938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42 (64.6%)</w:t>
            </w:r>
          </w:p>
        </w:tc>
        <w:tc>
          <w:tcPr>
            <w:tcW w:w="1417" w:type="dxa"/>
            <w:vAlign w:val="center"/>
          </w:tcPr>
          <w:p w14:paraId="7EB6272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 xml:space="preserve"> 11 (14.5%)</w:t>
            </w:r>
          </w:p>
        </w:tc>
        <w:tc>
          <w:tcPr>
            <w:tcW w:w="1325" w:type="dxa"/>
            <w:vAlign w:val="center"/>
          </w:tcPr>
          <w:p w14:paraId="2D097736"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17 (22.4%)</w:t>
            </w:r>
          </w:p>
        </w:tc>
        <w:tc>
          <w:tcPr>
            <w:tcW w:w="1302" w:type="dxa"/>
            <w:vAlign w:val="center"/>
          </w:tcPr>
          <w:p w14:paraId="5F2F1D52"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48 (63.2%)</w:t>
            </w:r>
          </w:p>
        </w:tc>
      </w:tr>
      <w:tr w:rsidR="005623FA" w14:paraId="4EE50307" w14:textId="77777777" w:rsidTr="005623FA">
        <w:trPr>
          <w:trHeight w:val="626"/>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566C47D2" w14:textId="77777777" w:rsidR="005623FA" w:rsidRDefault="00357A3C">
            <w:pPr>
              <w:spacing w:after="0"/>
              <w:rPr>
                <w:rFonts w:cs="Times New Roman"/>
                <w:b w:val="0"/>
                <w:bCs w:val="0"/>
                <w:szCs w:val="24"/>
                <w:lang w:val="en-US"/>
              </w:rPr>
            </w:pPr>
            <w:r>
              <w:rPr>
                <w:rFonts w:cs="Times New Roman"/>
                <w:szCs w:val="24"/>
                <w:lang w:val="en-US"/>
              </w:rPr>
              <w:t>Ciprofloxacin</w:t>
            </w:r>
          </w:p>
          <w:p w14:paraId="130C38EE" w14:textId="77777777" w:rsidR="005623FA" w:rsidRDefault="00357A3C">
            <w:pPr>
              <w:spacing w:after="0"/>
              <w:rPr>
                <w:rFonts w:cs="Times New Roman"/>
                <w:b w:val="0"/>
                <w:bCs w:val="0"/>
                <w:szCs w:val="24"/>
                <w:lang w:val="en-US"/>
              </w:rPr>
            </w:pPr>
            <w:r>
              <w:rPr>
                <w:rFonts w:cs="Times New Roman"/>
                <w:szCs w:val="24"/>
                <w:lang w:val="en-US"/>
              </w:rPr>
              <w:t xml:space="preserve"> (30 µg)</w:t>
            </w:r>
          </w:p>
        </w:tc>
        <w:tc>
          <w:tcPr>
            <w:tcW w:w="1356" w:type="dxa"/>
            <w:vAlign w:val="center"/>
          </w:tcPr>
          <w:p w14:paraId="56F0BCAE"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(21.9%)</w:t>
            </w:r>
          </w:p>
        </w:tc>
        <w:tc>
          <w:tcPr>
            <w:tcW w:w="1419" w:type="dxa"/>
            <w:vAlign w:val="center"/>
          </w:tcPr>
          <w:p w14:paraId="6C833E38"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14 (17.07%)</w:t>
            </w:r>
          </w:p>
        </w:tc>
        <w:tc>
          <w:tcPr>
            <w:tcW w:w="1437" w:type="dxa"/>
            <w:vAlign w:val="center"/>
          </w:tcPr>
          <w:p w14:paraId="01F6D07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50 60.97%)</w:t>
            </w:r>
          </w:p>
        </w:tc>
        <w:tc>
          <w:tcPr>
            <w:tcW w:w="1417" w:type="dxa"/>
            <w:vAlign w:val="center"/>
          </w:tcPr>
          <w:p w14:paraId="74A87B9C"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(42.1%)</w:t>
            </w:r>
          </w:p>
        </w:tc>
        <w:tc>
          <w:tcPr>
            <w:tcW w:w="1325" w:type="dxa"/>
            <w:vAlign w:val="center"/>
          </w:tcPr>
          <w:p w14:paraId="7E9AFEB7"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19 (25%)</w:t>
            </w:r>
          </w:p>
        </w:tc>
        <w:tc>
          <w:tcPr>
            <w:tcW w:w="1302" w:type="dxa"/>
            <w:vAlign w:val="center"/>
          </w:tcPr>
          <w:p w14:paraId="1B2AAABE"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25 (32.9%)</w:t>
            </w:r>
          </w:p>
        </w:tc>
      </w:tr>
      <w:tr w:rsidR="005623FA" w14:paraId="332EB788" w14:textId="77777777" w:rsidTr="005623FA">
        <w:trPr>
          <w:trHeight w:val="626"/>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42B212BD" w14:textId="77777777" w:rsidR="005623FA" w:rsidRDefault="00357A3C">
            <w:pPr>
              <w:spacing w:after="0"/>
              <w:rPr>
                <w:rFonts w:cs="Times New Roman"/>
                <w:b w:val="0"/>
                <w:bCs w:val="0"/>
                <w:szCs w:val="24"/>
                <w:lang w:val="en-US"/>
              </w:rPr>
            </w:pPr>
            <w:r>
              <w:rPr>
                <w:rFonts w:cs="Times New Roman"/>
                <w:szCs w:val="24"/>
                <w:lang w:val="en-US"/>
              </w:rPr>
              <w:t>Nitrofurantoin (30µg)</w:t>
            </w:r>
          </w:p>
        </w:tc>
        <w:tc>
          <w:tcPr>
            <w:tcW w:w="1356" w:type="dxa"/>
            <w:vAlign w:val="center"/>
          </w:tcPr>
          <w:p w14:paraId="4485A56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10 (12.2%)</w:t>
            </w:r>
          </w:p>
        </w:tc>
        <w:tc>
          <w:tcPr>
            <w:tcW w:w="1419" w:type="dxa"/>
            <w:vAlign w:val="center"/>
          </w:tcPr>
          <w:p w14:paraId="5627BBA8"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22 (26.8%)</w:t>
            </w:r>
          </w:p>
        </w:tc>
        <w:tc>
          <w:tcPr>
            <w:tcW w:w="1437" w:type="dxa"/>
            <w:vAlign w:val="center"/>
          </w:tcPr>
          <w:p w14:paraId="4D57084D"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50 (60.9%)</w:t>
            </w:r>
          </w:p>
        </w:tc>
        <w:tc>
          <w:tcPr>
            <w:tcW w:w="1417" w:type="dxa"/>
            <w:vAlign w:val="center"/>
          </w:tcPr>
          <w:p w14:paraId="1EE65DDF"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17 (22.4%)</w:t>
            </w:r>
          </w:p>
        </w:tc>
        <w:tc>
          <w:tcPr>
            <w:tcW w:w="1325" w:type="dxa"/>
            <w:vAlign w:val="center"/>
          </w:tcPr>
          <w:p w14:paraId="06ABFD12"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25 (32.9%)</w:t>
            </w:r>
          </w:p>
        </w:tc>
        <w:tc>
          <w:tcPr>
            <w:tcW w:w="1302" w:type="dxa"/>
            <w:vAlign w:val="center"/>
          </w:tcPr>
          <w:p w14:paraId="0F1852D7"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34 (44.7%)</w:t>
            </w:r>
          </w:p>
        </w:tc>
      </w:tr>
      <w:tr w:rsidR="005623FA" w14:paraId="2CDD05E0"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2243A371" w14:textId="77777777" w:rsidR="005623FA" w:rsidRDefault="00357A3C">
            <w:pPr>
              <w:spacing w:after="0"/>
              <w:rPr>
                <w:rFonts w:cs="Times New Roman"/>
                <w:b w:val="0"/>
                <w:bCs w:val="0"/>
                <w:szCs w:val="24"/>
                <w:lang w:val="en-US"/>
              </w:rPr>
            </w:pPr>
            <w:r>
              <w:rPr>
                <w:rFonts w:cs="Times New Roman"/>
                <w:szCs w:val="24"/>
                <w:lang w:val="en-US"/>
              </w:rPr>
              <w:t>Ceftriaxone (30µg)</w:t>
            </w:r>
          </w:p>
        </w:tc>
        <w:tc>
          <w:tcPr>
            <w:tcW w:w="1356" w:type="dxa"/>
            <w:vAlign w:val="center"/>
          </w:tcPr>
          <w:p w14:paraId="17E1E106"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10 (12.2%)</w:t>
            </w:r>
          </w:p>
        </w:tc>
        <w:tc>
          <w:tcPr>
            <w:tcW w:w="1419" w:type="dxa"/>
            <w:vAlign w:val="center"/>
          </w:tcPr>
          <w:p w14:paraId="4F8254C8"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27 (32.9%)</w:t>
            </w:r>
          </w:p>
        </w:tc>
        <w:tc>
          <w:tcPr>
            <w:tcW w:w="1437" w:type="dxa"/>
            <w:vAlign w:val="center"/>
          </w:tcPr>
          <w:p w14:paraId="55FB5FEF"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45 (54.9%)</w:t>
            </w:r>
          </w:p>
        </w:tc>
        <w:tc>
          <w:tcPr>
            <w:tcW w:w="1417" w:type="dxa"/>
            <w:vAlign w:val="center"/>
          </w:tcPr>
          <w:p w14:paraId="279C4784"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34 (44.7%)</w:t>
            </w:r>
          </w:p>
        </w:tc>
        <w:tc>
          <w:tcPr>
            <w:tcW w:w="1325" w:type="dxa"/>
            <w:vAlign w:val="center"/>
          </w:tcPr>
          <w:p w14:paraId="317057D0"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19 (25.0%)</w:t>
            </w:r>
          </w:p>
        </w:tc>
        <w:tc>
          <w:tcPr>
            <w:tcW w:w="1302" w:type="dxa"/>
            <w:vAlign w:val="center"/>
          </w:tcPr>
          <w:p w14:paraId="3DE59DA1"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23 (30.3%)</w:t>
            </w:r>
          </w:p>
        </w:tc>
      </w:tr>
      <w:tr w:rsidR="005623FA" w14:paraId="4463B89E"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36373ACB" w14:textId="77777777" w:rsidR="005623FA" w:rsidRDefault="00357A3C">
            <w:pPr>
              <w:spacing w:after="0"/>
              <w:rPr>
                <w:rFonts w:cs="Times New Roman"/>
                <w:b w:val="0"/>
                <w:bCs w:val="0"/>
                <w:szCs w:val="24"/>
                <w:lang w:val="en-US"/>
              </w:rPr>
            </w:pPr>
            <w:r>
              <w:rPr>
                <w:rFonts w:cs="Times New Roman"/>
                <w:szCs w:val="24"/>
                <w:lang w:val="en-US"/>
              </w:rPr>
              <w:t>Gentamycin (10µg)</w:t>
            </w:r>
          </w:p>
        </w:tc>
        <w:tc>
          <w:tcPr>
            <w:tcW w:w="1356" w:type="dxa"/>
            <w:vAlign w:val="center"/>
          </w:tcPr>
          <w:p w14:paraId="7FD73E1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8 (9.8%)</w:t>
            </w:r>
          </w:p>
        </w:tc>
        <w:tc>
          <w:tcPr>
            <w:tcW w:w="1419" w:type="dxa"/>
            <w:vAlign w:val="center"/>
          </w:tcPr>
          <w:p w14:paraId="7F769322"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30 (36.6%)</w:t>
            </w:r>
          </w:p>
        </w:tc>
        <w:tc>
          <w:tcPr>
            <w:tcW w:w="1437" w:type="dxa"/>
            <w:vAlign w:val="center"/>
          </w:tcPr>
          <w:p w14:paraId="02F76CF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44 (53.6%)</w:t>
            </w:r>
          </w:p>
        </w:tc>
        <w:tc>
          <w:tcPr>
            <w:tcW w:w="1417" w:type="dxa"/>
            <w:vAlign w:val="center"/>
          </w:tcPr>
          <w:p w14:paraId="691C5C67"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(19.7%)</w:t>
            </w:r>
          </w:p>
        </w:tc>
        <w:tc>
          <w:tcPr>
            <w:tcW w:w="1325" w:type="dxa"/>
            <w:vAlign w:val="center"/>
          </w:tcPr>
          <w:p w14:paraId="0011D45C"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21 (27.6%)</w:t>
            </w:r>
          </w:p>
        </w:tc>
        <w:tc>
          <w:tcPr>
            <w:tcW w:w="1302" w:type="dxa"/>
            <w:vAlign w:val="center"/>
          </w:tcPr>
          <w:p w14:paraId="470C77F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40 (52.6%)</w:t>
            </w:r>
          </w:p>
        </w:tc>
      </w:tr>
      <w:tr w:rsidR="005623FA" w14:paraId="775E6725"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40AE641C" w14:textId="77777777" w:rsidR="005623FA" w:rsidRDefault="00357A3C">
            <w:pPr>
              <w:spacing w:after="0"/>
              <w:rPr>
                <w:rFonts w:cs="Times New Roman"/>
                <w:b w:val="0"/>
                <w:bCs w:val="0"/>
                <w:szCs w:val="24"/>
                <w:lang w:val="en-US"/>
              </w:rPr>
            </w:pPr>
            <w:r>
              <w:rPr>
                <w:rFonts w:cs="Times New Roman"/>
                <w:szCs w:val="24"/>
                <w:lang w:val="en-US"/>
              </w:rPr>
              <w:t>Levofloxacin (5µg)</w:t>
            </w:r>
          </w:p>
        </w:tc>
        <w:tc>
          <w:tcPr>
            <w:tcW w:w="1356" w:type="dxa"/>
            <w:vAlign w:val="center"/>
          </w:tcPr>
          <w:p w14:paraId="7D43506C"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23 (28.0%)</w:t>
            </w:r>
          </w:p>
        </w:tc>
        <w:tc>
          <w:tcPr>
            <w:tcW w:w="1419" w:type="dxa"/>
            <w:vAlign w:val="center"/>
          </w:tcPr>
          <w:p w14:paraId="1A713FA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(18.3%)</w:t>
            </w:r>
          </w:p>
        </w:tc>
        <w:tc>
          <w:tcPr>
            <w:tcW w:w="1437" w:type="dxa"/>
            <w:vAlign w:val="center"/>
          </w:tcPr>
          <w:p w14:paraId="05A41D20"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44 (53.6%)</w:t>
            </w:r>
          </w:p>
        </w:tc>
        <w:tc>
          <w:tcPr>
            <w:tcW w:w="1417" w:type="dxa"/>
            <w:vAlign w:val="center"/>
          </w:tcPr>
          <w:p w14:paraId="03FE093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23 (30.3%)</w:t>
            </w:r>
          </w:p>
        </w:tc>
        <w:tc>
          <w:tcPr>
            <w:tcW w:w="1325" w:type="dxa"/>
            <w:vAlign w:val="center"/>
          </w:tcPr>
          <w:p w14:paraId="43B4BD2D"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(23.6%)</w:t>
            </w:r>
          </w:p>
        </w:tc>
        <w:tc>
          <w:tcPr>
            <w:tcW w:w="1302" w:type="dxa"/>
            <w:vAlign w:val="center"/>
          </w:tcPr>
          <w:p w14:paraId="07CA4FA7"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35 (35.0%)</w:t>
            </w:r>
          </w:p>
        </w:tc>
      </w:tr>
      <w:tr w:rsidR="005623FA" w14:paraId="418A6B74" w14:textId="77777777" w:rsidTr="005623FA">
        <w:trPr>
          <w:trHeight w:val="935"/>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7BA80075" w14:textId="77777777" w:rsidR="005623FA" w:rsidRDefault="00357A3C">
            <w:pPr>
              <w:spacing w:after="0"/>
              <w:rPr>
                <w:rFonts w:cs="Times New Roman"/>
                <w:b w:val="0"/>
                <w:bCs w:val="0"/>
                <w:szCs w:val="24"/>
                <w:lang w:val="en-US"/>
              </w:rPr>
            </w:pPr>
            <w:r>
              <w:rPr>
                <w:rFonts w:cs="Times New Roman"/>
                <w:szCs w:val="24"/>
                <w:lang w:val="en-US"/>
              </w:rPr>
              <w:t>Amoxicillin-Clavulanic acid (30µg)</w:t>
            </w:r>
          </w:p>
        </w:tc>
        <w:tc>
          <w:tcPr>
            <w:tcW w:w="1356" w:type="dxa"/>
            <w:vAlign w:val="center"/>
          </w:tcPr>
          <w:p w14:paraId="772678D2"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25 (30.5%)</w:t>
            </w:r>
          </w:p>
        </w:tc>
        <w:tc>
          <w:tcPr>
            <w:tcW w:w="1419" w:type="dxa"/>
            <w:vAlign w:val="center"/>
          </w:tcPr>
          <w:p w14:paraId="19F5F4EC"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(18.3%)</w:t>
            </w:r>
          </w:p>
        </w:tc>
        <w:tc>
          <w:tcPr>
            <w:tcW w:w="1437" w:type="dxa"/>
            <w:vAlign w:val="center"/>
          </w:tcPr>
          <w:p w14:paraId="0BC1B31E"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42 (51.2%)</w:t>
            </w:r>
          </w:p>
        </w:tc>
        <w:tc>
          <w:tcPr>
            <w:tcW w:w="1417" w:type="dxa"/>
            <w:vAlign w:val="center"/>
          </w:tcPr>
          <w:p w14:paraId="21012DE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21 (27.6%)</w:t>
            </w:r>
          </w:p>
        </w:tc>
        <w:tc>
          <w:tcPr>
            <w:tcW w:w="1325" w:type="dxa"/>
            <w:vAlign w:val="center"/>
          </w:tcPr>
          <w:p w14:paraId="454B1D55"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(18.3%)</w:t>
            </w:r>
          </w:p>
        </w:tc>
        <w:tc>
          <w:tcPr>
            <w:tcW w:w="1302" w:type="dxa"/>
            <w:vAlign w:val="center"/>
          </w:tcPr>
          <w:p w14:paraId="6DB12FF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40 (52.6%)</w:t>
            </w:r>
          </w:p>
        </w:tc>
      </w:tr>
      <w:tr w:rsidR="005623FA" w14:paraId="4F256ECA"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76490EB0" w14:textId="77777777" w:rsidR="005623FA" w:rsidRDefault="00357A3C">
            <w:pPr>
              <w:spacing w:after="0"/>
              <w:rPr>
                <w:rFonts w:cs="Times New Roman"/>
                <w:b w:val="0"/>
                <w:bCs w:val="0"/>
                <w:szCs w:val="24"/>
                <w:lang w:val="en-US"/>
              </w:rPr>
            </w:pPr>
            <w:proofErr w:type="spellStart"/>
            <w:r>
              <w:rPr>
                <w:rFonts w:cs="Times New Roman"/>
                <w:szCs w:val="24"/>
                <w:lang w:val="en-US"/>
              </w:rPr>
              <w:t>Cefexime</w:t>
            </w:r>
            <w:proofErr w:type="spellEnd"/>
            <w:r>
              <w:rPr>
                <w:rFonts w:cs="Times New Roman"/>
                <w:szCs w:val="24"/>
                <w:lang w:val="en-US"/>
              </w:rPr>
              <w:t xml:space="preserve"> (5µg)</w:t>
            </w:r>
          </w:p>
        </w:tc>
        <w:tc>
          <w:tcPr>
            <w:tcW w:w="1356" w:type="dxa"/>
            <w:vAlign w:val="center"/>
          </w:tcPr>
          <w:p w14:paraId="6BC57610"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24 (29.3%)</w:t>
            </w:r>
          </w:p>
        </w:tc>
        <w:tc>
          <w:tcPr>
            <w:tcW w:w="1419" w:type="dxa"/>
            <w:vAlign w:val="center"/>
          </w:tcPr>
          <w:p w14:paraId="114F3508"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(21.95%)</w:t>
            </w:r>
          </w:p>
        </w:tc>
        <w:tc>
          <w:tcPr>
            <w:tcW w:w="1437" w:type="dxa"/>
            <w:vAlign w:val="center"/>
          </w:tcPr>
          <w:p w14:paraId="26B23911"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40 (48.8%)</w:t>
            </w:r>
          </w:p>
        </w:tc>
        <w:tc>
          <w:tcPr>
            <w:tcW w:w="1417" w:type="dxa"/>
            <w:vAlign w:val="center"/>
          </w:tcPr>
          <w:p w14:paraId="1E440DC1"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19 (25.0%)</w:t>
            </w:r>
          </w:p>
        </w:tc>
        <w:tc>
          <w:tcPr>
            <w:tcW w:w="1325" w:type="dxa"/>
            <w:vAlign w:val="center"/>
          </w:tcPr>
          <w:p w14:paraId="33D07104"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(23.7%)</w:t>
            </w:r>
          </w:p>
        </w:tc>
        <w:tc>
          <w:tcPr>
            <w:tcW w:w="1302" w:type="dxa"/>
            <w:vAlign w:val="center"/>
          </w:tcPr>
          <w:p w14:paraId="5E8C805E"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40 (51.3%)</w:t>
            </w:r>
          </w:p>
        </w:tc>
      </w:tr>
      <w:tr w:rsidR="005623FA" w14:paraId="573D2DA4"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6A1810A6" w14:textId="77777777" w:rsidR="005623FA" w:rsidRDefault="00357A3C">
            <w:pPr>
              <w:spacing w:after="0"/>
              <w:rPr>
                <w:rFonts w:cs="Times New Roman"/>
                <w:b w:val="0"/>
                <w:bCs w:val="0"/>
                <w:szCs w:val="24"/>
                <w:lang w:val="en-US"/>
              </w:rPr>
            </w:pPr>
            <w:r>
              <w:rPr>
                <w:rFonts w:cs="Times New Roman"/>
                <w:szCs w:val="24"/>
                <w:lang w:val="en-US"/>
              </w:rPr>
              <w:lastRenderedPageBreak/>
              <w:t>Cefuroxime (30µg)</w:t>
            </w:r>
          </w:p>
        </w:tc>
        <w:tc>
          <w:tcPr>
            <w:tcW w:w="1356" w:type="dxa"/>
            <w:vAlign w:val="center"/>
          </w:tcPr>
          <w:p w14:paraId="3843A545"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20 (24.5%)</w:t>
            </w:r>
          </w:p>
        </w:tc>
        <w:tc>
          <w:tcPr>
            <w:tcW w:w="1419" w:type="dxa"/>
            <w:vAlign w:val="center"/>
          </w:tcPr>
          <w:p w14:paraId="1628104D"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24 (39.2%)</w:t>
            </w:r>
          </w:p>
        </w:tc>
        <w:tc>
          <w:tcPr>
            <w:tcW w:w="1437" w:type="dxa"/>
            <w:vAlign w:val="center"/>
          </w:tcPr>
          <w:p w14:paraId="1A061159"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38 (38.0%)</w:t>
            </w:r>
          </w:p>
        </w:tc>
        <w:tc>
          <w:tcPr>
            <w:tcW w:w="1417" w:type="dxa"/>
            <w:vAlign w:val="center"/>
          </w:tcPr>
          <w:p w14:paraId="75D43FB9"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(23.7%)</w:t>
            </w:r>
          </w:p>
        </w:tc>
        <w:tc>
          <w:tcPr>
            <w:tcW w:w="1325" w:type="dxa"/>
            <w:vAlign w:val="center"/>
          </w:tcPr>
          <w:p w14:paraId="6A9D857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(42.1%)</w:t>
            </w:r>
          </w:p>
        </w:tc>
        <w:tc>
          <w:tcPr>
            <w:tcW w:w="1302" w:type="dxa"/>
            <w:vAlign w:val="center"/>
          </w:tcPr>
          <w:p w14:paraId="3816A177"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26 (34.2%)</w:t>
            </w:r>
          </w:p>
        </w:tc>
      </w:tr>
      <w:tr w:rsidR="005623FA" w14:paraId="6893857F"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610CDD7E" w14:textId="77777777" w:rsidR="005623FA" w:rsidRDefault="00357A3C">
            <w:pPr>
              <w:spacing w:after="0"/>
              <w:rPr>
                <w:rFonts w:cs="Times New Roman"/>
                <w:b w:val="0"/>
                <w:bCs w:val="0"/>
                <w:szCs w:val="24"/>
                <w:lang w:val="en-US"/>
              </w:rPr>
            </w:pPr>
            <w:proofErr w:type="spellStart"/>
            <w:r>
              <w:rPr>
                <w:rFonts w:cs="Times New Roman"/>
                <w:szCs w:val="24"/>
                <w:lang w:val="en-US"/>
              </w:rPr>
              <w:t>Impenem</w:t>
            </w:r>
            <w:proofErr w:type="spellEnd"/>
            <w:r>
              <w:rPr>
                <w:rFonts w:cs="Times New Roman"/>
                <w:szCs w:val="24"/>
                <w:lang w:val="en-US"/>
              </w:rPr>
              <w:t xml:space="preserve"> (10µg)</w:t>
            </w:r>
          </w:p>
        </w:tc>
        <w:tc>
          <w:tcPr>
            <w:tcW w:w="1356" w:type="dxa"/>
            <w:vAlign w:val="center"/>
          </w:tcPr>
          <w:p w14:paraId="459A20B6"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21 (25.6%)</w:t>
            </w:r>
          </w:p>
        </w:tc>
        <w:tc>
          <w:tcPr>
            <w:tcW w:w="1419" w:type="dxa"/>
            <w:vAlign w:val="center"/>
          </w:tcPr>
          <w:p w14:paraId="44E5BC36"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(39.0%)</w:t>
            </w:r>
          </w:p>
        </w:tc>
        <w:tc>
          <w:tcPr>
            <w:tcW w:w="1437" w:type="dxa"/>
            <w:vAlign w:val="center"/>
          </w:tcPr>
          <w:p w14:paraId="3C723225"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29 (35.4%)</w:t>
            </w:r>
          </w:p>
        </w:tc>
        <w:tc>
          <w:tcPr>
            <w:tcW w:w="1417" w:type="dxa"/>
            <w:vAlign w:val="center"/>
          </w:tcPr>
          <w:p w14:paraId="03FA76B5"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8 (10.5%)</w:t>
            </w:r>
          </w:p>
        </w:tc>
        <w:tc>
          <w:tcPr>
            <w:tcW w:w="1325" w:type="dxa"/>
            <w:vAlign w:val="center"/>
          </w:tcPr>
          <w:p w14:paraId="3AA8B93F"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22 (28.9%)</w:t>
            </w:r>
          </w:p>
        </w:tc>
        <w:tc>
          <w:tcPr>
            <w:tcW w:w="1302" w:type="dxa"/>
            <w:vAlign w:val="center"/>
          </w:tcPr>
          <w:p w14:paraId="75D78844"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46 (60.5%)</w:t>
            </w:r>
          </w:p>
        </w:tc>
      </w:tr>
      <w:tr w:rsidR="005623FA" w14:paraId="4A8761A8"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7E754F72" w14:textId="77777777" w:rsidR="005623FA" w:rsidRDefault="00357A3C">
            <w:pPr>
              <w:spacing w:after="0"/>
              <w:rPr>
                <w:rFonts w:cs="Times New Roman"/>
                <w:b w:val="0"/>
                <w:bCs w:val="0"/>
                <w:szCs w:val="24"/>
                <w:lang w:val="en-US"/>
              </w:rPr>
            </w:pPr>
            <w:r>
              <w:rPr>
                <w:rFonts w:cs="Times New Roman"/>
                <w:szCs w:val="24"/>
                <w:lang w:val="en-US"/>
              </w:rPr>
              <w:t>Ofloxacin (5µg)</w:t>
            </w:r>
          </w:p>
        </w:tc>
        <w:tc>
          <w:tcPr>
            <w:tcW w:w="1356" w:type="dxa"/>
            <w:vAlign w:val="center"/>
          </w:tcPr>
          <w:p w14:paraId="7575C158"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10 (12.2%)</w:t>
            </w:r>
          </w:p>
        </w:tc>
        <w:tc>
          <w:tcPr>
            <w:tcW w:w="1419" w:type="dxa"/>
            <w:vAlign w:val="center"/>
          </w:tcPr>
          <w:p w14:paraId="418753C4"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46 (56.1%)</w:t>
            </w:r>
          </w:p>
        </w:tc>
        <w:tc>
          <w:tcPr>
            <w:tcW w:w="1437" w:type="dxa"/>
            <w:vAlign w:val="center"/>
          </w:tcPr>
          <w:p w14:paraId="7FA55759"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26 (31.7%)</w:t>
            </w:r>
          </w:p>
        </w:tc>
        <w:tc>
          <w:tcPr>
            <w:tcW w:w="1417" w:type="dxa"/>
            <w:vAlign w:val="center"/>
          </w:tcPr>
          <w:p w14:paraId="0514E6AC"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13 (17.1%)</w:t>
            </w:r>
          </w:p>
        </w:tc>
        <w:tc>
          <w:tcPr>
            <w:tcW w:w="1325" w:type="dxa"/>
            <w:vAlign w:val="center"/>
          </w:tcPr>
          <w:p w14:paraId="0DE21959"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31 (40.8%)</w:t>
            </w:r>
          </w:p>
        </w:tc>
        <w:tc>
          <w:tcPr>
            <w:tcW w:w="1302" w:type="dxa"/>
            <w:vAlign w:val="center"/>
          </w:tcPr>
          <w:p w14:paraId="35F31C09"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(42.1%)</w:t>
            </w:r>
          </w:p>
        </w:tc>
      </w:tr>
      <w:tr w:rsidR="005623FA" w14:paraId="43C168E6" w14:textId="77777777" w:rsidTr="005623FA">
        <w:trPr>
          <w:trHeight w:val="32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46BA4272" w14:textId="77777777" w:rsidR="005623FA" w:rsidRDefault="00357A3C">
            <w:pPr>
              <w:spacing w:after="0"/>
              <w:rPr>
                <w:rFonts w:cs="Times New Roman"/>
                <w:b w:val="0"/>
                <w:bCs w:val="0"/>
                <w:szCs w:val="24"/>
                <w:lang w:val="en-US"/>
              </w:rPr>
            </w:pPr>
            <w:r>
              <w:rPr>
                <w:rFonts w:cs="Times New Roman"/>
                <w:szCs w:val="24"/>
                <w:lang w:val="en-US"/>
              </w:rPr>
              <w:t>Nalidixic acid</w:t>
            </w:r>
          </w:p>
        </w:tc>
        <w:tc>
          <w:tcPr>
            <w:tcW w:w="1356" w:type="dxa"/>
            <w:vAlign w:val="center"/>
          </w:tcPr>
          <w:p w14:paraId="7293F623"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14 (17.1%)</w:t>
            </w:r>
          </w:p>
        </w:tc>
        <w:tc>
          <w:tcPr>
            <w:tcW w:w="1419" w:type="dxa"/>
            <w:vAlign w:val="center"/>
          </w:tcPr>
          <w:p w14:paraId="31569E0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44 (53.7%)</w:t>
            </w:r>
          </w:p>
        </w:tc>
        <w:tc>
          <w:tcPr>
            <w:tcW w:w="1437" w:type="dxa"/>
            <w:vAlign w:val="center"/>
          </w:tcPr>
          <w:p w14:paraId="62F9D340"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24 (29.3%)</w:t>
            </w:r>
          </w:p>
        </w:tc>
        <w:tc>
          <w:tcPr>
            <w:tcW w:w="1417" w:type="dxa"/>
            <w:vAlign w:val="center"/>
          </w:tcPr>
          <w:p w14:paraId="252A347D"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(42.1%)</w:t>
            </w:r>
          </w:p>
        </w:tc>
        <w:tc>
          <w:tcPr>
            <w:tcW w:w="1325" w:type="dxa"/>
            <w:vAlign w:val="center"/>
          </w:tcPr>
          <w:p w14:paraId="5F2C6B03"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(19.7%)</w:t>
            </w:r>
          </w:p>
        </w:tc>
        <w:tc>
          <w:tcPr>
            <w:tcW w:w="1302" w:type="dxa"/>
            <w:vAlign w:val="center"/>
          </w:tcPr>
          <w:p w14:paraId="4612367E"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29 (38.2%)</w:t>
            </w:r>
          </w:p>
        </w:tc>
      </w:tr>
    </w:tbl>
    <w:p w14:paraId="6DE21352" w14:textId="77777777" w:rsidR="005623FA" w:rsidRDefault="00357A3C">
      <w:pPr>
        <w:spacing w:before="100" w:beforeAutospacing="1" w:after="100" w:afterAutospacing="1"/>
        <w:jc w:val="both"/>
        <w:rPr>
          <w:rFonts w:eastAsia="Times New Roman" w:cs="Times New Roman"/>
          <w:szCs w:val="24"/>
        </w:rPr>
      </w:pPr>
      <w:r>
        <w:rPr>
          <w:rFonts w:eastAsia="Times New Roman" w:cs="Times New Roman"/>
          <w:szCs w:val="24"/>
          <w:lang w:val="en-US"/>
        </w:rPr>
        <w:t xml:space="preserve">Table 1 above, show that the </w:t>
      </w:r>
      <w:r>
        <w:rPr>
          <w:rFonts w:eastAsia="Times New Roman" w:cs="Times New Roman"/>
          <w:szCs w:val="24"/>
        </w:rPr>
        <w:t xml:space="preserve">antibiotic resistance profile of </w:t>
      </w:r>
      <w:r>
        <w:rPr>
          <w:rFonts w:eastAsia="Times New Roman" w:cs="Times New Roman"/>
          <w:i/>
          <w:iCs/>
          <w:szCs w:val="24"/>
        </w:rPr>
        <w:t>Klebsiella pneumoniae</w:t>
      </w:r>
      <w:r>
        <w:rPr>
          <w:rFonts w:eastAsia="Times New Roman" w:cs="Times New Roman"/>
          <w:szCs w:val="24"/>
        </w:rPr>
        <w:t xml:space="preserve"> isolates revealed high levels of resistance to several antibiotics, with the highest resistance observed against Cefotaxime (64.6%), Ciprofloxacin (60.9%), Nitrofurantoin (60.9%), Gentamicin (53.6%), Levofloxacin (53.6%), Ceftriaxone (54.9%), Amoxicillin-clavulanic acid (51.2%), Cefixime (48.8%), Imipenem (35.4%), Cefuroxime (38.0%), Ofloxacin (31.7%),</w:t>
      </w:r>
      <w:r>
        <w:rPr>
          <w:rFonts w:eastAsia="Times New Roman" w:cs="Times New Roman"/>
          <w:szCs w:val="24"/>
          <w:lang w:val="en-US"/>
        </w:rPr>
        <w:t xml:space="preserve"> </w:t>
      </w:r>
      <w:r>
        <w:rPr>
          <w:rFonts w:eastAsia="Times New Roman" w:cs="Times New Roman"/>
          <w:szCs w:val="24"/>
        </w:rPr>
        <w:t>and Nalidixic acid (29.3%).</w:t>
      </w:r>
    </w:p>
    <w:p w14:paraId="150C33D7" w14:textId="77777777" w:rsidR="005623FA" w:rsidRDefault="00357A3C">
      <w:pPr>
        <w:spacing w:before="100" w:beforeAutospacing="1" w:after="100" w:afterAutospacing="1"/>
        <w:jc w:val="both"/>
        <w:rPr>
          <w:rFonts w:eastAsia="Times New Roman" w:cs="Times New Roman"/>
          <w:szCs w:val="24"/>
        </w:rPr>
      </w:pPr>
      <w:r>
        <w:rPr>
          <w:rFonts w:eastAsia="Times New Roman" w:cs="Times New Roman"/>
          <w:szCs w:val="24"/>
        </w:rPr>
        <w:t xml:space="preserve">Similarly, </w:t>
      </w:r>
      <w:r>
        <w:rPr>
          <w:rFonts w:eastAsia="Times New Roman" w:cs="Times New Roman"/>
          <w:i/>
          <w:iCs/>
          <w:szCs w:val="24"/>
        </w:rPr>
        <w:t>Escherichia coli</w:t>
      </w:r>
      <w:r>
        <w:rPr>
          <w:rFonts w:eastAsia="Times New Roman" w:cs="Times New Roman"/>
          <w:szCs w:val="24"/>
        </w:rPr>
        <w:t xml:space="preserve"> isolates exhibited resistance to Cefotaxime (63.2%), Imipenem (60.5%), Amoxicillin-clavulanic acid (52.6%), Gentamicin (52.6%), Cefixime (51.3%), Nitrofurantoin (44.7%), Ofloxacin (42.1%), Nalidixic acid (38.2%), Levofloxacin (35.0%), Cefuroxime (34.2%), Ciprofloxacin (32.9%), and Ceftriaxone (30.3%).</w:t>
      </w:r>
    </w:p>
    <w:p w14:paraId="102D8D1C" w14:textId="77777777" w:rsidR="005623FA" w:rsidRDefault="00357A3C">
      <w:pPr>
        <w:numPr>
          <w:ilvl w:val="1"/>
          <w:numId w:val="1"/>
        </w:numPr>
        <w:spacing w:after="240"/>
        <w:jc w:val="both"/>
        <w:rPr>
          <w:rFonts w:eastAsia="Times New Roman" w:cs="Times New Roman"/>
          <w:b/>
          <w:bCs/>
          <w:szCs w:val="24"/>
        </w:rPr>
      </w:pPr>
      <w:r>
        <w:rPr>
          <w:rFonts w:eastAsia="Times New Roman" w:cs="Times New Roman"/>
          <w:b/>
          <w:bCs/>
          <w:szCs w:val="24"/>
        </w:rPr>
        <w:t>ESBL Screening and Confirmatory Testing</w:t>
      </w:r>
    </w:p>
    <w:p w14:paraId="3E8B2205" w14:textId="77777777" w:rsidR="005623FA" w:rsidRDefault="00357A3C">
      <w:pPr>
        <w:spacing w:after="240"/>
        <w:ind w:left="-90"/>
        <w:jc w:val="both"/>
        <w:rPr>
          <w:rFonts w:eastAsia="Times New Roman" w:cs="Times New Roman"/>
          <w:szCs w:val="24"/>
          <w:lang w:val="en-US"/>
        </w:rPr>
      </w:pPr>
      <w:r>
        <w:rPr>
          <w:rFonts w:eastAsia="Times New Roman" w:cs="Times New Roman"/>
          <w:bCs/>
          <w:szCs w:val="24"/>
        </w:rPr>
        <w:t xml:space="preserve">Phenotypic screening for Extended-Spectrum Beta-Lactamase (ESBL) production was conducted using CLSI-recommended disk diffusion methods. None of the bacterial isolates demonstrated reduced susceptibility indicative of no ESBL activity during the initial screening with ceftazidime and ceftriaxone. </w:t>
      </w:r>
      <w:r>
        <w:rPr>
          <w:rFonts w:eastAsia="Times New Roman" w:cs="Times New Roman"/>
          <w:szCs w:val="24"/>
          <w:lang w:val="en-US"/>
        </w:rPr>
        <w:t>Furthermore, confirmatory testing with the Double-Disc Synergy Test (DDST) demonstrated no substantial increase in inhibitory zones surrounding cephalosporin-clavulanate combination. This finding verifies the absence of phenotypic ESBL synthesis in the examined isolates.</w:t>
      </w:r>
    </w:p>
    <w:p w14:paraId="7AA4F227" w14:textId="77777777" w:rsidR="005623FA" w:rsidRDefault="00357A3C">
      <w:pPr>
        <w:numPr>
          <w:ilvl w:val="1"/>
          <w:numId w:val="1"/>
        </w:numPr>
        <w:spacing w:after="240"/>
        <w:jc w:val="both"/>
        <w:rPr>
          <w:rFonts w:eastAsia="Times New Roman" w:cs="Times New Roman"/>
          <w:b/>
          <w:bCs/>
          <w:szCs w:val="24"/>
        </w:rPr>
      </w:pPr>
      <w:r>
        <w:rPr>
          <w:rFonts w:eastAsia="Times New Roman" w:cs="Times New Roman"/>
          <w:b/>
          <w:bCs/>
          <w:szCs w:val="24"/>
        </w:rPr>
        <w:t>Molecular Characterisation of Bacterial Isolates</w:t>
      </w:r>
    </w:p>
    <w:p w14:paraId="24EAC84B" w14:textId="77777777" w:rsidR="005623FA" w:rsidRDefault="00357A3C">
      <w:pPr>
        <w:pStyle w:val="NormalWeb"/>
        <w:spacing w:line="360" w:lineRule="auto"/>
        <w:jc w:val="both"/>
      </w:pPr>
      <w:r>
        <w:t>PCR amplification identified the presence of plasmid-mediated quinolone resistance genes (</w:t>
      </w:r>
      <w:proofErr w:type="spellStart"/>
      <w:r>
        <w:rPr>
          <w:rStyle w:val="Emphasis"/>
        </w:rPr>
        <w:t>qnrA</w:t>
      </w:r>
      <w:proofErr w:type="spellEnd"/>
      <w:r>
        <w:t xml:space="preserve"> and </w:t>
      </w:r>
      <w:proofErr w:type="spellStart"/>
      <w:r>
        <w:rPr>
          <w:rStyle w:val="Emphasis"/>
        </w:rPr>
        <w:t>qnrB</w:t>
      </w:r>
      <w:proofErr w:type="spellEnd"/>
      <w:r>
        <w:t xml:space="preserve">) and ESBL-associated </w:t>
      </w:r>
      <w:r>
        <w:rPr>
          <w:rStyle w:val="Emphasis"/>
        </w:rPr>
        <w:t>CTX-M</w:t>
      </w:r>
      <w:r>
        <w:t xml:space="preserve"> genes (Figure 2 and Figure 3). Among 50 randomly selected isolates analyzed, 10 (20%) tested positive for either </w:t>
      </w:r>
      <w:proofErr w:type="spellStart"/>
      <w:r>
        <w:rPr>
          <w:rStyle w:val="Emphasis"/>
        </w:rPr>
        <w:t>qnrA</w:t>
      </w:r>
      <w:proofErr w:type="spellEnd"/>
      <w:r>
        <w:t xml:space="preserve"> or </w:t>
      </w:r>
      <w:proofErr w:type="spellStart"/>
      <w:r>
        <w:rPr>
          <w:rStyle w:val="Emphasis"/>
        </w:rPr>
        <w:t>qnrB</w:t>
      </w:r>
      <w:proofErr w:type="spellEnd"/>
      <w:r>
        <w:t xml:space="preserve"> genes. </w:t>
      </w:r>
      <w:r>
        <w:lastRenderedPageBreak/>
        <w:t xml:space="preserve">Only 2 isolates (4%) were positive for the </w:t>
      </w:r>
      <w:r>
        <w:rPr>
          <w:rStyle w:val="Emphasis"/>
        </w:rPr>
        <w:t>CTX-M</w:t>
      </w:r>
      <w:r>
        <w:t xml:space="preserve"> gene, indicating limited ESBL gene dissemination compared to quinolone resistance determinants.</w:t>
      </w:r>
    </w:p>
    <w:p w14:paraId="5E129E1D" w14:textId="02978C90" w:rsidR="005623FA" w:rsidRDefault="00357A3C">
      <w:pPr>
        <w:pStyle w:val="NormalWeb"/>
        <w:spacing w:line="360" w:lineRule="auto"/>
        <w:jc w:val="both"/>
        <w:rPr>
          <w:b/>
          <w:color w:val="000000" w:themeColor="text1"/>
        </w:rPr>
      </w:pPr>
      <w:r>
        <w:rPr>
          <w:bCs/>
          <w:noProof/>
        </w:rPr>
        <w:drawing>
          <wp:anchor distT="0" distB="0" distL="114300" distR="114300" simplePos="0" relativeHeight="251659264" behindDoc="0" locked="0" layoutInCell="1" allowOverlap="1" wp14:anchorId="35013AEC" wp14:editId="0B3E3FFC">
            <wp:simplePos x="0" y="0"/>
            <wp:positionH relativeFrom="column">
              <wp:posOffset>262890</wp:posOffset>
            </wp:positionH>
            <wp:positionV relativeFrom="paragraph">
              <wp:posOffset>1809115</wp:posOffset>
            </wp:positionV>
            <wp:extent cx="5199380" cy="1754505"/>
            <wp:effectExtent l="0" t="0" r="1270" b="17145"/>
            <wp:wrapSquare wrapText="bothSides"/>
            <wp:docPr id="2"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5"/>
                    <pic:cNvPicPr>
                      <a:picLocks noGrp="1" noChangeAspect="1"/>
                    </pic:cNvPicPr>
                  </pic:nvPicPr>
                  <pic:blipFill>
                    <a:blip r:embed="rId12"/>
                    <a:srcRect l="1529" t="5756" r="681" b="9645"/>
                    <a:stretch>
                      <a:fillRect/>
                    </a:stretch>
                  </pic:blipFill>
                  <pic:spPr>
                    <a:xfrm>
                      <a:off x="0" y="0"/>
                      <a:ext cx="5199380" cy="1754505"/>
                    </a:xfrm>
                    <a:prstGeom prst="rect">
                      <a:avLst/>
                    </a:prstGeom>
                  </pic:spPr>
                </pic:pic>
              </a:graphicData>
            </a:graphic>
          </wp:anchor>
        </w:drawing>
      </w:r>
      <w:r>
        <w:t xml:space="preserve">The prevalence of resistance genes is summarized in Table </w:t>
      </w:r>
      <w:r w:rsidR="00CE1D31">
        <w:t>2</w:t>
      </w:r>
      <w:r>
        <w:t xml:space="preserve">, which revealed </w:t>
      </w:r>
      <w:proofErr w:type="spellStart"/>
      <w:r>
        <w:rPr>
          <w:rStyle w:val="Emphasis"/>
        </w:rPr>
        <w:t>qnr</w:t>
      </w:r>
      <w:proofErr w:type="spellEnd"/>
      <w:r>
        <w:t xml:space="preserve"> gene carriage in 36.7% of isolates and </w:t>
      </w:r>
      <w:r>
        <w:rPr>
          <w:rStyle w:val="Emphasis"/>
        </w:rPr>
        <w:t>CTX-M</w:t>
      </w:r>
      <w:r>
        <w:t xml:space="preserve"> gene detection in 6.6%. These findings suggest that quinolone resistance is more widely distributed than ESBL-associated resistance within the study population.</w:t>
      </w:r>
    </w:p>
    <w:p w14:paraId="0B48B992" w14:textId="77777777" w:rsidR="005623FA" w:rsidRDefault="00357A3C">
      <w:pPr>
        <w:pStyle w:val="NormalWeb"/>
        <w:spacing w:after="0" w:line="360" w:lineRule="auto"/>
        <w:jc w:val="both"/>
        <w:rPr>
          <w:bCs/>
        </w:rPr>
      </w:pPr>
      <w:r>
        <w:rPr>
          <w:b/>
          <w:color w:val="000000" w:themeColor="text1"/>
        </w:rPr>
        <w:t xml:space="preserve">                                                                                                                                                                                </w:t>
      </w:r>
    </w:p>
    <w:p w14:paraId="0003D342" w14:textId="77777777" w:rsidR="005623FA" w:rsidRDefault="00357A3C">
      <w:pPr>
        <w:tabs>
          <w:tab w:val="center" w:pos="4680"/>
        </w:tabs>
        <w:spacing w:after="240"/>
        <w:jc w:val="center"/>
        <w:rPr>
          <w:rFonts w:eastAsia="Times New Roman" w:cs="Times New Roman"/>
          <w:b/>
          <w:bCs/>
          <w:color w:val="000000" w:themeColor="text1"/>
          <w:szCs w:val="24"/>
        </w:rPr>
      </w:pPr>
      <w:r>
        <w:rPr>
          <w:rFonts w:eastAsia="Times New Roman" w:cs="Times New Roman"/>
          <w:b/>
          <w:color w:val="000000" w:themeColor="text1"/>
          <w:szCs w:val="24"/>
          <w:lang w:val="en-US"/>
        </w:rPr>
        <w:t xml:space="preserve">Figure </w:t>
      </w:r>
      <w:r>
        <w:rPr>
          <w:rFonts w:eastAsia="Times New Roman" w:cs="Times New Roman"/>
          <w:b/>
          <w:color w:val="000000" w:themeColor="text1"/>
          <w:szCs w:val="24"/>
        </w:rPr>
        <w:t xml:space="preserve">2. </w:t>
      </w:r>
      <w:commentRangeStart w:id="3"/>
      <w:r>
        <w:rPr>
          <w:rFonts w:eastAsia="Times New Roman" w:cs="Times New Roman"/>
          <w:b/>
          <w:color w:val="000000" w:themeColor="text1"/>
          <w:szCs w:val="24"/>
        </w:rPr>
        <w:t>G</w:t>
      </w:r>
      <w:r>
        <w:rPr>
          <w:rFonts w:eastAsia="Times New Roman" w:cs="Times New Roman"/>
          <w:b/>
          <w:color w:val="000000" w:themeColor="text1"/>
          <w:szCs w:val="24"/>
          <w:lang w:val="en-US"/>
        </w:rPr>
        <w:t>el</w:t>
      </w:r>
      <w:r>
        <w:rPr>
          <w:rFonts w:eastAsia="Times New Roman" w:cs="Times New Roman"/>
          <w:b/>
          <w:color w:val="000000" w:themeColor="text1"/>
          <w:szCs w:val="24"/>
        </w:rPr>
        <w:t xml:space="preserve"> Image of </w:t>
      </w:r>
      <w:proofErr w:type="spellStart"/>
      <w:r>
        <w:rPr>
          <w:rFonts w:eastAsia="Times New Roman" w:cs="Times New Roman"/>
          <w:b/>
          <w:bCs/>
          <w:color w:val="000000" w:themeColor="text1"/>
          <w:szCs w:val="24"/>
        </w:rPr>
        <w:t>Qnr</w:t>
      </w:r>
      <w:proofErr w:type="spellEnd"/>
      <w:r>
        <w:rPr>
          <w:rFonts w:eastAsia="Times New Roman" w:cs="Times New Roman"/>
          <w:b/>
          <w:bCs/>
          <w:color w:val="000000" w:themeColor="text1"/>
          <w:szCs w:val="24"/>
        </w:rPr>
        <w:t xml:space="preserve"> A (516-620bp) and </w:t>
      </w:r>
      <w:proofErr w:type="spellStart"/>
      <w:r>
        <w:rPr>
          <w:rFonts w:eastAsia="Times New Roman" w:cs="Times New Roman"/>
          <w:b/>
          <w:bCs/>
          <w:color w:val="000000" w:themeColor="text1"/>
          <w:szCs w:val="24"/>
        </w:rPr>
        <w:t>Qnr</w:t>
      </w:r>
      <w:proofErr w:type="spellEnd"/>
      <w:r>
        <w:rPr>
          <w:rFonts w:eastAsia="Times New Roman" w:cs="Times New Roman"/>
          <w:b/>
          <w:bCs/>
          <w:color w:val="000000" w:themeColor="text1"/>
          <w:szCs w:val="24"/>
        </w:rPr>
        <w:t xml:space="preserve"> B (469bp)</w:t>
      </w:r>
      <w:commentRangeEnd w:id="3"/>
      <w:r w:rsidR="00615C2A">
        <w:rPr>
          <w:rStyle w:val="CommentReference"/>
        </w:rPr>
        <w:commentReference w:id="3"/>
      </w:r>
    </w:p>
    <w:p w14:paraId="2DCC4DD0" w14:textId="77777777" w:rsidR="005623FA" w:rsidRDefault="00357A3C">
      <w:pPr>
        <w:spacing w:after="240"/>
        <w:jc w:val="center"/>
        <w:rPr>
          <w:rFonts w:eastAsia="Times New Roman" w:cs="Times New Roman"/>
          <w:b/>
          <w:bCs/>
          <w:color w:val="000000" w:themeColor="text1"/>
          <w:szCs w:val="24"/>
        </w:rPr>
      </w:pPr>
      <w:r>
        <w:rPr>
          <w:rFonts w:eastAsia="Times New Roman" w:cs="Times New Roman"/>
          <w:b/>
          <w:noProof/>
          <w:color w:val="000000" w:themeColor="text1"/>
          <w:szCs w:val="24"/>
          <w:lang w:val="en-US"/>
        </w:rPr>
        <w:drawing>
          <wp:anchor distT="0" distB="0" distL="114300" distR="114300" simplePos="0" relativeHeight="251660288" behindDoc="0" locked="0" layoutInCell="1" allowOverlap="1" wp14:anchorId="6E296EA0" wp14:editId="4685E649">
            <wp:simplePos x="0" y="0"/>
            <wp:positionH relativeFrom="column">
              <wp:posOffset>156845</wp:posOffset>
            </wp:positionH>
            <wp:positionV relativeFrom="paragraph">
              <wp:posOffset>1270</wp:posOffset>
            </wp:positionV>
            <wp:extent cx="5561965" cy="1795145"/>
            <wp:effectExtent l="0" t="0" r="635" b="146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rcRect r="3319" b="11127"/>
                    <a:stretch>
                      <a:fillRect/>
                    </a:stretch>
                  </pic:blipFill>
                  <pic:spPr>
                    <a:xfrm>
                      <a:off x="0" y="0"/>
                      <a:ext cx="5561965" cy="1795145"/>
                    </a:xfrm>
                    <a:prstGeom prst="rect">
                      <a:avLst/>
                    </a:prstGeom>
                    <a:noFill/>
                    <a:ln>
                      <a:noFill/>
                    </a:ln>
                  </pic:spPr>
                </pic:pic>
              </a:graphicData>
            </a:graphic>
          </wp:anchor>
        </w:drawing>
      </w:r>
    </w:p>
    <w:p w14:paraId="11D1FF4E" w14:textId="77777777" w:rsidR="005623FA" w:rsidRDefault="00357A3C">
      <w:pPr>
        <w:spacing w:after="240"/>
        <w:jc w:val="center"/>
        <w:rPr>
          <w:rFonts w:cs="Times New Roman"/>
          <w:b/>
          <w:color w:val="000000" w:themeColor="text1"/>
          <w:szCs w:val="24"/>
        </w:rPr>
      </w:pPr>
      <w:r>
        <w:rPr>
          <w:rFonts w:eastAsia="Times New Roman" w:cs="Times New Roman"/>
          <w:b/>
          <w:bCs/>
          <w:color w:val="000000" w:themeColor="text1"/>
          <w:szCs w:val="24"/>
        </w:rPr>
        <w:t>F</w:t>
      </w:r>
      <w:proofErr w:type="spellStart"/>
      <w:r>
        <w:rPr>
          <w:rFonts w:eastAsia="Times New Roman" w:cs="Times New Roman"/>
          <w:b/>
          <w:bCs/>
          <w:color w:val="000000" w:themeColor="text1"/>
          <w:szCs w:val="24"/>
          <w:lang w:val="en-US"/>
        </w:rPr>
        <w:t>igure</w:t>
      </w:r>
      <w:proofErr w:type="spellEnd"/>
      <w:r>
        <w:rPr>
          <w:rFonts w:eastAsia="Times New Roman" w:cs="Times New Roman"/>
          <w:b/>
          <w:bCs/>
          <w:color w:val="000000" w:themeColor="text1"/>
          <w:szCs w:val="24"/>
          <w:lang w:val="en-US"/>
        </w:rPr>
        <w:t xml:space="preserve"> </w:t>
      </w:r>
      <w:r>
        <w:rPr>
          <w:rFonts w:eastAsia="Times New Roman" w:cs="Times New Roman"/>
          <w:b/>
          <w:bCs/>
          <w:color w:val="000000" w:themeColor="text1"/>
          <w:szCs w:val="24"/>
        </w:rPr>
        <w:t>3. G</w:t>
      </w:r>
      <w:r>
        <w:rPr>
          <w:rFonts w:eastAsia="Times New Roman" w:cs="Times New Roman"/>
          <w:b/>
          <w:bCs/>
          <w:color w:val="000000" w:themeColor="text1"/>
          <w:szCs w:val="24"/>
          <w:lang w:val="en-US"/>
        </w:rPr>
        <w:t>el</w:t>
      </w:r>
      <w:r>
        <w:rPr>
          <w:rFonts w:eastAsia="Times New Roman" w:cs="Times New Roman"/>
          <w:b/>
          <w:bCs/>
          <w:color w:val="000000" w:themeColor="text1"/>
          <w:szCs w:val="24"/>
        </w:rPr>
        <w:t xml:space="preserve"> Image of CTX-M Isolates</w:t>
      </w:r>
    </w:p>
    <w:p w14:paraId="403C135D" w14:textId="77777777" w:rsidR="005623FA" w:rsidRDefault="005623FA">
      <w:pPr>
        <w:spacing w:after="0"/>
        <w:ind w:left="-180" w:hanging="90"/>
        <w:jc w:val="both"/>
        <w:rPr>
          <w:rFonts w:cs="Times New Roman"/>
          <w:b/>
          <w:color w:val="000000" w:themeColor="text1"/>
          <w:szCs w:val="24"/>
        </w:rPr>
      </w:pPr>
    </w:p>
    <w:p w14:paraId="5BBFA592" w14:textId="6C650F59" w:rsidR="005623FA" w:rsidRDefault="00357A3C">
      <w:pPr>
        <w:spacing w:after="0"/>
        <w:ind w:left="-180" w:hanging="90"/>
        <w:jc w:val="center"/>
        <w:rPr>
          <w:rFonts w:cs="Times New Roman"/>
          <w:b/>
          <w:color w:val="000000" w:themeColor="text1"/>
          <w:szCs w:val="24"/>
        </w:rPr>
      </w:pPr>
      <w:r>
        <w:rPr>
          <w:rFonts w:cs="Times New Roman"/>
          <w:b/>
          <w:color w:val="000000" w:themeColor="text1"/>
          <w:szCs w:val="24"/>
        </w:rPr>
        <w:t xml:space="preserve">Table </w:t>
      </w:r>
      <w:r w:rsidR="00CE1D31">
        <w:rPr>
          <w:rFonts w:cs="Times New Roman"/>
          <w:b/>
          <w:color w:val="000000" w:themeColor="text1"/>
          <w:szCs w:val="24"/>
        </w:rPr>
        <w:t>2</w:t>
      </w:r>
      <w:r>
        <w:rPr>
          <w:rFonts w:cs="Times New Roman"/>
          <w:b/>
          <w:color w:val="000000" w:themeColor="text1"/>
          <w:szCs w:val="24"/>
        </w:rPr>
        <w:t xml:space="preserve">: Prevalence of </w:t>
      </w:r>
      <w:proofErr w:type="spellStart"/>
      <w:r>
        <w:rPr>
          <w:rFonts w:cs="Times New Roman"/>
          <w:b/>
          <w:color w:val="000000" w:themeColor="text1"/>
          <w:szCs w:val="24"/>
        </w:rPr>
        <w:t>Qnr</w:t>
      </w:r>
      <w:proofErr w:type="spellEnd"/>
      <w:r>
        <w:rPr>
          <w:rFonts w:cs="Times New Roman"/>
          <w:b/>
          <w:color w:val="000000" w:themeColor="text1"/>
          <w:szCs w:val="24"/>
        </w:rPr>
        <w:t xml:space="preserve"> and CTX-M Genes among Isolates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3300"/>
      </w:tblGrid>
      <w:tr w:rsidR="005623FA" w14:paraId="192D43E0" w14:textId="77777777">
        <w:trPr>
          <w:trHeight w:val="276"/>
          <w:jc w:val="center"/>
        </w:trPr>
        <w:tc>
          <w:tcPr>
            <w:tcW w:w="3299" w:type="dxa"/>
            <w:tcBorders>
              <w:bottom w:val="single" w:sz="4" w:space="0" w:color="auto"/>
            </w:tcBorders>
          </w:tcPr>
          <w:p w14:paraId="623FBED5" w14:textId="77777777" w:rsidR="005623FA" w:rsidRDefault="00357A3C">
            <w:pPr>
              <w:spacing w:after="0"/>
              <w:jc w:val="center"/>
              <w:rPr>
                <w:rFonts w:eastAsia="Times New Roman" w:cs="Times New Roman"/>
                <w:b/>
                <w:color w:val="000000" w:themeColor="text1"/>
                <w:szCs w:val="24"/>
              </w:rPr>
            </w:pPr>
            <w:r>
              <w:rPr>
                <w:rFonts w:eastAsia="Times New Roman" w:cs="Times New Roman"/>
                <w:b/>
                <w:color w:val="000000" w:themeColor="text1"/>
                <w:szCs w:val="24"/>
              </w:rPr>
              <w:t>RESI</w:t>
            </w:r>
            <w:r>
              <w:rPr>
                <w:rFonts w:eastAsia="Times New Roman" w:cs="Times New Roman"/>
                <w:b/>
                <w:color w:val="000000" w:themeColor="text1"/>
                <w:szCs w:val="24"/>
                <w:lang w:val="en-US"/>
              </w:rPr>
              <w:t>S</w:t>
            </w:r>
            <w:r>
              <w:rPr>
                <w:rFonts w:eastAsia="Times New Roman" w:cs="Times New Roman"/>
                <w:b/>
                <w:color w:val="000000" w:themeColor="text1"/>
                <w:szCs w:val="24"/>
              </w:rPr>
              <w:t>TANCE GENES</w:t>
            </w:r>
          </w:p>
        </w:tc>
        <w:tc>
          <w:tcPr>
            <w:tcW w:w="3300" w:type="dxa"/>
            <w:tcBorders>
              <w:bottom w:val="single" w:sz="4" w:space="0" w:color="auto"/>
            </w:tcBorders>
          </w:tcPr>
          <w:p w14:paraId="4288E7B1" w14:textId="77777777" w:rsidR="005623FA" w:rsidRDefault="00357A3C">
            <w:pPr>
              <w:spacing w:after="0"/>
              <w:jc w:val="center"/>
              <w:rPr>
                <w:rFonts w:eastAsia="Times New Roman" w:cs="Times New Roman"/>
                <w:b/>
                <w:color w:val="000000" w:themeColor="text1"/>
                <w:szCs w:val="24"/>
              </w:rPr>
            </w:pPr>
            <w:r>
              <w:rPr>
                <w:rFonts w:eastAsia="Times New Roman" w:cs="Times New Roman"/>
                <w:b/>
                <w:color w:val="000000" w:themeColor="text1"/>
                <w:szCs w:val="24"/>
                <w:lang w:val="en-US"/>
              </w:rPr>
              <w:t xml:space="preserve">     </w:t>
            </w:r>
            <w:r>
              <w:rPr>
                <w:rFonts w:eastAsia="Times New Roman" w:cs="Times New Roman"/>
                <w:b/>
                <w:color w:val="000000" w:themeColor="text1"/>
                <w:szCs w:val="24"/>
              </w:rPr>
              <w:t>PREVALENCE (%)</w:t>
            </w:r>
          </w:p>
        </w:tc>
      </w:tr>
      <w:tr w:rsidR="005623FA" w14:paraId="15856FA3" w14:textId="77777777">
        <w:trPr>
          <w:trHeight w:val="276"/>
          <w:jc w:val="center"/>
        </w:trPr>
        <w:tc>
          <w:tcPr>
            <w:tcW w:w="3299" w:type="dxa"/>
            <w:tcBorders>
              <w:top w:val="single" w:sz="4" w:space="0" w:color="auto"/>
            </w:tcBorders>
          </w:tcPr>
          <w:p w14:paraId="7891A24B" w14:textId="77777777" w:rsidR="005623FA" w:rsidRDefault="00357A3C">
            <w:pPr>
              <w:spacing w:after="0"/>
              <w:jc w:val="center"/>
              <w:rPr>
                <w:rFonts w:eastAsia="Times New Roman" w:cs="Times New Roman"/>
                <w:b/>
                <w:color w:val="000000" w:themeColor="text1"/>
                <w:szCs w:val="24"/>
              </w:rPr>
            </w:pPr>
            <w:proofErr w:type="spellStart"/>
            <w:r>
              <w:rPr>
                <w:rFonts w:eastAsia="Times New Roman" w:cs="Times New Roman"/>
                <w:b/>
                <w:color w:val="000000" w:themeColor="text1"/>
                <w:szCs w:val="24"/>
              </w:rPr>
              <w:t>Qnr</w:t>
            </w:r>
            <w:proofErr w:type="spellEnd"/>
            <w:r>
              <w:rPr>
                <w:rFonts w:eastAsia="Times New Roman" w:cs="Times New Roman"/>
                <w:b/>
                <w:color w:val="000000" w:themeColor="text1"/>
                <w:szCs w:val="24"/>
              </w:rPr>
              <w:t xml:space="preserve"> A and B</w:t>
            </w:r>
          </w:p>
        </w:tc>
        <w:tc>
          <w:tcPr>
            <w:tcW w:w="3300" w:type="dxa"/>
            <w:tcBorders>
              <w:top w:val="single" w:sz="4" w:space="0" w:color="auto"/>
            </w:tcBorders>
          </w:tcPr>
          <w:p w14:paraId="060C00C0" w14:textId="77777777" w:rsidR="005623FA" w:rsidRDefault="00357A3C">
            <w:pPr>
              <w:spacing w:after="0"/>
              <w:jc w:val="center"/>
              <w:rPr>
                <w:rFonts w:eastAsia="Times New Roman" w:cs="Times New Roman"/>
                <w:b/>
                <w:color w:val="000000" w:themeColor="text1"/>
                <w:szCs w:val="24"/>
              </w:rPr>
            </w:pPr>
            <w:r>
              <w:rPr>
                <w:rFonts w:eastAsia="Times New Roman" w:cs="Times New Roman"/>
                <w:b/>
                <w:color w:val="000000" w:themeColor="text1"/>
                <w:szCs w:val="24"/>
              </w:rPr>
              <w:t>36.67</w:t>
            </w:r>
          </w:p>
        </w:tc>
      </w:tr>
      <w:tr w:rsidR="005623FA" w14:paraId="0523CFC8" w14:textId="77777777">
        <w:trPr>
          <w:trHeight w:val="276"/>
          <w:jc w:val="center"/>
        </w:trPr>
        <w:tc>
          <w:tcPr>
            <w:tcW w:w="3299" w:type="dxa"/>
          </w:tcPr>
          <w:p w14:paraId="3B18884C" w14:textId="77777777" w:rsidR="005623FA" w:rsidRDefault="00357A3C">
            <w:pPr>
              <w:spacing w:after="0"/>
              <w:jc w:val="center"/>
              <w:rPr>
                <w:rFonts w:eastAsia="Times New Roman" w:cs="Times New Roman"/>
                <w:b/>
                <w:color w:val="000000" w:themeColor="text1"/>
                <w:szCs w:val="24"/>
              </w:rPr>
            </w:pPr>
            <w:r>
              <w:rPr>
                <w:rFonts w:eastAsia="Times New Roman" w:cs="Times New Roman"/>
                <w:b/>
                <w:color w:val="000000" w:themeColor="text1"/>
                <w:szCs w:val="24"/>
              </w:rPr>
              <w:t>CTX-M</w:t>
            </w:r>
          </w:p>
        </w:tc>
        <w:tc>
          <w:tcPr>
            <w:tcW w:w="3300" w:type="dxa"/>
          </w:tcPr>
          <w:p w14:paraId="37319B69" w14:textId="77777777" w:rsidR="005623FA" w:rsidRDefault="00357A3C">
            <w:pPr>
              <w:spacing w:after="0"/>
              <w:jc w:val="center"/>
              <w:rPr>
                <w:rFonts w:eastAsia="Times New Roman" w:cs="Times New Roman"/>
                <w:b/>
                <w:color w:val="000000" w:themeColor="text1"/>
                <w:szCs w:val="24"/>
              </w:rPr>
            </w:pPr>
            <w:r>
              <w:rPr>
                <w:rFonts w:eastAsia="Times New Roman" w:cs="Times New Roman"/>
                <w:b/>
                <w:color w:val="000000" w:themeColor="text1"/>
                <w:szCs w:val="24"/>
              </w:rPr>
              <w:t>6.6</w:t>
            </w:r>
          </w:p>
        </w:tc>
      </w:tr>
    </w:tbl>
    <w:p w14:paraId="49E6EDD1" w14:textId="77777777" w:rsidR="005623FA" w:rsidRDefault="005623FA">
      <w:pPr>
        <w:pStyle w:val="NormalWeb"/>
        <w:spacing w:line="360" w:lineRule="auto"/>
        <w:jc w:val="both"/>
        <w:rPr>
          <w:color w:val="000000" w:themeColor="text1"/>
        </w:rPr>
      </w:pPr>
    </w:p>
    <w:p w14:paraId="3B3E53AD" w14:textId="42F0B8F4" w:rsidR="005623FA" w:rsidRDefault="00357A3C">
      <w:pPr>
        <w:pStyle w:val="NormalWeb"/>
        <w:spacing w:line="360" w:lineRule="auto"/>
        <w:jc w:val="both"/>
        <w:rPr>
          <w:color w:val="000000" w:themeColor="text1"/>
        </w:rPr>
      </w:pPr>
      <w:r>
        <w:rPr>
          <w:color w:val="000000" w:themeColor="text1"/>
        </w:rPr>
        <w:t xml:space="preserve">From table </w:t>
      </w:r>
      <w:r w:rsidR="00CE1D31">
        <w:rPr>
          <w:color w:val="000000" w:themeColor="text1"/>
        </w:rPr>
        <w:t>2</w:t>
      </w:r>
      <w:r>
        <w:rPr>
          <w:color w:val="000000" w:themeColor="text1"/>
        </w:rPr>
        <w:t xml:space="preserve">, the data indicate that </w:t>
      </w:r>
      <w:r>
        <w:rPr>
          <w:rStyle w:val="Strong"/>
          <w:b w:val="0"/>
          <w:color w:val="000000" w:themeColor="text1"/>
        </w:rPr>
        <w:t xml:space="preserve">36.67% of the isolates carried the </w:t>
      </w:r>
      <w:proofErr w:type="spellStart"/>
      <w:r>
        <w:rPr>
          <w:rStyle w:val="Strong"/>
          <w:b w:val="0"/>
          <w:color w:val="000000" w:themeColor="text1"/>
        </w:rPr>
        <w:t>Qnr</w:t>
      </w:r>
      <w:proofErr w:type="spellEnd"/>
      <w:r>
        <w:rPr>
          <w:rStyle w:val="Strong"/>
          <w:b w:val="0"/>
          <w:color w:val="000000" w:themeColor="text1"/>
        </w:rPr>
        <w:t xml:space="preserve"> resistance gene</w:t>
      </w:r>
      <w:r>
        <w:rPr>
          <w:color w:val="000000" w:themeColor="text1"/>
        </w:rPr>
        <w:t xml:space="preserve">, signifying a notable presence of quinolone resistance. On the other hand, </w:t>
      </w:r>
      <w:r>
        <w:rPr>
          <w:rStyle w:val="Strong"/>
          <w:b w:val="0"/>
          <w:color w:val="000000" w:themeColor="text1"/>
        </w:rPr>
        <w:t>only 6.6% of the isolates tested positive for the CTX-M gene</w:t>
      </w:r>
      <w:r>
        <w:rPr>
          <w:b/>
          <w:color w:val="000000" w:themeColor="text1"/>
        </w:rPr>
        <w:t>,</w:t>
      </w:r>
      <w:r>
        <w:rPr>
          <w:color w:val="000000" w:themeColor="text1"/>
        </w:rPr>
        <w:t xml:space="preserve"> which is associated with ESBL production. This suggests that </w:t>
      </w:r>
      <w:r>
        <w:rPr>
          <w:rStyle w:val="Strong"/>
          <w:b w:val="0"/>
          <w:color w:val="000000" w:themeColor="text1"/>
        </w:rPr>
        <w:t>quinolone resistance is more prevalent</w:t>
      </w:r>
      <w:r>
        <w:rPr>
          <w:color w:val="000000" w:themeColor="text1"/>
        </w:rPr>
        <w:t xml:space="preserve"> in the bacterial isolates compared to ESBL-producing CTX-M genes. </w:t>
      </w:r>
    </w:p>
    <w:p w14:paraId="611CEB23" w14:textId="77777777" w:rsidR="005623FA" w:rsidRDefault="005623FA">
      <w:pPr>
        <w:pStyle w:val="NormalWeb"/>
        <w:spacing w:after="240" w:line="360" w:lineRule="auto"/>
        <w:jc w:val="both"/>
        <w:rPr>
          <w:b/>
          <w:bCs/>
          <w:color w:val="000000" w:themeColor="text1"/>
        </w:rPr>
      </w:pPr>
    </w:p>
    <w:p w14:paraId="2D758F02" w14:textId="77777777" w:rsidR="005623FA" w:rsidRDefault="00357A3C">
      <w:pPr>
        <w:pStyle w:val="NormalWeb"/>
        <w:numPr>
          <w:ilvl w:val="0"/>
          <w:numId w:val="1"/>
        </w:numPr>
        <w:spacing w:line="360" w:lineRule="auto"/>
        <w:jc w:val="both"/>
        <w:rPr>
          <w:b/>
        </w:rPr>
      </w:pPr>
      <w:r>
        <w:rPr>
          <w:b/>
        </w:rPr>
        <w:t>DISCUSSION</w:t>
      </w:r>
    </w:p>
    <w:p w14:paraId="11FC0BC8" w14:textId="77777777" w:rsidR="005623FA" w:rsidRDefault="00357A3C">
      <w:pPr>
        <w:pStyle w:val="NormalWeb"/>
        <w:spacing w:line="360" w:lineRule="auto"/>
        <w:jc w:val="both"/>
      </w:pPr>
      <w:r>
        <w:t xml:space="preserve">This study investigated the prevalence, antibiotic susceptibility, and molecular characteristics of </w:t>
      </w:r>
      <w:r>
        <w:rPr>
          <w:rStyle w:val="Emphasis"/>
        </w:rPr>
        <w:t>E. coli</w:t>
      </w:r>
      <w:r>
        <w:t xml:space="preserve"> and </w:t>
      </w:r>
      <w:r>
        <w:rPr>
          <w:rStyle w:val="Emphasis"/>
        </w:rPr>
        <w:t>K. pneumoniae</w:t>
      </w:r>
      <w:r>
        <w:t xml:space="preserve"> isolated from urinary tract infections (UTIs) in Onitsha, Nigeria. The results revealed a high infection rate (52.8%), with </w:t>
      </w:r>
      <w:r>
        <w:rPr>
          <w:rStyle w:val="Emphasis"/>
        </w:rPr>
        <w:t>K. pneumoniae</w:t>
      </w:r>
      <w:r>
        <w:t xml:space="preserve"> (51.9%) and </w:t>
      </w:r>
      <w:r>
        <w:rPr>
          <w:rStyle w:val="Emphasis"/>
        </w:rPr>
        <w:t>E. coli</w:t>
      </w:r>
      <w:r>
        <w:t xml:space="preserve"> (48.1%) being the predominant </w:t>
      </w:r>
      <w:proofErr w:type="spellStart"/>
      <w:r>
        <w:t>uropathogens</w:t>
      </w:r>
      <w:proofErr w:type="spellEnd"/>
      <w:r>
        <w:t>. This pattern is consistent with reports from other parts of Nigeria and sub-Saharan Africa, where these organisms remain the most frequently isolated bacterial agents in community- and hospital-acquired UTIs (</w:t>
      </w:r>
      <w:r>
        <w:rPr>
          <w:rFonts w:eastAsia="Consolas"/>
          <w:color w:val="1B1B1B"/>
          <w:shd w:val="clear" w:color="auto" w:fill="FFFFFF"/>
        </w:rPr>
        <w:t>11-13</w:t>
      </w:r>
      <w:r>
        <w:t>).</w:t>
      </w:r>
    </w:p>
    <w:p w14:paraId="0D5CB926" w14:textId="77777777" w:rsidR="005623FA" w:rsidRDefault="00357A3C">
      <w:pPr>
        <w:pStyle w:val="NormalWeb"/>
        <w:spacing w:line="360" w:lineRule="auto"/>
        <w:jc w:val="both"/>
      </w:pPr>
      <w:r>
        <w:t xml:space="preserve">The observed distribution reflects the widespread presence of </w:t>
      </w:r>
      <w:r>
        <w:rPr>
          <w:rStyle w:val="Emphasis"/>
        </w:rPr>
        <w:t>K. pneumoniae</w:t>
      </w:r>
      <w:r>
        <w:t xml:space="preserve"> and </w:t>
      </w:r>
      <w:r>
        <w:rPr>
          <w:rStyle w:val="Emphasis"/>
        </w:rPr>
        <w:t>E. coli</w:t>
      </w:r>
      <w:r>
        <w:t xml:space="preserve"> in the intestinal flora and their opportunistic ability to cause infections when host immunity is compromised or when urogenital hygiene is poor. The high isolation rate among the 41–50-year age group underscores the influence of occupational stress, sexual activity, and pre-existing metabolic conditions that predispose adults in this demographic to UTIs. Similar age-related trends have been documented in earlier Nigerian studies (</w:t>
      </w:r>
      <w:r>
        <w:rPr>
          <w:bCs/>
        </w:rPr>
        <w:t>7, 14</w:t>
      </w:r>
      <w:r>
        <w:t>).</w:t>
      </w:r>
    </w:p>
    <w:p w14:paraId="393790D7" w14:textId="77777777" w:rsidR="005623FA" w:rsidRDefault="00357A3C">
      <w:pPr>
        <w:pStyle w:val="NormalWeb"/>
        <w:spacing w:line="360" w:lineRule="auto"/>
        <w:jc w:val="both"/>
      </w:pPr>
      <w:r>
        <w:t xml:space="preserve">Antibiotic susceptibility profiling demonstrated alarming resistance rates to commonly prescribed agents, particularly β-lactams and fluoroquinolones. </w:t>
      </w:r>
      <w:r>
        <w:rPr>
          <w:rStyle w:val="Emphasis"/>
        </w:rPr>
        <w:t>K. pneumoniae</w:t>
      </w:r>
      <w:r>
        <w:t xml:space="preserve"> exhibited high resistance to cefotaxime (64.6%), ciprofloxacin (60.9%), and nitrofurantoin (60.9%), while </w:t>
      </w:r>
      <w:r>
        <w:rPr>
          <w:rStyle w:val="Emphasis"/>
        </w:rPr>
        <w:t>E. coli</w:t>
      </w:r>
      <w:r>
        <w:t xml:space="preserve"> showed resistance to cefotaxime (63.2%), imipenem (60.5%), and amoxicillin-clavulanate (52.6%). These findings align with previous studies conducted in Nigeria (12, 15), which similarly reported extensive resistance among </w:t>
      </w:r>
      <w:proofErr w:type="spellStart"/>
      <w:r>
        <w:t>uropathogenic</w:t>
      </w:r>
      <w:proofErr w:type="spellEnd"/>
      <w:r>
        <w:t xml:space="preserve"> Enterobacteriaceae. The increasing resistance to fluoroquinolones is particularly concerning because these agents have long been the empirical choice for UTI management (16-18). Such high resistance rates </w:t>
      </w:r>
      <w:r>
        <w:lastRenderedPageBreak/>
        <w:t>may reflect antibiotic misuse, self-medication, and inadequate antimicrobial stewardship within the region.</w:t>
      </w:r>
    </w:p>
    <w:p w14:paraId="23BC5E20" w14:textId="77777777" w:rsidR="005623FA" w:rsidRDefault="00357A3C">
      <w:pPr>
        <w:pStyle w:val="NormalWeb"/>
        <w:spacing w:line="360" w:lineRule="auto"/>
        <w:jc w:val="both"/>
      </w:pPr>
      <w:r>
        <w:t xml:space="preserve">Interestingly, phenotypic screening did not reveal any Extended Spectrum Beta-Lactamase (ESBL) production among the isolates, despite the molecular detection of </w:t>
      </w:r>
      <w:r>
        <w:rPr>
          <w:rStyle w:val="Emphasis"/>
        </w:rPr>
        <w:t>CTX-M</w:t>
      </w:r>
      <w:r>
        <w:t xml:space="preserve"> genes in a few samples. This discrepancy may be attributed to low gene expression levels, silent resistance determinants, or the presence of other non-ESBL-mediated resistance mechanisms (19, 20). Similar observations have been made in other African settings, where the presence of ESBL genes did not always correlate with phenotypic expression (</w:t>
      </w:r>
      <w:r>
        <w:rPr>
          <w:rFonts w:eastAsia="Segoe UI"/>
          <w:color w:val="212121"/>
          <w:shd w:val="clear" w:color="auto" w:fill="FFFFFF"/>
        </w:rPr>
        <w:t>21, 22</w:t>
      </w:r>
      <w:r>
        <w:t>).</w:t>
      </w:r>
    </w:p>
    <w:p w14:paraId="0C73B92F" w14:textId="77777777" w:rsidR="005623FA" w:rsidRDefault="00357A3C">
      <w:pPr>
        <w:pStyle w:val="NormalWeb"/>
        <w:spacing w:line="360" w:lineRule="auto"/>
        <w:jc w:val="both"/>
      </w:pPr>
      <w:r>
        <w:t xml:space="preserve">The identification of </w:t>
      </w:r>
      <w:proofErr w:type="spellStart"/>
      <w:r>
        <w:rPr>
          <w:rStyle w:val="Emphasis"/>
        </w:rPr>
        <w:t>qnrA</w:t>
      </w:r>
      <w:proofErr w:type="spellEnd"/>
      <w:r>
        <w:t xml:space="preserve"> and </w:t>
      </w:r>
      <w:proofErr w:type="spellStart"/>
      <w:r>
        <w:rPr>
          <w:rStyle w:val="Emphasis"/>
        </w:rPr>
        <w:t>qnrB</w:t>
      </w:r>
      <w:proofErr w:type="spellEnd"/>
      <w:r>
        <w:t xml:space="preserve"> genes in 36.7% of tested isolates further underscores the emergence of plasmid-mediated quinolone resistance in Nigeria. These genes encode proteins that protect bacterial DNA gyrase from the inhibitory effects of fluoroquinolones (23). Their presence highlights the growing role of mobile genetic elements in the dissemination of antimicrobial resistance (AMR) among community pathogens. This finding aligns with global surveillance data that show </w:t>
      </w:r>
      <w:proofErr w:type="spellStart"/>
      <w:r>
        <w:rPr>
          <w:rStyle w:val="Emphasis"/>
        </w:rPr>
        <w:t>qnr</w:t>
      </w:r>
      <w:proofErr w:type="spellEnd"/>
      <w:r>
        <w:t xml:space="preserve"> genes are now widespread in Enterobacteriaceae, especially in developing countries with weak antibiotic regulation (24, 25).</w:t>
      </w:r>
    </w:p>
    <w:p w14:paraId="4E940575" w14:textId="77777777" w:rsidR="005623FA" w:rsidRDefault="00357A3C">
      <w:pPr>
        <w:pStyle w:val="NormalWeb"/>
        <w:spacing w:line="360" w:lineRule="auto"/>
        <w:jc w:val="both"/>
      </w:pPr>
      <w:r>
        <w:t>The combination of high phenotypic resistance, detection of plasmid-mediated genes, and absence of consistent ESBL expression suggests a multifactorial resistance landscape in Onitsha. Contributing factors likely include unregulated antibiotic access, empirical therapy without culture guidance, and limited molecular diagnostics in clinical laboratories. These findings reinforce the urgent need for enhanced AMR surveillance programs, rational antibiotic prescription practices, and strengthened diagnostic microbiology capacities across Nigeria.</w:t>
      </w:r>
    </w:p>
    <w:p w14:paraId="1FA23AFD" w14:textId="77777777" w:rsidR="005623FA" w:rsidRDefault="00357A3C">
      <w:pPr>
        <w:pStyle w:val="NormalWeb"/>
        <w:spacing w:after="0" w:line="360" w:lineRule="auto"/>
        <w:jc w:val="both"/>
      </w:pPr>
      <w:r>
        <w:t xml:space="preserve">The detection of </w:t>
      </w:r>
      <w:r>
        <w:rPr>
          <w:rStyle w:val="Emphasis"/>
        </w:rPr>
        <w:t>CTX-M</w:t>
      </w:r>
      <w:r>
        <w:t xml:space="preserve"> and </w:t>
      </w:r>
      <w:proofErr w:type="spellStart"/>
      <w:r>
        <w:rPr>
          <w:rStyle w:val="Emphasis"/>
        </w:rPr>
        <w:t>qnr</w:t>
      </w:r>
      <w:proofErr w:type="spellEnd"/>
      <w:r>
        <w:t xml:space="preserve"> genes, even at low frequencies, indicates that resistance determinants are already circulating in community settings. This emphasizes the importance of continuous molecular monitoring to prevent the establishment of untreatable multidrug-resistant (MDR) clones. Integrating such surveillance into national AMR action plans, as recommended by the WHO Global Antimicrobial Resistance Surveillance System (GLASS), is crucial to safeguarding the efficacy of existing antibiotics (26, 27).</w:t>
      </w:r>
    </w:p>
    <w:p w14:paraId="2DBDBB73" w14:textId="77777777" w:rsidR="005623FA" w:rsidRDefault="005623FA">
      <w:pPr>
        <w:pStyle w:val="NormalWeb"/>
        <w:spacing w:after="0" w:line="360" w:lineRule="auto"/>
        <w:jc w:val="both"/>
      </w:pPr>
    </w:p>
    <w:p w14:paraId="62CD05D0" w14:textId="77777777" w:rsidR="005623FA" w:rsidRDefault="005623FA">
      <w:pPr>
        <w:pStyle w:val="NormalWeb"/>
        <w:spacing w:after="0" w:line="360" w:lineRule="auto"/>
        <w:jc w:val="both"/>
      </w:pPr>
    </w:p>
    <w:p w14:paraId="6E64F100" w14:textId="77777777" w:rsidR="005623FA" w:rsidRDefault="005623FA">
      <w:pPr>
        <w:pStyle w:val="NormalWeb"/>
        <w:spacing w:after="0" w:line="360" w:lineRule="auto"/>
        <w:jc w:val="both"/>
      </w:pPr>
    </w:p>
    <w:p w14:paraId="317E712E" w14:textId="77777777" w:rsidR="005623FA" w:rsidRDefault="00357A3C">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5. CONCLUSION</w:t>
      </w:r>
    </w:p>
    <w:p w14:paraId="5AC8C601" w14:textId="77777777" w:rsidR="005623FA" w:rsidRDefault="00357A3C">
      <w:pPr>
        <w:spacing w:after="0"/>
        <w:jc w:val="both"/>
        <w:rPr>
          <w:rFonts w:cs="Times New Roman"/>
        </w:rPr>
      </w:pPr>
      <w:r>
        <w:rPr>
          <w:rFonts w:cs="Times New Roman"/>
        </w:rPr>
        <w:t xml:space="preserve">This study highlights the continuing public health challenge posed by </w:t>
      </w:r>
      <w:r>
        <w:rPr>
          <w:rStyle w:val="Emphasis"/>
          <w:rFonts w:cs="Times New Roman"/>
        </w:rPr>
        <w:t>E</w:t>
      </w:r>
      <w:r>
        <w:rPr>
          <w:rStyle w:val="Emphasis"/>
          <w:rFonts w:cs="Times New Roman"/>
          <w:lang w:val="en-US"/>
        </w:rPr>
        <w:t>.</w:t>
      </w:r>
      <w:r>
        <w:rPr>
          <w:rStyle w:val="Emphasis"/>
          <w:rFonts w:cs="Times New Roman"/>
        </w:rPr>
        <w:t xml:space="preserve"> coli</w:t>
      </w:r>
      <w:r>
        <w:rPr>
          <w:rFonts w:cs="Times New Roman"/>
        </w:rPr>
        <w:t xml:space="preserve"> and </w:t>
      </w:r>
      <w:r>
        <w:rPr>
          <w:rStyle w:val="Emphasis"/>
          <w:rFonts w:cs="Times New Roman"/>
        </w:rPr>
        <w:t>K</w:t>
      </w:r>
      <w:r>
        <w:rPr>
          <w:rStyle w:val="Emphasis"/>
          <w:rFonts w:cs="Times New Roman"/>
          <w:lang w:val="en-US"/>
        </w:rPr>
        <w:t xml:space="preserve">. </w:t>
      </w:r>
      <w:r>
        <w:rPr>
          <w:rStyle w:val="Emphasis"/>
          <w:rFonts w:cs="Times New Roman"/>
        </w:rPr>
        <w:t>pneumoniae</w:t>
      </w:r>
      <w:r>
        <w:rPr>
          <w:rFonts w:cs="Times New Roman"/>
        </w:rPr>
        <w:t xml:space="preserve"> as predominant etiological agents of urinary tract infections in Onitsha, Nigeria. The high level of resistance to commonly prescribed antibiotics, particularly β-lactams and fluoroquinolones, underscores the urgent need for improved antibiotic stewardship and surveillance systems. Although phenotypic ESBL expression was not observed, the molecular detection of </w:t>
      </w:r>
      <w:r>
        <w:rPr>
          <w:rStyle w:val="Emphasis"/>
          <w:rFonts w:cs="Times New Roman"/>
        </w:rPr>
        <w:t>CTX-M</w:t>
      </w:r>
      <w:r>
        <w:rPr>
          <w:rFonts w:cs="Times New Roman"/>
        </w:rPr>
        <w:t xml:space="preserve"> and </w:t>
      </w:r>
      <w:proofErr w:type="spellStart"/>
      <w:r>
        <w:rPr>
          <w:rStyle w:val="Emphasis"/>
          <w:rFonts w:cs="Times New Roman"/>
        </w:rPr>
        <w:t>qnr</w:t>
      </w:r>
      <w:proofErr w:type="spellEnd"/>
      <w:r>
        <w:rPr>
          <w:rFonts w:cs="Times New Roman"/>
        </w:rPr>
        <w:t xml:space="preserve"> genes indicates the silent dissemination of resistance determinants within community-acquired infections.</w:t>
      </w:r>
    </w:p>
    <w:p w14:paraId="6360FB76" w14:textId="77777777" w:rsidR="005623FA" w:rsidRDefault="00357A3C">
      <w:pPr>
        <w:pStyle w:val="NormalWeb"/>
        <w:spacing w:line="360" w:lineRule="auto"/>
        <w:jc w:val="both"/>
      </w:pPr>
      <w:r>
        <w:t>These findings emphasize the necessity for strengthened diagnostic microbiology capacity in Nigerian healthcare facilities to enable evidence-based therapy. The detection of plasmid-mediated quinolone resistance also calls for targeted monitoring of horizontal gene transfer mechanisms that facilitate antimicrobial resistance spread. Furthermore, public health interventions addressing self-medication and unregulated antibiotic sales are essential to curb the emergence of multidrug-resistant pathogens.</w:t>
      </w:r>
    </w:p>
    <w:p w14:paraId="1A9BDBAD" w14:textId="77777777" w:rsidR="005623FA" w:rsidRDefault="005623FA">
      <w:pPr>
        <w:spacing w:after="0"/>
        <w:jc w:val="both"/>
        <w:rPr>
          <w:rFonts w:eastAsia="Times New Roman" w:cs="Times New Roman"/>
          <w:szCs w:val="24"/>
          <w:lang w:val="en-US"/>
        </w:rPr>
      </w:pPr>
    </w:p>
    <w:p w14:paraId="68472E59" w14:textId="77777777" w:rsidR="005623FA" w:rsidRDefault="00357A3C">
      <w:pPr>
        <w:spacing w:after="240"/>
        <w:ind w:left="-90"/>
        <w:jc w:val="both"/>
        <w:rPr>
          <w:rFonts w:eastAsia="Times New Roman" w:cs="Times New Roman"/>
          <w:b/>
          <w:bCs/>
          <w:szCs w:val="24"/>
        </w:rPr>
      </w:pPr>
      <w:r>
        <w:rPr>
          <w:rFonts w:eastAsia="Times New Roman" w:cs="Times New Roman"/>
          <w:b/>
          <w:bCs/>
          <w:szCs w:val="24"/>
        </w:rPr>
        <w:t>REFERENCES</w:t>
      </w:r>
    </w:p>
    <w:p w14:paraId="2A000FDB" w14:textId="56BCFE7B" w:rsidR="00795CAD" w:rsidRPr="00795CAD" w:rsidRDefault="00795CAD">
      <w:pPr>
        <w:numPr>
          <w:ilvl w:val="0"/>
          <w:numId w:val="2"/>
        </w:numPr>
        <w:spacing w:after="240"/>
        <w:ind w:left="-90"/>
        <w:jc w:val="both"/>
        <w:rPr>
          <w:rFonts w:eastAsia="Times New Roman" w:cs="Times New Roman"/>
          <w:bCs/>
          <w:szCs w:val="24"/>
          <w:lang w:val="en-US"/>
        </w:rPr>
      </w:pPr>
      <w:proofErr w:type="spellStart"/>
      <w:r w:rsidRPr="00795CAD">
        <w:rPr>
          <w:rFonts w:eastAsia="SimSun" w:cs="Times New Roman"/>
          <w:color w:val="222222"/>
          <w:szCs w:val="24"/>
          <w:shd w:val="clear" w:color="auto" w:fill="FFFFFF"/>
        </w:rPr>
        <w:t>FarajzadehSheikh</w:t>
      </w:r>
      <w:proofErr w:type="spellEnd"/>
      <w:r w:rsidRPr="00795CAD">
        <w:rPr>
          <w:rFonts w:eastAsia="SimSun" w:cs="Times New Roman"/>
          <w:color w:val="222222"/>
          <w:szCs w:val="24"/>
          <w:shd w:val="clear" w:color="auto" w:fill="FFFFFF"/>
        </w:rPr>
        <w:t xml:space="preserve">, A., Veisi, H., Shahin, M., Getso, M., &amp; Farahani, A. (2019). Frequency of quinolone resistance genes among extended-spectrum β-lactamase (ESBL)-producing Escherichia coli strains isolated from urinary tract infections. Tropical Medicine and Health, 47(19) </w:t>
      </w:r>
      <w:hyperlink r:id="rId14" w:history="1">
        <w:r w:rsidRPr="008E6228">
          <w:rPr>
            <w:rStyle w:val="Hyperlink"/>
            <w:rFonts w:eastAsia="SimSun" w:cs="Times New Roman"/>
            <w:szCs w:val="24"/>
            <w:shd w:val="clear" w:color="auto" w:fill="FFFFFF"/>
          </w:rPr>
          <w:t>https://doi.org/10.1186/s41182-019-0147-8</w:t>
        </w:r>
      </w:hyperlink>
    </w:p>
    <w:p w14:paraId="3154EC6F" w14:textId="022029D8" w:rsidR="00795CAD" w:rsidRPr="00795CAD" w:rsidRDefault="00795CAD">
      <w:pPr>
        <w:numPr>
          <w:ilvl w:val="0"/>
          <w:numId w:val="2"/>
        </w:numPr>
        <w:spacing w:after="240"/>
        <w:ind w:left="-90"/>
        <w:jc w:val="both"/>
        <w:rPr>
          <w:rFonts w:eastAsia="Times New Roman" w:cs="Times New Roman"/>
          <w:bCs/>
          <w:szCs w:val="24"/>
          <w:lang w:val="en-US"/>
        </w:rPr>
      </w:pPr>
      <w:r w:rsidRPr="00795CAD">
        <w:rPr>
          <w:rFonts w:eastAsia="SimSun" w:cs="Times New Roman"/>
          <w:color w:val="222222"/>
          <w:szCs w:val="24"/>
          <w:shd w:val="clear" w:color="auto" w:fill="FFFFFF"/>
        </w:rPr>
        <w:t xml:space="preserve">Yan, L., Ge, H., Zhang, Y., &amp; Li, N. (2023). Epidemiology of pathogens and antimicrobial resistance of nosocomial urinary tract infections in patients with spinal cord injuries in China: A systematic review and meta-analysis. The Journal of Spinal Cord Medicine, 46(4), 632-648. </w:t>
      </w:r>
      <w:hyperlink r:id="rId15" w:history="1">
        <w:r w:rsidRPr="008E6228">
          <w:rPr>
            <w:rStyle w:val="Hyperlink"/>
            <w:rFonts w:eastAsia="SimSun" w:cs="Times New Roman"/>
            <w:szCs w:val="24"/>
            <w:shd w:val="clear" w:color="auto" w:fill="FFFFFF"/>
          </w:rPr>
          <w:t>https://doi.org/10.1080/10790268.2022.2129154</w:t>
        </w:r>
      </w:hyperlink>
    </w:p>
    <w:p w14:paraId="748C50B7" w14:textId="7C0D3468" w:rsidR="00795CAD" w:rsidRPr="00795CAD" w:rsidRDefault="00795CAD">
      <w:pPr>
        <w:numPr>
          <w:ilvl w:val="0"/>
          <w:numId w:val="2"/>
        </w:numPr>
        <w:spacing w:after="240"/>
        <w:ind w:left="-90"/>
        <w:jc w:val="both"/>
        <w:rPr>
          <w:rFonts w:eastAsia="Times New Roman" w:cs="Times New Roman"/>
          <w:bCs/>
          <w:szCs w:val="24"/>
          <w:lang w:val="en-US"/>
        </w:rPr>
      </w:pPr>
      <w:r w:rsidRPr="00795CAD">
        <w:rPr>
          <w:rFonts w:eastAsia="SimSun" w:cs="Times New Roman"/>
          <w:color w:val="222222"/>
          <w:szCs w:val="24"/>
          <w:shd w:val="clear" w:color="auto" w:fill="FFFFFF"/>
        </w:rPr>
        <w:t xml:space="preserve">Yamane, T., Enokida, H., Hayami, H., Kawahara, M., &amp; Nakagawa, M. (2012). Genome-wide transcriptome analysis of fluoroquinolone resistance in clinical isolates of Escherichia </w:t>
      </w:r>
      <w:r w:rsidRPr="00795CAD">
        <w:rPr>
          <w:rFonts w:eastAsia="SimSun" w:cs="Times New Roman"/>
          <w:color w:val="222222"/>
          <w:szCs w:val="24"/>
          <w:shd w:val="clear" w:color="auto" w:fill="FFFFFF"/>
        </w:rPr>
        <w:lastRenderedPageBreak/>
        <w:t xml:space="preserve">coli. International journal of urology, 19(4), 360-368. </w:t>
      </w:r>
      <w:hyperlink r:id="rId16" w:history="1">
        <w:r w:rsidRPr="008E6228">
          <w:rPr>
            <w:rStyle w:val="Hyperlink"/>
            <w:rFonts w:eastAsia="SimSun" w:cs="Times New Roman"/>
            <w:szCs w:val="24"/>
            <w:shd w:val="clear" w:color="auto" w:fill="FFFFFF"/>
          </w:rPr>
          <w:t>https://doi.org/10.1111/j.1442-2042.2011.02933.x</w:t>
        </w:r>
      </w:hyperlink>
    </w:p>
    <w:p w14:paraId="51F1EA22" w14:textId="6D4F6FA7" w:rsidR="00795CAD" w:rsidRPr="00795CAD" w:rsidRDefault="00795CAD">
      <w:pPr>
        <w:numPr>
          <w:ilvl w:val="0"/>
          <w:numId w:val="2"/>
        </w:numPr>
        <w:spacing w:after="240"/>
        <w:ind w:left="-90"/>
        <w:jc w:val="both"/>
        <w:rPr>
          <w:rFonts w:cs="Times New Roman"/>
          <w:szCs w:val="24"/>
        </w:rPr>
      </w:pPr>
      <w:r w:rsidRPr="00795CAD">
        <w:rPr>
          <w:rFonts w:eastAsia="SimSun" w:cs="Times New Roman"/>
          <w:color w:val="222222"/>
          <w:szCs w:val="24"/>
          <w:shd w:val="clear" w:color="auto" w:fill="FFFFFF"/>
        </w:rPr>
        <w:t xml:space="preserve">Robicsek, A., </w:t>
      </w:r>
      <w:proofErr w:type="spellStart"/>
      <w:r w:rsidRPr="00795CAD">
        <w:rPr>
          <w:rFonts w:eastAsia="SimSun" w:cs="Times New Roman"/>
          <w:color w:val="222222"/>
          <w:szCs w:val="24"/>
          <w:shd w:val="clear" w:color="auto" w:fill="FFFFFF"/>
        </w:rPr>
        <w:t>Strahilevitz</w:t>
      </w:r>
      <w:proofErr w:type="spellEnd"/>
      <w:r w:rsidRPr="00795CAD">
        <w:rPr>
          <w:rFonts w:eastAsia="SimSun" w:cs="Times New Roman"/>
          <w:color w:val="222222"/>
          <w:szCs w:val="24"/>
          <w:shd w:val="clear" w:color="auto" w:fill="FFFFFF"/>
        </w:rPr>
        <w:t xml:space="preserve">, J., Jacoby, G. A., </w:t>
      </w:r>
      <w:proofErr w:type="spellStart"/>
      <w:r w:rsidRPr="00795CAD">
        <w:rPr>
          <w:rFonts w:eastAsia="SimSun" w:cs="Times New Roman"/>
          <w:color w:val="222222"/>
          <w:szCs w:val="24"/>
          <w:shd w:val="clear" w:color="auto" w:fill="FFFFFF"/>
        </w:rPr>
        <w:t>Macielag</w:t>
      </w:r>
      <w:proofErr w:type="spellEnd"/>
      <w:r w:rsidRPr="00795CAD">
        <w:rPr>
          <w:rFonts w:eastAsia="SimSun" w:cs="Times New Roman"/>
          <w:color w:val="222222"/>
          <w:szCs w:val="24"/>
          <w:shd w:val="clear" w:color="auto" w:fill="FFFFFF"/>
        </w:rPr>
        <w:t xml:space="preserve">, M., </w:t>
      </w:r>
      <w:proofErr w:type="spellStart"/>
      <w:r w:rsidRPr="00795CAD">
        <w:rPr>
          <w:rFonts w:eastAsia="SimSun" w:cs="Times New Roman"/>
          <w:color w:val="222222"/>
          <w:szCs w:val="24"/>
          <w:shd w:val="clear" w:color="auto" w:fill="FFFFFF"/>
        </w:rPr>
        <w:t>Abbanat</w:t>
      </w:r>
      <w:proofErr w:type="spellEnd"/>
      <w:r w:rsidRPr="00795CAD">
        <w:rPr>
          <w:rFonts w:eastAsia="SimSun" w:cs="Times New Roman"/>
          <w:color w:val="222222"/>
          <w:szCs w:val="24"/>
          <w:shd w:val="clear" w:color="auto" w:fill="FFFFFF"/>
        </w:rPr>
        <w:t xml:space="preserve">, D., Park, C. H., Bush, K., &amp; Hooper, D. C. (2006). Fluoroquinolone-modifying enzyme: A new adaptation of a common aminoglycoside acetyltransferase. Nature medicine, 12(1), 83–88. </w:t>
      </w:r>
      <w:hyperlink r:id="rId17" w:history="1">
        <w:r w:rsidRPr="008E6228">
          <w:rPr>
            <w:rStyle w:val="Hyperlink"/>
            <w:rFonts w:eastAsia="SimSun" w:cs="Times New Roman"/>
            <w:szCs w:val="24"/>
            <w:shd w:val="clear" w:color="auto" w:fill="FFFFFF"/>
          </w:rPr>
          <w:t>https://doi.org/10.1038/nm1347</w:t>
        </w:r>
      </w:hyperlink>
    </w:p>
    <w:p w14:paraId="67D64FFB" w14:textId="44C0476F" w:rsidR="00795CAD" w:rsidRPr="00795CAD" w:rsidRDefault="00795CAD">
      <w:pPr>
        <w:numPr>
          <w:ilvl w:val="0"/>
          <w:numId w:val="2"/>
        </w:numPr>
        <w:spacing w:after="240"/>
        <w:ind w:left="-90"/>
        <w:jc w:val="both"/>
        <w:rPr>
          <w:rFonts w:cs="Times New Roman"/>
          <w:szCs w:val="24"/>
        </w:rPr>
      </w:pPr>
      <w:r w:rsidRPr="00795CAD">
        <w:rPr>
          <w:rFonts w:eastAsia="Times New Roman" w:cs="Times New Roman"/>
          <w:bCs/>
          <w:szCs w:val="24"/>
          <w:lang w:val="en-US"/>
        </w:rPr>
        <w:t xml:space="preserve">Jacoby, G. A. (2005). Mechanisms of resistance to quinolones. Clinical Infectious Diseases, 41(Suppl 2), S120-S126. </w:t>
      </w:r>
      <w:hyperlink r:id="rId18" w:history="1">
        <w:r w:rsidRPr="008E6228">
          <w:rPr>
            <w:rStyle w:val="Hyperlink"/>
            <w:rFonts w:eastAsia="Times New Roman" w:cs="Times New Roman"/>
            <w:bCs/>
            <w:szCs w:val="24"/>
            <w:lang w:val="en-US"/>
          </w:rPr>
          <w:t>https://doi.org/10.1086/428052</w:t>
        </w:r>
      </w:hyperlink>
    </w:p>
    <w:p w14:paraId="56F08F79" w14:textId="13AAA36B" w:rsidR="00795CAD" w:rsidRDefault="00795CAD">
      <w:pPr>
        <w:numPr>
          <w:ilvl w:val="0"/>
          <w:numId w:val="2"/>
        </w:numPr>
        <w:spacing w:after="240"/>
        <w:ind w:left="-90"/>
        <w:jc w:val="both"/>
        <w:rPr>
          <w:rFonts w:eastAsia="Palatino Linotype" w:cs="Times New Roman"/>
          <w:color w:val="000000"/>
          <w:szCs w:val="24"/>
          <w:lang w:val="en-US" w:eastAsia="zh-CN"/>
        </w:rPr>
      </w:pPr>
      <w:proofErr w:type="spellStart"/>
      <w:r w:rsidRPr="00795CAD">
        <w:rPr>
          <w:rFonts w:eastAsia="Palatino Linotype" w:cs="Times New Roman"/>
          <w:color w:val="000000"/>
          <w:szCs w:val="24"/>
          <w:lang w:val="en-US" w:eastAsia="zh-CN"/>
        </w:rPr>
        <w:t>Ekpunobi</w:t>
      </w:r>
      <w:proofErr w:type="spellEnd"/>
      <w:r w:rsidRPr="00795CAD">
        <w:rPr>
          <w:rFonts w:eastAsia="Palatino Linotype" w:cs="Times New Roman"/>
          <w:color w:val="000000"/>
          <w:szCs w:val="24"/>
          <w:lang w:val="en-US" w:eastAsia="zh-CN"/>
        </w:rPr>
        <w:t xml:space="preserve">, N. F., </w:t>
      </w:r>
      <w:proofErr w:type="spellStart"/>
      <w:r w:rsidRPr="00795CAD">
        <w:rPr>
          <w:rFonts w:eastAsia="Palatino Linotype" w:cs="Times New Roman"/>
          <w:color w:val="000000"/>
          <w:szCs w:val="24"/>
          <w:lang w:val="en-US" w:eastAsia="zh-CN"/>
        </w:rPr>
        <w:t>Mgbedo</w:t>
      </w:r>
      <w:proofErr w:type="spellEnd"/>
      <w:r w:rsidRPr="00795CAD">
        <w:rPr>
          <w:rFonts w:eastAsia="Palatino Linotype" w:cs="Times New Roman"/>
          <w:color w:val="000000"/>
          <w:szCs w:val="24"/>
          <w:lang w:val="en-US" w:eastAsia="zh-CN"/>
        </w:rPr>
        <w:t xml:space="preserve">, U. G., Okoye, L. C., &amp; Agu, K. C. (2024). Prevalence of ESBL genes in Klebsiella pneumoniae from individuals with community acquired urinary tract infections in Lagos state, Nigeria. Journal of RNA and Genomics, 20(2), 1-6. </w:t>
      </w:r>
      <w:hyperlink r:id="rId19" w:history="1">
        <w:r w:rsidRPr="008E6228">
          <w:rPr>
            <w:rStyle w:val="Hyperlink"/>
            <w:rFonts w:eastAsia="Palatino Linotype" w:cs="Times New Roman"/>
            <w:szCs w:val="24"/>
            <w:lang w:val="en-US" w:eastAsia="zh-CN"/>
          </w:rPr>
          <w:t>https://doi.org/10.35841/2591-7781.19.1000181</w:t>
        </w:r>
      </w:hyperlink>
    </w:p>
    <w:p w14:paraId="37498237" w14:textId="2A807DC3" w:rsidR="00795CAD" w:rsidRPr="00795CAD" w:rsidRDefault="00795CAD">
      <w:pPr>
        <w:numPr>
          <w:ilvl w:val="0"/>
          <w:numId w:val="2"/>
        </w:numPr>
        <w:spacing w:after="240"/>
        <w:ind w:left="-90"/>
        <w:jc w:val="both"/>
        <w:rPr>
          <w:rFonts w:cs="Times New Roman"/>
          <w:szCs w:val="24"/>
        </w:rPr>
      </w:pPr>
      <w:r w:rsidRPr="00795CAD">
        <w:rPr>
          <w:rFonts w:eastAsia="Palatino Linotype" w:cs="Times New Roman"/>
          <w:color w:val="000000"/>
          <w:szCs w:val="24"/>
          <w:lang w:val="en-US" w:eastAsia="zh-CN"/>
        </w:rPr>
        <w:t xml:space="preserve">Okoye, L. C., Ugwu, M. C., Oli, A. N., Okoye, E. C. S., </w:t>
      </w:r>
      <w:proofErr w:type="spellStart"/>
      <w:r w:rsidRPr="00795CAD">
        <w:rPr>
          <w:rFonts w:eastAsia="Palatino Linotype" w:cs="Times New Roman"/>
          <w:color w:val="000000"/>
          <w:szCs w:val="24"/>
          <w:lang w:val="en-US" w:eastAsia="zh-CN"/>
        </w:rPr>
        <w:t>Ekpunobi</w:t>
      </w:r>
      <w:proofErr w:type="spellEnd"/>
      <w:r w:rsidRPr="00795CAD">
        <w:rPr>
          <w:rFonts w:eastAsia="Palatino Linotype" w:cs="Times New Roman"/>
          <w:color w:val="000000"/>
          <w:szCs w:val="24"/>
          <w:lang w:val="en-US" w:eastAsia="zh-CN"/>
        </w:rPr>
        <w:t xml:space="preserve">, N. F., Okezie, U. M., &amp; </w:t>
      </w:r>
      <w:proofErr w:type="spellStart"/>
      <w:r w:rsidRPr="00795CAD">
        <w:rPr>
          <w:rFonts w:eastAsia="Palatino Linotype" w:cs="Times New Roman"/>
          <w:color w:val="000000"/>
          <w:szCs w:val="24"/>
          <w:lang w:val="en-US" w:eastAsia="zh-CN"/>
        </w:rPr>
        <w:t>Mgbedo</w:t>
      </w:r>
      <w:proofErr w:type="spellEnd"/>
      <w:r w:rsidRPr="00795CAD">
        <w:rPr>
          <w:rFonts w:eastAsia="Palatino Linotype" w:cs="Times New Roman"/>
          <w:color w:val="000000"/>
          <w:szCs w:val="24"/>
          <w:lang w:val="en-US" w:eastAsia="zh-CN"/>
        </w:rPr>
        <w:t xml:space="preserve">, U. G. (2024). Genotypic detection of </w:t>
      </w:r>
      <w:proofErr w:type="spellStart"/>
      <w:r w:rsidRPr="00795CAD">
        <w:rPr>
          <w:rFonts w:eastAsia="Palatino Linotype" w:cs="Times New Roman"/>
          <w:color w:val="000000"/>
          <w:szCs w:val="24"/>
          <w:lang w:val="en-US" w:eastAsia="zh-CN"/>
        </w:rPr>
        <w:t>metallo</w:t>
      </w:r>
      <w:proofErr w:type="spellEnd"/>
      <w:r w:rsidRPr="00795CAD">
        <w:rPr>
          <w:rFonts w:eastAsia="Palatino Linotype" w:cs="Times New Roman"/>
          <w:color w:val="000000"/>
          <w:szCs w:val="24"/>
          <w:lang w:val="en-US" w:eastAsia="zh-CN"/>
        </w:rPr>
        <w:t xml:space="preserve">-Beta-Lactamases among multidrug resistant Klebsiella pneumoniae isolated from urine samples of UTI patients. GSC Biological and Pharmaceutical Sciences, 29(03), 248-255. </w:t>
      </w:r>
      <w:hyperlink r:id="rId20" w:history="1">
        <w:r w:rsidRPr="008E6228">
          <w:rPr>
            <w:rStyle w:val="Hyperlink"/>
            <w:rFonts w:eastAsia="Palatino Linotype" w:cs="Times New Roman"/>
            <w:szCs w:val="24"/>
            <w:lang w:val="en-US" w:eastAsia="zh-CN"/>
          </w:rPr>
          <w:t>https://doi.org/10.30574/gscbps.2024.29.3.0483</w:t>
        </w:r>
      </w:hyperlink>
    </w:p>
    <w:p w14:paraId="63403D52" w14:textId="736CC020" w:rsidR="00795CAD" w:rsidRPr="00795CAD" w:rsidRDefault="00795CAD">
      <w:pPr>
        <w:numPr>
          <w:ilvl w:val="0"/>
          <w:numId w:val="2"/>
        </w:numPr>
        <w:spacing w:after="240"/>
        <w:ind w:left="-90"/>
        <w:jc w:val="both"/>
        <w:rPr>
          <w:rFonts w:cs="Times New Roman"/>
          <w:szCs w:val="24"/>
        </w:rPr>
      </w:pPr>
      <w:proofErr w:type="spellStart"/>
      <w:r w:rsidRPr="00795CAD">
        <w:rPr>
          <w:rFonts w:eastAsia="SimSun" w:cs="Times New Roman"/>
          <w:szCs w:val="24"/>
        </w:rPr>
        <w:t>Ekpunobi</w:t>
      </w:r>
      <w:proofErr w:type="spellEnd"/>
      <w:r w:rsidRPr="00795CAD">
        <w:rPr>
          <w:rFonts w:eastAsia="SimSun" w:cs="Times New Roman"/>
          <w:szCs w:val="24"/>
        </w:rPr>
        <w:t xml:space="preserve">, N. F., Ugwu, M. C., Agu, K. C., </w:t>
      </w:r>
      <w:proofErr w:type="spellStart"/>
      <w:r w:rsidRPr="00795CAD">
        <w:rPr>
          <w:rFonts w:eastAsia="SimSun" w:cs="Times New Roman"/>
          <w:szCs w:val="24"/>
        </w:rPr>
        <w:t>Chukwunwejim</w:t>
      </w:r>
      <w:proofErr w:type="spellEnd"/>
      <w:r w:rsidRPr="00795CAD">
        <w:rPr>
          <w:rFonts w:eastAsia="SimSun" w:cs="Times New Roman"/>
          <w:szCs w:val="24"/>
        </w:rPr>
        <w:t xml:space="preserve">, C. R., </w:t>
      </w:r>
      <w:proofErr w:type="spellStart"/>
      <w:r w:rsidRPr="00795CAD">
        <w:rPr>
          <w:rFonts w:eastAsia="SimSun" w:cs="Times New Roman"/>
          <w:szCs w:val="24"/>
        </w:rPr>
        <w:t>Oghonyon</w:t>
      </w:r>
      <w:proofErr w:type="spellEnd"/>
      <w:r w:rsidRPr="00795CAD">
        <w:rPr>
          <w:rFonts w:eastAsia="SimSun" w:cs="Times New Roman"/>
          <w:szCs w:val="24"/>
        </w:rPr>
        <w:t xml:space="preserve">, E. I., Ogunmola, T., </w:t>
      </w:r>
      <w:proofErr w:type="spellStart"/>
      <w:r w:rsidRPr="00795CAD">
        <w:rPr>
          <w:rFonts w:eastAsia="SimSun" w:cs="Times New Roman"/>
          <w:szCs w:val="24"/>
        </w:rPr>
        <w:t>Ajasa</w:t>
      </w:r>
      <w:proofErr w:type="spellEnd"/>
      <w:r w:rsidRPr="00795CAD">
        <w:rPr>
          <w:rFonts w:eastAsia="SimSun" w:cs="Times New Roman"/>
          <w:szCs w:val="24"/>
        </w:rPr>
        <w:t xml:space="preserve">, O. S., Okoye, S. C., &amp; </w:t>
      </w:r>
      <w:proofErr w:type="spellStart"/>
      <w:r w:rsidRPr="00795CAD">
        <w:rPr>
          <w:rFonts w:eastAsia="SimSun" w:cs="Times New Roman"/>
          <w:szCs w:val="24"/>
        </w:rPr>
        <w:t>Obidi</w:t>
      </w:r>
      <w:proofErr w:type="spellEnd"/>
      <w:r w:rsidRPr="00795CAD">
        <w:rPr>
          <w:rFonts w:eastAsia="SimSun" w:cs="Times New Roman"/>
          <w:szCs w:val="24"/>
        </w:rPr>
        <w:t xml:space="preserve">, N. (2025). Extended-Spectrum Beta-Lactamase-Producing </w:t>
      </w:r>
      <w:proofErr w:type="spellStart"/>
      <w:r w:rsidRPr="00795CAD">
        <w:rPr>
          <w:rFonts w:eastAsia="SimSun" w:cs="Times New Roman"/>
          <w:szCs w:val="24"/>
        </w:rPr>
        <w:t>Uropathogens</w:t>
      </w:r>
      <w:proofErr w:type="spellEnd"/>
      <w:r w:rsidRPr="00795CAD">
        <w:rPr>
          <w:rFonts w:eastAsia="SimSun" w:cs="Times New Roman"/>
          <w:szCs w:val="24"/>
        </w:rPr>
        <w:t xml:space="preserve"> in </w:t>
      </w:r>
      <w:proofErr w:type="spellStart"/>
      <w:r w:rsidRPr="00795CAD">
        <w:rPr>
          <w:rFonts w:eastAsia="SimSun" w:cs="Times New Roman"/>
          <w:szCs w:val="24"/>
        </w:rPr>
        <w:t>Pediatric</w:t>
      </w:r>
      <w:proofErr w:type="spellEnd"/>
      <w:r w:rsidRPr="00795CAD">
        <w:rPr>
          <w:rFonts w:eastAsia="SimSun" w:cs="Times New Roman"/>
          <w:szCs w:val="24"/>
        </w:rPr>
        <w:t xml:space="preserve"> UTIs: Molecular Characteristics, Clinical Impact and Public Health Consequences. Journal of Advances in Biology &amp; Biotechnology, 28(9), 691–709. </w:t>
      </w:r>
      <w:hyperlink r:id="rId21" w:history="1">
        <w:r w:rsidRPr="008E6228">
          <w:rPr>
            <w:rStyle w:val="Hyperlink"/>
            <w:rFonts w:eastAsia="SimSun" w:cs="Times New Roman"/>
            <w:szCs w:val="24"/>
          </w:rPr>
          <w:t>https://doi.org/10.9734/jabb/2025/v28i92918</w:t>
        </w:r>
      </w:hyperlink>
    </w:p>
    <w:p w14:paraId="037C54FB" w14:textId="6FE537F2" w:rsidR="00795CAD" w:rsidRPr="00795CAD" w:rsidRDefault="00795CAD">
      <w:pPr>
        <w:numPr>
          <w:ilvl w:val="0"/>
          <w:numId w:val="2"/>
        </w:numPr>
        <w:spacing w:after="240"/>
        <w:ind w:left="-90"/>
        <w:jc w:val="both"/>
        <w:rPr>
          <w:rFonts w:cs="Times New Roman"/>
          <w:szCs w:val="24"/>
        </w:rPr>
      </w:pPr>
      <w:r w:rsidRPr="00795CAD">
        <w:rPr>
          <w:rFonts w:eastAsia="Segoe UI" w:cs="Times New Roman"/>
          <w:color w:val="212121"/>
          <w:szCs w:val="24"/>
          <w:shd w:val="clear" w:color="auto" w:fill="FFFFFF"/>
        </w:rPr>
        <w:t xml:space="preserve">Salah, F. D., Soubeiga, S. T., Ouattara, A. K., Sadji, A. Y., </w:t>
      </w:r>
      <w:proofErr w:type="spellStart"/>
      <w:r w:rsidRPr="00795CAD">
        <w:rPr>
          <w:rFonts w:eastAsia="Segoe UI" w:cs="Times New Roman"/>
          <w:color w:val="212121"/>
          <w:szCs w:val="24"/>
          <w:shd w:val="clear" w:color="auto" w:fill="FFFFFF"/>
        </w:rPr>
        <w:t>Metuor</w:t>
      </w:r>
      <w:proofErr w:type="spellEnd"/>
      <w:r w:rsidRPr="00795CAD">
        <w:rPr>
          <w:rFonts w:eastAsia="Segoe UI" w:cs="Times New Roman"/>
          <w:color w:val="212121"/>
          <w:szCs w:val="24"/>
          <w:shd w:val="clear" w:color="auto" w:fill="FFFFFF"/>
        </w:rPr>
        <w:t xml:space="preserve">-Dabire, A., Obiri-Yeboah, D., </w:t>
      </w:r>
      <w:proofErr w:type="spellStart"/>
      <w:r w:rsidRPr="00795CAD">
        <w:rPr>
          <w:rFonts w:eastAsia="Segoe UI" w:cs="Times New Roman"/>
          <w:color w:val="212121"/>
          <w:szCs w:val="24"/>
          <w:shd w:val="clear" w:color="auto" w:fill="FFFFFF"/>
        </w:rPr>
        <w:t>Banla</w:t>
      </w:r>
      <w:proofErr w:type="spellEnd"/>
      <w:r w:rsidRPr="00795CAD">
        <w:rPr>
          <w:rFonts w:eastAsia="Segoe UI" w:cs="Times New Roman"/>
          <w:color w:val="212121"/>
          <w:szCs w:val="24"/>
          <w:shd w:val="clear" w:color="auto" w:fill="FFFFFF"/>
        </w:rPr>
        <w:t>-Kere, A., Karou, S., &amp; Simpore, J. (2019). Distribution of quinolone resistance gene (</w:t>
      </w:r>
      <w:proofErr w:type="spellStart"/>
      <w:r w:rsidRPr="00795CAD">
        <w:rPr>
          <w:rFonts w:eastAsia="Segoe UI" w:cs="Times New Roman"/>
          <w:color w:val="212121"/>
          <w:szCs w:val="24"/>
          <w:shd w:val="clear" w:color="auto" w:fill="FFFFFF"/>
        </w:rPr>
        <w:t>qnr</w:t>
      </w:r>
      <w:proofErr w:type="spellEnd"/>
      <w:r w:rsidRPr="00795CAD">
        <w:rPr>
          <w:rFonts w:eastAsia="Segoe UI" w:cs="Times New Roman"/>
          <w:color w:val="212121"/>
          <w:szCs w:val="24"/>
          <w:shd w:val="clear" w:color="auto" w:fill="FFFFFF"/>
        </w:rPr>
        <w:t xml:space="preserve">) in ESBL-producing Escherichia coli and Klebsiella spp. in Lomé, Togo. Antimicrobial resistance and infection control, 8, 104. </w:t>
      </w:r>
      <w:hyperlink r:id="rId22" w:history="1">
        <w:r w:rsidRPr="008E6228">
          <w:rPr>
            <w:rStyle w:val="Hyperlink"/>
            <w:rFonts w:eastAsia="Segoe UI" w:cs="Times New Roman"/>
            <w:szCs w:val="24"/>
            <w:shd w:val="clear" w:color="auto" w:fill="FFFFFF"/>
          </w:rPr>
          <w:t>https://doi.org/10.1186/s13756-019-0552-0</w:t>
        </w:r>
      </w:hyperlink>
    </w:p>
    <w:p w14:paraId="2B0ECF2C" w14:textId="1BFB0536" w:rsidR="005623FA" w:rsidRDefault="0068495E">
      <w:pPr>
        <w:numPr>
          <w:ilvl w:val="0"/>
          <w:numId w:val="2"/>
        </w:numPr>
        <w:spacing w:after="240"/>
        <w:ind w:left="-90"/>
        <w:jc w:val="both"/>
        <w:rPr>
          <w:rFonts w:cs="Times New Roman"/>
          <w:szCs w:val="24"/>
        </w:rPr>
      </w:pPr>
      <w:r w:rsidRPr="0068495E">
        <w:rPr>
          <w:rFonts w:eastAsia="Cambria" w:cs="Times New Roman"/>
          <w:color w:val="000000"/>
          <w:szCs w:val="24"/>
          <w:lang w:val="en-US" w:eastAsia="zh-CN"/>
        </w:rPr>
        <w:lastRenderedPageBreak/>
        <w:t xml:space="preserve">Clinical and Laboratory Standards Institute. (2020). Performance standards for antimicrobial susceptibility testing (CLSI Supplement M100, 30th ed.). Clinical and Laboratory Standards Institute. </w:t>
      </w:r>
      <w:hyperlink r:id="rId23" w:history="1">
        <w:r w:rsidRPr="008E6228">
          <w:rPr>
            <w:rStyle w:val="Hyperlink"/>
            <w:rFonts w:eastAsia="Cambria" w:cs="Times New Roman"/>
            <w:szCs w:val="24"/>
            <w:lang w:val="en-US" w:eastAsia="zh-CN"/>
          </w:rPr>
          <w:t>https://clsi.org/media/3481/m100ed30_sample.pdf</w:t>
        </w:r>
      </w:hyperlink>
      <w:r>
        <w:rPr>
          <w:rFonts w:eastAsia="Cambria" w:cs="Times New Roman"/>
          <w:color w:val="000000"/>
          <w:szCs w:val="24"/>
          <w:lang w:val="en-US" w:eastAsia="zh-CN"/>
        </w:rPr>
        <w:t xml:space="preserve"> </w:t>
      </w:r>
      <w:r w:rsidR="00357A3C">
        <w:rPr>
          <w:rFonts w:eastAsia="Cambria" w:cs="Times New Roman"/>
          <w:color w:val="000000"/>
          <w:szCs w:val="24"/>
          <w:lang w:val="en-US" w:eastAsia="zh-CN"/>
        </w:rPr>
        <w:t>.</w:t>
      </w:r>
    </w:p>
    <w:p w14:paraId="3BE67030" w14:textId="6085F34A" w:rsidR="001831AE" w:rsidRPr="001831AE" w:rsidRDefault="001831AE">
      <w:pPr>
        <w:numPr>
          <w:ilvl w:val="0"/>
          <w:numId w:val="3"/>
        </w:numPr>
        <w:jc w:val="both"/>
        <w:rPr>
          <w:rFonts w:cs="Times New Roman"/>
          <w:szCs w:val="24"/>
        </w:rPr>
      </w:pPr>
      <w:proofErr w:type="spellStart"/>
      <w:r w:rsidRPr="001831AE">
        <w:rPr>
          <w:rFonts w:eastAsia="Consolas" w:cs="Times New Roman"/>
          <w:color w:val="1B1B1B"/>
          <w:szCs w:val="24"/>
          <w:shd w:val="clear" w:color="auto" w:fill="FFFFFF"/>
        </w:rPr>
        <w:t>Ekwealor</w:t>
      </w:r>
      <w:proofErr w:type="spellEnd"/>
      <w:r w:rsidRPr="001831AE">
        <w:rPr>
          <w:rFonts w:eastAsia="Consolas" w:cs="Times New Roman"/>
          <w:color w:val="1B1B1B"/>
          <w:szCs w:val="24"/>
          <w:shd w:val="clear" w:color="auto" w:fill="FFFFFF"/>
        </w:rPr>
        <w:t xml:space="preserve">, P. A., Ugwu, M. C., Ezeobi, I., </w:t>
      </w:r>
      <w:proofErr w:type="spellStart"/>
      <w:r w:rsidRPr="001831AE">
        <w:rPr>
          <w:rFonts w:eastAsia="Consolas" w:cs="Times New Roman"/>
          <w:color w:val="1B1B1B"/>
          <w:szCs w:val="24"/>
          <w:shd w:val="clear" w:color="auto" w:fill="FFFFFF"/>
        </w:rPr>
        <w:t>Amalukwe</w:t>
      </w:r>
      <w:proofErr w:type="spellEnd"/>
      <w:r w:rsidRPr="001831AE">
        <w:rPr>
          <w:rFonts w:eastAsia="Consolas" w:cs="Times New Roman"/>
          <w:color w:val="1B1B1B"/>
          <w:szCs w:val="24"/>
          <w:shd w:val="clear" w:color="auto" w:fill="FFFFFF"/>
        </w:rPr>
        <w:t xml:space="preserve">, G., Ugwu, B. C., Okezie, U., Stanley, C., &amp; </w:t>
      </w:r>
      <w:proofErr w:type="spellStart"/>
      <w:r w:rsidRPr="001831AE">
        <w:rPr>
          <w:rFonts w:eastAsia="Consolas" w:cs="Times New Roman"/>
          <w:color w:val="1B1B1B"/>
          <w:szCs w:val="24"/>
          <w:shd w:val="clear" w:color="auto" w:fill="FFFFFF"/>
        </w:rPr>
        <w:t>Esimone</w:t>
      </w:r>
      <w:proofErr w:type="spellEnd"/>
      <w:r w:rsidRPr="001831AE">
        <w:rPr>
          <w:rFonts w:eastAsia="Consolas" w:cs="Times New Roman"/>
          <w:color w:val="1B1B1B"/>
          <w:szCs w:val="24"/>
          <w:shd w:val="clear" w:color="auto" w:fill="FFFFFF"/>
        </w:rPr>
        <w:t xml:space="preserve">, C. (2016). Antimicrobial Evaluation of Bacterial Isolates from Urine Specimen of Patients with Complaints of Urinary Tract Infections in </w:t>
      </w:r>
      <w:proofErr w:type="spellStart"/>
      <w:r w:rsidRPr="001831AE">
        <w:rPr>
          <w:rFonts w:eastAsia="Consolas" w:cs="Times New Roman"/>
          <w:color w:val="1B1B1B"/>
          <w:szCs w:val="24"/>
          <w:shd w:val="clear" w:color="auto" w:fill="FFFFFF"/>
        </w:rPr>
        <w:t>Awka</w:t>
      </w:r>
      <w:proofErr w:type="spellEnd"/>
      <w:r w:rsidRPr="001831AE">
        <w:rPr>
          <w:rFonts w:eastAsia="Consolas" w:cs="Times New Roman"/>
          <w:color w:val="1B1B1B"/>
          <w:szCs w:val="24"/>
          <w:shd w:val="clear" w:color="auto" w:fill="FFFFFF"/>
        </w:rPr>
        <w:t xml:space="preserve">, Nigeria. International Journal of Microbiology. </w:t>
      </w:r>
      <w:hyperlink r:id="rId24" w:history="1">
        <w:r w:rsidRPr="008E6228">
          <w:rPr>
            <w:rStyle w:val="Hyperlink"/>
            <w:rFonts w:eastAsia="Consolas" w:cs="Times New Roman"/>
            <w:szCs w:val="24"/>
            <w:shd w:val="clear" w:color="auto" w:fill="FFFFFF"/>
          </w:rPr>
          <w:t>https://doi.org/10.1155/2016/9740273</w:t>
        </w:r>
      </w:hyperlink>
    </w:p>
    <w:p w14:paraId="75BDDC52" w14:textId="0407A184" w:rsidR="001831AE" w:rsidRPr="001831AE" w:rsidRDefault="001831AE">
      <w:pPr>
        <w:numPr>
          <w:ilvl w:val="0"/>
          <w:numId w:val="3"/>
        </w:numPr>
        <w:jc w:val="both"/>
        <w:rPr>
          <w:rFonts w:eastAsia="sans-serif" w:cs="Times New Roman"/>
          <w:szCs w:val="24"/>
          <w:shd w:val="clear" w:color="auto" w:fill="FFFFFF"/>
        </w:rPr>
      </w:pPr>
      <w:proofErr w:type="spellStart"/>
      <w:r w:rsidRPr="001831AE">
        <w:rPr>
          <w:rFonts w:eastAsia="SimSun" w:cs="Times New Roman"/>
          <w:color w:val="222222"/>
          <w:szCs w:val="24"/>
          <w:shd w:val="clear" w:color="auto" w:fill="FFFFFF"/>
        </w:rPr>
        <w:t>Ejikeugwu</w:t>
      </w:r>
      <w:proofErr w:type="spellEnd"/>
      <w:r w:rsidRPr="001831AE">
        <w:rPr>
          <w:rFonts w:eastAsia="SimSun" w:cs="Times New Roman"/>
          <w:color w:val="222222"/>
          <w:szCs w:val="24"/>
          <w:shd w:val="clear" w:color="auto" w:fill="FFFFFF"/>
        </w:rPr>
        <w:t xml:space="preserve">, C., Nworie, O., Saki, M., Al-Dahmoshi, H. O., Al-Khafaji, N. S., </w:t>
      </w:r>
      <w:proofErr w:type="spellStart"/>
      <w:r w:rsidRPr="001831AE">
        <w:rPr>
          <w:rFonts w:eastAsia="SimSun" w:cs="Times New Roman"/>
          <w:color w:val="222222"/>
          <w:szCs w:val="24"/>
          <w:shd w:val="clear" w:color="auto" w:fill="FFFFFF"/>
        </w:rPr>
        <w:t>Ezeador</w:t>
      </w:r>
      <w:proofErr w:type="spellEnd"/>
      <w:r w:rsidRPr="001831AE">
        <w:rPr>
          <w:rFonts w:eastAsia="SimSun" w:cs="Times New Roman"/>
          <w:color w:val="222222"/>
          <w:szCs w:val="24"/>
          <w:shd w:val="clear" w:color="auto" w:fill="FFFFFF"/>
        </w:rPr>
        <w:t xml:space="preserve">, C., </w:t>
      </w:r>
      <w:proofErr w:type="spellStart"/>
      <w:r w:rsidRPr="001831AE">
        <w:rPr>
          <w:rFonts w:eastAsia="SimSun" w:cs="Times New Roman"/>
          <w:color w:val="222222"/>
          <w:szCs w:val="24"/>
          <w:shd w:val="clear" w:color="auto" w:fill="FFFFFF"/>
        </w:rPr>
        <w:t>Nwakaeze</w:t>
      </w:r>
      <w:proofErr w:type="spellEnd"/>
      <w:r w:rsidRPr="001831AE">
        <w:rPr>
          <w:rFonts w:eastAsia="SimSun" w:cs="Times New Roman"/>
          <w:color w:val="222222"/>
          <w:szCs w:val="24"/>
          <w:shd w:val="clear" w:color="auto" w:fill="FFFFFF"/>
        </w:rPr>
        <w:t xml:space="preserve">, E., Eze, P., Oni, E., Obi, C., Iroha, I., </w:t>
      </w:r>
      <w:proofErr w:type="spellStart"/>
      <w:r w:rsidRPr="001831AE">
        <w:rPr>
          <w:rFonts w:eastAsia="SimSun" w:cs="Times New Roman"/>
          <w:color w:val="222222"/>
          <w:szCs w:val="24"/>
          <w:shd w:val="clear" w:color="auto" w:fill="FFFFFF"/>
        </w:rPr>
        <w:t>Esimone</w:t>
      </w:r>
      <w:proofErr w:type="spellEnd"/>
      <w:r w:rsidRPr="001831AE">
        <w:rPr>
          <w:rFonts w:eastAsia="SimSun" w:cs="Times New Roman"/>
          <w:color w:val="222222"/>
          <w:szCs w:val="24"/>
          <w:shd w:val="clear" w:color="auto" w:fill="FFFFFF"/>
        </w:rPr>
        <w:t xml:space="preserve">, C., &amp; </w:t>
      </w:r>
      <w:proofErr w:type="spellStart"/>
      <w:r w:rsidRPr="001831AE">
        <w:rPr>
          <w:rFonts w:eastAsia="SimSun" w:cs="Times New Roman"/>
          <w:color w:val="222222"/>
          <w:szCs w:val="24"/>
          <w:shd w:val="clear" w:color="auto" w:fill="FFFFFF"/>
        </w:rPr>
        <w:t>Adikwu</w:t>
      </w:r>
      <w:proofErr w:type="spellEnd"/>
      <w:r w:rsidRPr="001831AE">
        <w:rPr>
          <w:rFonts w:eastAsia="SimSun" w:cs="Times New Roman"/>
          <w:color w:val="222222"/>
          <w:szCs w:val="24"/>
          <w:shd w:val="clear" w:color="auto" w:fill="FFFFFF"/>
        </w:rPr>
        <w:t xml:space="preserve">, M. U. (2021). Metallo-β-lactamase and </w:t>
      </w:r>
      <w:proofErr w:type="spellStart"/>
      <w:r w:rsidRPr="001831AE">
        <w:rPr>
          <w:rFonts w:eastAsia="SimSun" w:cs="Times New Roman"/>
          <w:color w:val="222222"/>
          <w:szCs w:val="24"/>
          <w:shd w:val="clear" w:color="auto" w:fill="FFFFFF"/>
        </w:rPr>
        <w:t>AmpC</w:t>
      </w:r>
      <w:proofErr w:type="spellEnd"/>
      <w:r w:rsidRPr="001831AE">
        <w:rPr>
          <w:rFonts w:eastAsia="SimSun" w:cs="Times New Roman"/>
          <w:color w:val="222222"/>
          <w:szCs w:val="24"/>
          <w:shd w:val="clear" w:color="auto" w:fill="FFFFFF"/>
        </w:rPr>
        <w:t xml:space="preserve"> genes in Escherichia coli, Klebsiella pneumoniae, and Pseudomonas aeruginosa isolates from abattoir and poultry origin in Nigeria. BMC microbiology, 21(1), 124. </w:t>
      </w:r>
      <w:hyperlink r:id="rId25" w:history="1">
        <w:r w:rsidRPr="008E6228">
          <w:rPr>
            <w:rStyle w:val="Hyperlink"/>
            <w:rFonts w:eastAsia="SimSun" w:cs="Times New Roman"/>
            <w:szCs w:val="24"/>
            <w:shd w:val="clear" w:color="auto" w:fill="FFFFFF"/>
          </w:rPr>
          <w:t>https://doi.org/10.1186/s12866-021-02179-1</w:t>
        </w:r>
      </w:hyperlink>
    </w:p>
    <w:p w14:paraId="4470D253" w14:textId="6825D0FB" w:rsidR="001831AE" w:rsidRPr="001831AE" w:rsidRDefault="001831AE">
      <w:pPr>
        <w:numPr>
          <w:ilvl w:val="0"/>
          <w:numId w:val="3"/>
        </w:numPr>
        <w:jc w:val="both"/>
        <w:rPr>
          <w:rFonts w:eastAsia="SimSun" w:cs="Times New Roman"/>
          <w:color w:val="222222"/>
          <w:szCs w:val="24"/>
          <w:shd w:val="clear" w:color="auto" w:fill="FFFFFF"/>
        </w:rPr>
      </w:pPr>
      <w:proofErr w:type="spellStart"/>
      <w:r w:rsidRPr="001831AE">
        <w:rPr>
          <w:rFonts w:eastAsia="sans-serif" w:cs="Times New Roman"/>
          <w:szCs w:val="24"/>
          <w:shd w:val="clear" w:color="auto" w:fill="FFFFFF"/>
        </w:rPr>
        <w:t>Ekpunobi</w:t>
      </w:r>
      <w:proofErr w:type="spellEnd"/>
      <w:r w:rsidRPr="001831AE">
        <w:rPr>
          <w:rFonts w:eastAsia="sans-serif" w:cs="Times New Roman"/>
          <w:szCs w:val="24"/>
          <w:shd w:val="clear" w:color="auto" w:fill="FFFFFF"/>
        </w:rPr>
        <w:t xml:space="preserve">, N. F., Ugwu, M. C., Agu, K. C., </w:t>
      </w:r>
      <w:proofErr w:type="spellStart"/>
      <w:r w:rsidRPr="001831AE">
        <w:rPr>
          <w:rFonts w:eastAsia="sans-serif" w:cs="Times New Roman"/>
          <w:szCs w:val="24"/>
          <w:shd w:val="clear" w:color="auto" w:fill="FFFFFF"/>
        </w:rPr>
        <w:t>Chukwunwejim</w:t>
      </w:r>
      <w:proofErr w:type="spellEnd"/>
      <w:r w:rsidRPr="001831AE">
        <w:rPr>
          <w:rFonts w:eastAsia="sans-serif" w:cs="Times New Roman"/>
          <w:szCs w:val="24"/>
          <w:shd w:val="clear" w:color="auto" w:fill="FFFFFF"/>
        </w:rPr>
        <w:t xml:space="preserve">, C. R., </w:t>
      </w:r>
      <w:proofErr w:type="spellStart"/>
      <w:r w:rsidRPr="001831AE">
        <w:rPr>
          <w:rFonts w:eastAsia="sans-serif" w:cs="Times New Roman"/>
          <w:szCs w:val="24"/>
          <w:shd w:val="clear" w:color="auto" w:fill="FFFFFF"/>
        </w:rPr>
        <w:t>Nedum</w:t>
      </w:r>
      <w:proofErr w:type="spellEnd"/>
      <w:r w:rsidRPr="001831AE">
        <w:rPr>
          <w:rFonts w:eastAsia="sans-serif" w:cs="Times New Roman"/>
          <w:szCs w:val="24"/>
          <w:shd w:val="clear" w:color="auto" w:fill="FFFFFF"/>
        </w:rPr>
        <w:t xml:space="preserve">, C. H., Okoye, L. C., &amp; </w:t>
      </w:r>
      <w:proofErr w:type="spellStart"/>
      <w:r w:rsidRPr="001831AE">
        <w:rPr>
          <w:rFonts w:eastAsia="sans-serif" w:cs="Times New Roman"/>
          <w:szCs w:val="24"/>
          <w:shd w:val="clear" w:color="auto" w:fill="FFFFFF"/>
        </w:rPr>
        <w:t>Mgbedo</w:t>
      </w:r>
      <w:proofErr w:type="spellEnd"/>
      <w:r w:rsidRPr="001831AE">
        <w:rPr>
          <w:rFonts w:eastAsia="sans-serif" w:cs="Times New Roman"/>
          <w:szCs w:val="24"/>
          <w:shd w:val="clear" w:color="auto" w:fill="FFFFFF"/>
        </w:rPr>
        <w:t xml:space="preserve">, U. C. (2025). Prevalence and molecular detection of ESBL genes in </w:t>
      </w:r>
      <w:proofErr w:type="spellStart"/>
      <w:r w:rsidRPr="001831AE">
        <w:rPr>
          <w:rFonts w:eastAsia="sans-serif" w:cs="Times New Roman"/>
          <w:szCs w:val="24"/>
          <w:shd w:val="clear" w:color="auto" w:fill="FFFFFF"/>
        </w:rPr>
        <w:t>uropathogens</w:t>
      </w:r>
      <w:proofErr w:type="spellEnd"/>
      <w:r w:rsidRPr="001831AE">
        <w:rPr>
          <w:rFonts w:eastAsia="sans-serif" w:cs="Times New Roman"/>
          <w:szCs w:val="24"/>
          <w:shd w:val="clear" w:color="auto" w:fill="FFFFFF"/>
        </w:rPr>
        <w:t xml:space="preserve"> isolated from children and adolescents in a General Hospital in Lagos, Nigeria. Afr. J. Clin. </w:t>
      </w:r>
      <w:proofErr w:type="spellStart"/>
      <w:r w:rsidRPr="001831AE">
        <w:rPr>
          <w:rFonts w:eastAsia="sans-serif" w:cs="Times New Roman"/>
          <w:szCs w:val="24"/>
          <w:shd w:val="clear" w:color="auto" w:fill="FFFFFF"/>
        </w:rPr>
        <w:t>Exper</w:t>
      </w:r>
      <w:proofErr w:type="spellEnd"/>
      <w:r w:rsidRPr="001831AE">
        <w:rPr>
          <w:rFonts w:eastAsia="sans-serif" w:cs="Times New Roman"/>
          <w:szCs w:val="24"/>
          <w:shd w:val="clear" w:color="auto" w:fill="FFFFFF"/>
        </w:rPr>
        <w:t xml:space="preserve">. </w:t>
      </w:r>
      <w:proofErr w:type="spellStart"/>
      <w:r w:rsidRPr="001831AE">
        <w:rPr>
          <w:rFonts w:eastAsia="sans-serif" w:cs="Times New Roman"/>
          <w:szCs w:val="24"/>
          <w:shd w:val="clear" w:color="auto" w:fill="FFFFFF"/>
        </w:rPr>
        <w:t>Microbiol</w:t>
      </w:r>
      <w:proofErr w:type="spellEnd"/>
      <w:r w:rsidRPr="001831AE">
        <w:rPr>
          <w:rFonts w:eastAsia="sans-serif" w:cs="Times New Roman"/>
          <w:szCs w:val="24"/>
          <w:shd w:val="clear" w:color="auto" w:fill="FFFFFF"/>
        </w:rPr>
        <w:t xml:space="preserve">., 26(3), 263-273. </w:t>
      </w:r>
      <w:hyperlink r:id="rId26" w:history="1">
        <w:r w:rsidRPr="008E6228">
          <w:rPr>
            <w:rStyle w:val="Hyperlink"/>
            <w:rFonts w:eastAsia="sans-serif" w:cs="Times New Roman"/>
            <w:szCs w:val="24"/>
            <w:shd w:val="clear" w:color="auto" w:fill="FFFFFF"/>
          </w:rPr>
          <w:t>https://doi.org/10.4314/ajcem.v26i3.10</w:t>
        </w:r>
      </w:hyperlink>
    </w:p>
    <w:p w14:paraId="4B3C51E4" w14:textId="1A0DD7D8" w:rsidR="001831AE" w:rsidRDefault="001831AE">
      <w:pPr>
        <w:numPr>
          <w:ilvl w:val="0"/>
          <w:numId w:val="3"/>
        </w:numPr>
        <w:jc w:val="both"/>
        <w:rPr>
          <w:rFonts w:eastAsia="Times New Roman" w:cs="Times New Roman"/>
          <w:bCs/>
          <w:szCs w:val="24"/>
        </w:rPr>
      </w:pPr>
      <w:r w:rsidRPr="001831AE">
        <w:rPr>
          <w:rFonts w:eastAsia="Times New Roman" w:cs="Times New Roman"/>
          <w:bCs/>
          <w:szCs w:val="24"/>
        </w:rPr>
        <w:t xml:space="preserve">Ajayi, A. O., Anidiobu, C. O., &amp; </w:t>
      </w:r>
      <w:proofErr w:type="spellStart"/>
      <w:r w:rsidRPr="001831AE">
        <w:rPr>
          <w:rFonts w:eastAsia="Times New Roman" w:cs="Times New Roman"/>
          <w:bCs/>
          <w:szCs w:val="24"/>
        </w:rPr>
        <w:t>Fowora</w:t>
      </w:r>
      <w:proofErr w:type="spellEnd"/>
      <w:r w:rsidRPr="001831AE">
        <w:rPr>
          <w:rFonts w:eastAsia="Times New Roman" w:cs="Times New Roman"/>
          <w:bCs/>
          <w:szCs w:val="24"/>
        </w:rPr>
        <w:t xml:space="preserve">, M. (2024). Prevalence and antimicrobial resistant Escherichia coli and Klebsiella </w:t>
      </w:r>
      <w:proofErr w:type="spellStart"/>
      <w:r w:rsidRPr="001831AE">
        <w:rPr>
          <w:rFonts w:eastAsia="Times New Roman" w:cs="Times New Roman"/>
          <w:bCs/>
          <w:szCs w:val="24"/>
        </w:rPr>
        <w:t>sp</w:t>
      </w:r>
      <w:proofErr w:type="spellEnd"/>
      <w:r w:rsidRPr="001831AE">
        <w:rPr>
          <w:rFonts w:eastAsia="Times New Roman" w:cs="Times New Roman"/>
          <w:bCs/>
          <w:szCs w:val="24"/>
        </w:rPr>
        <w:t xml:space="preserve"> among individuals with urinary tract infection from hospital and community settings in Ado-Ekiti, Nigeria. Science World Journal, 19(1). </w:t>
      </w:r>
      <w:hyperlink r:id="rId27" w:history="1">
        <w:r w:rsidRPr="008E6228">
          <w:rPr>
            <w:rStyle w:val="Hyperlink"/>
            <w:rFonts w:eastAsia="Times New Roman" w:cs="Times New Roman"/>
            <w:bCs/>
            <w:szCs w:val="24"/>
          </w:rPr>
          <w:t>https://www.sciencworldjournal.org/index.php/swj/article/view/1000</w:t>
        </w:r>
      </w:hyperlink>
    </w:p>
    <w:p w14:paraId="03131FC6" w14:textId="3C7F4054" w:rsidR="001831AE" w:rsidRPr="001831AE" w:rsidRDefault="001831AE">
      <w:pPr>
        <w:numPr>
          <w:ilvl w:val="0"/>
          <w:numId w:val="3"/>
        </w:numPr>
        <w:jc w:val="both"/>
        <w:rPr>
          <w:rFonts w:eastAsia="Times New Roman" w:cs="Times New Roman"/>
          <w:bCs/>
          <w:szCs w:val="24"/>
        </w:rPr>
      </w:pPr>
      <w:proofErr w:type="spellStart"/>
      <w:r w:rsidRPr="001831AE">
        <w:rPr>
          <w:rFonts w:eastAsia="SimSun" w:cs="Times New Roman"/>
          <w:color w:val="222222"/>
          <w:szCs w:val="24"/>
          <w:shd w:val="clear" w:color="auto" w:fill="FFFFFF"/>
        </w:rPr>
        <w:t>Oduyebo</w:t>
      </w:r>
      <w:proofErr w:type="spellEnd"/>
      <w:r w:rsidRPr="001831AE">
        <w:rPr>
          <w:rFonts w:eastAsia="SimSun" w:cs="Times New Roman"/>
          <w:color w:val="222222"/>
          <w:szCs w:val="24"/>
          <w:shd w:val="clear" w:color="auto" w:fill="FFFFFF"/>
        </w:rPr>
        <w:t xml:space="preserve">, O. O., Olayinka, A. T., </w:t>
      </w:r>
      <w:proofErr w:type="spellStart"/>
      <w:r w:rsidRPr="001831AE">
        <w:rPr>
          <w:rFonts w:eastAsia="SimSun" w:cs="Times New Roman"/>
          <w:color w:val="222222"/>
          <w:szCs w:val="24"/>
          <w:shd w:val="clear" w:color="auto" w:fill="FFFFFF"/>
        </w:rPr>
        <w:t>Iregbu</w:t>
      </w:r>
      <w:proofErr w:type="spellEnd"/>
      <w:r w:rsidRPr="001831AE">
        <w:rPr>
          <w:rFonts w:eastAsia="SimSun" w:cs="Times New Roman"/>
          <w:color w:val="222222"/>
          <w:szCs w:val="24"/>
          <w:shd w:val="clear" w:color="auto" w:fill="FFFFFF"/>
        </w:rPr>
        <w:t xml:space="preserve">, K. C., </w:t>
      </w:r>
      <w:proofErr w:type="spellStart"/>
      <w:r w:rsidRPr="001831AE">
        <w:rPr>
          <w:rFonts w:eastAsia="SimSun" w:cs="Times New Roman"/>
          <w:color w:val="222222"/>
          <w:szCs w:val="24"/>
          <w:shd w:val="clear" w:color="auto" w:fill="FFFFFF"/>
        </w:rPr>
        <w:t>Versporten</w:t>
      </w:r>
      <w:proofErr w:type="spellEnd"/>
      <w:r w:rsidRPr="001831AE">
        <w:rPr>
          <w:rFonts w:eastAsia="SimSun" w:cs="Times New Roman"/>
          <w:color w:val="222222"/>
          <w:szCs w:val="24"/>
          <w:shd w:val="clear" w:color="auto" w:fill="FFFFFF"/>
        </w:rPr>
        <w:t xml:space="preserve">, A., Goossens, H., </w:t>
      </w:r>
      <w:proofErr w:type="spellStart"/>
      <w:r w:rsidRPr="001831AE">
        <w:rPr>
          <w:rFonts w:eastAsia="SimSun" w:cs="Times New Roman"/>
          <w:color w:val="222222"/>
          <w:szCs w:val="24"/>
          <w:shd w:val="clear" w:color="auto" w:fill="FFFFFF"/>
        </w:rPr>
        <w:t>Nwajiobi</w:t>
      </w:r>
      <w:proofErr w:type="spellEnd"/>
      <w:r w:rsidRPr="001831AE">
        <w:rPr>
          <w:rFonts w:eastAsia="SimSun" w:cs="Times New Roman"/>
          <w:color w:val="222222"/>
          <w:szCs w:val="24"/>
          <w:shd w:val="clear" w:color="auto" w:fill="FFFFFF"/>
        </w:rPr>
        <w:t xml:space="preserve">-Princewill, P. I., Jimoh, O., Ige, T. O., </w:t>
      </w:r>
      <w:proofErr w:type="spellStart"/>
      <w:r w:rsidRPr="001831AE">
        <w:rPr>
          <w:rFonts w:eastAsia="SimSun" w:cs="Times New Roman"/>
          <w:color w:val="222222"/>
          <w:szCs w:val="24"/>
          <w:shd w:val="clear" w:color="auto" w:fill="FFFFFF"/>
        </w:rPr>
        <w:t>Aigbe</w:t>
      </w:r>
      <w:proofErr w:type="spellEnd"/>
      <w:r w:rsidRPr="001831AE">
        <w:rPr>
          <w:rFonts w:eastAsia="SimSun" w:cs="Times New Roman"/>
          <w:color w:val="222222"/>
          <w:szCs w:val="24"/>
          <w:shd w:val="clear" w:color="auto" w:fill="FFFFFF"/>
        </w:rPr>
        <w:t xml:space="preserve">, A. I., Ola-Bello, O. I., Aboderin, A. O., &amp; Ogunsola, F. T. (2017). A point prevalence survey of antimicrobial prescribing in four Nigerian Tertiary Hospitals. Annals of Tropical Pathology, 8(1), 42-46. </w:t>
      </w:r>
      <w:hyperlink r:id="rId28" w:history="1">
        <w:r w:rsidRPr="008E6228">
          <w:rPr>
            <w:rStyle w:val="Hyperlink"/>
            <w:rFonts w:eastAsia="SimSun" w:cs="Times New Roman"/>
            <w:szCs w:val="24"/>
            <w:shd w:val="clear" w:color="auto" w:fill="FFFFFF"/>
          </w:rPr>
          <w:t>https://doi.org/10.4103/atp.atp_38_17</w:t>
        </w:r>
      </w:hyperlink>
    </w:p>
    <w:p w14:paraId="1BD2F0C6" w14:textId="0E98BC54" w:rsidR="001831AE" w:rsidRPr="001831AE" w:rsidRDefault="001831AE">
      <w:pPr>
        <w:numPr>
          <w:ilvl w:val="0"/>
          <w:numId w:val="3"/>
        </w:numPr>
        <w:jc w:val="both"/>
        <w:rPr>
          <w:rFonts w:cs="Times New Roman"/>
          <w:spacing w:val="-2"/>
          <w:szCs w:val="24"/>
        </w:rPr>
      </w:pPr>
      <w:r w:rsidRPr="001831AE">
        <w:rPr>
          <w:rFonts w:eastAsia="Times New Roman" w:cs="Times New Roman"/>
          <w:bCs/>
          <w:szCs w:val="24"/>
        </w:rPr>
        <w:t xml:space="preserve">Deji-Agboola, A. M., </w:t>
      </w:r>
      <w:proofErr w:type="spellStart"/>
      <w:r w:rsidRPr="001831AE">
        <w:rPr>
          <w:rFonts w:eastAsia="Times New Roman" w:cs="Times New Roman"/>
          <w:bCs/>
          <w:szCs w:val="24"/>
        </w:rPr>
        <w:t>Olaosebikan</w:t>
      </w:r>
      <w:proofErr w:type="spellEnd"/>
      <w:r w:rsidRPr="001831AE">
        <w:rPr>
          <w:rFonts w:eastAsia="Times New Roman" w:cs="Times New Roman"/>
          <w:bCs/>
          <w:szCs w:val="24"/>
        </w:rPr>
        <w:t xml:space="preserve">, O. R., </w:t>
      </w:r>
      <w:proofErr w:type="spellStart"/>
      <w:r w:rsidRPr="001831AE">
        <w:rPr>
          <w:rFonts w:eastAsia="Times New Roman" w:cs="Times New Roman"/>
          <w:bCs/>
          <w:szCs w:val="24"/>
        </w:rPr>
        <w:t>Adenipekun</w:t>
      </w:r>
      <w:proofErr w:type="spellEnd"/>
      <w:r w:rsidRPr="001831AE">
        <w:rPr>
          <w:rFonts w:eastAsia="Times New Roman" w:cs="Times New Roman"/>
          <w:bCs/>
          <w:szCs w:val="24"/>
        </w:rPr>
        <w:t xml:space="preserve">, E., </w:t>
      </w:r>
      <w:proofErr w:type="spellStart"/>
      <w:r w:rsidRPr="001831AE">
        <w:rPr>
          <w:rFonts w:eastAsia="Times New Roman" w:cs="Times New Roman"/>
          <w:bCs/>
          <w:szCs w:val="24"/>
        </w:rPr>
        <w:t>Osinupebi</w:t>
      </w:r>
      <w:proofErr w:type="spellEnd"/>
      <w:r w:rsidRPr="001831AE">
        <w:rPr>
          <w:rFonts w:eastAsia="Times New Roman" w:cs="Times New Roman"/>
          <w:bCs/>
          <w:szCs w:val="24"/>
        </w:rPr>
        <w:t xml:space="preserve">, O. A., &amp; </w:t>
      </w:r>
      <w:proofErr w:type="spellStart"/>
      <w:r w:rsidRPr="001831AE">
        <w:rPr>
          <w:rFonts w:eastAsia="Times New Roman" w:cs="Times New Roman"/>
          <w:bCs/>
          <w:szCs w:val="24"/>
        </w:rPr>
        <w:t>Olajubu</w:t>
      </w:r>
      <w:proofErr w:type="spellEnd"/>
      <w:r w:rsidRPr="001831AE">
        <w:rPr>
          <w:rFonts w:eastAsia="Times New Roman" w:cs="Times New Roman"/>
          <w:bCs/>
          <w:szCs w:val="24"/>
        </w:rPr>
        <w:t xml:space="preserve">, F. A. (2020). Prevalence of Multi-Antibiotic Resistant Escherichia coli and Klebsiella species obtained from a Tertiary Medical Institution in Oyo State, Nigeria. Qatar Medical Journal, 2020(1), 9. </w:t>
      </w:r>
      <w:hyperlink r:id="rId29" w:history="1">
        <w:r w:rsidRPr="008E6228">
          <w:rPr>
            <w:rStyle w:val="Hyperlink"/>
            <w:rFonts w:eastAsia="Times New Roman" w:cs="Times New Roman"/>
            <w:bCs/>
            <w:szCs w:val="24"/>
          </w:rPr>
          <w:t>https://doi.org/10.5339/qmj.2020.9</w:t>
        </w:r>
      </w:hyperlink>
    </w:p>
    <w:p w14:paraId="0E62B903" w14:textId="54B2EFDE" w:rsidR="001831AE" w:rsidRPr="001831AE" w:rsidRDefault="001831AE">
      <w:pPr>
        <w:numPr>
          <w:ilvl w:val="0"/>
          <w:numId w:val="3"/>
        </w:numPr>
        <w:jc w:val="both"/>
        <w:rPr>
          <w:rFonts w:eastAsia="Segoe UI" w:cs="Times New Roman"/>
          <w:color w:val="212121"/>
          <w:szCs w:val="24"/>
          <w:shd w:val="clear" w:color="auto" w:fill="FFFFFF"/>
        </w:rPr>
      </w:pPr>
      <w:proofErr w:type="spellStart"/>
      <w:r w:rsidRPr="001831AE">
        <w:rPr>
          <w:rFonts w:cs="Times New Roman"/>
          <w:szCs w:val="24"/>
        </w:rPr>
        <w:t>Obidi</w:t>
      </w:r>
      <w:proofErr w:type="spellEnd"/>
      <w:r w:rsidRPr="001831AE">
        <w:rPr>
          <w:rFonts w:cs="Times New Roman"/>
          <w:szCs w:val="24"/>
        </w:rPr>
        <w:t xml:space="preserve">, N. O., &amp; </w:t>
      </w:r>
      <w:proofErr w:type="spellStart"/>
      <w:r w:rsidRPr="001831AE">
        <w:rPr>
          <w:rFonts w:cs="Times New Roman"/>
          <w:szCs w:val="24"/>
        </w:rPr>
        <w:t>Ekpunobi</w:t>
      </w:r>
      <w:proofErr w:type="spellEnd"/>
      <w:r w:rsidRPr="001831AE">
        <w:rPr>
          <w:rFonts w:cs="Times New Roman"/>
          <w:szCs w:val="24"/>
        </w:rPr>
        <w:t xml:space="preserve">, N. F. (2025). A narrative review exploring phage therapy as a sustainable alternative solution to combat antimicrobial resistance in Africa: Applications, </w:t>
      </w:r>
      <w:r w:rsidRPr="001831AE">
        <w:rPr>
          <w:rFonts w:cs="Times New Roman"/>
          <w:szCs w:val="24"/>
        </w:rPr>
        <w:lastRenderedPageBreak/>
        <w:t xml:space="preserve">challenges, and future directions. Afr. J. Clin. </w:t>
      </w:r>
      <w:proofErr w:type="spellStart"/>
      <w:r w:rsidRPr="001831AE">
        <w:rPr>
          <w:rFonts w:cs="Times New Roman"/>
          <w:szCs w:val="24"/>
        </w:rPr>
        <w:t>Exper</w:t>
      </w:r>
      <w:proofErr w:type="spellEnd"/>
      <w:r w:rsidRPr="001831AE">
        <w:rPr>
          <w:rFonts w:cs="Times New Roman"/>
          <w:szCs w:val="24"/>
        </w:rPr>
        <w:t xml:space="preserve">. </w:t>
      </w:r>
      <w:proofErr w:type="spellStart"/>
      <w:r w:rsidRPr="001831AE">
        <w:rPr>
          <w:rFonts w:cs="Times New Roman"/>
          <w:szCs w:val="24"/>
        </w:rPr>
        <w:t>Microbiol</w:t>
      </w:r>
      <w:proofErr w:type="spellEnd"/>
      <w:r w:rsidRPr="001831AE">
        <w:rPr>
          <w:rFonts w:cs="Times New Roman"/>
          <w:szCs w:val="24"/>
        </w:rPr>
        <w:t xml:space="preserve">., 26(2), 106-113. </w:t>
      </w:r>
      <w:hyperlink r:id="rId30" w:history="1">
        <w:r w:rsidRPr="008E6228">
          <w:rPr>
            <w:rStyle w:val="Hyperlink"/>
            <w:rFonts w:cs="Times New Roman"/>
            <w:szCs w:val="24"/>
          </w:rPr>
          <w:t>https://doi.org/10.4314/ajcem.v26i2.1</w:t>
        </w:r>
      </w:hyperlink>
    </w:p>
    <w:p w14:paraId="7F6C30C0" w14:textId="3EB01AB5" w:rsidR="001831AE" w:rsidRPr="001831AE" w:rsidRDefault="001831AE">
      <w:pPr>
        <w:numPr>
          <w:ilvl w:val="0"/>
          <w:numId w:val="3"/>
        </w:numPr>
        <w:jc w:val="both"/>
        <w:rPr>
          <w:rFonts w:eastAsia="Consolas" w:cs="Times New Roman"/>
          <w:color w:val="1B1B1B"/>
          <w:szCs w:val="24"/>
          <w:shd w:val="clear" w:color="auto" w:fill="FFFFFF"/>
        </w:rPr>
      </w:pPr>
      <w:proofErr w:type="spellStart"/>
      <w:r w:rsidRPr="001831AE">
        <w:rPr>
          <w:rFonts w:cs="Times New Roman"/>
          <w:szCs w:val="24"/>
        </w:rPr>
        <w:t>Chukwunwejim</w:t>
      </w:r>
      <w:proofErr w:type="spellEnd"/>
      <w:r w:rsidRPr="001831AE">
        <w:rPr>
          <w:rFonts w:cs="Times New Roman"/>
          <w:szCs w:val="24"/>
        </w:rPr>
        <w:t xml:space="preserve">, C. R., </w:t>
      </w:r>
      <w:proofErr w:type="spellStart"/>
      <w:r w:rsidRPr="001831AE">
        <w:rPr>
          <w:rFonts w:cs="Times New Roman"/>
          <w:szCs w:val="24"/>
        </w:rPr>
        <w:t>Ekpunobi</w:t>
      </w:r>
      <w:proofErr w:type="spellEnd"/>
      <w:r w:rsidRPr="001831AE">
        <w:rPr>
          <w:rFonts w:cs="Times New Roman"/>
          <w:szCs w:val="24"/>
        </w:rPr>
        <w:t xml:space="preserve">, N. F., Ogunmola, T., </w:t>
      </w:r>
      <w:proofErr w:type="spellStart"/>
      <w:r w:rsidRPr="001831AE">
        <w:rPr>
          <w:rFonts w:cs="Times New Roman"/>
          <w:szCs w:val="24"/>
        </w:rPr>
        <w:t>Obidi</w:t>
      </w:r>
      <w:proofErr w:type="spellEnd"/>
      <w:r w:rsidRPr="001831AE">
        <w:rPr>
          <w:rFonts w:cs="Times New Roman"/>
          <w:szCs w:val="24"/>
        </w:rPr>
        <w:t xml:space="preserve">, N., </w:t>
      </w:r>
      <w:proofErr w:type="spellStart"/>
      <w:r w:rsidRPr="001831AE">
        <w:rPr>
          <w:rFonts w:cs="Times New Roman"/>
          <w:szCs w:val="24"/>
        </w:rPr>
        <w:t>Ajasa</w:t>
      </w:r>
      <w:proofErr w:type="spellEnd"/>
      <w:r w:rsidRPr="001831AE">
        <w:rPr>
          <w:rFonts w:cs="Times New Roman"/>
          <w:szCs w:val="24"/>
        </w:rPr>
        <w:t xml:space="preserve">, O. S., &amp; </w:t>
      </w:r>
      <w:proofErr w:type="spellStart"/>
      <w:r w:rsidRPr="001831AE">
        <w:rPr>
          <w:rFonts w:cs="Times New Roman"/>
          <w:szCs w:val="24"/>
        </w:rPr>
        <w:t>Obidi</w:t>
      </w:r>
      <w:proofErr w:type="spellEnd"/>
      <w:r w:rsidRPr="001831AE">
        <w:rPr>
          <w:rFonts w:cs="Times New Roman"/>
          <w:szCs w:val="24"/>
        </w:rPr>
        <w:t xml:space="preserve">, N. L. (2025). Molecular identification of multidrug-resistant bacteria from eggshell surfaces in Nigeria: A growing threat to public health. Magna Scientia Advanced Biology and Pharmacy </w:t>
      </w:r>
      <w:hyperlink r:id="rId31" w:history="1">
        <w:r w:rsidRPr="008E6228">
          <w:rPr>
            <w:rStyle w:val="Hyperlink"/>
            <w:rFonts w:cs="Times New Roman"/>
            <w:szCs w:val="24"/>
          </w:rPr>
          <w:t>https://doi.org/10.30574/msabp.2025.15.1.0035</w:t>
        </w:r>
      </w:hyperlink>
    </w:p>
    <w:p w14:paraId="290D4B49" w14:textId="03BCF1B5" w:rsidR="00527A12" w:rsidRPr="00527A12" w:rsidRDefault="00527A12">
      <w:pPr>
        <w:numPr>
          <w:ilvl w:val="0"/>
          <w:numId w:val="3"/>
        </w:numPr>
        <w:jc w:val="both"/>
        <w:rPr>
          <w:rFonts w:cs="Times New Roman"/>
          <w:szCs w:val="24"/>
          <w:lang w:val="en-US"/>
        </w:rPr>
      </w:pPr>
      <w:proofErr w:type="spellStart"/>
      <w:r w:rsidRPr="00527A12">
        <w:rPr>
          <w:rFonts w:eastAsia="Segoe UI" w:cs="Times New Roman"/>
          <w:szCs w:val="24"/>
          <w:shd w:val="clear" w:color="auto" w:fill="FFFFFF"/>
        </w:rPr>
        <w:t>Dadgostar</w:t>
      </w:r>
      <w:proofErr w:type="spellEnd"/>
      <w:r w:rsidRPr="00527A12">
        <w:rPr>
          <w:rFonts w:eastAsia="Segoe UI" w:cs="Times New Roman"/>
          <w:szCs w:val="24"/>
          <w:shd w:val="clear" w:color="auto" w:fill="FFFFFF"/>
        </w:rPr>
        <w:t xml:space="preserve">, P. (2019). Antimicrobial Resistance: Implications and Costs. Infection and Drug Resistance, 12, 3903–3910. </w:t>
      </w:r>
      <w:hyperlink r:id="rId32" w:history="1">
        <w:r w:rsidRPr="008E6228">
          <w:rPr>
            <w:rStyle w:val="Hyperlink"/>
            <w:rFonts w:eastAsia="Segoe UI" w:cs="Times New Roman"/>
            <w:szCs w:val="24"/>
            <w:shd w:val="clear" w:color="auto" w:fill="FFFFFF"/>
          </w:rPr>
          <w:t>https://doi.org/10.2147/IDR.S234610</w:t>
        </w:r>
      </w:hyperlink>
    </w:p>
    <w:p w14:paraId="614ED398" w14:textId="4F9AC50F" w:rsidR="00527A12" w:rsidRPr="00527A12" w:rsidRDefault="00527A12" w:rsidP="00527A12">
      <w:pPr>
        <w:pStyle w:val="NormalWeb"/>
        <w:numPr>
          <w:ilvl w:val="0"/>
          <w:numId w:val="4"/>
        </w:numPr>
        <w:spacing w:line="360" w:lineRule="auto"/>
        <w:jc w:val="both"/>
        <w:rPr>
          <w:bCs/>
        </w:rPr>
      </w:pPr>
      <w:r w:rsidRPr="00527A12">
        <w:rPr>
          <w:rFonts w:eastAsia="Consolas"/>
          <w:color w:val="1B1B1B"/>
          <w:shd w:val="clear" w:color="auto" w:fill="FFFFFF"/>
          <w:lang w:val="en-GB"/>
        </w:rPr>
        <w:t xml:space="preserve">Sawa, T., </w:t>
      </w:r>
      <w:proofErr w:type="spellStart"/>
      <w:r w:rsidRPr="00527A12">
        <w:rPr>
          <w:rFonts w:eastAsia="Consolas"/>
          <w:color w:val="1B1B1B"/>
          <w:shd w:val="clear" w:color="auto" w:fill="FFFFFF"/>
          <w:lang w:val="en-GB"/>
        </w:rPr>
        <w:t>Kooguchi</w:t>
      </w:r>
      <w:proofErr w:type="spellEnd"/>
      <w:r w:rsidRPr="00527A12">
        <w:rPr>
          <w:rFonts w:eastAsia="Consolas"/>
          <w:color w:val="1B1B1B"/>
          <w:shd w:val="clear" w:color="auto" w:fill="FFFFFF"/>
          <w:lang w:val="en-GB"/>
        </w:rPr>
        <w:t xml:space="preserve">, K., &amp; Moriyama, K. (2020). Molecular diversity of extended-spectrum β-lactamases and </w:t>
      </w:r>
      <w:proofErr w:type="spellStart"/>
      <w:r w:rsidRPr="00527A12">
        <w:rPr>
          <w:rFonts w:eastAsia="Consolas"/>
          <w:color w:val="1B1B1B"/>
          <w:shd w:val="clear" w:color="auto" w:fill="FFFFFF"/>
          <w:lang w:val="en-GB"/>
        </w:rPr>
        <w:t>carbapenemases</w:t>
      </w:r>
      <w:proofErr w:type="spellEnd"/>
      <w:r w:rsidRPr="00527A12">
        <w:rPr>
          <w:rFonts w:eastAsia="Consolas"/>
          <w:color w:val="1B1B1B"/>
          <w:shd w:val="clear" w:color="auto" w:fill="FFFFFF"/>
          <w:lang w:val="en-GB"/>
        </w:rPr>
        <w:t xml:space="preserve">, and antimicrobial resistance. Journal of intensive care, 8, 13. </w:t>
      </w:r>
      <w:hyperlink r:id="rId33" w:history="1">
        <w:r w:rsidRPr="008E6228">
          <w:rPr>
            <w:rStyle w:val="Hyperlink"/>
            <w:rFonts w:eastAsia="Consolas"/>
            <w:shd w:val="clear" w:color="auto" w:fill="FFFFFF"/>
            <w:lang w:val="en-GB"/>
          </w:rPr>
          <w:t>https://doi.org/10.1186/s40560-020-0429-6</w:t>
        </w:r>
      </w:hyperlink>
    </w:p>
    <w:p w14:paraId="61DDD1D0" w14:textId="14EE8810" w:rsidR="00EB5961" w:rsidRPr="00EB5961" w:rsidRDefault="00EB5961">
      <w:pPr>
        <w:pStyle w:val="NormalWeb"/>
        <w:numPr>
          <w:ilvl w:val="0"/>
          <w:numId w:val="4"/>
        </w:numPr>
        <w:spacing w:line="360" w:lineRule="auto"/>
        <w:jc w:val="both"/>
        <w:rPr>
          <w:bCs/>
        </w:rPr>
      </w:pPr>
      <w:r w:rsidRPr="00EB5961">
        <w:rPr>
          <w:rFonts w:eastAsia="Segoe UI"/>
          <w:color w:val="212121"/>
          <w:shd w:val="clear" w:color="auto" w:fill="FFFFFF"/>
        </w:rPr>
        <w:t>Agyekum, A., Fajardo-</w:t>
      </w:r>
      <w:proofErr w:type="spellStart"/>
      <w:r w:rsidRPr="00EB5961">
        <w:rPr>
          <w:rFonts w:eastAsia="Segoe UI"/>
          <w:color w:val="212121"/>
          <w:shd w:val="clear" w:color="auto" w:fill="FFFFFF"/>
        </w:rPr>
        <w:t>Lubián</w:t>
      </w:r>
      <w:proofErr w:type="spellEnd"/>
      <w:r w:rsidRPr="00EB5961">
        <w:rPr>
          <w:rFonts w:eastAsia="Segoe UI"/>
          <w:color w:val="212121"/>
          <w:shd w:val="clear" w:color="auto" w:fill="FFFFFF"/>
        </w:rPr>
        <w:t xml:space="preserve">, A., Ansong, D., Partridge, S. R., </w:t>
      </w:r>
      <w:proofErr w:type="spellStart"/>
      <w:r w:rsidRPr="00EB5961">
        <w:rPr>
          <w:rFonts w:eastAsia="Segoe UI"/>
          <w:color w:val="212121"/>
          <w:shd w:val="clear" w:color="auto" w:fill="FFFFFF"/>
        </w:rPr>
        <w:t>Agbenyega</w:t>
      </w:r>
      <w:proofErr w:type="spellEnd"/>
      <w:r w:rsidRPr="00EB5961">
        <w:rPr>
          <w:rFonts w:eastAsia="Segoe UI"/>
          <w:color w:val="212121"/>
          <w:shd w:val="clear" w:color="auto" w:fill="FFFFFF"/>
        </w:rPr>
        <w:t xml:space="preserve">, T., &amp; Iredell, J. R. (2016). blaCTX-M-15 carried by IncF-type plasmids is the dominant ESBL gene in Escherichia coli and Klebsiella pneumoniae at a hospital in Ghana. Diagnostic Microbiology and Infectious Disease, 84(4), 328–333. </w:t>
      </w:r>
      <w:hyperlink r:id="rId34" w:history="1">
        <w:r w:rsidRPr="008E6228">
          <w:rPr>
            <w:rStyle w:val="Hyperlink"/>
            <w:rFonts w:eastAsia="Segoe UI"/>
            <w:shd w:val="clear" w:color="auto" w:fill="FFFFFF"/>
          </w:rPr>
          <w:t>https://doi.org/10.1016/j.diagmicrobio.2015.12.010</w:t>
        </w:r>
      </w:hyperlink>
    </w:p>
    <w:p w14:paraId="02FD93CA" w14:textId="59E5D9B5" w:rsidR="005623FA" w:rsidRDefault="00357A3C">
      <w:pPr>
        <w:pStyle w:val="NormalWeb"/>
        <w:numPr>
          <w:ilvl w:val="0"/>
          <w:numId w:val="4"/>
        </w:numPr>
        <w:spacing w:line="360" w:lineRule="auto"/>
        <w:jc w:val="both"/>
        <w:rPr>
          <w:bCs/>
        </w:rPr>
      </w:pPr>
      <w:r>
        <w:rPr>
          <w:bCs/>
        </w:rPr>
        <w:t xml:space="preserve">Sani, M. M., Abubakar, A. A., &amp; Bello, M. (2024). Co-Prevalence of Quinolone Resistance and Extended-Spectrum Beta-Lactamases among Clinical Enterobacteriaceae Isolates from a Tertiary Hospital in Katsina, Nigeria. </w:t>
      </w:r>
      <w:r>
        <w:rPr>
          <w:bCs/>
          <w:i/>
          <w:iCs/>
        </w:rPr>
        <w:t xml:space="preserve">Umaru Musa </w:t>
      </w:r>
      <w:proofErr w:type="spellStart"/>
      <w:r>
        <w:rPr>
          <w:bCs/>
          <w:i/>
          <w:iCs/>
        </w:rPr>
        <w:t>Yar'adua</w:t>
      </w:r>
      <w:proofErr w:type="spellEnd"/>
      <w:r>
        <w:rPr>
          <w:bCs/>
          <w:i/>
          <w:iCs/>
        </w:rPr>
        <w:t xml:space="preserve"> University Journal of Microbiology Research</w:t>
      </w:r>
      <w:r>
        <w:rPr>
          <w:bCs/>
        </w:rPr>
        <w:t xml:space="preserve">, </w:t>
      </w:r>
      <w:r>
        <w:rPr>
          <w:bCs/>
          <w:i/>
          <w:iCs/>
        </w:rPr>
        <w:t>1</w:t>
      </w:r>
      <w:r>
        <w:rPr>
          <w:bCs/>
        </w:rPr>
        <w:t>(1).</w:t>
      </w:r>
    </w:p>
    <w:p w14:paraId="6C5B478B" w14:textId="72431169" w:rsidR="00083EFE" w:rsidRPr="00083EFE" w:rsidRDefault="00083EFE" w:rsidP="00083EFE">
      <w:pPr>
        <w:spacing w:after="240"/>
        <w:jc w:val="both"/>
        <w:rPr>
          <w:rFonts w:eastAsia="Segoe UI" w:cs="Times New Roman"/>
          <w:color w:val="212121"/>
          <w:szCs w:val="24"/>
          <w:shd w:val="clear" w:color="auto" w:fill="FFFFFF"/>
        </w:rPr>
      </w:pPr>
      <w:r>
        <w:rPr>
          <w:rFonts w:eastAsia="Consolas" w:cs="Times New Roman"/>
          <w:color w:val="1B1B1B"/>
          <w:szCs w:val="24"/>
          <w:shd w:val="clear" w:color="auto" w:fill="FFFFFF"/>
          <w:lang w:val="en-US"/>
        </w:rPr>
        <w:t xml:space="preserve">23. </w:t>
      </w:r>
      <w:r w:rsidRPr="00083EFE">
        <w:rPr>
          <w:rFonts w:eastAsia="Consolas" w:cs="Times New Roman"/>
          <w:color w:val="1B1B1B"/>
          <w:szCs w:val="24"/>
          <w:shd w:val="clear" w:color="auto" w:fill="FFFFFF"/>
          <w:lang w:val="en-US"/>
        </w:rPr>
        <w:t xml:space="preserve">Hooper, D. C., &amp; Jacoby, G. A. (2016). Topoisomerase Inhibitors: Fluoroquinolone Mechanisms of Action and Resistance. Cold Spring Harbor perspectives in medicine. </w:t>
      </w:r>
      <w:hyperlink r:id="rId35" w:history="1">
        <w:r w:rsidRPr="008E6228">
          <w:rPr>
            <w:rStyle w:val="Hyperlink"/>
            <w:rFonts w:eastAsia="Consolas" w:cs="Times New Roman"/>
            <w:szCs w:val="24"/>
            <w:shd w:val="clear" w:color="auto" w:fill="FFFFFF"/>
            <w:lang w:val="en-US"/>
          </w:rPr>
          <w:t>https://doi.org/10.1101/cshperspect.a025320</w:t>
        </w:r>
      </w:hyperlink>
    </w:p>
    <w:p w14:paraId="722C3A89" w14:textId="49FE588A" w:rsidR="00083EFE" w:rsidRPr="00083EFE" w:rsidRDefault="00083EFE" w:rsidP="00083EFE">
      <w:pPr>
        <w:spacing w:after="240"/>
        <w:jc w:val="both"/>
        <w:rPr>
          <w:rFonts w:eastAsia="Times New Roman" w:cs="Times New Roman"/>
          <w:bCs/>
          <w:szCs w:val="24"/>
        </w:rPr>
      </w:pPr>
      <w:r>
        <w:rPr>
          <w:rFonts w:eastAsia="SimSun" w:cs="Times New Roman"/>
          <w:color w:val="222222"/>
          <w:szCs w:val="24"/>
          <w:shd w:val="clear" w:color="auto" w:fill="FFFFFF"/>
        </w:rPr>
        <w:t xml:space="preserve">24. </w:t>
      </w:r>
      <w:r w:rsidRPr="00083EFE">
        <w:rPr>
          <w:rFonts w:eastAsia="SimSun" w:cs="Times New Roman"/>
          <w:color w:val="222222"/>
          <w:szCs w:val="24"/>
          <w:shd w:val="clear" w:color="auto" w:fill="FFFFFF"/>
        </w:rPr>
        <w:t xml:space="preserve">Yusuf, F., Ahmed, S. M., Dy, D., Baney, K., Waseem, H., &amp; Gilbride, K. A. (2024). Occurrence and characterization of plasmid-encoded </w:t>
      </w:r>
      <w:proofErr w:type="spellStart"/>
      <w:r w:rsidRPr="00083EFE">
        <w:rPr>
          <w:rFonts w:eastAsia="SimSun" w:cs="Times New Roman"/>
          <w:color w:val="222222"/>
          <w:szCs w:val="24"/>
          <w:shd w:val="clear" w:color="auto" w:fill="FFFFFF"/>
        </w:rPr>
        <w:t>qnr</w:t>
      </w:r>
      <w:proofErr w:type="spellEnd"/>
      <w:r w:rsidRPr="00083EFE">
        <w:rPr>
          <w:rFonts w:eastAsia="SimSun" w:cs="Times New Roman"/>
          <w:color w:val="222222"/>
          <w:szCs w:val="24"/>
          <w:shd w:val="clear" w:color="auto" w:fill="FFFFFF"/>
        </w:rPr>
        <w:t xml:space="preserve"> genes in quinolone-resistant bacteria across diverse aquatic environments in southern Ontario. Canadian Journal of Microbiology, 70(11), 492-506. </w:t>
      </w:r>
      <w:hyperlink r:id="rId36" w:history="1">
        <w:r w:rsidRPr="008E6228">
          <w:rPr>
            <w:rStyle w:val="Hyperlink"/>
            <w:rFonts w:eastAsia="SimSun" w:cs="Times New Roman"/>
            <w:szCs w:val="24"/>
            <w:shd w:val="clear" w:color="auto" w:fill="FFFFFF"/>
          </w:rPr>
          <w:t>https://doi.org/10.1139/cjm-2024-0029</w:t>
        </w:r>
      </w:hyperlink>
    </w:p>
    <w:p w14:paraId="51782795" w14:textId="2B5B8E4E" w:rsidR="00083EFE" w:rsidRPr="00083EFE" w:rsidRDefault="00083EFE">
      <w:pPr>
        <w:numPr>
          <w:ilvl w:val="0"/>
          <w:numId w:val="7"/>
        </w:numPr>
        <w:spacing w:after="240"/>
        <w:jc w:val="both"/>
        <w:rPr>
          <w:rFonts w:eastAsia="Times New Roman" w:cs="Times New Roman"/>
          <w:szCs w:val="24"/>
        </w:rPr>
      </w:pPr>
      <w:proofErr w:type="spellStart"/>
      <w:r w:rsidRPr="00083EFE">
        <w:rPr>
          <w:rFonts w:eastAsia="Consolas" w:cs="Times New Roman"/>
          <w:color w:val="1B1B1B"/>
          <w:szCs w:val="24"/>
          <w:shd w:val="clear" w:color="auto" w:fill="FFFFFF"/>
        </w:rPr>
        <w:t>Karnwal</w:t>
      </w:r>
      <w:proofErr w:type="spellEnd"/>
      <w:r w:rsidRPr="00083EFE">
        <w:rPr>
          <w:rFonts w:eastAsia="Consolas" w:cs="Times New Roman"/>
          <w:color w:val="1B1B1B"/>
          <w:szCs w:val="24"/>
          <w:shd w:val="clear" w:color="auto" w:fill="FFFFFF"/>
        </w:rPr>
        <w:t>, A., Jassim, A. Y., Mohammed, A. A., Al-</w:t>
      </w:r>
      <w:proofErr w:type="spellStart"/>
      <w:r w:rsidRPr="00083EFE">
        <w:rPr>
          <w:rFonts w:eastAsia="Consolas" w:cs="Times New Roman"/>
          <w:color w:val="1B1B1B"/>
          <w:szCs w:val="24"/>
          <w:shd w:val="clear" w:color="auto" w:fill="FFFFFF"/>
        </w:rPr>
        <w:t>Tawaha</w:t>
      </w:r>
      <w:proofErr w:type="spellEnd"/>
      <w:r w:rsidRPr="00083EFE">
        <w:rPr>
          <w:rFonts w:eastAsia="Consolas" w:cs="Times New Roman"/>
          <w:color w:val="1B1B1B"/>
          <w:szCs w:val="24"/>
          <w:shd w:val="clear" w:color="auto" w:fill="FFFFFF"/>
        </w:rPr>
        <w:t xml:space="preserve">, A. R. M. S., Selvaraj, M., &amp; Malik, T. (2025). Addressing the global challenge of bacterial drug resistance: insights, </w:t>
      </w:r>
      <w:r w:rsidRPr="00083EFE">
        <w:rPr>
          <w:rFonts w:eastAsia="Consolas" w:cs="Times New Roman"/>
          <w:color w:val="1B1B1B"/>
          <w:szCs w:val="24"/>
          <w:shd w:val="clear" w:color="auto" w:fill="FFFFFF"/>
        </w:rPr>
        <w:lastRenderedPageBreak/>
        <w:t xml:space="preserve">strategies, and future directions. Frontiers in microbiology. </w:t>
      </w:r>
      <w:hyperlink r:id="rId37" w:history="1">
        <w:r w:rsidRPr="008E6228">
          <w:rPr>
            <w:rStyle w:val="Hyperlink"/>
            <w:rFonts w:eastAsia="Consolas" w:cs="Times New Roman"/>
            <w:szCs w:val="24"/>
            <w:shd w:val="clear" w:color="auto" w:fill="FFFFFF"/>
          </w:rPr>
          <w:t>https://doi.org/10.3389/fmicb.2025.1517772</w:t>
        </w:r>
      </w:hyperlink>
    </w:p>
    <w:p w14:paraId="3F4A7D0B" w14:textId="370EBED0" w:rsidR="00083EFE" w:rsidRPr="00083EFE" w:rsidRDefault="00083EFE">
      <w:pPr>
        <w:numPr>
          <w:ilvl w:val="0"/>
          <w:numId w:val="7"/>
        </w:numPr>
        <w:spacing w:after="240"/>
        <w:jc w:val="both"/>
        <w:rPr>
          <w:rFonts w:eastAsia="Times New Roman" w:cs="Times New Roman"/>
          <w:bCs/>
          <w:szCs w:val="24"/>
        </w:rPr>
      </w:pPr>
      <w:r w:rsidRPr="00083EFE">
        <w:rPr>
          <w:rFonts w:eastAsia="Times New Roman" w:cs="Times New Roman"/>
          <w:szCs w:val="24"/>
        </w:rPr>
        <w:t xml:space="preserve">World Health Organization. (2017). Global priority list of antibiotic-resistant bacteria to guide research, discovery, and development of new antibiotics. </w:t>
      </w:r>
      <w:hyperlink r:id="rId38" w:history="1">
        <w:r w:rsidRPr="008E6228">
          <w:rPr>
            <w:rStyle w:val="Hyperlink"/>
            <w:rFonts w:eastAsia="Times New Roman" w:cs="Times New Roman"/>
            <w:szCs w:val="24"/>
          </w:rPr>
          <w:t>https://www.who.int/publications/i/item/WHO-EMP-IAU-2017.01</w:t>
        </w:r>
      </w:hyperlink>
    </w:p>
    <w:p w14:paraId="0EDFF1BB" w14:textId="37EB3DA8" w:rsidR="005623FA" w:rsidRDefault="00083EFE">
      <w:r>
        <w:rPr>
          <w:rFonts w:eastAsia="Times New Roman" w:cs="Times New Roman"/>
          <w:szCs w:val="24"/>
        </w:rPr>
        <w:t>27.</w:t>
      </w:r>
      <w:r w:rsidRPr="00083EFE">
        <w:rPr>
          <w:rFonts w:eastAsia="Times New Roman" w:cs="Times New Roman"/>
          <w:szCs w:val="24"/>
        </w:rPr>
        <w:t xml:space="preserve">World Health Organization. (2015). Global action plan on antimicrobial resistance. Geneva, Switzerland. </w:t>
      </w:r>
      <w:hyperlink r:id="rId39" w:history="1">
        <w:r w:rsidRPr="008E6228">
          <w:rPr>
            <w:rStyle w:val="Hyperlink"/>
            <w:rFonts w:eastAsia="Times New Roman" w:cs="Times New Roman"/>
            <w:szCs w:val="24"/>
          </w:rPr>
          <w:t>https://www.who.int/publications/i/item/9789241509763</w:t>
        </w:r>
      </w:hyperlink>
      <w:r>
        <w:rPr>
          <w:rFonts w:eastAsia="Times New Roman" w:cs="Times New Roman"/>
          <w:szCs w:val="24"/>
        </w:rPr>
        <w:t xml:space="preserve"> </w:t>
      </w:r>
      <w:r w:rsidR="00016C69">
        <w:rPr>
          <w:rFonts w:eastAsia="Times New Roman" w:cs="Times New Roman"/>
          <w:szCs w:val="24"/>
        </w:rPr>
        <w:t>a</w:t>
      </w:r>
    </w:p>
    <w:sectPr w:rsidR="005623FA">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geeta sarma" w:date="2025-12-02T19:52:00Z" w:initials="ss">
    <w:p w14:paraId="2AFEC824" w14:textId="77777777" w:rsidR="00615C2A" w:rsidRDefault="00615C2A" w:rsidP="00615C2A">
      <w:pPr>
        <w:pStyle w:val="CommentText"/>
      </w:pPr>
      <w:r>
        <w:rPr>
          <w:rStyle w:val="CommentReference"/>
        </w:rPr>
        <w:annotationRef/>
      </w:r>
      <w:r>
        <w:rPr>
          <w:lang w:val="en-IN"/>
        </w:rPr>
        <w:t>The gene specific primers used in the experiment and the cycle conditions must be mentioned in a separate table</w:t>
      </w:r>
    </w:p>
  </w:comment>
  <w:comment w:id="1" w:author="sangeeta sarma" w:date="2025-12-02T19:46:00Z" w:initials="ss">
    <w:p w14:paraId="72908979" w14:textId="5923E5D8" w:rsidR="00615C2A" w:rsidRDefault="00615C2A" w:rsidP="00615C2A">
      <w:pPr>
        <w:pStyle w:val="CommentText"/>
      </w:pPr>
      <w:r>
        <w:rPr>
          <w:rStyle w:val="CommentReference"/>
        </w:rPr>
        <w:annotationRef/>
      </w:r>
      <w:r>
        <w:rPr>
          <w:lang w:val="en-IN"/>
        </w:rPr>
        <w:t>The bar diagram should have proper error bars</w:t>
      </w:r>
    </w:p>
  </w:comment>
  <w:comment w:id="2" w:author="sangeeta sarma" w:date="2025-12-02T19:47:00Z" w:initials="ss">
    <w:p w14:paraId="2E70B744" w14:textId="77777777" w:rsidR="00615C2A" w:rsidRDefault="00615C2A" w:rsidP="00615C2A">
      <w:pPr>
        <w:pStyle w:val="CommentText"/>
      </w:pPr>
      <w:r>
        <w:rPr>
          <w:rStyle w:val="CommentReference"/>
        </w:rPr>
        <w:annotationRef/>
      </w:r>
      <w:r>
        <w:rPr>
          <w:lang w:val="en-IN"/>
        </w:rPr>
        <w:t>Table should be statistically significant with standard deviation</w:t>
      </w:r>
    </w:p>
  </w:comment>
  <w:comment w:id="3" w:author="sangeeta sarma" w:date="2025-12-02T19:45:00Z" w:initials="ss">
    <w:p w14:paraId="095085CA" w14:textId="5576D2D8" w:rsidR="00615C2A" w:rsidRDefault="00615C2A" w:rsidP="00615C2A">
      <w:pPr>
        <w:pStyle w:val="CommentText"/>
      </w:pPr>
      <w:r>
        <w:rPr>
          <w:rStyle w:val="CommentReference"/>
        </w:rPr>
        <w:annotationRef/>
      </w:r>
      <w:r>
        <w:rPr>
          <w:lang w:val="en-IN"/>
        </w:rPr>
        <w:t>Image not very clear. Repeat the experiment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FEC824" w15:done="0"/>
  <w15:commentEx w15:paraId="72908979" w15:done="0"/>
  <w15:commentEx w15:paraId="2E70B744" w15:done="0"/>
  <w15:commentEx w15:paraId="095085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F5EC8D" w16cex:dateUtc="2025-12-02T14:22:00Z"/>
  <w16cex:commentExtensible w16cex:durableId="06E05B96" w16cex:dateUtc="2025-12-02T14:16:00Z"/>
  <w16cex:commentExtensible w16cex:durableId="5A954C9E" w16cex:dateUtc="2025-12-02T14:17:00Z"/>
  <w16cex:commentExtensible w16cex:durableId="19F8484F" w16cex:dateUtc="2025-12-02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FEC824" w16cid:durableId="66F5EC8D"/>
  <w16cid:commentId w16cid:paraId="72908979" w16cid:durableId="06E05B96"/>
  <w16cid:commentId w16cid:paraId="2E70B744" w16cid:durableId="5A954C9E"/>
  <w16cid:commentId w16cid:paraId="095085CA" w16cid:durableId="19F848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7290" w14:textId="77777777" w:rsidR="002E01D6" w:rsidRDefault="002E01D6">
      <w:pPr>
        <w:spacing w:line="240" w:lineRule="auto"/>
      </w:pPr>
      <w:r>
        <w:separator/>
      </w:r>
    </w:p>
  </w:endnote>
  <w:endnote w:type="continuationSeparator" w:id="0">
    <w:p w14:paraId="0ABBBE4C" w14:textId="77777777" w:rsidR="002E01D6" w:rsidRDefault="002E0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Bold">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4E01" w14:textId="77777777" w:rsidR="00893FBB" w:rsidRDefault="00893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52B0" w14:textId="77777777" w:rsidR="00893FBB" w:rsidRDefault="00893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EFA5" w14:textId="77777777" w:rsidR="00893FBB" w:rsidRDefault="00893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99E8" w14:textId="77777777" w:rsidR="002E01D6" w:rsidRDefault="002E01D6">
      <w:pPr>
        <w:spacing w:after="0"/>
      </w:pPr>
      <w:r>
        <w:separator/>
      </w:r>
    </w:p>
  </w:footnote>
  <w:footnote w:type="continuationSeparator" w:id="0">
    <w:p w14:paraId="2E5EE52B" w14:textId="77777777" w:rsidR="002E01D6" w:rsidRDefault="002E01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ED48" w14:textId="710A1892" w:rsidR="00893FBB" w:rsidRDefault="00000000">
    <w:pPr>
      <w:pStyle w:val="Header"/>
    </w:pPr>
    <w:r>
      <w:rPr>
        <w:noProof/>
      </w:rPr>
      <w:pict w14:anchorId="3CB11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3534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FB46" w14:textId="64F75291" w:rsidR="00893FBB" w:rsidRDefault="00000000">
    <w:pPr>
      <w:pStyle w:val="Header"/>
    </w:pPr>
    <w:r>
      <w:rPr>
        <w:noProof/>
      </w:rPr>
      <w:pict w14:anchorId="71FF2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3534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92B0" w14:textId="2017281C" w:rsidR="00893FBB" w:rsidRDefault="00000000">
    <w:pPr>
      <w:pStyle w:val="Header"/>
    </w:pPr>
    <w:r>
      <w:rPr>
        <w:noProof/>
      </w:rPr>
      <w:pict w14:anchorId="73410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3534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E5830"/>
    <w:multiLevelType w:val="singleLevel"/>
    <w:tmpl w:val="ADCE5830"/>
    <w:lvl w:ilvl="0">
      <w:start w:val="24"/>
      <w:numFmt w:val="decimal"/>
      <w:suff w:val="space"/>
      <w:lvlText w:val="%1."/>
      <w:lvlJc w:val="left"/>
    </w:lvl>
  </w:abstractNum>
  <w:abstractNum w:abstractNumId="1" w15:restartNumberingAfterBreak="0">
    <w:nsid w:val="D18BBE11"/>
    <w:multiLevelType w:val="singleLevel"/>
    <w:tmpl w:val="D18BBE11"/>
    <w:lvl w:ilvl="0">
      <w:start w:val="23"/>
      <w:numFmt w:val="decimal"/>
      <w:suff w:val="space"/>
      <w:lvlText w:val="%1."/>
      <w:lvlJc w:val="left"/>
    </w:lvl>
  </w:abstractNum>
  <w:abstractNum w:abstractNumId="2" w15:restartNumberingAfterBreak="0">
    <w:nsid w:val="DF52A12E"/>
    <w:multiLevelType w:val="singleLevel"/>
    <w:tmpl w:val="DF52A12E"/>
    <w:lvl w:ilvl="0">
      <w:start w:val="1"/>
      <w:numFmt w:val="decimal"/>
      <w:suff w:val="space"/>
      <w:lvlText w:val="%1."/>
      <w:lvlJc w:val="left"/>
    </w:lvl>
  </w:abstractNum>
  <w:abstractNum w:abstractNumId="3" w15:restartNumberingAfterBreak="0">
    <w:nsid w:val="010825B1"/>
    <w:multiLevelType w:val="multilevel"/>
    <w:tmpl w:val="010825B1"/>
    <w:lvl w:ilvl="0">
      <w:start w:val="1"/>
      <w:numFmt w:val="decimal"/>
      <w:suff w:val="space"/>
      <w:lvlText w:val="%1."/>
      <w:lvlJc w:val="left"/>
      <w:rPr>
        <w:rFonts w:ascii="Times New Roman" w:hAnsi="Times New Roman" w:cs="Times New Roman" w:hint="default"/>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10A5838"/>
    <w:multiLevelType w:val="singleLevel"/>
    <w:tmpl w:val="010A5838"/>
    <w:lvl w:ilvl="0">
      <w:start w:val="25"/>
      <w:numFmt w:val="decimal"/>
      <w:suff w:val="space"/>
      <w:lvlText w:val="%1."/>
      <w:lvlJc w:val="left"/>
    </w:lvl>
  </w:abstractNum>
  <w:abstractNum w:abstractNumId="5" w15:restartNumberingAfterBreak="0">
    <w:nsid w:val="1746344E"/>
    <w:multiLevelType w:val="singleLevel"/>
    <w:tmpl w:val="FF0AD85A"/>
    <w:lvl w:ilvl="0">
      <w:start w:val="20"/>
      <w:numFmt w:val="decimal"/>
      <w:suff w:val="space"/>
      <w:lvlText w:val="%1."/>
      <w:lvlJc w:val="left"/>
    </w:lvl>
  </w:abstractNum>
  <w:abstractNum w:abstractNumId="6" w15:restartNumberingAfterBreak="0">
    <w:nsid w:val="71C9367A"/>
    <w:multiLevelType w:val="singleLevel"/>
    <w:tmpl w:val="71C9367A"/>
    <w:lvl w:ilvl="0">
      <w:start w:val="11"/>
      <w:numFmt w:val="decimal"/>
      <w:suff w:val="space"/>
      <w:lvlText w:val="%1."/>
      <w:lvlJc w:val="left"/>
    </w:lvl>
  </w:abstractNum>
  <w:num w:numId="1" w16cid:durableId="1692101502">
    <w:abstractNumId w:val="3"/>
  </w:num>
  <w:num w:numId="2" w16cid:durableId="328488105">
    <w:abstractNumId w:val="2"/>
  </w:num>
  <w:num w:numId="3" w16cid:durableId="1023937888">
    <w:abstractNumId w:val="6"/>
  </w:num>
  <w:num w:numId="4" w16cid:durableId="1012729463">
    <w:abstractNumId w:val="5"/>
  </w:num>
  <w:num w:numId="5" w16cid:durableId="1967278370">
    <w:abstractNumId w:val="1"/>
  </w:num>
  <w:num w:numId="6" w16cid:durableId="1450512379">
    <w:abstractNumId w:val="0"/>
  </w:num>
  <w:num w:numId="7" w16cid:durableId="75413357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geeta sarma">
    <w15:presenceInfo w15:providerId="Windows Live" w15:userId="17913feef5e282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7538CA"/>
    <w:rsid w:val="00016C69"/>
    <w:rsid w:val="00083EFE"/>
    <w:rsid w:val="00154242"/>
    <w:rsid w:val="001831AE"/>
    <w:rsid w:val="00222677"/>
    <w:rsid w:val="0024598F"/>
    <w:rsid w:val="002B7650"/>
    <w:rsid w:val="002E01D6"/>
    <w:rsid w:val="0030381B"/>
    <w:rsid w:val="00357A3C"/>
    <w:rsid w:val="00406B88"/>
    <w:rsid w:val="00527A12"/>
    <w:rsid w:val="005623FA"/>
    <w:rsid w:val="00615C2A"/>
    <w:rsid w:val="0062042D"/>
    <w:rsid w:val="0068495E"/>
    <w:rsid w:val="00763826"/>
    <w:rsid w:val="00795CAD"/>
    <w:rsid w:val="007E6133"/>
    <w:rsid w:val="00893FBB"/>
    <w:rsid w:val="008D72B1"/>
    <w:rsid w:val="008D7764"/>
    <w:rsid w:val="00AA306C"/>
    <w:rsid w:val="00B25592"/>
    <w:rsid w:val="00BE571E"/>
    <w:rsid w:val="00CE1D31"/>
    <w:rsid w:val="00E3361E"/>
    <w:rsid w:val="00E64C9C"/>
    <w:rsid w:val="00EB5961"/>
    <w:rsid w:val="00F2652C"/>
    <w:rsid w:val="22921CC7"/>
    <w:rsid w:val="3453525B"/>
    <w:rsid w:val="777538CA"/>
    <w:rsid w:val="7CBF2F3D"/>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AE53D8"/>
  <w15:docId w15:val="{E1C41C95-46EE-41D1-BC6C-3178F7A1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uiPriority="35" w:unhideWhenUsed="1" w:qFormat="1"/>
    <w:lsdException w:name="annotation reference" w:semiHidden="1" w:uiPriority="99"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360" w:lineRule="auto"/>
    </w:pPr>
    <w:rPr>
      <w:rFonts w:eastAsiaTheme="minorHAnsi" w:cstheme="minorBidi"/>
      <w:sz w:val="24"/>
      <w:szCs w:val="22"/>
      <w:lang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222677"/>
    <w:pPr>
      <w:spacing w:after="200" w:line="276" w:lineRule="auto"/>
      <w:ind w:left="100"/>
      <w:jc w:val="both"/>
    </w:pPr>
    <w:rPr>
      <w:rFonts w:eastAsia="Times New Roman" w:cs="Times New Roman"/>
      <w:szCs w:val="24"/>
      <w:lang w:val="en-US"/>
    </w:rPr>
  </w:style>
  <w:style w:type="character" w:customStyle="1" w:styleId="BodyTextChar">
    <w:name w:val="Body Text Char"/>
    <w:basedOn w:val="DefaultParagraphFont"/>
    <w:link w:val="BodyText"/>
    <w:uiPriority w:val="1"/>
    <w:rsid w:val="00222677"/>
    <w:rPr>
      <w:rFonts w:eastAsia="Times New Roman"/>
      <w:sz w:val="24"/>
      <w:szCs w:val="24"/>
      <w:lang w:val="en-US" w:eastAsia="en-US"/>
    </w:rPr>
  </w:style>
  <w:style w:type="character" w:styleId="UnresolvedMention">
    <w:name w:val="Unresolved Mention"/>
    <w:basedOn w:val="DefaultParagraphFont"/>
    <w:uiPriority w:val="99"/>
    <w:semiHidden/>
    <w:unhideWhenUsed/>
    <w:rsid w:val="00795CAD"/>
    <w:rPr>
      <w:color w:val="605E5C"/>
      <w:shd w:val="clear" w:color="auto" w:fill="E1DFDD"/>
    </w:rPr>
  </w:style>
  <w:style w:type="paragraph" w:styleId="ListParagraph">
    <w:name w:val="List Paragraph"/>
    <w:basedOn w:val="Normal"/>
    <w:uiPriority w:val="99"/>
    <w:unhideWhenUsed/>
    <w:rsid w:val="00083EFE"/>
    <w:pPr>
      <w:ind w:left="720"/>
      <w:contextualSpacing/>
    </w:pPr>
  </w:style>
  <w:style w:type="paragraph" w:styleId="Header">
    <w:name w:val="header"/>
    <w:basedOn w:val="Normal"/>
    <w:link w:val="HeaderChar"/>
    <w:rsid w:val="00893FBB"/>
    <w:pPr>
      <w:tabs>
        <w:tab w:val="center" w:pos="4680"/>
        <w:tab w:val="right" w:pos="9360"/>
      </w:tabs>
      <w:spacing w:after="0" w:line="240" w:lineRule="auto"/>
    </w:pPr>
  </w:style>
  <w:style w:type="character" w:customStyle="1" w:styleId="HeaderChar">
    <w:name w:val="Header Char"/>
    <w:basedOn w:val="DefaultParagraphFont"/>
    <w:link w:val="Header"/>
    <w:rsid w:val="00893FBB"/>
    <w:rPr>
      <w:rFonts w:eastAsiaTheme="minorHAnsi" w:cstheme="minorBidi"/>
      <w:sz w:val="24"/>
      <w:szCs w:val="22"/>
      <w:lang w:eastAsia="en-US"/>
    </w:rPr>
  </w:style>
  <w:style w:type="paragraph" w:styleId="Footer">
    <w:name w:val="footer"/>
    <w:basedOn w:val="Normal"/>
    <w:link w:val="FooterChar"/>
    <w:rsid w:val="00893FBB"/>
    <w:pPr>
      <w:tabs>
        <w:tab w:val="center" w:pos="4680"/>
        <w:tab w:val="right" w:pos="9360"/>
      </w:tabs>
      <w:spacing w:after="0" w:line="240" w:lineRule="auto"/>
    </w:pPr>
  </w:style>
  <w:style w:type="character" w:customStyle="1" w:styleId="FooterChar">
    <w:name w:val="Footer Char"/>
    <w:basedOn w:val="DefaultParagraphFont"/>
    <w:link w:val="Footer"/>
    <w:rsid w:val="00893FBB"/>
    <w:rPr>
      <w:rFonts w:eastAsiaTheme="minorHAnsi" w:cstheme="minorBidi"/>
      <w:sz w:val="24"/>
      <w:szCs w:val="22"/>
      <w:lang w:eastAsia="en-US"/>
    </w:rPr>
  </w:style>
  <w:style w:type="paragraph" w:styleId="CommentSubject">
    <w:name w:val="annotation subject"/>
    <w:basedOn w:val="CommentText"/>
    <w:next w:val="CommentText"/>
    <w:link w:val="CommentSubjectChar"/>
    <w:rsid w:val="00615C2A"/>
    <w:rPr>
      <w:b/>
      <w:bCs/>
    </w:rPr>
  </w:style>
  <w:style w:type="character" w:customStyle="1" w:styleId="CommentTextChar">
    <w:name w:val="Comment Text Char"/>
    <w:basedOn w:val="DefaultParagraphFont"/>
    <w:link w:val="CommentText"/>
    <w:uiPriority w:val="99"/>
    <w:rsid w:val="00615C2A"/>
    <w:rPr>
      <w:rFonts w:eastAsiaTheme="minorHAnsi" w:cstheme="minorBidi"/>
      <w:lang w:eastAsia="en-US"/>
    </w:rPr>
  </w:style>
  <w:style w:type="character" w:customStyle="1" w:styleId="CommentSubjectChar">
    <w:name w:val="Comment Subject Char"/>
    <w:basedOn w:val="CommentTextChar"/>
    <w:link w:val="CommentSubject"/>
    <w:rsid w:val="00615C2A"/>
    <w:rPr>
      <w:rFonts w:eastAsiaTheme="minorHAnsi" w:cstheme="minorBidi"/>
      <w:b/>
      <w:bCs/>
      <w:lang w:eastAsia="en-US"/>
    </w:rPr>
  </w:style>
  <w:style w:type="paragraph" w:styleId="Revision">
    <w:name w:val="Revision"/>
    <w:hidden/>
    <w:uiPriority w:val="99"/>
    <w:unhideWhenUsed/>
    <w:rsid w:val="00615C2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hyperlink" Target="https://doi.org/10.1086/428052" TargetMode="External"/><Relationship Id="rId26" Type="http://schemas.openxmlformats.org/officeDocument/2006/relationships/hyperlink" Target="https://doi.org/10.4314/ajcem.v26i3.10" TargetMode="External"/><Relationship Id="rId39" Type="http://schemas.openxmlformats.org/officeDocument/2006/relationships/hyperlink" Target="https://www.who.int/publications/i/item/9789241509763" TargetMode="External"/><Relationship Id="rId3" Type="http://schemas.openxmlformats.org/officeDocument/2006/relationships/settings" Target="settings.xml"/><Relationship Id="rId21" Type="http://schemas.openxmlformats.org/officeDocument/2006/relationships/hyperlink" Target="https://doi.org/10.9734/jabb/2025/v28i92918" TargetMode="External"/><Relationship Id="rId34" Type="http://schemas.openxmlformats.org/officeDocument/2006/relationships/hyperlink" Target="https://doi.org/10.1016/j.diagmicrobio.2015.12.010"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hyperlink" Target="https://doi.org/10.1038/nm1347" TargetMode="External"/><Relationship Id="rId25" Type="http://schemas.openxmlformats.org/officeDocument/2006/relationships/hyperlink" Target="https://doi.org/10.1186/s12866-021-02179-1" TargetMode="External"/><Relationship Id="rId33" Type="http://schemas.openxmlformats.org/officeDocument/2006/relationships/hyperlink" Target="https://doi.org/10.1186/s40560-020-0429-6" TargetMode="External"/><Relationship Id="rId38" Type="http://schemas.openxmlformats.org/officeDocument/2006/relationships/hyperlink" Target="https://www.who.int/publications/i/item/WHO-EMP-IAU-2017.01"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1442-2042.2011.02933.x" TargetMode="External"/><Relationship Id="rId20" Type="http://schemas.openxmlformats.org/officeDocument/2006/relationships/hyperlink" Target="https://doi.org/10.30574/gscbps.2024.29.3.0483" TargetMode="External"/><Relationship Id="rId29" Type="http://schemas.openxmlformats.org/officeDocument/2006/relationships/hyperlink" Target="https://doi.org/10.5339/qmj.2020.9"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155/2016/9740273" TargetMode="External"/><Relationship Id="rId32" Type="http://schemas.openxmlformats.org/officeDocument/2006/relationships/hyperlink" Target="https://doi.org/10.2147/IDR.S234610" TargetMode="External"/><Relationship Id="rId37" Type="http://schemas.openxmlformats.org/officeDocument/2006/relationships/hyperlink" Target="https://doi.org/10.3389/fmicb.2025.1517772"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10790268.2022.2129154" TargetMode="External"/><Relationship Id="rId23" Type="http://schemas.openxmlformats.org/officeDocument/2006/relationships/hyperlink" Target="https://clsi.org/media/3481/m100ed30_sample.pdf" TargetMode="External"/><Relationship Id="rId28" Type="http://schemas.openxmlformats.org/officeDocument/2006/relationships/hyperlink" Target="https://doi.org/10.4103/atp.atp_38_17" TargetMode="External"/><Relationship Id="rId36" Type="http://schemas.openxmlformats.org/officeDocument/2006/relationships/hyperlink" Target="https://doi.org/10.1139/cjm-2024-0029" TargetMode="External"/><Relationship Id="rId10" Type="http://schemas.microsoft.com/office/2018/08/relationships/commentsExtensible" Target="commentsExtensible.xml"/><Relationship Id="rId19" Type="http://schemas.openxmlformats.org/officeDocument/2006/relationships/hyperlink" Target="https://doi.org/10.35841/2591-7781.19.1000181" TargetMode="External"/><Relationship Id="rId31" Type="http://schemas.openxmlformats.org/officeDocument/2006/relationships/hyperlink" Target="https://doi.org/10.30574/msabp.2025.15.1.0035" TargetMode="External"/><Relationship Id="rId44"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86/s41182-019-0147-8" TargetMode="External"/><Relationship Id="rId22" Type="http://schemas.openxmlformats.org/officeDocument/2006/relationships/hyperlink" Target="https://doi.org/10.1186/s13756-019-0552-0" TargetMode="External"/><Relationship Id="rId27" Type="http://schemas.openxmlformats.org/officeDocument/2006/relationships/hyperlink" Target="https://www.sciencworldjournal.org/index.php/swj/article/view/1000" TargetMode="External"/><Relationship Id="rId30" Type="http://schemas.openxmlformats.org/officeDocument/2006/relationships/hyperlink" Target="https://doi.org/10.4314/ajcem.v26i2.1" TargetMode="External"/><Relationship Id="rId35" Type="http://schemas.openxmlformats.org/officeDocument/2006/relationships/hyperlink" Target="https://doi.org/10.1101/cshperspect.a025320" TargetMode="External"/><Relationship Id="rId43" Type="http://schemas.openxmlformats.org/officeDocument/2006/relationships/footer" Target="footer2.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TLINK\Desktop\THESIS%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Sheet2!$B$21</c:f>
              <c:strCache>
                <c:ptCount val="1"/>
                <c:pt idx="0">
                  <c:v>TOTAL ISOLATES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Sheet2!$A$22:$A$25</c:f>
              <c:strCache>
                <c:ptCount val="4"/>
                <c:pt idx="0">
                  <c:v>18-30</c:v>
                </c:pt>
                <c:pt idx="1">
                  <c:v>31 - 40</c:v>
                </c:pt>
                <c:pt idx="2">
                  <c:v>41-50</c:v>
                </c:pt>
                <c:pt idx="3">
                  <c:v>50 - ABOVE</c:v>
                </c:pt>
              </c:strCache>
            </c:strRef>
          </c:cat>
          <c:val>
            <c:numRef>
              <c:f>Sheet2!$B$22:$B$25</c:f>
              <c:numCache>
                <c:formatCode>General</c:formatCode>
                <c:ptCount val="4"/>
                <c:pt idx="0">
                  <c:v>41</c:v>
                </c:pt>
                <c:pt idx="1">
                  <c:v>39</c:v>
                </c:pt>
                <c:pt idx="2">
                  <c:v>52</c:v>
                </c:pt>
                <c:pt idx="3">
                  <c:v>26</c:v>
                </c:pt>
              </c:numCache>
            </c:numRef>
          </c:val>
          <c:extLst>
            <c:ext xmlns:c16="http://schemas.microsoft.com/office/drawing/2014/chart" uri="{C3380CC4-5D6E-409C-BE32-E72D297353CC}">
              <c16:uniqueId val="{00000000-AE30-4649-AB84-77A7E6928796}"/>
            </c:ext>
          </c:extLst>
        </c:ser>
        <c:dLbls>
          <c:showLegendKey val="0"/>
          <c:showVal val="1"/>
          <c:showCatName val="0"/>
          <c:showSerName val="0"/>
          <c:showPercent val="0"/>
          <c:showBubbleSize val="0"/>
        </c:dLbls>
        <c:gapWidth val="150"/>
        <c:axId val="110310912"/>
        <c:axId val="112930816"/>
      </c:barChart>
      <c:catAx>
        <c:axId val="11031091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50" b="1">
                    <a:latin typeface="Times New Roman" panose="02020603050405020304" charset="0"/>
                    <a:cs typeface="Times New Roman" panose="02020603050405020304" charset="0"/>
                  </a:rPr>
                  <a:t>AGE GROUP</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12930816"/>
        <c:crosses val="autoZero"/>
        <c:auto val="1"/>
        <c:lblAlgn val="ctr"/>
        <c:lblOffset val="100"/>
        <c:noMultiLvlLbl val="0"/>
      </c:catAx>
      <c:valAx>
        <c:axId val="11293081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50" b="1" i="0" baseline="0">
                    <a:effectLst/>
                    <a:latin typeface="Times New Roman" panose="02020603050405020304" charset="0"/>
                    <a:cs typeface="Times New Roman" panose="02020603050405020304" charset="0"/>
                  </a:rPr>
                  <a:t>NO OF SAMPLE COLLECTED </a:t>
                </a:r>
                <a:endParaRPr lang="en-US" sz="1250">
                  <a:effectLst/>
                  <a:latin typeface="Times New Roman" panose="02020603050405020304" charset="0"/>
                  <a:cs typeface="Times New Roman" panose="02020603050405020304" charset="0"/>
                </a:endParaRPr>
              </a:p>
            </c:rich>
          </c:tx>
          <c:layout>
            <c:manualLayout>
              <c:xMode val="edge"/>
              <c:yMode val="edge"/>
              <c:x val="3.4517060367454097E-2"/>
              <c:y val="0.2643365412656750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03109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2b82605-dad8-42be-8ec4-40cd04d0dcf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15</Pages>
  <Words>4171</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nzube ekpunobi</dc:creator>
  <cp:lastModifiedBy>sangeeta sarma</cp:lastModifiedBy>
  <cp:revision>26</cp:revision>
  <dcterms:created xsi:type="dcterms:W3CDTF">2025-11-14T08:29:00Z</dcterms:created>
  <dcterms:modified xsi:type="dcterms:W3CDTF">2025-12-02T15:14:00Z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A1EDD4F01B0744D19AE168F0469125E6_11</vt:lpwstr>
  </property>
</Properties>
</file>