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4D1" w:rsidRDefault="002E64D1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E64D1">
        <w:trPr>
          <w:trHeight w:val="290"/>
        </w:trPr>
        <w:tc>
          <w:tcPr>
            <w:tcW w:w="5168" w:type="dxa"/>
          </w:tcPr>
          <w:p w:rsidR="002E64D1" w:rsidRDefault="00314E0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E64D1" w:rsidRDefault="00A15BD7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6">
              <w:r w:rsidR="00314E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314E0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14E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314E0B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314E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314E0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14E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314E0B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314E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 w:rsidR="00314E0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14E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314E0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314E0B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2E64D1">
        <w:trPr>
          <w:trHeight w:val="290"/>
        </w:trPr>
        <w:tc>
          <w:tcPr>
            <w:tcW w:w="5168" w:type="dxa"/>
          </w:tcPr>
          <w:p w:rsidR="002E64D1" w:rsidRDefault="00314E0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E64D1" w:rsidRDefault="00314E0B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Ms_JABB_149382</w:t>
            </w:r>
          </w:p>
        </w:tc>
      </w:tr>
      <w:tr w:rsidR="002E64D1">
        <w:trPr>
          <w:trHeight w:val="650"/>
        </w:trPr>
        <w:tc>
          <w:tcPr>
            <w:tcW w:w="5168" w:type="dxa"/>
          </w:tcPr>
          <w:p w:rsidR="002E64D1" w:rsidRDefault="00314E0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E64D1" w:rsidRDefault="00314E0B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Quantitative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Attributes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Non-Basmati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Lines: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Implications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Breeding</w:t>
            </w:r>
          </w:p>
        </w:tc>
      </w:tr>
      <w:tr w:rsidR="002E64D1">
        <w:trPr>
          <w:trHeight w:val="333"/>
        </w:trPr>
        <w:tc>
          <w:tcPr>
            <w:tcW w:w="5168" w:type="dxa"/>
          </w:tcPr>
          <w:p w:rsidR="002E64D1" w:rsidRDefault="00314E0B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E64D1" w:rsidRDefault="00314E0B"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2E64D1" w:rsidRDefault="002E64D1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2E64D1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E64D1" w:rsidRDefault="00314E0B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E64D1">
        <w:trPr>
          <w:trHeight w:val="964"/>
        </w:trPr>
        <w:tc>
          <w:tcPr>
            <w:tcW w:w="5353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E64D1" w:rsidRDefault="00314E0B">
            <w:pPr>
              <w:pStyle w:val="TableParagraph"/>
              <w:ind w:left="107" w:right="13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E64D1" w:rsidRDefault="00314E0B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E64D1">
        <w:trPr>
          <w:trHeight w:val="1264"/>
        </w:trPr>
        <w:tc>
          <w:tcPr>
            <w:tcW w:w="5353" w:type="dxa"/>
          </w:tcPr>
          <w:p w:rsidR="002E64D1" w:rsidRDefault="00314E0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Rice is the main source of energy for 20% of the population. Therefore, its cultivation is highly important, mainly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densely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populated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countries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China.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heritability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genetics contributes to better selection.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  <w:tr w:rsidR="002E64D1" w:rsidTr="004D00D0">
        <w:trPr>
          <w:trHeight w:val="807"/>
        </w:trPr>
        <w:tc>
          <w:tcPr>
            <w:tcW w:w="5353" w:type="dxa"/>
          </w:tcPr>
          <w:p w:rsidR="002E64D1" w:rsidRDefault="00314E0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E64D1" w:rsidRDefault="00314E0B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it´s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  <w:tr w:rsidR="002E64D1" w:rsidTr="004D00D0">
        <w:trPr>
          <w:trHeight w:val="669"/>
        </w:trPr>
        <w:tc>
          <w:tcPr>
            <w:tcW w:w="5353" w:type="dxa"/>
          </w:tcPr>
          <w:p w:rsidR="002E64D1" w:rsidRDefault="00314E0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variety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varieties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results.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  <w:tr w:rsidR="002E64D1">
        <w:trPr>
          <w:trHeight w:val="705"/>
        </w:trPr>
        <w:tc>
          <w:tcPr>
            <w:tcW w:w="5353" w:type="dxa"/>
          </w:tcPr>
          <w:p w:rsidR="002E64D1" w:rsidRDefault="00314E0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  <w:tr w:rsidR="002E64D1">
        <w:trPr>
          <w:trHeight w:val="703"/>
        </w:trPr>
        <w:tc>
          <w:tcPr>
            <w:tcW w:w="5353" w:type="dxa"/>
          </w:tcPr>
          <w:p w:rsidR="002E64D1" w:rsidRDefault="00314E0B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ones.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  <w:tr w:rsidR="002E64D1">
        <w:trPr>
          <w:trHeight w:val="688"/>
        </w:trPr>
        <w:tc>
          <w:tcPr>
            <w:tcW w:w="5353" w:type="dxa"/>
          </w:tcPr>
          <w:p w:rsidR="002E64D1" w:rsidRDefault="00314E0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  <w:tr w:rsidR="002E64D1" w:rsidTr="004D00D0">
        <w:trPr>
          <w:trHeight w:val="95"/>
        </w:trPr>
        <w:tc>
          <w:tcPr>
            <w:tcW w:w="5353" w:type="dxa"/>
          </w:tcPr>
          <w:p w:rsidR="002E64D1" w:rsidRDefault="00314E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E64D1" w:rsidRDefault="00314E0B">
            <w:pPr>
              <w:pStyle w:val="TableParagraph"/>
              <w:ind w:left="107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variability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compared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crops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maize, wheat, etc.</w:t>
            </w:r>
          </w:p>
        </w:tc>
        <w:tc>
          <w:tcPr>
            <w:tcW w:w="6444" w:type="dxa"/>
          </w:tcPr>
          <w:p w:rsidR="002E64D1" w:rsidRDefault="002E64D1">
            <w:pPr>
              <w:pStyle w:val="TableParagraph"/>
              <w:rPr>
                <w:sz w:val="18"/>
              </w:rPr>
            </w:pPr>
          </w:p>
        </w:tc>
      </w:tr>
    </w:tbl>
    <w:p w:rsidR="002E64D1" w:rsidRDefault="002E64D1">
      <w:pPr>
        <w:pStyle w:val="BodyText"/>
        <w:rPr>
          <w:b w:val="0"/>
        </w:rPr>
      </w:pPr>
    </w:p>
    <w:tbl>
      <w:tblPr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3"/>
        <w:gridCol w:w="7711"/>
        <w:gridCol w:w="6309"/>
      </w:tblGrid>
      <w:tr w:rsidR="004D00D0" w:rsidRPr="00340561" w:rsidTr="004D00D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0D0" w:rsidRPr="00340561" w:rsidRDefault="004D00D0" w:rsidP="001E35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D00D0" w:rsidRPr="00340561" w:rsidRDefault="004D00D0" w:rsidP="001E35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00D0" w:rsidRPr="00340561" w:rsidTr="004D00D0">
        <w:tc>
          <w:tcPr>
            <w:tcW w:w="172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0D0" w:rsidRPr="00340561" w:rsidRDefault="004D00D0" w:rsidP="001E35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476" w:type="pct"/>
            <w:shd w:val="clear" w:color="auto" w:fill="auto"/>
          </w:tcPr>
          <w:p w:rsidR="004D00D0" w:rsidRPr="008608EB" w:rsidRDefault="004D00D0" w:rsidP="001E35F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D00D0" w:rsidRPr="00340561" w:rsidRDefault="004D00D0" w:rsidP="001E35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00D0" w:rsidRPr="00340561" w:rsidTr="004D00D0">
        <w:trPr>
          <w:trHeight w:val="890"/>
        </w:trPr>
        <w:tc>
          <w:tcPr>
            <w:tcW w:w="172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0D0" w:rsidRPr="00340561" w:rsidRDefault="004D00D0" w:rsidP="001E35F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0D0" w:rsidRPr="00340561" w:rsidRDefault="004D00D0" w:rsidP="001E35F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00D0" w:rsidRPr="00340561" w:rsidRDefault="004D00D0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4D00D0" w:rsidRDefault="004D00D0" w:rsidP="004D00D0"/>
    <w:p w:rsidR="004D00D0" w:rsidRPr="00B33BA8" w:rsidRDefault="004D00D0" w:rsidP="004D00D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D00D0" w:rsidRPr="00B33BA8" w:rsidRDefault="004D00D0" w:rsidP="004D00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3BA8">
        <w:rPr>
          <w:rFonts w:ascii="Arial" w:hAnsi="Arial" w:cs="Arial"/>
          <w:b/>
          <w:u w:val="single"/>
        </w:rPr>
        <w:t>Reviewer details:</w:t>
      </w:r>
    </w:p>
    <w:p w:rsidR="004D00D0" w:rsidRPr="00B33BA8" w:rsidRDefault="004D00D0" w:rsidP="004D00D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E64D1" w:rsidRDefault="004D00D0" w:rsidP="004D00D0">
      <w:pPr>
        <w:rPr>
          <w:b/>
        </w:rPr>
      </w:pPr>
      <w:r w:rsidRPr="00B33BA8">
        <w:rPr>
          <w:rFonts w:ascii="Arial" w:hAnsi="Arial" w:cs="Arial"/>
          <w:sz w:val="20"/>
          <w:szCs w:val="20"/>
        </w:rPr>
        <w:t>Elizabeth León García, México</w:t>
      </w:r>
      <w:bookmarkStart w:id="2" w:name="_GoBack"/>
      <w:bookmarkEnd w:id="0"/>
      <w:bookmarkEnd w:id="2"/>
    </w:p>
    <w:sectPr w:rsidR="002E64D1" w:rsidSect="00845337">
      <w:pgSz w:w="23820" w:h="16840" w:orient="landscape"/>
      <w:pgMar w:top="1820" w:right="0" w:bottom="1339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BD7" w:rsidRDefault="00A15BD7">
      <w:r>
        <w:separator/>
      </w:r>
    </w:p>
  </w:endnote>
  <w:endnote w:type="continuationSeparator" w:id="0">
    <w:p w:rsidR="00A15BD7" w:rsidRDefault="00A1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BD7" w:rsidRDefault="00A15BD7">
      <w:r>
        <w:separator/>
      </w:r>
    </w:p>
  </w:footnote>
  <w:footnote w:type="continuationSeparator" w:id="0">
    <w:p w:rsidR="00A15BD7" w:rsidRDefault="00A1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4D1"/>
    <w:rsid w:val="002E64D1"/>
    <w:rsid w:val="00314E0B"/>
    <w:rsid w:val="004D00D0"/>
    <w:rsid w:val="005D7813"/>
    <w:rsid w:val="00845337"/>
    <w:rsid w:val="00876210"/>
    <w:rsid w:val="009761DB"/>
    <w:rsid w:val="00A1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DDE8"/>
  <w15:docId w15:val="{B1AB61AC-AF3A-4114-98E7-EC2E0E7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D7813"/>
    <w:rPr>
      <w:color w:val="0000FF"/>
      <w:u w:val="single"/>
    </w:rPr>
  </w:style>
  <w:style w:type="paragraph" w:customStyle="1" w:styleId="Affiliation">
    <w:name w:val="Affiliation"/>
    <w:basedOn w:val="Normal"/>
    <w:rsid w:val="004D00D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2025-12-04T05:58:00Z</dcterms:created>
  <dcterms:modified xsi:type="dcterms:W3CDTF">2025-12-06T07:02:00Z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