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5F9C" w14:textId="77777777" w:rsidR="005A3088" w:rsidRPr="00EC1FFA" w:rsidRDefault="005A3088" w:rsidP="00EC1FFA">
      <w:pPr>
        <w:pStyle w:val="BodyText"/>
        <w:jc w:val="right"/>
        <w:rPr>
          <w:rFonts w:ascii="Arial" w:eastAsia="Times New Roman" w:hAnsi="Arial" w:cs="Arial"/>
          <w:b/>
          <w:bCs/>
          <w:iCs/>
          <w:kern w:val="28"/>
          <w:sz w:val="36"/>
          <w:szCs w:val="20"/>
          <w:lang w:val="en-US"/>
        </w:rPr>
      </w:pPr>
      <w:r w:rsidRPr="003B6886">
        <w:rPr>
          <w:rFonts w:ascii="Arial" w:eastAsia="Times New Roman" w:hAnsi="Arial" w:cs="Arial"/>
          <w:b/>
          <w:bCs/>
          <w:iCs/>
          <w:kern w:val="28"/>
          <w:sz w:val="36"/>
          <w:szCs w:val="20"/>
          <w:lang w:val="en-US"/>
        </w:rPr>
        <w:t>Toxicopathology of indoxacarb and its amelioration with vitamin C in Wistar rats (</w:t>
      </w:r>
      <w:r w:rsidRPr="00FA3CD9">
        <w:rPr>
          <w:rFonts w:ascii="Arial" w:eastAsia="Times New Roman" w:hAnsi="Arial" w:cs="Arial"/>
          <w:b/>
          <w:bCs/>
          <w:i/>
          <w:kern w:val="28"/>
          <w:sz w:val="36"/>
          <w:szCs w:val="20"/>
          <w:lang w:val="en-US"/>
        </w:rPr>
        <w:t>Rattus norvegicus</w:t>
      </w:r>
      <w:r w:rsidRPr="003B6886">
        <w:rPr>
          <w:rFonts w:ascii="Arial" w:eastAsia="Times New Roman" w:hAnsi="Arial" w:cs="Arial"/>
          <w:b/>
          <w:bCs/>
          <w:iCs/>
          <w:kern w:val="28"/>
          <w:sz w:val="36"/>
          <w:szCs w:val="20"/>
          <w:lang w:val="en-US"/>
        </w:rPr>
        <w:t>)</w:t>
      </w:r>
    </w:p>
    <w:p w14:paraId="0073B253" w14:textId="77777777" w:rsidR="002509B9" w:rsidRDefault="002509B9" w:rsidP="00D41F68">
      <w:pPr>
        <w:pStyle w:val="BodyText"/>
        <w:spacing w:before="240"/>
        <w:rPr>
          <w:rFonts w:ascii="Arial" w:eastAsia="Times New Roman" w:hAnsi="Arial" w:cs="Arial"/>
          <w:b/>
          <w:caps/>
          <w:kern w:val="0"/>
          <w:sz w:val="22"/>
          <w:szCs w:val="20"/>
          <w:lang w:val="en-US"/>
        </w:rPr>
      </w:pPr>
    </w:p>
    <w:p w14:paraId="3E424FFE" w14:textId="08DF7AB9" w:rsidR="005A3088" w:rsidRPr="00EC1FFA" w:rsidRDefault="005A3088" w:rsidP="00D41F68">
      <w:pPr>
        <w:pStyle w:val="BodyText"/>
        <w:spacing w:before="240"/>
        <w:rPr>
          <w:rFonts w:ascii="Arial" w:eastAsia="Times New Roman" w:hAnsi="Arial" w:cs="Arial"/>
          <w:b/>
          <w:caps/>
          <w:kern w:val="0"/>
          <w:sz w:val="22"/>
          <w:szCs w:val="20"/>
          <w:lang w:val="en-US"/>
        </w:rPr>
      </w:pPr>
      <w:r w:rsidRPr="00EC1FFA">
        <w:rPr>
          <w:rFonts w:ascii="Arial" w:eastAsia="Times New Roman" w:hAnsi="Arial" w:cs="Arial"/>
          <w:b/>
          <w:caps/>
          <w:kern w:val="0"/>
          <w:sz w:val="22"/>
          <w:szCs w:val="20"/>
          <w:lang w:val="en-US"/>
        </w:rPr>
        <w:t>ABSTRACT</w:t>
      </w:r>
    </w:p>
    <w:p w14:paraId="11038D3B" w14:textId="77777777" w:rsidR="001E4AD7" w:rsidRPr="00EC1FFA" w:rsidRDefault="001E4AD7" w:rsidP="00EC1FFA">
      <w:pPr>
        <w:pStyle w:val="BodyText"/>
        <w:spacing w:after="0"/>
        <w:ind w:firstLine="720"/>
        <w:jc w:val="both"/>
        <w:rPr>
          <w:rFonts w:ascii="Arial" w:eastAsia="Calibri" w:hAnsi="Arial" w:cs="Arial"/>
          <w:kern w:val="0"/>
          <w:sz w:val="20"/>
          <w:szCs w:val="22"/>
          <w:lang w:val="en-US"/>
        </w:rPr>
      </w:pPr>
      <w:r w:rsidRPr="00EC1FFA">
        <w:rPr>
          <w:rFonts w:ascii="Arial" w:eastAsia="Calibri" w:hAnsi="Arial" w:cs="Arial"/>
          <w:kern w:val="0"/>
          <w:sz w:val="20"/>
          <w:szCs w:val="22"/>
          <w:lang w:val="en-US"/>
        </w:rPr>
        <w:t xml:space="preserve">Indoxacarb (IND) is a promising new foliar broad-spectrum insecticide that belongs to the oxadiazine class. Insecticides are a class of chemicals found in the environment that can cause harm to plants, animals, and humans. Vitamin C (VIT-C) is a water-soluble antioxidant that has been found to lower oxidative stress and </w:t>
      </w:r>
      <w:proofErr w:type="spellStart"/>
      <w:r w:rsidRPr="00EC1FFA">
        <w:rPr>
          <w:rFonts w:ascii="Arial" w:eastAsia="Calibri" w:hAnsi="Arial" w:cs="Arial"/>
          <w:kern w:val="0"/>
          <w:sz w:val="20"/>
          <w:szCs w:val="22"/>
          <w:lang w:val="en-US"/>
        </w:rPr>
        <w:t>neutralise</w:t>
      </w:r>
      <w:proofErr w:type="spellEnd"/>
      <w:r w:rsidRPr="00EC1FFA">
        <w:rPr>
          <w:rFonts w:ascii="Arial" w:eastAsia="Calibri" w:hAnsi="Arial" w:cs="Arial"/>
          <w:kern w:val="0"/>
          <w:sz w:val="20"/>
          <w:szCs w:val="22"/>
          <w:lang w:val="en-US"/>
        </w:rPr>
        <w:t xml:space="preserve"> reactive oxygen species (ROS). </w:t>
      </w:r>
      <w:commentRangeStart w:id="0"/>
      <w:r w:rsidRPr="00EC1FFA">
        <w:rPr>
          <w:rFonts w:ascii="Arial" w:eastAsia="Calibri" w:hAnsi="Arial" w:cs="Arial"/>
          <w:kern w:val="0"/>
          <w:sz w:val="20"/>
          <w:szCs w:val="22"/>
          <w:lang w:val="en-US"/>
        </w:rPr>
        <w:t xml:space="preserve">Therefore, this study was undertaken to determine the ameliorative effect of vitamin C on indoxacarb toxicity. For this purpose, 20 female Wistar rats were randomly divided into four different groups as I to IV. Group I, II, III and IV received vehicle (control), IND (26.8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VIT-C (200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and IND + VIT-C (26.8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IND + 200 mg/kg </w:t>
      </w:r>
      <w:proofErr w:type="spellStart"/>
      <w:r w:rsidRPr="00EC1FFA">
        <w:rPr>
          <w:rFonts w:ascii="Arial" w:eastAsia="Calibri" w:hAnsi="Arial" w:cs="Arial"/>
          <w:kern w:val="0"/>
          <w:sz w:val="20"/>
          <w:szCs w:val="22"/>
          <w:lang w:val="en-US"/>
        </w:rPr>
        <w:t>b.wt</w:t>
      </w:r>
      <w:proofErr w:type="spellEnd"/>
      <w:r w:rsidRPr="00EC1FFA">
        <w:rPr>
          <w:rFonts w:ascii="Arial" w:eastAsia="Calibri" w:hAnsi="Arial" w:cs="Arial"/>
          <w:kern w:val="0"/>
          <w:sz w:val="20"/>
          <w:szCs w:val="22"/>
          <w:lang w:val="en-US"/>
        </w:rPr>
        <w:t xml:space="preserve">. VIT-C) respectively by oral gavages daily for 28 days. </w:t>
      </w:r>
      <w:commentRangeEnd w:id="0"/>
      <w:r w:rsidR="00C253A2">
        <w:rPr>
          <w:rStyle w:val="CommentReference"/>
          <w:rFonts w:asciiTheme="minorHAnsi" w:eastAsiaTheme="minorHAnsi" w:hAnsiTheme="minorHAnsi" w:cstheme="minorBidi"/>
          <w:kern w:val="0"/>
        </w:rPr>
        <w:commentReference w:id="0"/>
      </w:r>
      <w:r w:rsidRPr="00EC1FFA">
        <w:rPr>
          <w:rFonts w:ascii="Arial" w:eastAsia="Calibri" w:hAnsi="Arial" w:cs="Arial"/>
          <w:kern w:val="0"/>
          <w:sz w:val="20"/>
          <w:szCs w:val="22"/>
          <w:lang w:val="en-US"/>
        </w:rPr>
        <w:t xml:space="preserve">Group II (IND) rats showed reduction in food intake, dehydration, weakness, mild </w:t>
      </w:r>
      <w:proofErr w:type="spellStart"/>
      <w:r w:rsidRPr="00EC1FFA">
        <w:rPr>
          <w:rFonts w:ascii="Arial" w:eastAsia="Calibri" w:hAnsi="Arial" w:cs="Arial"/>
          <w:kern w:val="0"/>
          <w:sz w:val="20"/>
          <w:szCs w:val="22"/>
          <w:lang w:val="en-US"/>
        </w:rPr>
        <w:t>diarrhoea</w:t>
      </w:r>
      <w:proofErr w:type="spellEnd"/>
      <w:r w:rsidRPr="00EC1FFA">
        <w:rPr>
          <w:rFonts w:ascii="Arial" w:eastAsia="Calibri" w:hAnsi="Arial" w:cs="Arial"/>
          <w:kern w:val="0"/>
          <w:sz w:val="20"/>
          <w:szCs w:val="22"/>
          <w:lang w:val="en-US"/>
        </w:rPr>
        <w:t xml:space="preserve">, weight loss, tremor, rolling and head tilt as compared to control rats. Clinical symptoms that were seen in Group II rats were also observed in Group IV rats, though to a lesser degree. There was significantly (P &lt; 0.05) decreased in TEC, Hb and HCT values of Groups II (IND) and IV (IND + VIT-C) rats when compared with control rats. ALP was observed significant increase (P &lt; 0.05) in Group II female rats when compared with negative and positive control animals, but complete recovery of ALP was noticed in IND + VIT-C group rats. The rats of Groups II (IND) and IV (IND + VIT-C) showed significant (P &lt; 0.05) increase in total antioxidant status in comparison to control Group rats. Grossly, stomach was distended and filled with undigested feed materials in Groups II and IV rats. Histopathological changes (degeneration, necrosis and congestion) in the IND group were increased when compared to the control group. These microscopic lesions were also visible in the Group IV (IND + VIT-C) animals to a lesser extent. Ameliorative effect of vitamin C was observed on clinical signs, body weight, </w:t>
      </w:r>
      <w:proofErr w:type="spellStart"/>
      <w:r w:rsidRPr="00EC1FFA">
        <w:rPr>
          <w:rFonts w:ascii="Arial" w:eastAsia="Calibri" w:hAnsi="Arial" w:cs="Arial"/>
          <w:kern w:val="0"/>
          <w:sz w:val="20"/>
          <w:szCs w:val="22"/>
          <w:lang w:val="en-US"/>
        </w:rPr>
        <w:t>haematology</w:t>
      </w:r>
      <w:proofErr w:type="spellEnd"/>
      <w:r w:rsidRPr="00EC1FFA">
        <w:rPr>
          <w:rFonts w:ascii="Arial" w:eastAsia="Calibri" w:hAnsi="Arial" w:cs="Arial"/>
          <w:kern w:val="0"/>
          <w:sz w:val="20"/>
          <w:szCs w:val="22"/>
          <w:lang w:val="en-US"/>
        </w:rPr>
        <w:t xml:space="preserve"> and biochemical alterations as well as, on histopathological changes in indoxacarb intoxicated rats.</w:t>
      </w:r>
    </w:p>
    <w:p w14:paraId="504DCEA0" w14:textId="77777777" w:rsidR="005A3088" w:rsidRPr="00EC1FFA" w:rsidRDefault="005A3088" w:rsidP="00EC1FFA">
      <w:pPr>
        <w:pStyle w:val="Body"/>
        <w:spacing w:after="0"/>
        <w:rPr>
          <w:rFonts w:ascii="Arial" w:hAnsi="Arial" w:cs="Arial"/>
          <w:i/>
        </w:rPr>
      </w:pPr>
      <w:r w:rsidRPr="00EC1FFA">
        <w:rPr>
          <w:rFonts w:ascii="Arial" w:hAnsi="Arial" w:cs="Arial"/>
          <w:i/>
        </w:rPr>
        <w:t>KEYWORDS: Toxicopathology, indoxacarb, amelioration, vitamin C, rats</w:t>
      </w:r>
    </w:p>
    <w:p w14:paraId="53FCA0D2" w14:textId="77777777" w:rsidR="005A3088" w:rsidRPr="00EC1FFA" w:rsidRDefault="005A3088" w:rsidP="00D41F68">
      <w:pPr>
        <w:pStyle w:val="ListParagraph"/>
        <w:numPr>
          <w:ilvl w:val="0"/>
          <w:numId w:val="8"/>
        </w:numPr>
        <w:spacing w:before="240" w:line="480" w:lineRule="auto"/>
        <w:rPr>
          <w:rFonts w:ascii="Arial" w:eastAsia="Times New Roman" w:hAnsi="Arial" w:cs="Arial"/>
          <w:b/>
          <w:caps/>
          <w:szCs w:val="20"/>
          <w:lang w:val="en-US"/>
        </w:rPr>
      </w:pPr>
      <w:r w:rsidRPr="00EC1FFA">
        <w:rPr>
          <w:rFonts w:ascii="Arial" w:eastAsia="Times New Roman" w:hAnsi="Arial" w:cs="Arial"/>
          <w:b/>
          <w:caps/>
          <w:szCs w:val="20"/>
          <w:lang w:val="en-US"/>
        </w:rPr>
        <w:t>INTRODUCTION</w:t>
      </w:r>
    </w:p>
    <w:p w14:paraId="1DB28A2F" w14:textId="77777777" w:rsidR="005A3088" w:rsidRPr="00EC1FFA" w:rsidRDefault="005A3088" w:rsidP="00EC1FFA">
      <w:pPr>
        <w:pStyle w:val="Body"/>
        <w:spacing w:after="0"/>
        <w:rPr>
          <w:rFonts w:ascii="Arial" w:hAnsi="Arial" w:cs="Arial"/>
        </w:rPr>
      </w:pPr>
      <w:r w:rsidRPr="00EC1FFA">
        <w:rPr>
          <w:rFonts w:ascii="Arial" w:hAnsi="Arial" w:cs="Arial"/>
        </w:rPr>
        <w:t>Pesticides remain the most efficient approach for protecting plants and animals against a wide range of pests. Nowadays, the use of pesticides became popular in developing countries and their use is indistinguishably associated with the enhancement of human</w:t>
      </w:r>
      <w:r w:rsidR="00ED2256" w:rsidRPr="00EC1FFA">
        <w:rPr>
          <w:rFonts w:ascii="Arial" w:hAnsi="Arial" w:cs="Arial"/>
        </w:rPr>
        <w:t xml:space="preserve"> and animal</w:t>
      </w:r>
      <w:r w:rsidRPr="00EC1FFA">
        <w:rPr>
          <w:rFonts w:ascii="Arial" w:hAnsi="Arial" w:cs="Arial"/>
        </w:rPr>
        <w:t xml:space="preserve"> welfare. The pesticides exert a positive effect on plant health in terms of insect pests, increased productivity, improved crop storage and disease control, but inadvertent uses negatively affect food safety</w:t>
      </w:r>
      <w:r w:rsidR="008543D7" w:rsidRPr="00EC1FFA">
        <w:rPr>
          <w:rFonts w:ascii="Arial" w:hAnsi="Arial" w:cs="Arial"/>
        </w:rPr>
        <w:t xml:space="preserve"> (</w:t>
      </w:r>
      <w:proofErr w:type="spellStart"/>
      <w:r w:rsidR="008543D7" w:rsidRPr="00EC1FFA">
        <w:rPr>
          <w:rFonts w:ascii="Arial" w:hAnsi="Arial" w:cs="Arial"/>
        </w:rPr>
        <w:t>Zikankuba</w:t>
      </w:r>
      <w:proofErr w:type="spellEnd"/>
      <w:r w:rsidR="008543D7" w:rsidRPr="00EC1FFA">
        <w:rPr>
          <w:rFonts w:ascii="Arial" w:hAnsi="Arial" w:cs="Arial"/>
        </w:rPr>
        <w:t xml:space="preserve"> et al., 2019)</w:t>
      </w:r>
      <w:r w:rsidRPr="00EC1FFA">
        <w:rPr>
          <w:rFonts w:ascii="Arial" w:hAnsi="Arial" w:cs="Arial"/>
        </w:rPr>
        <w:t>. Pesticides are a key group of environmental chemicals that have the potential to harm plants, animals and human</w:t>
      </w:r>
      <w:r w:rsidR="00500449" w:rsidRPr="00EC1FFA">
        <w:rPr>
          <w:rFonts w:ascii="Arial" w:hAnsi="Arial" w:cs="Arial"/>
        </w:rPr>
        <w:t xml:space="preserve"> (Oller et al., 1980).</w:t>
      </w:r>
    </w:p>
    <w:p w14:paraId="656BE425" w14:textId="77777777" w:rsidR="005A3088" w:rsidRPr="00EC1FFA" w:rsidRDefault="005A3088" w:rsidP="00EC1FFA">
      <w:pPr>
        <w:pStyle w:val="Body"/>
        <w:spacing w:after="0"/>
        <w:rPr>
          <w:rFonts w:ascii="Arial" w:hAnsi="Arial" w:cs="Arial"/>
        </w:rPr>
      </w:pPr>
      <w:r w:rsidRPr="00EC1FFA">
        <w:rPr>
          <w:rFonts w:ascii="Arial" w:hAnsi="Arial" w:cs="Arial"/>
        </w:rPr>
        <w:t>Indoxacarb is a promising new foliar broad-spectrum insecticide that belongs to the oxadiazine class</w:t>
      </w:r>
      <w:r w:rsidR="00500449" w:rsidRPr="00EC1FFA">
        <w:rPr>
          <w:rFonts w:ascii="Arial" w:hAnsi="Arial" w:cs="Arial"/>
        </w:rPr>
        <w:t xml:space="preserve"> (</w:t>
      </w:r>
      <w:r w:rsidR="00A22489" w:rsidRPr="00EC1FFA">
        <w:rPr>
          <w:rFonts w:ascii="Arial" w:hAnsi="Arial" w:cs="Arial"/>
        </w:rPr>
        <w:t xml:space="preserve">Harder et al., </w:t>
      </w:r>
      <w:r w:rsidR="00500449" w:rsidRPr="00EC1FFA">
        <w:rPr>
          <w:rFonts w:ascii="Arial" w:hAnsi="Arial" w:cs="Arial"/>
        </w:rPr>
        <w:t>19</w:t>
      </w:r>
      <w:r w:rsidR="00A22489" w:rsidRPr="00EC1FFA">
        <w:rPr>
          <w:rFonts w:ascii="Arial" w:hAnsi="Arial" w:cs="Arial"/>
        </w:rPr>
        <w:t>97</w:t>
      </w:r>
      <w:r w:rsidR="00500449" w:rsidRPr="00EC1FFA">
        <w:rPr>
          <w:rFonts w:ascii="Arial" w:hAnsi="Arial" w:cs="Arial"/>
        </w:rPr>
        <w:t>)</w:t>
      </w:r>
      <w:r w:rsidR="00A22489" w:rsidRPr="00EC1FFA">
        <w:rPr>
          <w:rFonts w:ascii="Arial" w:hAnsi="Arial" w:cs="Arial"/>
        </w:rPr>
        <w:t xml:space="preserve"> </w:t>
      </w:r>
      <w:r w:rsidRPr="00EC1FFA">
        <w:rPr>
          <w:rFonts w:ascii="Arial" w:hAnsi="Arial" w:cs="Arial"/>
        </w:rPr>
        <w:t>which is manufactured by DuPont, USA</w:t>
      </w:r>
      <w:r w:rsidR="00A22489" w:rsidRPr="00EC1FFA">
        <w:rPr>
          <w:rFonts w:ascii="Arial" w:hAnsi="Arial" w:cs="Arial"/>
        </w:rPr>
        <w:t xml:space="preserve"> (Koli et al., </w:t>
      </w:r>
      <w:r w:rsidR="001A2702" w:rsidRPr="00EC1FFA">
        <w:rPr>
          <w:rFonts w:ascii="Arial" w:hAnsi="Arial" w:cs="Arial"/>
        </w:rPr>
        <w:t>20</w:t>
      </w:r>
      <w:r w:rsidR="00A22489" w:rsidRPr="00EC1FFA">
        <w:rPr>
          <w:rFonts w:ascii="Arial" w:hAnsi="Arial" w:cs="Arial"/>
        </w:rPr>
        <w:t>19)</w:t>
      </w:r>
      <w:r w:rsidRPr="00EC1FFA">
        <w:rPr>
          <w:rFonts w:ascii="Arial" w:hAnsi="Arial" w:cs="Arial"/>
        </w:rPr>
        <w:t>. It is frequently used as an insecticide in agriculture and horticulture that exhibits strong action against lepidopteran pests of vegetables, fruits, cotton, peanuts, maize, trees, alfalfa, soybeans and other crops. However, indoxacarb's biological activity is not limited to insects, its extensive use poses considerable health hazards to plants, aquatic organisms, and humankind</w:t>
      </w:r>
      <w:r w:rsidR="001A2702" w:rsidRPr="00EC1FFA">
        <w:rPr>
          <w:rFonts w:ascii="Arial" w:hAnsi="Arial" w:cs="Arial"/>
        </w:rPr>
        <w:t xml:space="preserve"> (</w:t>
      </w:r>
      <w:proofErr w:type="spellStart"/>
      <w:r w:rsidR="00901C25" w:rsidRPr="00EC1FFA">
        <w:rPr>
          <w:rFonts w:ascii="Arial" w:hAnsi="Arial" w:cs="Arial"/>
        </w:rPr>
        <w:t>Bhojane</w:t>
      </w:r>
      <w:proofErr w:type="spellEnd"/>
      <w:r w:rsidR="00901C25" w:rsidRPr="00EC1FFA">
        <w:rPr>
          <w:rFonts w:ascii="Arial" w:hAnsi="Arial" w:cs="Arial"/>
        </w:rPr>
        <w:t xml:space="preserve"> </w:t>
      </w:r>
      <w:r w:rsidR="001A2702" w:rsidRPr="00EC1FFA">
        <w:rPr>
          <w:rFonts w:ascii="Arial" w:hAnsi="Arial" w:cs="Arial"/>
        </w:rPr>
        <w:t>et al., 20</w:t>
      </w:r>
      <w:r w:rsidR="00901C25" w:rsidRPr="00EC1FFA">
        <w:rPr>
          <w:rFonts w:ascii="Arial" w:hAnsi="Arial" w:cs="Arial"/>
        </w:rPr>
        <w:t>18</w:t>
      </w:r>
      <w:r w:rsidR="001A2702" w:rsidRPr="00EC1FFA">
        <w:rPr>
          <w:rFonts w:ascii="Arial" w:hAnsi="Arial" w:cs="Arial"/>
        </w:rPr>
        <w:t>)</w:t>
      </w:r>
      <w:r w:rsidRPr="00EC1FFA">
        <w:rPr>
          <w:rFonts w:ascii="Arial" w:hAnsi="Arial" w:cs="Arial"/>
        </w:rPr>
        <w:t>. Indoxacarb is a synthetic, non-systemic insecticide that can replace the organophosphate insecticide</w:t>
      </w:r>
      <w:r w:rsidR="00901C25" w:rsidRPr="00EC1FFA">
        <w:rPr>
          <w:rFonts w:ascii="Arial" w:hAnsi="Arial" w:cs="Arial"/>
        </w:rPr>
        <w:t xml:space="preserve"> (Doerr et al., 2004)</w:t>
      </w:r>
      <w:r w:rsidRPr="00EC1FFA">
        <w:rPr>
          <w:rFonts w:ascii="Arial" w:hAnsi="Arial" w:cs="Arial"/>
        </w:rPr>
        <w:t>. Indoxacarb's active metabolite works uniquely by blocking sodium channels in nerve cells, inducing paralysis and death in the target pest species</w:t>
      </w:r>
      <w:r w:rsidR="0019419F" w:rsidRPr="00EC1FFA">
        <w:rPr>
          <w:rFonts w:ascii="Arial" w:hAnsi="Arial" w:cs="Arial"/>
        </w:rPr>
        <w:t xml:space="preserve"> (</w:t>
      </w:r>
      <w:proofErr w:type="spellStart"/>
      <w:r w:rsidR="0019419F" w:rsidRPr="00EC1FFA">
        <w:rPr>
          <w:rFonts w:ascii="Arial" w:hAnsi="Arial" w:cs="Arial"/>
        </w:rPr>
        <w:t>Lapied</w:t>
      </w:r>
      <w:proofErr w:type="spellEnd"/>
      <w:r w:rsidR="0019419F" w:rsidRPr="00EC1FFA">
        <w:rPr>
          <w:rFonts w:ascii="Arial" w:hAnsi="Arial" w:cs="Arial"/>
        </w:rPr>
        <w:t xml:space="preserve"> et al., 2001).</w:t>
      </w:r>
    </w:p>
    <w:p w14:paraId="771C4CAF" w14:textId="77777777" w:rsidR="00645621" w:rsidRPr="00EC1FFA" w:rsidRDefault="00645621" w:rsidP="00EC1FFA">
      <w:pPr>
        <w:pStyle w:val="Body"/>
        <w:spacing w:after="0"/>
        <w:rPr>
          <w:rFonts w:ascii="Arial" w:hAnsi="Arial" w:cs="Arial"/>
        </w:rPr>
      </w:pPr>
      <w:r w:rsidRPr="00EC1FFA">
        <w:rPr>
          <w:rFonts w:ascii="Arial" w:hAnsi="Arial" w:cs="Arial"/>
        </w:rPr>
        <w:t xml:space="preserve">Pesticides can potentially cause oxidative stress by increasing the generation of free radicals or altering antioxidant </w:t>
      </w:r>
      <w:proofErr w:type="spellStart"/>
      <w:r w:rsidRPr="00EC1FFA">
        <w:rPr>
          <w:rFonts w:ascii="Arial" w:hAnsi="Arial" w:cs="Arial"/>
        </w:rPr>
        <w:t>defence</w:t>
      </w:r>
      <w:proofErr w:type="spellEnd"/>
      <w:r w:rsidRPr="00EC1FFA">
        <w:rPr>
          <w:rFonts w:ascii="Arial" w:hAnsi="Arial" w:cs="Arial"/>
        </w:rPr>
        <w:t xml:space="preserve"> mechanisms such as detoxification and scavenging enzymes</w:t>
      </w:r>
      <w:r w:rsidR="00BB4D55" w:rsidRPr="00EC1FFA">
        <w:rPr>
          <w:rFonts w:ascii="Arial" w:hAnsi="Arial" w:cs="Arial"/>
        </w:rPr>
        <w:t xml:space="preserve"> (Abdollahi et al., 2004)</w:t>
      </w:r>
      <w:r w:rsidRPr="00EC1FFA">
        <w:rPr>
          <w:rFonts w:ascii="Arial" w:hAnsi="Arial" w:cs="Arial"/>
        </w:rPr>
        <w:t>. The toxicity of several pestici</w:t>
      </w:r>
      <w:r w:rsidR="00B00AC5" w:rsidRPr="00EC1FFA">
        <w:rPr>
          <w:rFonts w:ascii="Arial" w:hAnsi="Arial" w:cs="Arial"/>
        </w:rPr>
        <w:t>des, such as organochlorines (</w:t>
      </w:r>
      <w:r w:rsidR="00451D1A" w:rsidRPr="00EC1FFA">
        <w:rPr>
          <w:rFonts w:ascii="Arial" w:hAnsi="Arial" w:cs="Arial"/>
        </w:rPr>
        <w:t xml:space="preserve">Ranjbar </w:t>
      </w:r>
      <w:r w:rsidR="00B00AC5" w:rsidRPr="00EC1FFA">
        <w:rPr>
          <w:rFonts w:ascii="Arial" w:hAnsi="Arial" w:cs="Arial"/>
        </w:rPr>
        <w:t>et al., 200</w:t>
      </w:r>
      <w:r w:rsidR="00451D1A" w:rsidRPr="00EC1FFA">
        <w:rPr>
          <w:rFonts w:ascii="Arial" w:hAnsi="Arial" w:cs="Arial"/>
        </w:rPr>
        <w:t>2</w:t>
      </w:r>
      <w:r w:rsidRPr="00EC1FFA">
        <w:rPr>
          <w:rFonts w:ascii="Arial" w:hAnsi="Arial" w:cs="Arial"/>
        </w:rPr>
        <w:t>), carbamates, and pyrethroids, has been reported to be influenced by oxidative stress.</w:t>
      </w:r>
    </w:p>
    <w:p w14:paraId="13B6CF56" w14:textId="77777777" w:rsidR="005A3088" w:rsidRPr="00EC1FFA" w:rsidRDefault="005A3088" w:rsidP="00EC1FFA">
      <w:pPr>
        <w:pStyle w:val="Body"/>
        <w:spacing w:after="0"/>
        <w:rPr>
          <w:rFonts w:ascii="Arial" w:hAnsi="Arial" w:cs="Arial"/>
        </w:rPr>
      </w:pPr>
      <w:r w:rsidRPr="00EC1FFA">
        <w:rPr>
          <w:rFonts w:ascii="Arial" w:hAnsi="Arial" w:cs="Arial"/>
        </w:rPr>
        <w:t>Vitamin C is a water-soluble antioxidant that has been shown to neutralize reactive oxygen species (ROS) and reduce oxidative stress</w:t>
      </w:r>
      <w:r w:rsidR="002D1E12" w:rsidRPr="00EC1FFA">
        <w:rPr>
          <w:rFonts w:ascii="Arial" w:hAnsi="Arial" w:cs="Arial"/>
        </w:rPr>
        <w:t xml:space="preserve"> (Yu et al., 2008)</w:t>
      </w:r>
      <w:r w:rsidRPr="00EC1FFA">
        <w:rPr>
          <w:rFonts w:ascii="Arial" w:hAnsi="Arial" w:cs="Arial"/>
        </w:rPr>
        <w:t>. Vitamin C also improves the absorption of iron by reducing Fe3+ to Fe2+ from non-heme iron sources</w:t>
      </w:r>
      <w:r w:rsidR="00EB56EC" w:rsidRPr="00EC1FFA">
        <w:rPr>
          <w:rFonts w:ascii="Arial" w:hAnsi="Arial" w:cs="Arial"/>
        </w:rPr>
        <w:t xml:space="preserve"> (</w:t>
      </w:r>
      <w:proofErr w:type="spellStart"/>
      <w:r w:rsidR="00EB56EC" w:rsidRPr="00EC1FFA">
        <w:rPr>
          <w:rFonts w:ascii="Arial" w:hAnsi="Arial" w:cs="Arial"/>
        </w:rPr>
        <w:t>Hacisevki</w:t>
      </w:r>
      <w:proofErr w:type="spellEnd"/>
      <w:r w:rsidR="00EB56EC" w:rsidRPr="00EC1FFA">
        <w:rPr>
          <w:rFonts w:ascii="Arial" w:hAnsi="Arial" w:cs="Arial"/>
        </w:rPr>
        <w:t xml:space="preserve"> et al., 2009)</w:t>
      </w:r>
      <w:r w:rsidRPr="00EC1FFA">
        <w:rPr>
          <w:rFonts w:ascii="Arial" w:hAnsi="Arial" w:cs="Arial"/>
        </w:rPr>
        <w:t xml:space="preserve">. Vitamin C facilitates quenching of mitochondrial ROS in normal, as well as oxidative conditions, correlate with the protective effect of vitamin C in inhibition of oxidative damage on the mitochondria. Vitamin C is a potent, efficient </w:t>
      </w:r>
      <w:r w:rsidRPr="00EC1FFA">
        <w:rPr>
          <w:rFonts w:ascii="Arial" w:hAnsi="Arial" w:cs="Arial"/>
        </w:rPr>
        <w:lastRenderedPageBreak/>
        <w:t>and relatively inexpensive antioxidant. It is a potent reducing agent and an excellent source of electrons for free radicals that are looking for an electron to regain their stability</w:t>
      </w:r>
      <w:r w:rsidR="00EB56EC" w:rsidRPr="00EC1FFA">
        <w:rPr>
          <w:rFonts w:ascii="Arial" w:hAnsi="Arial" w:cs="Arial"/>
        </w:rPr>
        <w:t xml:space="preserve"> (Duarte </w:t>
      </w:r>
      <w:r w:rsidR="009A0805" w:rsidRPr="00EC1FFA">
        <w:rPr>
          <w:rFonts w:ascii="Arial" w:hAnsi="Arial" w:cs="Arial"/>
        </w:rPr>
        <w:t>and Lunec</w:t>
      </w:r>
      <w:r w:rsidR="00EB56EC" w:rsidRPr="00EC1FFA">
        <w:rPr>
          <w:rFonts w:ascii="Arial" w:hAnsi="Arial" w:cs="Arial"/>
        </w:rPr>
        <w:t xml:space="preserve"> 200</w:t>
      </w:r>
      <w:r w:rsidR="009D7441" w:rsidRPr="00EC1FFA">
        <w:rPr>
          <w:rFonts w:ascii="Arial" w:hAnsi="Arial" w:cs="Arial"/>
        </w:rPr>
        <w:t>5</w:t>
      </w:r>
      <w:r w:rsidR="00EB56EC" w:rsidRPr="00EC1FFA">
        <w:rPr>
          <w:rFonts w:ascii="Arial" w:hAnsi="Arial" w:cs="Arial"/>
        </w:rPr>
        <w:t>).</w:t>
      </w:r>
    </w:p>
    <w:p w14:paraId="673CD029" w14:textId="77777777" w:rsidR="005A3088" w:rsidRPr="00EC1FFA" w:rsidRDefault="005A3088" w:rsidP="00EC1FFA">
      <w:pPr>
        <w:pStyle w:val="Body"/>
        <w:spacing w:after="0"/>
        <w:rPr>
          <w:rFonts w:ascii="Arial" w:hAnsi="Arial" w:cs="Arial"/>
        </w:rPr>
      </w:pPr>
      <w:r w:rsidRPr="00EC1FFA">
        <w:rPr>
          <w:rFonts w:ascii="Arial" w:hAnsi="Arial" w:cs="Arial"/>
        </w:rPr>
        <w:t xml:space="preserve">At workplaces where indoxacarb is used or manufactured, occupational exposure to indoxacarb can occur through inhalation of dust or skin contact. The usage of agricultural products treated with indoxacarb is another key source of exposure to animals and humans. paucity of information available on toxicity of indoxacarb and its amelioration with vitamin C in laboratory animals in India and abroad, also Keeping all the facts in view, the present </w:t>
      </w:r>
      <w:r w:rsidR="00637813" w:rsidRPr="00EC1FFA">
        <w:rPr>
          <w:rFonts w:ascii="Arial" w:hAnsi="Arial" w:cs="Arial"/>
        </w:rPr>
        <w:t xml:space="preserve">study undertaken </w:t>
      </w:r>
      <w:commentRangeStart w:id="1"/>
      <w:r w:rsidR="00637813" w:rsidRPr="00EC1FFA">
        <w:rPr>
          <w:rFonts w:ascii="Arial" w:hAnsi="Arial" w:cs="Arial"/>
        </w:rPr>
        <w:t>to study t</w:t>
      </w:r>
      <w:r w:rsidRPr="00EC1FFA">
        <w:rPr>
          <w:rFonts w:ascii="Arial" w:hAnsi="Arial" w:cs="Arial"/>
        </w:rPr>
        <w:t xml:space="preserve">oxicopathology of indoxacarb and its amelioration with vitamin C in Wistar rats for a period of 28 days. </w:t>
      </w:r>
      <w:commentRangeEnd w:id="1"/>
      <w:r w:rsidR="00C253A2">
        <w:rPr>
          <w:rStyle w:val="CommentReference"/>
          <w:rFonts w:asciiTheme="minorHAnsi" w:eastAsiaTheme="minorHAnsi" w:hAnsiTheme="minorHAnsi" w:cstheme="minorBidi"/>
          <w:lang w:val="en-IN"/>
        </w:rPr>
        <w:commentReference w:id="1"/>
      </w:r>
    </w:p>
    <w:p w14:paraId="230A9E65" w14:textId="77777777" w:rsidR="005A3088" w:rsidRPr="00EC1FFA" w:rsidRDefault="005A3088" w:rsidP="00D41F68">
      <w:pPr>
        <w:pStyle w:val="ListParagraph"/>
        <w:numPr>
          <w:ilvl w:val="0"/>
          <w:numId w:val="8"/>
        </w:numPr>
        <w:spacing w:before="240" w:after="0" w:line="480" w:lineRule="auto"/>
        <w:jc w:val="both"/>
        <w:rPr>
          <w:rFonts w:ascii="Arial" w:eastAsia="Times New Roman" w:hAnsi="Arial" w:cs="Arial"/>
          <w:b/>
          <w:caps/>
          <w:szCs w:val="20"/>
          <w:lang w:val="en-US" w:bidi="ar-SA"/>
        </w:rPr>
      </w:pPr>
      <w:r w:rsidRPr="00EC1FFA">
        <w:rPr>
          <w:rFonts w:ascii="Arial" w:eastAsia="Times New Roman" w:hAnsi="Arial" w:cs="Arial"/>
          <w:b/>
          <w:caps/>
          <w:szCs w:val="20"/>
          <w:lang w:val="en-US" w:bidi="ar-SA"/>
        </w:rPr>
        <w:t>MATERIAL AND METHODS</w:t>
      </w:r>
    </w:p>
    <w:p w14:paraId="696B58F0" w14:textId="77777777" w:rsidR="005A3088" w:rsidRPr="00EC1FFA" w:rsidRDefault="005A3088" w:rsidP="001E4AD7">
      <w:pPr>
        <w:spacing w:after="0" w:line="480" w:lineRule="auto"/>
        <w:jc w:val="both"/>
        <w:rPr>
          <w:rFonts w:ascii="Arial" w:eastAsia="Times New Roman" w:hAnsi="Arial" w:cs="Arial"/>
          <w:b/>
          <w:bCs/>
          <w:lang w:val="en-US"/>
        </w:rPr>
      </w:pPr>
      <w:r w:rsidRPr="00EC1FFA">
        <w:rPr>
          <w:rFonts w:ascii="Arial" w:eastAsia="Times New Roman" w:hAnsi="Arial" w:cs="Arial"/>
          <w:b/>
          <w:bCs/>
          <w:lang w:val="en-US"/>
        </w:rPr>
        <w:t>Experimental animal</w:t>
      </w:r>
      <w:r w:rsidR="00A9060C" w:rsidRPr="00EC1FFA">
        <w:rPr>
          <w:rFonts w:ascii="Arial" w:eastAsia="Times New Roman" w:hAnsi="Arial" w:cs="Arial"/>
          <w:b/>
          <w:bCs/>
          <w:lang w:val="en-US"/>
        </w:rPr>
        <w:t>s</w:t>
      </w:r>
    </w:p>
    <w:p w14:paraId="563FDDA1" w14:textId="77777777" w:rsidR="001A063D" w:rsidRPr="00EC1FFA" w:rsidRDefault="005A3088" w:rsidP="00EC1FFA">
      <w:pPr>
        <w:pStyle w:val="Body"/>
        <w:spacing w:after="0"/>
        <w:rPr>
          <w:rFonts w:ascii="Arial" w:hAnsi="Arial" w:cs="Arial"/>
        </w:rPr>
      </w:pPr>
      <w:r w:rsidRPr="00EC1FFA">
        <w:rPr>
          <w:rFonts w:ascii="Arial" w:hAnsi="Arial" w:cs="Arial"/>
        </w:rPr>
        <w:t xml:space="preserve">A total of </w:t>
      </w:r>
      <w:r w:rsidR="00A9060C" w:rsidRPr="00EC1FFA">
        <w:rPr>
          <w:rFonts w:ascii="Arial" w:hAnsi="Arial" w:cs="Arial"/>
        </w:rPr>
        <w:t>20</w:t>
      </w:r>
      <w:r w:rsidRPr="00EC1FFA">
        <w:rPr>
          <w:rFonts w:ascii="Arial" w:hAnsi="Arial" w:cs="Arial"/>
        </w:rPr>
        <w:t xml:space="preserve"> </w:t>
      </w:r>
      <w:r w:rsidR="00A9060C" w:rsidRPr="00EC1FFA">
        <w:rPr>
          <w:rFonts w:ascii="Arial" w:hAnsi="Arial" w:cs="Arial"/>
        </w:rPr>
        <w:t xml:space="preserve">Wistar albino rats aged </w:t>
      </w:r>
      <w:r w:rsidR="007F5154" w:rsidRPr="00EC1FFA">
        <w:rPr>
          <w:rFonts w:ascii="Arial" w:hAnsi="Arial" w:cs="Arial"/>
        </w:rPr>
        <w:t>4</w:t>
      </w:r>
      <w:r w:rsidR="00A9060C" w:rsidRPr="00EC1FFA">
        <w:rPr>
          <w:rFonts w:ascii="Arial" w:hAnsi="Arial" w:cs="Arial"/>
        </w:rPr>
        <w:t>–</w:t>
      </w:r>
      <w:r w:rsidR="007F5154" w:rsidRPr="00EC1FFA">
        <w:rPr>
          <w:rFonts w:ascii="Arial" w:hAnsi="Arial" w:cs="Arial"/>
        </w:rPr>
        <w:t>5</w:t>
      </w:r>
      <w:r w:rsidR="00A9060C" w:rsidRPr="00EC1FFA">
        <w:rPr>
          <w:rFonts w:ascii="Arial" w:hAnsi="Arial" w:cs="Arial"/>
        </w:rPr>
        <w:t xml:space="preserve"> months old, weighing </w:t>
      </w:r>
      <w:r w:rsidR="007F5154" w:rsidRPr="00EC1FFA">
        <w:rPr>
          <w:rFonts w:ascii="Arial" w:hAnsi="Arial" w:cs="Arial"/>
        </w:rPr>
        <w:t>375</w:t>
      </w:r>
      <w:r w:rsidR="00A9060C" w:rsidRPr="00EC1FFA">
        <w:rPr>
          <w:rFonts w:ascii="Arial" w:hAnsi="Arial" w:cs="Arial"/>
        </w:rPr>
        <w:t>–</w:t>
      </w:r>
      <w:r w:rsidR="007F5154" w:rsidRPr="00EC1FFA">
        <w:rPr>
          <w:rFonts w:ascii="Arial" w:hAnsi="Arial" w:cs="Arial"/>
        </w:rPr>
        <w:t>425</w:t>
      </w:r>
      <w:r w:rsidR="00A9060C" w:rsidRPr="00EC1FFA">
        <w:rPr>
          <w:rFonts w:ascii="Arial" w:hAnsi="Arial" w:cs="Arial"/>
        </w:rPr>
        <w:t xml:space="preserve"> g, </w:t>
      </w:r>
      <w:r w:rsidRPr="00EC1FFA">
        <w:rPr>
          <w:rFonts w:ascii="Arial" w:hAnsi="Arial" w:cs="Arial"/>
        </w:rPr>
        <w:t xml:space="preserve">were procured from Pavo Research Solutions, </w:t>
      </w:r>
      <w:r w:rsidR="00825B02" w:rsidRPr="00EC1FFA">
        <w:rPr>
          <w:rFonts w:ascii="Arial" w:hAnsi="Arial" w:cs="Arial"/>
        </w:rPr>
        <w:t xml:space="preserve">Dashrath, </w:t>
      </w:r>
      <w:proofErr w:type="spellStart"/>
      <w:r w:rsidR="00825B02" w:rsidRPr="00EC1FFA">
        <w:rPr>
          <w:rFonts w:ascii="Arial" w:hAnsi="Arial" w:cs="Arial"/>
        </w:rPr>
        <w:t>Vododara</w:t>
      </w:r>
      <w:proofErr w:type="spellEnd"/>
      <w:r w:rsidR="00825B02" w:rsidRPr="00EC1FFA">
        <w:rPr>
          <w:rFonts w:ascii="Arial" w:hAnsi="Arial" w:cs="Arial"/>
        </w:rPr>
        <w:t>, Gujarat,</w:t>
      </w:r>
      <w:r w:rsidRPr="00EC1FFA">
        <w:rPr>
          <w:rFonts w:ascii="Arial" w:hAnsi="Arial" w:cs="Arial"/>
        </w:rPr>
        <w:t xml:space="preserve"> India. Before grouping and dosing the procured Wistar rats were maintained under </w:t>
      </w:r>
      <w:proofErr w:type="spellStart"/>
      <w:r w:rsidRPr="00EC1FFA">
        <w:rPr>
          <w:rFonts w:ascii="Arial" w:hAnsi="Arial" w:cs="Arial"/>
        </w:rPr>
        <w:t>acclimatisation</w:t>
      </w:r>
      <w:proofErr w:type="spellEnd"/>
      <w:r w:rsidRPr="00EC1FFA">
        <w:rPr>
          <w:rFonts w:ascii="Arial" w:hAnsi="Arial" w:cs="Arial"/>
        </w:rPr>
        <w:t xml:space="preserve"> for 15 days. Animal management and treatment procedures complied with the guidelines of Committee for the Purpose of Control and Supervision of Experiments on Animals (CPCSEA), New Delhi, India. All rats were housed in polypropylene cages at a laboratory animal house facility in an environmentally controlled room with a constant temperature of 22°C (±3°C) and a humidity of 30-70%. Throughout the acclimation and study period, </w:t>
      </w:r>
      <w:proofErr w:type="gramStart"/>
      <w:r w:rsidRPr="00EC1FFA">
        <w:rPr>
          <w:rFonts w:ascii="Arial" w:hAnsi="Arial" w:cs="Arial"/>
        </w:rPr>
        <w:t>12/12 hour</w:t>
      </w:r>
      <w:proofErr w:type="gramEnd"/>
      <w:r w:rsidRPr="00EC1FFA">
        <w:rPr>
          <w:rFonts w:ascii="Arial" w:hAnsi="Arial" w:cs="Arial"/>
        </w:rPr>
        <w:t xml:space="preserve"> light/dark cycles were administered. Corncob was used as a source of bedding. Throughout the study, rats </w:t>
      </w:r>
      <w:r w:rsidR="00637813" w:rsidRPr="00EC1FFA">
        <w:rPr>
          <w:rFonts w:ascii="Arial" w:hAnsi="Arial" w:cs="Arial"/>
        </w:rPr>
        <w:t xml:space="preserve">were provided with </w:t>
      </w:r>
      <w:r w:rsidRPr="00EC1FFA">
        <w:rPr>
          <w:rFonts w:ascii="Arial" w:hAnsi="Arial" w:cs="Arial"/>
        </w:rPr>
        <w:t xml:space="preserve">standard pellet diet </w:t>
      </w:r>
      <w:r w:rsidR="00637813" w:rsidRPr="00EC1FFA">
        <w:rPr>
          <w:rFonts w:ascii="Arial" w:hAnsi="Arial" w:cs="Arial"/>
        </w:rPr>
        <w:t xml:space="preserve">and </w:t>
      </w:r>
      <w:r w:rsidRPr="00EC1FFA">
        <w:rPr>
          <w:rFonts w:ascii="Arial" w:hAnsi="Arial" w:cs="Arial"/>
        </w:rPr>
        <w:t xml:space="preserve">distilled RO drinking water. </w:t>
      </w:r>
      <w:r w:rsidR="00B43BE2" w:rsidRPr="00EC1FFA">
        <w:rPr>
          <w:rFonts w:ascii="Arial" w:hAnsi="Arial" w:cs="Arial"/>
        </w:rPr>
        <w:t>The Institutional Animals Ethics Committee (IAEC) approved the study protocol of</w:t>
      </w:r>
      <w:r w:rsidR="00D5658D" w:rsidRPr="00EC1FFA">
        <w:rPr>
          <w:rFonts w:ascii="Arial" w:hAnsi="Arial" w:cs="Arial"/>
        </w:rPr>
        <w:t xml:space="preserve"> Pathology Department, </w:t>
      </w:r>
      <w:r w:rsidR="00DF0C55" w:rsidRPr="00EC1FFA">
        <w:rPr>
          <w:rFonts w:ascii="Arial" w:hAnsi="Arial" w:cs="Arial"/>
        </w:rPr>
        <w:t xml:space="preserve">College of Veterinary Science and Animal Husbandry, Kamdhenu University, </w:t>
      </w:r>
      <w:proofErr w:type="spellStart"/>
      <w:r w:rsidR="00DF0C55" w:rsidRPr="00EC1FFA">
        <w:rPr>
          <w:rFonts w:ascii="Arial" w:hAnsi="Arial" w:cs="Arial"/>
        </w:rPr>
        <w:t>Sardarkrushinagar</w:t>
      </w:r>
      <w:proofErr w:type="spellEnd"/>
      <w:r w:rsidR="00DF0C55" w:rsidRPr="00EC1FFA">
        <w:rPr>
          <w:rFonts w:ascii="Arial" w:hAnsi="Arial" w:cs="Arial"/>
        </w:rPr>
        <w:t xml:space="preserve"> </w:t>
      </w:r>
      <w:r w:rsidR="000A74EB" w:rsidRPr="00EC1FFA">
        <w:rPr>
          <w:rFonts w:ascii="Arial" w:hAnsi="Arial" w:cs="Arial"/>
        </w:rPr>
        <w:t xml:space="preserve">(Protocol: </w:t>
      </w:r>
      <w:r w:rsidR="00E03CBC" w:rsidRPr="00EC1FFA">
        <w:rPr>
          <w:rFonts w:ascii="Arial" w:hAnsi="Arial" w:cs="Arial"/>
        </w:rPr>
        <w:t>VETCOLL/IAEC/2021/17/PROTOCOL-05</w:t>
      </w:r>
      <w:r w:rsidR="000A74EB" w:rsidRPr="00EC1FFA">
        <w:rPr>
          <w:rFonts w:ascii="Arial" w:hAnsi="Arial" w:cs="Arial"/>
        </w:rPr>
        <w:t>).</w:t>
      </w:r>
      <w:r w:rsidR="004D0AA2" w:rsidRPr="00EC1FFA">
        <w:rPr>
          <w:rFonts w:ascii="Arial" w:hAnsi="Arial" w:cs="Arial"/>
        </w:rPr>
        <w:t xml:space="preserve"> Animals were assigned to experimental groups using a simple randomization procedure.</w:t>
      </w:r>
    </w:p>
    <w:p w14:paraId="6B265FA6" w14:textId="77777777" w:rsidR="00AD00F0" w:rsidRPr="00EC1FFA" w:rsidRDefault="00AD00F0"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Test compound</w:t>
      </w:r>
    </w:p>
    <w:p w14:paraId="3A304E4E" w14:textId="77777777" w:rsidR="00AD00F0" w:rsidRPr="00EC1FFA" w:rsidRDefault="00AD00F0" w:rsidP="00EC1FFA">
      <w:pPr>
        <w:spacing w:after="0" w:line="240" w:lineRule="auto"/>
        <w:ind w:firstLine="720"/>
        <w:jc w:val="both"/>
        <w:rPr>
          <w:rFonts w:ascii="Arial" w:eastAsia="Times New Roman" w:hAnsi="Arial" w:cs="Arial"/>
          <w:sz w:val="20"/>
          <w:szCs w:val="20"/>
          <w:lang w:val="en-US"/>
        </w:rPr>
      </w:pPr>
      <w:r w:rsidRPr="00EC1FFA">
        <w:rPr>
          <w:rFonts w:ascii="Arial" w:eastAsia="Times New Roman" w:hAnsi="Arial" w:cs="Arial"/>
          <w:sz w:val="20"/>
          <w:szCs w:val="20"/>
          <w:lang w:val="en-US"/>
        </w:rPr>
        <w:t xml:space="preserve">The main compound, indoxacarb (local </w:t>
      </w:r>
      <w:proofErr w:type="spellStart"/>
      <w:r w:rsidRPr="00EC1FFA">
        <w:rPr>
          <w:rFonts w:ascii="Arial" w:eastAsia="Times New Roman" w:hAnsi="Arial" w:cs="Arial"/>
          <w:sz w:val="20"/>
          <w:szCs w:val="20"/>
          <w:lang w:val="en-US"/>
        </w:rPr>
        <w:t>agro</w:t>
      </w:r>
      <w:proofErr w:type="spellEnd"/>
      <w:r w:rsidRPr="00EC1FFA">
        <w:rPr>
          <w:rFonts w:ascii="Arial" w:eastAsia="Times New Roman" w:hAnsi="Arial" w:cs="Arial"/>
          <w:sz w:val="20"/>
          <w:szCs w:val="20"/>
          <w:lang w:val="en-US"/>
        </w:rPr>
        <w:t xml:space="preserve"> </w:t>
      </w:r>
      <w:proofErr w:type="spellStart"/>
      <w:r w:rsidRPr="00EC1FFA">
        <w:rPr>
          <w:rFonts w:ascii="Arial" w:eastAsia="Times New Roman" w:hAnsi="Arial" w:cs="Arial"/>
          <w:sz w:val="20"/>
          <w:szCs w:val="20"/>
          <w:lang w:val="en-US"/>
        </w:rPr>
        <w:t>centre</w:t>
      </w:r>
      <w:proofErr w:type="spellEnd"/>
      <w:r w:rsidRPr="00EC1FFA">
        <w:rPr>
          <w:rFonts w:ascii="Arial" w:eastAsia="Times New Roman" w:hAnsi="Arial" w:cs="Arial"/>
          <w:sz w:val="20"/>
          <w:szCs w:val="20"/>
          <w:lang w:val="en-US"/>
        </w:rPr>
        <w:t xml:space="preserve">, </w:t>
      </w:r>
      <w:proofErr w:type="spellStart"/>
      <w:r w:rsidRPr="00EC1FFA">
        <w:rPr>
          <w:rFonts w:ascii="Arial" w:eastAsia="Times New Roman" w:hAnsi="Arial" w:cs="Arial"/>
          <w:sz w:val="20"/>
          <w:szCs w:val="20"/>
          <w:lang w:val="en-US"/>
        </w:rPr>
        <w:t>Palanpur</w:t>
      </w:r>
      <w:proofErr w:type="spellEnd"/>
      <w:r w:rsidRPr="00EC1FFA">
        <w:rPr>
          <w:rFonts w:ascii="Arial" w:eastAsia="Times New Roman" w:hAnsi="Arial" w:cs="Arial"/>
          <w:sz w:val="20"/>
          <w:szCs w:val="20"/>
          <w:lang w:val="en-US"/>
        </w:rPr>
        <w:t xml:space="preserve">, Gujarat) and vitamin C (CAS number: </w:t>
      </w:r>
      <w:r w:rsidR="00974954" w:rsidRPr="00EC1FFA">
        <w:rPr>
          <w:rFonts w:ascii="Arial" w:eastAsia="Times New Roman" w:hAnsi="Arial" w:cs="Arial"/>
          <w:sz w:val="20"/>
          <w:szCs w:val="20"/>
          <w:lang w:val="en-US"/>
        </w:rPr>
        <w:t>50-81-7</w:t>
      </w:r>
      <w:r w:rsidRPr="00EC1FFA">
        <w:rPr>
          <w:rFonts w:ascii="Arial" w:eastAsia="Times New Roman" w:hAnsi="Arial" w:cs="Arial"/>
          <w:sz w:val="20"/>
          <w:szCs w:val="20"/>
          <w:lang w:val="en-US"/>
        </w:rPr>
        <w:t xml:space="preserve">, </w:t>
      </w:r>
      <w:r w:rsidR="00315CBF" w:rsidRPr="00EC1FFA">
        <w:rPr>
          <w:rFonts w:ascii="Arial" w:eastAsia="Times New Roman" w:hAnsi="Arial" w:cs="Arial"/>
          <w:sz w:val="20"/>
          <w:szCs w:val="20"/>
          <w:lang w:val="en-US"/>
        </w:rPr>
        <w:t>Sigma-Aldrich</w:t>
      </w:r>
      <w:r w:rsidRPr="00EC1FFA">
        <w:rPr>
          <w:rFonts w:ascii="Arial" w:eastAsia="Times New Roman" w:hAnsi="Arial" w:cs="Arial"/>
          <w:sz w:val="20"/>
          <w:szCs w:val="20"/>
          <w:lang w:val="en-US"/>
        </w:rPr>
        <w:t>) was purchased. Isoflurane (</w:t>
      </w:r>
      <w:proofErr w:type="spellStart"/>
      <w:r w:rsidRPr="00EC1FFA">
        <w:rPr>
          <w:rFonts w:ascii="Arial" w:eastAsia="Times New Roman" w:hAnsi="Arial" w:cs="Arial"/>
          <w:sz w:val="20"/>
          <w:szCs w:val="20"/>
          <w:lang w:val="en-US"/>
        </w:rPr>
        <w:t>Isotroy</w:t>
      </w:r>
      <w:proofErr w:type="spellEnd"/>
      <w:r w:rsidRPr="00EC1FFA">
        <w:rPr>
          <w:rFonts w:ascii="Arial" w:eastAsia="Times New Roman" w:hAnsi="Arial" w:cs="Arial"/>
          <w:sz w:val="20"/>
          <w:szCs w:val="20"/>
          <w:lang w:val="en-US"/>
        </w:rPr>
        <w:t xml:space="preserve">®) were purchased from </w:t>
      </w:r>
      <w:proofErr w:type="spellStart"/>
      <w:r w:rsidRPr="00EC1FFA">
        <w:rPr>
          <w:rFonts w:ascii="Arial" w:eastAsia="Times New Roman" w:hAnsi="Arial" w:cs="Arial"/>
          <w:sz w:val="20"/>
          <w:szCs w:val="20"/>
          <w:lang w:val="en-US"/>
        </w:rPr>
        <w:t>Troikaa</w:t>
      </w:r>
      <w:proofErr w:type="spellEnd"/>
      <w:r w:rsidRPr="00EC1FFA">
        <w:rPr>
          <w:rFonts w:ascii="Arial" w:eastAsia="Times New Roman" w:hAnsi="Arial" w:cs="Arial"/>
          <w:sz w:val="20"/>
          <w:szCs w:val="20"/>
          <w:lang w:val="en-US"/>
        </w:rPr>
        <w:t xml:space="preserve"> Pharmaceuticals Ltd. Thol, Gujarat, India.</w:t>
      </w:r>
    </w:p>
    <w:p w14:paraId="6A38C87F"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Experimental design</w:t>
      </w:r>
    </w:p>
    <w:p w14:paraId="1F7098E4" w14:textId="77777777" w:rsidR="00F03250" w:rsidRPr="00EC1FFA" w:rsidRDefault="00B2621B" w:rsidP="00EC1FFA">
      <w:pPr>
        <w:spacing w:after="0" w:line="240" w:lineRule="auto"/>
        <w:ind w:firstLine="720"/>
        <w:jc w:val="both"/>
        <w:rPr>
          <w:rFonts w:ascii="Arial" w:eastAsia="Times New Roman" w:hAnsi="Arial" w:cs="Arial"/>
          <w:sz w:val="20"/>
          <w:szCs w:val="20"/>
          <w:lang w:val="en-US"/>
        </w:rPr>
      </w:pPr>
      <w:r w:rsidRPr="00EC1FFA">
        <w:rPr>
          <w:rFonts w:ascii="Arial" w:eastAsia="Times New Roman" w:hAnsi="Arial" w:cs="Arial"/>
          <w:sz w:val="20"/>
          <w:szCs w:val="20"/>
          <w:lang w:val="en-US"/>
        </w:rPr>
        <w:t>20</w:t>
      </w:r>
      <w:r w:rsidR="00F03250" w:rsidRPr="00EC1FFA">
        <w:rPr>
          <w:rFonts w:ascii="Arial" w:eastAsia="Times New Roman" w:hAnsi="Arial" w:cs="Arial"/>
          <w:sz w:val="20"/>
          <w:szCs w:val="20"/>
          <w:lang w:val="en-US"/>
        </w:rPr>
        <w:t xml:space="preserve"> </w:t>
      </w:r>
      <w:r w:rsidR="00B03E92" w:rsidRPr="00EC1FFA">
        <w:rPr>
          <w:rFonts w:ascii="Arial" w:eastAsia="Times New Roman" w:hAnsi="Arial" w:cs="Arial"/>
          <w:sz w:val="20"/>
          <w:szCs w:val="20"/>
          <w:lang w:val="en-US"/>
        </w:rPr>
        <w:t>fe</w:t>
      </w:r>
      <w:r w:rsidR="00F03250" w:rsidRPr="00EC1FFA">
        <w:rPr>
          <w:rFonts w:ascii="Arial" w:eastAsia="Times New Roman" w:hAnsi="Arial" w:cs="Arial"/>
          <w:sz w:val="20"/>
          <w:szCs w:val="20"/>
          <w:lang w:val="en-US"/>
        </w:rPr>
        <w:t xml:space="preserve">male </w:t>
      </w:r>
      <w:r w:rsidRPr="00EC1FFA">
        <w:rPr>
          <w:rFonts w:ascii="Arial" w:eastAsia="Times New Roman" w:hAnsi="Arial" w:cs="Arial"/>
          <w:sz w:val="20"/>
          <w:szCs w:val="20"/>
          <w:lang w:val="en-US"/>
        </w:rPr>
        <w:t xml:space="preserve">Wistar </w:t>
      </w:r>
      <w:r w:rsidR="00F03250" w:rsidRPr="00EC1FFA">
        <w:rPr>
          <w:rFonts w:ascii="Arial" w:eastAsia="Times New Roman" w:hAnsi="Arial" w:cs="Arial"/>
          <w:sz w:val="20"/>
          <w:szCs w:val="20"/>
          <w:lang w:val="en-US"/>
        </w:rPr>
        <w:t>rats were randomly divided into four groups (n = 8 for each group) a</w:t>
      </w:r>
      <w:r w:rsidR="00867FFD" w:rsidRPr="00EC1FFA">
        <w:rPr>
          <w:rFonts w:ascii="Arial" w:eastAsia="Times New Roman" w:hAnsi="Arial" w:cs="Arial"/>
          <w:sz w:val="20"/>
          <w:szCs w:val="20"/>
          <w:lang w:val="en-US"/>
        </w:rPr>
        <w:t>s described in Fig.1</w:t>
      </w:r>
      <w:r w:rsidR="009052F2" w:rsidRPr="00EC1FFA">
        <w:rPr>
          <w:rFonts w:ascii="Arial" w:eastAsia="Times New Roman" w:hAnsi="Arial" w:cs="Arial"/>
          <w:sz w:val="20"/>
          <w:szCs w:val="20"/>
          <w:lang w:val="en-US"/>
        </w:rPr>
        <w:t>. The groups were numbered as Group I to IV</w:t>
      </w:r>
      <w:r w:rsidR="00F03250" w:rsidRPr="00EC1FFA">
        <w:rPr>
          <w:rFonts w:ascii="Arial" w:eastAsia="Times New Roman" w:hAnsi="Arial" w:cs="Arial"/>
          <w:sz w:val="20"/>
          <w:szCs w:val="20"/>
          <w:lang w:val="en-US"/>
        </w:rPr>
        <w:t>:</w:t>
      </w:r>
    </w:p>
    <w:p w14:paraId="3DA613C2" w14:textId="77777777" w:rsidR="00EC196F" w:rsidRPr="00EC1FFA" w:rsidRDefault="00C031B7"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Control group</w:t>
      </w:r>
      <w:r w:rsidR="00557C29" w:rsidRPr="00EC1FFA">
        <w:rPr>
          <w:rFonts w:ascii="Arial" w:hAnsi="Arial" w:cs="Arial"/>
          <w:sz w:val="20"/>
          <w:szCs w:val="20"/>
        </w:rPr>
        <w:t xml:space="preserve"> (Negative control)</w:t>
      </w:r>
      <w:r w:rsidRPr="00EC1FFA">
        <w:rPr>
          <w:rFonts w:ascii="Arial" w:hAnsi="Arial" w:cs="Arial"/>
          <w:sz w:val="20"/>
          <w:szCs w:val="20"/>
        </w:rPr>
        <w:t xml:space="preserve">: Rats were given 0.5 % </w:t>
      </w:r>
      <w:r w:rsidR="00EC196F" w:rsidRPr="00EC1FFA">
        <w:rPr>
          <w:rFonts w:ascii="Arial" w:hAnsi="Arial" w:cs="Arial"/>
          <w:sz w:val="20"/>
          <w:szCs w:val="20"/>
        </w:rPr>
        <w:t>carboxymethyl cellulose (</w:t>
      </w:r>
      <w:r w:rsidRPr="00EC1FFA">
        <w:rPr>
          <w:rFonts w:ascii="Arial" w:hAnsi="Arial" w:cs="Arial"/>
          <w:sz w:val="20"/>
          <w:szCs w:val="20"/>
        </w:rPr>
        <w:t>CMC</w:t>
      </w:r>
      <w:r w:rsidR="00EC196F" w:rsidRPr="00EC1FFA">
        <w:rPr>
          <w:rFonts w:ascii="Arial" w:hAnsi="Arial" w:cs="Arial"/>
          <w:sz w:val="20"/>
          <w:szCs w:val="20"/>
        </w:rPr>
        <w:t>)</w:t>
      </w:r>
      <w:r w:rsidR="00F03250" w:rsidRPr="00EC1FFA">
        <w:rPr>
          <w:rFonts w:ascii="Arial" w:hAnsi="Arial" w:cs="Arial"/>
          <w:sz w:val="20"/>
          <w:szCs w:val="20"/>
        </w:rPr>
        <w:t xml:space="preserve"> solution </w:t>
      </w:r>
      <w:r w:rsidR="00EC196F" w:rsidRPr="00EC1FFA">
        <w:rPr>
          <w:rFonts w:ascii="Arial" w:hAnsi="Arial" w:cs="Arial"/>
          <w:sz w:val="20"/>
          <w:szCs w:val="20"/>
        </w:rPr>
        <w:t xml:space="preserve">by oral gavage daily for 28 days. </w:t>
      </w:r>
    </w:p>
    <w:p w14:paraId="2750C468" w14:textId="77777777" w:rsidR="003D1A03" w:rsidRPr="00EC1FFA" w:rsidRDefault="00180AD4"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IND</w:t>
      </w:r>
      <w:r w:rsidR="00F03250" w:rsidRPr="00EC1FFA">
        <w:rPr>
          <w:rFonts w:ascii="Arial" w:hAnsi="Arial" w:cs="Arial"/>
          <w:sz w:val="20"/>
          <w:szCs w:val="20"/>
        </w:rPr>
        <w:t xml:space="preserve"> group: Rats were given </w:t>
      </w:r>
      <w:r w:rsidR="00CF2F12" w:rsidRPr="00EC1FFA">
        <w:rPr>
          <w:rFonts w:ascii="Arial" w:hAnsi="Arial" w:cs="Arial"/>
          <w:sz w:val="20"/>
          <w:szCs w:val="20"/>
        </w:rPr>
        <w:t>IND</w:t>
      </w:r>
      <w:r w:rsidR="00F03250" w:rsidRPr="00EC1FFA">
        <w:rPr>
          <w:rFonts w:ascii="Arial" w:hAnsi="Arial" w:cs="Arial"/>
          <w:sz w:val="20"/>
          <w:szCs w:val="20"/>
        </w:rPr>
        <w:t xml:space="preserve"> (</w:t>
      </w:r>
      <w:r w:rsidR="00CF2F12" w:rsidRPr="00EC1FFA">
        <w:rPr>
          <w:rFonts w:ascii="Arial" w:hAnsi="Arial" w:cs="Arial"/>
          <w:sz w:val="20"/>
          <w:szCs w:val="20"/>
        </w:rPr>
        <w:t xml:space="preserve">26.8 mg/kg </w:t>
      </w:r>
      <w:proofErr w:type="spellStart"/>
      <w:r w:rsidR="00CF2F12" w:rsidRPr="00EC1FFA">
        <w:rPr>
          <w:rFonts w:ascii="Arial" w:hAnsi="Arial" w:cs="Arial"/>
          <w:sz w:val="20"/>
          <w:szCs w:val="20"/>
        </w:rPr>
        <w:t>b.wt</w:t>
      </w:r>
      <w:proofErr w:type="spellEnd"/>
      <w:r w:rsidR="00CF2F12" w:rsidRPr="00EC1FFA">
        <w:rPr>
          <w:rFonts w:ascii="Arial" w:hAnsi="Arial" w:cs="Arial"/>
          <w:sz w:val="20"/>
          <w:szCs w:val="20"/>
        </w:rPr>
        <w:t>.</w:t>
      </w:r>
      <w:r w:rsidR="00F03250" w:rsidRPr="00EC1FFA">
        <w:rPr>
          <w:rFonts w:ascii="Arial" w:hAnsi="Arial" w:cs="Arial"/>
          <w:sz w:val="20"/>
          <w:szCs w:val="20"/>
        </w:rPr>
        <w:t>) was dissolved in</w:t>
      </w:r>
      <w:r w:rsidR="00373158" w:rsidRPr="00EC1FFA">
        <w:rPr>
          <w:rFonts w:ascii="Arial" w:hAnsi="Arial" w:cs="Arial"/>
          <w:sz w:val="20"/>
          <w:szCs w:val="20"/>
        </w:rPr>
        <w:t xml:space="preserve"> </w:t>
      </w:r>
      <w:r w:rsidR="00CF2F12" w:rsidRPr="00EC1FFA">
        <w:rPr>
          <w:rFonts w:ascii="Arial" w:hAnsi="Arial" w:cs="Arial"/>
          <w:sz w:val="20"/>
          <w:szCs w:val="20"/>
        </w:rPr>
        <w:t>0.5 % CMC</w:t>
      </w:r>
      <w:r w:rsidR="00F03250" w:rsidRPr="00EC1FFA">
        <w:rPr>
          <w:rFonts w:ascii="Arial" w:hAnsi="Arial" w:cs="Arial"/>
          <w:sz w:val="20"/>
          <w:szCs w:val="20"/>
        </w:rPr>
        <w:t xml:space="preserve"> solution </w:t>
      </w:r>
      <w:r w:rsidR="00373158" w:rsidRPr="00EC1FFA">
        <w:rPr>
          <w:rFonts w:ascii="Arial" w:hAnsi="Arial" w:cs="Arial"/>
          <w:sz w:val="20"/>
          <w:szCs w:val="20"/>
        </w:rPr>
        <w:t xml:space="preserve">by oral gavage daily for 28 days. </w:t>
      </w:r>
    </w:p>
    <w:p w14:paraId="608B95D5" w14:textId="77777777" w:rsidR="00E634B8" w:rsidRPr="00EC1FFA" w:rsidRDefault="00E634B8"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VIT-C group</w:t>
      </w:r>
      <w:r w:rsidR="00557C29" w:rsidRPr="00EC1FFA">
        <w:rPr>
          <w:rFonts w:ascii="Arial" w:hAnsi="Arial" w:cs="Arial"/>
          <w:sz w:val="20"/>
          <w:szCs w:val="20"/>
        </w:rPr>
        <w:t xml:space="preserve"> (Positive control)</w:t>
      </w:r>
      <w:r w:rsidRPr="00EC1FFA">
        <w:rPr>
          <w:rFonts w:ascii="Arial" w:hAnsi="Arial" w:cs="Arial"/>
          <w:sz w:val="20"/>
          <w:szCs w:val="20"/>
        </w:rPr>
        <w:t xml:space="preserve">: VIT-C (200 mg/kg </w:t>
      </w:r>
      <w:proofErr w:type="spellStart"/>
      <w:r w:rsidRPr="00EC1FFA">
        <w:rPr>
          <w:rFonts w:ascii="Arial" w:hAnsi="Arial" w:cs="Arial"/>
          <w:sz w:val="20"/>
          <w:szCs w:val="20"/>
        </w:rPr>
        <w:t>b.wt</w:t>
      </w:r>
      <w:proofErr w:type="spellEnd"/>
      <w:r w:rsidRPr="00EC1FFA">
        <w:rPr>
          <w:rFonts w:ascii="Arial" w:hAnsi="Arial" w:cs="Arial"/>
          <w:sz w:val="20"/>
          <w:szCs w:val="20"/>
        </w:rPr>
        <w:t>.) was administered via oral gavage daily for 28 days.</w:t>
      </w:r>
    </w:p>
    <w:p w14:paraId="65FFF43A" w14:textId="77777777" w:rsidR="003D1A03" w:rsidRPr="00EC1FFA" w:rsidRDefault="00373158" w:rsidP="00EC1FFA">
      <w:pPr>
        <w:pStyle w:val="ListParagraph"/>
        <w:numPr>
          <w:ilvl w:val="0"/>
          <w:numId w:val="5"/>
        </w:numPr>
        <w:spacing w:after="0" w:line="240" w:lineRule="auto"/>
        <w:jc w:val="both"/>
        <w:rPr>
          <w:rFonts w:ascii="Arial" w:hAnsi="Arial" w:cs="Arial"/>
          <w:sz w:val="20"/>
          <w:szCs w:val="20"/>
        </w:rPr>
      </w:pPr>
      <w:r w:rsidRPr="00EC1FFA">
        <w:rPr>
          <w:rFonts w:ascii="Arial" w:hAnsi="Arial" w:cs="Arial"/>
          <w:sz w:val="20"/>
          <w:szCs w:val="20"/>
        </w:rPr>
        <w:t xml:space="preserve">IND + VIT-C group: </w:t>
      </w:r>
      <w:r w:rsidR="00BB1687" w:rsidRPr="00EC1FFA">
        <w:rPr>
          <w:rFonts w:ascii="Arial" w:hAnsi="Arial" w:cs="Arial"/>
          <w:sz w:val="20"/>
          <w:szCs w:val="20"/>
        </w:rPr>
        <w:t xml:space="preserve">VIT-C (200 mg/kg </w:t>
      </w:r>
      <w:proofErr w:type="spellStart"/>
      <w:r w:rsidR="00BB1687" w:rsidRPr="00EC1FFA">
        <w:rPr>
          <w:rFonts w:ascii="Arial" w:hAnsi="Arial" w:cs="Arial"/>
          <w:sz w:val="20"/>
          <w:szCs w:val="20"/>
        </w:rPr>
        <w:t>b.wt</w:t>
      </w:r>
      <w:proofErr w:type="spellEnd"/>
      <w:r w:rsidR="00BB1687" w:rsidRPr="00EC1FFA">
        <w:rPr>
          <w:rFonts w:ascii="Arial" w:hAnsi="Arial" w:cs="Arial"/>
          <w:sz w:val="20"/>
          <w:szCs w:val="20"/>
        </w:rPr>
        <w:t xml:space="preserve">.) </w:t>
      </w:r>
      <w:r w:rsidR="003D1A03" w:rsidRPr="00EC1FFA">
        <w:rPr>
          <w:rFonts w:ascii="Arial" w:hAnsi="Arial" w:cs="Arial"/>
          <w:sz w:val="20"/>
          <w:szCs w:val="20"/>
        </w:rPr>
        <w:t xml:space="preserve">was administered via </w:t>
      </w:r>
      <w:r w:rsidR="00BB1687" w:rsidRPr="00EC1FFA">
        <w:rPr>
          <w:rFonts w:ascii="Arial" w:hAnsi="Arial" w:cs="Arial"/>
          <w:sz w:val="20"/>
          <w:szCs w:val="20"/>
        </w:rPr>
        <w:t xml:space="preserve">oral gavage </w:t>
      </w:r>
      <w:r w:rsidR="003D1A03" w:rsidRPr="00EC1FFA">
        <w:rPr>
          <w:rFonts w:ascii="Arial" w:hAnsi="Arial" w:cs="Arial"/>
          <w:sz w:val="20"/>
          <w:szCs w:val="20"/>
        </w:rPr>
        <w:t>one</w:t>
      </w:r>
      <w:r w:rsidR="00E634B8" w:rsidRPr="00EC1FFA">
        <w:rPr>
          <w:rFonts w:ascii="Arial" w:hAnsi="Arial" w:cs="Arial"/>
          <w:sz w:val="20"/>
          <w:szCs w:val="20"/>
        </w:rPr>
        <w:t xml:space="preserve"> </w:t>
      </w:r>
      <w:r w:rsidR="003D1A03" w:rsidRPr="00EC1FFA">
        <w:rPr>
          <w:rFonts w:ascii="Arial" w:hAnsi="Arial" w:cs="Arial"/>
          <w:sz w:val="20"/>
          <w:szCs w:val="20"/>
        </w:rPr>
        <w:t xml:space="preserve">hour before </w:t>
      </w:r>
      <w:r w:rsidR="00BB1687" w:rsidRPr="00EC1FFA">
        <w:rPr>
          <w:rFonts w:ascii="Arial" w:hAnsi="Arial" w:cs="Arial"/>
          <w:sz w:val="20"/>
          <w:szCs w:val="20"/>
        </w:rPr>
        <w:t xml:space="preserve">IND (26.8 mg/kg </w:t>
      </w:r>
      <w:proofErr w:type="spellStart"/>
      <w:r w:rsidR="00BB1687" w:rsidRPr="00EC1FFA">
        <w:rPr>
          <w:rFonts w:ascii="Arial" w:hAnsi="Arial" w:cs="Arial"/>
          <w:sz w:val="20"/>
          <w:szCs w:val="20"/>
        </w:rPr>
        <w:t>b.wt</w:t>
      </w:r>
      <w:proofErr w:type="spellEnd"/>
      <w:r w:rsidR="00BB1687" w:rsidRPr="00EC1FFA">
        <w:rPr>
          <w:rFonts w:ascii="Arial" w:hAnsi="Arial" w:cs="Arial"/>
          <w:sz w:val="20"/>
          <w:szCs w:val="20"/>
        </w:rPr>
        <w:t xml:space="preserve">.) </w:t>
      </w:r>
      <w:r w:rsidR="003D1A03" w:rsidRPr="00EC1FFA">
        <w:rPr>
          <w:rFonts w:ascii="Arial" w:hAnsi="Arial" w:cs="Arial"/>
          <w:sz w:val="20"/>
          <w:szCs w:val="20"/>
        </w:rPr>
        <w:t xml:space="preserve">administration and continued for </w:t>
      </w:r>
      <w:r w:rsidR="00E634B8" w:rsidRPr="00EC1FFA">
        <w:rPr>
          <w:rFonts w:ascii="Arial" w:hAnsi="Arial" w:cs="Arial"/>
          <w:sz w:val="20"/>
          <w:szCs w:val="20"/>
        </w:rPr>
        <w:t xml:space="preserve">28 </w:t>
      </w:r>
      <w:r w:rsidR="003D1A03" w:rsidRPr="00EC1FFA">
        <w:rPr>
          <w:rFonts w:ascii="Arial" w:hAnsi="Arial" w:cs="Arial"/>
          <w:sz w:val="20"/>
          <w:szCs w:val="20"/>
        </w:rPr>
        <w:t>days.</w:t>
      </w:r>
    </w:p>
    <w:p w14:paraId="27494BD5" w14:textId="77777777" w:rsidR="00016E6D" w:rsidRPr="006F74FE" w:rsidRDefault="006212AE" w:rsidP="001E4AD7">
      <w:pPr>
        <w:keepNext/>
        <w:spacing w:after="0" w:line="480" w:lineRule="auto"/>
      </w:pPr>
      <w:r w:rsidRPr="006F74FE">
        <w:rPr>
          <w:noProof/>
          <w:lang w:val="en-US" w:bidi="gu-IN"/>
        </w:rPr>
        <w:lastRenderedPageBreak/>
        <w:drawing>
          <wp:inline distT="0" distB="0" distL="0" distR="0" wp14:anchorId="52C03A15" wp14:editId="3381197D">
            <wp:extent cx="5731510" cy="2780157"/>
            <wp:effectExtent l="19050" t="0" r="2540" b="0"/>
            <wp:docPr id="2" name="Picture 1" descr="E:\jasmi Personal\papar_for_publication\Publication\Sent for publication\Parth Indoxacarb\Experimental desig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smi Personal\papar_for_publication\Publication\Sent for publication\Parth Indoxacarb\Experimental design final.jpg"/>
                    <pic:cNvPicPr>
                      <a:picLocks noChangeAspect="1" noChangeArrowheads="1"/>
                    </pic:cNvPicPr>
                  </pic:nvPicPr>
                  <pic:blipFill>
                    <a:blip r:embed="rId12" cstate="print"/>
                    <a:srcRect/>
                    <a:stretch>
                      <a:fillRect/>
                    </a:stretch>
                  </pic:blipFill>
                  <pic:spPr bwMode="auto">
                    <a:xfrm>
                      <a:off x="0" y="0"/>
                      <a:ext cx="5731510" cy="2780157"/>
                    </a:xfrm>
                    <a:prstGeom prst="rect">
                      <a:avLst/>
                    </a:prstGeom>
                    <a:noFill/>
                    <a:ln w="9525">
                      <a:noFill/>
                      <a:miter lim="800000"/>
                      <a:headEnd/>
                      <a:tailEnd/>
                    </a:ln>
                  </pic:spPr>
                </pic:pic>
              </a:graphicData>
            </a:graphic>
          </wp:inline>
        </w:drawing>
      </w:r>
    </w:p>
    <w:p w14:paraId="41EF0066" w14:textId="77777777" w:rsidR="00016E6D" w:rsidRPr="00EC1FFA" w:rsidRDefault="00016E6D" w:rsidP="001E4AD7">
      <w:pPr>
        <w:pStyle w:val="Caption"/>
        <w:spacing w:line="480" w:lineRule="auto"/>
        <w:jc w:val="center"/>
        <w:rPr>
          <w:rFonts w:ascii="Arial" w:hAnsi="Arial" w:cs="Arial"/>
          <w:bCs w:val="0"/>
          <w:color w:val="auto"/>
          <w:sz w:val="22"/>
          <w:szCs w:val="22"/>
        </w:rPr>
      </w:pPr>
      <w:r w:rsidRPr="00EC1FFA">
        <w:rPr>
          <w:rFonts w:ascii="Arial" w:hAnsi="Arial" w:cs="Arial"/>
          <w:bCs w:val="0"/>
          <w:color w:val="auto"/>
          <w:sz w:val="22"/>
          <w:szCs w:val="22"/>
        </w:rPr>
        <w:t xml:space="preserve">Figure </w:t>
      </w:r>
      <w:r w:rsidR="00815EE5" w:rsidRPr="00EC1FFA">
        <w:rPr>
          <w:rFonts w:ascii="Arial" w:hAnsi="Arial" w:cs="Arial"/>
          <w:bCs w:val="0"/>
          <w:color w:val="auto"/>
          <w:sz w:val="22"/>
          <w:szCs w:val="22"/>
        </w:rPr>
        <w:fldChar w:fldCharType="begin"/>
      </w:r>
      <w:r w:rsidR="00003D74" w:rsidRPr="00EC1FFA">
        <w:rPr>
          <w:rFonts w:ascii="Arial" w:hAnsi="Arial" w:cs="Arial"/>
          <w:bCs w:val="0"/>
          <w:color w:val="auto"/>
          <w:sz w:val="22"/>
          <w:szCs w:val="22"/>
        </w:rPr>
        <w:instrText xml:space="preserve"> SEQ Figure \* ARABIC </w:instrText>
      </w:r>
      <w:r w:rsidR="00815EE5" w:rsidRPr="00EC1FFA">
        <w:rPr>
          <w:rFonts w:ascii="Arial" w:hAnsi="Arial" w:cs="Arial"/>
          <w:bCs w:val="0"/>
          <w:color w:val="auto"/>
          <w:sz w:val="22"/>
          <w:szCs w:val="22"/>
        </w:rPr>
        <w:fldChar w:fldCharType="separate"/>
      </w:r>
      <w:r w:rsidR="00355594" w:rsidRPr="00EC1FFA">
        <w:rPr>
          <w:rFonts w:ascii="Arial" w:hAnsi="Arial" w:cs="Arial"/>
          <w:bCs w:val="0"/>
          <w:color w:val="auto"/>
          <w:sz w:val="22"/>
          <w:szCs w:val="22"/>
        </w:rPr>
        <w:t>1</w:t>
      </w:r>
      <w:r w:rsidR="00815EE5" w:rsidRPr="00EC1FFA">
        <w:rPr>
          <w:rFonts w:ascii="Arial" w:hAnsi="Arial" w:cs="Arial"/>
          <w:bCs w:val="0"/>
          <w:color w:val="auto"/>
          <w:sz w:val="22"/>
          <w:szCs w:val="22"/>
        </w:rPr>
        <w:fldChar w:fldCharType="end"/>
      </w:r>
      <w:r w:rsidRPr="00EC1FFA">
        <w:rPr>
          <w:rFonts w:ascii="Arial" w:hAnsi="Arial" w:cs="Arial"/>
          <w:bCs w:val="0"/>
          <w:color w:val="auto"/>
          <w:sz w:val="22"/>
          <w:szCs w:val="22"/>
        </w:rPr>
        <w:t>: Schematic representation of the experimental design.</w:t>
      </w:r>
    </w:p>
    <w:p w14:paraId="08EF109D"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Clinical observations</w:t>
      </w:r>
    </w:p>
    <w:p w14:paraId="565D1C6B" w14:textId="77777777" w:rsidR="005A3088" w:rsidRPr="00D41F68" w:rsidRDefault="005A3088" w:rsidP="00EC1FFA">
      <w:pPr>
        <w:spacing w:after="0" w:line="240" w:lineRule="auto"/>
        <w:ind w:firstLine="720"/>
        <w:jc w:val="both"/>
        <w:rPr>
          <w:rFonts w:ascii="Arial" w:hAnsi="Arial" w:cs="Arial"/>
          <w:b/>
          <w:bCs/>
          <w:sz w:val="20"/>
          <w:szCs w:val="20"/>
          <w:lang w:bidi="gu-IN"/>
        </w:rPr>
      </w:pPr>
      <w:r w:rsidRPr="00D41F68">
        <w:rPr>
          <w:rFonts w:ascii="Arial" w:hAnsi="Arial" w:cs="Arial"/>
          <w:bCs/>
          <w:sz w:val="20"/>
          <w:szCs w:val="20"/>
        </w:rPr>
        <w:t>Observations for morbidity and mortality were made twice daily throughout the study period. Clinical observations were taken once a day during the acclimatisation period. On each dosing day, clinical observations were made at least twice (Predose and post dose).</w:t>
      </w:r>
    </w:p>
    <w:p w14:paraId="4D18165A"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Body Weight</w:t>
      </w:r>
    </w:p>
    <w:p w14:paraId="301E6099"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The body weight of each and every rat was measured one day before treatment began and at weekly intervals throughout the course of the study. Before the animals were kept for overnight fasting, their last bodyweight was recorded one day prior to blood collection (Day 28).</w:t>
      </w:r>
    </w:p>
    <w:p w14:paraId="186CA89F"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Clinical pathology</w:t>
      </w:r>
    </w:p>
    <w:p w14:paraId="1B8DA9D7" w14:textId="77777777" w:rsidR="00254321" w:rsidRPr="00D41F68" w:rsidRDefault="001B6F6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The rats fasted overnight before blood collection and necropsy. </w:t>
      </w:r>
      <w:r w:rsidR="002B7E91" w:rsidRPr="00D41F68">
        <w:rPr>
          <w:rFonts w:ascii="Arial" w:hAnsi="Arial" w:cs="Arial"/>
          <w:bCs/>
          <w:sz w:val="20"/>
          <w:szCs w:val="20"/>
        </w:rPr>
        <w:t xml:space="preserve">At the end of the experiment, all the rats were anesthetized </w:t>
      </w:r>
      <w:r w:rsidRPr="00D41F68">
        <w:rPr>
          <w:rFonts w:ascii="Arial" w:hAnsi="Arial" w:cs="Arial"/>
          <w:bCs/>
          <w:sz w:val="20"/>
          <w:szCs w:val="20"/>
        </w:rPr>
        <w:t xml:space="preserve">through </w:t>
      </w:r>
      <w:r w:rsidR="002B7E91" w:rsidRPr="00D41F68">
        <w:rPr>
          <w:rFonts w:ascii="Arial" w:hAnsi="Arial" w:cs="Arial"/>
          <w:bCs/>
          <w:sz w:val="20"/>
          <w:szCs w:val="20"/>
        </w:rPr>
        <w:t>i</w:t>
      </w:r>
      <w:r w:rsidR="005A3088" w:rsidRPr="00D41F68">
        <w:rPr>
          <w:rFonts w:ascii="Arial" w:hAnsi="Arial" w:cs="Arial"/>
          <w:bCs/>
          <w:sz w:val="20"/>
          <w:szCs w:val="20"/>
        </w:rPr>
        <w:t>soflurane</w:t>
      </w:r>
      <w:r w:rsidRPr="00D41F68">
        <w:rPr>
          <w:rFonts w:ascii="Arial" w:hAnsi="Arial" w:cs="Arial"/>
          <w:bCs/>
          <w:sz w:val="20"/>
          <w:szCs w:val="20"/>
        </w:rPr>
        <w:t>.</w:t>
      </w:r>
      <w:r w:rsidR="005A3088" w:rsidRPr="00D41F68">
        <w:rPr>
          <w:rFonts w:ascii="Arial" w:hAnsi="Arial" w:cs="Arial"/>
          <w:bCs/>
          <w:sz w:val="20"/>
          <w:szCs w:val="20"/>
        </w:rPr>
        <w:t xml:space="preserve"> On 29th day of </w:t>
      </w:r>
      <w:proofErr w:type="gramStart"/>
      <w:r w:rsidR="005A3088" w:rsidRPr="00D41F68">
        <w:rPr>
          <w:rFonts w:ascii="Arial" w:hAnsi="Arial" w:cs="Arial"/>
          <w:bCs/>
          <w:sz w:val="20"/>
          <w:szCs w:val="20"/>
        </w:rPr>
        <w:t>study ,</w:t>
      </w:r>
      <w:proofErr w:type="gramEnd"/>
      <w:r w:rsidR="005A3088" w:rsidRPr="00D41F68">
        <w:rPr>
          <w:rFonts w:ascii="Arial" w:hAnsi="Arial" w:cs="Arial"/>
          <w:bCs/>
          <w:sz w:val="20"/>
          <w:szCs w:val="20"/>
        </w:rPr>
        <w:t xml:space="preserve"> from all survived rats, blood was collected from the retro-orbital plexus with the help of a heparinized capillary tube in clot activator for </w:t>
      </w:r>
      <w:r w:rsidR="00A11DD8" w:rsidRPr="00D41F68">
        <w:rPr>
          <w:rFonts w:ascii="Arial" w:hAnsi="Arial" w:cs="Arial"/>
          <w:bCs/>
          <w:sz w:val="20"/>
          <w:szCs w:val="20"/>
        </w:rPr>
        <w:t>biochemical analysis</w:t>
      </w:r>
      <w:r w:rsidR="005A3088" w:rsidRPr="00D41F68">
        <w:rPr>
          <w:rFonts w:ascii="Arial" w:hAnsi="Arial" w:cs="Arial"/>
          <w:bCs/>
          <w:sz w:val="20"/>
          <w:szCs w:val="20"/>
        </w:rPr>
        <w:t xml:space="preserve"> and </w:t>
      </w:r>
      <w:r w:rsidR="00B4453F" w:rsidRPr="00D41F68">
        <w:rPr>
          <w:rFonts w:ascii="Arial" w:hAnsi="Arial" w:cs="Arial"/>
          <w:bCs/>
          <w:sz w:val="20"/>
          <w:szCs w:val="20"/>
        </w:rPr>
        <w:t xml:space="preserve">in </w:t>
      </w:r>
      <w:r w:rsidR="005A3088" w:rsidRPr="00D41F68">
        <w:rPr>
          <w:rFonts w:ascii="Arial" w:hAnsi="Arial" w:cs="Arial"/>
          <w:bCs/>
          <w:sz w:val="20"/>
          <w:szCs w:val="20"/>
        </w:rPr>
        <w:t xml:space="preserve">sterilized vials containing 4.0 % potassium ethylene diamine tetra acetic acid (K3EDTA) as an anticoagulant for estimation of </w:t>
      </w:r>
      <w:proofErr w:type="spellStart"/>
      <w:r w:rsidR="005A3088" w:rsidRPr="00D41F68">
        <w:rPr>
          <w:rFonts w:ascii="Arial" w:hAnsi="Arial" w:cs="Arial"/>
          <w:bCs/>
          <w:sz w:val="20"/>
          <w:szCs w:val="20"/>
        </w:rPr>
        <w:t>hematology</w:t>
      </w:r>
      <w:proofErr w:type="spellEnd"/>
      <w:r w:rsidR="005A3088" w:rsidRPr="00D41F68">
        <w:rPr>
          <w:rFonts w:ascii="Arial" w:hAnsi="Arial" w:cs="Arial"/>
          <w:bCs/>
          <w:sz w:val="20"/>
          <w:szCs w:val="20"/>
        </w:rPr>
        <w:t xml:space="preserve">. The haematological estimation of Total Erythrocyte Count (TEC), Haemoglobin (Hb), Haematocrit (HCT) or Packed Cell Volume (PCV), Mean Corpuscular Volume (MCV), Mean Corpuscular Haemoglobin Concentration (MCHC), Mean Corpuscular Haemoglobin (MCH), Total Leukocytes Count (TLC),  Differential Leukocyte Count (Lymphocytes, Neutrophils, Monocytes, Eosinophils, Basophils), Red cell Distribution Width (RDW% &amp; </w:t>
      </w:r>
      <w:proofErr w:type="spellStart"/>
      <w:r w:rsidR="005A3088" w:rsidRPr="00D41F68">
        <w:rPr>
          <w:rFonts w:ascii="Arial" w:hAnsi="Arial" w:cs="Arial"/>
          <w:bCs/>
          <w:sz w:val="20"/>
          <w:szCs w:val="20"/>
        </w:rPr>
        <w:t>RDWa</w:t>
      </w:r>
      <w:proofErr w:type="spellEnd"/>
      <w:r w:rsidR="005A3088" w:rsidRPr="00D41F68">
        <w:rPr>
          <w:rFonts w:ascii="Arial" w:hAnsi="Arial" w:cs="Arial"/>
          <w:bCs/>
          <w:sz w:val="20"/>
          <w:szCs w:val="20"/>
        </w:rPr>
        <w:t>), Platelet (PLT), Mean Platelet Volume (MPV) were analysed by using Automated Blood Analyzer (</w:t>
      </w:r>
      <w:proofErr w:type="spellStart"/>
      <w:r w:rsidR="005A3088" w:rsidRPr="00D41F68">
        <w:rPr>
          <w:rFonts w:ascii="Arial" w:hAnsi="Arial" w:cs="Arial"/>
          <w:bCs/>
          <w:sz w:val="20"/>
          <w:szCs w:val="20"/>
        </w:rPr>
        <w:t>Exigo</w:t>
      </w:r>
      <w:proofErr w:type="spellEnd"/>
      <w:r w:rsidR="005A3088" w:rsidRPr="00D41F68">
        <w:rPr>
          <w:rFonts w:ascii="Arial" w:hAnsi="Arial" w:cs="Arial"/>
          <w:bCs/>
          <w:sz w:val="20"/>
          <w:szCs w:val="20"/>
        </w:rPr>
        <w:t xml:space="preserve"> haematology </w:t>
      </w:r>
      <w:proofErr w:type="spellStart"/>
      <w:r w:rsidR="005A3088" w:rsidRPr="00D41F68">
        <w:rPr>
          <w:rFonts w:ascii="Arial" w:hAnsi="Arial" w:cs="Arial"/>
          <w:bCs/>
          <w:sz w:val="20"/>
          <w:szCs w:val="20"/>
        </w:rPr>
        <w:t>analyzer</w:t>
      </w:r>
      <w:proofErr w:type="spellEnd"/>
      <w:r w:rsidR="005A3088" w:rsidRPr="00D41F68">
        <w:rPr>
          <w:rFonts w:ascii="Arial" w:hAnsi="Arial" w:cs="Arial"/>
          <w:bCs/>
          <w:sz w:val="20"/>
          <w:szCs w:val="20"/>
        </w:rPr>
        <w:t xml:space="preserve">, Boule Medical AB, Sweden) using the impedance method. </w:t>
      </w:r>
    </w:p>
    <w:p w14:paraId="24B95AEC" w14:textId="77777777" w:rsidR="005A3088" w:rsidRPr="00D41F68" w:rsidRDefault="00CE1CA9"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Blood samples were collected in clot activator without anticoagulant</w:t>
      </w:r>
      <w:r w:rsidR="00C44020" w:rsidRPr="00D41F68">
        <w:rPr>
          <w:rFonts w:ascii="Arial" w:hAnsi="Arial" w:cs="Arial"/>
          <w:bCs/>
          <w:sz w:val="20"/>
          <w:szCs w:val="20"/>
        </w:rPr>
        <w:t xml:space="preserve"> </w:t>
      </w:r>
      <w:r w:rsidRPr="00D41F68">
        <w:rPr>
          <w:rFonts w:ascii="Arial" w:hAnsi="Arial" w:cs="Arial"/>
          <w:bCs/>
          <w:sz w:val="20"/>
          <w:szCs w:val="20"/>
        </w:rPr>
        <w:t xml:space="preserve">for the determination of serum </w:t>
      </w:r>
      <w:r w:rsidR="005A3088" w:rsidRPr="00D41F68">
        <w:rPr>
          <w:rFonts w:ascii="Arial" w:hAnsi="Arial" w:cs="Arial"/>
          <w:bCs/>
          <w:sz w:val="20"/>
          <w:szCs w:val="20"/>
        </w:rPr>
        <w:t>biochemical parameters i.e. Alkaline Phosphatase (ALP), Alanine Aminotransferase (ALT),</w:t>
      </w:r>
      <w:r w:rsidR="005625C1" w:rsidRPr="00D41F68">
        <w:rPr>
          <w:rFonts w:ascii="Arial" w:hAnsi="Arial" w:cs="Arial"/>
          <w:bCs/>
          <w:sz w:val="20"/>
          <w:szCs w:val="20"/>
        </w:rPr>
        <w:t xml:space="preserve"> </w:t>
      </w:r>
      <w:r w:rsidR="005A3088" w:rsidRPr="00D41F68">
        <w:rPr>
          <w:rFonts w:ascii="Arial" w:hAnsi="Arial" w:cs="Arial"/>
          <w:bCs/>
          <w:sz w:val="20"/>
          <w:szCs w:val="20"/>
        </w:rPr>
        <w:t xml:space="preserve">Aspartate </w:t>
      </w:r>
      <w:proofErr w:type="gramStart"/>
      <w:r w:rsidR="005A3088" w:rsidRPr="00D41F68">
        <w:rPr>
          <w:rFonts w:ascii="Arial" w:hAnsi="Arial" w:cs="Arial"/>
          <w:bCs/>
          <w:sz w:val="20"/>
          <w:szCs w:val="20"/>
        </w:rPr>
        <w:t>Aminotransferase  (</w:t>
      </w:r>
      <w:proofErr w:type="gramEnd"/>
      <w:r w:rsidR="005A3088" w:rsidRPr="00D41F68">
        <w:rPr>
          <w:rFonts w:ascii="Arial" w:hAnsi="Arial" w:cs="Arial"/>
          <w:bCs/>
          <w:sz w:val="20"/>
          <w:szCs w:val="20"/>
        </w:rPr>
        <w:t>AST), Creatinine, Total Protein (TP), Albumin, Cholesterol, Triglycerides, Urea, Uric acid, Glucose, Magnesium, Calcium, Phosphorous, Gamma-</w:t>
      </w:r>
      <w:proofErr w:type="spellStart"/>
      <w:r w:rsidR="005A3088" w:rsidRPr="00D41F68">
        <w:rPr>
          <w:rFonts w:ascii="Arial" w:hAnsi="Arial" w:cs="Arial"/>
          <w:bCs/>
          <w:sz w:val="20"/>
          <w:szCs w:val="20"/>
        </w:rPr>
        <w:t>Glutamyltransferase</w:t>
      </w:r>
      <w:proofErr w:type="spellEnd"/>
      <w:r w:rsidR="005A3088" w:rsidRPr="00D41F68">
        <w:rPr>
          <w:rFonts w:ascii="Arial" w:hAnsi="Arial" w:cs="Arial"/>
          <w:bCs/>
          <w:sz w:val="20"/>
          <w:szCs w:val="20"/>
        </w:rPr>
        <w:t xml:space="preserve"> (GGT) and Total Antioxidant status</w:t>
      </w:r>
      <w:r w:rsidR="00544568" w:rsidRPr="00D41F68">
        <w:rPr>
          <w:rFonts w:ascii="Arial" w:hAnsi="Arial" w:cs="Arial"/>
          <w:bCs/>
          <w:sz w:val="20"/>
          <w:szCs w:val="20"/>
        </w:rPr>
        <w:t xml:space="preserve"> (TAS)</w:t>
      </w:r>
      <w:r w:rsidR="00C44020" w:rsidRPr="00D41F68">
        <w:rPr>
          <w:rFonts w:ascii="Arial" w:hAnsi="Arial" w:cs="Arial"/>
          <w:bCs/>
          <w:sz w:val="20"/>
          <w:szCs w:val="20"/>
        </w:rPr>
        <w:t>.</w:t>
      </w:r>
      <w:r w:rsidR="00DB2BD3" w:rsidRPr="00D41F68">
        <w:rPr>
          <w:rFonts w:ascii="Arial" w:hAnsi="Arial" w:cs="Arial"/>
          <w:bCs/>
          <w:sz w:val="20"/>
          <w:szCs w:val="20"/>
        </w:rPr>
        <w:t xml:space="preserve"> </w:t>
      </w:r>
      <w:r w:rsidR="00241111" w:rsidRPr="00D41F68">
        <w:rPr>
          <w:rFonts w:ascii="Arial" w:hAnsi="Arial" w:cs="Arial"/>
          <w:bCs/>
          <w:sz w:val="20"/>
          <w:szCs w:val="20"/>
        </w:rPr>
        <w:t>S</w:t>
      </w:r>
      <w:r w:rsidR="00DB2BD3" w:rsidRPr="00D41F68">
        <w:rPr>
          <w:rFonts w:ascii="Arial" w:hAnsi="Arial" w:cs="Arial"/>
          <w:bCs/>
          <w:sz w:val="20"/>
          <w:szCs w:val="20"/>
        </w:rPr>
        <w:t xml:space="preserve">erum samples were taken into </w:t>
      </w:r>
      <w:proofErr w:type="spellStart"/>
      <w:r w:rsidR="00DB2BD3" w:rsidRPr="00D41F68">
        <w:rPr>
          <w:rFonts w:ascii="Arial" w:hAnsi="Arial" w:cs="Arial"/>
          <w:bCs/>
          <w:sz w:val="20"/>
          <w:szCs w:val="20"/>
        </w:rPr>
        <w:t>eppendorf</w:t>
      </w:r>
      <w:proofErr w:type="spellEnd"/>
      <w:r w:rsidR="00DB2BD3" w:rsidRPr="00D41F68">
        <w:rPr>
          <w:rFonts w:ascii="Arial" w:hAnsi="Arial" w:cs="Arial"/>
          <w:bCs/>
          <w:sz w:val="20"/>
          <w:szCs w:val="20"/>
        </w:rPr>
        <w:t xml:space="preserve"> tubes</w:t>
      </w:r>
      <w:r w:rsidR="005A3088" w:rsidRPr="00D41F68">
        <w:rPr>
          <w:rFonts w:ascii="Arial" w:hAnsi="Arial" w:cs="Arial"/>
          <w:bCs/>
          <w:sz w:val="20"/>
          <w:szCs w:val="20"/>
        </w:rPr>
        <w:t xml:space="preserve"> </w:t>
      </w:r>
      <w:r w:rsidR="00241111" w:rsidRPr="00D41F68">
        <w:rPr>
          <w:rFonts w:ascii="Arial" w:hAnsi="Arial" w:cs="Arial"/>
          <w:bCs/>
          <w:sz w:val="20"/>
          <w:szCs w:val="20"/>
        </w:rPr>
        <w:t xml:space="preserve">after centrifugation of blood at </w:t>
      </w:r>
      <w:r w:rsidR="00A55611" w:rsidRPr="00D41F68">
        <w:rPr>
          <w:rFonts w:ascii="Arial" w:hAnsi="Arial" w:cs="Arial"/>
          <w:bCs/>
          <w:sz w:val="20"/>
          <w:szCs w:val="20"/>
        </w:rPr>
        <w:t>40</w:t>
      </w:r>
      <w:r w:rsidR="00241111" w:rsidRPr="00D41F68">
        <w:rPr>
          <w:rFonts w:ascii="Arial" w:hAnsi="Arial" w:cs="Arial"/>
          <w:bCs/>
          <w:sz w:val="20"/>
          <w:szCs w:val="20"/>
        </w:rPr>
        <w:t>00 rpm for 10 min</w:t>
      </w:r>
      <w:r w:rsidR="005625C1" w:rsidRPr="00D41F68">
        <w:rPr>
          <w:rFonts w:ascii="Arial" w:hAnsi="Arial" w:cs="Arial"/>
          <w:bCs/>
          <w:sz w:val="20"/>
          <w:szCs w:val="20"/>
        </w:rPr>
        <w:t>. Subsequently, ALP, ALT, AST</w:t>
      </w:r>
      <w:r w:rsidR="00544568" w:rsidRPr="00D41F68">
        <w:rPr>
          <w:rFonts w:ascii="Arial" w:hAnsi="Arial" w:cs="Arial"/>
          <w:bCs/>
          <w:sz w:val="20"/>
          <w:szCs w:val="20"/>
        </w:rPr>
        <w:t>, Creatinine, TP, Albumin, Cholesterol, Triglycerides, Urea, Uric acid, Glucose, Magnesium, Calcium, Phosphorous, GGT and</w:t>
      </w:r>
      <w:r w:rsidR="00254321" w:rsidRPr="00D41F68">
        <w:rPr>
          <w:rFonts w:ascii="Arial" w:hAnsi="Arial" w:cs="Arial"/>
          <w:bCs/>
          <w:sz w:val="20"/>
          <w:szCs w:val="20"/>
        </w:rPr>
        <w:t xml:space="preserve"> TAS</w:t>
      </w:r>
      <w:r w:rsidR="00544568" w:rsidRPr="00D41F68">
        <w:rPr>
          <w:rFonts w:ascii="Arial" w:hAnsi="Arial" w:cs="Arial"/>
          <w:bCs/>
          <w:sz w:val="20"/>
          <w:szCs w:val="20"/>
        </w:rPr>
        <w:t xml:space="preserve">  </w:t>
      </w:r>
      <w:r w:rsidR="005625C1" w:rsidRPr="00D41F68">
        <w:rPr>
          <w:rFonts w:ascii="Arial" w:hAnsi="Arial" w:cs="Arial"/>
          <w:bCs/>
          <w:sz w:val="20"/>
          <w:szCs w:val="20"/>
        </w:rPr>
        <w:t xml:space="preserve"> </w:t>
      </w:r>
      <w:r w:rsidR="005A3088" w:rsidRPr="00D41F68">
        <w:rPr>
          <w:rFonts w:ascii="Arial" w:hAnsi="Arial" w:cs="Arial"/>
          <w:bCs/>
          <w:sz w:val="20"/>
          <w:szCs w:val="20"/>
        </w:rPr>
        <w:t>were analysed by commercially available reagent kits through Fully Automated Biochemistry Analyzer (RANDOX- RX Monaco, United Kingdom).</w:t>
      </w:r>
    </w:p>
    <w:p w14:paraId="75E1E3F3"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 xml:space="preserve">Necropsy and organ weight </w:t>
      </w:r>
    </w:p>
    <w:p w14:paraId="75F2E7C5" w14:textId="77777777" w:rsidR="005A3088" w:rsidRPr="00D41F68" w:rsidRDefault="005A3088" w:rsidP="00EC1FFA">
      <w:pPr>
        <w:spacing w:after="0" w:line="240" w:lineRule="auto"/>
        <w:ind w:firstLine="720"/>
        <w:jc w:val="both"/>
        <w:rPr>
          <w:rFonts w:ascii="Arial" w:hAnsi="Arial" w:cs="Arial"/>
          <w:bCs/>
          <w:sz w:val="20"/>
          <w:szCs w:val="20"/>
        </w:rPr>
      </w:pPr>
      <w:r w:rsidRPr="00D41F68">
        <w:rPr>
          <w:rFonts w:ascii="Arial" w:hAnsi="Arial" w:cs="Arial"/>
          <w:bCs/>
          <w:sz w:val="20"/>
          <w:szCs w:val="20"/>
        </w:rPr>
        <w:lastRenderedPageBreak/>
        <w:t xml:space="preserve">Brain, stomach, intestines, liver, kidneys, adrenals, spleen, heart, thymus, trachea, lungs, sex organs, urinary bladder and lymph node </w:t>
      </w:r>
      <w:r w:rsidR="00FB3AD4" w:rsidRPr="00D41F68">
        <w:rPr>
          <w:rFonts w:ascii="Arial" w:hAnsi="Arial" w:cs="Arial"/>
          <w:bCs/>
          <w:sz w:val="20"/>
          <w:szCs w:val="20"/>
        </w:rPr>
        <w:t xml:space="preserve">taken at the end of the experiment were detected </w:t>
      </w:r>
      <w:r w:rsidRPr="00D41F68">
        <w:rPr>
          <w:rFonts w:ascii="Arial" w:hAnsi="Arial" w:cs="Arial"/>
          <w:bCs/>
          <w:sz w:val="20"/>
          <w:szCs w:val="20"/>
        </w:rPr>
        <w:t>in 10% neutral buffered formalin. The kidneys, lungs, heart, brain, spleen, adrenals, thymus, epididymides, testes of all survived rats were trimmed for any adherent tissue, and wet weight was taken as soon as possible after necropsy</w:t>
      </w:r>
      <w:r w:rsidR="00212DC4" w:rsidRPr="00D41F68">
        <w:rPr>
          <w:rFonts w:ascii="Arial" w:hAnsi="Arial" w:cs="Arial"/>
          <w:bCs/>
          <w:sz w:val="20"/>
          <w:szCs w:val="20"/>
        </w:rPr>
        <w:t>.</w:t>
      </w:r>
    </w:p>
    <w:p w14:paraId="02B27292"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Tissue processing and Microscopic examination</w:t>
      </w:r>
    </w:p>
    <w:p w14:paraId="12E20436" w14:textId="77777777" w:rsidR="00404245"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Fixed tissues were trimmed, labelled, and washed under running tap water for 2 hours. Dehydration was done using ascending grade (30%, 70%, 90%, and 100%) of isopropyl alcohol. The dehydrated tissues were cleared by two changes of xylene and impregnated in melted paraffin wax. The entire tissue processing was performed in an automatic tissue processor (Leica TP1020). The paraffin-impregnated tissues were embedded using the Leica EG1160 paraffin embedding station and cooled on Leica EG1150 C Cold Plate. The 4 to 5 µ thick sections were cut using Leica RM2255 fully automated rotary microtome. The sections were taken on poly-L-lysine-coated (0.1 % w/v in H2O) slides and stained with Harris' </w:t>
      </w:r>
      <w:proofErr w:type="spellStart"/>
      <w:r w:rsidRPr="00D41F68">
        <w:rPr>
          <w:rFonts w:ascii="Arial" w:hAnsi="Arial" w:cs="Arial"/>
          <w:bCs/>
          <w:sz w:val="20"/>
          <w:szCs w:val="20"/>
        </w:rPr>
        <w:t>Hematoxylin</w:t>
      </w:r>
      <w:proofErr w:type="spellEnd"/>
      <w:r w:rsidRPr="00D41F68">
        <w:rPr>
          <w:rFonts w:ascii="Arial" w:hAnsi="Arial" w:cs="Arial"/>
          <w:bCs/>
          <w:sz w:val="20"/>
          <w:szCs w:val="20"/>
        </w:rPr>
        <w:t xml:space="preserve"> and Eosin (H</w:t>
      </w:r>
      <w:r w:rsidR="00306A7B" w:rsidRPr="00D41F68">
        <w:rPr>
          <w:rFonts w:ascii="Arial" w:hAnsi="Arial" w:cs="Arial"/>
          <w:bCs/>
          <w:sz w:val="20"/>
          <w:szCs w:val="20"/>
        </w:rPr>
        <w:t xml:space="preserve"> </w:t>
      </w:r>
      <w:r w:rsidRPr="00D41F68">
        <w:rPr>
          <w:rFonts w:ascii="Arial" w:hAnsi="Arial" w:cs="Arial"/>
          <w:bCs/>
          <w:sz w:val="20"/>
          <w:szCs w:val="20"/>
        </w:rPr>
        <w:t>&amp;</w:t>
      </w:r>
      <w:r w:rsidR="00306A7B" w:rsidRPr="00D41F68">
        <w:rPr>
          <w:rFonts w:ascii="Arial" w:hAnsi="Arial" w:cs="Arial"/>
          <w:bCs/>
          <w:sz w:val="20"/>
          <w:szCs w:val="20"/>
        </w:rPr>
        <w:t xml:space="preserve"> </w:t>
      </w:r>
      <w:r w:rsidRPr="00D41F68">
        <w:rPr>
          <w:rFonts w:ascii="Arial" w:hAnsi="Arial" w:cs="Arial"/>
          <w:bCs/>
          <w:sz w:val="20"/>
          <w:szCs w:val="20"/>
        </w:rPr>
        <w:t>E</w:t>
      </w:r>
      <w:r w:rsidR="00306A7B" w:rsidRPr="00D41F68">
        <w:rPr>
          <w:rFonts w:ascii="Arial" w:hAnsi="Arial" w:cs="Arial"/>
          <w:bCs/>
          <w:sz w:val="20"/>
          <w:szCs w:val="20"/>
        </w:rPr>
        <w:t xml:space="preserve"> </w:t>
      </w:r>
      <w:r w:rsidRPr="00D41F68">
        <w:rPr>
          <w:rFonts w:ascii="Arial" w:hAnsi="Arial" w:cs="Arial"/>
          <w:bCs/>
          <w:sz w:val="20"/>
          <w:szCs w:val="20"/>
        </w:rPr>
        <w:t xml:space="preserve">stain). The sections were deparaffinised by xylene, rehydrated through descending grade of isopropyl alcohol and water. The hydrated tissue sections were stained with </w:t>
      </w:r>
      <w:proofErr w:type="spellStart"/>
      <w:r w:rsidRPr="00D41F68">
        <w:rPr>
          <w:rFonts w:ascii="Arial" w:hAnsi="Arial" w:cs="Arial"/>
          <w:bCs/>
          <w:sz w:val="20"/>
          <w:szCs w:val="20"/>
        </w:rPr>
        <w:t>hematoxylin</w:t>
      </w:r>
      <w:proofErr w:type="spellEnd"/>
      <w:r w:rsidRPr="00D41F68">
        <w:rPr>
          <w:rFonts w:ascii="Arial" w:hAnsi="Arial" w:cs="Arial"/>
          <w:bCs/>
          <w:sz w:val="20"/>
          <w:szCs w:val="20"/>
        </w:rPr>
        <w:t xml:space="preserve">, differentiated in acid alcohol and blueing was carried out by ammonia water. Then tissue sections were stained with eosin, dehydrated with absolute isopropyl alcohol, followed by xylene wash, and mounted with DPX </w:t>
      </w:r>
      <w:r w:rsidR="00963464" w:rsidRPr="00D41F68">
        <w:rPr>
          <w:rFonts w:ascii="Arial" w:hAnsi="Arial" w:cs="Arial"/>
          <w:bCs/>
          <w:sz w:val="20"/>
          <w:szCs w:val="20"/>
        </w:rPr>
        <w:t>(</w:t>
      </w:r>
      <w:r w:rsidR="003711F2" w:rsidRPr="00D41F68">
        <w:rPr>
          <w:rFonts w:ascii="Arial" w:hAnsi="Arial" w:cs="Arial"/>
          <w:bCs/>
          <w:sz w:val="20"/>
          <w:szCs w:val="20"/>
        </w:rPr>
        <w:t>Luna, 1968; Suvarna et al., 2012)</w:t>
      </w:r>
      <w:r w:rsidRPr="00D41F68">
        <w:rPr>
          <w:rFonts w:ascii="Arial" w:hAnsi="Arial" w:cs="Arial"/>
          <w:bCs/>
          <w:sz w:val="20"/>
          <w:szCs w:val="20"/>
        </w:rPr>
        <w:t>.</w:t>
      </w:r>
      <w:r w:rsidR="00306A7B" w:rsidRPr="00D41F68">
        <w:rPr>
          <w:rFonts w:ascii="Arial" w:hAnsi="Arial" w:cs="Arial"/>
          <w:bCs/>
          <w:sz w:val="20"/>
          <w:szCs w:val="20"/>
        </w:rPr>
        <w:t xml:space="preserve"> </w:t>
      </w:r>
      <w:r w:rsidRPr="00D41F68">
        <w:rPr>
          <w:rFonts w:ascii="Arial" w:hAnsi="Arial" w:cs="Arial"/>
          <w:bCs/>
          <w:sz w:val="20"/>
          <w:szCs w:val="20"/>
        </w:rPr>
        <w:t>The entire staining was performed in Gemini AS Automated Slide Stainer, (</w:t>
      </w:r>
      <w:proofErr w:type="spellStart"/>
      <w:r w:rsidRPr="00D41F68">
        <w:rPr>
          <w:rFonts w:ascii="Arial" w:hAnsi="Arial" w:cs="Arial"/>
          <w:bCs/>
          <w:sz w:val="20"/>
          <w:szCs w:val="20"/>
        </w:rPr>
        <w:t>Thermo</w:t>
      </w:r>
      <w:proofErr w:type="spellEnd"/>
      <w:r w:rsidRPr="00D41F68">
        <w:rPr>
          <w:rFonts w:ascii="Arial" w:hAnsi="Arial" w:cs="Arial"/>
          <w:bCs/>
          <w:sz w:val="20"/>
          <w:szCs w:val="20"/>
        </w:rPr>
        <w:t xml:space="preserve"> Scientific).</w:t>
      </w:r>
      <w:r w:rsidR="001C18B7" w:rsidRPr="00D41F68">
        <w:rPr>
          <w:rFonts w:ascii="Arial" w:hAnsi="Arial" w:cs="Arial"/>
          <w:bCs/>
          <w:sz w:val="20"/>
          <w:szCs w:val="20"/>
        </w:rPr>
        <w:t xml:space="preserve"> </w:t>
      </w:r>
      <w:r w:rsidR="00EF1D8C" w:rsidRPr="00D41F68">
        <w:rPr>
          <w:rFonts w:ascii="Arial" w:hAnsi="Arial" w:cs="Arial"/>
          <w:bCs/>
          <w:sz w:val="20"/>
          <w:szCs w:val="20"/>
        </w:rPr>
        <w:t xml:space="preserve">After staining, slide </w:t>
      </w:r>
      <w:proofErr w:type="spellStart"/>
      <w:r w:rsidR="00EF1D8C" w:rsidRPr="00D41F68">
        <w:rPr>
          <w:rFonts w:ascii="Arial" w:hAnsi="Arial" w:cs="Arial"/>
          <w:bCs/>
          <w:sz w:val="20"/>
          <w:szCs w:val="20"/>
        </w:rPr>
        <w:t>a</w:t>
      </w:r>
      <w:r w:rsidR="00404245" w:rsidRPr="00D41F68">
        <w:rPr>
          <w:rFonts w:ascii="Arial" w:hAnsi="Arial" w:cs="Arial"/>
          <w:bCs/>
          <w:sz w:val="20"/>
          <w:szCs w:val="20"/>
        </w:rPr>
        <w:t>nalyzes</w:t>
      </w:r>
      <w:proofErr w:type="spellEnd"/>
      <w:r w:rsidR="00404245" w:rsidRPr="00D41F68">
        <w:rPr>
          <w:rFonts w:ascii="Arial" w:hAnsi="Arial" w:cs="Arial"/>
          <w:bCs/>
          <w:sz w:val="20"/>
          <w:szCs w:val="20"/>
        </w:rPr>
        <w:t xml:space="preserve"> were performed using </w:t>
      </w:r>
      <w:r w:rsidR="00EF1D8C" w:rsidRPr="00D41F68">
        <w:rPr>
          <w:rFonts w:ascii="Arial" w:hAnsi="Arial" w:cs="Arial"/>
          <w:bCs/>
          <w:sz w:val="20"/>
          <w:szCs w:val="20"/>
        </w:rPr>
        <w:t>Zeiss microscope ax10 Lab A1</w:t>
      </w:r>
      <w:r w:rsidR="00404245" w:rsidRPr="00D41F68">
        <w:rPr>
          <w:rFonts w:ascii="Arial" w:hAnsi="Arial" w:cs="Arial"/>
          <w:bCs/>
          <w:sz w:val="20"/>
          <w:szCs w:val="20"/>
        </w:rPr>
        <w:t>.</w:t>
      </w:r>
      <w:r w:rsidR="00180DFE" w:rsidRPr="00D41F68">
        <w:rPr>
          <w:rFonts w:ascii="Arial" w:hAnsi="Arial" w:cs="Arial"/>
          <w:bCs/>
          <w:sz w:val="20"/>
          <w:szCs w:val="20"/>
        </w:rPr>
        <w:t xml:space="preserve"> Damage, according to its severity, ten randomly selected areas were evaluated, scoring 0 (no change), 1 (</w:t>
      </w:r>
      <w:r w:rsidR="00634C9E" w:rsidRPr="00D41F68">
        <w:rPr>
          <w:rFonts w:ascii="Arial" w:hAnsi="Arial" w:cs="Arial"/>
          <w:bCs/>
          <w:sz w:val="20"/>
          <w:szCs w:val="20"/>
        </w:rPr>
        <w:t xml:space="preserve">minimal </w:t>
      </w:r>
      <w:r w:rsidR="00180DFE" w:rsidRPr="00D41F68">
        <w:rPr>
          <w:rFonts w:ascii="Arial" w:hAnsi="Arial" w:cs="Arial"/>
          <w:bCs/>
          <w:sz w:val="20"/>
          <w:szCs w:val="20"/>
        </w:rPr>
        <w:t>injury), 2 (</w:t>
      </w:r>
      <w:r w:rsidR="00634C9E" w:rsidRPr="00D41F68">
        <w:rPr>
          <w:rFonts w:ascii="Arial" w:hAnsi="Arial" w:cs="Arial"/>
          <w:bCs/>
          <w:sz w:val="20"/>
          <w:szCs w:val="20"/>
        </w:rPr>
        <w:t>mild injury),</w:t>
      </w:r>
      <w:r w:rsidR="00180DFE" w:rsidRPr="00D41F68">
        <w:rPr>
          <w:rFonts w:ascii="Arial" w:hAnsi="Arial" w:cs="Arial"/>
          <w:bCs/>
          <w:sz w:val="20"/>
          <w:szCs w:val="20"/>
        </w:rPr>
        <w:t xml:space="preserve"> 3 (</w:t>
      </w:r>
      <w:r w:rsidR="00634C9E" w:rsidRPr="00D41F68">
        <w:rPr>
          <w:rFonts w:ascii="Arial" w:hAnsi="Arial" w:cs="Arial"/>
          <w:bCs/>
          <w:sz w:val="20"/>
          <w:szCs w:val="20"/>
        </w:rPr>
        <w:t xml:space="preserve">moderate </w:t>
      </w:r>
      <w:r w:rsidR="00180DFE" w:rsidRPr="00D41F68">
        <w:rPr>
          <w:rFonts w:ascii="Arial" w:hAnsi="Arial" w:cs="Arial"/>
          <w:bCs/>
          <w:sz w:val="20"/>
          <w:szCs w:val="20"/>
        </w:rPr>
        <w:t>severe injury)</w:t>
      </w:r>
      <w:r w:rsidR="00634C9E" w:rsidRPr="00D41F68">
        <w:rPr>
          <w:rFonts w:ascii="Arial" w:hAnsi="Arial" w:cs="Arial"/>
          <w:bCs/>
          <w:sz w:val="20"/>
          <w:szCs w:val="20"/>
        </w:rPr>
        <w:t xml:space="preserve"> and 4 (severe injury)</w:t>
      </w:r>
      <w:r w:rsidR="00180DFE" w:rsidRPr="00D41F68">
        <w:rPr>
          <w:rFonts w:ascii="Arial" w:hAnsi="Arial" w:cs="Arial"/>
          <w:bCs/>
          <w:sz w:val="20"/>
          <w:szCs w:val="20"/>
        </w:rPr>
        <w:t>.</w:t>
      </w:r>
    </w:p>
    <w:p w14:paraId="03C855CD" w14:textId="77777777" w:rsidR="005A3088" w:rsidRPr="00EC1FFA" w:rsidRDefault="005A3088" w:rsidP="00D41F68">
      <w:pPr>
        <w:spacing w:before="240" w:after="0" w:line="480" w:lineRule="auto"/>
        <w:jc w:val="both"/>
        <w:rPr>
          <w:rFonts w:ascii="Arial" w:eastAsia="Times New Roman" w:hAnsi="Arial" w:cs="Arial"/>
          <w:b/>
          <w:bCs/>
          <w:lang w:val="en-US"/>
        </w:rPr>
      </w:pPr>
      <w:r w:rsidRPr="00EC1FFA">
        <w:rPr>
          <w:rFonts w:ascii="Arial" w:eastAsia="Times New Roman" w:hAnsi="Arial" w:cs="Arial"/>
          <w:b/>
          <w:bCs/>
          <w:lang w:val="en-US"/>
        </w:rPr>
        <w:t>Statistical Analysis</w:t>
      </w:r>
    </w:p>
    <w:p w14:paraId="37905D35" w14:textId="77777777" w:rsidR="005A3088" w:rsidRPr="00D41F68" w:rsidRDefault="005A3088" w:rsidP="00D41F68">
      <w:pPr>
        <w:spacing w:after="0" w:line="240" w:lineRule="auto"/>
        <w:ind w:firstLine="720"/>
        <w:jc w:val="both"/>
        <w:rPr>
          <w:rFonts w:ascii="Arial" w:hAnsi="Arial" w:cs="Arial"/>
          <w:bCs/>
          <w:sz w:val="20"/>
          <w:szCs w:val="20"/>
        </w:rPr>
      </w:pPr>
      <w:r w:rsidRPr="00D41F68">
        <w:rPr>
          <w:rFonts w:ascii="Arial" w:hAnsi="Arial" w:cs="Arial"/>
          <w:bCs/>
          <w:sz w:val="20"/>
          <w:szCs w:val="20"/>
        </w:rPr>
        <w:t xml:space="preserve">The data generated on various parameters like; haematological, biochemical absolute and relative organs weight were </w:t>
      </w:r>
      <w:proofErr w:type="spellStart"/>
      <w:r w:rsidRPr="00D41F68">
        <w:rPr>
          <w:rFonts w:ascii="Arial" w:hAnsi="Arial" w:cs="Arial"/>
          <w:bCs/>
          <w:sz w:val="20"/>
          <w:szCs w:val="20"/>
        </w:rPr>
        <w:t>analyzed</w:t>
      </w:r>
      <w:proofErr w:type="spellEnd"/>
      <w:r w:rsidRPr="00D41F68">
        <w:rPr>
          <w:rFonts w:ascii="Arial" w:hAnsi="Arial" w:cs="Arial"/>
          <w:bCs/>
          <w:sz w:val="20"/>
          <w:szCs w:val="20"/>
        </w:rPr>
        <w:t xml:space="preserve"> by using Analysis of variance (AOV) procedure of R program (2020) software (version 3.6.3)</w:t>
      </w:r>
      <w:r w:rsidR="00D65104" w:rsidRPr="00D41F68">
        <w:rPr>
          <w:rFonts w:ascii="Arial" w:hAnsi="Arial" w:cs="Arial"/>
          <w:bCs/>
          <w:sz w:val="20"/>
          <w:szCs w:val="20"/>
        </w:rPr>
        <w:t xml:space="preserve"> </w:t>
      </w:r>
      <w:r w:rsidRPr="00D41F68">
        <w:rPr>
          <w:rFonts w:ascii="Arial" w:hAnsi="Arial" w:cs="Arial"/>
          <w:bCs/>
          <w:sz w:val="20"/>
          <w:szCs w:val="20"/>
        </w:rPr>
        <w:t>to know the effect of different treatment groups</w:t>
      </w:r>
      <w:r w:rsidR="00620D27" w:rsidRPr="00D41F68">
        <w:rPr>
          <w:rFonts w:ascii="Arial" w:hAnsi="Arial" w:cs="Arial"/>
          <w:bCs/>
          <w:sz w:val="20"/>
          <w:szCs w:val="20"/>
        </w:rPr>
        <w:t xml:space="preserve"> (</w:t>
      </w:r>
      <w:r w:rsidR="00D65104" w:rsidRPr="00D41F68">
        <w:rPr>
          <w:rFonts w:ascii="Arial" w:hAnsi="Arial" w:cs="Arial"/>
          <w:bCs/>
          <w:sz w:val="20"/>
          <w:szCs w:val="20"/>
        </w:rPr>
        <w:t>R Core Team. 2020)</w:t>
      </w:r>
      <w:r w:rsidRPr="00D41F68">
        <w:rPr>
          <w:rFonts w:ascii="Arial" w:hAnsi="Arial" w:cs="Arial"/>
          <w:bCs/>
          <w:sz w:val="20"/>
          <w:szCs w:val="20"/>
        </w:rPr>
        <w:t xml:space="preserve">. Further, the data pertaining to body weight was </w:t>
      </w:r>
      <w:proofErr w:type="spellStart"/>
      <w:r w:rsidRPr="00D41F68">
        <w:rPr>
          <w:rFonts w:ascii="Arial" w:hAnsi="Arial" w:cs="Arial"/>
          <w:bCs/>
          <w:sz w:val="20"/>
          <w:szCs w:val="20"/>
        </w:rPr>
        <w:t>analyzed</w:t>
      </w:r>
      <w:proofErr w:type="spellEnd"/>
      <w:r w:rsidRPr="00D41F68">
        <w:rPr>
          <w:rFonts w:ascii="Arial" w:hAnsi="Arial" w:cs="Arial"/>
          <w:bCs/>
          <w:sz w:val="20"/>
          <w:szCs w:val="20"/>
        </w:rPr>
        <w:t xml:space="preserve"> using </w:t>
      </w:r>
      <w:proofErr w:type="gramStart"/>
      <w:r w:rsidRPr="00D41F68">
        <w:rPr>
          <w:rFonts w:ascii="Arial" w:hAnsi="Arial" w:cs="Arial"/>
          <w:bCs/>
          <w:sz w:val="20"/>
          <w:szCs w:val="20"/>
        </w:rPr>
        <w:t>two way</w:t>
      </w:r>
      <w:proofErr w:type="gramEnd"/>
      <w:r w:rsidRPr="00D41F68">
        <w:rPr>
          <w:rFonts w:ascii="Arial" w:hAnsi="Arial" w:cs="Arial"/>
          <w:bCs/>
          <w:sz w:val="20"/>
          <w:szCs w:val="20"/>
        </w:rPr>
        <w:t xml:space="preserve"> ANOVA with terms for the group and time interval.</w:t>
      </w:r>
    </w:p>
    <w:p w14:paraId="38549BE3" w14:textId="77777777" w:rsidR="005A3088" w:rsidRPr="00D41F68" w:rsidRDefault="005A3088" w:rsidP="00D41F68">
      <w:pPr>
        <w:pStyle w:val="ListParagraph"/>
        <w:numPr>
          <w:ilvl w:val="0"/>
          <w:numId w:val="8"/>
        </w:numPr>
        <w:spacing w:before="240" w:after="0" w:line="480" w:lineRule="auto"/>
        <w:jc w:val="both"/>
        <w:rPr>
          <w:rFonts w:ascii="Arial" w:eastAsia="Times New Roman" w:hAnsi="Arial" w:cs="Arial"/>
          <w:b/>
          <w:caps/>
          <w:szCs w:val="20"/>
          <w:lang w:val="en-US" w:bidi="ar-SA"/>
        </w:rPr>
      </w:pPr>
      <w:r w:rsidRPr="00D41F68">
        <w:rPr>
          <w:rFonts w:ascii="Arial" w:eastAsia="Times New Roman" w:hAnsi="Arial" w:cs="Arial"/>
          <w:b/>
          <w:caps/>
          <w:szCs w:val="20"/>
          <w:lang w:val="en-US" w:bidi="ar-SA"/>
        </w:rPr>
        <w:t>RESULTS</w:t>
      </w:r>
    </w:p>
    <w:p w14:paraId="20ED20F1"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 xml:space="preserve">Clinical signs </w:t>
      </w:r>
    </w:p>
    <w:p w14:paraId="44159059" w14:textId="77777777" w:rsidR="005A3088" w:rsidRPr="00D41F68" w:rsidRDefault="005A3088" w:rsidP="00D41F68">
      <w:pPr>
        <w:spacing w:after="0" w:line="240" w:lineRule="auto"/>
        <w:ind w:firstLine="720"/>
        <w:jc w:val="both"/>
        <w:rPr>
          <w:rFonts w:ascii="Arial" w:hAnsi="Arial" w:cs="Arial"/>
          <w:bCs/>
          <w:sz w:val="20"/>
          <w:szCs w:val="20"/>
        </w:rPr>
      </w:pPr>
      <w:commentRangeStart w:id="2"/>
      <w:r w:rsidRPr="00D41F68">
        <w:rPr>
          <w:rFonts w:ascii="Arial" w:hAnsi="Arial" w:cs="Arial"/>
          <w:bCs/>
          <w:sz w:val="20"/>
          <w:szCs w:val="20"/>
        </w:rPr>
        <w:t>The Group II female rats showed decreased food intake, dehydration, weakness, mild diarrhoea, weight loss, tremor, rolling and head tilt 15th day and onward. Group IV female rats showed minimal lethargy, weakness, dehydration, mild diarrhoea, weight loss and tremor 18th day and onward. In the present study, no mortality was noted in all Groups throughout the 28 days study period.</w:t>
      </w:r>
      <w:commentRangeEnd w:id="2"/>
      <w:r w:rsidR="006E5422">
        <w:rPr>
          <w:rStyle w:val="CommentReference"/>
        </w:rPr>
        <w:commentReference w:id="2"/>
      </w:r>
    </w:p>
    <w:p w14:paraId="0A4F7529"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Body weight</w:t>
      </w:r>
    </w:p>
    <w:p w14:paraId="254E5CAB" w14:textId="77777777" w:rsidR="005A3088" w:rsidRPr="00D41F68" w:rsidRDefault="005A3088" w:rsidP="00D41F68">
      <w:pPr>
        <w:spacing w:before="240" w:after="0" w:line="240" w:lineRule="auto"/>
        <w:ind w:firstLine="720"/>
        <w:jc w:val="both"/>
        <w:rPr>
          <w:rFonts w:ascii="Arial" w:hAnsi="Arial" w:cs="Arial"/>
          <w:bCs/>
          <w:sz w:val="20"/>
          <w:szCs w:val="20"/>
        </w:rPr>
      </w:pPr>
      <w:r w:rsidRPr="00D41F68">
        <w:rPr>
          <w:rFonts w:ascii="Arial" w:hAnsi="Arial" w:cs="Arial"/>
          <w:bCs/>
          <w:sz w:val="20"/>
          <w:szCs w:val="20"/>
        </w:rPr>
        <w:t xml:space="preserve">The </w:t>
      </w:r>
      <w:r w:rsidR="008A5533" w:rsidRPr="00D41F68">
        <w:rPr>
          <w:rFonts w:ascii="Arial" w:hAnsi="Arial" w:cs="Arial"/>
          <w:bCs/>
          <w:sz w:val="20"/>
          <w:szCs w:val="20"/>
        </w:rPr>
        <w:t xml:space="preserve">statistically </w:t>
      </w:r>
      <w:r w:rsidRPr="00D41F68">
        <w:rPr>
          <w:rFonts w:ascii="Arial" w:hAnsi="Arial" w:cs="Arial"/>
          <w:bCs/>
          <w:sz w:val="20"/>
          <w:szCs w:val="20"/>
        </w:rPr>
        <w:t xml:space="preserve">significant </w:t>
      </w:r>
      <w:r w:rsidR="00FB47BE" w:rsidRPr="00D41F68">
        <w:rPr>
          <w:rFonts w:ascii="Arial" w:hAnsi="Arial" w:cs="Arial"/>
          <w:bCs/>
          <w:sz w:val="20"/>
          <w:szCs w:val="20"/>
        </w:rPr>
        <w:t xml:space="preserve">(p &gt; 0.05) </w:t>
      </w:r>
      <w:r w:rsidRPr="00D41F68">
        <w:rPr>
          <w:rFonts w:ascii="Arial" w:hAnsi="Arial" w:cs="Arial"/>
          <w:bCs/>
          <w:sz w:val="20"/>
          <w:szCs w:val="20"/>
        </w:rPr>
        <w:t>reduction in body weight was observed in Group II female rats at 28th day of experiment as compared to Group I, III and IV female rats</w:t>
      </w:r>
      <w:r w:rsidR="008A5533" w:rsidRPr="00D41F68">
        <w:rPr>
          <w:rFonts w:ascii="Arial" w:hAnsi="Arial" w:cs="Arial"/>
          <w:bCs/>
          <w:sz w:val="20"/>
          <w:szCs w:val="20"/>
        </w:rPr>
        <w:t xml:space="preserve"> (Table </w:t>
      </w:r>
      <w:r w:rsidR="00DC7CEB" w:rsidRPr="00D41F68">
        <w:rPr>
          <w:rFonts w:ascii="Arial" w:hAnsi="Arial" w:cs="Arial"/>
          <w:bCs/>
          <w:sz w:val="20"/>
          <w:szCs w:val="20"/>
        </w:rPr>
        <w:t>I</w:t>
      </w:r>
      <w:r w:rsidR="008A5533" w:rsidRPr="00D41F68">
        <w:rPr>
          <w:rFonts w:ascii="Arial" w:hAnsi="Arial" w:cs="Arial"/>
          <w:bCs/>
          <w:sz w:val="20"/>
          <w:szCs w:val="20"/>
        </w:rPr>
        <w:t>)</w:t>
      </w:r>
      <w:r w:rsidRPr="00D41F68">
        <w:rPr>
          <w:rFonts w:ascii="Arial" w:hAnsi="Arial" w:cs="Arial"/>
          <w:bCs/>
          <w:sz w:val="20"/>
          <w:szCs w:val="20"/>
        </w:rPr>
        <w:t>.</w:t>
      </w:r>
    </w:p>
    <w:p w14:paraId="4A45DD7E" w14:textId="77777777" w:rsidR="005A3088" w:rsidRPr="00D41F68" w:rsidRDefault="00FB79A9" w:rsidP="00D41F68">
      <w:pPr>
        <w:pStyle w:val="BodyText"/>
        <w:spacing w:before="240" w:after="0" w:line="480" w:lineRule="auto"/>
        <w:ind w:right="-1415"/>
        <w:rPr>
          <w:rFonts w:ascii="Arial" w:eastAsia="Times New Roman" w:hAnsi="Arial"/>
          <w:b/>
          <w:kern w:val="0"/>
          <w:sz w:val="20"/>
          <w:szCs w:val="20"/>
          <w:lang w:val="en-US"/>
        </w:rPr>
      </w:pPr>
      <w:r w:rsidRPr="00D41F68">
        <w:rPr>
          <w:rFonts w:ascii="Arial" w:eastAsia="Times New Roman" w:hAnsi="Arial"/>
          <w:b/>
          <w:kern w:val="0"/>
          <w:sz w:val="20"/>
          <w:szCs w:val="20"/>
          <w:lang w:val="en-US"/>
        </w:rPr>
        <w:t xml:space="preserve">Table </w:t>
      </w:r>
      <w:r w:rsidR="00DC7CEB" w:rsidRPr="00D41F68">
        <w:rPr>
          <w:rFonts w:ascii="Arial" w:eastAsia="Times New Roman" w:hAnsi="Arial"/>
          <w:b/>
          <w:kern w:val="0"/>
          <w:sz w:val="20"/>
          <w:szCs w:val="20"/>
          <w:lang w:val="en-US"/>
        </w:rPr>
        <w:t>I</w:t>
      </w:r>
      <w:r w:rsidR="005A3088" w:rsidRPr="00D41F68">
        <w:rPr>
          <w:rFonts w:ascii="Arial" w:eastAsia="Times New Roman" w:hAnsi="Arial"/>
          <w:b/>
          <w:kern w:val="0"/>
          <w:sz w:val="20"/>
          <w:szCs w:val="20"/>
          <w:lang w:val="en-US"/>
        </w:rPr>
        <w:t xml:space="preserve">: Effect of Indoxacarb and vitamin C on weekly body weight (Mean ± SD, n=5, gm) </w:t>
      </w:r>
    </w:p>
    <w:p w14:paraId="754F0EA6" w14:textId="77777777" w:rsidR="005A3088" w:rsidRPr="00D41F68" w:rsidRDefault="005A3088" w:rsidP="001E4AD7">
      <w:pPr>
        <w:pStyle w:val="BodyText"/>
        <w:spacing w:after="0" w:line="480" w:lineRule="auto"/>
        <w:ind w:left="900" w:right="-1415"/>
        <w:rPr>
          <w:rFonts w:ascii="Arial" w:eastAsia="Times New Roman" w:hAnsi="Arial"/>
          <w:b/>
          <w:kern w:val="0"/>
          <w:sz w:val="20"/>
          <w:szCs w:val="20"/>
          <w:lang w:val="en-US"/>
        </w:rPr>
      </w:pPr>
      <w:r w:rsidRPr="00D41F68">
        <w:rPr>
          <w:rFonts w:ascii="Arial" w:eastAsia="Times New Roman" w:hAnsi="Arial"/>
          <w:b/>
          <w:kern w:val="0"/>
          <w:sz w:val="20"/>
          <w:szCs w:val="20"/>
          <w:lang w:val="en-US"/>
        </w:rPr>
        <w:t>in female rats after daily oral administration for 28 days</w:t>
      </w:r>
    </w:p>
    <w:tbl>
      <w:tblPr>
        <w:tblStyle w:val="TableGrid"/>
        <w:tblpPr w:leftFromText="180" w:rightFromText="180" w:vertAnchor="text" w:horzAnchor="margin" w:tblpY="162"/>
        <w:tblOverlap w:val="never"/>
        <w:tblW w:w="5000" w:type="pct"/>
        <w:tblLook w:val="04A0" w:firstRow="1" w:lastRow="0" w:firstColumn="1" w:lastColumn="0" w:noHBand="0" w:noVBand="1"/>
      </w:tblPr>
      <w:tblGrid>
        <w:gridCol w:w="894"/>
        <w:gridCol w:w="1702"/>
        <w:gridCol w:w="1657"/>
        <w:gridCol w:w="1661"/>
        <w:gridCol w:w="1798"/>
        <w:gridCol w:w="1304"/>
      </w:tblGrid>
      <w:tr w:rsidR="00780BA1" w:rsidRPr="006F74FE" w14:paraId="2AA50BA2" w14:textId="77777777" w:rsidTr="00780BA1">
        <w:trPr>
          <w:trHeight w:val="669"/>
        </w:trPr>
        <w:tc>
          <w:tcPr>
            <w:tcW w:w="496" w:type="pct"/>
          </w:tcPr>
          <w:p w14:paraId="74F1FB60"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Day</w:t>
            </w:r>
          </w:p>
          <w:p w14:paraId="0245827F"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p>
        </w:tc>
        <w:tc>
          <w:tcPr>
            <w:tcW w:w="944" w:type="pct"/>
          </w:tcPr>
          <w:p w14:paraId="3FABF5EA"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w:t>
            </w:r>
          </w:p>
          <w:p w14:paraId="4305D931"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lang w:val="en-US"/>
              </w:rPr>
            </w:pPr>
            <w:proofErr w:type="gramStart"/>
            <w:r w:rsidRPr="00D41F68">
              <w:rPr>
                <w:rFonts w:ascii="Arial" w:eastAsia="Andale Sans UI" w:hAnsi="Arial" w:cs="Arial"/>
                <w:b/>
                <w:kern w:val="1"/>
                <w:sz w:val="18"/>
                <w:szCs w:val="18"/>
              </w:rPr>
              <w:t>(</w:t>
            </w:r>
            <w:r w:rsidRPr="00D41F68">
              <w:rPr>
                <w:rFonts w:ascii="Arial" w:eastAsia="Andale Sans UI" w:hAnsi="Arial" w:cs="Arial"/>
                <w:kern w:val="24"/>
                <w:sz w:val="18"/>
                <w:szCs w:val="18"/>
              </w:rPr>
              <w:t xml:space="preserve"> </w:t>
            </w:r>
            <w:r w:rsidRPr="00D41F68">
              <w:rPr>
                <w:rFonts w:ascii="Arial" w:eastAsia="Andale Sans UI" w:hAnsi="Arial" w:cs="Arial"/>
                <w:b/>
                <w:kern w:val="1"/>
                <w:sz w:val="18"/>
                <w:szCs w:val="18"/>
              </w:rPr>
              <w:t>CMC</w:t>
            </w:r>
            <w:proofErr w:type="gramEnd"/>
            <w:r w:rsidRPr="00D41F68">
              <w:rPr>
                <w:rFonts w:ascii="Arial" w:eastAsia="Andale Sans UI" w:hAnsi="Arial" w:cs="Arial"/>
                <w:b/>
                <w:kern w:val="1"/>
                <w:sz w:val="18"/>
                <w:szCs w:val="18"/>
                <w:lang w:val="en-US"/>
              </w:rPr>
              <w:t xml:space="preserve"> )</w:t>
            </w:r>
          </w:p>
        </w:tc>
        <w:tc>
          <w:tcPr>
            <w:tcW w:w="919" w:type="pct"/>
          </w:tcPr>
          <w:p w14:paraId="526A0CB5"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II</w:t>
            </w:r>
          </w:p>
          <w:p w14:paraId="497668C6"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w:t>
            </w:r>
            <w:r w:rsidRPr="00D41F68">
              <w:rPr>
                <w:rFonts w:ascii="Arial" w:eastAsia="Andale Sans UI" w:hAnsi="Arial" w:cs="Arial"/>
                <w:b/>
                <w:kern w:val="1"/>
                <w:sz w:val="18"/>
                <w:szCs w:val="18"/>
                <w:lang w:val="en-US"/>
              </w:rPr>
              <w:t>Indoxacarb</w:t>
            </w:r>
            <w:r w:rsidRPr="00D41F68">
              <w:rPr>
                <w:rFonts w:ascii="Arial" w:eastAsia="Andale Sans UI" w:hAnsi="Arial" w:cs="Arial"/>
                <w:b/>
                <w:kern w:val="1"/>
                <w:sz w:val="18"/>
                <w:szCs w:val="18"/>
              </w:rPr>
              <w:t>)</w:t>
            </w:r>
          </w:p>
        </w:tc>
        <w:tc>
          <w:tcPr>
            <w:tcW w:w="921" w:type="pct"/>
          </w:tcPr>
          <w:p w14:paraId="5E9E58C8"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III</w:t>
            </w:r>
          </w:p>
          <w:p w14:paraId="7BC0DD39"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lang w:val="en-US"/>
              </w:rPr>
            </w:pPr>
            <w:proofErr w:type="gramStart"/>
            <w:r w:rsidRPr="00D41F68">
              <w:rPr>
                <w:rFonts w:ascii="Arial" w:eastAsia="Andale Sans UI" w:hAnsi="Arial" w:cs="Arial"/>
                <w:b/>
                <w:kern w:val="1"/>
                <w:sz w:val="18"/>
                <w:szCs w:val="18"/>
              </w:rPr>
              <w:t>(</w:t>
            </w:r>
            <w:r w:rsidRPr="00D41F68">
              <w:rPr>
                <w:rFonts w:ascii="Arial" w:eastAsia="Andale Sans UI" w:hAnsi="Arial" w:cs="Arial"/>
                <w:kern w:val="24"/>
                <w:sz w:val="18"/>
                <w:szCs w:val="18"/>
              </w:rPr>
              <w:t xml:space="preserve"> </w:t>
            </w:r>
            <w:r w:rsidRPr="00D41F68">
              <w:rPr>
                <w:rFonts w:ascii="Arial" w:eastAsia="Andale Sans UI" w:hAnsi="Arial" w:cs="Arial"/>
                <w:b/>
                <w:kern w:val="1"/>
                <w:sz w:val="18"/>
                <w:szCs w:val="18"/>
              </w:rPr>
              <w:t>Vitamin</w:t>
            </w:r>
            <w:proofErr w:type="gramEnd"/>
            <w:r w:rsidRPr="00D41F68">
              <w:rPr>
                <w:rFonts w:ascii="Arial" w:eastAsia="Andale Sans UI" w:hAnsi="Arial" w:cs="Arial"/>
                <w:b/>
                <w:kern w:val="1"/>
                <w:sz w:val="18"/>
                <w:szCs w:val="18"/>
              </w:rPr>
              <w:t xml:space="preserve"> C)</w:t>
            </w:r>
          </w:p>
        </w:tc>
        <w:tc>
          <w:tcPr>
            <w:tcW w:w="997" w:type="pct"/>
          </w:tcPr>
          <w:p w14:paraId="30F3DB7A"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eastAsia="Andale Sans UI" w:hAnsi="Arial" w:cs="Arial"/>
                <w:b/>
                <w:kern w:val="1"/>
                <w:sz w:val="18"/>
                <w:szCs w:val="18"/>
              </w:rPr>
              <w:t>Group IV</w:t>
            </w:r>
          </w:p>
          <w:p w14:paraId="1637B642"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lang w:val="en-US"/>
              </w:rPr>
            </w:pPr>
            <w:proofErr w:type="gramStart"/>
            <w:r w:rsidRPr="00D41F68">
              <w:rPr>
                <w:rFonts w:ascii="Arial" w:eastAsia="Andale Sans UI" w:hAnsi="Arial" w:cs="Arial"/>
                <w:b/>
                <w:kern w:val="1"/>
                <w:sz w:val="18"/>
                <w:szCs w:val="18"/>
              </w:rPr>
              <w:t>(</w:t>
            </w:r>
            <w:r w:rsidRPr="00D41F68">
              <w:rPr>
                <w:rFonts w:ascii="Arial" w:eastAsia="Andale Sans UI" w:hAnsi="Arial" w:cs="Arial"/>
                <w:kern w:val="24"/>
                <w:sz w:val="18"/>
                <w:szCs w:val="18"/>
              </w:rPr>
              <w:t xml:space="preserve"> </w:t>
            </w:r>
            <w:r w:rsidRPr="00D41F68">
              <w:rPr>
                <w:rFonts w:ascii="Arial" w:eastAsia="Andale Sans UI" w:hAnsi="Arial" w:cs="Arial"/>
                <w:b/>
                <w:kern w:val="1"/>
                <w:sz w:val="18"/>
                <w:szCs w:val="18"/>
              </w:rPr>
              <w:t>IND</w:t>
            </w:r>
            <w:proofErr w:type="gramEnd"/>
            <w:r w:rsidRPr="00D41F68">
              <w:rPr>
                <w:rFonts w:ascii="Arial" w:eastAsia="Andale Sans UI" w:hAnsi="Arial" w:cs="Arial"/>
                <w:b/>
                <w:kern w:val="1"/>
                <w:sz w:val="18"/>
                <w:szCs w:val="18"/>
              </w:rPr>
              <w:t xml:space="preserve"> + VIT-</w:t>
            </w:r>
            <w:proofErr w:type="gramStart"/>
            <w:r w:rsidRPr="00D41F68">
              <w:rPr>
                <w:rFonts w:ascii="Arial" w:eastAsia="Andale Sans UI" w:hAnsi="Arial" w:cs="Arial"/>
                <w:b/>
                <w:kern w:val="1"/>
                <w:sz w:val="18"/>
                <w:szCs w:val="18"/>
              </w:rPr>
              <w:t>C</w:t>
            </w:r>
            <w:r w:rsidRPr="00D41F68">
              <w:rPr>
                <w:rFonts w:ascii="Arial" w:eastAsia="Andale Sans UI" w:hAnsi="Arial" w:cs="Arial"/>
                <w:b/>
                <w:kern w:val="1"/>
                <w:sz w:val="18"/>
                <w:szCs w:val="18"/>
                <w:lang w:val="en-US"/>
              </w:rPr>
              <w:t xml:space="preserve"> )</w:t>
            </w:r>
            <w:proofErr w:type="gramEnd"/>
          </w:p>
        </w:tc>
        <w:tc>
          <w:tcPr>
            <w:tcW w:w="723" w:type="pct"/>
          </w:tcPr>
          <w:p w14:paraId="7257BAC5" w14:textId="77777777" w:rsidR="00780BA1" w:rsidRPr="00D41F68" w:rsidRDefault="00780BA1" w:rsidP="001E4AD7">
            <w:pPr>
              <w:widowControl w:val="0"/>
              <w:suppressAutoHyphens/>
              <w:spacing w:line="480" w:lineRule="auto"/>
              <w:jc w:val="center"/>
              <w:rPr>
                <w:rFonts w:ascii="Arial" w:eastAsia="Andale Sans UI" w:hAnsi="Arial" w:cs="Arial"/>
                <w:b/>
                <w:kern w:val="1"/>
                <w:sz w:val="18"/>
                <w:szCs w:val="18"/>
              </w:rPr>
            </w:pPr>
            <w:r w:rsidRPr="00D41F68">
              <w:rPr>
                <w:rFonts w:ascii="Arial" w:hAnsi="Arial" w:cs="Arial"/>
                <w:b/>
                <w:sz w:val="18"/>
                <w:szCs w:val="18"/>
              </w:rPr>
              <w:t>P value</w:t>
            </w:r>
          </w:p>
        </w:tc>
      </w:tr>
      <w:tr w:rsidR="00780BA1" w:rsidRPr="006F74FE" w14:paraId="1E8F9E74" w14:textId="77777777" w:rsidTr="00780BA1">
        <w:trPr>
          <w:trHeight w:val="450"/>
        </w:trPr>
        <w:tc>
          <w:tcPr>
            <w:tcW w:w="496" w:type="pct"/>
            <w:vAlign w:val="center"/>
          </w:tcPr>
          <w:p w14:paraId="18BC0744"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lastRenderedPageBreak/>
              <w:t>0 Day</w:t>
            </w:r>
          </w:p>
        </w:tc>
        <w:tc>
          <w:tcPr>
            <w:tcW w:w="944" w:type="pct"/>
            <w:vAlign w:val="center"/>
          </w:tcPr>
          <w:p w14:paraId="006F8523"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 xml:space="preserve">197.20± </w:t>
            </w:r>
            <w:r w:rsidRPr="00D41F68">
              <w:rPr>
                <w:rFonts w:ascii="Arial" w:eastAsia="Andale Sans UI" w:hAnsi="Arial" w:cs="Arial"/>
                <w:bCs/>
                <w:kern w:val="1"/>
                <w:sz w:val="18"/>
                <w:szCs w:val="18"/>
              </w:rPr>
              <w:t>12.911</w:t>
            </w:r>
            <w:r w:rsidRPr="00D41F68">
              <w:rPr>
                <w:rFonts w:ascii="Arial" w:eastAsia="Andale Sans UI" w:hAnsi="Arial" w:cs="Arial"/>
                <w:kern w:val="1"/>
                <w:sz w:val="18"/>
                <w:szCs w:val="18"/>
                <w:vertAlign w:val="superscript"/>
              </w:rPr>
              <w:t xml:space="preserve"> a</w:t>
            </w:r>
          </w:p>
        </w:tc>
        <w:tc>
          <w:tcPr>
            <w:tcW w:w="919" w:type="pct"/>
            <w:vAlign w:val="bottom"/>
          </w:tcPr>
          <w:p w14:paraId="5153437D"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198.20± 12.153</w:t>
            </w:r>
            <w:r w:rsidRPr="00D41F68">
              <w:rPr>
                <w:rFonts w:ascii="Arial" w:eastAsia="Andale Sans UI" w:hAnsi="Arial" w:cs="Arial"/>
                <w:kern w:val="1"/>
                <w:sz w:val="18"/>
                <w:szCs w:val="18"/>
                <w:vertAlign w:val="superscript"/>
              </w:rPr>
              <w:t xml:space="preserve"> a</w:t>
            </w:r>
          </w:p>
        </w:tc>
        <w:tc>
          <w:tcPr>
            <w:tcW w:w="921" w:type="pct"/>
            <w:vAlign w:val="bottom"/>
          </w:tcPr>
          <w:p w14:paraId="0250FFF6"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199.20± 9.680</w:t>
            </w:r>
            <w:r w:rsidRPr="00D41F68">
              <w:rPr>
                <w:rFonts w:ascii="Arial" w:eastAsia="Andale Sans UI" w:hAnsi="Arial" w:cs="Arial"/>
                <w:kern w:val="1"/>
                <w:sz w:val="18"/>
                <w:szCs w:val="18"/>
                <w:vertAlign w:val="superscript"/>
              </w:rPr>
              <w:t xml:space="preserve"> a</w:t>
            </w:r>
          </w:p>
        </w:tc>
        <w:tc>
          <w:tcPr>
            <w:tcW w:w="997" w:type="pct"/>
            <w:vAlign w:val="bottom"/>
          </w:tcPr>
          <w:p w14:paraId="78782E5F"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217.40± 14.536</w:t>
            </w:r>
            <w:r w:rsidRPr="00D41F68">
              <w:rPr>
                <w:rFonts w:ascii="Arial" w:eastAsia="Andale Sans UI" w:hAnsi="Arial" w:cs="Arial"/>
                <w:kern w:val="1"/>
                <w:sz w:val="18"/>
                <w:szCs w:val="18"/>
                <w:vertAlign w:val="superscript"/>
              </w:rPr>
              <w:t xml:space="preserve"> a</w:t>
            </w:r>
          </w:p>
        </w:tc>
        <w:tc>
          <w:tcPr>
            <w:tcW w:w="723" w:type="pct"/>
          </w:tcPr>
          <w:p w14:paraId="3597E096"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0.062</w:t>
            </w:r>
          </w:p>
        </w:tc>
      </w:tr>
      <w:tr w:rsidR="00780BA1" w:rsidRPr="006F74FE" w14:paraId="5DFF0CD5" w14:textId="77777777" w:rsidTr="00780BA1">
        <w:trPr>
          <w:trHeight w:val="450"/>
        </w:trPr>
        <w:tc>
          <w:tcPr>
            <w:tcW w:w="496" w:type="pct"/>
            <w:vAlign w:val="center"/>
          </w:tcPr>
          <w:p w14:paraId="06BE9851"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commentRangeStart w:id="3"/>
            <w:r w:rsidRPr="00D41F68">
              <w:rPr>
                <w:rFonts w:ascii="Arial" w:eastAsia="Andale Sans UI" w:hAnsi="Arial" w:cs="Arial"/>
                <w:b/>
                <w:bCs/>
                <w:kern w:val="1"/>
                <w:sz w:val="18"/>
                <w:szCs w:val="18"/>
                <w:lang w:eastAsia="en-IN"/>
              </w:rPr>
              <w:t>7 Day</w:t>
            </w:r>
          </w:p>
        </w:tc>
        <w:tc>
          <w:tcPr>
            <w:tcW w:w="944" w:type="pct"/>
            <w:vAlign w:val="center"/>
          </w:tcPr>
          <w:p w14:paraId="58E61C8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200.80± 11.904</w:t>
            </w:r>
            <w:r w:rsidRPr="00D41F68">
              <w:rPr>
                <w:rFonts w:ascii="Arial" w:eastAsia="Andale Sans UI" w:hAnsi="Arial" w:cs="Arial"/>
                <w:kern w:val="1"/>
                <w:sz w:val="18"/>
                <w:szCs w:val="18"/>
                <w:vertAlign w:val="superscript"/>
              </w:rPr>
              <w:t xml:space="preserve"> a</w:t>
            </w:r>
          </w:p>
        </w:tc>
        <w:tc>
          <w:tcPr>
            <w:tcW w:w="919" w:type="pct"/>
            <w:vAlign w:val="bottom"/>
          </w:tcPr>
          <w:p w14:paraId="0EE1AE0E"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196.00± 14.018</w:t>
            </w:r>
            <w:r w:rsidRPr="00D41F68">
              <w:rPr>
                <w:rFonts w:ascii="Arial" w:eastAsia="Andale Sans UI" w:hAnsi="Arial" w:cs="Arial"/>
                <w:kern w:val="1"/>
                <w:sz w:val="18"/>
                <w:szCs w:val="18"/>
                <w:vertAlign w:val="superscript"/>
              </w:rPr>
              <w:t xml:space="preserve"> a</w:t>
            </w:r>
          </w:p>
        </w:tc>
        <w:tc>
          <w:tcPr>
            <w:tcW w:w="921" w:type="pct"/>
            <w:vAlign w:val="bottom"/>
          </w:tcPr>
          <w:p w14:paraId="02DF135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204.60± 6.542</w:t>
            </w:r>
            <w:r w:rsidRPr="00D41F68">
              <w:rPr>
                <w:rFonts w:ascii="Arial" w:eastAsia="Andale Sans UI" w:hAnsi="Arial" w:cs="Arial"/>
                <w:kern w:val="1"/>
                <w:sz w:val="18"/>
                <w:szCs w:val="18"/>
                <w:vertAlign w:val="superscript"/>
              </w:rPr>
              <w:t xml:space="preserve"> a</w:t>
            </w:r>
          </w:p>
        </w:tc>
        <w:tc>
          <w:tcPr>
            <w:tcW w:w="997" w:type="pct"/>
            <w:vAlign w:val="bottom"/>
          </w:tcPr>
          <w:p w14:paraId="42F60304"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207.40± 10.945</w:t>
            </w:r>
            <w:r w:rsidRPr="00D41F68">
              <w:rPr>
                <w:rFonts w:ascii="Arial" w:eastAsia="Andale Sans UI" w:hAnsi="Arial" w:cs="Arial"/>
                <w:kern w:val="1"/>
                <w:sz w:val="18"/>
                <w:szCs w:val="18"/>
                <w:vertAlign w:val="superscript"/>
              </w:rPr>
              <w:t xml:space="preserve"> a</w:t>
            </w:r>
          </w:p>
        </w:tc>
        <w:tc>
          <w:tcPr>
            <w:tcW w:w="723" w:type="pct"/>
          </w:tcPr>
          <w:p w14:paraId="72DE8772"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0.429</w:t>
            </w:r>
            <w:commentRangeEnd w:id="3"/>
            <w:r w:rsidR="00C253A2">
              <w:rPr>
                <w:rStyle w:val="CommentReference"/>
              </w:rPr>
              <w:commentReference w:id="3"/>
            </w:r>
          </w:p>
        </w:tc>
      </w:tr>
      <w:tr w:rsidR="00780BA1" w:rsidRPr="006F74FE" w14:paraId="7AD908D2" w14:textId="77777777" w:rsidTr="00780BA1">
        <w:trPr>
          <w:trHeight w:val="450"/>
        </w:trPr>
        <w:tc>
          <w:tcPr>
            <w:tcW w:w="496" w:type="pct"/>
            <w:vAlign w:val="center"/>
          </w:tcPr>
          <w:p w14:paraId="1C9C414A"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14 Day</w:t>
            </w:r>
          </w:p>
        </w:tc>
        <w:tc>
          <w:tcPr>
            <w:tcW w:w="944" w:type="pct"/>
            <w:vAlign w:val="bottom"/>
          </w:tcPr>
          <w:p w14:paraId="31817BA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194.20± 13.480</w:t>
            </w:r>
            <w:r w:rsidRPr="00D41F68">
              <w:rPr>
                <w:rFonts w:ascii="Arial" w:eastAsia="Andale Sans UI" w:hAnsi="Arial" w:cs="Arial"/>
                <w:kern w:val="1"/>
                <w:sz w:val="18"/>
                <w:szCs w:val="18"/>
                <w:vertAlign w:val="superscript"/>
              </w:rPr>
              <w:t xml:space="preserve"> a</w:t>
            </w:r>
          </w:p>
        </w:tc>
        <w:tc>
          <w:tcPr>
            <w:tcW w:w="919" w:type="pct"/>
            <w:vAlign w:val="bottom"/>
          </w:tcPr>
          <w:p w14:paraId="4F72030C"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202.40± 16.532</w:t>
            </w:r>
            <w:r w:rsidRPr="00D41F68">
              <w:rPr>
                <w:rFonts w:ascii="Arial" w:eastAsia="Andale Sans UI" w:hAnsi="Arial" w:cs="Arial"/>
                <w:kern w:val="1"/>
                <w:sz w:val="18"/>
                <w:szCs w:val="18"/>
                <w:vertAlign w:val="superscript"/>
              </w:rPr>
              <w:t xml:space="preserve"> a</w:t>
            </w:r>
          </w:p>
        </w:tc>
        <w:tc>
          <w:tcPr>
            <w:tcW w:w="921" w:type="pct"/>
            <w:vAlign w:val="bottom"/>
          </w:tcPr>
          <w:p w14:paraId="63EBB87A"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204.10± 6.025</w:t>
            </w:r>
            <w:r w:rsidRPr="00D41F68">
              <w:rPr>
                <w:rFonts w:ascii="Arial" w:eastAsia="Andale Sans UI" w:hAnsi="Arial" w:cs="Arial"/>
                <w:kern w:val="1"/>
                <w:sz w:val="18"/>
                <w:szCs w:val="18"/>
                <w:vertAlign w:val="superscript"/>
              </w:rPr>
              <w:t xml:space="preserve"> a</w:t>
            </w:r>
          </w:p>
        </w:tc>
        <w:tc>
          <w:tcPr>
            <w:tcW w:w="997" w:type="pct"/>
            <w:vAlign w:val="bottom"/>
          </w:tcPr>
          <w:p w14:paraId="65110758"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211.80± 4.970</w:t>
            </w:r>
            <w:r w:rsidRPr="00D41F68">
              <w:rPr>
                <w:rFonts w:ascii="Arial" w:eastAsia="Andale Sans UI" w:hAnsi="Arial" w:cs="Arial"/>
                <w:kern w:val="1"/>
                <w:sz w:val="18"/>
                <w:szCs w:val="18"/>
                <w:vertAlign w:val="superscript"/>
              </w:rPr>
              <w:t xml:space="preserve"> a</w:t>
            </w:r>
          </w:p>
        </w:tc>
        <w:tc>
          <w:tcPr>
            <w:tcW w:w="723" w:type="pct"/>
          </w:tcPr>
          <w:p w14:paraId="5953B1CE"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0.150</w:t>
            </w:r>
          </w:p>
        </w:tc>
      </w:tr>
      <w:tr w:rsidR="00780BA1" w:rsidRPr="006F74FE" w14:paraId="49313DBD" w14:textId="77777777" w:rsidTr="00780BA1">
        <w:trPr>
          <w:trHeight w:val="450"/>
        </w:trPr>
        <w:tc>
          <w:tcPr>
            <w:tcW w:w="496" w:type="pct"/>
            <w:vAlign w:val="center"/>
          </w:tcPr>
          <w:p w14:paraId="73344A16"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21 Day</w:t>
            </w:r>
          </w:p>
        </w:tc>
        <w:tc>
          <w:tcPr>
            <w:tcW w:w="944" w:type="pct"/>
            <w:vAlign w:val="bottom"/>
          </w:tcPr>
          <w:p w14:paraId="380B1A1D"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206.80± 18.295</w:t>
            </w:r>
            <w:r w:rsidRPr="00D41F68">
              <w:rPr>
                <w:rFonts w:ascii="Arial" w:eastAsia="Andale Sans UI" w:hAnsi="Arial" w:cs="Arial"/>
                <w:kern w:val="1"/>
                <w:sz w:val="18"/>
                <w:szCs w:val="18"/>
                <w:vertAlign w:val="superscript"/>
              </w:rPr>
              <w:t xml:space="preserve"> a</w:t>
            </w:r>
          </w:p>
        </w:tc>
        <w:tc>
          <w:tcPr>
            <w:tcW w:w="919" w:type="pct"/>
            <w:vAlign w:val="bottom"/>
          </w:tcPr>
          <w:p w14:paraId="1CF5A893"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197.80± 15.385</w:t>
            </w:r>
            <w:r w:rsidRPr="00D41F68">
              <w:rPr>
                <w:rFonts w:ascii="Arial" w:eastAsia="Andale Sans UI" w:hAnsi="Arial" w:cs="Arial"/>
                <w:kern w:val="1"/>
                <w:sz w:val="18"/>
                <w:szCs w:val="18"/>
                <w:vertAlign w:val="superscript"/>
              </w:rPr>
              <w:t xml:space="preserve"> a</w:t>
            </w:r>
          </w:p>
        </w:tc>
        <w:tc>
          <w:tcPr>
            <w:tcW w:w="921" w:type="pct"/>
            <w:vAlign w:val="bottom"/>
          </w:tcPr>
          <w:p w14:paraId="1750C14F"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208.40± 9.127</w:t>
            </w:r>
            <w:r w:rsidRPr="00D41F68">
              <w:rPr>
                <w:rFonts w:ascii="Arial" w:eastAsia="Andale Sans UI" w:hAnsi="Arial" w:cs="Arial"/>
                <w:kern w:val="1"/>
                <w:sz w:val="18"/>
                <w:szCs w:val="18"/>
                <w:vertAlign w:val="superscript"/>
              </w:rPr>
              <w:t xml:space="preserve"> a</w:t>
            </w:r>
          </w:p>
        </w:tc>
        <w:tc>
          <w:tcPr>
            <w:tcW w:w="997" w:type="pct"/>
            <w:vAlign w:val="bottom"/>
          </w:tcPr>
          <w:p w14:paraId="1014A621"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218.40± 7.092</w:t>
            </w:r>
            <w:r w:rsidRPr="00D41F68">
              <w:rPr>
                <w:rFonts w:ascii="Arial" w:eastAsia="Andale Sans UI" w:hAnsi="Arial" w:cs="Arial"/>
                <w:kern w:val="1"/>
                <w:sz w:val="18"/>
                <w:szCs w:val="18"/>
                <w:vertAlign w:val="superscript"/>
              </w:rPr>
              <w:t xml:space="preserve"> a</w:t>
            </w:r>
          </w:p>
        </w:tc>
        <w:tc>
          <w:tcPr>
            <w:tcW w:w="723" w:type="pct"/>
          </w:tcPr>
          <w:p w14:paraId="0335FCD6"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0.152</w:t>
            </w:r>
          </w:p>
        </w:tc>
      </w:tr>
      <w:tr w:rsidR="00780BA1" w:rsidRPr="006F74FE" w14:paraId="365EAA4B" w14:textId="77777777" w:rsidTr="00780BA1">
        <w:trPr>
          <w:trHeight w:val="450"/>
        </w:trPr>
        <w:tc>
          <w:tcPr>
            <w:tcW w:w="496" w:type="pct"/>
            <w:vAlign w:val="center"/>
          </w:tcPr>
          <w:p w14:paraId="011A44A6" w14:textId="77777777" w:rsidR="00780BA1" w:rsidRPr="00D41F68" w:rsidRDefault="00780BA1" w:rsidP="001E4AD7">
            <w:pPr>
              <w:widowControl w:val="0"/>
              <w:suppressAutoHyphens/>
              <w:spacing w:line="480" w:lineRule="auto"/>
              <w:jc w:val="center"/>
              <w:rPr>
                <w:rFonts w:ascii="Arial" w:eastAsia="Andale Sans UI" w:hAnsi="Arial" w:cs="Arial"/>
                <w:b/>
                <w:bCs/>
                <w:kern w:val="1"/>
                <w:sz w:val="18"/>
                <w:szCs w:val="18"/>
                <w:lang w:eastAsia="en-IN"/>
              </w:rPr>
            </w:pPr>
            <w:r w:rsidRPr="00D41F68">
              <w:rPr>
                <w:rFonts w:ascii="Arial" w:eastAsia="Andale Sans UI" w:hAnsi="Arial" w:cs="Arial"/>
                <w:b/>
                <w:bCs/>
                <w:kern w:val="1"/>
                <w:sz w:val="18"/>
                <w:szCs w:val="18"/>
                <w:lang w:eastAsia="en-IN"/>
              </w:rPr>
              <w:t>28 Day</w:t>
            </w:r>
          </w:p>
        </w:tc>
        <w:tc>
          <w:tcPr>
            <w:tcW w:w="944" w:type="pct"/>
            <w:vAlign w:val="bottom"/>
          </w:tcPr>
          <w:p w14:paraId="67C83545"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207.20± 14.412</w:t>
            </w:r>
            <w:r w:rsidRPr="00D41F68">
              <w:rPr>
                <w:rFonts w:ascii="Arial" w:eastAsia="Andale Sans UI" w:hAnsi="Arial" w:cs="Arial"/>
                <w:kern w:val="1"/>
                <w:sz w:val="18"/>
                <w:szCs w:val="18"/>
                <w:vertAlign w:val="superscript"/>
              </w:rPr>
              <w:t>b</w:t>
            </w:r>
          </w:p>
        </w:tc>
        <w:tc>
          <w:tcPr>
            <w:tcW w:w="919" w:type="pct"/>
            <w:vAlign w:val="bottom"/>
          </w:tcPr>
          <w:p w14:paraId="06B09547" w14:textId="77777777" w:rsidR="00780BA1" w:rsidRPr="00D41F68" w:rsidRDefault="00780BA1" w:rsidP="001E4AD7">
            <w:pPr>
              <w:widowControl w:val="0"/>
              <w:suppressAutoHyphens/>
              <w:spacing w:line="480" w:lineRule="auto"/>
              <w:jc w:val="center"/>
              <w:rPr>
                <w:rFonts w:ascii="Arial" w:eastAsia="Andale Sans UI" w:hAnsi="Arial" w:cs="Arial"/>
                <w:bCs/>
                <w:kern w:val="1"/>
                <w:sz w:val="18"/>
                <w:szCs w:val="18"/>
              </w:rPr>
            </w:pPr>
            <w:r w:rsidRPr="00D41F68">
              <w:rPr>
                <w:rFonts w:ascii="Arial" w:eastAsia="Andale Sans UI" w:hAnsi="Arial" w:cs="Arial"/>
                <w:bCs/>
                <w:kern w:val="1"/>
                <w:sz w:val="18"/>
                <w:szCs w:val="18"/>
              </w:rPr>
              <w:t>187.80± 11.883</w:t>
            </w:r>
            <w:r w:rsidRPr="00D41F68">
              <w:rPr>
                <w:rFonts w:ascii="Arial" w:eastAsia="Andale Sans UI" w:hAnsi="Arial" w:cs="Arial"/>
                <w:bCs/>
                <w:kern w:val="1"/>
                <w:sz w:val="18"/>
                <w:szCs w:val="18"/>
                <w:vertAlign w:val="superscript"/>
              </w:rPr>
              <w:t>a</w:t>
            </w:r>
          </w:p>
        </w:tc>
        <w:tc>
          <w:tcPr>
            <w:tcW w:w="921" w:type="pct"/>
            <w:vAlign w:val="bottom"/>
          </w:tcPr>
          <w:p w14:paraId="3F5B7160" w14:textId="77777777" w:rsidR="00780BA1" w:rsidRPr="00D41F68" w:rsidRDefault="00780BA1" w:rsidP="001E4AD7">
            <w:pPr>
              <w:widowControl w:val="0"/>
              <w:suppressAutoHyphens/>
              <w:spacing w:line="480" w:lineRule="auto"/>
              <w:jc w:val="center"/>
              <w:rPr>
                <w:rFonts w:ascii="Arial" w:eastAsia="Andale Sans UI" w:hAnsi="Arial" w:cs="Arial"/>
                <w:bCs/>
                <w:kern w:val="1"/>
                <w:sz w:val="18"/>
                <w:szCs w:val="18"/>
              </w:rPr>
            </w:pPr>
            <w:r w:rsidRPr="00D41F68">
              <w:rPr>
                <w:rFonts w:ascii="Arial" w:eastAsia="Andale Sans UI" w:hAnsi="Arial" w:cs="Arial"/>
                <w:bCs/>
                <w:kern w:val="1"/>
                <w:sz w:val="18"/>
                <w:szCs w:val="18"/>
              </w:rPr>
              <w:t>210.00± 11.769</w:t>
            </w:r>
            <w:r w:rsidRPr="00D41F68">
              <w:rPr>
                <w:rFonts w:ascii="Arial" w:eastAsia="Andale Sans UI" w:hAnsi="Arial" w:cs="Arial"/>
                <w:bCs/>
                <w:kern w:val="1"/>
                <w:sz w:val="18"/>
                <w:szCs w:val="18"/>
                <w:vertAlign w:val="superscript"/>
              </w:rPr>
              <w:t>b</w:t>
            </w:r>
          </w:p>
        </w:tc>
        <w:tc>
          <w:tcPr>
            <w:tcW w:w="997" w:type="pct"/>
            <w:vAlign w:val="bottom"/>
          </w:tcPr>
          <w:p w14:paraId="32194CA3" w14:textId="77777777" w:rsidR="00780BA1" w:rsidRPr="00D41F68" w:rsidRDefault="00780BA1"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215.40± 8.204</w:t>
            </w:r>
            <w:r w:rsidRPr="00D41F68">
              <w:rPr>
                <w:rFonts w:ascii="Arial" w:eastAsia="Andale Sans UI" w:hAnsi="Arial" w:cs="Arial"/>
                <w:kern w:val="1"/>
                <w:sz w:val="18"/>
                <w:szCs w:val="18"/>
                <w:vertAlign w:val="superscript"/>
              </w:rPr>
              <w:t>b</w:t>
            </w:r>
          </w:p>
        </w:tc>
        <w:tc>
          <w:tcPr>
            <w:tcW w:w="723" w:type="pct"/>
          </w:tcPr>
          <w:p w14:paraId="0F9DDE1D" w14:textId="77777777" w:rsidR="00780BA1" w:rsidRPr="00D41F68" w:rsidRDefault="006D7DF0" w:rsidP="001E4AD7">
            <w:pPr>
              <w:widowControl w:val="0"/>
              <w:suppressAutoHyphens/>
              <w:spacing w:line="480" w:lineRule="auto"/>
              <w:jc w:val="center"/>
              <w:rPr>
                <w:rFonts w:ascii="Arial" w:eastAsia="Andale Sans UI" w:hAnsi="Arial" w:cs="Arial"/>
                <w:kern w:val="1"/>
                <w:sz w:val="18"/>
                <w:szCs w:val="18"/>
              </w:rPr>
            </w:pPr>
            <w:r w:rsidRPr="00D41F68">
              <w:rPr>
                <w:rFonts w:ascii="Arial" w:eastAsia="Andale Sans UI" w:hAnsi="Arial" w:cs="Arial"/>
                <w:kern w:val="1"/>
                <w:sz w:val="18"/>
                <w:szCs w:val="18"/>
              </w:rPr>
              <w:t>0.011</w:t>
            </w:r>
          </w:p>
        </w:tc>
      </w:tr>
    </w:tbl>
    <w:p w14:paraId="68B7DC15" w14:textId="77777777" w:rsidR="005A3088" w:rsidRPr="00D41F68" w:rsidRDefault="006A14DE" w:rsidP="001E4AD7">
      <w:pPr>
        <w:widowControl w:val="0"/>
        <w:suppressAutoHyphens/>
        <w:autoSpaceDE w:val="0"/>
        <w:autoSpaceDN w:val="0"/>
        <w:adjustRightInd w:val="0"/>
        <w:spacing w:after="0" w:line="480" w:lineRule="auto"/>
        <w:ind w:left="720"/>
        <w:rPr>
          <w:rFonts w:ascii="Arial" w:eastAsia="Times New Roman" w:hAnsi="Arial" w:cs="Times New Roman"/>
          <w:bCs/>
          <w:i/>
          <w:sz w:val="18"/>
          <w:szCs w:val="16"/>
          <w:lang w:val="en-US"/>
        </w:rPr>
      </w:pPr>
      <w:r w:rsidRPr="00D41F68">
        <w:rPr>
          <w:rFonts w:ascii="Arial" w:eastAsia="Times New Roman" w:hAnsi="Arial" w:cs="Times New Roman"/>
          <w:bCs/>
          <w:i/>
          <w:sz w:val="18"/>
          <w:szCs w:val="16"/>
          <w:lang w:val="en-US"/>
        </w:rPr>
        <w:t>Mean ± SD</w:t>
      </w:r>
      <w:r w:rsidR="00A65619" w:rsidRPr="00D41F68">
        <w:rPr>
          <w:rFonts w:ascii="Arial" w:eastAsia="Times New Roman" w:hAnsi="Arial" w:cs="Times New Roman"/>
          <w:bCs/>
          <w:i/>
          <w:sz w:val="18"/>
          <w:szCs w:val="16"/>
          <w:lang w:val="en-US"/>
        </w:rPr>
        <w:t xml:space="preserve">     </w:t>
      </w:r>
      <w:r w:rsidR="005A3088" w:rsidRPr="00D41F68">
        <w:rPr>
          <w:rFonts w:ascii="Arial" w:eastAsia="Times New Roman" w:hAnsi="Arial" w:cs="Times New Roman"/>
          <w:bCs/>
          <w:i/>
          <w:sz w:val="18"/>
          <w:szCs w:val="16"/>
          <w:lang w:val="en-US"/>
        </w:rPr>
        <w:t xml:space="preserve"> bearing different superscripts in row differ significantly (p&lt;0.05).</w:t>
      </w:r>
    </w:p>
    <w:p w14:paraId="7082ED7D" w14:textId="77777777" w:rsidR="005A3088" w:rsidRPr="00D41F68" w:rsidRDefault="005A3088"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Clinical pathology</w:t>
      </w:r>
    </w:p>
    <w:p w14:paraId="69DDC8C6" w14:textId="77777777" w:rsidR="00567260" w:rsidRPr="00D41F68" w:rsidRDefault="00567260" w:rsidP="00D41F68">
      <w:pPr>
        <w:spacing w:before="240" w:after="0" w:line="480" w:lineRule="auto"/>
        <w:jc w:val="both"/>
        <w:rPr>
          <w:rFonts w:ascii="Arial" w:eastAsia="Times New Roman" w:hAnsi="Arial" w:cs="Arial"/>
          <w:b/>
          <w:bCs/>
          <w:lang w:val="en-US"/>
        </w:rPr>
      </w:pPr>
      <w:r w:rsidRPr="00D41F68">
        <w:rPr>
          <w:rFonts w:ascii="Arial" w:eastAsia="Times New Roman" w:hAnsi="Arial" w:cs="Arial"/>
          <w:b/>
          <w:bCs/>
          <w:lang w:val="en-US"/>
        </w:rPr>
        <w:t>Hematology:</w:t>
      </w:r>
    </w:p>
    <w:p w14:paraId="7C6C3136" w14:textId="77777777" w:rsidR="005A3088" w:rsidRPr="00D41F68" w:rsidRDefault="00290B78" w:rsidP="001E4AD7">
      <w:pPr>
        <w:autoSpaceDE w:val="0"/>
        <w:autoSpaceDN w:val="0"/>
        <w:adjustRightInd w:val="0"/>
        <w:spacing w:after="0" w:line="480" w:lineRule="auto"/>
        <w:ind w:firstLine="720"/>
        <w:jc w:val="both"/>
        <w:rPr>
          <w:rFonts w:ascii="Arial" w:hAnsi="Arial" w:cs="Arial"/>
          <w:bCs/>
          <w:sz w:val="20"/>
          <w:szCs w:val="20"/>
        </w:rPr>
      </w:pPr>
      <w:r w:rsidRPr="00D41F68">
        <w:rPr>
          <w:rFonts w:ascii="Arial" w:hAnsi="Arial" w:cs="Arial"/>
          <w:bCs/>
          <w:sz w:val="20"/>
          <w:szCs w:val="20"/>
        </w:rPr>
        <w:t xml:space="preserve">In terms of </w:t>
      </w:r>
      <w:r w:rsidR="00337E32" w:rsidRPr="00D41F68">
        <w:rPr>
          <w:rFonts w:ascii="Arial" w:hAnsi="Arial" w:cs="Arial"/>
          <w:bCs/>
          <w:sz w:val="20"/>
          <w:szCs w:val="20"/>
        </w:rPr>
        <w:t>haematological</w:t>
      </w:r>
      <w:r w:rsidR="00DC3A67" w:rsidRPr="00D41F68">
        <w:rPr>
          <w:rFonts w:ascii="Arial" w:hAnsi="Arial" w:cs="Arial"/>
          <w:bCs/>
          <w:sz w:val="20"/>
          <w:szCs w:val="20"/>
        </w:rPr>
        <w:t xml:space="preserve"> </w:t>
      </w:r>
      <w:r w:rsidRPr="00D41F68">
        <w:rPr>
          <w:rFonts w:ascii="Arial" w:hAnsi="Arial" w:cs="Arial"/>
          <w:bCs/>
          <w:sz w:val="20"/>
          <w:szCs w:val="20"/>
        </w:rPr>
        <w:t xml:space="preserve">parameters, </w:t>
      </w:r>
      <w:r w:rsidR="005A3088" w:rsidRPr="00D41F68">
        <w:rPr>
          <w:rFonts w:ascii="Arial" w:hAnsi="Arial" w:cs="Arial"/>
          <w:bCs/>
          <w:sz w:val="20"/>
          <w:szCs w:val="20"/>
        </w:rPr>
        <w:t xml:space="preserve">Group II (IND) and IV (IND+VIT-C) rats showed significant (p&lt;0.05) decrease in TEC, Hb and HCT value when compared with Group I (control) and Group III (VIT-C) </w:t>
      </w:r>
      <w:r w:rsidR="00FB79A9" w:rsidRPr="00D41F68">
        <w:rPr>
          <w:rFonts w:ascii="Arial" w:hAnsi="Arial" w:cs="Arial"/>
          <w:bCs/>
          <w:sz w:val="20"/>
          <w:szCs w:val="20"/>
        </w:rPr>
        <w:t>rats</w:t>
      </w:r>
      <w:r w:rsidR="00EB6C41" w:rsidRPr="00D41F68">
        <w:rPr>
          <w:rFonts w:ascii="Arial" w:hAnsi="Arial" w:cs="Arial"/>
          <w:bCs/>
          <w:sz w:val="20"/>
          <w:szCs w:val="20"/>
        </w:rPr>
        <w:t>.</w:t>
      </w:r>
      <w:r w:rsidR="00FB79A9" w:rsidRPr="00D41F68">
        <w:rPr>
          <w:rFonts w:ascii="Arial" w:hAnsi="Arial" w:cs="Arial"/>
          <w:bCs/>
          <w:sz w:val="20"/>
          <w:szCs w:val="20"/>
        </w:rPr>
        <w:t xml:space="preserve"> </w:t>
      </w:r>
      <w:r w:rsidR="005A3088" w:rsidRPr="00D41F68">
        <w:rPr>
          <w:rFonts w:ascii="Arial" w:hAnsi="Arial" w:cs="Arial"/>
          <w:bCs/>
          <w:sz w:val="20"/>
          <w:szCs w:val="20"/>
        </w:rPr>
        <w:t>But, mean values of TEC, Hb and HCT were increased in rats received co-treatment of vitamin C with indoxacarb when compared to only indoxacarb administered rats</w:t>
      </w:r>
      <w:r w:rsidR="00F4469A" w:rsidRPr="00D41F68">
        <w:rPr>
          <w:rFonts w:ascii="Arial" w:hAnsi="Arial" w:cs="Arial"/>
          <w:bCs/>
          <w:sz w:val="20"/>
          <w:szCs w:val="20"/>
        </w:rPr>
        <w:t>.</w:t>
      </w:r>
      <w:r w:rsidR="00D1688E" w:rsidRPr="00D41F68">
        <w:rPr>
          <w:rFonts w:ascii="Arial" w:hAnsi="Arial" w:cs="Arial"/>
          <w:bCs/>
          <w:sz w:val="20"/>
          <w:szCs w:val="20"/>
        </w:rPr>
        <w:t xml:space="preserve"> There was no significant (p&lt;0.05) difference among the groups in terms of </w:t>
      </w:r>
      <w:r w:rsidR="00C66116" w:rsidRPr="00D41F68">
        <w:rPr>
          <w:rFonts w:ascii="Arial" w:hAnsi="Arial" w:cs="Arial"/>
          <w:bCs/>
          <w:sz w:val="20"/>
          <w:szCs w:val="20"/>
        </w:rPr>
        <w:t xml:space="preserve">other haematological parameters </w:t>
      </w:r>
      <w:r w:rsidR="00296F80" w:rsidRPr="00D41F68">
        <w:rPr>
          <w:rFonts w:ascii="Arial" w:hAnsi="Arial" w:cs="Arial"/>
          <w:bCs/>
          <w:sz w:val="20"/>
          <w:szCs w:val="20"/>
        </w:rPr>
        <w:t>[</w:t>
      </w:r>
      <w:r w:rsidR="00D1688E" w:rsidRPr="00D41F68">
        <w:rPr>
          <w:rFonts w:ascii="Arial" w:hAnsi="Arial" w:cs="Arial"/>
          <w:bCs/>
          <w:sz w:val="20"/>
          <w:szCs w:val="20"/>
        </w:rPr>
        <w:t xml:space="preserve">MCV, MCH, MCHC, PLT, TLC, </w:t>
      </w:r>
      <w:r w:rsidR="00D40AE7" w:rsidRPr="00D41F68">
        <w:rPr>
          <w:rFonts w:ascii="Arial" w:hAnsi="Arial" w:cs="Arial"/>
          <w:bCs/>
          <w:sz w:val="20"/>
          <w:szCs w:val="20"/>
        </w:rPr>
        <w:t>DLC, RDW, RDW (a) and MPV</w:t>
      </w:r>
      <w:r w:rsidR="00296F80" w:rsidRPr="00D41F68">
        <w:rPr>
          <w:rFonts w:ascii="Arial" w:hAnsi="Arial" w:cs="Arial"/>
          <w:bCs/>
          <w:sz w:val="20"/>
          <w:szCs w:val="20"/>
        </w:rPr>
        <w:t>]</w:t>
      </w:r>
      <w:r w:rsidR="00F4469A" w:rsidRPr="00D41F68">
        <w:rPr>
          <w:rFonts w:ascii="Arial" w:hAnsi="Arial" w:cs="Arial"/>
          <w:bCs/>
          <w:sz w:val="20"/>
          <w:szCs w:val="20"/>
        </w:rPr>
        <w:t xml:space="preserve"> (Table </w:t>
      </w:r>
      <w:r w:rsidR="00DC7CEB" w:rsidRPr="00D41F68">
        <w:rPr>
          <w:rFonts w:ascii="Arial" w:hAnsi="Arial" w:cs="Arial"/>
          <w:bCs/>
          <w:sz w:val="20"/>
          <w:szCs w:val="20"/>
        </w:rPr>
        <w:t>II</w:t>
      </w:r>
      <w:r w:rsidR="00F4469A" w:rsidRPr="00D41F68">
        <w:rPr>
          <w:rFonts w:ascii="Arial" w:hAnsi="Arial" w:cs="Arial"/>
          <w:bCs/>
          <w:sz w:val="20"/>
          <w:szCs w:val="20"/>
        </w:rPr>
        <w:t>)</w:t>
      </w:r>
      <w:r w:rsidR="00D40AE7" w:rsidRPr="00D41F68">
        <w:rPr>
          <w:rFonts w:ascii="Arial" w:hAnsi="Arial" w:cs="Arial"/>
          <w:bCs/>
          <w:sz w:val="20"/>
          <w:szCs w:val="20"/>
        </w:rPr>
        <w:t>.</w:t>
      </w:r>
    </w:p>
    <w:p w14:paraId="5DA8EA4A" w14:textId="77777777" w:rsidR="005A3088" w:rsidRPr="00D41F68" w:rsidRDefault="00FB79A9" w:rsidP="001E4AD7">
      <w:pPr>
        <w:spacing w:after="0" w:line="480" w:lineRule="auto"/>
        <w:ind w:left="900" w:hanging="900"/>
        <w:rPr>
          <w:rFonts w:ascii="Arial" w:hAnsi="Arial" w:cs="Arial"/>
          <w:b/>
          <w:bCs/>
          <w:lang w:val="en-GB"/>
        </w:rPr>
      </w:pPr>
      <w:r w:rsidRPr="00D41F68">
        <w:rPr>
          <w:rFonts w:ascii="Arial" w:hAnsi="Arial" w:cs="Arial"/>
          <w:b/>
          <w:bCs/>
        </w:rPr>
        <w:t xml:space="preserve">Table </w:t>
      </w:r>
      <w:r w:rsidR="00DC7CEB" w:rsidRPr="00D41F68">
        <w:rPr>
          <w:rFonts w:ascii="Arial" w:hAnsi="Arial" w:cs="Arial"/>
          <w:b/>
          <w:bCs/>
        </w:rPr>
        <w:t>II</w:t>
      </w:r>
      <w:r w:rsidR="005A3088" w:rsidRPr="00D41F68">
        <w:rPr>
          <w:rFonts w:ascii="Arial" w:hAnsi="Arial" w:cs="Arial"/>
          <w:b/>
          <w:bCs/>
        </w:rPr>
        <w:t>: Effect of Indoxacarb and vitamin C on haematological parameters (</w:t>
      </w:r>
      <w:r w:rsidR="005A3088" w:rsidRPr="00D41F68">
        <w:rPr>
          <w:rFonts w:ascii="Arial" w:hAnsi="Arial" w:cs="Arial"/>
          <w:b/>
          <w:bCs/>
          <w:lang w:val="en-GB"/>
        </w:rPr>
        <w:t xml:space="preserve">Mean± SD, n=5) </w:t>
      </w:r>
      <w:r w:rsidR="005A3088" w:rsidRPr="00D41F68">
        <w:rPr>
          <w:rFonts w:ascii="Arial" w:hAnsi="Arial" w:cs="Arial"/>
          <w:b/>
          <w:bCs/>
        </w:rPr>
        <w:t xml:space="preserve">in female rats after daily oral </w:t>
      </w:r>
      <w:r w:rsidR="00EA6974" w:rsidRPr="00D41F68">
        <w:rPr>
          <w:rFonts w:ascii="Arial" w:hAnsi="Arial" w:cs="Arial"/>
          <w:b/>
          <w:bCs/>
        </w:rPr>
        <w:t>a</w:t>
      </w:r>
      <w:r w:rsidR="005A3088" w:rsidRPr="00D41F68">
        <w:rPr>
          <w:rFonts w:ascii="Arial" w:hAnsi="Arial" w:cs="Arial"/>
          <w:b/>
          <w:bCs/>
        </w:rPr>
        <w:t>dministration for 28 days</w:t>
      </w:r>
    </w:p>
    <w:tbl>
      <w:tblPr>
        <w:tblpPr w:leftFromText="180" w:rightFromText="180" w:vertAnchor="text" w:horzAnchor="margin" w:tblpY="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0"/>
        <w:gridCol w:w="1056"/>
        <w:gridCol w:w="1492"/>
        <w:gridCol w:w="1452"/>
        <w:gridCol w:w="1414"/>
        <w:gridCol w:w="1416"/>
        <w:gridCol w:w="806"/>
      </w:tblGrid>
      <w:tr w:rsidR="008A3EA0" w:rsidRPr="00D41F68" w14:paraId="5A318D73" w14:textId="77777777" w:rsidTr="008A3EA0">
        <w:trPr>
          <w:trHeight w:val="420"/>
        </w:trPr>
        <w:tc>
          <w:tcPr>
            <w:tcW w:w="764" w:type="pct"/>
            <w:vAlign w:val="center"/>
          </w:tcPr>
          <w:p w14:paraId="3430F485" w14:textId="77777777" w:rsidR="008A3EA0" w:rsidRPr="00D41F68" w:rsidRDefault="008A3EA0" w:rsidP="001E4AD7">
            <w:pPr>
              <w:pStyle w:val="TableParagraph"/>
              <w:spacing w:line="480" w:lineRule="auto"/>
              <w:rPr>
                <w:rFonts w:ascii="Arial" w:hAnsi="Arial" w:cs="Arial"/>
                <w:b/>
                <w:sz w:val="18"/>
                <w:szCs w:val="18"/>
              </w:rPr>
            </w:pPr>
          </w:p>
          <w:p w14:paraId="552171C6" w14:textId="77777777" w:rsidR="008A3EA0" w:rsidRPr="00D41F68" w:rsidRDefault="008A3EA0" w:rsidP="001E4AD7">
            <w:pPr>
              <w:pStyle w:val="TableParagraph"/>
              <w:spacing w:line="480" w:lineRule="auto"/>
              <w:ind w:left="278"/>
              <w:rPr>
                <w:rFonts w:ascii="Arial" w:hAnsi="Arial" w:cs="Arial"/>
                <w:b/>
                <w:sz w:val="18"/>
                <w:szCs w:val="18"/>
              </w:rPr>
            </w:pPr>
            <w:r w:rsidRPr="00D41F68">
              <w:rPr>
                <w:rFonts w:ascii="Arial" w:hAnsi="Arial" w:cs="Arial"/>
                <w:b/>
                <w:sz w:val="18"/>
                <w:szCs w:val="18"/>
              </w:rPr>
              <w:t>Parameter</w:t>
            </w:r>
          </w:p>
        </w:tc>
        <w:tc>
          <w:tcPr>
            <w:tcW w:w="586" w:type="pct"/>
            <w:vAlign w:val="center"/>
          </w:tcPr>
          <w:p w14:paraId="7F16A280" w14:textId="77777777" w:rsidR="008A3EA0" w:rsidRPr="00D41F68" w:rsidRDefault="008A3EA0" w:rsidP="001E4AD7">
            <w:pPr>
              <w:pStyle w:val="TableParagraph"/>
              <w:spacing w:line="480" w:lineRule="auto"/>
              <w:rPr>
                <w:rFonts w:ascii="Arial" w:hAnsi="Arial" w:cs="Arial"/>
                <w:b/>
                <w:sz w:val="18"/>
                <w:szCs w:val="18"/>
              </w:rPr>
            </w:pPr>
          </w:p>
          <w:p w14:paraId="22650615" w14:textId="77777777" w:rsidR="008A3EA0" w:rsidRPr="00D41F68" w:rsidRDefault="008A3EA0" w:rsidP="001E4AD7">
            <w:pPr>
              <w:pStyle w:val="TableParagraph"/>
              <w:spacing w:line="480" w:lineRule="auto"/>
              <w:ind w:left="379"/>
              <w:rPr>
                <w:rFonts w:ascii="Arial" w:hAnsi="Arial" w:cs="Arial"/>
                <w:b/>
                <w:sz w:val="18"/>
                <w:szCs w:val="18"/>
              </w:rPr>
            </w:pPr>
            <w:r w:rsidRPr="00D41F68">
              <w:rPr>
                <w:rFonts w:ascii="Arial" w:hAnsi="Arial" w:cs="Arial"/>
                <w:b/>
                <w:sz w:val="18"/>
                <w:szCs w:val="18"/>
              </w:rPr>
              <w:t>Unit</w:t>
            </w:r>
          </w:p>
        </w:tc>
        <w:tc>
          <w:tcPr>
            <w:tcW w:w="828" w:type="pct"/>
          </w:tcPr>
          <w:p w14:paraId="18A71797"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w:t>
            </w:r>
          </w:p>
          <w:p w14:paraId="5D40CC07" w14:textId="77777777" w:rsidR="008A3EA0" w:rsidRPr="00D41F68" w:rsidRDefault="008A3EA0" w:rsidP="001E4AD7">
            <w:pPr>
              <w:pStyle w:val="TableParagraph"/>
              <w:spacing w:line="480" w:lineRule="auto"/>
              <w:ind w:left="100" w:right="80"/>
              <w:rPr>
                <w:rFonts w:ascii="Arial" w:hAnsi="Arial" w:cs="Arial"/>
                <w:b/>
                <w:sz w:val="18"/>
                <w:szCs w:val="18"/>
              </w:rPr>
            </w:pPr>
            <w:proofErr w:type="gramStart"/>
            <w:r w:rsidRPr="00D41F68">
              <w:rPr>
                <w:rFonts w:ascii="Arial" w:hAnsi="Arial" w:cs="Arial"/>
                <w:b/>
                <w:sz w:val="18"/>
                <w:szCs w:val="18"/>
              </w:rPr>
              <w:t>( CMC</w:t>
            </w:r>
            <w:proofErr w:type="gramEnd"/>
            <w:r w:rsidRPr="00D41F68">
              <w:rPr>
                <w:rFonts w:ascii="Arial" w:hAnsi="Arial" w:cs="Arial"/>
                <w:b/>
                <w:sz w:val="18"/>
                <w:szCs w:val="18"/>
              </w:rPr>
              <w:t xml:space="preserve"> )</w:t>
            </w:r>
          </w:p>
        </w:tc>
        <w:tc>
          <w:tcPr>
            <w:tcW w:w="806" w:type="pct"/>
          </w:tcPr>
          <w:p w14:paraId="19E01006"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II</w:t>
            </w:r>
          </w:p>
          <w:p w14:paraId="43D363BC"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(Indoxacarb)</w:t>
            </w:r>
          </w:p>
        </w:tc>
        <w:tc>
          <w:tcPr>
            <w:tcW w:w="784" w:type="pct"/>
          </w:tcPr>
          <w:p w14:paraId="1FA60DEC"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III</w:t>
            </w:r>
          </w:p>
          <w:p w14:paraId="4070DC6B" w14:textId="77777777" w:rsidR="008A3EA0" w:rsidRPr="00D41F68" w:rsidRDefault="008A3EA0" w:rsidP="001E4AD7">
            <w:pPr>
              <w:pStyle w:val="TableParagraph"/>
              <w:spacing w:line="480" w:lineRule="auto"/>
              <w:ind w:left="100" w:right="80"/>
              <w:rPr>
                <w:rFonts w:ascii="Arial" w:hAnsi="Arial" w:cs="Arial"/>
                <w:b/>
                <w:sz w:val="18"/>
                <w:szCs w:val="18"/>
              </w:rPr>
            </w:pPr>
            <w:proofErr w:type="gramStart"/>
            <w:r w:rsidRPr="00D41F68">
              <w:rPr>
                <w:rFonts w:ascii="Arial" w:hAnsi="Arial" w:cs="Arial"/>
                <w:b/>
                <w:sz w:val="18"/>
                <w:szCs w:val="18"/>
              </w:rPr>
              <w:t>( Vitamin</w:t>
            </w:r>
            <w:proofErr w:type="gramEnd"/>
            <w:r w:rsidRPr="00D41F68">
              <w:rPr>
                <w:rFonts w:ascii="Arial" w:hAnsi="Arial" w:cs="Arial"/>
                <w:b/>
                <w:sz w:val="18"/>
                <w:szCs w:val="18"/>
              </w:rPr>
              <w:t xml:space="preserve"> C)</w:t>
            </w:r>
          </w:p>
        </w:tc>
        <w:tc>
          <w:tcPr>
            <w:tcW w:w="785" w:type="pct"/>
          </w:tcPr>
          <w:p w14:paraId="44C4CBDD"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Group IV</w:t>
            </w:r>
          </w:p>
          <w:p w14:paraId="4CCDB2B4" w14:textId="77777777" w:rsidR="008A3EA0" w:rsidRPr="00D41F68" w:rsidRDefault="008A3EA0" w:rsidP="001E4AD7">
            <w:pPr>
              <w:pStyle w:val="TableParagraph"/>
              <w:spacing w:line="480" w:lineRule="auto"/>
              <w:ind w:left="100" w:right="80"/>
              <w:rPr>
                <w:rFonts w:ascii="Arial" w:hAnsi="Arial" w:cs="Arial"/>
                <w:b/>
                <w:sz w:val="18"/>
                <w:szCs w:val="18"/>
              </w:rPr>
            </w:pPr>
            <w:proofErr w:type="gramStart"/>
            <w:r w:rsidRPr="00D41F68">
              <w:rPr>
                <w:rFonts w:ascii="Arial" w:hAnsi="Arial" w:cs="Arial"/>
                <w:b/>
                <w:sz w:val="18"/>
                <w:szCs w:val="18"/>
              </w:rPr>
              <w:t>( IND</w:t>
            </w:r>
            <w:proofErr w:type="gramEnd"/>
            <w:r w:rsidRPr="00D41F68">
              <w:rPr>
                <w:rFonts w:ascii="Arial" w:hAnsi="Arial" w:cs="Arial"/>
                <w:b/>
                <w:sz w:val="18"/>
                <w:szCs w:val="18"/>
              </w:rPr>
              <w:t xml:space="preserve"> + VIT-</w:t>
            </w:r>
            <w:proofErr w:type="gramStart"/>
            <w:r w:rsidRPr="00D41F68">
              <w:rPr>
                <w:rFonts w:ascii="Arial" w:hAnsi="Arial" w:cs="Arial"/>
                <w:b/>
                <w:sz w:val="18"/>
                <w:szCs w:val="18"/>
              </w:rPr>
              <w:t>C )</w:t>
            </w:r>
            <w:proofErr w:type="gramEnd"/>
          </w:p>
        </w:tc>
        <w:tc>
          <w:tcPr>
            <w:tcW w:w="447" w:type="pct"/>
          </w:tcPr>
          <w:p w14:paraId="0A4D7FEE" w14:textId="77777777" w:rsidR="008A3EA0" w:rsidRPr="00D41F68" w:rsidRDefault="008A3EA0" w:rsidP="001E4AD7">
            <w:pPr>
              <w:pStyle w:val="TableParagraph"/>
              <w:spacing w:line="480" w:lineRule="auto"/>
              <w:ind w:left="100" w:right="80"/>
              <w:rPr>
                <w:rFonts w:ascii="Arial" w:hAnsi="Arial" w:cs="Arial"/>
                <w:b/>
                <w:sz w:val="18"/>
                <w:szCs w:val="18"/>
              </w:rPr>
            </w:pPr>
            <w:r w:rsidRPr="00D41F68">
              <w:rPr>
                <w:rFonts w:ascii="Arial" w:hAnsi="Arial" w:cs="Arial"/>
                <w:b/>
                <w:sz w:val="18"/>
                <w:szCs w:val="18"/>
              </w:rPr>
              <w:t>P value</w:t>
            </w:r>
          </w:p>
        </w:tc>
      </w:tr>
      <w:tr w:rsidR="008A3EA0" w:rsidRPr="00D41F68" w14:paraId="3A99E401" w14:textId="77777777" w:rsidTr="008A3EA0">
        <w:trPr>
          <w:trHeight w:val="243"/>
        </w:trPr>
        <w:tc>
          <w:tcPr>
            <w:tcW w:w="764" w:type="pct"/>
            <w:vAlign w:val="center"/>
          </w:tcPr>
          <w:p w14:paraId="3A0C5343" w14:textId="77777777" w:rsidR="008A3EA0" w:rsidRPr="00D41F68" w:rsidRDefault="008A3EA0" w:rsidP="001E4AD7">
            <w:pPr>
              <w:pStyle w:val="TableParagraph"/>
              <w:spacing w:line="480" w:lineRule="auto"/>
              <w:ind w:left="120" w:right="89"/>
              <w:rPr>
                <w:rFonts w:ascii="Arial" w:hAnsi="Arial" w:cs="Arial"/>
                <w:b/>
                <w:sz w:val="18"/>
                <w:szCs w:val="18"/>
              </w:rPr>
            </w:pPr>
            <w:r w:rsidRPr="00D41F68">
              <w:rPr>
                <w:rFonts w:ascii="Arial" w:hAnsi="Arial" w:cs="Arial"/>
                <w:b/>
                <w:sz w:val="18"/>
                <w:szCs w:val="18"/>
              </w:rPr>
              <w:t>TEC</w:t>
            </w:r>
          </w:p>
        </w:tc>
        <w:tc>
          <w:tcPr>
            <w:tcW w:w="586" w:type="pct"/>
            <w:vAlign w:val="center"/>
          </w:tcPr>
          <w:p w14:paraId="05E30D0E"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6</w:t>
            </w:r>
            <w:r w:rsidRPr="00D41F68">
              <w:rPr>
                <w:rFonts w:ascii="Arial" w:hAnsi="Arial" w:cs="Arial"/>
                <w:sz w:val="18"/>
                <w:szCs w:val="18"/>
              </w:rPr>
              <w:t>/ µL</w:t>
            </w:r>
          </w:p>
        </w:tc>
        <w:tc>
          <w:tcPr>
            <w:tcW w:w="828" w:type="pct"/>
            <w:vAlign w:val="center"/>
          </w:tcPr>
          <w:p w14:paraId="72789226"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7.66± 0.313</w:t>
            </w:r>
            <w:r w:rsidRPr="00D41F68">
              <w:rPr>
                <w:rFonts w:ascii="Arial" w:hAnsi="Arial" w:cs="Arial"/>
                <w:sz w:val="18"/>
                <w:szCs w:val="18"/>
                <w:vertAlign w:val="superscript"/>
              </w:rPr>
              <w:t xml:space="preserve"> b</w:t>
            </w:r>
          </w:p>
        </w:tc>
        <w:tc>
          <w:tcPr>
            <w:tcW w:w="806" w:type="pct"/>
            <w:vAlign w:val="center"/>
          </w:tcPr>
          <w:p w14:paraId="168BA143" w14:textId="77777777" w:rsidR="008A3EA0" w:rsidRPr="00D41F68" w:rsidRDefault="008A3EA0" w:rsidP="001E4AD7">
            <w:pPr>
              <w:pStyle w:val="TableParagraph"/>
              <w:spacing w:line="480" w:lineRule="auto"/>
              <w:ind w:left="108" w:right="77"/>
              <w:rPr>
                <w:rFonts w:ascii="Arial" w:hAnsi="Arial" w:cs="Arial"/>
                <w:bCs/>
                <w:sz w:val="18"/>
                <w:szCs w:val="18"/>
              </w:rPr>
            </w:pPr>
            <w:r w:rsidRPr="00D41F68">
              <w:rPr>
                <w:rFonts w:ascii="Arial" w:hAnsi="Arial" w:cs="Arial"/>
                <w:bCs/>
                <w:sz w:val="18"/>
                <w:szCs w:val="18"/>
              </w:rPr>
              <w:t>5.77± 0.675</w:t>
            </w:r>
            <w:r w:rsidRPr="00D41F68">
              <w:rPr>
                <w:rFonts w:ascii="Arial" w:hAnsi="Arial" w:cs="Arial"/>
                <w:bCs/>
                <w:sz w:val="18"/>
                <w:szCs w:val="18"/>
                <w:vertAlign w:val="superscript"/>
              </w:rPr>
              <w:t xml:space="preserve"> a</w:t>
            </w:r>
          </w:p>
        </w:tc>
        <w:tc>
          <w:tcPr>
            <w:tcW w:w="784" w:type="pct"/>
            <w:vAlign w:val="center"/>
          </w:tcPr>
          <w:p w14:paraId="05B638B9" w14:textId="77777777" w:rsidR="008A3EA0" w:rsidRPr="00D41F68" w:rsidRDefault="008A3EA0" w:rsidP="001E4AD7">
            <w:pPr>
              <w:pStyle w:val="TableParagraph"/>
              <w:spacing w:line="480" w:lineRule="auto"/>
              <w:ind w:left="108" w:right="75"/>
              <w:rPr>
                <w:rFonts w:ascii="Arial" w:hAnsi="Arial" w:cs="Arial"/>
                <w:bCs/>
                <w:sz w:val="18"/>
                <w:szCs w:val="18"/>
              </w:rPr>
            </w:pPr>
            <w:r w:rsidRPr="00D41F68">
              <w:rPr>
                <w:rFonts w:ascii="Arial" w:hAnsi="Arial" w:cs="Arial"/>
                <w:bCs/>
                <w:sz w:val="18"/>
                <w:szCs w:val="18"/>
              </w:rPr>
              <w:t>7.65± 0.568</w:t>
            </w:r>
            <w:r w:rsidRPr="00D41F68">
              <w:rPr>
                <w:rFonts w:ascii="Arial" w:hAnsi="Arial" w:cs="Arial"/>
                <w:bCs/>
                <w:sz w:val="18"/>
                <w:szCs w:val="18"/>
                <w:vertAlign w:val="superscript"/>
              </w:rPr>
              <w:t xml:space="preserve"> b</w:t>
            </w:r>
          </w:p>
        </w:tc>
        <w:tc>
          <w:tcPr>
            <w:tcW w:w="785" w:type="pct"/>
            <w:vAlign w:val="center"/>
          </w:tcPr>
          <w:p w14:paraId="3AAAB938" w14:textId="77777777" w:rsidR="008A3EA0" w:rsidRPr="00D41F68" w:rsidRDefault="008A3EA0"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6.22±0.540</w:t>
            </w:r>
            <w:r w:rsidRPr="00D41F68">
              <w:rPr>
                <w:rFonts w:ascii="Arial" w:hAnsi="Arial" w:cs="Arial"/>
                <w:bCs/>
                <w:sz w:val="18"/>
                <w:szCs w:val="18"/>
                <w:vertAlign w:val="superscript"/>
              </w:rPr>
              <w:t xml:space="preserve"> a</w:t>
            </w:r>
          </w:p>
        </w:tc>
        <w:tc>
          <w:tcPr>
            <w:tcW w:w="447" w:type="pct"/>
          </w:tcPr>
          <w:p w14:paraId="42907308" w14:textId="77777777" w:rsidR="008A3EA0" w:rsidRPr="00D41F68" w:rsidRDefault="000E1C53"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0.000</w:t>
            </w:r>
          </w:p>
        </w:tc>
      </w:tr>
      <w:tr w:rsidR="008A3EA0" w:rsidRPr="00D41F68" w14:paraId="7897E1BF" w14:textId="77777777" w:rsidTr="008A3EA0">
        <w:trPr>
          <w:trHeight w:val="237"/>
        </w:trPr>
        <w:tc>
          <w:tcPr>
            <w:tcW w:w="764" w:type="pct"/>
            <w:vAlign w:val="center"/>
          </w:tcPr>
          <w:p w14:paraId="3CCCDBFF" w14:textId="77777777" w:rsidR="008A3EA0" w:rsidRPr="00D41F68" w:rsidRDefault="008A3EA0" w:rsidP="001E4AD7">
            <w:pPr>
              <w:pStyle w:val="TableParagraph"/>
              <w:spacing w:line="480" w:lineRule="auto"/>
              <w:ind w:left="112" w:right="113"/>
              <w:rPr>
                <w:rFonts w:ascii="Arial" w:hAnsi="Arial" w:cs="Arial"/>
                <w:b/>
                <w:sz w:val="18"/>
                <w:szCs w:val="18"/>
              </w:rPr>
            </w:pPr>
            <w:proofErr w:type="spellStart"/>
            <w:r w:rsidRPr="00D41F68">
              <w:rPr>
                <w:rFonts w:ascii="Arial" w:hAnsi="Arial" w:cs="Arial"/>
                <w:b/>
                <w:sz w:val="18"/>
                <w:szCs w:val="18"/>
              </w:rPr>
              <w:t>Haemoglobin</w:t>
            </w:r>
            <w:proofErr w:type="spellEnd"/>
          </w:p>
        </w:tc>
        <w:tc>
          <w:tcPr>
            <w:tcW w:w="586" w:type="pct"/>
            <w:vAlign w:val="center"/>
          </w:tcPr>
          <w:p w14:paraId="1A20931D"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g/dL</w:t>
            </w:r>
          </w:p>
        </w:tc>
        <w:tc>
          <w:tcPr>
            <w:tcW w:w="828" w:type="pct"/>
            <w:vAlign w:val="center"/>
          </w:tcPr>
          <w:p w14:paraId="6EB89254"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15.38± 0.817</w:t>
            </w:r>
            <w:r w:rsidRPr="00D41F68">
              <w:rPr>
                <w:rFonts w:ascii="Arial" w:hAnsi="Arial" w:cs="Arial"/>
                <w:sz w:val="18"/>
                <w:szCs w:val="18"/>
                <w:vertAlign w:val="superscript"/>
              </w:rPr>
              <w:t xml:space="preserve"> b</w:t>
            </w:r>
          </w:p>
        </w:tc>
        <w:tc>
          <w:tcPr>
            <w:tcW w:w="806" w:type="pct"/>
            <w:vAlign w:val="center"/>
          </w:tcPr>
          <w:p w14:paraId="39D295B4" w14:textId="77777777" w:rsidR="008A3EA0" w:rsidRPr="00D41F68" w:rsidRDefault="008A3EA0" w:rsidP="001E4AD7">
            <w:pPr>
              <w:pStyle w:val="TableParagraph"/>
              <w:spacing w:line="480" w:lineRule="auto"/>
              <w:ind w:left="108" w:right="77"/>
              <w:rPr>
                <w:rFonts w:ascii="Arial" w:hAnsi="Arial" w:cs="Arial"/>
                <w:bCs/>
                <w:sz w:val="18"/>
                <w:szCs w:val="18"/>
              </w:rPr>
            </w:pPr>
            <w:r w:rsidRPr="00D41F68">
              <w:rPr>
                <w:rFonts w:ascii="Arial" w:hAnsi="Arial" w:cs="Arial"/>
                <w:bCs/>
                <w:sz w:val="18"/>
                <w:szCs w:val="18"/>
              </w:rPr>
              <w:t>12.04± 0.937</w:t>
            </w:r>
            <w:r w:rsidRPr="00D41F68">
              <w:rPr>
                <w:rFonts w:ascii="Arial" w:hAnsi="Arial" w:cs="Arial"/>
                <w:bCs/>
                <w:sz w:val="18"/>
                <w:szCs w:val="18"/>
                <w:vertAlign w:val="superscript"/>
              </w:rPr>
              <w:t xml:space="preserve"> a</w:t>
            </w:r>
          </w:p>
        </w:tc>
        <w:tc>
          <w:tcPr>
            <w:tcW w:w="784" w:type="pct"/>
            <w:vAlign w:val="center"/>
          </w:tcPr>
          <w:p w14:paraId="5EC5F786" w14:textId="77777777" w:rsidR="008A3EA0" w:rsidRPr="00D41F68" w:rsidRDefault="008A3EA0" w:rsidP="001E4AD7">
            <w:pPr>
              <w:pStyle w:val="TableParagraph"/>
              <w:spacing w:line="480" w:lineRule="auto"/>
              <w:ind w:left="108" w:right="75"/>
              <w:rPr>
                <w:rFonts w:ascii="Arial" w:hAnsi="Arial" w:cs="Arial"/>
                <w:bCs/>
                <w:sz w:val="18"/>
                <w:szCs w:val="18"/>
              </w:rPr>
            </w:pPr>
            <w:r w:rsidRPr="00D41F68">
              <w:rPr>
                <w:rFonts w:ascii="Arial" w:hAnsi="Arial" w:cs="Arial"/>
                <w:bCs/>
                <w:sz w:val="18"/>
                <w:szCs w:val="18"/>
              </w:rPr>
              <w:t>15.90± 0.938</w:t>
            </w:r>
            <w:r w:rsidRPr="00D41F68">
              <w:rPr>
                <w:rFonts w:ascii="Arial" w:hAnsi="Arial" w:cs="Arial"/>
                <w:bCs/>
                <w:sz w:val="18"/>
                <w:szCs w:val="18"/>
                <w:vertAlign w:val="superscript"/>
              </w:rPr>
              <w:t xml:space="preserve"> b</w:t>
            </w:r>
          </w:p>
        </w:tc>
        <w:tc>
          <w:tcPr>
            <w:tcW w:w="785" w:type="pct"/>
            <w:vAlign w:val="center"/>
          </w:tcPr>
          <w:p w14:paraId="6BB5C76A" w14:textId="77777777" w:rsidR="008A3EA0" w:rsidRPr="00D41F68" w:rsidRDefault="008A3EA0"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12.58± 0.817</w:t>
            </w:r>
            <w:r w:rsidRPr="00D41F68">
              <w:rPr>
                <w:rFonts w:ascii="Arial" w:hAnsi="Arial" w:cs="Arial"/>
                <w:bCs/>
                <w:sz w:val="18"/>
                <w:szCs w:val="18"/>
                <w:vertAlign w:val="superscript"/>
              </w:rPr>
              <w:t xml:space="preserve"> a</w:t>
            </w:r>
          </w:p>
        </w:tc>
        <w:tc>
          <w:tcPr>
            <w:tcW w:w="447" w:type="pct"/>
          </w:tcPr>
          <w:p w14:paraId="37B01163" w14:textId="77777777" w:rsidR="008A3EA0" w:rsidRPr="00D41F68" w:rsidRDefault="000E1C53"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0.000</w:t>
            </w:r>
          </w:p>
        </w:tc>
      </w:tr>
      <w:tr w:rsidR="008A3EA0" w:rsidRPr="00D41F68" w14:paraId="2DD20A8C" w14:textId="77777777" w:rsidTr="008A3EA0">
        <w:trPr>
          <w:trHeight w:val="279"/>
        </w:trPr>
        <w:tc>
          <w:tcPr>
            <w:tcW w:w="764" w:type="pct"/>
            <w:vAlign w:val="center"/>
          </w:tcPr>
          <w:p w14:paraId="75BC53F8" w14:textId="77777777" w:rsidR="008A3EA0" w:rsidRPr="00D41F68" w:rsidRDefault="008A3EA0" w:rsidP="001E4AD7">
            <w:pPr>
              <w:pStyle w:val="TableParagraph"/>
              <w:spacing w:line="480" w:lineRule="auto"/>
              <w:ind w:left="117" w:right="113"/>
              <w:rPr>
                <w:rFonts w:ascii="Arial" w:hAnsi="Arial" w:cs="Arial"/>
                <w:b/>
                <w:sz w:val="18"/>
                <w:szCs w:val="18"/>
              </w:rPr>
            </w:pPr>
            <w:r w:rsidRPr="00D41F68">
              <w:rPr>
                <w:rFonts w:ascii="Arial" w:hAnsi="Arial" w:cs="Arial"/>
                <w:b/>
                <w:sz w:val="18"/>
                <w:szCs w:val="18"/>
              </w:rPr>
              <w:t>HCT</w:t>
            </w:r>
          </w:p>
        </w:tc>
        <w:tc>
          <w:tcPr>
            <w:tcW w:w="586" w:type="pct"/>
            <w:vAlign w:val="center"/>
          </w:tcPr>
          <w:p w14:paraId="54EE4D66"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w:t>
            </w:r>
          </w:p>
        </w:tc>
        <w:tc>
          <w:tcPr>
            <w:tcW w:w="828" w:type="pct"/>
            <w:vAlign w:val="center"/>
          </w:tcPr>
          <w:p w14:paraId="551C2915"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42.90± 2.562</w:t>
            </w:r>
            <w:r w:rsidRPr="00D41F68">
              <w:rPr>
                <w:rFonts w:ascii="Arial" w:hAnsi="Arial" w:cs="Arial"/>
                <w:sz w:val="18"/>
                <w:szCs w:val="18"/>
                <w:vertAlign w:val="superscript"/>
              </w:rPr>
              <w:t xml:space="preserve"> b</w:t>
            </w:r>
          </w:p>
        </w:tc>
        <w:tc>
          <w:tcPr>
            <w:tcW w:w="806" w:type="pct"/>
            <w:vAlign w:val="center"/>
          </w:tcPr>
          <w:p w14:paraId="3460DB1A" w14:textId="77777777" w:rsidR="008A3EA0" w:rsidRPr="00D41F68" w:rsidRDefault="008A3EA0" w:rsidP="001E4AD7">
            <w:pPr>
              <w:pStyle w:val="TableParagraph"/>
              <w:spacing w:line="480" w:lineRule="auto"/>
              <w:ind w:left="108" w:right="77"/>
              <w:rPr>
                <w:rFonts w:ascii="Arial" w:hAnsi="Arial" w:cs="Arial"/>
                <w:bCs/>
                <w:sz w:val="18"/>
                <w:szCs w:val="18"/>
              </w:rPr>
            </w:pPr>
            <w:r w:rsidRPr="00D41F68">
              <w:rPr>
                <w:rFonts w:ascii="Arial" w:hAnsi="Arial" w:cs="Arial"/>
                <w:bCs/>
                <w:sz w:val="18"/>
                <w:szCs w:val="18"/>
              </w:rPr>
              <w:t>36.38± 4.271</w:t>
            </w:r>
            <w:r w:rsidRPr="00D41F68">
              <w:rPr>
                <w:rFonts w:ascii="Arial" w:hAnsi="Arial" w:cs="Arial"/>
                <w:bCs/>
                <w:sz w:val="18"/>
                <w:szCs w:val="18"/>
                <w:vertAlign w:val="superscript"/>
              </w:rPr>
              <w:t xml:space="preserve"> a</w:t>
            </w:r>
          </w:p>
        </w:tc>
        <w:tc>
          <w:tcPr>
            <w:tcW w:w="784" w:type="pct"/>
            <w:vAlign w:val="center"/>
          </w:tcPr>
          <w:p w14:paraId="02C2516F" w14:textId="77777777" w:rsidR="008A3EA0" w:rsidRPr="00D41F68" w:rsidRDefault="008A3EA0" w:rsidP="001E4AD7">
            <w:pPr>
              <w:pStyle w:val="TableParagraph"/>
              <w:spacing w:line="480" w:lineRule="auto"/>
              <w:ind w:left="108" w:right="75"/>
              <w:rPr>
                <w:rFonts w:ascii="Arial" w:hAnsi="Arial" w:cs="Arial"/>
                <w:bCs/>
                <w:sz w:val="18"/>
                <w:szCs w:val="18"/>
              </w:rPr>
            </w:pPr>
            <w:r w:rsidRPr="00D41F68">
              <w:rPr>
                <w:rFonts w:ascii="Arial" w:hAnsi="Arial" w:cs="Arial"/>
                <w:bCs/>
                <w:sz w:val="18"/>
                <w:szCs w:val="18"/>
              </w:rPr>
              <w:t>43.50± 3.338</w:t>
            </w:r>
            <w:r w:rsidRPr="00D41F68">
              <w:rPr>
                <w:rFonts w:ascii="Arial" w:hAnsi="Arial" w:cs="Arial"/>
                <w:bCs/>
                <w:sz w:val="18"/>
                <w:szCs w:val="18"/>
                <w:vertAlign w:val="superscript"/>
              </w:rPr>
              <w:t xml:space="preserve"> b</w:t>
            </w:r>
          </w:p>
        </w:tc>
        <w:tc>
          <w:tcPr>
            <w:tcW w:w="785" w:type="pct"/>
            <w:vAlign w:val="center"/>
          </w:tcPr>
          <w:p w14:paraId="73BAD2C2" w14:textId="77777777" w:rsidR="008A3EA0" w:rsidRPr="00D41F68" w:rsidRDefault="008A3EA0"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 xml:space="preserve">37.38± </w:t>
            </w:r>
            <w:proofErr w:type="gramStart"/>
            <w:r w:rsidRPr="00D41F68">
              <w:rPr>
                <w:rFonts w:ascii="Arial" w:hAnsi="Arial" w:cs="Arial"/>
                <w:bCs/>
                <w:sz w:val="18"/>
                <w:szCs w:val="18"/>
              </w:rPr>
              <w:t>4.008</w:t>
            </w:r>
            <w:r w:rsidRPr="00D41F68">
              <w:rPr>
                <w:rFonts w:ascii="Arial" w:hAnsi="Arial" w:cs="Arial"/>
                <w:bCs/>
                <w:sz w:val="18"/>
                <w:szCs w:val="18"/>
                <w:vertAlign w:val="superscript"/>
              </w:rPr>
              <w:t xml:space="preserve">  a</w:t>
            </w:r>
            <w:proofErr w:type="gramEnd"/>
          </w:p>
        </w:tc>
        <w:tc>
          <w:tcPr>
            <w:tcW w:w="447" w:type="pct"/>
          </w:tcPr>
          <w:p w14:paraId="61344899" w14:textId="77777777" w:rsidR="008A3EA0" w:rsidRPr="00D41F68" w:rsidRDefault="000E1C53" w:rsidP="001E4AD7">
            <w:pPr>
              <w:pStyle w:val="TableParagraph"/>
              <w:spacing w:line="480" w:lineRule="auto"/>
              <w:ind w:left="109" w:right="90"/>
              <w:rPr>
                <w:rFonts w:ascii="Arial" w:hAnsi="Arial" w:cs="Arial"/>
                <w:bCs/>
                <w:sz w:val="18"/>
                <w:szCs w:val="18"/>
              </w:rPr>
            </w:pPr>
            <w:r w:rsidRPr="00D41F68">
              <w:rPr>
                <w:rFonts w:ascii="Arial" w:hAnsi="Arial" w:cs="Arial"/>
                <w:bCs/>
                <w:sz w:val="18"/>
                <w:szCs w:val="18"/>
              </w:rPr>
              <w:t>0.009</w:t>
            </w:r>
          </w:p>
        </w:tc>
      </w:tr>
      <w:tr w:rsidR="008A3EA0" w:rsidRPr="00D41F68" w14:paraId="7408644E" w14:textId="77777777" w:rsidTr="008A3EA0">
        <w:trPr>
          <w:trHeight w:val="314"/>
        </w:trPr>
        <w:tc>
          <w:tcPr>
            <w:tcW w:w="764" w:type="pct"/>
            <w:vAlign w:val="center"/>
          </w:tcPr>
          <w:p w14:paraId="6DEB6516" w14:textId="77777777" w:rsidR="008A3EA0" w:rsidRPr="00D41F68" w:rsidRDefault="008A3EA0" w:rsidP="001E4AD7">
            <w:pPr>
              <w:pStyle w:val="TableParagraph"/>
              <w:spacing w:line="480" w:lineRule="auto"/>
              <w:ind w:left="113" w:right="113"/>
              <w:rPr>
                <w:rFonts w:ascii="Arial" w:hAnsi="Arial" w:cs="Arial"/>
                <w:b/>
                <w:sz w:val="18"/>
                <w:szCs w:val="18"/>
              </w:rPr>
            </w:pPr>
            <w:r w:rsidRPr="00D41F68">
              <w:rPr>
                <w:rFonts w:ascii="Arial" w:hAnsi="Arial" w:cs="Arial"/>
                <w:b/>
                <w:sz w:val="18"/>
                <w:szCs w:val="18"/>
              </w:rPr>
              <w:t>MCV</w:t>
            </w:r>
          </w:p>
        </w:tc>
        <w:tc>
          <w:tcPr>
            <w:tcW w:w="586" w:type="pct"/>
            <w:vAlign w:val="center"/>
          </w:tcPr>
          <w:p w14:paraId="7A920116" w14:textId="77777777" w:rsidR="008A3EA0" w:rsidRPr="00D41F68" w:rsidRDefault="008A3EA0" w:rsidP="001E4AD7">
            <w:pPr>
              <w:pStyle w:val="TableParagraph"/>
              <w:spacing w:line="480" w:lineRule="auto"/>
              <w:ind w:left="171" w:right="151"/>
              <w:rPr>
                <w:rFonts w:ascii="Arial" w:hAnsi="Arial" w:cs="Arial"/>
                <w:sz w:val="18"/>
                <w:szCs w:val="18"/>
              </w:rPr>
            </w:pPr>
            <w:proofErr w:type="spellStart"/>
            <w:r w:rsidRPr="00D41F68">
              <w:rPr>
                <w:rFonts w:ascii="Arial" w:hAnsi="Arial" w:cs="Arial"/>
                <w:sz w:val="18"/>
                <w:szCs w:val="18"/>
              </w:rPr>
              <w:t>fL</w:t>
            </w:r>
            <w:proofErr w:type="spellEnd"/>
          </w:p>
        </w:tc>
        <w:tc>
          <w:tcPr>
            <w:tcW w:w="828" w:type="pct"/>
            <w:vAlign w:val="center"/>
          </w:tcPr>
          <w:p w14:paraId="4E40B22F"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57.60± 3.271</w:t>
            </w:r>
            <w:r w:rsidRPr="00D41F68">
              <w:rPr>
                <w:rFonts w:ascii="Arial" w:eastAsia="Andale Sans UI" w:hAnsi="Arial" w:cs="Arial"/>
                <w:kern w:val="1"/>
                <w:sz w:val="18"/>
                <w:szCs w:val="18"/>
                <w:vertAlign w:val="superscript"/>
              </w:rPr>
              <w:t xml:space="preserve"> a</w:t>
            </w:r>
          </w:p>
        </w:tc>
        <w:tc>
          <w:tcPr>
            <w:tcW w:w="806" w:type="pct"/>
            <w:vAlign w:val="center"/>
          </w:tcPr>
          <w:p w14:paraId="2300A565"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54.80± 3.203</w:t>
            </w:r>
            <w:r w:rsidRPr="00D41F68">
              <w:rPr>
                <w:rFonts w:ascii="Arial" w:eastAsia="Andale Sans UI" w:hAnsi="Arial" w:cs="Arial"/>
                <w:kern w:val="1"/>
                <w:sz w:val="18"/>
                <w:szCs w:val="18"/>
                <w:vertAlign w:val="superscript"/>
              </w:rPr>
              <w:t xml:space="preserve"> a</w:t>
            </w:r>
          </w:p>
        </w:tc>
        <w:tc>
          <w:tcPr>
            <w:tcW w:w="784" w:type="pct"/>
            <w:vAlign w:val="center"/>
          </w:tcPr>
          <w:p w14:paraId="6AD5D1E1"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58.18± 2.489</w:t>
            </w:r>
            <w:r w:rsidRPr="00D41F68">
              <w:rPr>
                <w:rFonts w:ascii="Arial" w:eastAsia="Andale Sans UI" w:hAnsi="Arial" w:cs="Arial"/>
                <w:kern w:val="1"/>
                <w:sz w:val="18"/>
                <w:szCs w:val="18"/>
                <w:vertAlign w:val="superscript"/>
              </w:rPr>
              <w:t xml:space="preserve"> a</w:t>
            </w:r>
          </w:p>
        </w:tc>
        <w:tc>
          <w:tcPr>
            <w:tcW w:w="785" w:type="pct"/>
            <w:vAlign w:val="center"/>
          </w:tcPr>
          <w:p w14:paraId="27E19BCD"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55.30± 4.008</w:t>
            </w:r>
            <w:r w:rsidRPr="00D41F68">
              <w:rPr>
                <w:rFonts w:ascii="Arial" w:eastAsia="Andale Sans UI" w:hAnsi="Arial" w:cs="Arial"/>
                <w:kern w:val="1"/>
                <w:sz w:val="18"/>
                <w:szCs w:val="18"/>
                <w:vertAlign w:val="superscript"/>
              </w:rPr>
              <w:t xml:space="preserve"> a</w:t>
            </w:r>
          </w:p>
        </w:tc>
        <w:tc>
          <w:tcPr>
            <w:tcW w:w="447" w:type="pct"/>
          </w:tcPr>
          <w:p w14:paraId="1522D314"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0.312</w:t>
            </w:r>
          </w:p>
        </w:tc>
      </w:tr>
      <w:tr w:rsidR="008A3EA0" w:rsidRPr="00D41F68" w14:paraId="54E3F38F" w14:textId="77777777" w:rsidTr="008A3EA0">
        <w:trPr>
          <w:trHeight w:val="314"/>
        </w:trPr>
        <w:tc>
          <w:tcPr>
            <w:tcW w:w="764" w:type="pct"/>
            <w:vAlign w:val="center"/>
          </w:tcPr>
          <w:p w14:paraId="00FCED77" w14:textId="77777777" w:rsidR="008A3EA0" w:rsidRPr="00D41F68" w:rsidRDefault="008A3EA0" w:rsidP="001E4AD7">
            <w:pPr>
              <w:pStyle w:val="TableParagraph"/>
              <w:spacing w:line="480" w:lineRule="auto"/>
              <w:rPr>
                <w:rFonts w:ascii="Arial" w:hAnsi="Arial" w:cs="Arial"/>
                <w:b/>
                <w:sz w:val="18"/>
                <w:szCs w:val="18"/>
              </w:rPr>
            </w:pPr>
            <w:r w:rsidRPr="00D41F68">
              <w:rPr>
                <w:rFonts w:ascii="Arial" w:hAnsi="Arial" w:cs="Arial"/>
                <w:b/>
                <w:sz w:val="18"/>
                <w:szCs w:val="18"/>
              </w:rPr>
              <w:t>MCH</w:t>
            </w:r>
          </w:p>
        </w:tc>
        <w:tc>
          <w:tcPr>
            <w:tcW w:w="586" w:type="pct"/>
            <w:vAlign w:val="center"/>
          </w:tcPr>
          <w:p w14:paraId="022E9BB7" w14:textId="77777777" w:rsidR="008A3EA0" w:rsidRPr="00D41F68" w:rsidRDefault="008A3EA0" w:rsidP="001E4AD7">
            <w:pPr>
              <w:pStyle w:val="TableParagraph"/>
              <w:spacing w:line="480" w:lineRule="auto"/>
              <w:ind w:left="98" w:right="68"/>
              <w:rPr>
                <w:rFonts w:ascii="Arial" w:hAnsi="Arial" w:cs="Arial"/>
                <w:sz w:val="18"/>
                <w:szCs w:val="18"/>
              </w:rPr>
            </w:pPr>
            <w:r w:rsidRPr="00D41F68">
              <w:rPr>
                <w:rFonts w:ascii="Arial" w:hAnsi="Arial" w:cs="Arial"/>
                <w:sz w:val="18"/>
                <w:szCs w:val="18"/>
              </w:rPr>
              <w:t>Pg</w:t>
            </w:r>
          </w:p>
        </w:tc>
        <w:tc>
          <w:tcPr>
            <w:tcW w:w="828" w:type="pct"/>
            <w:vAlign w:val="center"/>
          </w:tcPr>
          <w:p w14:paraId="511878C6"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20.20± 0.418</w:t>
            </w:r>
            <w:r w:rsidRPr="00D41F68">
              <w:rPr>
                <w:rFonts w:ascii="Arial" w:eastAsia="Andale Sans UI" w:hAnsi="Arial" w:cs="Arial"/>
                <w:kern w:val="1"/>
                <w:sz w:val="18"/>
                <w:szCs w:val="18"/>
                <w:vertAlign w:val="superscript"/>
              </w:rPr>
              <w:t xml:space="preserve"> a</w:t>
            </w:r>
          </w:p>
        </w:tc>
        <w:tc>
          <w:tcPr>
            <w:tcW w:w="806" w:type="pct"/>
            <w:vAlign w:val="center"/>
          </w:tcPr>
          <w:p w14:paraId="32DE193C"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20.76± 0.518</w:t>
            </w:r>
            <w:r w:rsidRPr="00D41F68">
              <w:rPr>
                <w:rFonts w:ascii="Arial" w:eastAsia="Andale Sans UI" w:hAnsi="Arial" w:cs="Arial"/>
                <w:kern w:val="1"/>
                <w:sz w:val="18"/>
                <w:szCs w:val="18"/>
                <w:vertAlign w:val="superscript"/>
              </w:rPr>
              <w:t xml:space="preserve"> a</w:t>
            </w:r>
          </w:p>
        </w:tc>
        <w:tc>
          <w:tcPr>
            <w:tcW w:w="784" w:type="pct"/>
            <w:vAlign w:val="center"/>
          </w:tcPr>
          <w:p w14:paraId="0D7AE11A"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20.82± 0.438</w:t>
            </w:r>
            <w:r w:rsidRPr="00D41F68">
              <w:rPr>
                <w:rFonts w:ascii="Arial" w:eastAsia="Andale Sans UI" w:hAnsi="Arial" w:cs="Arial"/>
                <w:kern w:val="1"/>
                <w:sz w:val="18"/>
                <w:szCs w:val="18"/>
                <w:vertAlign w:val="superscript"/>
              </w:rPr>
              <w:t xml:space="preserve"> a</w:t>
            </w:r>
          </w:p>
        </w:tc>
        <w:tc>
          <w:tcPr>
            <w:tcW w:w="785" w:type="pct"/>
            <w:vAlign w:val="center"/>
          </w:tcPr>
          <w:p w14:paraId="3E1A4ECE"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21.26± 2.405</w:t>
            </w:r>
            <w:r w:rsidRPr="00D41F68">
              <w:rPr>
                <w:rFonts w:ascii="Arial" w:eastAsia="Andale Sans UI" w:hAnsi="Arial" w:cs="Arial"/>
                <w:kern w:val="1"/>
                <w:sz w:val="18"/>
                <w:szCs w:val="18"/>
                <w:vertAlign w:val="superscript"/>
              </w:rPr>
              <w:t xml:space="preserve"> a</w:t>
            </w:r>
          </w:p>
        </w:tc>
        <w:tc>
          <w:tcPr>
            <w:tcW w:w="447" w:type="pct"/>
          </w:tcPr>
          <w:p w14:paraId="124DFCB2"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0.631</w:t>
            </w:r>
          </w:p>
        </w:tc>
      </w:tr>
      <w:tr w:rsidR="008A3EA0" w:rsidRPr="00D41F68" w14:paraId="0111850E" w14:textId="77777777" w:rsidTr="008A3EA0">
        <w:trPr>
          <w:trHeight w:val="237"/>
        </w:trPr>
        <w:tc>
          <w:tcPr>
            <w:tcW w:w="764" w:type="pct"/>
            <w:vAlign w:val="center"/>
          </w:tcPr>
          <w:p w14:paraId="480385F2" w14:textId="77777777" w:rsidR="008A3EA0" w:rsidRPr="00D41F68" w:rsidRDefault="008A3EA0" w:rsidP="001E4AD7">
            <w:pPr>
              <w:pStyle w:val="TableParagraph"/>
              <w:spacing w:line="480" w:lineRule="auto"/>
              <w:ind w:left="116" w:right="113"/>
              <w:rPr>
                <w:rFonts w:ascii="Arial" w:hAnsi="Arial" w:cs="Arial"/>
                <w:b/>
                <w:sz w:val="18"/>
                <w:szCs w:val="18"/>
              </w:rPr>
            </w:pPr>
            <w:r w:rsidRPr="00D41F68">
              <w:rPr>
                <w:rFonts w:ascii="Arial" w:hAnsi="Arial" w:cs="Arial"/>
                <w:b/>
                <w:sz w:val="18"/>
                <w:szCs w:val="18"/>
              </w:rPr>
              <w:t>MCHC</w:t>
            </w:r>
          </w:p>
        </w:tc>
        <w:tc>
          <w:tcPr>
            <w:tcW w:w="586" w:type="pct"/>
            <w:vAlign w:val="center"/>
          </w:tcPr>
          <w:p w14:paraId="4A367C51"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g/dL</w:t>
            </w:r>
          </w:p>
        </w:tc>
        <w:tc>
          <w:tcPr>
            <w:tcW w:w="828" w:type="pct"/>
            <w:vAlign w:val="center"/>
          </w:tcPr>
          <w:p w14:paraId="274BFC61"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35.92± 0.779</w:t>
            </w:r>
            <w:r w:rsidRPr="00D41F68">
              <w:rPr>
                <w:rFonts w:ascii="Arial" w:eastAsia="Andale Sans UI" w:hAnsi="Arial" w:cs="Arial"/>
                <w:kern w:val="1"/>
                <w:sz w:val="18"/>
                <w:szCs w:val="18"/>
                <w:vertAlign w:val="superscript"/>
              </w:rPr>
              <w:t xml:space="preserve"> a</w:t>
            </w:r>
          </w:p>
        </w:tc>
        <w:tc>
          <w:tcPr>
            <w:tcW w:w="806" w:type="pct"/>
            <w:vAlign w:val="center"/>
          </w:tcPr>
          <w:p w14:paraId="291DDD9F"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34.12± 1.612</w:t>
            </w:r>
            <w:r w:rsidRPr="00D41F68">
              <w:rPr>
                <w:rFonts w:ascii="Arial" w:eastAsia="Andale Sans UI" w:hAnsi="Arial" w:cs="Arial"/>
                <w:kern w:val="1"/>
                <w:sz w:val="18"/>
                <w:szCs w:val="18"/>
                <w:vertAlign w:val="superscript"/>
              </w:rPr>
              <w:t xml:space="preserve"> a</w:t>
            </w:r>
          </w:p>
        </w:tc>
        <w:tc>
          <w:tcPr>
            <w:tcW w:w="784" w:type="pct"/>
            <w:vAlign w:val="center"/>
          </w:tcPr>
          <w:p w14:paraId="79CBE211"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36.62± 1.238</w:t>
            </w:r>
            <w:r w:rsidRPr="00D41F68">
              <w:rPr>
                <w:rFonts w:ascii="Arial" w:eastAsia="Andale Sans UI" w:hAnsi="Arial" w:cs="Arial"/>
                <w:kern w:val="1"/>
                <w:sz w:val="18"/>
                <w:szCs w:val="18"/>
                <w:vertAlign w:val="superscript"/>
              </w:rPr>
              <w:t xml:space="preserve"> a</w:t>
            </w:r>
          </w:p>
        </w:tc>
        <w:tc>
          <w:tcPr>
            <w:tcW w:w="785" w:type="pct"/>
            <w:vAlign w:val="center"/>
          </w:tcPr>
          <w:p w14:paraId="1DACA70E"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34.92± 2.087</w:t>
            </w:r>
            <w:r w:rsidRPr="00D41F68">
              <w:rPr>
                <w:rFonts w:ascii="Arial" w:eastAsia="Andale Sans UI" w:hAnsi="Arial" w:cs="Arial"/>
                <w:kern w:val="1"/>
                <w:sz w:val="18"/>
                <w:szCs w:val="18"/>
                <w:vertAlign w:val="superscript"/>
              </w:rPr>
              <w:t xml:space="preserve"> a</w:t>
            </w:r>
          </w:p>
        </w:tc>
        <w:tc>
          <w:tcPr>
            <w:tcW w:w="447" w:type="pct"/>
          </w:tcPr>
          <w:p w14:paraId="039187C0"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0.083</w:t>
            </w:r>
          </w:p>
        </w:tc>
      </w:tr>
      <w:tr w:rsidR="008A3EA0" w:rsidRPr="00D41F68" w14:paraId="1372B2B8" w14:textId="77777777" w:rsidTr="008A3EA0">
        <w:trPr>
          <w:trHeight w:val="297"/>
        </w:trPr>
        <w:tc>
          <w:tcPr>
            <w:tcW w:w="764" w:type="pct"/>
            <w:vAlign w:val="center"/>
          </w:tcPr>
          <w:p w14:paraId="182A1553" w14:textId="77777777" w:rsidR="008A3EA0" w:rsidRPr="00D41F68" w:rsidRDefault="008A3EA0" w:rsidP="001E4AD7">
            <w:pPr>
              <w:pStyle w:val="TableParagraph"/>
              <w:spacing w:line="480" w:lineRule="auto"/>
              <w:ind w:left="120" w:right="107"/>
              <w:rPr>
                <w:rFonts w:ascii="Arial" w:hAnsi="Arial" w:cs="Arial"/>
                <w:b/>
                <w:sz w:val="18"/>
                <w:szCs w:val="18"/>
              </w:rPr>
            </w:pPr>
            <w:r w:rsidRPr="00D41F68">
              <w:rPr>
                <w:rFonts w:ascii="Arial" w:hAnsi="Arial" w:cs="Arial"/>
                <w:b/>
                <w:sz w:val="18"/>
                <w:szCs w:val="18"/>
              </w:rPr>
              <w:t>PLT</w:t>
            </w:r>
          </w:p>
        </w:tc>
        <w:tc>
          <w:tcPr>
            <w:tcW w:w="586" w:type="pct"/>
            <w:vAlign w:val="center"/>
          </w:tcPr>
          <w:p w14:paraId="2180BD37"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2E79E77"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847.20± 124.216</w:t>
            </w:r>
            <w:r w:rsidRPr="00D41F68">
              <w:rPr>
                <w:rFonts w:ascii="Arial" w:eastAsia="Andale Sans UI" w:hAnsi="Arial" w:cs="Arial"/>
                <w:kern w:val="1"/>
                <w:sz w:val="18"/>
                <w:szCs w:val="18"/>
                <w:vertAlign w:val="superscript"/>
              </w:rPr>
              <w:t xml:space="preserve"> a</w:t>
            </w:r>
          </w:p>
        </w:tc>
        <w:tc>
          <w:tcPr>
            <w:tcW w:w="806" w:type="pct"/>
            <w:vAlign w:val="center"/>
          </w:tcPr>
          <w:p w14:paraId="6AB71541"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821.40± 115.807</w:t>
            </w:r>
            <w:r w:rsidRPr="00D41F68">
              <w:rPr>
                <w:rFonts w:ascii="Arial" w:eastAsia="Andale Sans UI" w:hAnsi="Arial" w:cs="Arial"/>
                <w:kern w:val="1"/>
                <w:sz w:val="18"/>
                <w:szCs w:val="18"/>
                <w:vertAlign w:val="superscript"/>
              </w:rPr>
              <w:t xml:space="preserve"> a</w:t>
            </w:r>
          </w:p>
        </w:tc>
        <w:tc>
          <w:tcPr>
            <w:tcW w:w="784" w:type="pct"/>
            <w:vAlign w:val="center"/>
          </w:tcPr>
          <w:p w14:paraId="0CB754DB"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749.20± 189.535</w:t>
            </w:r>
            <w:r w:rsidRPr="00D41F68">
              <w:rPr>
                <w:rFonts w:ascii="Arial" w:eastAsia="Andale Sans UI" w:hAnsi="Arial" w:cs="Arial"/>
                <w:kern w:val="1"/>
                <w:sz w:val="18"/>
                <w:szCs w:val="18"/>
                <w:vertAlign w:val="superscript"/>
              </w:rPr>
              <w:t xml:space="preserve"> a</w:t>
            </w:r>
          </w:p>
        </w:tc>
        <w:tc>
          <w:tcPr>
            <w:tcW w:w="785" w:type="pct"/>
            <w:vAlign w:val="center"/>
          </w:tcPr>
          <w:p w14:paraId="703EFACC" w14:textId="77777777" w:rsidR="008A3EA0" w:rsidRPr="00D41F68" w:rsidRDefault="008A3EA0" w:rsidP="001E4AD7">
            <w:pPr>
              <w:pStyle w:val="TableParagraph"/>
              <w:spacing w:line="480" w:lineRule="auto"/>
              <w:ind w:right="90"/>
              <w:jc w:val="left"/>
              <w:rPr>
                <w:rFonts w:ascii="Arial" w:hAnsi="Arial" w:cs="Arial"/>
                <w:sz w:val="18"/>
                <w:szCs w:val="18"/>
              </w:rPr>
            </w:pPr>
            <w:r w:rsidRPr="00D41F68">
              <w:rPr>
                <w:rFonts w:ascii="Arial" w:hAnsi="Arial" w:cs="Arial"/>
                <w:sz w:val="18"/>
                <w:szCs w:val="18"/>
              </w:rPr>
              <w:t xml:space="preserve"> 812.60± 147.554</w:t>
            </w:r>
            <w:r w:rsidRPr="00D41F68">
              <w:rPr>
                <w:rFonts w:ascii="Arial" w:eastAsia="Andale Sans UI" w:hAnsi="Arial" w:cs="Arial"/>
                <w:kern w:val="1"/>
                <w:sz w:val="18"/>
                <w:szCs w:val="18"/>
                <w:vertAlign w:val="superscript"/>
              </w:rPr>
              <w:t xml:space="preserve"> a</w:t>
            </w:r>
          </w:p>
        </w:tc>
        <w:tc>
          <w:tcPr>
            <w:tcW w:w="447" w:type="pct"/>
          </w:tcPr>
          <w:p w14:paraId="3B284884" w14:textId="77777777" w:rsidR="008A3EA0" w:rsidRPr="00D41F68" w:rsidRDefault="000D3E43" w:rsidP="001E4AD7">
            <w:pPr>
              <w:pStyle w:val="TableParagraph"/>
              <w:spacing w:line="480" w:lineRule="auto"/>
              <w:ind w:right="90"/>
              <w:jc w:val="left"/>
              <w:rPr>
                <w:rFonts w:ascii="Arial" w:hAnsi="Arial" w:cs="Arial"/>
                <w:sz w:val="18"/>
                <w:szCs w:val="18"/>
              </w:rPr>
            </w:pPr>
            <w:r w:rsidRPr="00D41F68">
              <w:rPr>
                <w:rFonts w:ascii="Arial" w:hAnsi="Arial" w:cs="Arial"/>
                <w:sz w:val="18"/>
                <w:szCs w:val="18"/>
              </w:rPr>
              <w:t xml:space="preserve">    </w:t>
            </w:r>
            <w:r w:rsidR="000E1C53" w:rsidRPr="00D41F68">
              <w:rPr>
                <w:rFonts w:ascii="Arial" w:hAnsi="Arial" w:cs="Arial"/>
                <w:sz w:val="18"/>
                <w:szCs w:val="18"/>
              </w:rPr>
              <w:t>0.755</w:t>
            </w:r>
          </w:p>
        </w:tc>
      </w:tr>
      <w:tr w:rsidR="008A3EA0" w:rsidRPr="00D41F68" w14:paraId="704D7B5C" w14:textId="77777777" w:rsidTr="008A3EA0">
        <w:trPr>
          <w:trHeight w:val="242"/>
        </w:trPr>
        <w:tc>
          <w:tcPr>
            <w:tcW w:w="764" w:type="pct"/>
            <w:vAlign w:val="center"/>
          </w:tcPr>
          <w:p w14:paraId="323EEA40" w14:textId="77777777" w:rsidR="008A3EA0" w:rsidRPr="00D41F68" w:rsidRDefault="008A3EA0" w:rsidP="001E4AD7">
            <w:pPr>
              <w:pStyle w:val="TableParagraph"/>
              <w:spacing w:line="480" w:lineRule="auto"/>
              <w:ind w:left="120" w:right="105"/>
              <w:rPr>
                <w:rFonts w:ascii="Arial" w:hAnsi="Arial" w:cs="Arial"/>
                <w:b/>
                <w:sz w:val="18"/>
                <w:szCs w:val="18"/>
              </w:rPr>
            </w:pPr>
            <w:r w:rsidRPr="00D41F68">
              <w:rPr>
                <w:rFonts w:ascii="Arial" w:hAnsi="Arial" w:cs="Arial"/>
                <w:b/>
                <w:sz w:val="18"/>
                <w:szCs w:val="18"/>
              </w:rPr>
              <w:t>TLC</w:t>
            </w:r>
          </w:p>
        </w:tc>
        <w:tc>
          <w:tcPr>
            <w:tcW w:w="586" w:type="pct"/>
            <w:vAlign w:val="center"/>
          </w:tcPr>
          <w:p w14:paraId="32AD75F0" w14:textId="77777777" w:rsidR="008A3EA0" w:rsidRPr="00D41F68" w:rsidRDefault="008A3EA0" w:rsidP="001E4AD7">
            <w:pPr>
              <w:pStyle w:val="TableParagraph"/>
              <w:spacing w:line="480" w:lineRule="auto"/>
              <w:ind w:left="155" w:right="155"/>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4392461D"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6.84± 1.305</w:t>
            </w:r>
            <w:r w:rsidRPr="00D41F68">
              <w:rPr>
                <w:rFonts w:ascii="Arial" w:eastAsia="Andale Sans UI" w:hAnsi="Arial" w:cs="Arial"/>
                <w:kern w:val="1"/>
                <w:sz w:val="18"/>
                <w:szCs w:val="18"/>
                <w:vertAlign w:val="superscript"/>
              </w:rPr>
              <w:t xml:space="preserve"> a</w:t>
            </w:r>
          </w:p>
        </w:tc>
        <w:tc>
          <w:tcPr>
            <w:tcW w:w="806" w:type="pct"/>
            <w:vAlign w:val="center"/>
          </w:tcPr>
          <w:p w14:paraId="5D989CC7"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5.74± 1.508</w:t>
            </w:r>
            <w:r w:rsidRPr="00D41F68">
              <w:rPr>
                <w:rFonts w:ascii="Arial" w:eastAsia="Andale Sans UI" w:hAnsi="Arial" w:cs="Arial"/>
                <w:kern w:val="1"/>
                <w:sz w:val="18"/>
                <w:szCs w:val="18"/>
                <w:vertAlign w:val="superscript"/>
              </w:rPr>
              <w:t xml:space="preserve"> a</w:t>
            </w:r>
          </w:p>
        </w:tc>
        <w:tc>
          <w:tcPr>
            <w:tcW w:w="784" w:type="pct"/>
            <w:vAlign w:val="center"/>
          </w:tcPr>
          <w:p w14:paraId="42C35AC1"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7.10± 0.797</w:t>
            </w:r>
            <w:r w:rsidRPr="00D41F68">
              <w:rPr>
                <w:rFonts w:ascii="Arial" w:eastAsia="Andale Sans UI" w:hAnsi="Arial" w:cs="Arial"/>
                <w:kern w:val="1"/>
                <w:sz w:val="18"/>
                <w:szCs w:val="18"/>
                <w:vertAlign w:val="superscript"/>
              </w:rPr>
              <w:t xml:space="preserve"> a</w:t>
            </w:r>
          </w:p>
        </w:tc>
        <w:tc>
          <w:tcPr>
            <w:tcW w:w="785" w:type="pct"/>
            <w:vAlign w:val="center"/>
          </w:tcPr>
          <w:p w14:paraId="5B7D7D7F"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6.86± 1.024</w:t>
            </w:r>
            <w:r w:rsidRPr="00D41F68">
              <w:rPr>
                <w:rFonts w:ascii="Arial" w:eastAsia="Andale Sans UI" w:hAnsi="Arial" w:cs="Arial"/>
                <w:kern w:val="1"/>
                <w:sz w:val="18"/>
                <w:szCs w:val="18"/>
                <w:vertAlign w:val="superscript"/>
              </w:rPr>
              <w:t xml:space="preserve"> a</w:t>
            </w:r>
          </w:p>
        </w:tc>
        <w:tc>
          <w:tcPr>
            <w:tcW w:w="447" w:type="pct"/>
          </w:tcPr>
          <w:p w14:paraId="784453BD"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0.306</w:t>
            </w:r>
          </w:p>
        </w:tc>
      </w:tr>
      <w:tr w:rsidR="008A3EA0" w:rsidRPr="00D41F68" w14:paraId="3BD24199" w14:textId="77777777" w:rsidTr="008A3EA0">
        <w:trPr>
          <w:trHeight w:val="237"/>
        </w:trPr>
        <w:tc>
          <w:tcPr>
            <w:tcW w:w="764" w:type="pct"/>
            <w:vAlign w:val="center"/>
          </w:tcPr>
          <w:p w14:paraId="67826271" w14:textId="77777777" w:rsidR="008A3EA0" w:rsidRPr="00D41F68" w:rsidRDefault="008A3EA0" w:rsidP="001E4AD7">
            <w:pPr>
              <w:pStyle w:val="TableParagraph"/>
              <w:spacing w:line="480" w:lineRule="auto"/>
              <w:ind w:left="120" w:right="98"/>
              <w:rPr>
                <w:rFonts w:ascii="Arial" w:hAnsi="Arial" w:cs="Arial"/>
                <w:b/>
                <w:sz w:val="18"/>
                <w:szCs w:val="18"/>
              </w:rPr>
            </w:pPr>
            <w:r w:rsidRPr="00D41F68">
              <w:rPr>
                <w:rFonts w:ascii="Arial" w:hAnsi="Arial" w:cs="Arial"/>
                <w:b/>
                <w:sz w:val="18"/>
                <w:szCs w:val="18"/>
              </w:rPr>
              <w:t>Neutrophils</w:t>
            </w:r>
          </w:p>
        </w:tc>
        <w:tc>
          <w:tcPr>
            <w:tcW w:w="586" w:type="pct"/>
            <w:vAlign w:val="center"/>
          </w:tcPr>
          <w:p w14:paraId="10078A28"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0C4BD2BD" w14:textId="77777777" w:rsidR="008A3EA0" w:rsidRPr="00D41F68" w:rsidRDefault="008A3EA0" w:rsidP="001E4AD7">
            <w:pPr>
              <w:pStyle w:val="TableParagraph"/>
              <w:spacing w:line="480" w:lineRule="auto"/>
              <w:ind w:left="106" w:right="80"/>
              <w:rPr>
                <w:rFonts w:ascii="Arial" w:hAnsi="Arial" w:cs="Arial"/>
                <w:sz w:val="18"/>
                <w:szCs w:val="18"/>
              </w:rPr>
            </w:pPr>
            <w:r w:rsidRPr="00D41F68">
              <w:rPr>
                <w:rFonts w:ascii="Arial" w:hAnsi="Arial" w:cs="Arial"/>
                <w:sz w:val="18"/>
                <w:szCs w:val="18"/>
              </w:rPr>
              <w:t>1.11± 0.133</w:t>
            </w:r>
            <w:r w:rsidRPr="00D41F68">
              <w:rPr>
                <w:rFonts w:ascii="Arial" w:eastAsia="Andale Sans UI" w:hAnsi="Arial" w:cs="Arial"/>
                <w:kern w:val="1"/>
                <w:sz w:val="18"/>
                <w:szCs w:val="18"/>
                <w:vertAlign w:val="superscript"/>
              </w:rPr>
              <w:t xml:space="preserve"> a</w:t>
            </w:r>
          </w:p>
        </w:tc>
        <w:tc>
          <w:tcPr>
            <w:tcW w:w="806" w:type="pct"/>
            <w:vAlign w:val="center"/>
          </w:tcPr>
          <w:p w14:paraId="53E04499"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0.82± 0.304</w:t>
            </w:r>
            <w:r w:rsidRPr="00D41F68">
              <w:rPr>
                <w:rFonts w:ascii="Arial" w:eastAsia="Andale Sans UI" w:hAnsi="Arial" w:cs="Arial"/>
                <w:kern w:val="1"/>
                <w:sz w:val="18"/>
                <w:szCs w:val="18"/>
                <w:vertAlign w:val="superscript"/>
              </w:rPr>
              <w:t xml:space="preserve"> a</w:t>
            </w:r>
          </w:p>
        </w:tc>
        <w:tc>
          <w:tcPr>
            <w:tcW w:w="784" w:type="pct"/>
            <w:vAlign w:val="center"/>
          </w:tcPr>
          <w:p w14:paraId="5DB4744D"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1.15± 0.295</w:t>
            </w:r>
            <w:r w:rsidRPr="00D41F68">
              <w:rPr>
                <w:rFonts w:ascii="Arial" w:eastAsia="Andale Sans UI" w:hAnsi="Arial" w:cs="Arial"/>
                <w:kern w:val="1"/>
                <w:sz w:val="18"/>
                <w:szCs w:val="18"/>
                <w:vertAlign w:val="superscript"/>
              </w:rPr>
              <w:t xml:space="preserve"> a</w:t>
            </w:r>
          </w:p>
        </w:tc>
        <w:tc>
          <w:tcPr>
            <w:tcW w:w="785" w:type="pct"/>
            <w:vAlign w:val="center"/>
          </w:tcPr>
          <w:p w14:paraId="6EDE9C31"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1.02± 0.411</w:t>
            </w:r>
            <w:r w:rsidRPr="00D41F68">
              <w:rPr>
                <w:rFonts w:ascii="Arial" w:eastAsia="Andale Sans UI" w:hAnsi="Arial" w:cs="Arial"/>
                <w:kern w:val="1"/>
                <w:sz w:val="18"/>
                <w:szCs w:val="18"/>
                <w:vertAlign w:val="superscript"/>
              </w:rPr>
              <w:t xml:space="preserve"> a</w:t>
            </w:r>
          </w:p>
        </w:tc>
        <w:tc>
          <w:tcPr>
            <w:tcW w:w="447" w:type="pct"/>
          </w:tcPr>
          <w:p w14:paraId="6D1AE50E" w14:textId="77777777" w:rsidR="008A3EA0" w:rsidRPr="00D41F68" w:rsidRDefault="000E1C5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0.859</w:t>
            </w:r>
          </w:p>
        </w:tc>
      </w:tr>
      <w:tr w:rsidR="008A3EA0" w:rsidRPr="00D41F68" w14:paraId="7EDF0ACC" w14:textId="77777777" w:rsidTr="008A3EA0">
        <w:trPr>
          <w:trHeight w:val="255"/>
        </w:trPr>
        <w:tc>
          <w:tcPr>
            <w:tcW w:w="764" w:type="pct"/>
            <w:vAlign w:val="center"/>
          </w:tcPr>
          <w:p w14:paraId="0C2B59A3" w14:textId="77777777" w:rsidR="008A3EA0" w:rsidRPr="00D41F68" w:rsidRDefault="008A3EA0" w:rsidP="001E4AD7">
            <w:pPr>
              <w:pStyle w:val="TableParagraph"/>
              <w:spacing w:line="480" w:lineRule="auto"/>
              <w:ind w:left="120" w:right="89"/>
              <w:rPr>
                <w:rFonts w:ascii="Arial" w:hAnsi="Arial" w:cs="Arial"/>
                <w:b/>
                <w:sz w:val="18"/>
                <w:szCs w:val="18"/>
              </w:rPr>
            </w:pPr>
            <w:r w:rsidRPr="00D41F68">
              <w:rPr>
                <w:rFonts w:ascii="Arial" w:hAnsi="Arial" w:cs="Arial"/>
                <w:b/>
                <w:sz w:val="18"/>
                <w:szCs w:val="18"/>
              </w:rPr>
              <w:t>Lymphocytes</w:t>
            </w:r>
          </w:p>
        </w:tc>
        <w:tc>
          <w:tcPr>
            <w:tcW w:w="586" w:type="pct"/>
            <w:vAlign w:val="center"/>
          </w:tcPr>
          <w:p w14:paraId="761A6787"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E02916A"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5.40± 1.203</w:t>
            </w:r>
            <w:r w:rsidRPr="00D41F68">
              <w:rPr>
                <w:rFonts w:ascii="Arial" w:eastAsia="Andale Sans UI" w:hAnsi="Arial" w:cs="Arial"/>
                <w:kern w:val="1"/>
                <w:sz w:val="18"/>
                <w:szCs w:val="18"/>
                <w:vertAlign w:val="superscript"/>
              </w:rPr>
              <w:t xml:space="preserve"> a</w:t>
            </w:r>
          </w:p>
        </w:tc>
        <w:tc>
          <w:tcPr>
            <w:tcW w:w="806" w:type="pct"/>
            <w:vAlign w:val="center"/>
          </w:tcPr>
          <w:p w14:paraId="73917495"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4.61± 1.240</w:t>
            </w:r>
            <w:r w:rsidRPr="00D41F68">
              <w:rPr>
                <w:rFonts w:ascii="Arial" w:eastAsia="Andale Sans UI" w:hAnsi="Arial" w:cs="Arial"/>
                <w:kern w:val="1"/>
                <w:sz w:val="18"/>
                <w:szCs w:val="18"/>
                <w:vertAlign w:val="superscript"/>
              </w:rPr>
              <w:t xml:space="preserve"> a</w:t>
            </w:r>
          </w:p>
        </w:tc>
        <w:tc>
          <w:tcPr>
            <w:tcW w:w="784" w:type="pct"/>
            <w:vAlign w:val="center"/>
          </w:tcPr>
          <w:p w14:paraId="2E3279AE"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5.53± 0.403</w:t>
            </w:r>
            <w:r w:rsidRPr="00D41F68">
              <w:rPr>
                <w:rFonts w:ascii="Arial" w:eastAsia="Andale Sans UI" w:hAnsi="Arial" w:cs="Arial"/>
                <w:kern w:val="1"/>
                <w:sz w:val="18"/>
                <w:szCs w:val="18"/>
                <w:vertAlign w:val="superscript"/>
              </w:rPr>
              <w:t xml:space="preserve"> a</w:t>
            </w:r>
          </w:p>
        </w:tc>
        <w:tc>
          <w:tcPr>
            <w:tcW w:w="785" w:type="pct"/>
            <w:vAlign w:val="center"/>
          </w:tcPr>
          <w:p w14:paraId="6172E44C" w14:textId="77777777" w:rsidR="008A3EA0" w:rsidRPr="00D41F68" w:rsidRDefault="008A3EA0" w:rsidP="001E4AD7">
            <w:pPr>
              <w:pStyle w:val="TableParagraph"/>
              <w:spacing w:line="480" w:lineRule="auto"/>
              <w:ind w:left="108" w:right="90"/>
              <w:rPr>
                <w:rFonts w:ascii="Arial" w:hAnsi="Arial" w:cs="Arial"/>
                <w:sz w:val="18"/>
                <w:szCs w:val="18"/>
              </w:rPr>
            </w:pPr>
            <w:r w:rsidRPr="00D41F68">
              <w:rPr>
                <w:rFonts w:ascii="Arial" w:hAnsi="Arial" w:cs="Arial"/>
                <w:sz w:val="18"/>
                <w:szCs w:val="18"/>
              </w:rPr>
              <w:t>5.45± 0.911</w:t>
            </w:r>
            <w:r w:rsidRPr="00D41F68">
              <w:rPr>
                <w:rFonts w:ascii="Arial" w:eastAsia="Andale Sans UI" w:hAnsi="Arial" w:cs="Arial"/>
                <w:kern w:val="1"/>
                <w:sz w:val="18"/>
                <w:szCs w:val="18"/>
                <w:vertAlign w:val="superscript"/>
              </w:rPr>
              <w:t xml:space="preserve"> a</w:t>
            </w:r>
          </w:p>
        </w:tc>
        <w:tc>
          <w:tcPr>
            <w:tcW w:w="447" w:type="pct"/>
          </w:tcPr>
          <w:p w14:paraId="0FAD1A85" w14:textId="77777777" w:rsidR="008A3EA0" w:rsidRPr="00D41F68" w:rsidRDefault="000E1C53" w:rsidP="001E4AD7">
            <w:pPr>
              <w:pStyle w:val="TableParagraph"/>
              <w:spacing w:line="480" w:lineRule="auto"/>
              <w:ind w:left="108" w:right="90"/>
              <w:rPr>
                <w:rFonts w:ascii="Arial" w:hAnsi="Arial" w:cs="Arial"/>
                <w:sz w:val="18"/>
                <w:szCs w:val="18"/>
              </w:rPr>
            </w:pPr>
            <w:r w:rsidRPr="00D41F68">
              <w:rPr>
                <w:rFonts w:ascii="Arial" w:hAnsi="Arial" w:cs="Arial"/>
                <w:sz w:val="18"/>
                <w:szCs w:val="18"/>
              </w:rPr>
              <w:t>0.825</w:t>
            </w:r>
          </w:p>
        </w:tc>
      </w:tr>
      <w:tr w:rsidR="008A3EA0" w:rsidRPr="00D41F68" w14:paraId="723A47A9" w14:textId="77777777" w:rsidTr="008A3EA0">
        <w:trPr>
          <w:trHeight w:val="260"/>
        </w:trPr>
        <w:tc>
          <w:tcPr>
            <w:tcW w:w="764" w:type="pct"/>
            <w:vAlign w:val="center"/>
          </w:tcPr>
          <w:p w14:paraId="4DAE33F0" w14:textId="77777777" w:rsidR="008A3EA0" w:rsidRPr="00D41F68" w:rsidRDefault="008A3EA0" w:rsidP="001E4AD7">
            <w:pPr>
              <w:pStyle w:val="TableParagraph"/>
              <w:spacing w:line="480" w:lineRule="auto"/>
              <w:ind w:left="120" w:right="100"/>
              <w:rPr>
                <w:rFonts w:ascii="Arial" w:hAnsi="Arial" w:cs="Arial"/>
                <w:b/>
                <w:sz w:val="18"/>
                <w:szCs w:val="18"/>
              </w:rPr>
            </w:pPr>
            <w:r w:rsidRPr="00D41F68">
              <w:rPr>
                <w:rFonts w:ascii="Arial" w:hAnsi="Arial" w:cs="Arial"/>
                <w:b/>
                <w:sz w:val="18"/>
                <w:szCs w:val="18"/>
              </w:rPr>
              <w:lastRenderedPageBreak/>
              <w:t>Monocytes</w:t>
            </w:r>
          </w:p>
        </w:tc>
        <w:tc>
          <w:tcPr>
            <w:tcW w:w="586" w:type="pct"/>
            <w:vAlign w:val="center"/>
          </w:tcPr>
          <w:p w14:paraId="2F0B5388"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0905DF9"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0.27± 0.021</w:t>
            </w:r>
            <w:r w:rsidRPr="00D41F68">
              <w:rPr>
                <w:rFonts w:ascii="Arial" w:eastAsia="Andale Sans UI" w:hAnsi="Arial" w:cs="Arial"/>
                <w:kern w:val="1"/>
                <w:sz w:val="18"/>
                <w:szCs w:val="18"/>
                <w:vertAlign w:val="superscript"/>
              </w:rPr>
              <w:t xml:space="preserve"> a</w:t>
            </w:r>
          </w:p>
        </w:tc>
        <w:tc>
          <w:tcPr>
            <w:tcW w:w="806" w:type="pct"/>
            <w:vAlign w:val="center"/>
          </w:tcPr>
          <w:p w14:paraId="1D7203EF"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0.23± 0.094</w:t>
            </w:r>
            <w:r w:rsidRPr="00D41F68">
              <w:rPr>
                <w:rFonts w:ascii="Arial" w:eastAsia="Andale Sans UI" w:hAnsi="Arial" w:cs="Arial"/>
                <w:kern w:val="1"/>
                <w:sz w:val="18"/>
                <w:szCs w:val="18"/>
                <w:vertAlign w:val="superscript"/>
              </w:rPr>
              <w:t xml:space="preserve"> a</w:t>
            </w:r>
          </w:p>
        </w:tc>
        <w:tc>
          <w:tcPr>
            <w:tcW w:w="784" w:type="pct"/>
            <w:vAlign w:val="center"/>
          </w:tcPr>
          <w:p w14:paraId="3A0D9F92"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0.33± 0.043</w:t>
            </w:r>
            <w:r w:rsidRPr="00D41F68">
              <w:rPr>
                <w:rFonts w:ascii="Arial" w:eastAsia="Andale Sans UI" w:hAnsi="Arial" w:cs="Arial"/>
                <w:kern w:val="1"/>
                <w:sz w:val="18"/>
                <w:szCs w:val="18"/>
                <w:vertAlign w:val="superscript"/>
              </w:rPr>
              <w:t xml:space="preserve"> a</w:t>
            </w:r>
          </w:p>
        </w:tc>
        <w:tc>
          <w:tcPr>
            <w:tcW w:w="785" w:type="pct"/>
            <w:vAlign w:val="center"/>
          </w:tcPr>
          <w:p w14:paraId="37AF8346"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0.30± 0.043</w:t>
            </w:r>
            <w:r w:rsidRPr="00D41F68">
              <w:rPr>
                <w:rFonts w:ascii="Arial" w:eastAsia="Andale Sans UI" w:hAnsi="Arial" w:cs="Arial"/>
                <w:kern w:val="1"/>
                <w:sz w:val="18"/>
                <w:szCs w:val="18"/>
                <w:vertAlign w:val="superscript"/>
              </w:rPr>
              <w:t xml:space="preserve"> a</w:t>
            </w:r>
          </w:p>
        </w:tc>
        <w:tc>
          <w:tcPr>
            <w:tcW w:w="447" w:type="pct"/>
          </w:tcPr>
          <w:p w14:paraId="634BE919" w14:textId="77777777" w:rsidR="008A3EA0" w:rsidRPr="00D41F68" w:rsidRDefault="000E1C5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w:t>
            </w:r>
            <w:r w:rsidR="000D3E43" w:rsidRPr="00D41F68">
              <w:rPr>
                <w:rFonts w:ascii="Arial" w:hAnsi="Arial" w:cs="Arial"/>
                <w:sz w:val="18"/>
                <w:szCs w:val="18"/>
              </w:rPr>
              <w:t>368</w:t>
            </w:r>
          </w:p>
        </w:tc>
      </w:tr>
      <w:tr w:rsidR="008A3EA0" w:rsidRPr="00D41F68" w14:paraId="6695FFDC" w14:textId="77777777" w:rsidTr="008A3EA0">
        <w:trPr>
          <w:trHeight w:val="243"/>
        </w:trPr>
        <w:tc>
          <w:tcPr>
            <w:tcW w:w="764" w:type="pct"/>
            <w:vAlign w:val="center"/>
          </w:tcPr>
          <w:p w14:paraId="40DC0798" w14:textId="77777777" w:rsidR="008A3EA0" w:rsidRPr="00D41F68" w:rsidRDefault="008A3EA0" w:rsidP="001E4AD7">
            <w:pPr>
              <w:pStyle w:val="TableParagraph"/>
              <w:spacing w:line="480" w:lineRule="auto"/>
              <w:ind w:left="120" w:right="100"/>
              <w:rPr>
                <w:rFonts w:ascii="Arial" w:hAnsi="Arial" w:cs="Arial"/>
                <w:b/>
                <w:sz w:val="18"/>
                <w:szCs w:val="18"/>
              </w:rPr>
            </w:pPr>
            <w:r w:rsidRPr="00D41F68">
              <w:rPr>
                <w:rFonts w:ascii="Arial" w:hAnsi="Arial" w:cs="Arial"/>
                <w:b/>
                <w:sz w:val="18"/>
                <w:szCs w:val="18"/>
              </w:rPr>
              <w:t>Eosinophils</w:t>
            </w:r>
          </w:p>
        </w:tc>
        <w:tc>
          <w:tcPr>
            <w:tcW w:w="586" w:type="pct"/>
            <w:vAlign w:val="center"/>
          </w:tcPr>
          <w:p w14:paraId="541C2CF5"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57F58B91" w14:textId="77777777" w:rsidR="008A3EA0" w:rsidRPr="00D41F68" w:rsidRDefault="008A3EA0" w:rsidP="001E4AD7">
            <w:pPr>
              <w:pStyle w:val="TableParagraph"/>
              <w:spacing w:line="480" w:lineRule="auto"/>
              <w:ind w:left="106" w:right="80"/>
              <w:rPr>
                <w:rFonts w:ascii="Arial" w:hAnsi="Arial" w:cs="Arial"/>
                <w:sz w:val="18"/>
                <w:szCs w:val="18"/>
              </w:rPr>
            </w:pPr>
            <w:r w:rsidRPr="00D41F68">
              <w:rPr>
                <w:rFonts w:ascii="Arial" w:hAnsi="Arial" w:cs="Arial"/>
                <w:sz w:val="18"/>
                <w:szCs w:val="18"/>
              </w:rPr>
              <w:t>0.07± 0.013</w:t>
            </w:r>
            <w:r w:rsidRPr="00D41F68">
              <w:rPr>
                <w:rFonts w:ascii="Arial" w:eastAsia="Andale Sans UI" w:hAnsi="Arial" w:cs="Arial"/>
                <w:kern w:val="1"/>
                <w:sz w:val="18"/>
                <w:szCs w:val="18"/>
                <w:vertAlign w:val="superscript"/>
              </w:rPr>
              <w:t xml:space="preserve"> a</w:t>
            </w:r>
          </w:p>
        </w:tc>
        <w:tc>
          <w:tcPr>
            <w:tcW w:w="806" w:type="pct"/>
            <w:vAlign w:val="center"/>
          </w:tcPr>
          <w:p w14:paraId="01F82E58"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0.07± 0.035</w:t>
            </w:r>
            <w:r w:rsidRPr="00D41F68">
              <w:rPr>
                <w:rFonts w:ascii="Arial" w:eastAsia="Andale Sans UI" w:hAnsi="Arial" w:cs="Arial"/>
                <w:kern w:val="1"/>
                <w:sz w:val="18"/>
                <w:szCs w:val="18"/>
                <w:vertAlign w:val="superscript"/>
              </w:rPr>
              <w:t xml:space="preserve"> a</w:t>
            </w:r>
          </w:p>
        </w:tc>
        <w:tc>
          <w:tcPr>
            <w:tcW w:w="784" w:type="pct"/>
            <w:vAlign w:val="center"/>
          </w:tcPr>
          <w:p w14:paraId="29169254"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0.10± 0.045</w:t>
            </w:r>
            <w:r w:rsidRPr="00D41F68">
              <w:rPr>
                <w:rFonts w:ascii="Arial" w:eastAsia="Andale Sans UI" w:hAnsi="Arial" w:cs="Arial"/>
                <w:kern w:val="1"/>
                <w:sz w:val="18"/>
                <w:szCs w:val="18"/>
                <w:vertAlign w:val="superscript"/>
              </w:rPr>
              <w:t xml:space="preserve"> a</w:t>
            </w:r>
          </w:p>
        </w:tc>
        <w:tc>
          <w:tcPr>
            <w:tcW w:w="785" w:type="pct"/>
            <w:vAlign w:val="center"/>
          </w:tcPr>
          <w:p w14:paraId="61F8685F"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0.08± 0.015</w:t>
            </w:r>
            <w:r w:rsidRPr="00D41F68">
              <w:rPr>
                <w:rFonts w:ascii="Arial" w:eastAsia="Andale Sans UI" w:hAnsi="Arial" w:cs="Arial"/>
                <w:kern w:val="1"/>
                <w:sz w:val="18"/>
                <w:szCs w:val="18"/>
                <w:vertAlign w:val="superscript"/>
              </w:rPr>
              <w:t xml:space="preserve"> a</w:t>
            </w:r>
          </w:p>
        </w:tc>
        <w:tc>
          <w:tcPr>
            <w:tcW w:w="447" w:type="pct"/>
          </w:tcPr>
          <w:p w14:paraId="11C8FCC6" w14:textId="77777777" w:rsidR="008A3EA0" w:rsidRPr="00D41F68" w:rsidRDefault="000D3E4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0.532</w:t>
            </w:r>
          </w:p>
        </w:tc>
      </w:tr>
      <w:tr w:rsidR="008A3EA0" w:rsidRPr="00D41F68" w14:paraId="5B2C9FB6" w14:textId="77777777" w:rsidTr="008A3EA0">
        <w:trPr>
          <w:trHeight w:val="243"/>
        </w:trPr>
        <w:tc>
          <w:tcPr>
            <w:tcW w:w="764" w:type="pct"/>
            <w:vAlign w:val="center"/>
          </w:tcPr>
          <w:p w14:paraId="23858326" w14:textId="77777777" w:rsidR="008A3EA0" w:rsidRPr="00D41F68" w:rsidRDefault="008A3EA0" w:rsidP="001E4AD7">
            <w:pPr>
              <w:pStyle w:val="TableParagraph"/>
              <w:spacing w:line="480" w:lineRule="auto"/>
              <w:ind w:left="120" w:right="107"/>
              <w:rPr>
                <w:rFonts w:ascii="Arial" w:hAnsi="Arial" w:cs="Arial"/>
                <w:b/>
                <w:sz w:val="18"/>
                <w:szCs w:val="18"/>
              </w:rPr>
            </w:pPr>
            <w:r w:rsidRPr="00D41F68">
              <w:rPr>
                <w:rFonts w:ascii="Arial" w:hAnsi="Arial" w:cs="Arial"/>
                <w:b/>
                <w:sz w:val="18"/>
                <w:szCs w:val="18"/>
              </w:rPr>
              <w:t>Basophils</w:t>
            </w:r>
          </w:p>
        </w:tc>
        <w:tc>
          <w:tcPr>
            <w:tcW w:w="586" w:type="pct"/>
            <w:vAlign w:val="center"/>
          </w:tcPr>
          <w:p w14:paraId="540515AE" w14:textId="77777777" w:rsidR="008A3EA0" w:rsidRPr="00D41F68" w:rsidRDefault="008A3EA0" w:rsidP="001E4AD7">
            <w:pPr>
              <w:pStyle w:val="TableParagraph"/>
              <w:spacing w:line="480" w:lineRule="auto"/>
              <w:ind w:left="171" w:right="151"/>
              <w:rPr>
                <w:rFonts w:ascii="Arial" w:hAnsi="Arial" w:cs="Arial"/>
                <w:sz w:val="18"/>
                <w:szCs w:val="18"/>
              </w:rPr>
            </w:pPr>
            <w:r w:rsidRPr="00D41F68">
              <w:rPr>
                <w:rFonts w:ascii="Arial" w:hAnsi="Arial" w:cs="Arial"/>
                <w:sz w:val="18"/>
                <w:szCs w:val="18"/>
              </w:rPr>
              <w:t>10</w:t>
            </w:r>
            <w:r w:rsidRPr="00D41F68">
              <w:rPr>
                <w:rFonts w:ascii="Arial" w:hAnsi="Arial" w:cs="Arial"/>
                <w:sz w:val="18"/>
                <w:szCs w:val="18"/>
                <w:vertAlign w:val="superscript"/>
              </w:rPr>
              <w:t>3</w:t>
            </w:r>
            <w:r w:rsidRPr="00D41F68">
              <w:rPr>
                <w:rFonts w:ascii="Arial" w:hAnsi="Arial" w:cs="Arial"/>
                <w:sz w:val="18"/>
                <w:szCs w:val="18"/>
              </w:rPr>
              <w:t>/</w:t>
            </w:r>
            <w:proofErr w:type="spellStart"/>
            <w:r w:rsidRPr="00D41F68">
              <w:rPr>
                <w:rFonts w:ascii="Arial" w:hAnsi="Arial" w:cs="Arial"/>
                <w:sz w:val="18"/>
                <w:szCs w:val="18"/>
              </w:rPr>
              <w:t>μL</w:t>
            </w:r>
            <w:proofErr w:type="spellEnd"/>
          </w:p>
        </w:tc>
        <w:tc>
          <w:tcPr>
            <w:tcW w:w="828" w:type="pct"/>
            <w:vAlign w:val="center"/>
          </w:tcPr>
          <w:p w14:paraId="621D9BFC"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0.00± 0.00</w:t>
            </w:r>
            <w:r w:rsidRPr="00D41F68">
              <w:rPr>
                <w:rFonts w:ascii="Arial" w:eastAsia="Andale Sans UI" w:hAnsi="Arial" w:cs="Arial"/>
                <w:kern w:val="1"/>
                <w:sz w:val="18"/>
                <w:szCs w:val="18"/>
                <w:vertAlign w:val="superscript"/>
              </w:rPr>
              <w:t xml:space="preserve"> a</w:t>
            </w:r>
          </w:p>
        </w:tc>
        <w:tc>
          <w:tcPr>
            <w:tcW w:w="806" w:type="pct"/>
            <w:vAlign w:val="center"/>
          </w:tcPr>
          <w:p w14:paraId="24F60258"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0.00± 0.00</w:t>
            </w:r>
            <w:r w:rsidRPr="00D41F68">
              <w:rPr>
                <w:rFonts w:ascii="Arial" w:eastAsia="Andale Sans UI" w:hAnsi="Arial" w:cs="Arial"/>
                <w:kern w:val="1"/>
                <w:sz w:val="18"/>
                <w:szCs w:val="18"/>
                <w:vertAlign w:val="superscript"/>
              </w:rPr>
              <w:t xml:space="preserve"> a</w:t>
            </w:r>
          </w:p>
        </w:tc>
        <w:tc>
          <w:tcPr>
            <w:tcW w:w="784" w:type="pct"/>
            <w:vAlign w:val="center"/>
          </w:tcPr>
          <w:p w14:paraId="0CC49DBF"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0.0± 0.00</w:t>
            </w:r>
            <w:r w:rsidRPr="00D41F68">
              <w:rPr>
                <w:rFonts w:ascii="Arial" w:eastAsia="Andale Sans UI" w:hAnsi="Arial" w:cs="Arial"/>
                <w:kern w:val="1"/>
                <w:sz w:val="18"/>
                <w:szCs w:val="18"/>
                <w:vertAlign w:val="superscript"/>
              </w:rPr>
              <w:t xml:space="preserve"> a</w:t>
            </w:r>
          </w:p>
        </w:tc>
        <w:tc>
          <w:tcPr>
            <w:tcW w:w="785" w:type="pct"/>
            <w:vAlign w:val="center"/>
          </w:tcPr>
          <w:p w14:paraId="6DE46F91"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0.01± 0.033</w:t>
            </w:r>
            <w:r w:rsidRPr="00D41F68">
              <w:rPr>
                <w:rFonts w:ascii="Arial" w:eastAsia="Andale Sans UI" w:hAnsi="Arial" w:cs="Arial"/>
                <w:kern w:val="1"/>
                <w:sz w:val="18"/>
                <w:szCs w:val="18"/>
                <w:vertAlign w:val="superscript"/>
              </w:rPr>
              <w:t xml:space="preserve"> a</w:t>
            </w:r>
          </w:p>
        </w:tc>
        <w:tc>
          <w:tcPr>
            <w:tcW w:w="447" w:type="pct"/>
          </w:tcPr>
          <w:p w14:paraId="6F98FCF1" w14:textId="77777777" w:rsidR="008A3EA0" w:rsidRPr="00D41F68" w:rsidRDefault="000D3E4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0.418</w:t>
            </w:r>
          </w:p>
        </w:tc>
      </w:tr>
      <w:tr w:rsidR="008A3EA0" w:rsidRPr="00D41F68" w14:paraId="61E4C2D1" w14:textId="77777777" w:rsidTr="008A3EA0">
        <w:trPr>
          <w:trHeight w:val="237"/>
        </w:trPr>
        <w:tc>
          <w:tcPr>
            <w:tcW w:w="764" w:type="pct"/>
            <w:vAlign w:val="center"/>
          </w:tcPr>
          <w:p w14:paraId="59F7F430" w14:textId="77777777" w:rsidR="008A3EA0" w:rsidRPr="00D41F68" w:rsidRDefault="008A3EA0" w:rsidP="001E4AD7">
            <w:pPr>
              <w:pStyle w:val="TableParagraph"/>
              <w:spacing w:line="480" w:lineRule="auto"/>
              <w:ind w:left="120" w:right="107"/>
              <w:rPr>
                <w:rFonts w:ascii="Arial" w:hAnsi="Arial" w:cs="Arial"/>
                <w:b/>
                <w:sz w:val="18"/>
                <w:szCs w:val="18"/>
              </w:rPr>
            </w:pPr>
            <w:r w:rsidRPr="00D41F68">
              <w:rPr>
                <w:rFonts w:ascii="Arial" w:hAnsi="Arial" w:cs="Arial"/>
                <w:b/>
                <w:sz w:val="18"/>
                <w:szCs w:val="18"/>
              </w:rPr>
              <w:t>RDW</w:t>
            </w:r>
          </w:p>
        </w:tc>
        <w:tc>
          <w:tcPr>
            <w:tcW w:w="586" w:type="pct"/>
            <w:vAlign w:val="center"/>
          </w:tcPr>
          <w:p w14:paraId="185FC4EF" w14:textId="77777777" w:rsidR="008A3EA0" w:rsidRPr="00D41F68" w:rsidRDefault="008A3EA0" w:rsidP="001E4AD7">
            <w:pPr>
              <w:pStyle w:val="TableParagraph"/>
              <w:spacing w:line="480" w:lineRule="auto"/>
              <w:ind w:left="21"/>
              <w:rPr>
                <w:rFonts w:ascii="Arial" w:hAnsi="Arial" w:cs="Arial"/>
                <w:sz w:val="18"/>
                <w:szCs w:val="18"/>
              </w:rPr>
            </w:pPr>
            <w:r w:rsidRPr="00D41F68">
              <w:rPr>
                <w:rFonts w:ascii="Arial" w:hAnsi="Arial" w:cs="Arial"/>
                <w:sz w:val="18"/>
                <w:szCs w:val="18"/>
              </w:rPr>
              <w:t>%</w:t>
            </w:r>
          </w:p>
        </w:tc>
        <w:tc>
          <w:tcPr>
            <w:tcW w:w="828" w:type="pct"/>
            <w:vAlign w:val="center"/>
          </w:tcPr>
          <w:p w14:paraId="2D12C317"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21.64± 1.276</w:t>
            </w:r>
            <w:r w:rsidRPr="00D41F68">
              <w:rPr>
                <w:rFonts w:ascii="Arial" w:eastAsia="Andale Sans UI" w:hAnsi="Arial" w:cs="Arial"/>
                <w:kern w:val="1"/>
                <w:sz w:val="18"/>
                <w:szCs w:val="18"/>
                <w:vertAlign w:val="superscript"/>
              </w:rPr>
              <w:t xml:space="preserve"> a</w:t>
            </w:r>
          </w:p>
        </w:tc>
        <w:tc>
          <w:tcPr>
            <w:tcW w:w="806" w:type="pct"/>
            <w:vAlign w:val="center"/>
          </w:tcPr>
          <w:p w14:paraId="43D32106"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21.04± 0.924</w:t>
            </w:r>
            <w:r w:rsidRPr="00D41F68">
              <w:rPr>
                <w:rFonts w:ascii="Arial" w:eastAsia="Andale Sans UI" w:hAnsi="Arial" w:cs="Arial"/>
                <w:kern w:val="1"/>
                <w:sz w:val="18"/>
                <w:szCs w:val="18"/>
                <w:vertAlign w:val="superscript"/>
              </w:rPr>
              <w:t xml:space="preserve"> a</w:t>
            </w:r>
          </w:p>
        </w:tc>
        <w:tc>
          <w:tcPr>
            <w:tcW w:w="784" w:type="pct"/>
            <w:vAlign w:val="center"/>
          </w:tcPr>
          <w:p w14:paraId="15A6AA97"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21.68± 0.779</w:t>
            </w:r>
            <w:r w:rsidRPr="00D41F68">
              <w:rPr>
                <w:rFonts w:ascii="Arial" w:eastAsia="Andale Sans UI" w:hAnsi="Arial" w:cs="Arial"/>
                <w:kern w:val="1"/>
                <w:sz w:val="18"/>
                <w:szCs w:val="18"/>
                <w:vertAlign w:val="superscript"/>
              </w:rPr>
              <w:t xml:space="preserve"> a</w:t>
            </w:r>
          </w:p>
        </w:tc>
        <w:tc>
          <w:tcPr>
            <w:tcW w:w="785" w:type="pct"/>
            <w:vAlign w:val="center"/>
          </w:tcPr>
          <w:p w14:paraId="35EB1A4E"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21.62± 0.319</w:t>
            </w:r>
            <w:r w:rsidRPr="00D41F68">
              <w:rPr>
                <w:rFonts w:ascii="Arial" w:eastAsia="Andale Sans UI" w:hAnsi="Arial" w:cs="Arial"/>
                <w:kern w:val="1"/>
                <w:sz w:val="18"/>
                <w:szCs w:val="18"/>
                <w:vertAlign w:val="superscript"/>
              </w:rPr>
              <w:t xml:space="preserve"> a</w:t>
            </w:r>
          </w:p>
        </w:tc>
        <w:tc>
          <w:tcPr>
            <w:tcW w:w="447" w:type="pct"/>
          </w:tcPr>
          <w:p w14:paraId="175CE5B3" w14:textId="77777777" w:rsidR="008A3EA0" w:rsidRPr="00D41F68" w:rsidRDefault="000D3E4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0.636</w:t>
            </w:r>
          </w:p>
        </w:tc>
      </w:tr>
      <w:tr w:rsidR="008A3EA0" w:rsidRPr="00D41F68" w14:paraId="435B9007" w14:textId="77777777" w:rsidTr="008A3EA0">
        <w:trPr>
          <w:trHeight w:val="237"/>
        </w:trPr>
        <w:tc>
          <w:tcPr>
            <w:tcW w:w="764" w:type="pct"/>
            <w:vAlign w:val="center"/>
          </w:tcPr>
          <w:p w14:paraId="2012AE02" w14:textId="77777777" w:rsidR="008A3EA0" w:rsidRPr="00D41F68" w:rsidRDefault="008A3EA0" w:rsidP="001E4AD7">
            <w:pPr>
              <w:pStyle w:val="TableParagraph"/>
              <w:spacing w:line="480" w:lineRule="auto"/>
              <w:ind w:left="119" w:right="113"/>
              <w:rPr>
                <w:rFonts w:ascii="Arial" w:hAnsi="Arial" w:cs="Arial"/>
                <w:b/>
                <w:sz w:val="18"/>
                <w:szCs w:val="18"/>
              </w:rPr>
            </w:pPr>
            <w:r w:rsidRPr="00D41F68">
              <w:rPr>
                <w:rFonts w:ascii="Arial" w:hAnsi="Arial" w:cs="Arial"/>
                <w:b/>
                <w:sz w:val="18"/>
                <w:szCs w:val="18"/>
              </w:rPr>
              <w:t>RDW (a)</w:t>
            </w:r>
          </w:p>
        </w:tc>
        <w:tc>
          <w:tcPr>
            <w:tcW w:w="586" w:type="pct"/>
            <w:vAlign w:val="center"/>
          </w:tcPr>
          <w:p w14:paraId="07AA53A7" w14:textId="77777777" w:rsidR="008A3EA0" w:rsidRPr="00D41F68" w:rsidRDefault="008A3EA0" w:rsidP="001E4AD7">
            <w:pPr>
              <w:pStyle w:val="TableParagraph"/>
              <w:spacing w:line="480" w:lineRule="auto"/>
              <w:ind w:left="171" w:right="155"/>
              <w:rPr>
                <w:rFonts w:ascii="Arial" w:hAnsi="Arial" w:cs="Arial"/>
                <w:sz w:val="18"/>
                <w:szCs w:val="18"/>
              </w:rPr>
            </w:pPr>
            <w:r w:rsidRPr="00D41F68">
              <w:rPr>
                <w:rFonts w:ascii="Arial" w:hAnsi="Arial" w:cs="Arial"/>
                <w:sz w:val="18"/>
                <w:szCs w:val="18"/>
              </w:rPr>
              <w:t>Absolute</w:t>
            </w:r>
          </w:p>
        </w:tc>
        <w:tc>
          <w:tcPr>
            <w:tcW w:w="828" w:type="pct"/>
            <w:vAlign w:val="center"/>
          </w:tcPr>
          <w:p w14:paraId="2C57E7BD" w14:textId="77777777" w:rsidR="008A3EA0" w:rsidRPr="00D41F68" w:rsidRDefault="008A3EA0" w:rsidP="001E4AD7">
            <w:pPr>
              <w:pStyle w:val="TableParagraph"/>
              <w:spacing w:line="480" w:lineRule="auto"/>
              <w:ind w:left="105" w:right="80"/>
              <w:rPr>
                <w:rFonts w:ascii="Arial" w:hAnsi="Arial" w:cs="Arial"/>
                <w:sz w:val="18"/>
                <w:szCs w:val="18"/>
              </w:rPr>
            </w:pPr>
            <w:r w:rsidRPr="00D41F68">
              <w:rPr>
                <w:rFonts w:ascii="Arial" w:hAnsi="Arial" w:cs="Arial"/>
                <w:sz w:val="18"/>
                <w:szCs w:val="18"/>
              </w:rPr>
              <w:t>42.62± 1.361</w:t>
            </w:r>
            <w:r w:rsidRPr="00D41F68">
              <w:rPr>
                <w:rFonts w:ascii="Arial" w:eastAsia="Andale Sans UI" w:hAnsi="Arial" w:cs="Arial"/>
                <w:kern w:val="1"/>
                <w:sz w:val="18"/>
                <w:szCs w:val="18"/>
                <w:vertAlign w:val="superscript"/>
              </w:rPr>
              <w:t xml:space="preserve"> a</w:t>
            </w:r>
          </w:p>
        </w:tc>
        <w:tc>
          <w:tcPr>
            <w:tcW w:w="806" w:type="pct"/>
            <w:vAlign w:val="center"/>
          </w:tcPr>
          <w:p w14:paraId="43620EBC" w14:textId="77777777" w:rsidR="008A3EA0" w:rsidRPr="00D41F68" w:rsidRDefault="008A3EA0" w:rsidP="001E4AD7">
            <w:pPr>
              <w:pStyle w:val="TableParagraph"/>
              <w:spacing w:line="480" w:lineRule="auto"/>
              <w:ind w:left="108" w:right="82"/>
              <w:rPr>
                <w:rFonts w:ascii="Arial" w:hAnsi="Arial" w:cs="Arial"/>
                <w:sz w:val="18"/>
                <w:szCs w:val="18"/>
              </w:rPr>
            </w:pPr>
            <w:r w:rsidRPr="00D41F68">
              <w:rPr>
                <w:rFonts w:ascii="Arial" w:hAnsi="Arial" w:cs="Arial"/>
                <w:sz w:val="18"/>
                <w:szCs w:val="18"/>
              </w:rPr>
              <w:t>43.36± 1.831</w:t>
            </w:r>
            <w:r w:rsidRPr="00D41F68">
              <w:rPr>
                <w:rFonts w:ascii="Arial" w:eastAsia="Andale Sans UI" w:hAnsi="Arial" w:cs="Arial"/>
                <w:kern w:val="1"/>
                <w:sz w:val="18"/>
                <w:szCs w:val="18"/>
                <w:vertAlign w:val="superscript"/>
              </w:rPr>
              <w:t xml:space="preserve"> a</w:t>
            </w:r>
          </w:p>
        </w:tc>
        <w:tc>
          <w:tcPr>
            <w:tcW w:w="784" w:type="pct"/>
            <w:vAlign w:val="center"/>
          </w:tcPr>
          <w:p w14:paraId="23DC0A4E" w14:textId="77777777" w:rsidR="008A3EA0" w:rsidRPr="00D41F68" w:rsidRDefault="008A3EA0" w:rsidP="001E4AD7">
            <w:pPr>
              <w:pStyle w:val="TableParagraph"/>
              <w:spacing w:line="480" w:lineRule="auto"/>
              <w:ind w:left="108" w:right="80"/>
              <w:rPr>
                <w:rFonts w:ascii="Arial" w:hAnsi="Arial" w:cs="Arial"/>
                <w:sz w:val="18"/>
                <w:szCs w:val="18"/>
              </w:rPr>
            </w:pPr>
            <w:r w:rsidRPr="00D41F68">
              <w:rPr>
                <w:rFonts w:ascii="Arial" w:hAnsi="Arial" w:cs="Arial"/>
                <w:sz w:val="18"/>
                <w:szCs w:val="18"/>
              </w:rPr>
              <w:t>41.06± 1.997</w:t>
            </w:r>
            <w:r w:rsidRPr="00D41F68">
              <w:rPr>
                <w:rFonts w:ascii="Arial" w:eastAsia="Andale Sans UI" w:hAnsi="Arial" w:cs="Arial"/>
                <w:kern w:val="1"/>
                <w:sz w:val="18"/>
                <w:szCs w:val="18"/>
                <w:vertAlign w:val="superscript"/>
              </w:rPr>
              <w:t xml:space="preserve"> a</w:t>
            </w:r>
          </w:p>
        </w:tc>
        <w:tc>
          <w:tcPr>
            <w:tcW w:w="785" w:type="pct"/>
            <w:vAlign w:val="center"/>
          </w:tcPr>
          <w:p w14:paraId="4B841B2A" w14:textId="77777777" w:rsidR="008A3EA0" w:rsidRPr="00D41F68" w:rsidRDefault="008A3EA0"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40.26± 1.877</w:t>
            </w:r>
            <w:r w:rsidRPr="00D41F68">
              <w:rPr>
                <w:rFonts w:ascii="Arial" w:eastAsia="Andale Sans UI" w:hAnsi="Arial" w:cs="Arial"/>
                <w:kern w:val="1"/>
                <w:sz w:val="18"/>
                <w:szCs w:val="18"/>
                <w:vertAlign w:val="superscript"/>
              </w:rPr>
              <w:t xml:space="preserve"> a</w:t>
            </w:r>
          </w:p>
        </w:tc>
        <w:tc>
          <w:tcPr>
            <w:tcW w:w="447" w:type="pct"/>
          </w:tcPr>
          <w:p w14:paraId="26130961" w14:textId="77777777" w:rsidR="008A3EA0" w:rsidRPr="00D41F68" w:rsidRDefault="000D3E43" w:rsidP="001E4AD7">
            <w:pPr>
              <w:pStyle w:val="TableParagraph"/>
              <w:spacing w:line="480" w:lineRule="auto"/>
              <w:ind w:left="114" w:right="90"/>
              <w:rPr>
                <w:rFonts w:ascii="Arial" w:hAnsi="Arial" w:cs="Arial"/>
                <w:sz w:val="18"/>
                <w:szCs w:val="18"/>
              </w:rPr>
            </w:pPr>
            <w:r w:rsidRPr="00D41F68">
              <w:rPr>
                <w:rFonts w:ascii="Arial" w:hAnsi="Arial" w:cs="Arial"/>
                <w:sz w:val="18"/>
                <w:szCs w:val="18"/>
              </w:rPr>
              <w:t>0.054</w:t>
            </w:r>
          </w:p>
        </w:tc>
      </w:tr>
      <w:tr w:rsidR="008A3EA0" w:rsidRPr="00D41F68" w14:paraId="6EF833E6" w14:textId="77777777" w:rsidTr="008A3EA0">
        <w:trPr>
          <w:trHeight w:val="243"/>
        </w:trPr>
        <w:tc>
          <w:tcPr>
            <w:tcW w:w="764" w:type="pct"/>
            <w:vAlign w:val="center"/>
          </w:tcPr>
          <w:p w14:paraId="2AB12274" w14:textId="77777777" w:rsidR="008A3EA0" w:rsidRPr="00D41F68" w:rsidRDefault="008A3EA0" w:rsidP="001E4AD7">
            <w:pPr>
              <w:pStyle w:val="TableParagraph"/>
              <w:spacing w:line="480" w:lineRule="auto"/>
              <w:ind w:left="114" w:right="113"/>
              <w:rPr>
                <w:rFonts w:ascii="Arial" w:hAnsi="Arial" w:cs="Arial"/>
                <w:b/>
                <w:sz w:val="18"/>
                <w:szCs w:val="18"/>
              </w:rPr>
            </w:pPr>
            <w:r w:rsidRPr="00D41F68">
              <w:rPr>
                <w:rFonts w:ascii="Arial" w:hAnsi="Arial" w:cs="Arial"/>
                <w:b/>
                <w:sz w:val="18"/>
                <w:szCs w:val="18"/>
              </w:rPr>
              <w:t>MPV</w:t>
            </w:r>
          </w:p>
        </w:tc>
        <w:tc>
          <w:tcPr>
            <w:tcW w:w="586" w:type="pct"/>
            <w:vAlign w:val="center"/>
          </w:tcPr>
          <w:p w14:paraId="688381AC" w14:textId="77777777" w:rsidR="008A3EA0" w:rsidRPr="00D41F68" w:rsidRDefault="008A3EA0" w:rsidP="001E4AD7">
            <w:pPr>
              <w:pStyle w:val="TableParagraph"/>
              <w:spacing w:line="480" w:lineRule="auto"/>
              <w:ind w:left="169" w:right="155"/>
              <w:rPr>
                <w:rFonts w:ascii="Arial" w:hAnsi="Arial" w:cs="Arial"/>
                <w:sz w:val="18"/>
                <w:szCs w:val="18"/>
              </w:rPr>
            </w:pPr>
            <w:proofErr w:type="spellStart"/>
            <w:r w:rsidRPr="00D41F68">
              <w:rPr>
                <w:rFonts w:ascii="Arial" w:hAnsi="Arial" w:cs="Arial"/>
                <w:sz w:val="18"/>
                <w:szCs w:val="18"/>
              </w:rPr>
              <w:t>fL</w:t>
            </w:r>
            <w:proofErr w:type="spellEnd"/>
          </w:p>
        </w:tc>
        <w:tc>
          <w:tcPr>
            <w:tcW w:w="828" w:type="pct"/>
            <w:vAlign w:val="center"/>
          </w:tcPr>
          <w:p w14:paraId="181292E8" w14:textId="77777777" w:rsidR="008A3EA0" w:rsidRPr="00D41F68" w:rsidRDefault="008A3EA0" w:rsidP="001E4AD7">
            <w:pPr>
              <w:pStyle w:val="TableParagraph"/>
              <w:spacing w:line="480" w:lineRule="auto"/>
              <w:ind w:left="101" w:right="80"/>
              <w:rPr>
                <w:rFonts w:ascii="Arial" w:hAnsi="Arial" w:cs="Arial"/>
                <w:sz w:val="18"/>
                <w:szCs w:val="18"/>
              </w:rPr>
            </w:pPr>
            <w:r w:rsidRPr="00D41F68">
              <w:rPr>
                <w:rFonts w:ascii="Arial" w:hAnsi="Arial" w:cs="Arial"/>
                <w:sz w:val="18"/>
                <w:szCs w:val="18"/>
              </w:rPr>
              <w:t>6.28± 0.630</w:t>
            </w:r>
            <w:r w:rsidRPr="00D41F68">
              <w:rPr>
                <w:rFonts w:ascii="Arial" w:eastAsia="Andale Sans UI" w:hAnsi="Arial" w:cs="Arial"/>
                <w:kern w:val="1"/>
                <w:sz w:val="18"/>
                <w:szCs w:val="18"/>
                <w:vertAlign w:val="superscript"/>
              </w:rPr>
              <w:t xml:space="preserve"> a</w:t>
            </w:r>
          </w:p>
        </w:tc>
        <w:tc>
          <w:tcPr>
            <w:tcW w:w="806" w:type="pct"/>
            <w:vAlign w:val="center"/>
          </w:tcPr>
          <w:p w14:paraId="1B9A8595" w14:textId="77777777" w:rsidR="008A3EA0" w:rsidRPr="00D41F68" w:rsidRDefault="008A3EA0" w:rsidP="001E4AD7">
            <w:pPr>
              <w:pStyle w:val="TableParagraph"/>
              <w:spacing w:line="480" w:lineRule="auto"/>
              <w:ind w:left="108" w:right="77"/>
              <w:rPr>
                <w:rFonts w:ascii="Arial" w:hAnsi="Arial" w:cs="Arial"/>
                <w:sz w:val="18"/>
                <w:szCs w:val="18"/>
              </w:rPr>
            </w:pPr>
            <w:r w:rsidRPr="00D41F68">
              <w:rPr>
                <w:rFonts w:ascii="Arial" w:hAnsi="Arial" w:cs="Arial"/>
                <w:sz w:val="18"/>
                <w:szCs w:val="18"/>
              </w:rPr>
              <w:t>5.90± 0.324</w:t>
            </w:r>
            <w:r w:rsidRPr="00D41F68">
              <w:rPr>
                <w:rFonts w:ascii="Arial" w:eastAsia="Andale Sans UI" w:hAnsi="Arial" w:cs="Arial"/>
                <w:kern w:val="1"/>
                <w:sz w:val="18"/>
                <w:szCs w:val="18"/>
                <w:vertAlign w:val="superscript"/>
              </w:rPr>
              <w:t xml:space="preserve"> a</w:t>
            </w:r>
          </w:p>
        </w:tc>
        <w:tc>
          <w:tcPr>
            <w:tcW w:w="784" w:type="pct"/>
            <w:vAlign w:val="center"/>
          </w:tcPr>
          <w:p w14:paraId="12035A8E" w14:textId="77777777" w:rsidR="008A3EA0" w:rsidRPr="00D41F68" w:rsidRDefault="008A3EA0" w:rsidP="001E4AD7">
            <w:pPr>
              <w:pStyle w:val="TableParagraph"/>
              <w:spacing w:line="480" w:lineRule="auto"/>
              <w:ind w:left="108" w:right="75"/>
              <w:rPr>
                <w:rFonts w:ascii="Arial" w:hAnsi="Arial" w:cs="Arial"/>
                <w:sz w:val="18"/>
                <w:szCs w:val="18"/>
              </w:rPr>
            </w:pPr>
            <w:r w:rsidRPr="00D41F68">
              <w:rPr>
                <w:rFonts w:ascii="Arial" w:hAnsi="Arial" w:cs="Arial"/>
                <w:sz w:val="18"/>
                <w:szCs w:val="18"/>
              </w:rPr>
              <w:t>6.04± 0.564</w:t>
            </w:r>
            <w:r w:rsidRPr="00D41F68">
              <w:rPr>
                <w:rFonts w:ascii="Arial" w:eastAsia="Andale Sans UI" w:hAnsi="Arial" w:cs="Arial"/>
                <w:kern w:val="1"/>
                <w:sz w:val="18"/>
                <w:szCs w:val="18"/>
                <w:vertAlign w:val="superscript"/>
              </w:rPr>
              <w:t xml:space="preserve"> a</w:t>
            </w:r>
          </w:p>
        </w:tc>
        <w:tc>
          <w:tcPr>
            <w:tcW w:w="785" w:type="pct"/>
            <w:vAlign w:val="center"/>
          </w:tcPr>
          <w:p w14:paraId="25B5C09F" w14:textId="77777777" w:rsidR="008A3EA0" w:rsidRPr="00D41F68" w:rsidRDefault="008A3EA0"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6.46± 0.404</w:t>
            </w:r>
            <w:r w:rsidRPr="00D41F68">
              <w:rPr>
                <w:rFonts w:ascii="Arial" w:eastAsia="Andale Sans UI" w:hAnsi="Arial" w:cs="Arial"/>
                <w:kern w:val="1"/>
                <w:sz w:val="18"/>
                <w:szCs w:val="18"/>
                <w:vertAlign w:val="superscript"/>
              </w:rPr>
              <w:t xml:space="preserve"> a</w:t>
            </w:r>
          </w:p>
        </w:tc>
        <w:tc>
          <w:tcPr>
            <w:tcW w:w="447" w:type="pct"/>
          </w:tcPr>
          <w:p w14:paraId="48AB4EBB" w14:textId="77777777" w:rsidR="008A3EA0" w:rsidRPr="00D41F68" w:rsidRDefault="000D3E43" w:rsidP="001E4AD7">
            <w:pPr>
              <w:pStyle w:val="TableParagraph"/>
              <w:spacing w:line="480" w:lineRule="auto"/>
              <w:ind w:left="109" w:right="90"/>
              <w:rPr>
                <w:rFonts w:ascii="Arial" w:hAnsi="Arial" w:cs="Arial"/>
                <w:sz w:val="18"/>
                <w:szCs w:val="18"/>
              </w:rPr>
            </w:pPr>
            <w:r w:rsidRPr="00D41F68">
              <w:rPr>
                <w:rFonts w:ascii="Arial" w:hAnsi="Arial" w:cs="Arial"/>
                <w:sz w:val="18"/>
                <w:szCs w:val="18"/>
              </w:rPr>
              <w:t>0.321</w:t>
            </w:r>
          </w:p>
        </w:tc>
      </w:tr>
    </w:tbl>
    <w:p w14:paraId="42EBE1D6" w14:textId="77777777" w:rsidR="005A3088" w:rsidRPr="00D41F68" w:rsidRDefault="00216325" w:rsidP="00D41F68">
      <w:pPr>
        <w:widowControl w:val="0"/>
        <w:suppressAutoHyphens/>
        <w:autoSpaceDE w:val="0"/>
        <w:autoSpaceDN w:val="0"/>
        <w:adjustRightInd w:val="0"/>
        <w:spacing w:after="0" w:line="480" w:lineRule="auto"/>
        <w:ind w:left="720"/>
        <w:rPr>
          <w:rFonts w:ascii="Arial" w:eastAsia="Times New Roman" w:hAnsi="Arial" w:cs="Times New Roman"/>
          <w:bCs/>
          <w:i/>
          <w:sz w:val="18"/>
          <w:szCs w:val="16"/>
          <w:lang w:val="en-US"/>
        </w:rPr>
      </w:pPr>
      <w:r w:rsidRPr="00D41F68">
        <w:rPr>
          <w:rFonts w:ascii="Arial" w:eastAsia="Times New Roman" w:hAnsi="Arial" w:cs="Times New Roman"/>
          <w:bCs/>
          <w:i/>
          <w:sz w:val="18"/>
          <w:szCs w:val="16"/>
          <w:lang w:val="en-US"/>
        </w:rPr>
        <w:t xml:space="preserve">Mean ± SD </w:t>
      </w:r>
      <w:r w:rsidR="005A3088" w:rsidRPr="00D41F68">
        <w:rPr>
          <w:rFonts w:ascii="Arial" w:eastAsia="Times New Roman" w:hAnsi="Arial" w:cs="Times New Roman"/>
          <w:bCs/>
          <w:i/>
          <w:sz w:val="18"/>
          <w:szCs w:val="16"/>
          <w:lang w:val="en-US"/>
        </w:rPr>
        <w:t>bearing different superscripts in row differ significantly (p&lt;0.05).</w:t>
      </w:r>
    </w:p>
    <w:p w14:paraId="6E439C24" w14:textId="77777777" w:rsidR="005A3088" w:rsidRPr="00D41F68" w:rsidRDefault="007D42D0" w:rsidP="001E4AD7">
      <w:pPr>
        <w:autoSpaceDE w:val="0"/>
        <w:autoSpaceDN w:val="0"/>
        <w:adjustRightInd w:val="0"/>
        <w:spacing w:after="0" w:line="480" w:lineRule="auto"/>
        <w:jc w:val="both"/>
        <w:rPr>
          <w:rFonts w:ascii="Arial" w:hAnsi="Arial" w:cs="Arial"/>
          <w:b/>
          <w:bCs/>
          <w:sz w:val="20"/>
          <w:szCs w:val="20"/>
        </w:rPr>
      </w:pPr>
      <w:r w:rsidRPr="00D41F68">
        <w:rPr>
          <w:rFonts w:ascii="Arial" w:eastAsia="Andale Sans UI" w:hAnsi="Arial" w:cs="Arial"/>
          <w:b/>
          <w:bCs/>
          <w:kern w:val="1"/>
        </w:rPr>
        <w:t>Biochemical findings:</w:t>
      </w:r>
    </w:p>
    <w:p w14:paraId="32CA0345" w14:textId="77777777" w:rsidR="005A3088" w:rsidRPr="00D41F68" w:rsidRDefault="0094420A" w:rsidP="001E4AD7">
      <w:pPr>
        <w:autoSpaceDE w:val="0"/>
        <w:autoSpaceDN w:val="0"/>
        <w:adjustRightInd w:val="0"/>
        <w:spacing w:after="0" w:line="480" w:lineRule="auto"/>
        <w:ind w:firstLine="720"/>
        <w:jc w:val="both"/>
        <w:rPr>
          <w:rFonts w:ascii="Arial" w:hAnsi="Arial" w:cs="Arial"/>
          <w:bCs/>
          <w:sz w:val="20"/>
          <w:szCs w:val="20"/>
        </w:rPr>
      </w:pPr>
      <w:r w:rsidRPr="00D41F68">
        <w:rPr>
          <w:rFonts w:ascii="Arial" w:hAnsi="Arial" w:cs="Arial"/>
          <w:bCs/>
          <w:sz w:val="20"/>
          <w:szCs w:val="20"/>
        </w:rPr>
        <w:t xml:space="preserve">The </w:t>
      </w:r>
      <w:r w:rsidR="004D4A65" w:rsidRPr="00D41F68">
        <w:rPr>
          <w:rFonts w:ascii="Arial" w:hAnsi="Arial" w:cs="Arial"/>
          <w:bCs/>
          <w:sz w:val="20"/>
          <w:szCs w:val="20"/>
        </w:rPr>
        <w:t>mean ± SD</w:t>
      </w:r>
      <w:r w:rsidR="007C2A69" w:rsidRPr="00D41F68">
        <w:rPr>
          <w:rFonts w:ascii="Arial" w:hAnsi="Arial" w:cs="Arial"/>
          <w:bCs/>
          <w:sz w:val="20"/>
          <w:szCs w:val="20"/>
        </w:rPr>
        <w:t xml:space="preserve"> </w:t>
      </w:r>
      <w:r w:rsidRPr="00D41F68">
        <w:rPr>
          <w:rFonts w:ascii="Arial" w:hAnsi="Arial" w:cs="Arial"/>
          <w:bCs/>
          <w:sz w:val="20"/>
          <w:szCs w:val="20"/>
        </w:rPr>
        <w:t xml:space="preserve">of </w:t>
      </w:r>
      <w:r w:rsidR="003105CF" w:rsidRPr="00D41F68">
        <w:rPr>
          <w:rFonts w:ascii="Arial" w:hAnsi="Arial" w:cs="Arial"/>
          <w:bCs/>
          <w:sz w:val="20"/>
          <w:szCs w:val="20"/>
        </w:rPr>
        <w:t xml:space="preserve">all </w:t>
      </w:r>
      <w:r w:rsidR="007C2A69" w:rsidRPr="00D41F68">
        <w:rPr>
          <w:rFonts w:ascii="Arial" w:hAnsi="Arial" w:cs="Arial"/>
          <w:bCs/>
          <w:sz w:val="20"/>
          <w:szCs w:val="20"/>
        </w:rPr>
        <w:t>biochemical parameters</w:t>
      </w:r>
      <w:r w:rsidRPr="00D41F68">
        <w:rPr>
          <w:rFonts w:ascii="Arial" w:hAnsi="Arial" w:cs="Arial"/>
          <w:bCs/>
          <w:sz w:val="20"/>
          <w:szCs w:val="20"/>
        </w:rPr>
        <w:t xml:space="preserve"> is presented in </w:t>
      </w:r>
      <w:r w:rsidR="00DC7CEB" w:rsidRPr="00D41F68">
        <w:rPr>
          <w:rFonts w:ascii="Arial" w:hAnsi="Arial" w:cs="Arial"/>
          <w:bCs/>
          <w:sz w:val="20"/>
          <w:szCs w:val="20"/>
        </w:rPr>
        <w:t>Table III</w:t>
      </w:r>
      <w:r w:rsidR="003105CF" w:rsidRPr="00D41F68">
        <w:rPr>
          <w:rFonts w:ascii="Arial" w:hAnsi="Arial" w:cs="Arial"/>
          <w:bCs/>
          <w:sz w:val="20"/>
          <w:szCs w:val="20"/>
        </w:rPr>
        <w:t>. </w:t>
      </w:r>
      <w:r w:rsidR="00890E44" w:rsidRPr="00D41F68">
        <w:rPr>
          <w:rFonts w:ascii="Arial" w:hAnsi="Arial" w:cs="Arial"/>
          <w:bCs/>
          <w:sz w:val="20"/>
          <w:szCs w:val="20"/>
        </w:rPr>
        <w:t>There was no significant difference in ALT, AST, Creatinine, TP, Albumin, Cholesterol, Triglycerides, Urea, Uric acid, Glucose, Magnesium, Calcium</w:t>
      </w:r>
      <w:r w:rsidR="00E04014" w:rsidRPr="00D41F68">
        <w:rPr>
          <w:rFonts w:ascii="Arial" w:hAnsi="Arial" w:cs="Arial"/>
          <w:bCs/>
          <w:sz w:val="20"/>
          <w:szCs w:val="20"/>
        </w:rPr>
        <w:t xml:space="preserve">, Phosphorous and </w:t>
      </w:r>
      <w:r w:rsidR="00890E44" w:rsidRPr="00D41F68">
        <w:rPr>
          <w:rFonts w:ascii="Arial" w:hAnsi="Arial" w:cs="Arial"/>
          <w:bCs/>
          <w:sz w:val="20"/>
          <w:szCs w:val="20"/>
        </w:rPr>
        <w:t>GGT</w:t>
      </w:r>
      <w:r w:rsidR="00E04014" w:rsidRPr="00D41F68">
        <w:rPr>
          <w:rFonts w:ascii="Arial" w:hAnsi="Arial" w:cs="Arial"/>
          <w:bCs/>
          <w:sz w:val="20"/>
          <w:szCs w:val="20"/>
        </w:rPr>
        <w:t xml:space="preserve"> among the groups.</w:t>
      </w:r>
      <w:r w:rsidR="00890E44" w:rsidRPr="00D41F68">
        <w:rPr>
          <w:rFonts w:ascii="Arial" w:hAnsi="Arial" w:cs="Arial"/>
          <w:bCs/>
          <w:sz w:val="20"/>
          <w:szCs w:val="20"/>
        </w:rPr>
        <w:t xml:space="preserve"> </w:t>
      </w:r>
      <w:r w:rsidR="00DC47E6" w:rsidRPr="00D41F68">
        <w:rPr>
          <w:rFonts w:ascii="Arial" w:hAnsi="Arial" w:cs="Arial"/>
          <w:bCs/>
          <w:sz w:val="20"/>
          <w:szCs w:val="20"/>
        </w:rPr>
        <w:t>S</w:t>
      </w:r>
      <w:r w:rsidR="005A3088" w:rsidRPr="00D41F68">
        <w:rPr>
          <w:rFonts w:ascii="Arial" w:hAnsi="Arial" w:cs="Arial"/>
          <w:bCs/>
          <w:sz w:val="20"/>
          <w:szCs w:val="20"/>
        </w:rPr>
        <w:t>ignificantly increased (p&lt;0.05) ALP</w:t>
      </w:r>
      <w:r w:rsidR="00DC47E6" w:rsidRPr="00D41F68">
        <w:rPr>
          <w:rFonts w:ascii="Arial" w:hAnsi="Arial" w:cs="Arial"/>
          <w:bCs/>
          <w:sz w:val="20"/>
          <w:szCs w:val="20"/>
        </w:rPr>
        <w:t xml:space="preserve"> was observed</w:t>
      </w:r>
      <w:r w:rsidR="005A3088" w:rsidRPr="00D41F68">
        <w:rPr>
          <w:rFonts w:ascii="Arial" w:hAnsi="Arial" w:cs="Arial"/>
          <w:bCs/>
          <w:sz w:val="20"/>
          <w:szCs w:val="20"/>
        </w:rPr>
        <w:t xml:space="preserve"> in Group II rats when compared with negative and positive control animals, but </w:t>
      </w:r>
      <w:r w:rsidR="00EA6974" w:rsidRPr="00D41F68">
        <w:rPr>
          <w:rFonts w:ascii="Arial" w:hAnsi="Arial" w:cs="Arial"/>
          <w:bCs/>
          <w:sz w:val="20"/>
          <w:szCs w:val="20"/>
        </w:rPr>
        <w:t xml:space="preserve">significant improvement (p &lt; 0 05) </w:t>
      </w:r>
      <w:r w:rsidR="005A3088" w:rsidRPr="00D41F68">
        <w:rPr>
          <w:rFonts w:ascii="Arial" w:hAnsi="Arial" w:cs="Arial"/>
          <w:bCs/>
          <w:sz w:val="20"/>
          <w:szCs w:val="20"/>
        </w:rPr>
        <w:t>of ALP was noticed in indoxacarb plus vitamin C group. The rats of Group II (IND) and IV (IND+ VIT-C) revealed significant (p&lt;0.05) increase in total antioxidant status when compare with Group I and III (VIT-C)</w:t>
      </w:r>
      <w:r w:rsidR="00A039AD" w:rsidRPr="00D41F68">
        <w:rPr>
          <w:rFonts w:ascii="Arial" w:hAnsi="Arial" w:cs="Arial"/>
          <w:bCs/>
          <w:sz w:val="20"/>
          <w:szCs w:val="20"/>
        </w:rPr>
        <w:t>.</w:t>
      </w:r>
      <w:r w:rsidR="005A3088" w:rsidRPr="00D41F68">
        <w:rPr>
          <w:rFonts w:ascii="Arial" w:hAnsi="Arial" w:cs="Arial"/>
          <w:bCs/>
          <w:sz w:val="20"/>
          <w:szCs w:val="20"/>
        </w:rPr>
        <w:t xml:space="preserve"> However, decrease of total antioxidant status was observed in pre-treatment with vitamin C to indoxacarb-intoxicated rats</w:t>
      </w:r>
      <w:r w:rsidR="003105CF" w:rsidRPr="00D41F68">
        <w:rPr>
          <w:rFonts w:ascii="Arial" w:hAnsi="Arial" w:cs="Arial"/>
          <w:bCs/>
          <w:sz w:val="20"/>
          <w:szCs w:val="20"/>
        </w:rPr>
        <w:t>.</w:t>
      </w:r>
    </w:p>
    <w:p w14:paraId="0AEC4104" w14:textId="77777777" w:rsidR="005A3088" w:rsidRPr="00D41F68" w:rsidRDefault="00FB79A9" w:rsidP="001E4AD7">
      <w:pPr>
        <w:spacing w:line="480" w:lineRule="auto"/>
        <w:ind w:left="900" w:hanging="900"/>
        <w:rPr>
          <w:rFonts w:ascii="Arial" w:hAnsi="Arial" w:cs="Arial"/>
          <w:b/>
          <w:bCs/>
        </w:rPr>
      </w:pPr>
      <w:r w:rsidRPr="00D41F68">
        <w:rPr>
          <w:rFonts w:ascii="Arial" w:hAnsi="Arial" w:cs="Arial"/>
          <w:b/>
          <w:bCs/>
        </w:rPr>
        <w:t xml:space="preserve">Table </w:t>
      </w:r>
      <w:r w:rsidR="00DC7CEB" w:rsidRPr="00D41F68">
        <w:rPr>
          <w:rFonts w:ascii="Arial" w:hAnsi="Arial" w:cs="Arial"/>
          <w:b/>
          <w:bCs/>
        </w:rPr>
        <w:t>III</w:t>
      </w:r>
      <w:r w:rsidR="005A3088" w:rsidRPr="00D41F68">
        <w:rPr>
          <w:rFonts w:ascii="Arial" w:hAnsi="Arial" w:cs="Arial"/>
          <w:b/>
          <w:bCs/>
        </w:rPr>
        <w:t xml:space="preserve">: Effect of Indoxacarb and vitamin C on biochemical parameters (Mean± SD, n=5) in female rats after daily oral administration for 28 days </w:t>
      </w:r>
    </w:p>
    <w:tbl>
      <w:tblPr>
        <w:tblStyle w:val="TableGrid"/>
        <w:tblW w:w="5000" w:type="pct"/>
        <w:tblLayout w:type="fixed"/>
        <w:tblLook w:val="04A0" w:firstRow="1" w:lastRow="0" w:firstColumn="1" w:lastColumn="0" w:noHBand="0" w:noVBand="1"/>
      </w:tblPr>
      <w:tblGrid>
        <w:gridCol w:w="1662"/>
        <w:gridCol w:w="520"/>
        <w:gridCol w:w="1659"/>
        <w:gridCol w:w="1520"/>
        <w:gridCol w:w="1383"/>
        <w:gridCol w:w="1520"/>
        <w:gridCol w:w="752"/>
      </w:tblGrid>
      <w:tr w:rsidR="00652252" w:rsidRPr="00D41F68" w14:paraId="1EC255A1" w14:textId="77777777" w:rsidTr="00D41F68">
        <w:trPr>
          <w:trHeight w:val="281"/>
        </w:trPr>
        <w:tc>
          <w:tcPr>
            <w:tcW w:w="921" w:type="pct"/>
            <w:vMerge w:val="restart"/>
          </w:tcPr>
          <w:p w14:paraId="2486ECDA"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Parameter</w:t>
            </w:r>
          </w:p>
        </w:tc>
        <w:tc>
          <w:tcPr>
            <w:tcW w:w="288" w:type="pct"/>
            <w:vMerge w:val="restart"/>
          </w:tcPr>
          <w:p w14:paraId="67393C16" w14:textId="77777777" w:rsidR="0018750C" w:rsidRPr="00D41F68" w:rsidRDefault="0018750C" w:rsidP="001E4AD7">
            <w:pPr>
              <w:spacing w:line="480" w:lineRule="auto"/>
              <w:jc w:val="center"/>
              <w:rPr>
                <w:rFonts w:ascii="Arial" w:hAnsi="Arial" w:cs="Arial"/>
                <w:b/>
                <w:sz w:val="16"/>
                <w:szCs w:val="16"/>
              </w:rPr>
            </w:pPr>
          </w:p>
          <w:p w14:paraId="19C3107B"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Unit</w:t>
            </w:r>
          </w:p>
        </w:tc>
        <w:tc>
          <w:tcPr>
            <w:tcW w:w="920" w:type="pct"/>
          </w:tcPr>
          <w:p w14:paraId="6B5BF527"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w:t>
            </w:r>
          </w:p>
        </w:tc>
        <w:tc>
          <w:tcPr>
            <w:tcW w:w="843" w:type="pct"/>
          </w:tcPr>
          <w:p w14:paraId="41D8DB65"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II</w:t>
            </w:r>
          </w:p>
        </w:tc>
        <w:tc>
          <w:tcPr>
            <w:tcW w:w="767" w:type="pct"/>
          </w:tcPr>
          <w:p w14:paraId="37657FD8"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III</w:t>
            </w:r>
          </w:p>
        </w:tc>
        <w:tc>
          <w:tcPr>
            <w:tcW w:w="843" w:type="pct"/>
          </w:tcPr>
          <w:p w14:paraId="4BE64641"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Group IV</w:t>
            </w:r>
          </w:p>
        </w:tc>
        <w:tc>
          <w:tcPr>
            <w:tcW w:w="417" w:type="pct"/>
            <w:vMerge w:val="restart"/>
          </w:tcPr>
          <w:p w14:paraId="5C21FBB6"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P value</w:t>
            </w:r>
          </w:p>
        </w:tc>
      </w:tr>
      <w:tr w:rsidR="00652252" w:rsidRPr="00D41F68" w14:paraId="59433015" w14:textId="77777777" w:rsidTr="00D41F68">
        <w:trPr>
          <w:trHeight w:val="281"/>
        </w:trPr>
        <w:tc>
          <w:tcPr>
            <w:tcW w:w="921" w:type="pct"/>
            <w:vMerge/>
          </w:tcPr>
          <w:p w14:paraId="205BB32B" w14:textId="77777777" w:rsidR="0018750C" w:rsidRPr="00D41F68" w:rsidRDefault="0018750C" w:rsidP="001E4AD7">
            <w:pPr>
              <w:spacing w:line="480" w:lineRule="auto"/>
              <w:jc w:val="center"/>
              <w:rPr>
                <w:rFonts w:ascii="Arial" w:hAnsi="Arial" w:cs="Arial"/>
                <w:b/>
                <w:sz w:val="16"/>
                <w:szCs w:val="16"/>
              </w:rPr>
            </w:pPr>
          </w:p>
        </w:tc>
        <w:tc>
          <w:tcPr>
            <w:tcW w:w="288" w:type="pct"/>
            <w:vMerge/>
          </w:tcPr>
          <w:p w14:paraId="78F53C81" w14:textId="77777777" w:rsidR="0018750C" w:rsidRPr="00D41F68" w:rsidRDefault="0018750C" w:rsidP="001E4AD7">
            <w:pPr>
              <w:spacing w:line="480" w:lineRule="auto"/>
              <w:jc w:val="center"/>
              <w:rPr>
                <w:rFonts w:ascii="Arial" w:hAnsi="Arial" w:cs="Arial"/>
                <w:b/>
                <w:sz w:val="16"/>
                <w:szCs w:val="16"/>
              </w:rPr>
            </w:pPr>
          </w:p>
        </w:tc>
        <w:tc>
          <w:tcPr>
            <w:tcW w:w="920" w:type="pct"/>
          </w:tcPr>
          <w:p w14:paraId="731F106E"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CMC</w:t>
            </w:r>
          </w:p>
        </w:tc>
        <w:tc>
          <w:tcPr>
            <w:tcW w:w="843" w:type="pct"/>
          </w:tcPr>
          <w:p w14:paraId="09C637A3"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Indoxacarb</w:t>
            </w:r>
          </w:p>
        </w:tc>
        <w:tc>
          <w:tcPr>
            <w:tcW w:w="767" w:type="pct"/>
          </w:tcPr>
          <w:p w14:paraId="14511C71"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Vitamin C</w:t>
            </w:r>
          </w:p>
        </w:tc>
        <w:tc>
          <w:tcPr>
            <w:tcW w:w="843" w:type="pct"/>
          </w:tcPr>
          <w:p w14:paraId="06BCE5AF" w14:textId="77777777" w:rsidR="0018750C" w:rsidRPr="00D41F68" w:rsidRDefault="0018750C" w:rsidP="001E4AD7">
            <w:pPr>
              <w:pStyle w:val="NormalWeb"/>
              <w:spacing w:before="0" w:beforeAutospacing="0" w:after="0" w:afterAutospacing="0" w:line="480" w:lineRule="auto"/>
              <w:jc w:val="center"/>
              <w:rPr>
                <w:rFonts w:ascii="Arial" w:hAnsi="Arial" w:cs="Arial"/>
                <w:b/>
                <w:sz w:val="16"/>
                <w:szCs w:val="16"/>
              </w:rPr>
            </w:pPr>
            <w:r w:rsidRPr="00D41F68">
              <w:rPr>
                <w:rFonts w:ascii="Arial" w:hAnsi="Arial" w:cs="Arial"/>
                <w:b/>
                <w:kern w:val="24"/>
                <w:sz w:val="16"/>
                <w:szCs w:val="16"/>
              </w:rPr>
              <w:t>IND + VIT-C</w:t>
            </w:r>
          </w:p>
        </w:tc>
        <w:tc>
          <w:tcPr>
            <w:tcW w:w="417" w:type="pct"/>
            <w:vMerge/>
          </w:tcPr>
          <w:p w14:paraId="17C41AC2" w14:textId="77777777" w:rsidR="0018750C" w:rsidRPr="00D41F68" w:rsidRDefault="0018750C" w:rsidP="001E4AD7">
            <w:pPr>
              <w:pStyle w:val="NormalWeb"/>
              <w:spacing w:before="0" w:beforeAutospacing="0" w:after="0" w:afterAutospacing="0" w:line="480" w:lineRule="auto"/>
              <w:jc w:val="center"/>
              <w:rPr>
                <w:rFonts w:ascii="Arial" w:hAnsi="Arial" w:cs="Arial"/>
                <w:b/>
                <w:kern w:val="24"/>
                <w:sz w:val="16"/>
                <w:szCs w:val="16"/>
              </w:rPr>
            </w:pPr>
          </w:p>
        </w:tc>
      </w:tr>
      <w:tr w:rsidR="00652252" w:rsidRPr="00D41F68" w14:paraId="7A19CE28" w14:textId="77777777" w:rsidTr="00D41F68">
        <w:trPr>
          <w:trHeight w:val="281"/>
        </w:trPr>
        <w:tc>
          <w:tcPr>
            <w:tcW w:w="921" w:type="pct"/>
          </w:tcPr>
          <w:p w14:paraId="01988AE5"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 xml:space="preserve">Alanine aminotransferase </w:t>
            </w:r>
            <w:r w:rsidRPr="00D41F68">
              <w:rPr>
                <w:rFonts w:ascii="Arial" w:hAnsi="Arial" w:cs="Arial"/>
                <w:b/>
                <w:bCs/>
                <w:sz w:val="16"/>
                <w:szCs w:val="16"/>
                <w:lang w:eastAsia="en-IN"/>
              </w:rPr>
              <w:t>(ALT)</w:t>
            </w:r>
          </w:p>
        </w:tc>
        <w:tc>
          <w:tcPr>
            <w:tcW w:w="288" w:type="pct"/>
          </w:tcPr>
          <w:p w14:paraId="541530EE" w14:textId="77777777" w:rsidR="0018750C" w:rsidRPr="00D41F68" w:rsidRDefault="0018750C" w:rsidP="001E4AD7">
            <w:pPr>
              <w:spacing w:line="480" w:lineRule="auto"/>
              <w:jc w:val="center"/>
              <w:rPr>
                <w:rFonts w:ascii="Arial" w:hAnsi="Arial" w:cs="Arial"/>
                <w:b/>
                <w:sz w:val="16"/>
                <w:szCs w:val="16"/>
              </w:rPr>
            </w:pPr>
          </w:p>
          <w:p w14:paraId="4C030E13"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2C3FDE9F" w14:textId="77777777" w:rsidR="0018750C" w:rsidRPr="00D41F68" w:rsidRDefault="0018750C" w:rsidP="001E4AD7">
            <w:pPr>
              <w:spacing w:line="480" w:lineRule="auto"/>
              <w:jc w:val="center"/>
              <w:rPr>
                <w:rFonts w:ascii="Arial" w:hAnsi="Arial" w:cs="Arial"/>
                <w:sz w:val="16"/>
                <w:szCs w:val="16"/>
                <w:lang w:eastAsia="en-IN"/>
              </w:rPr>
            </w:pPr>
          </w:p>
          <w:p w14:paraId="294C4CE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58.00</w:t>
            </w:r>
            <w:r w:rsidRPr="00D41F68">
              <w:rPr>
                <w:rFonts w:ascii="Arial" w:hAnsi="Arial" w:cs="Arial"/>
                <w:sz w:val="16"/>
                <w:szCs w:val="16"/>
              </w:rPr>
              <w:t xml:space="preserve">± </w:t>
            </w:r>
            <w:r w:rsidRPr="00D41F68">
              <w:rPr>
                <w:rFonts w:ascii="Arial" w:hAnsi="Arial" w:cs="Arial"/>
                <w:sz w:val="16"/>
                <w:szCs w:val="16"/>
                <w:lang w:eastAsia="en-IN"/>
              </w:rPr>
              <w:t>15.260</w:t>
            </w:r>
            <w:r w:rsidRPr="00D41F68">
              <w:rPr>
                <w:rFonts w:ascii="Arial" w:eastAsia="Andale Sans UI" w:hAnsi="Arial" w:cs="Arial"/>
                <w:kern w:val="1"/>
                <w:sz w:val="16"/>
                <w:szCs w:val="16"/>
                <w:vertAlign w:val="superscript"/>
              </w:rPr>
              <w:t>a</w:t>
            </w:r>
          </w:p>
        </w:tc>
        <w:tc>
          <w:tcPr>
            <w:tcW w:w="843" w:type="pct"/>
          </w:tcPr>
          <w:p w14:paraId="6F303820" w14:textId="77777777" w:rsidR="0018750C" w:rsidRPr="00D41F68" w:rsidRDefault="0018750C" w:rsidP="001E4AD7">
            <w:pPr>
              <w:spacing w:line="480" w:lineRule="auto"/>
              <w:jc w:val="center"/>
              <w:rPr>
                <w:rFonts w:ascii="Arial" w:hAnsi="Arial" w:cs="Arial"/>
                <w:sz w:val="16"/>
                <w:szCs w:val="16"/>
                <w:lang w:eastAsia="en-IN"/>
              </w:rPr>
            </w:pPr>
          </w:p>
          <w:p w14:paraId="27E6128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67.00</w:t>
            </w:r>
            <w:r w:rsidRPr="00D41F68">
              <w:rPr>
                <w:rFonts w:ascii="Arial" w:hAnsi="Arial" w:cs="Arial"/>
                <w:sz w:val="16"/>
                <w:szCs w:val="16"/>
              </w:rPr>
              <w:t xml:space="preserve">± </w:t>
            </w:r>
            <w:r w:rsidRPr="00D41F68">
              <w:rPr>
                <w:rFonts w:ascii="Arial" w:hAnsi="Arial" w:cs="Arial"/>
                <w:sz w:val="16"/>
                <w:szCs w:val="16"/>
                <w:lang w:eastAsia="en-IN"/>
              </w:rPr>
              <w:t>10.846</w:t>
            </w:r>
            <w:r w:rsidRPr="00D41F68">
              <w:rPr>
                <w:rFonts w:ascii="Arial" w:eastAsia="Andale Sans UI" w:hAnsi="Arial" w:cs="Arial"/>
                <w:kern w:val="1"/>
                <w:sz w:val="16"/>
                <w:szCs w:val="16"/>
                <w:vertAlign w:val="superscript"/>
              </w:rPr>
              <w:t>a</w:t>
            </w:r>
          </w:p>
        </w:tc>
        <w:tc>
          <w:tcPr>
            <w:tcW w:w="767" w:type="pct"/>
          </w:tcPr>
          <w:p w14:paraId="40614B90" w14:textId="77777777" w:rsidR="0018750C" w:rsidRPr="00D41F68" w:rsidRDefault="0018750C" w:rsidP="001E4AD7">
            <w:pPr>
              <w:spacing w:line="480" w:lineRule="auto"/>
              <w:jc w:val="center"/>
              <w:rPr>
                <w:rFonts w:ascii="Arial" w:hAnsi="Arial" w:cs="Arial"/>
                <w:sz w:val="16"/>
                <w:szCs w:val="16"/>
                <w:lang w:eastAsia="en-IN"/>
              </w:rPr>
            </w:pPr>
          </w:p>
          <w:p w14:paraId="6F9CA59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74.10</w:t>
            </w:r>
            <w:r w:rsidRPr="00D41F68">
              <w:rPr>
                <w:rFonts w:ascii="Arial" w:hAnsi="Arial" w:cs="Arial"/>
                <w:sz w:val="16"/>
                <w:szCs w:val="16"/>
              </w:rPr>
              <w:t xml:space="preserve">± </w:t>
            </w:r>
            <w:r w:rsidRPr="00D41F68">
              <w:rPr>
                <w:rFonts w:ascii="Arial" w:hAnsi="Arial" w:cs="Arial"/>
                <w:sz w:val="16"/>
                <w:szCs w:val="16"/>
                <w:lang w:eastAsia="en-IN"/>
              </w:rPr>
              <w:t>26.128</w:t>
            </w:r>
            <w:r w:rsidRPr="00D41F68">
              <w:rPr>
                <w:rFonts w:ascii="Arial" w:eastAsia="Andale Sans UI" w:hAnsi="Arial" w:cs="Arial"/>
                <w:kern w:val="1"/>
                <w:sz w:val="16"/>
                <w:szCs w:val="16"/>
                <w:vertAlign w:val="superscript"/>
              </w:rPr>
              <w:t xml:space="preserve"> a</w:t>
            </w:r>
          </w:p>
        </w:tc>
        <w:tc>
          <w:tcPr>
            <w:tcW w:w="843" w:type="pct"/>
          </w:tcPr>
          <w:p w14:paraId="67892FE6" w14:textId="77777777" w:rsidR="0018750C" w:rsidRPr="00D41F68" w:rsidRDefault="0018750C" w:rsidP="001E4AD7">
            <w:pPr>
              <w:spacing w:line="480" w:lineRule="auto"/>
              <w:jc w:val="center"/>
              <w:rPr>
                <w:rFonts w:ascii="Arial" w:hAnsi="Arial" w:cs="Arial"/>
                <w:sz w:val="16"/>
                <w:szCs w:val="16"/>
                <w:lang w:eastAsia="en-IN"/>
              </w:rPr>
            </w:pPr>
          </w:p>
          <w:p w14:paraId="14FF849E"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48.40</w:t>
            </w:r>
            <w:r w:rsidRPr="00D41F68">
              <w:rPr>
                <w:rFonts w:ascii="Arial" w:hAnsi="Arial" w:cs="Arial"/>
                <w:sz w:val="16"/>
                <w:szCs w:val="16"/>
              </w:rPr>
              <w:t>± 6.795</w:t>
            </w:r>
            <w:r w:rsidRPr="00D41F68">
              <w:rPr>
                <w:rFonts w:ascii="Arial" w:eastAsia="Andale Sans UI" w:hAnsi="Arial" w:cs="Arial"/>
                <w:kern w:val="1"/>
                <w:sz w:val="16"/>
                <w:szCs w:val="16"/>
                <w:vertAlign w:val="superscript"/>
              </w:rPr>
              <w:t xml:space="preserve"> a</w:t>
            </w:r>
          </w:p>
        </w:tc>
        <w:tc>
          <w:tcPr>
            <w:tcW w:w="417" w:type="pct"/>
            <w:vAlign w:val="center"/>
          </w:tcPr>
          <w:p w14:paraId="298F50C1"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0.116</w:t>
            </w:r>
          </w:p>
        </w:tc>
      </w:tr>
      <w:tr w:rsidR="00652252" w:rsidRPr="00D41F68" w14:paraId="13517BCB" w14:textId="77777777" w:rsidTr="00D41F68">
        <w:trPr>
          <w:trHeight w:val="618"/>
        </w:trPr>
        <w:tc>
          <w:tcPr>
            <w:tcW w:w="921" w:type="pct"/>
          </w:tcPr>
          <w:p w14:paraId="4B06D0C3"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Aspartate</w:t>
            </w:r>
          </w:p>
          <w:p w14:paraId="5F83A8F9"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aminotransferase</w:t>
            </w:r>
            <w:r w:rsidRPr="00D41F68">
              <w:rPr>
                <w:rFonts w:ascii="Arial" w:hAnsi="Arial" w:cs="Arial"/>
                <w:b/>
                <w:bCs/>
                <w:sz w:val="16"/>
                <w:szCs w:val="16"/>
                <w:lang w:eastAsia="en-IN"/>
              </w:rPr>
              <w:t xml:space="preserve"> (AST)</w:t>
            </w:r>
          </w:p>
        </w:tc>
        <w:tc>
          <w:tcPr>
            <w:tcW w:w="288" w:type="pct"/>
          </w:tcPr>
          <w:p w14:paraId="58F63405" w14:textId="77777777" w:rsidR="0018750C" w:rsidRPr="00D41F68" w:rsidRDefault="0018750C" w:rsidP="001E4AD7">
            <w:pPr>
              <w:spacing w:line="480" w:lineRule="auto"/>
              <w:jc w:val="center"/>
              <w:rPr>
                <w:rFonts w:ascii="Arial" w:hAnsi="Arial" w:cs="Arial"/>
                <w:b/>
                <w:sz w:val="16"/>
                <w:szCs w:val="16"/>
              </w:rPr>
            </w:pPr>
          </w:p>
          <w:p w14:paraId="78367C4E"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5D4BAA08" w14:textId="77777777" w:rsidR="0018750C" w:rsidRPr="00D41F68" w:rsidRDefault="0018750C" w:rsidP="001E4AD7">
            <w:pPr>
              <w:spacing w:line="480" w:lineRule="auto"/>
              <w:jc w:val="center"/>
              <w:rPr>
                <w:rFonts w:ascii="Arial" w:hAnsi="Arial" w:cs="Arial"/>
                <w:sz w:val="16"/>
                <w:szCs w:val="16"/>
                <w:lang w:eastAsia="en-IN"/>
              </w:rPr>
            </w:pPr>
          </w:p>
          <w:p w14:paraId="3AC6CBC0"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185.24</w:t>
            </w:r>
            <w:r w:rsidRPr="00D41F68">
              <w:rPr>
                <w:rFonts w:ascii="Arial" w:hAnsi="Arial" w:cs="Arial"/>
                <w:sz w:val="16"/>
                <w:szCs w:val="16"/>
              </w:rPr>
              <w:t xml:space="preserve">± </w:t>
            </w:r>
            <w:r w:rsidRPr="00D41F68">
              <w:rPr>
                <w:rFonts w:ascii="Arial" w:hAnsi="Arial" w:cs="Arial"/>
                <w:sz w:val="16"/>
                <w:szCs w:val="16"/>
                <w:lang w:eastAsia="en-IN"/>
              </w:rPr>
              <w:t>59.950</w:t>
            </w:r>
            <w:r w:rsidRPr="00D41F68">
              <w:rPr>
                <w:rFonts w:ascii="Arial" w:eastAsia="Andale Sans UI" w:hAnsi="Arial" w:cs="Arial"/>
                <w:kern w:val="1"/>
                <w:sz w:val="16"/>
                <w:szCs w:val="16"/>
                <w:vertAlign w:val="superscript"/>
              </w:rPr>
              <w:t>a</w:t>
            </w:r>
          </w:p>
        </w:tc>
        <w:tc>
          <w:tcPr>
            <w:tcW w:w="843" w:type="pct"/>
          </w:tcPr>
          <w:p w14:paraId="77834C3B" w14:textId="77777777" w:rsidR="0018750C" w:rsidRPr="00D41F68" w:rsidRDefault="0018750C" w:rsidP="001E4AD7">
            <w:pPr>
              <w:spacing w:line="480" w:lineRule="auto"/>
              <w:jc w:val="center"/>
              <w:rPr>
                <w:rFonts w:ascii="Arial" w:hAnsi="Arial" w:cs="Arial"/>
                <w:sz w:val="16"/>
                <w:szCs w:val="16"/>
                <w:lang w:eastAsia="en-IN"/>
              </w:rPr>
            </w:pPr>
          </w:p>
          <w:p w14:paraId="0310583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201.06</w:t>
            </w:r>
            <w:r w:rsidRPr="00D41F68">
              <w:rPr>
                <w:rFonts w:ascii="Arial" w:hAnsi="Arial" w:cs="Arial"/>
                <w:sz w:val="16"/>
                <w:szCs w:val="16"/>
              </w:rPr>
              <w:t xml:space="preserve">± </w:t>
            </w:r>
            <w:r w:rsidRPr="00D41F68">
              <w:rPr>
                <w:rFonts w:ascii="Arial" w:hAnsi="Arial" w:cs="Arial"/>
                <w:sz w:val="16"/>
                <w:szCs w:val="16"/>
                <w:lang w:eastAsia="en-IN"/>
              </w:rPr>
              <w:t>56.910</w:t>
            </w:r>
            <w:r w:rsidRPr="00D41F68">
              <w:rPr>
                <w:rFonts w:ascii="Arial" w:eastAsia="Andale Sans UI" w:hAnsi="Arial" w:cs="Arial"/>
                <w:kern w:val="1"/>
                <w:sz w:val="16"/>
                <w:szCs w:val="16"/>
                <w:vertAlign w:val="superscript"/>
              </w:rPr>
              <w:t xml:space="preserve"> a</w:t>
            </w:r>
          </w:p>
        </w:tc>
        <w:tc>
          <w:tcPr>
            <w:tcW w:w="767" w:type="pct"/>
          </w:tcPr>
          <w:p w14:paraId="2514F54C" w14:textId="77777777" w:rsidR="0018750C" w:rsidRPr="00D41F68" w:rsidRDefault="0018750C" w:rsidP="001E4AD7">
            <w:pPr>
              <w:spacing w:line="480" w:lineRule="auto"/>
              <w:jc w:val="center"/>
              <w:rPr>
                <w:rFonts w:ascii="Arial" w:hAnsi="Arial" w:cs="Arial"/>
                <w:sz w:val="16"/>
                <w:szCs w:val="16"/>
                <w:lang w:eastAsia="en-IN"/>
              </w:rPr>
            </w:pPr>
          </w:p>
          <w:p w14:paraId="30132AB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204.14</w:t>
            </w:r>
            <w:r w:rsidRPr="00D41F68">
              <w:rPr>
                <w:rFonts w:ascii="Arial" w:hAnsi="Arial" w:cs="Arial"/>
                <w:sz w:val="16"/>
                <w:szCs w:val="16"/>
              </w:rPr>
              <w:t>± 61.671</w:t>
            </w:r>
            <w:r w:rsidRPr="00D41F68">
              <w:rPr>
                <w:rFonts w:ascii="Arial" w:eastAsia="Andale Sans UI" w:hAnsi="Arial" w:cs="Arial"/>
                <w:kern w:val="1"/>
                <w:sz w:val="16"/>
                <w:szCs w:val="16"/>
                <w:vertAlign w:val="superscript"/>
              </w:rPr>
              <w:t xml:space="preserve"> a</w:t>
            </w:r>
          </w:p>
        </w:tc>
        <w:tc>
          <w:tcPr>
            <w:tcW w:w="843" w:type="pct"/>
          </w:tcPr>
          <w:p w14:paraId="6A5BAC76" w14:textId="77777777" w:rsidR="0018750C" w:rsidRPr="00D41F68" w:rsidRDefault="0018750C" w:rsidP="001E4AD7">
            <w:pPr>
              <w:spacing w:line="480" w:lineRule="auto"/>
              <w:jc w:val="center"/>
              <w:rPr>
                <w:rFonts w:ascii="Arial" w:hAnsi="Arial" w:cs="Arial"/>
                <w:sz w:val="16"/>
                <w:szCs w:val="16"/>
                <w:lang w:eastAsia="en-IN"/>
              </w:rPr>
            </w:pPr>
          </w:p>
          <w:p w14:paraId="59F42B38"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156.52</w:t>
            </w:r>
            <w:r w:rsidRPr="00D41F68">
              <w:rPr>
                <w:rFonts w:ascii="Arial" w:hAnsi="Arial" w:cs="Arial"/>
                <w:sz w:val="16"/>
                <w:szCs w:val="16"/>
              </w:rPr>
              <w:t>± 23.272</w:t>
            </w:r>
            <w:r w:rsidRPr="00D41F68">
              <w:rPr>
                <w:rFonts w:ascii="Arial" w:eastAsia="Andale Sans UI" w:hAnsi="Arial" w:cs="Arial"/>
                <w:kern w:val="1"/>
                <w:sz w:val="16"/>
                <w:szCs w:val="16"/>
                <w:vertAlign w:val="superscript"/>
              </w:rPr>
              <w:t xml:space="preserve"> a</w:t>
            </w:r>
          </w:p>
        </w:tc>
        <w:tc>
          <w:tcPr>
            <w:tcW w:w="417" w:type="pct"/>
            <w:vAlign w:val="center"/>
          </w:tcPr>
          <w:p w14:paraId="072AE2F5"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0.487</w:t>
            </w:r>
          </w:p>
        </w:tc>
      </w:tr>
      <w:tr w:rsidR="00652252" w:rsidRPr="00D41F68" w14:paraId="2D03FD96" w14:textId="77777777" w:rsidTr="00D41F68">
        <w:trPr>
          <w:trHeight w:val="618"/>
        </w:trPr>
        <w:tc>
          <w:tcPr>
            <w:tcW w:w="921" w:type="pct"/>
          </w:tcPr>
          <w:p w14:paraId="3806C35C"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Alkaline Phosphatase (ALP)</w:t>
            </w:r>
          </w:p>
        </w:tc>
        <w:tc>
          <w:tcPr>
            <w:tcW w:w="288" w:type="pct"/>
          </w:tcPr>
          <w:p w14:paraId="76816521"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5D11927B" w14:textId="77777777" w:rsidR="0018750C" w:rsidRPr="00D41F68" w:rsidRDefault="0018750C" w:rsidP="001E4AD7">
            <w:pPr>
              <w:spacing w:line="480" w:lineRule="auto"/>
              <w:jc w:val="center"/>
              <w:rPr>
                <w:rFonts w:ascii="Arial" w:hAnsi="Arial" w:cs="Arial"/>
                <w:sz w:val="16"/>
                <w:szCs w:val="16"/>
                <w:lang w:eastAsia="en-IN"/>
              </w:rPr>
            </w:pPr>
          </w:p>
          <w:p w14:paraId="062D5D51"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177.80</w:t>
            </w:r>
            <w:r w:rsidRPr="00D41F68">
              <w:rPr>
                <w:rFonts w:ascii="Arial" w:hAnsi="Arial" w:cs="Arial"/>
                <w:sz w:val="16"/>
                <w:szCs w:val="16"/>
              </w:rPr>
              <w:t>± 93.369</w:t>
            </w:r>
            <w:r w:rsidRPr="00D41F68">
              <w:rPr>
                <w:rFonts w:ascii="Arial" w:hAnsi="Arial" w:cs="Arial"/>
                <w:sz w:val="16"/>
                <w:szCs w:val="16"/>
                <w:vertAlign w:val="superscript"/>
              </w:rPr>
              <w:t>a</w:t>
            </w:r>
          </w:p>
        </w:tc>
        <w:tc>
          <w:tcPr>
            <w:tcW w:w="843" w:type="pct"/>
          </w:tcPr>
          <w:p w14:paraId="15619DBB" w14:textId="77777777" w:rsidR="0018750C" w:rsidRPr="00D41F68" w:rsidRDefault="0018750C" w:rsidP="001E4AD7">
            <w:pPr>
              <w:spacing w:line="480" w:lineRule="auto"/>
              <w:jc w:val="center"/>
              <w:rPr>
                <w:rFonts w:ascii="Arial" w:hAnsi="Arial" w:cs="Arial"/>
                <w:sz w:val="16"/>
                <w:szCs w:val="16"/>
                <w:lang w:eastAsia="en-IN"/>
              </w:rPr>
            </w:pPr>
          </w:p>
          <w:p w14:paraId="5CECD657"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317.00</w:t>
            </w:r>
            <w:r w:rsidRPr="00D41F68">
              <w:rPr>
                <w:rFonts w:ascii="Arial" w:hAnsi="Arial" w:cs="Arial"/>
                <w:sz w:val="16"/>
                <w:szCs w:val="16"/>
              </w:rPr>
              <w:t>± 104.757</w:t>
            </w:r>
            <w:r w:rsidRPr="00D41F68">
              <w:rPr>
                <w:rFonts w:ascii="Arial" w:hAnsi="Arial" w:cs="Arial"/>
                <w:sz w:val="16"/>
                <w:szCs w:val="16"/>
                <w:vertAlign w:val="superscript"/>
              </w:rPr>
              <w:t xml:space="preserve"> b</w:t>
            </w:r>
          </w:p>
        </w:tc>
        <w:tc>
          <w:tcPr>
            <w:tcW w:w="767" w:type="pct"/>
          </w:tcPr>
          <w:p w14:paraId="04E7A56B" w14:textId="77777777" w:rsidR="0018750C" w:rsidRPr="00D41F68" w:rsidRDefault="0018750C" w:rsidP="001E4AD7">
            <w:pPr>
              <w:spacing w:line="480" w:lineRule="auto"/>
              <w:jc w:val="center"/>
              <w:rPr>
                <w:rFonts w:ascii="Arial" w:hAnsi="Arial" w:cs="Arial"/>
                <w:sz w:val="16"/>
                <w:szCs w:val="16"/>
                <w:lang w:eastAsia="en-IN"/>
              </w:rPr>
            </w:pPr>
          </w:p>
          <w:p w14:paraId="45C1BD3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199.60</w:t>
            </w:r>
            <w:r w:rsidRPr="00D41F68">
              <w:rPr>
                <w:rFonts w:ascii="Arial" w:hAnsi="Arial" w:cs="Arial"/>
                <w:sz w:val="16"/>
                <w:szCs w:val="16"/>
              </w:rPr>
              <w:t>± 27.898</w:t>
            </w:r>
            <w:r w:rsidRPr="00D41F68">
              <w:rPr>
                <w:rFonts w:ascii="Arial" w:hAnsi="Arial" w:cs="Arial"/>
                <w:sz w:val="16"/>
                <w:szCs w:val="16"/>
                <w:vertAlign w:val="superscript"/>
              </w:rPr>
              <w:t xml:space="preserve"> a</w:t>
            </w:r>
          </w:p>
        </w:tc>
        <w:tc>
          <w:tcPr>
            <w:tcW w:w="843" w:type="pct"/>
          </w:tcPr>
          <w:p w14:paraId="34856596" w14:textId="77777777" w:rsidR="0018750C" w:rsidRPr="00D41F68" w:rsidRDefault="0018750C" w:rsidP="001E4AD7">
            <w:pPr>
              <w:spacing w:line="480" w:lineRule="auto"/>
              <w:jc w:val="center"/>
              <w:rPr>
                <w:rFonts w:ascii="Arial" w:hAnsi="Arial" w:cs="Arial"/>
                <w:sz w:val="16"/>
                <w:szCs w:val="16"/>
                <w:lang w:eastAsia="en-IN"/>
              </w:rPr>
            </w:pPr>
          </w:p>
          <w:p w14:paraId="7C970D92"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218.40</w:t>
            </w:r>
            <w:r w:rsidRPr="00D41F68">
              <w:rPr>
                <w:rFonts w:ascii="Arial" w:hAnsi="Arial" w:cs="Arial"/>
                <w:sz w:val="16"/>
                <w:szCs w:val="16"/>
              </w:rPr>
              <w:t>± 28.272</w:t>
            </w:r>
            <w:r w:rsidRPr="00D41F68">
              <w:rPr>
                <w:rFonts w:ascii="Arial" w:hAnsi="Arial" w:cs="Arial"/>
                <w:b/>
                <w:sz w:val="16"/>
                <w:szCs w:val="16"/>
                <w:vertAlign w:val="superscript"/>
              </w:rPr>
              <w:t xml:space="preserve"> </w:t>
            </w:r>
            <w:r w:rsidRPr="00D41F68">
              <w:rPr>
                <w:rFonts w:ascii="Arial" w:hAnsi="Arial" w:cs="Arial"/>
                <w:sz w:val="16"/>
                <w:szCs w:val="16"/>
                <w:vertAlign w:val="superscript"/>
              </w:rPr>
              <w:t>a</w:t>
            </w:r>
          </w:p>
        </w:tc>
        <w:tc>
          <w:tcPr>
            <w:tcW w:w="417" w:type="pct"/>
            <w:vAlign w:val="center"/>
          </w:tcPr>
          <w:p w14:paraId="49F09153"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0.038</w:t>
            </w:r>
          </w:p>
        </w:tc>
      </w:tr>
      <w:tr w:rsidR="00652252" w:rsidRPr="00D41F68" w14:paraId="5A5243A3" w14:textId="77777777" w:rsidTr="00D41F68">
        <w:trPr>
          <w:trHeight w:val="330"/>
        </w:trPr>
        <w:tc>
          <w:tcPr>
            <w:tcW w:w="921" w:type="pct"/>
          </w:tcPr>
          <w:p w14:paraId="0D243491"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Gamma Glutamyl Transferase (GGT)</w:t>
            </w:r>
          </w:p>
        </w:tc>
        <w:tc>
          <w:tcPr>
            <w:tcW w:w="288" w:type="pct"/>
          </w:tcPr>
          <w:p w14:paraId="410166AF" w14:textId="77777777" w:rsidR="0018750C" w:rsidRPr="00D41F68" w:rsidRDefault="0018750C" w:rsidP="001E4AD7">
            <w:pPr>
              <w:spacing w:line="480" w:lineRule="auto"/>
              <w:jc w:val="center"/>
              <w:rPr>
                <w:rFonts w:ascii="Arial" w:hAnsi="Arial" w:cs="Arial"/>
                <w:b/>
                <w:sz w:val="16"/>
                <w:szCs w:val="16"/>
              </w:rPr>
            </w:pPr>
          </w:p>
          <w:p w14:paraId="6DCD1067"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U/L</w:t>
            </w:r>
          </w:p>
        </w:tc>
        <w:tc>
          <w:tcPr>
            <w:tcW w:w="920" w:type="pct"/>
          </w:tcPr>
          <w:p w14:paraId="6EFB2E89" w14:textId="77777777" w:rsidR="0018750C" w:rsidRPr="00D41F68" w:rsidRDefault="0018750C" w:rsidP="001E4AD7">
            <w:pPr>
              <w:spacing w:line="480" w:lineRule="auto"/>
              <w:jc w:val="center"/>
              <w:rPr>
                <w:rFonts w:ascii="Arial" w:hAnsi="Arial" w:cs="Arial"/>
                <w:sz w:val="16"/>
                <w:szCs w:val="16"/>
                <w:lang w:eastAsia="en-IN"/>
              </w:rPr>
            </w:pPr>
          </w:p>
          <w:p w14:paraId="353525F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15.20</w:t>
            </w:r>
            <w:r w:rsidRPr="00D41F68">
              <w:rPr>
                <w:rFonts w:ascii="Arial" w:hAnsi="Arial" w:cs="Arial"/>
                <w:sz w:val="16"/>
                <w:szCs w:val="16"/>
              </w:rPr>
              <w:t xml:space="preserve">± </w:t>
            </w:r>
            <w:r w:rsidRPr="00D41F68">
              <w:rPr>
                <w:rFonts w:ascii="Arial" w:hAnsi="Arial" w:cs="Arial"/>
                <w:sz w:val="16"/>
                <w:szCs w:val="16"/>
                <w:lang w:eastAsia="en-IN"/>
              </w:rPr>
              <w:t>2.168</w:t>
            </w:r>
            <w:r w:rsidRPr="00D41F68">
              <w:rPr>
                <w:rFonts w:ascii="Arial" w:eastAsia="Andale Sans UI" w:hAnsi="Arial" w:cs="Arial"/>
                <w:kern w:val="1"/>
                <w:sz w:val="16"/>
                <w:szCs w:val="16"/>
                <w:vertAlign w:val="superscript"/>
              </w:rPr>
              <w:t>a</w:t>
            </w:r>
          </w:p>
        </w:tc>
        <w:tc>
          <w:tcPr>
            <w:tcW w:w="843" w:type="pct"/>
          </w:tcPr>
          <w:p w14:paraId="52FF7496" w14:textId="77777777" w:rsidR="0018750C" w:rsidRPr="00D41F68" w:rsidRDefault="0018750C" w:rsidP="001E4AD7">
            <w:pPr>
              <w:spacing w:line="480" w:lineRule="auto"/>
              <w:jc w:val="center"/>
              <w:rPr>
                <w:rFonts w:ascii="Arial" w:hAnsi="Arial" w:cs="Arial"/>
                <w:sz w:val="16"/>
                <w:szCs w:val="16"/>
                <w:lang w:eastAsia="en-IN"/>
              </w:rPr>
            </w:pPr>
          </w:p>
          <w:p w14:paraId="2D288D3D"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14.00</w:t>
            </w:r>
            <w:r w:rsidRPr="00D41F68">
              <w:rPr>
                <w:rFonts w:ascii="Arial" w:hAnsi="Arial" w:cs="Arial"/>
                <w:sz w:val="16"/>
                <w:szCs w:val="16"/>
              </w:rPr>
              <w:t>±</w:t>
            </w:r>
            <w:r w:rsidRPr="00D41F68">
              <w:rPr>
                <w:rFonts w:ascii="Arial" w:hAnsi="Arial" w:cs="Arial"/>
                <w:sz w:val="16"/>
                <w:szCs w:val="16"/>
                <w:lang w:eastAsia="en-IN"/>
              </w:rPr>
              <w:t xml:space="preserve"> 3.082</w:t>
            </w:r>
            <w:r w:rsidRPr="00D41F68">
              <w:rPr>
                <w:rFonts w:ascii="Arial" w:eastAsia="Andale Sans UI" w:hAnsi="Arial" w:cs="Arial"/>
                <w:kern w:val="1"/>
                <w:sz w:val="16"/>
                <w:szCs w:val="16"/>
                <w:vertAlign w:val="superscript"/>
              </w:rPr>
              <w:t>a</w:t>
            </w:r>
          </w:p>
        </w:tc>
        <w:tc>
          <w:tcPr>
            <w:tcW w:w="767" w:type="pct"/>
          </w:tcPr>
          <w:p w14:paraId="07BF2279" w14:textId="77777777" w:rsidR="0018750C" w:rsidRPr="00D41F68" w:rsidRDefault="0018750C" w:rsidP="001E4AD7">
            <w:pPr>
              <w:spacing w:line="480" w:lineRule="auto"/>
              <w:jc w:val="center"/>
              <w:rPr>
                <w:rFonts w:ascii="Arial" w:hAnsi="Arial" w:cs="Arial"/>
                <w:sz w:val="16"/>
                <w:szCs w:val="16"/>
                <w:lang w:eastAsia="en-IN"/>
              </w:rPr>
            </w:pPr>
          </w:p>
          <w:p w14:paraId="4A9A301B"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16.60</w:t>
            </w:r>
            <w:r w:rsidRPr="00D41F68">
              <w:rPr>
                <w:rFonts w:ascii="Arial" w:hAnsi="Arial" w:cs="Arial"/>
                <w:sz w:val="16"/>
                <w:szCs w:val="16"/>
              </w:rPr>
              <w:t>± 3.209</w:t>
            </w:r>
            <w:r w:rsidRPr="00D41F68">
              <w:rPr>
                <w:rFonts w:ascii="Arial" w:eastAsia="Andale Sans UI" w:hAnsi="Arial" w:cs="Arial"/>
                <w:kern w:val="1"/>
                <w:sz w:val="16"/>
                <w:szCs w:val="16"/>
                <w:vertAlign w:val="superscript"/>
              </w:rPr>
              <w:t xml:space="preserve"> a</w:t>
            </w:r>
          </w:p>
        </w:tc>
        <w:tc>
          <w:tcPr>
            <w:tcW w:w="843" w:type="pct"/>
          </w:tcPr>
          <w:p w14:paraId="183465D6" w14:textId="77777777" w:rsidR="0018750C" w:rsidRPr="00D41F68" w:rsidRDefault="0018750C" w:rsidP="001E4AD7">
            <w:pPr>
              <w:spacing w:line="480" w:lineRule="auto"/>
              <w:jc w:val="center"/>
              <w:rPr>
                <w:rFonts w:ascii="Arial" w:hAnsi="Arial" w:cs="Arial"/>
                <w:sz w:val="16"/>
                <w:szCs w:val="16"/>
                <w:lang w:eastAsia="en-IN"/>
              </w:rPr>
            </w:pPr>
          </w:p>
          <w:p w14:paraId="2D33770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15.60</w:t>
            </w:r>
            <w:r w:rsidRPr="00D41F68">
              <w:rPr>
                <w:rFonts w:ascii="Arial" w:hAnsi="Arial" w:cs="Arial"/>
                <w:sz w:val="16"/>
                <w:szCs w:val="16"/>
              </w:rPr>
              <w:t>± 1.140</w:t>
            </w:r>
            <w:r w:rsidRPr="00D41F68">
              <w:rPr>
                <w:rFonts w:ascii="Arial" w:eastAsia="Andale Sans UI" w:hAnsi="Arial" w:cs="Arial"/>
                <w:kern w:val="1"/>
                <w:sz w:val="16"/>
                <w:szCs w:val="16"/>
                <w:vertAlign w:val="superscript"/>
              </w:rPr>
              <w:t xml:space="preserve"> a</w:t>
            </w:r>
          </w:p>
        </w:tc>
        <w:tc>
          <w:tcPr>
            <w:tcW w:w="417" w:type="pct"/>
            <w:vAlign w:val="center"/>
          </w:tcPr>
          <w:p w14:paraId="2A6AB298"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0.464</w:t>
            </w:r>
          </w:p>
        </w:tc>
      </w:tr>
      <w:tr w:rsidR="00652252" w:rsidRPr="00D41F68" w14:paraId="286AC2E0" w14:textId="77777777" w:rsidTr="00D41F68">
        <w:trPr>
          <w:trHeight w:val="210"/>
        </w:trPr>
        <w:tc>
          <w:tcPr>
            <w:tcW w:w="921" w:type="pct"/>
          </w:tcPr>
          <w:p w14:paraId="20F9BCED"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lastRenderedPageBreak/>
              <w:t>Total Protein</w:t>
            </w:r>
          </w:p>
        </w:tc>
        <w:tc>
          <w:tcPr>
            <w:tcW w:w="288" w:type="pct"/>
          </w:tcPr>
          <w:p w14:paraId="27D19B7A"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g/dL</w:t>
            </w:r>
          </w:p>
        </w:tc>
        <w:tc>
          <w:tcPr>
            <w:tcW w:w="920" w:type="pct"/>
          </w:tcPr>
          <w:p w14:paraId="2F4666D2"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8.40</w:t>
            </w:r>
            <w:r w:rsidRPr="00D41F68">
              <w:rPr>
                <w:rFonts w:ascii="Arial" w:hAnsi="Arial" w:cs="Arial"/>
                <w:sz w:val="16"/>
                <w:szCs w:val="16"/>
              </w:rPr>
              <w:t xml:space="preserve">± </w:t>
            </w:r>
            <w:r w:rsidRPr="00D41F68">
              <w:rPr>
                <w:rFonts w:ascii="Arial" w:hAnsi="Arial" w:cs="Arial"/>
                <w:sz w:val="16"/>
                <w:szCs w:val="16"/>
                <w:lang w:eastAsia="en-IN"/>
              </w:rPr>
              <w:t>0.632</w:t>
            </w:r>
            <w:r w:rsidRPr="00D41F68">
              <w:rPr>
                <w:rFonts w:ascii="Arial" w:eastAsia="Andale Sans UI" w:hAnsi="Arial" w:cs="Arial"/>
                <w:kern w:val="1"/>
                <w:sz w:val="16"/>
                <w:szCs w:val="16"/>
                <w:vertAlign w:val="superscript"/>
              </w:rPr>
              <w:t>a</w:t>
            </w:r>
          </w:p>
        </w:tc>
        <w:tc>
          <w:tcPr>
            <w:tcW w:w="843" w:type="pct"/>
          </w:tcPr>
          <w:p w14:paraId="3AE3556A"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8.54</w:t>
            </w:r>
            <w:r w:rsidRPr="00D41F68">
              <w:rPr>
                <w:rFonts w:ascii="Arial" w:hAnsi="Arial" w:cs="Arial"/>
                <w:sz w:val="16"/>
                <w:szCs w:val="16"/>
              </w:rPr>
              <w:t xml:space="preserve">± </w:t>
            </w:r>
            <w:r w:rsidRPr="00D41F68">
              <w:rPr>
                <w:rFonts w:ascii="Arial" w:hAnsi="Arial" w:cs="Arial"/>
                <w:sz w:val="16"/>
                <w:szCs w:val="16"/>
                <w:lang w:eastAsia="en-IN"/>
              </w:rPr>
              <w:t>0.859</w:t>
            </w:r>
            <w:r w:rsidRPr="00D41F68">
              <w:rPr>
                <w:rFonts w:ascii="Arial" w:eastAsia="Andale Sans UI" w:hAnsi="Arial" w:cs="Arial"/>
                <w:kern w:val="1"/>
                <w:sz w:val="16"/>
                <w:szCs w:val="16"/>
                <w:vertAlign w:val="superscript"/>
              </w:rPr>
              <w:t>a</w:t>
            </w:r>
          </w:p>
        </w:tc>
        <w:tc>
          <w:tcPr>
            <w:tcW w:w="767" w:type="pct"/>
          </w:tcPr>
          <w:p w14:paraId="3E50962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8.54</w:t>
            </w:r>
            <w:r w:rsidRPr="00D41F68">
              <w:rPr>
                <w:rFonts w:ascii="Arial" w:hAnsi="Arial" w:cs="Arial"/>
                <w:sz w:val="16"/>
                <w:szCs w:val="16"/>
              </w:rPr>
              <w:t>± 0.541</w:t>
            </w:r>
            <w:r w:rsidRPr="00D41F68">
              <w:rPr>
                <w:rFonts w:ascii="Arial" w:eastAsia="Andale Sans UI" w:hAnsi="Arial" w:cs="Arial"/>
                <w:kern w:val="1"/>
                <w:sz w:val="16"/>
                <w:szCs w:val="16"/>
                <w:vertAlign w:val="superscript"/>
              </w:rPr>
              <w:t xml:space="preserve"> a</w:t>
            </w:r>
          </w:p>
        </w:tc>
        <w:tc>
          <w:tcPr>
            <w:tcW w:w="843" w:type="pct"/>
          </w:tcPr>
          <w:p w14:paraId="349D3D6C"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7.72</w:t>
            </w:r>
            <w:r w:rsidRPr="00D41F68">
              <w:rPr>
                <w:rFonts w:ascii="Arial" w:hAnsi="Arial" w:cs="Arial"/>
                <w:sz w:val="16"/>
                <w:szCs w:val="16"/>
              </w:rPr>
              <w:t>± 0.942</w:t>
            </w:r>
            <w:r w:rsidRPr="00D41F68">
              <w:rPr>
                <w:rFonts w:ascii="Arial" w:eastAsia="Andale Sans UI" w:hAnsi="Arial" w:cs="Arial"/>
                <w:kern w:val="1"/>
                <w:sz w:val="16"/>
                <w:szCs w:val="16"/>
                <w:vertAlign w:val="superscript"/>
              </w:rPr>
              <w:t xml:space="preserve"> a</w:t>
            </w:r>
          </w:p>
        </w:tc>
        <w:tc>
          <w:tcPr>
            <w:tcW w:w="417" w:type="pct"/>
            <w:vAlign w:val="center"/>
          </w:tcPr>
          <w:p w14:paraId="0F4A1741"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0.300</w:t>
            </w:r>
          </w:p>
        </w:tc>
      </w:tr>
      <w:tr w:rsidR="00652252" w:rsidRPr="00D41F68" w14:paraId="7DCADD7E" w14:textId="77777777" w:rsidTr="00D41F68">
        <w:trPr>
          <w:trHeight w:val="281"/>
        </w:trPr>
        <w:tc>
          <w:tcPr>
            <w:tcW w:w="921" w:type="pct"/>
          </w:tcPr>
          <w:p w14:paraId="22C2CFF0"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Albumin</w:t>
            </w:r>
          </w:p>
        </w:tc>
        <w:tc>
          <w:tcPr>
            <w:tcW w:w="288" w:type="pct"/>
          </w:tcPr>
          <w:p w14:paraId="26AFE562"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g/dL</w:t>
            </w:r>
          </w:p>
        </w:tc>
        <w:tc>
          <w:tcPr>
            <w:tcW w:w="920" w:type="pct"/>
          </w:tcPr>
          <w:p w14:paraId="44FFA71C"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3.22</w:t>
            </w:r>
            <w:r w:rsidRPr="00D41F68">
              <w:rPr>
                <w:rFonts w:ascii="Arial" w:hAnsi="Arial" w:cs="Arial"/>
                <w:sz w:val="16"/>
                <w:szCs w:val="16"/>
              </w:rPr>
              <w:t xml:space="preserve">± </w:t>
            </w:r>
            <w:r w:rsidRPr="00D41F68">
              <w:rPr>
                <w:rFonts w:ascii="Arial" w:hAnsi="Arial" w:cs="Arial"/>
                <w:sz w:val="16"/>
                <w:szCs w:val="16"/>
                <w:lang w:eastAsia="en-IN"/>
              </w:rPr>
              <w:t>0.205</w:t>
            </w:r>
            <w:r w:rsidRPr="00D41F68">
              <w:rPr>
                <w:rFonts w:ascii="Arial" w:eastAsia="Andale Sans UI" w:hAnsi="Arial" w:cs="Arial"/>
                <w:kern w:val="1"/>
                <w:sz w:val="16"/>
                <w:szCs w:val="16"/>
                <w:vertAlign w:val="superscript"/>
              </w:rPr>
              <w:t>a</w:t>
            </w:r>
          </w:p>
        </w:tc>
        <w:tc>
          <w:tcPr>
            <w:tcW w:w="843" w:type="pct"/>
          </w:tcPr>
          <w:p w14:paraId="1EBAB41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3.20</w:t>
            </w:r>
            <w:r w:rsidRPr="00D41F68">
              <w:rPr>
                <w:rFonts w:ascii="Arial" w:hAnsi="Arial" w:cs="Arial"/>
                <w:sz w:val="16"/>
                <w:szCs w:val="16"/>
              </w:rPr>
              <w:t xml:space="preserve">± </w:t>
            </w:r>
            <w:r w:rsidRPr="00D41F68">
              <w:rPr>
                <w:rFonts w:ascii="Arial" w:hAnsi="Arial" w:cs="Arial"/>
                <w:sz w:val="16"/>
                <w:szCs w:val="16"/>
                <w:lang w:eastAsia="en-IN"/>
              </w:rPr>
              <w:t>0.141</w:t>
            </w:r>
            <w:r w:rsidRPr="00D41F68">
              <w:rPr>
                <w:rFonts w:ascii="Arial" w:eastAsia="Andale Sans UI" w:hAnsi="Arial" w:cs="Arial"/>
                <w:kern w:val="1"/>
                <w:sz w:val="16"/>
                <w:szCs w:val="16"/>
                <w:vertAlign w:val="superscript"/>
              </w:rPr>
              <w:t>a</w:t>
            </w:r>
          </w:p>
        </w:tc>
        <w:tc>
          <w:tcPr>
            <w:tcW w:w="767" w:type="pct"/>
          </w:tcPr>
          <w:p w14:paraId="7B9BA4CD"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3.30</w:t>
            </w:r>
            <w:r w:rsidRPr="00D41F68">
              <w:rPr>
                <w:rFonts w:ascii="Arial" w:hAnsi="Arial" w:cs="Arial"/>
                <w:sz w:val="16"/>
                <w:szCs w:val="16"/>
              </w:rPr>
              <w:t>± 0.187</w:t>
            </w:r>
            <w:r w:rsidRPr="00D41F68">
              <w:rPr>
                <w:rFonts w:ascii="Arial" w:eastAsia="Andale Sans UI" w:hAnsi="Arial" w:cs="Arial"/>
                <w:kern w:val="1"/>
                <w:sz w:val="16"/>
                <w:szCs w:val="16"/>
                <w:vertAlign w:val="superscript"/>
              </w:rPr>
              <w:t xml:space="preserve"> a</w:t>
            </w:r>
          </w:p>
        </w:tc>
        <w:tc>
          <w:tcPr>
            <w:tcW w:w="843" w:type="pct"/>
          </w:tcPr>
          <w:p w14:paraId="1D0E537F"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3.24</w:t>
            </w:r>
            <w:r w:rsidRPr="00D41F68">
              <w:rPr>
                <w:rFonts w:ascii="Arial" w:hAnsi="Arial" w:cs="Arial"/>
                <w:sz w:val="16"/>
                <w:szCs w:val="16"/>
              </w:rPr>
              <w:t>± 0.114</w:t>
            </w:r>
            <w:r w:rsidRPr="00D41F68">
              <w:rPr>
                <w:rFonts w:ascii="Arial" w:eastAsia="Andale Sans UI" w:hAnsi="Arial" w:cs="Arial"/>
                <w:kern w:val="1"/>
                <w:sz w:val="16"/>
                <w:szCs w:val="16"/>
                <w:vertAlign w:val="superscript"/>
              </w:rPr>
              <w:t xml:space="preserve"> a</w:t>
            </w:r>
          </w:p>
        </w:tc>
        <w:tc>
          <w:tcPr>
            <w:tcW w:w="417" w:type="pct"/>
            <w:vAlign w:val="center"/>
          </w:tcPr>
          <w:p w14:paraId="49A5EEE7"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0.797</w:t>
            </w:r>
          </w:p>
        </w:tc>
      </w:tr>
      <w:tr w:rsidR="00652252" w:rsidRPr="00D41F68" w14:paraId="3E0DF175" w14:textId="77777777" w:rsidTr="00D41F68">
        <w:trPr>
          <w:trHeight w:val="281"/>
        </w:trPr>
        <w:tc>
          <w:tcPr>
            <w:tcW w:w="921" w:type="pct"/>
          </w:tcPr>
          <w:p w14:paraId="6AA03936"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lang w:eastAsia="en-IN"/>
              </w:rPr>
              <w:t>Urea</w:t>
            </w:r>
          </w:p>
        </w:tc>
        <w:tc>
          <w:tcPr>
            <w:tcW w:w="288" w:type="pct"/>
          </w:tcPr>
          <w:p w14:paraId="1FBFB1F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181C5443"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60.09</w:t>
            </w:r>
            <w:r w:rsidRPr="00D41F68">
              <w:rPr>
                <w:rFonts w:ascii="Arial" w:hAnsi="Arial" w:cs="Arial"/>
                <w:sz w:val="16"/>
                <w:szCs w:val="16"/>
              </w:rPr>
              <w:t xml:space="preserve">± </w:t>
            </w:r>
            <w:r w:rsidRPr="00D41F68">
              <w:rPr>
                <w:rFonts w:ascii="Arial" w:hAnsi="Arial" w:cs="Arial"/>
                <w:sz w:val="16"/>
                <w:szCs w:val="16"/>
                <w:lang w:eastAsia="en-IN"/>
              </w:rPr>
              <w:t>10.272</w:t>
            </w:r>
            <w:r w:rsidRPr="00D41F68">
              <w:rPr>
                <w:rFonts w:ascii="Arial" w:eastAsia="Andale Sans UI" w:hAnsi="Arial" w:cs="Arial"/>
                <w:kern w:val="1"/>
                <w:sz w:val="16"/>
                <w:szCs w:val="16"/>
                <w:vertAlign w:val="superscript"/>
              </w:rPr>
              <w:t>a</w:t>
            </w:r>
          </w:p>
        </w:tc>
        <w:tc>
          <w:tcPr>
            <w:tcW w:w="843" w:type="pct"/>
          </w:tcPr>
          <w:p w14:paraId="11D952E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53.36</w:t>
            </w:r>
            <w:r w:rsidRPr="00D41F68">
              <w:rPr>
                <w:rFonts w:ascii="Arial" w:hAnsi="Arial" w:cs="Arial"/>
                <w:sz w:val="16"/>
                <w:szCs w:val="16"/>
              </w:rPr>
              <w:t xml:space="preserve">± </w:t>
            </w:r>
            <w:r w:rsidRPr="00D41F68">
              <w:rPr>
                <w:rFonts w:ascii="Arial" w:hAnsi="Arial" w:cs="Arial"/>
                <w:sz w:val="16"/>
                <w:szCs w:val="16"/>
                <w:lang w:eastAsia="en-IN"/>
              </w:rPr>
              <w:t>5.950</w:t>
            </w:r>
            <w:r w:rsidRPr="00D41F68">
              <w:rPr>
                <w:rFonts w:ascii="Arial" w:eastAsia="Andale Sans UI" w:hAnsi="Arial" w:cs="Arial"/>
                <w:kern w:val="1"/>
                <w:sz w:val="16"/>
                <w:szCs w:val="16"/>
                <w:vertAlign w:val="superscript"/>
              </w:rPr>
              <w:t>a</w:t>
            </w:r>
          </w:p>
        </w:tc>
        <w:tc>
          <w:tcPr>
            <w:tcW w:w="767" w:type="pct"/>
          </w:tcPr>
          <w:p w14:paraId="594E231C"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46.30</w:t>
            </w:r>
            <w:r w:rsidRPr="00D41F68">
              <w:rPr>
                <w:rFonts w:ascii="Arial" w:hAnsi="Arial" w:cs="Arial"/>
                <w:sz w:val="16"/>
                <w:szCs w:val="16"/>
              </w:rPr>
              <w:t>± 2.249</w:t>
            </w:r>
            <w:r w:rsidRPr="00D41F68">
              <w:rPr>
                <w:rFonts w:ascii="Arial" w:eastAsia="Andale Sans UI" w:hAnsi="Arial" w:cs="Arial"/>
                <w:kern w:val="1"/>
                <w:sz w:val="16"/>
                <w:szCs w:val="16"/>
                <w:vertAlign w:val="superscript"/>
              </w:rPr>
              <w:t xml:space="preserve"> a</w:t>
            </w:r>
          </w:p>
        </w:tc>
        <w:tc>
          <w:tcPr>
            <w:tcW w:w="843" w:type="pct"/>
          </w:tcPr>
          <w:p w14:paraId="25A5D60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49.98</w:t>
            </w:r>
            <w:r w:rsidRPr="00D41F68">
              <w:rPr>
                <w:rFonts w:ascii="Arial" w:hAnsi="Arial" w:cs="Arial"/>
                <w:sz w:val="16"/>
                <w:szCs w:val="16"/>
              </w:rPr>
              <w:t>± 13.568</w:t>
            </w:r>
            <w:r w:rsidRPr="00D41F68">
              <w:rPr>
                <w:rFonts w:ascii="Arial" w:eastAsia="Andale Sans UI" w:hAnsi="Arial" w:cs="Arial"/>
                <w:kern w:val="1"/>
                <w:sz w:val="16"/>
                <w:szCs w:val="16"/>
                <w:vertAlign w:val="superscript"/>
              </w:rPr>
              <w:t xml:space="preserve"> a</w:t>
            </w:r>
          </w:p>
        </w:tc>
        <w:tc>
          <w:tcPr>
            <w:tcW w:w="417" w:type="pct"/>
            <w:vAlign w:val="center"/>
          </w:tcPr>
          <w:p w14:paraId="66113AE9"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0.143</w:t>
            </w:r>
          </w:p>
        </w:tc>
      </w:tr>
      <w:tr w:rsidR="00652252" w:rsidRPr="00D41F68" w14:paraId="79766FA0" w14:textId="77777777" w:rsidTr="00D41F68">
        <w:trPr>
          <w:trHeight w:val="281"/>
        </w:trPr>
        <w:tc>
          <w:tcPr>
            <w:tcW w:w="921" w:type="pct"/>
          </w:tcPr>
          <w:p w14:paraId="37F4F62A" w14:textId="77777777" w:rsidR="0018750C" w:rsidRPr="00D41F68" w:rsidRDefault="0018750C" w:rsidP="001E4AD7">
            <w:pPr>
              <w:spacing w:line="480" w:lineRule="auto"/>
              <w:jc w:val="center"/>
              <w:rPr>
                <w:rFonts w:ascii="Arial" w:hAnsi="Arial" w:cs="Arial"/>
                <w:b/>
                <w:bCs/>
                <w:sz w:val="16"/>
                <w:szCs w:val="16"/>
                <w:lang w:eastAsia="en-IN"/>
              </w:rPr>
            </w:pPr>
            <w:r w:rsidRPr="00D41F68">
              <w:rPr>
                <w:rFonts w:ascii="Arial" w:hAnsi="Arial" w:cs="Arial"/>
                <w:b/>
                <w:bCs/>
                <w:sz w:val="16"/>
                <w:szCs w:val="16"/>
                <w:lang w:eastAsia="en-IN"/>
              </w:rPr>
              <w:t>Uric acid</w:t>
            </w:r>
          </w:p>
        </w:tc>
        <w:tc>
          <w:tcPr>
            <w:tcW w:w="288" w:type="pct"/>
          </w:tcPr>
          <w:p w14:paraId="4B9468D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17881505"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2.4</w:t>
            </w:r>
            <w:r w:rsidRPr="00D41F68">
              <w:rPr>
                <w:rFonts w:ascii="Arial" w:hAnsi="Arial" w:cs="Arial"/>
                <w:sz w:val="16"/>
                <w:szCs w:val="16"/>
              </w:rPr>
              <w:t>± 0.573</w:t>
            </w:r>
            <w:r w:rsidRPr="00D41F68">
              <w:rPr>
                <w:rFonts w:ascii="Arial" w:eastAsia="Andale Sans UI" w:hAnsi="Arial" w:cs="Arial"/>
                <w:kern w:val="1"/>
                <w:sz w:val="16"/>
                <w:szCs w:val="16"/>
                <w:vertAlign w:val="superscript"/>
              </w:rPr>
              <w:t>a</w:t>
            </w:r>
          </w:p>
        </w:tc>
        <w:tc>
          <w:tcPr>
            <w:tcW w:w="843" w:type="pct"/>
          </w:tcPr>
          <w:p w14:paraId="5A9B2AC5"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2.70</w:t>
            </w:r>
            <w:r w:rsidRPr="00D41F68">
              <w:rPr>
                <w:rFonts w:ascii="Arial" w:hAnsi="Arial" w:cs="Arial"/>
                <w:sz w:val="16"/>
                <w:szCs w:val="16"/>
              </w:rPr>
              <w:t>± 0.700</w:t>
            </w:r>
            <w:r w:rsidRPr="00D41F68">
              <w:rPr>
                <w:rFonts w:ascii="Arial" w:eastAsia="Andale Sans UI" w:hAnsi="Arial" w:cs="Arial"/>
                <w:kern w:val="1"/>
                <w:sz w:val="16"/>
                <w:szCs w:val="16"/>
                <w:vertAlign w:val="superscript"/>
              </w:rPr>
              <w:t>a</w:t>
            </w:r>
          </w:p>
        </w:tc>
        <w:tc>
          <w:tcPr>
            <w:tcW w:w="767" w:type="pct"/>
          </w:tcPr>
          <w:p w14:paraId="0DC4AC20"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2.52</w:t>
            </w:r>
            <w:r w:rsidRPr="00D41F68">
              <w:rPr>
                <w:rFonts w:ascii="Arial" w:hAnsi="Arial" w:cs="Arial"/>
                <w:sz w:val="16"/>
                <w:szCs w:val="16"/>
              </w:rPr>
              <w:t>± 0.277</w:t>
            </w:r>
            <w:r w:rsidRPr="00D41F68">
              <w:rPr>
                <w:rFonts w:ascii="Arial" w:eastAsia="Andale Sans UI" w:hAnsi="Arial" w:cs="Arial"/>
                <w:kern w:val="1"/>
                <w:sz w:val="16"/>
                <w:szCs w:val="16"/>
                <w:vertAlign w:val="superscript"/>
              </w:rPr>
              <w:t xml:space="preserve"> a</w:t>
            </w:r>
          </w:p>
        </w:tc>
        <w:tc>
          <w:tcPr>
            <w:tcW w:w="843" w:type="pct"/>
          </w:tcPr>
          <w:p w14:paraId="4D0BF1F6"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1.88</w:t>
            </w:r>
            <w:r w:rsidRPr="00D41F68">
              <w:rPr>
                <w:rFonts w:ascii="Arial" w:hAnsi="Arial" w:cs="Arial"/>
                <w:sz w:val="16"/>
                <w:szCs w:val="16"/>
              </w:rPr>
              <w:t>± 0.356</w:t>
            </w:r>
            <w:r w:rsidRPr="00D41F68">
              <w:rPr>
                <w:rFonts w:ascii="Arial" w:eastAsia="Andale Sans UI" w:hAnsi="Arial" w:cs="Arial"/>
                <w:kern w:val="1"/>
                <w:sz w:val="16"/>
                <w:szCs w:val="16"/>
                <w:vertAlign w:val="superscript"/>
              </w:rPr>
              <w:t xml:space="preserve"> a</w:t>
            </w:r>
          </w:p>
        </w:tc>
        <w:tc>
          <w:tcPr>
            <w:tcW w:w="417" w:type="pct"/>
            <w:vAlign w:val="center"/>
          </w:tcPr>
          <w:p w14:paraId="5E4E35E5"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0.065</w:t>
            </w:r>
          </w:p>
        </w:tc>
      </w:tr>
      <w:tr w:rsidR="00652252" w:rsidRPr="00D41F68" w14:paraId="4B080C0F" w14:textId="77777777" w:rsidTr="00D41F68">
        <w:trPr>
          <w:trHeight w:val="281"/>
        </w:trPr>
        <w:tc>
          <w:tcPr>
            <w:tcW w:w="921" w:type="pct"/>
          </w:tcPr>
          <w:p w14:paraId="4FA53A5F"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Creatinine</w:t>
            </w:r>
          </w:p>
        </w:tc>
        <w:tc>
          <w:tcPr>
            <w:tcW w:w="288" w:type="pct"/>
          </w:tcPr>
          <w:p w14:paraId="10BD220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42D0613B"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0.91</w:t>
            </w:r>
            <w:r w:rsidRPr="00D41F68">
              <w:rPr>
                <w:rFonts w:ascii="Arial" w:hAnsi="Arial" w:cs="Arial"/>
                <w:sz w:val="16"/>
                <w:szCs w:val="16"/>
              </w:rPr>
              <w:t xml:space="preserve">± </w:t>
            </w:r>
            <w:r w:rsidRPr="00D41F68">
              <w:rPr>
                <w:rFonts w:ascii="Arial" w:hAnsi="Arial" w:cs="Arial"/>
                <w:sz w:val="16"/>
                <w:szCs w:val="16"/>
                <w:lang w:eastAsia="en-IN"/>
              </w:rPr>
              <w:t>0.445</w:t>
            </w:r>
            <w:r w:rsidRPr="00D41F68">
              <w:rPr>
                <w:rFonts w:ascii="Arial" w:eastAsia="Andale Sans UI" w:hAnsi="Arial" w:cs="Arial"/>
                <w:kern w:val="1"/>
                <w:sz w:val="16"/>
                <w:szCs w:val="16"/>
                <w:vertAlign w:val="superscript"/>
              </w:rPr>
              <w:t>a</w:t>
            </w:r>
          </w:p>
        </w:tc>
        <w:tc>
          <w:tcPr>
            <w:tcW w:w="843" w:type="pct"/>
          </w:tcPr>
          <w:p w14:paraId="4F2EEEB9"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0.53</w:t>
            </w:r>
            <w:r w:rsidRPr="00D41F68">
              <w:rPr>
                <w:rFonts w:ascii="Arial" w:hAnsi="Arial" w:cs="Arial"/>
                <w:sz w:val="16"/>
                <w:szCs w:val="16"/>
              </w:rPr>
              <w:t>± 0.134</w:t>
            </w:r>
            <w:r w:rsidRPr="00D41F68">
              <w:rPr>
                <w:rFonts w:ascii="Arial" w:eastAsia="Andale Sans UI" w:hAnsi="Arial" w:cs="Arial"/>
                <w:kern w:val="1"/>
                <w:sz w:val="16"/>
                <w:szCs w:val="16"/>
                <w:vertAlign w:val="superscript"/>
              </w:rPr>
              <w:t>a</w:t>
            </w:r>
          </w:p>
        </w:tc>
        <w:tc>
          <w:tcPr>
            <w:tcW w:w="767" w:type="pct"/>
          </w:tcPr>
          <w:p w14:paraId="56890453"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0.41</w:t>
            </w:r>
            <w:r w:rsidRPr="00D41F68">
              <w:rPr>
                <w:rFonts w:ascii="Arial" w:hAnsi="Arial" w:cs="Arial"/>
                <w:sz w:val="16"/>
                <w:szCs w:val="16"/>
              </w:rPr>
              <w:t>± 0.132</w:t>
            </w:r>
            <w:r w:rsidRPr="00D41F68">
              <w:rPr>
                <w:rFonts w:ascii="Arial" w:eastAsia="Andale Sans UI" w:hAnsi="Arial" w:cs="Arial"/>
                <w:kern w:val="1"/>
                <w:sz w:val="16"/>
                <w:szCs w:val="16"/>
                <w:vertAlign w:val="superscript"/>
              </w:rPr>
              <w:t xml:space="preserve"> a</w:t>
            </w:r>
          </w:p>
        </w:tc>
        <w:tc>
          <w:tcPr>
            <w:tcW w:w="843" w:type="pct"/>
          </w:tcPr>
          <w:p w14:paraId="6177CB2D"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0.52</w:t>
            </w:r>
            <w:r w:rsidRPr="00D41F68">
              <w:rPr>
                <w:rFonts w:ascii="Arial" w:hAnsi="Arial" w:cs="Arial"/>
                <w:sz w:val="16"/>
                <w:szCs w:val="16"/>
              </w:rPr>
              <w:t>± 0.292</w:t>
            </w:r>
            <w:r w:rsidRPr="00D41F68">
              <w:rPr>
                <w:rFonts w:ascii="Arial" w:eastAsia="Andale Sans UI" w:hAnsi="Arial" w:cs="Arial"/>
                <w:kern w:val="1"/>
                <w:sz w:val="16"/>
                <w:szCs w:val="16"/>
                <w:vertAlign w:val="superscript"/>
              </w:rPr>
              <w:t xml:space="preserve"> a</w:t>
            </w:r>
          </w:p>
        </w:tc>
        <w:tc>
          <w:tcPr>
            <w:tcW w:w="417" w:type="pct"/>
            <w:vAlign w:val="center"/>
          </w:tcPr>
          <w:p w14:paraId="4BBA742F"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0.060</w:t>
            </w:r>
          </w:p>
        </w:tc>
      </w:tr>
      <w:tr w:rsidR="00652252" w:rsidRPr="00D41F68" w14:paraId="64C38209" w14:textId="77777777" w:rsidTr="00D41F68">
        <w:trPr>
          <w:trHeight w:val="281"/>
        </w:trPr>
        <w:tc>
          <w:tcPr>
            <w:tcW w:w="921" w:type="pct"/>
          </w:tcPr>
          <w:p w14:paraId="0EC38540"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bCs/>
                <w:sz w:val="16"/>
                <w:szCs w:val="16"/>
              </w:rPr>
              <w:t>Triglyceride</w:t>
            </w:r>
          </w:p>
        </w:tc>
        <w:tc>
          <w:tcPr>
            <w:tcW w:w="288" w:type="pct"/>
          </w:tcPr>
          <w:p w14:paraId="7DDBAE01"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6FAF60A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124.46</w:t>
            </w:r>
            <w:r w:rsidRPr="00D41F68">
              <w:rPr>
                <w:rFonts w:ascii="Arial" w:hAnsi="Arial" w:cs="Arial"/>
                <w:sz w:val="16"/>
                <w:szCs w:val="16"/>
              </w:rPr>
              <w:t xml:space="preserve">± </w:t>
            </w:r>
            <w:r w:rsidRPr="00D41F68">
              <w:rPr>
                <w:rFonts w:ascii="Arial" w:hAnsi="Arial" w:cs="Arial"/>
                <w:sz w:val="16"/>
                <w:szCs w:val="16"/>
                <w:lang w:eastAsia="en-IN"/>
              </w:rPr>
              <w:t>43.002</w:t>
            </w:r>
            <w:r w:rsidRPr="00D41F68">
              <w:rPr>
                <w:rFonts w:ascii="Arial" w:eastAsia="Andale Sans UI" w:hAnsi="Arial" w:cs="Arial"/>
                <w:kern w:val="1"/>
                <w:sz w:val="16"/>
                <w:szCs w:val="16"/>
                <w:vertAlign w:val="superscript"/>
              </w:rPr>
              <w:t>a</w:t>
            </w:r>
          </w:p>
        </w:tc>
        <w:tc>
          <w:tcPr>
            <w:tcW w:w="843" w:type="pct"/>
          </w:tcPr>
          <w:p w14:paraId="361D1163"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75.73</w:t>
            </w:r>
            <w:r w:rsidRPr="00D41F68">
              <w:rPr>
                <w:rFonts w:ascii="Arial" w:hAnsi="Arial" w:cs="Arial"/>
                <w:sz w:val="16"/>
                <w:szCs w:val="16"/>
              </w:rPr>
              <w:t>± 39.917</w:t>
            </w:r>
            <w:r w:rsidRPr="00D41F68">
              <w:rPr>
                <w:rFonts w:ascii="Arial" w:eastAsia="Andale Sans UI" w:hAnsi="Arial" w:cs="Arial"/>
                <w:kern w:val="1"/>
                <w:sz w:val="16"/>
                <w:szCs w:val="16"/>
                <w:vertAlign w:val="superscript"/>
              </w:rPr>
              <w:t>a</w:t>
            </w:r>
          </w:p>
        </w:tc>
        <w:tc>
          <w:tcPr>
            <w:tcW w:w="767" w:type="pct"/>
          </w:tcPr>
          <w:p w14:paraId="1430C78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127.42</w:t>
            </w:r>
            <w:r w:rsidRPr="00D41F68">
              <w:rPr>
                <w:rFonts w:ascii="Arial" w:hAnsi="Arial" w:cs="Arial"/>
                <w:sz w:val="16"/>
                <w:szCs w:val="16"/>
              </w:rPr>
              <w:t>± 62.441</w:t>
            </w:r>
            <w:r w:rsidRPr="00D41F68">
              <w:rPr>
                <w:rFonts w:ascii="Arial" w:eastAsia="Andale Sans UI" w:hAnsi="Arial" w:cs="Arial"/>
                <w:kern w:val="1"/>
                <w:sz w:val="16"/>
                <w:szCs w:val="16"/>
                <w:vertAlign w:val="superscript"/>
              </w:rPr>
              <w:t xml:space="preserve"> a</w:t>
            </w:r>
          </w:p>
        </w:tc>
        <w:tc>
          <w:tcPr>
            <w:tcW w:w="843" w:type="pct"/>
          </w:tcPr>
          <w:p w14:paraId="2E63413D"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94.27</w:t>
            </w:r>
            <w:r w:rsidRPr="00D41F68">
              <w:rPr>
                <w:rFonts w:ascii="Arial" w:hAnsi="Arial" w:cs="Arial"/>
                <w:sz w:val="16"/>
                <w:szCs w:val="16"/>
              </w:rPr>
              <w:t>± 47.345</w:t>
            </w:r>
            <w:r w:rsidRPr="00D41F68">
              <w:rPr>
                <w:rFonts w:ascii="Arial" w:eastAsia="Andale Sans UI" w:hAnsi="Arial" w:cs="Arial"/>
                <w:kern w:val="1"/>
                <w:sz w:val="16"/>
                <w:szCs w:val="16"/>
                <w:vertAlign w:val="superscript"/>
              </w:rPr>
              <w:t xml:space="preserve"> a</w:t>
            </w:r>
          </w:p>
        </w:tc>
        <w:tc>
          <w:tcPr>
            <w:tcW w:w="417" w:type="pct"/>
            <w:vAlign w:val="center"/>
          </w:tcPr>
          <w:p w14:paraId="30CA87AB"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0.312</w:t>
            </w:r>
          </w:p>
        </w:tc>
      </w:tr>
      <w:tr w:rsidR="00652252" w:rsidRPr="00D41F68" w14:paraId="03F53D18" w14:textId="77777777" w:rsidTr="00D41F68">
        <w:trPr>
          <w:trHeight w:val="281"/>
        </w:trPr>
        <w:tc>
          <w:tcPr>
            <w:tcW w:w="921" w:type="pct"/>
          </w:tcPr>
          <w:p w14:paraId="3B608815"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Cholesterol</w:t>
            </w:r>
          </w:p>
        </w:tc>
        <w:tc>
          <w:tcPr>
            <w:tcW w:w="288" w:type="pct"/>
          </w:tcPr>
          <w:p w14:paraId="01516E4A"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2C00CC80"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112.12</w:t>
            </w:r>
            <w:r w:rsidRPr="00D41F68">
              <w:rPr>
                <w:rFonts w:ascii="Arial" w:hAnsi="Arial" w:cs="Arial"/>
                <w:sz w:val="16"/>
                <w:szCs w:val="16"/>
              </w:rPr>
              <w:t xml:space="preserve">± </w:t>
            </w:r>
            <w:r w:rsidRPr="00D41F68">
              <w:rPr>
                <w:rFonts w:ascii="Arial" w:hAnsi="Arial" w:cs="Arial"/>
                <w:sz w:val="16"/>
                <w:szCs w:val="16"/>
                <w:lang w:eastAsia="en-IN"/>
              </w:rPr>
              <w:t>34.588</w:t>
            </w:r>
            <w:r w:rsidRPr="00D41F68">
              <w:rPr>
                <w:rFonts w:ascii="Arial" w:eastAsia="Andale Sans UI" w:hAnsi="Arial" w:cs="Arial"/>
                <w:kern w:val="1"/>
                <w:sz w:val="16"/>
                <w:szCs w:val="16"/>
                <w:vertAlign w:val="superscript"/>
              </w:rPr>
              <w:t>a</w:t>
            </w:r>
          </w:p>
        </w:tc>
        <w:tc>
          <w:tcPr>
            <w:tcW w:w="843" w:type="pct"/>
          </w:tcPr>
          <w:p w14:paraId="35B2062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89.14</w:t>
            </w:r>
            <w:r w:rsidRPr="00D41F68">
              <w:rPr>
                <w:rFonts w:ascii="Arial" w:hAnsi="Arial" w:cs="Arial"/>
                <w:sz w:val="16"/>
                <w:szCs w:val="16"/>
              </w:rPr>
              <w:t>± 13.684</w:t>
            </w:r>
            <w:r w:rsidRPr="00D41F68">
              <w:rPr>
                <w:rFonts w:ascii="Arial" w:eastAsia="Andale Sans UI" w:hAnsi="Arial" w:cs="Arial"/>
                <w:kern w:val="1"/>
                <w:sz w:val="16"/>
                <w:szCs w:val="16"/>
                <w:vertAlign w:val="superscript"/>
              </w:rPr>
              <w:t>a</w:t>
            </w:r>
          </w:p>
        </w:tc>
        <w:tc>
          <w:tcPr>
            <w:tcW w:w="767" w:type="pct"/>
          </w:tcPr>
          <w:p w14:paraId="09A28EE7"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80.22</w:t>
            </w:r>
            <w:r w:rsidRPr="00D41F68">
              <w:rPr>
                <w:rFonts w:ascii="Arial" w:hAnsi="Arial" w:cs="Arial"/>
                <w:sz w:val="16"/>
                <w:szCs w:val="16"/>
              </w:rPr>
              <w:t>± 6.099</w:t>
            </w:r>
            <w:r w:rsidRPr="00D41F68">
              <w:rPr>
                <w:rFonts w:ascii="Arial" w:eastAsia="Andale Sans UI" w:hAnsi="Arial" w:cs="Arial"/>
                <w:kern w:val="1"/>
                <w:sz w:val="16"/>
                <w:szCs w:val="16"/>
                <w:vertAlign w:val="superscript"/>
              </w:rPr>
              <w:t xml:space="preserve"> a</w:t>
            </w:r>
          </w:p>
        </w:tc>
        <w:tc>
          <w:tcPr>
            <w:tcW w:w="843" w:type="pct"/>
          </w:tcPr>
          <w:p w14:paraId="3C50DA6F"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73.54</w:t>
            </w:r>
            <w:r w:rsidRPr="00D41F68">
              <w:rPr>
                <w:rFonts w:ascii="Arial" w:hAnsi="Arial" w:cs="Arial"/>
                <w:sz w:val="16"/>
                <w:szCs w:val="16"/>
              </w:rPr>
              <w:t>± 25.991</w:t>
            </w:r>
            <w:r w:rsidRPr="00D41F68">
              <w:rPr>
                <w:rFonts w:ascii="Arial" w:eastAsia="Andale Sans UI" w:hAnsi="Arial" w:cs="Arial"/>
                <w:kern w:val="1"/>
                <w:sz w:val="16"/>
                <w:szCs w:val="16"/>
                <w:vertAlign w:val="superscript"/>
              </w:rPr>
              <w:t xml:space="preserve"> a</w:t>
            </w:r>
          </w:p>
        </w:tc>
        <w:tc>
          <w:tcPr>
            <w:tcW w:w="417" w:type="pct"/>
            <w:vAlign w:val="center"/>
          </w:tcPr>
          <w:p w14:paraId="04D895BE"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0.080</w:t>
            </w:r>
          </w:p>
        </w:tc>
      </w:tr>
      <w:tr w:rsidR="00652252" w:rsidRPr="00D41F68" w14:paraId="0F887204" w14:textId="77777777" w:rsidTr="00D41F68">
        <w:trPr>
          <w:trHeight w:val="281"/>
        </w:trPr>
        <w:tc>
          <w:tcPr>
            <w:tcW w:w="921" w:type="pct"/>
          </w:tcPr>
          <w:p w14:paraId="7235757E"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Glucose</w:t>
            </w:r>
          </w:p>
        </w:tc>
        <w:tc>
          <w:tcPr>
            <w:tcW w:w="288" w:type="pct"/>
          </w:tcPr>
          <w:p w14:paraId="07E95053"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1CBB22D9"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76.60</w:t>
            </w:r>
            <w:r w:rsidRPr="00D41F68">
              <w:rPr>
                <w:rFonts w:ascii="Arial" w:hAnsi="Arial" w:cs="Arial"/>
                <w:sz w:val="16"/>
                <w:szCs w:val="16"/>
              </w:rPr>
              <w:t>± 13.631</w:t>
            </w:r>
            <w:r w:rsidRPr="00D41F68">
              <w:rPr>
                <w:rFonts w:ascii="Arial" w:eastAsia="Andale Sans UI" w:hAnsi="Arial" w:cs="Arial"/>
                <w:kern w:val="1"/>
                <w:sz w:val="16"/>
                <w:szCs w:val="16"/>
                <w:vertAlign w:val="superscript"/>
              </w:rPr>
              <w:t>a</w:t>
            </w:r>
          </w:p>
        </w:tc>
        <w:tc>
          <w:tcPr>
            <w:tcW w:w="843" w:type="pct"/>
          </w:tcPr>
          <w:p w14:paraId="52349621"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67.60</w:t>
            </w:r>
            <w:r w:rsidRPr="00D41F68">
              <w:rPr>
                <w:rFonts w:ascii="Arial" w:hAnsi="Arial" w:cs="Arial"/>
                <w:sz w:val="16"/>
                <w:szCs w:val="16"/>
              </w:rPr>
              <w:t>± 17.126</w:t>
            </w:r>
            <w:r w:rsidRPr="00D41F68">
              <w:rPr>
                <w:rFonts w:ascii="Arial" w:eastAsia="Andale Sans UI" w:hAnsi="Arial" w:cs="Arial"/>
                <w:kern w:val="1"/>
                <w:sz w:val="16"/>
                <w:szCs w:val="16"/>
                <w:vertAlign w:val="superscript"/>
              </w:rPr>
              <w:t xml:space="preserve"> a</w:t>
            </w:r>
          </w:p>
        </w:tc>
        <w:tc>
          <w:tcPr>
            <w:tcW w:w="767" w:type="pct"/>
          </w:tcPr>
          <w:p w14:paraId="46704BC6"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99.80</w:t>
            </w:r>
            <w:r w:rsidRPr="00D41F68">
              <w:rPr>
                <w:rFonts w:ascii="Arial" w:hAnsi="Arial" w:cs="Arial"/>
                <w:sz w:val="16"/>
                <w:szCs w:val="16"/>
              </w:rPr>
              <w:t>± 25.352</w:t>
            </w:r>
            <w:r w:rsidRPr="00D41F68">
              <w:rPr>
                <w:rFonts w:ascii="Arial" w:eastAsia="Andale Sans UI" w:hAnsi="Arial" w:cs="Arial"/>
                <w:kern w:val="1"/>
                <w:sz w:val="16"/>
                <w:szCs w:val="16"/>
                <w:vertAlign w:val="superscript"/>
              </w:rPr>
              <w:t xml:space="preserve"> a</w:t>
            </w:r>
          </w:p>
        </w:tc>
        <w:tc>
          <w:tcPr>
            <w:tcW w:w="843" w:type="pct"/>
          </w:tcPr>
          <w:p w14:paraId="5D17D853"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73.60</w:t>
            </w:r>
            <w:r w:rsidRPr="00D41F68">
              <w:rPr>
                <w:rFonts w:ascii="Arial" w:hAnsi="Arial" w:cs="Arial"/>
                <w:sz w:val="16"/>
                <w:szCs w:val="16"/>
              </w:rPr>
              <w:t>±11.238</w:t>
            </w:r>
            <w:r w:rsidRPr="00D41F68">
              <w:rPr>
                <w:rFonts w:ascii="Arial" w:eastAsia="Andale Sans UI" w:hAnsi="Arial" w:cs="Arial"/>
                <w:kern w:val="1"/>
                <w:sz w:val="16"/>
                <w:szCs w:val="16"/>
                <w:vertAlign w:val="superscript"/>
              </w:rPr>
              <w:t xml:space="preserve"> a</w:t>
            </w:r>
          </w:p>
        </w:tc>
        <w:tc>
          <w:tcPr>
            <w:tcW w:w="417" w:type="pct"/>
            <w:vAlign w:val="center"/>
          </w:tcPr>
          <w:p w14:paraId="76D2C97B" w14:textId="77777777" w:rsidR="0018750C" w:rsidRPr="00D41F68" w:rsidRDefault="0092407D"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0.052</w:t>
            </w:r>
          </w:p>
        </w:tc>
      </w:tr>
      <w:tr w:rsidR="00652252" w:rsidRPr="00D41F68" w14:paraId="4A081EBF" w14:textId="77777777" w:rsidTr="00D41F68">
        <w:trPr>
          <w:trHeight w:val="281"/>
        </w:trPr>
        <w:tc>
          <w:tcPr>
            <w:tcW w:w="921" w:type="pct"/>
            <w:vAlign w:val="bottom"/>
          </w:tcPr>
          <w:p w14:paraId="008AC086" w14:textId="77777777" w:rsidR="0018750C" w:rsidRPr="00D41F68" w:rsidRDefault="0018750C" w:rsidP="001E4AD7">
            <w:pPr>
              <w:spacing w:line="480" w:lineRule="auto"/>
              <w:jc w:val="center"/>
              <w:rPr>
                <w:rFonts w:ascii="Arial" w:hAnsi="Arial" w:cs="Arial"/>
                <w:b/>
                <w:bCs/>
                <w:sz w:val="16"/>
                <w:szCs w:val="16"/>
                <w:lang w:eastAsia="en-IN"/>
              </w:rPr>
            </w:pPr>
            <w:r w:rsidRPr="00D41F68">
              <w:rPr>
                <w:rFonts w:ascii="Arial" w:hAnsi="Arial" w:cs="Arial"/>
                <w:b/>
                <w:bCs/>
                <w:sz w:val="16"/>
                <w:szCs w:val="16"/>
              </w:rPr>
              <w:t>Magnesium</w:t>
            </w:r>
          </w:p>
        </w:tc>
        <w:tc>
          <w:tcPr>
            <w:tcW w:w="288" w:type="pct"/>
            <w:vAlign w:val="bottom"/>
          </w:tcPr>
          <w:p w14:paraId="66088994"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7092D5BF"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2.99</w:t>
            </w:r>
            <w:r w:rsidRPr="00D41F68">
              <w:rPr>
                <w:rFonts w:ascii="Arial" w:hAnsi="Arial" w:cs="Arial"/>
                <w:sz w:val="16"/>
                <w:szCs w:val="16"/>
              </w:rPr>
              <w:t xml:space="preserve">± </w:t>
            </w:r>
            <w:r w:rsidRPr="00D41F68">
              <w:rPr>
                <w:rFonts w:ascii="Arial" w:hAnsi="Arial" w:cs="Arial"/>
                <w:sz w:val="16"/>
                <w:szCs w:val="16"/>
                <w:lang w:eastAsia="en-IN"/>
              </w:rPr>
              <w:t>0.336</w:t>
            </w:r>
            <w:r w:rsidRPr="00D41F68">
              <w:rPr>
                <w:rFonts w:ascii="Arial" w:eastAsia="Andale Sans UI" w:hAnsi="Arial" w:cs="Arial"/>
                <w:kern w:val="1"/>
                <w:sz w:val="16"/>
                <w:szCs w:val="16"/>
                <w:vertAlign w:val="superscript"/>
              </w:rPr>
              <w:t>a</w:t>
            </w:r>
          </w:p>
        </w:tc>
        <w:tc>
          <w:tcPr>
            <w:tcW w:w="843" w:type="pct"/>
          </w:tcPr>
          <w:p w14:paraId="4C1EE3AB"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3.35</w:t>
            </w:r>
            <w:r w:rsidRPr="00D41F68">
              <w:rPr>
                <w:rFonts w:ascii="Arial" w:hAnsi="Arial" w:cs="Arial"/>
                <w:sz w:val="16"/>
                <w:szCs w:val="16"/>
              </w:rPr>
              <w:t>± 0.728</w:t>
            </w:r>
            <w:r w:rsidRPr="00D41F68">
              <w:rPr>
                <w:rFonts w:ascii="Arial" w:eastAsia="Andale Sans UI" w:hAnsi="Arial" w:cs="Arial"/>
                <w:kern w:val="1"/>
                <w:sz w:val="16"/>
                <w:szCs w:val="16"/>
                <w:vertAlign w:val="superscript"/>
              </w:rPr>
              <w:t>a</w:t>
            </w:r>
          </w:p>
        </w:tc>
        <w:tc>
          <w:tcPr>
            <w:tcW w:w="767" w:type="pct"/>
          </w:tcPr>
          <w:p w14:paraId="5810E485"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lang w:eastAsia="en-IN"/>
              </w:rPr>
              <w:t>2.74</w:t>
            </w:r>
            <w:r w:rsidRPr="00D41F68">
              <w:rPr>
                <w:rFonts w:ascii="Arial" w:hAnsi="Arial" w:cs="Arial"/>
                <w:sz w:val="16"/>
                <w:szCs w:val="16"/>
              </w:rPr>
              <w:t>± 0.617</w:t>
            </w:r>
            <w:r w:rsidRPr="00D41F68">
              <w:rPr>
                <w:rFonts w:ascii="Arial" w:eastAsia="Andale Sans UI" w:hAnsi="Arial" w:cs="Arial"/>
                <w:kern w:val="1"/>
                <w:sz w:val="16"/>
                <w:szCs w:val="16"/>
                <w:vertAlign w:val="superscript"/>
              </w:rPr>
              <w:t xml:space="preserve"> a</w:t>
            </w:r>
          </w:p>
        </w:tc>
        <w:tc>
          <w:tcPr>
            <w:tcW w:w="843" w:type="pct"/>
          </w:tcPr>
          <w:p w14:paraId="1B1BB482"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3.28</w:t>
            </w:r>
            <w:r w:rsidRPr="00D41F68">
              <w:rPr>
                <w:rFonts w:ascii="Arial" w:hAnsi="Arial" w:cs="Arial"/>
                <w:sz w:val="16"/>
                <w:szCs w:val="16"/>
              </w:rPr>
              <w:t>± 1.152</w:t>
            </w:r>
            <w:r w:rsidRPr="00D41F68">
              <w:rPr>
                <w:rFonts w:ascii="Arial" w:eastAsia="Andale Sans UI" w:hAnsi="Arial" w:cs="Arial"/>
                <w:kern w:val="1"/>
                <w:sz w:val="16"/>
                <w:szCs w:val="16"/>
                <w:vertAlign w:val="superscript"/>
              </w:rPr>
              <w:t xml:space="preserve"> a</w:t>
            </w:r>
          </w:p>
        </w:tc>
        <w:tc>
          <w:tcPr>
            <w:tcW w:w="417" w:type="pct"/>
            <w:vAlign w:val="center"/>
          </w:tcPr>
          <w:p w14:paraId="10E8B22D" w14:textId="77777777" w:rsidR="0018750C" w:rsidRPr="00D41F68" w:rsidRDefault="007E4E2B"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0.585</w:t>
            </w:r>
          </w:p>
        </w:tc>
      </w:tr>
      <w:tr w:rsidR="00652252" w:rsidRPr="00D41F68" w14:paraId="4E2B66F1" w14:textId="77777777" w:rsidTr="00D41F68">
        <w:trPr>
          <w:trHeight w:val="281"/>
        </w:trPr>
        <w:tc>
          <w:tcPr>
            <w:tcW w:w="921" w:type="pct"/>
          </w:tcPr>
          <w:p w14:paraId="34905A48"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lang w:eastAsia="en-IN"/>
              </w:rPr>
              <w:t>Calcium</w:t>
            </w:r>
          </w:p>
        </w:tc>
        <w:tc>
          <w:tcPr>
            <w:tcW w:w="288" w:type="pct"/>
          </w:tcPr>
          <w:p w14:paraId="20E44E48"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tcPr>
          <w:p w14:paraId="719BD6A0"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10.88</w:t>
            </w:r>
            <w:r w:rsidRPr="00D41F68">
              <w:rPr>
                <w:rFonts w:ascii="Arial" w:hAnsi="Arial" w:cs="Arial"/>
                <w:sz w:val="16"/>
                <w:szCs w:val="16"/>
              </w:rPr>
              <w:t>± 0.642</w:t>
            </w:r>
            <w:r w:rsidRPr="00D41F68">
              <w:rPr>
                <w:rFonts w:ascii="Arial" w:eastAsia="Andale Sans UI" w:hAnsi="Arial" w:cs="Arial"/>
                <w:kern w:val="1"/>
                <w:sz w:val="16"/>
                <w:szCs w:val="16"/>
                <w:vertAlign w:val="superscript"/>
              </w:rPr>
              <w:t>a</w:t>
            </w:r>
          </w:p>
        </w:tc>
        <w:tc>
          <w:tcPr>
            <w:tcW w:w="843" w:type="pct"/>
          </w:tcPr>
          <w:p w14:paraId="0285BA5B"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11.78</w:t>
            </w:r>
            <w:r w:rsidRPr="00D41F68">
              <w:rPr>
                <w:rFonts w:ascii="Arial" w:hAnsi="Arial" w:cs="Arial"/>
                <w:sz w:val="16"/>
                <w:szCs w:val="16"/>
              </w:rPr>
              <w:t>± 2.152</w:t>
            </w:r>
            <w:r w:rsidRPr="00D41F68">
              <w:rPr>
                <w:rFonts w:ascii="Arial" w:eastAsia="Andale Sans UI" w:hAnsi="Arial" w:cs="Arial"/>
                <w:kern w:val="1"/>
                <w:sz w:val="16"/>
                <w:szCs w:val="16"/>
                <w:vertAlign w:val="superscript"/>
              </w:rPr>
              <w:t>a</w:t>
            </w:r>
          </w:p>
        </w:tc>
        <w:tc>
          <w:tcPr>
            <w:tcW w:w="767" w:type="pct"/>
          </w:tcPr>
          <w:p w14:paraId="5F4ADCD8"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11.12</w:t>
            </w:r>
            <w:r w:rsidRPr="00D41F68">
              <w:rPr>
                <w:rFonts w:ascii="Arial" w:hAnsi="Arial" w:cs="Arial"/>
                <w:sz w:val="16"/>
                <w:szCs w:val="16"/>
              </w:rPr>
              <w:t>± 0.455</w:t>
            </w:r>
            <w:r w:rsidRPr="00D41F68">
              <w:rPr>
                <w:rFonts w:ascii="Arial" w:eastAsia="Andale Sans UI" w:hAnsi="Arial" w:cs="Arial"/>
                <w:kern w:val="1"/>
                <w:sz w:val="16"/>
                <w:szCs w:val="16"/>
                <w:vertAlign w:val="superscript"/>
              </w:rPr>
              <w:t xml:space="preserve"> a</w:t>
            </w:r>
          </w:p>
        </w:tc>
        <w:tc>
          <w:tcPr>
            <w:tcW w:w="843" w:type="pct"/>
          </w:tcPr>
          <w:p w14:paraId="5607359E"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11.24</w:t>
            </w:r>
            <w:r w:rsidRPr="00D41F68">
              <w:rPr>
                <w:rFonts w:ascii="Arial" w:hAnsi="Arial" w:cs="Arial"/>
                <w:sz w:val="16"/>
                <w:szCs w:val="16"/>
              </w:rPr>
              <w:t>± 0.477</w:t>
            </w:r>
            <w:r w:rsidRPr="00D41F68">
              <w:rPr>
                <w:rFonts w:ascii="Arial" w:eastAsia="Andale Sans UI" w:hAnsi="Arial" w:cs="Arial"/>
                <w:kern w:val="1"/>
                <w:sz w:val="16"/>
                <w:szCs w:val="16"/>
                <w:vertAlign w:val="superscript"/>
              </w:rPr>
              <w:t xml:space="preserve"> a</w:t>
            </w:r>
          </w:p>
        </w:tc>
        <w:tc>
          <w:tcPr>
            <w:tcW w:w="417" w:type="pct"/>
            <w:vAlign w:val="center"/>
          </w:tcPr>
          <w:p w14:paraId="6DA0D57F" w14:textId="77777777" w:rsidR="0018750C" w:rsidRPr="00D41F68" w:rsidRDefault="007E4E2B"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0.669</w:t>
            </w:r>
          </w:p>
        </w:tc>
      </w:tr>
      <w:tr w:rsidR="00652252" w:rsidRPr="00D41F68" w14:paraId="30B7E559" w14:textId="77777777" w:rsidTr="00D41F68">
        <w:trPr>
          <w:trHeight w:val="281"/>
        </w:trPr>
        <w:tc>
          <w:tcPr>
            <w:tcW w:w="921" w:type="pct"/>
          </w:tcPr>
          <w:p w14:paraId="7219047D"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Phosphorus</w:t>
            </w:r>
          </w:p>
        </w:tc>
        <w:tc>
          <w:tcPr>
            <w:tcW w:w="288" w:type="pct"/>
          </w:tcPr>
          <w:p w14:paraId="44CE208D"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mg/dl</w:t>
            </w:r>
          </w:p>
        </w:tc>
        <w:tc>
          <w:tcPr>
            <w:tcW w:w="920" w:type="pct"/>
            <w:vAlign w:val="center"/>
          </w:tcPr>
          <w:p w14:paraId="32C3A5DA"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lang w:eastAsia="en-IN"/>
              </w:rPr>
              <w:t>9.24</w:t>
            </w:r>
            <w:r w:rsidRPr="00D41F68">
              <w:rPr>
                <w:rFonts w:ascii="Arial" w:hAnsi="Arial" w:cs="Arial"/>
                <w:sz w:val="16"/>
                <w:szCs w:val="16"/>
              </w:rPr>
              <w:t>± 2.355</w:t>
            </w:r>
            <w:r w:rsidRPr="00D41F68">
              <w:rPr>
                <w:rFonts w:ascii="Arial" w:eastAsia="Andale Sans UI" w:hAnsi="Arial" w:cs="Arial"/>
                <w:kern w:val="1"/>
                <w:sz w:val="16"/>
                <w:szCs w:val="16"/>
                <w:vertAlign w:val="superscript"/>
              </w:rPr>
              <w:t>a</w:t>
            </w:r>
          </w:p>
        </w:tc>
        <w:tc>
          <w:tcPr>
            <w:tcW w:w="843" w:type="pct"/>
            <w:vAlign w:val="bottom"/>
          </w:tcPr>
          <w:p w14:paraId="16BE73DD"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rPr>
              <w:t>9.70± 2.151</w:t>
            </w:r>
            <w:r w:rsidRPr="00D41F68">
              <w:rPr>
                <w:rFonts w:ascii="Arial" w:eastAsia="Andale Sans UI" w:hAnsi="Arial" w:cs="Arial"/>
                <w:kern w:val="1"/>
                <w:sz w:val="16"/>
                <w:szCs w:val="16"/>
                <w:vertAlign w:val="superscript"/>
              </w:rPr>
              <w:t>a</w:t>
            </w:r>
          </w:p>
        </w:tc>
        <w:tc>
          <w:tcPr>
            <w:tcW w:w="767" w:type="pct"/>
            <w:vAlign w:val="bottom"/>
          </w:tcPr>
          <w:p w14:paraId="236FACB2" w14:textId="77777777" w:rsidR="0018750C" w:rsidRPr="00D41F68" w:rsidRDefault="0018750C" w:rsidP="001E4AD7">
            <w:pPr>
              <w:spacing w:line="480" w:lineRule="auto"/>
              <w:jc w:val="center"/>
              <w:rPr>
                <w:rFonts w:ascii="Arial" w:hAnsi="Arial" w:cs="Arial"/>
                <w:sz w:val="16"/>
                <w:szCs w:val="16"/>
                <w:lang w:eastAsia="en-IN"/>
              </w:rPr>
            </w:pPr>
            <w:r w:rsidRPr="00D41F68">
              <w:rPr>
                <w:rFonts w:ascii="Arial" w:hAnsi="Arial" w:cs="Arial"/>
                <w:sz w:val="16"/>
                <w:szCs w:val="16"/>
              </w:rPr>
              <w:t>7.46± 2.699</w:t>
            </w:r>
            <w:r w:rsidRPr="00D41F68">
              <w:rPr>
                <w:rFonts w:ascii="Arial" w:eastAsia="Andale Sans UI" w:hAnsi="Arial" w:cs="Arial"/>
                <w:kern w:val="1"/>
                <w:sz w:val="16"/>
                <w:szCs w:val="16"/>
                <w:vertAlign w:val="superscript"/>
              </w:rPr>
              <w:t xml:space="preserve"> a</w:t>
            </w:r>
          </w:p>
        </w:tc>
        <w:tc>
          <w:tcPr>
            <w:tcW w:w="843" w:type="pct"/>
          </w:tcPr>
          <w:p w14:paraId="0E40E01D"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rPr>
              <w:t>5.92± 1.333</w:t>
            </w:r>
            <w:r w:rsidRPr="00D41F68">
              <w:rPr>
                <w:rFonts w:ascii="Arial" w:eastAsia="Andale Sans UI" w:hAnsi="Arial" w:cs="Arial"/>
                <w:kern w:val="1"/>
                <w:sz w:val="16"/>
                <w:szCs w:val="16"/>
                <w:vertAlign w:val="superscript"/>
              </w:rPr>
              <w:t xml:space="preserve"> a</w:t>
            </w:r>
          </w:p>
        </w:tc>
        <w:tc>
          <w:tcPr>
            <w:tcW w:w="417" w:type="pct"/>
            <w:vAlign w:val="center"/>
          </w:tcPr>
          <w:p w14:paraId="69E27BE5" w14:textId="77777777" w:rsidR="0018750C" w:rsidRPr="00D41F68" w:rsidRDefault="007E4E2B" w:rsidP="001E4AD7">
            <w:pPr>
              <w:spacing w:line="480" w:lineRule="auto"/>
              <w:jc w:val="center"/>
              <w:rPr>
                <w:rFonts w:ascii="Arial" w:hAnsi="Arial" w:cs="Arial"/>
                <w:sz w:val="16"/>
                <w:szCs w:val="16"/>
              </w:rPr>
            </w:pPr>
            <w:r w:rsidRPr="00D41F68">
              <w:rPr>
                <w:rFonts w:ascii="Arial" w:hAnsi="Arial" w:cs="Arial"/>
                <w:sz w:val="16"/>
                <w:szCs w:val="16"/>
              </w:rPr>
              <w:t>0.055</w:t>
            </w:r>
          </w:p>
        </w:tc>
      </w:tr>
      <w:tr w:rsidR="00652252" w:rsidRPr="00D41F68" w14:paraId="0197D51C" w14:textId="77777777" w:rsidTr="00D41F68">
        <w:trPr>
          <w:trHeight w:val="439"/>
        </w:trPr>
        <w:tc>
          <w:tcPr>
            <w:tcW w:w="921" w:type="pct"/>
          </w:tcPr>
          <w:p w14:paraId="19E6430D"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Total Antioxidant</w:t>
            </w:r>
          </w:p>
          <w:p w14:paraId="31A71AA5" w14:textId="77777777" w:rsidR="0018750C" w:rsidRPr="00D41F68" w:rsidRDefault="0018750C" w:rsidP="001E4AD7">
            <w:pPr>
              <w:spacing w:line="480" w:lineRule="auto"/>
              <w:jc w:val="center"/>
              <w:rPr>
                <w:rFonts w:ascii="Arial" w:hAnsi="Arial" w:cs="Arial"/>
                <w:b/>
                <w:bCs/>
                <w:sz w:val="16"/>
                <w:szCs w:val="16"/>
              </w:rPr>
            </w:pPr>
            <w:r w:rsidRPr="00D41F68">
              <w:rPr>
                <w:rFonts w:ascii="Arial" w:hAnsi="Arial" w:cs="Arial"/>
                <w:b/>
                <w:bCs/>
                <w:sz w:val="16"/>
                <w:szCs w:val="16"/>
              </w:rPr>
              <w:t>Status (TAS)</w:t>
            </w:r>
          </w:p>
        </w:tc>
        <w:tc>
          <w:tcPr>
            <w:tcW w:w="288" w:type="pct"/>
          </w:tcPr>
          <w:p w14:paraId="72B60C5F" w14:textId="77777777" w:rsidR="0018750C" w:rsidRPr="00D41F68" w:rsidRDefault="0018750C" w:rsidP="001E4AD7">
            <w:pPr>
              <w:spacing w:line="480" w:lineRule="auto"/>
              <w:jc w:val="center"/>
              <w:rPr>
                <w:rFonts w:ascii="Arial" w:hAnsi="Arial" w:cs="Arial"/>
                <w:b/>
                <w:sz w:val="16"/>
                <w:szCs w:val="16"/>
              </w:rPr>
            </w:pPr>
            <w:r w:rsidRPr="00D41F68">
              <w:rPr>
                <w:rFonts w:ascii="Arial" w:hAnsi="Arial" w:cs="Arial"/>
                <w:b/>
                <w:sz w:val="16"/>
                <w:szCs w:val="16"/>
              </w:rPr>
              <w:t>(mmol/L)</w:t>
            </w:r>
          </w:p>
        </w:tc>
        <w:tc>
          <w:tcPr>
            <w:tcW w:w="920" w:type="pct"/>
          </w:tcPr>
          <w:p w14:paraId="4D058FF2" w14:textId="77777777" w:rsidR="0018750C" w:rsidRPr="00D41F68" w:rsidRDefault="0018750C" w:rsidP="001E4AD7">
            <w:pPr>
              <w:spacing w:line="480" w:lineRule="auto"/>
              <w:jc w:val="center"/>
              <w:rPr>
                <w:rFonts w:ascii="Arial" w:hAnsi="Arial" w:cs="Arial"/>
                <w:sz w:val="16"/>
                <w:szCs w:val="16"/>
              </w:rPr>
            </w:pPr>
            <w:r w:rsidRPr="00D41F68">
              <w:rPr>
                <w:rFonts w:ascii="Arial" w:hAnsi="Arial" w:cs="Arial"/>
                <w:sz w:val="16"/>
                <w:szCs w:val="16"/>
              </w:rPr>
              <w:t>1.33± 0.188</w:t>
            </w:r>
            <w:r w:rsidRPr="00D41F68">
              <w:rPr>
                <w:rFonts w:ascii="Arial" w:hAnsi="Arial" w:cs="Arial"/>
                <w:sz w:val="16"/>
                <w:szCs w:val="16"/>
                <w:vertAlign w:val="superscript"/>
              </w:rPr>
              <w:t>a</w:t>
            </w:r>
          </w:p>
        </w:tc>
        <w:tc>
          <w:tcPr>
            <w:tcW w:w="843" w:type="pct"/>
          </w:tcPr>
          <w:p w14:paraId="6970256E" w14:textId="77777777" w:rsidR="0018750C" w:rsidRPr="00D41F68" w:rsidRDefault="0018750C" w:rsidP="001E4AD7">
            <w:pPr>
              <w:spacing w:line="480" w:lineRule="auto"/>
              <w:rPr>
                <w:rFonts w:ascii="Arial" w:hAnsi="Arial" w:cs="Arial"/>
                <w:bCs/>
                <w:sz w:val="16"/>
                <w:szCs w:val="16"/>
              </w:rPr>
            </w:pPr>
            <w:r w:rsidRPr="00D41F68">
              <w:rPr>
                <w:rFonts w:ascii="Arial" w:hAnsi="Arial" w:cs="Arial"/>
                <w:bCs/>
                <w:sz w:val="16"/>
                <w:szCs w:val="16"/>
              </w:rPr>
              <w:t xml:space="preserve">     1.71± 0.191</w:t>
            </w:r>
            <w:r w:rsidRPr="00D41F68">
              <w:rPr>
                <w:rFonts w:ascii="Arial" w:hAnsi="Arial" w:cs="Arial"/>
                <w:bCs/>
                <w:sz w:val="16"/>
                <w:szCs w:val="16"/>
                <w:vertAlign w:val="superscript"/>
              </w:rPr>
              <w:t>b</w:t>
            </w:r>
          </w:p>
        </w:tc>
        <w:tc>
          <w:tcPr>
            <w:tcW w:w="767" w:type="pct"/>
          </w:tcPr>
          <w:p w14:paraId="0E58EA18" w14:textId="77777777" w:rsidR="0018750C" w:rsidRPr="00D41F68" w:rsidRDefault="0018750C" w:rsidP="001E4AD7">
            <w:pPr>
              <w:spacing w:line="480" w:lineRule="auto"/>
              <w:jc w:val="center"/>
              <w:rPr>
                <w:rFonts w:ascii="Arial" w:hAnsi="Arial" w:cs="Arial"/>
                <w:bCs/>
                <w:sz w:val="16"/>
                <w:szCs w:val="16"/>
              </w:rPr>
            </w:pPr>
            <w:r w:rsidRPr="00D41F68">
              <w:rPr>
                <w:rFonts w:ascii="Arial" w:hAnsi="Arial" w:cs="Arial"/>
                <w:bCs/>
                <w:sz w:val="16"/>
                <w:szCs w:val="16"/>
              </w:rPr>
              <w:t>1.36± 0.153</w:t>
            </w:r>
            <w:r w:rsidRPr="00D41F68">
              <w:rPr>
                <w:rFonts w:ascii="Arial" w:hAnsi="Arial" w:cs="Arial"/>
                <w:bCs/>
                <w:sz w:val="16"/>
                <w:szCs w:val="16"/>
                <w:vertAlign w:val="superscript"/>
              </w:rPr>
              <w:t xml:space="preserve"> a</w:t>
            </w:r>
          </w:p>
        </w:tc>
        <w:tc>
          <w:tcPr>
            <w:tcW w:w="843" w:type="pct"/>
          </w:tcPr>
          <w:p w14:paraId="04195B3C" w14:textId="77777777" w:rsidR="0018750C" w:rsidRPr="00D41F68" w:rsidRDefault="0018750C" w:rsidP="001E4AD7">
            <w:pPr>
              <w:spacing w:line="480" w:lineRule="auto"/>
              <w:jc w:val="center"/>
              <w:rPr>
                <w:rFonts w:ascii="Arial" w:hAnsi="Arial" w:cs="Arial"/>
                <w:bCs/>
                <w:sz w:val="16"/>
                <w:szCs w:val="16"/>
              </w:rPr>
            </w:pPr>
            <w:r w:rsidRPr="00D41F68">
              <w:rPr>
                <w:rFonts w:ascii="Arial" w:hAnsi="Arial" w:cs="Arial"/>
                <w:bCs/>
                <w:sz w:val="16"/>
                <w:szCs w:val="16"/>
              </w:rPr>
              <w:t>1.70± 0.373</w:t>
            </w:r>
            <w:r w:rsidRPr="00D41F68">
              <w:rPr>
                <w:rFonts w:ascii="Arial" w:hAnsi="Arial" w:cs="Arial"/>
                <w:bCs/>
                <w:sz w:val="16"/>
                <w:szCs w:val="16"/>
                <w:vertAlign w:val="superscript"/>
              </w:rPr>
              <w:t xml:space="preserve"> b</w:t>
            </w:r>
          </w:p>
        </w:tc>
        <w:tc>
          <w:tcPr>
            <w:tcW w:w="417" w:type="pct"/>
          </w:tcPr>
          <w:p w14:paraId="5BCDCF55" w14:textId="77777777" w:rsidR="0018750C" w:rsidRPr="00D41F68" w:rsidRDefault="007E4E2B" w:rsidP="001E4AD7">
            <w:pPr>
              <w:spacing w:line="480" w:lineRule="auto"/>
              <w:jc w:val="center"/>
              <w:rPr>
                <w:rFonts w:ascii="Arial" w:hAnsi="Arial" w:cs="Arial"/>
                <w:bCs/>
                <w:sz w:val="16"/>
                <w:szCs w:val="16"/>
              </w:rPr>
            </w:pPr>
            <w:r w:rsidRPr="00D41F68">
              <w:rPr>
                <w:rFonts w:ascii="Arial" w:hAnsi="Arial" w:cs="Arial"/>
                <w:bCs/>
                <w:sz w:val="16"/>
                <w:szCs w:val="16"/>
              </w:rPr>
              <w:t>0.032</w:t>
            </w:r>
          </w:p>
        </w:tc>
      </w:tr>
    </w:tbl>
    <w:p w14:paraId="38D755DC" w14:textId="77777777" w:rsidR="005A3088" w:rsidRPr="00D41F68" w:rsidRDefault="005A3088" w:rsidP="00D41F68">
      <w:pPr>
        <w:widowControl w:val="0"/>
        <w:suppressAutoHyphens/>
        <w:autoSpaceDE w:val="0"/>
        <w:autoSpaceDN w:val="0"/>
        <w:adjustRightInd w:val="0"/>
        <w:spacing w:after="0" w:line="480" w:lineRule="auto"/>
        <w:ind w:left="720"/>
        <w:rPr>
          <w:rFonts w:ascii="Arial" w:eastAsia="Times New Roman" w:hAnsi="Arial" w:cs="Times New Roman"/>
          <w:bCs/>
          <w:i/>
          <w:sz w:val="18"/>
          <w:szCs w:val="16"/>
          <w:lang w:val="en-US"/>
        </w:rPr>
      </w:pPr>
      <w:r w:rsidRPr="00D41F68">
        <w:rPr>
          <w:rFonts w:ascii="Arial" w:eastAsia="Times New Roman" w:hAnsi="Arial" w:cs="Times New Roman"/>
          <w:bCs/>
          <w:i/>
          <w:sz w:val="18"/>
          <w:szCs w:val="16"/>
          <w:lang w:val="en-US"/>
        </w:rPr>
        <w:t>Mean</w:t>
      </w:r>
      <w:r w:rsidR="00216325" w:rsidRPr="00D41F68">
        <w:rPr>
          <w:rFonts w:ascii="Arial" w:eastAsia="Times New Roman" w:hAnsi="Arial" w:cs="Times New Roman"/>
          <w:bCs/>
          <w:i/>
          <w:sz w:val="18"/>
          <w:szCs w:val="16"/>
          <w:lang w:val="en-US"/>
        </w:rPr>
        <w:t>± SD</w:t>
      </w:r>
      <w:r w:rsidRPr="00D41F68">
        <w:rPr>
          <w:rFonts w:ascii="Arial" w:eastAsia="Times New Roman" w:hAnsi="Arial" w:cs="Times New Roman"/>
          <w:bCs/>
          <w:i/>
          <w:sz w:val="18"/>
          <w:szCs w:val="16"/>
          <w:lang w:val="en-US"/>
        </w:rPr>
        <w:t xml:space="preserve"> bearing different superscripts in row differ significantly (p&lt;0.05).</w:t>
      </w:r>
    </w:p>
    <w:p w14:paraId="3805A5BA" w14:textId="77777777" w:rsidR="005A3088" w:rsidRPr="00D41F68" w:rsidRDefault="005A3088" w:rsidP="001E4AD7">
      <w:pPr>
        <w:widowControl w:val="0"/>
        <w:suppressAutoHyphens/>
        <w:spacing w:after="0" w:line="480" w:lineRule="auto"/>
        <w:jc w:val="both"/>
        <w:rPr>
          <w:rFonts w:ascii="Arial" w:eastAsia="Andale Sans UI" w:hAnsi="Arial" w:cs="Arial"/>
          <w:bCs/>
          <w:kern w:val="1"/>
          <w:sz w:val="28"/>
          <w:szCs w:val="28"/>
          <w:lang w:val="en-US"/>
        </w:rPr>
      </w:pPr>
      <w:r w:rsidRPr="00D41F68">
        <w:rPr>
          <w:rFonts w:ascii="Arial" w:hAnsi="Arial" w:cs="Arial"/>
          <w:b/>
          <w:shd w:val="clear" w:color="auto" w:fill="FFFFFF"/>
        </w:rPr>
        <w:t>Organ weight</w:t>
      </w:r>
    </w:p>
    <w:p w14:paraId="4BB3967A" w14:textId="77777777" w:rsidR="005A3088" w:rsidRPr="00D41F68" w:rsidRDefault="005A3088" w:rsidP="001E4AD7">
      <w:pPr>
        <w:spacing w:line="480" w:lineRule="auto"/>
        <w:jc w:val="both"/>
        <w:rPr>
          <w:rFonts w:ascii="Arial" w:eastAsia="Andale Sans UI" w:hAnsi="Arial" w:cs="Arial"/>
          <w:bCs/>
          <w:kern w:val="1"/>
          <w:sz w:val="20"/>
          <w:szCs w:val="20"/>
        </w:rPr>
      </w:pPr>
      <w:r w:rsidRPr="00D41F68">
        <w:rPr>
          <w:rFonts w:ascii="Arial" w:eastAsia="Andale Sans UI" w:hAnsi="Arial" w:cs="Arial"/>
          <w:kern w:val="1"/>
          <w:sz w:val="20"/>
          <w:szCs w:val="20"/>
          <w:shd w:val="clear" w:color="auto" w:fill="FFFFFF"/>
        </w:rPr>
        <w:t xml:space="preserve">The summary (mean ± SD) </w:t>
      </w:r>
      <w:r w:rsidR="00371E7E" w:rsidRPr="00D41F68">
        <w:rPr>
          <w:rFonts w:ascii="Arial" w:eastAsia="Andale Sans UI" w:hAnsi="Arial" w:cs="Arial"/>
          <w:kern w:val="1"/>
          <w:sz w:val="20"/>
          <w:szCs w:val="20"/>
          <w:shd w:val="clear" w:color="auto" w:fill="FFFFFF"/>
        </w:rPr>
        <w:t xml:space="preserve">of </w:t>
      </w:r>
      <w:r w:rsidRPr="00D41F68">
        <w:rPr>
          <w:rFonts w:ascii="Arial" w:eastAsia="Andale Sans UI" w:hAnsi="Arial" w:cs="Arial"/>
          <w:kern w:val="1"/>
          <w:sz w:val="20"/>
          <w:szCs w:val="20"/>
        </w:rPr>
        <w:t>absolute</w:t>
      </w:r>
      <w:r w:rsidRPr="00D41F68">
        <w:rPr>
          <w:rFonts w:ascii="Arial" w:eastAsia="Andale Sans UI" w:hAnsi="Arial" w:cs="Arial"/>
          <w:kern w:val="1"/>
          <w:sz w:val="20"/>
          <w:szCs w:val="20"/>
          <w:shd w:val="clear" w:color="auto" w:fill="FFFFFF"/>
        </w:rPr>
        <w:t xml:space="preserve"> as well as </w:t>
      </w:r>
      <w:r w:rsidRPr="00D41F68">
        <w:rPr>
          <w:rFonts w:ascii="Arial" w:eastAsia="Andale Sans UI" w:hAnsi="Arial" w:cs="Arial"/>
          <w:kern w:val="1"/>
          <w:sz w:val="20"/>
          <w:szCs w:val="20"/>
        </w:rPr>
        <w:t>relative</w:t>
      </w:r>
      <w:r w:rsidRPr="00D41F68">
        <w:rPr>
          <w:rFonts w:ascii="Arial" w:eastAsia="Andale Sans UI" w:hAnsi="Arial" w:cs="Arial"/>
          <w:kern w:val="1"/>
          <w:sz w:val="20"/>
          <w:szCs w:val="20"/>
          <w:shd w:val="clear" w:color="auto" w:fill="FFFFFF"/>
        </w:rPr>
        <w:t xml:space="preserve"> organ weight</w:t>
      </w:r>
      <w:r w:rsidR="00371E7E" w:rsidRPr="00D41F68">
        <w:rPr>
          <w:rFonts w:ascii="Arial" w:eastAsia="Andale Sans UI" w:hAnsi="Arial" w:cs="Arial"/>
          <w:kern w:val="1"/>
          <w:sz w:val="20"/>
          <w:szCs w:val="20"/>
          <w:shd w:val="clear" w:color="auto" w:fill="FFFFFF"/>
        </w:rPr>
        <w:t>s</w:t>
      </w:r>
      <w:r w:rsidRPr="00D41F68">
        <w:rPr>
          <w:rFonts w:ascii="Arial" w:eastAsia="Andale Sans UI" w:hAnsi="Arial" w:cs="Arial"/>
          <w:kern w:val="1"/>
          <w:sz w:val="20"/>
          <w:szCs w:val="20"/>
          <w:shd w:val="clear" w:color="auto" w:fill="FFFFFF"/>
        </w:rPr>
        <w:t xml:space="preserve"> of all rats are </w:t>
      </w:r>
      <w:r w:rsidR="00046E53" w:rsidRPr="00D41F68">
        <w:rPr>
          <w:rFonts w:ascii="Arial" w:eastAsia="Andale Sans UI" w:hAnsi="Arial" w:cs="Arial"/>
          <w:kern w:val="1"/>
          <w:sz w:val="20"/>
          <w:szCs w:val="20"/>
        </w:rPr>
        <w:t>presented</w:t>
      </w:r>
      <w:r w:rsidR="008D7CC3"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shd w:val="clear" w:color="auto" w:fill="FFFFFF"/>
        </w:rPr>
        <w:t xml:space="preserve">in </w:t>
      </w:r>
      <w:r w:rsidR="00FB79A9" w:rsidRPr="00D41F68">
        <w:rPr>
          <w:rFonts w:ascii="Arial" w:eastAsia="Andale Sans UI" w:hAnsi="Arial" w:cs="Arial"/>
          <w:bCs/>
          <w:kern w:val="1"/>
          <w:sz w:val="20"/>
          <w:szCs w:val="20"/>
        </w:rPr>
        <w:t xml:space="preserve">Table </w:t>
      </w:r>
      <w:r w:rsidR="00DC7CEB" w:rsidRPr="00D41F68">
        <w:rPr>
          <w:rFonts w:ascii="Arial" w:eastAsia="Andale Sans UI" w:hAnsi="Arial" w:cs="Arial"/>
          <w:bCs/>
          <w:kern w:val="1"/>
          <w:sz w:val="20"/>
          <w:szCs w:val="20"/>
        </w:rPr>
        <w:t>IV</w:t>
      </w:r>
      <w:r w:rsidR="00EA0BD5" w:rsidRPr="00D41F68">
        <w:rPr>
          <w:rFonts w:ascii="Arial" w:eastAsia="Andale Sans UI" w:hAnsi="Arial" w:cs="Arial"/>
          <w:bCs/>
          <w:kern w:val="1"/>
          <w:sz w:val="20"/>
          <w:szCs w:val="20"/>
        </w:rPr>
        <w:t xml:space="preserve"> </w:t>
      </w:r>
      <w:r w:rsidR="00FB79A9" w:rsidRPr="00D41F68">
        <w:rPr>
          <w:rFonts w:ascii="Arial" w:eastAsia="Andale Sans UI" w:hAnsi="Arial" w:cs="Arial"/>
          <w:bCs/>
          <w:kern w:val="1"/>
          <w:sz w:val="20"/>
          <w:szCs w:val="20"/>
        </w:rPr>
        <w:t xml:space="preserve">and Table </w:t>
      </w:r>
      <w:r w:rsidR="00DC7CEB" w:rsidRPr="00D41F68">
        <w:rPr>
          <w:rFonts w:ascii="Arial" w:eastAsia="Andale Sans UI" w:hAnsi="Arial" w:cs="Arial"/>
          <w:bCs/>
          <w:kern w:val="1"/>
          <w:sz w:val="20"/>
          <w:szCs w:val="20"/>
        </w:rPr>
        <w:t>V</w:t>
      </w:r>
      <w:r w:rsidR="00EA0BD5" w:rsidRPr="00D41F68">
        <w:rPr>
          <w:rFonts w:ascii="Arial" w:eastAsia="Andale Sans UI" w:hAnsi="Arial" w:cs="Arial"/>
          <w:bCs/>
          <w:kern w:val="1"/>
          <w:sz w:val="20"/>
          <w:szCs w:val="20"/>
        </w:rPr>
        <w:t>.</w:t>
      </w:r>
    </w:p>
    <w:p w14:paraId="43A0B238" w14:textId="77777777" w:rsidR="005A3088" w:rsidRPr="006F74FE" w:rsidRDefault="00DC7CEB" w:rsidP="001E4AD7">
      <w:pPr>
        <w:widowControl w:val="0"/>
        <w:suppressAutoHyphens/>
        <w:spacing w:after="0" w:line="480" w:lineRule="auto"/>
        <w:ind w:left="990" w:hanging="990"/>
        <w:rPr>
          <w:rFonts w:ascii="Times New Roman" w:eastAsia="Andale Sans UI" w:hAnsi="Times New Roman" w:cs="Times New Roman"/>
          <w:b/>
          <w:bCs/>
          <w:kern w:val="1"/>
          <w:sz w:val="24"/>
          <w:szCs w:val="24"/>
        </w:rPr>
      </w:pPr>
      <w:r>
        <w:rPr>
          <w:rFonts w:ascii="Times New Roman" w:eastAsia="Andale Sans UI" w:hAnsi="Times New Roman" w:cs="Times New Roman"/>
          <w:b/>
          <w:bCs/>
          <w:kern w:val="1"/>
          <w:sz w:val="24"/>
          <w:szCs w:val="24"/>
        </w:rPr>
        <w:t>Table IV</w:t>
      </w:r>
      <w:r w:rsidR="005A3088" w:rsidRPr="006F74FE">
        <w:rPr>
          <w:rFonts w:ascii="Times New Roman" w:eastAsia="Andale Sans UI" w:hAnsi="Times New Roman" w:cs="Times New Roman"/>
          <w:b/>
          <w:bCs/>
          <w:kern w:val="1"/>
          <w:sz w:val="24"/>
          <w:szCs w:val="24"/>
        </w:rPr>
        <w:t xml:space="preserve">: Effect of Indoxacarb and vitamin C on absolute organ weight (Mean ± SD, n=5, gm) in female rats after daily oral administration for 28 days </w:t>
      </w:r>
    </w:p>
    <w:tbl>
      <w:tblPr>
        <w:tblStyle w:val="TableGrid"/>
        <w:tblW w:w="5000" w:type="pct"/>
        <w:jc w:val="center"/>
        <w:tblLook w:val="04A0" w:firstRow="1" w:lastRow="0" w:firstColumn="1" w:lastColumn="0" w:noHBand="0" w:noVBand="1"/>
      </w:tblPr>
      <w:tblGrid>
        <w:gridCol w:w="1503"/>
        <w:gridCol w:w="1503"/>
        <w:gridCol w:w="1502"/>
        <w:gridCol w:w="1504"/>
        <w:gridCol w:w="1700"/>
        <w:gridCol w:w="1304"/>
      </w:tblGrid>
      <w:tr w:rsidR="00084E9F" w:rsidRPr="006F74FE" w14:paraId="11E76B7D" w14:textId="77777777" w:rsidTr="00AE50C1">
        <w:trPr>
          <w:trHeight w:val="283"/>
          <w:jc w:val="center"/>
        </w:trPr>
        <w:tc>
          <w:tcPr>
            <w:tcW w:w="833" w:type="pct"/>
            <w:vMerge w:val="restart"/>
          </w:tcPr>
          <w:p w14:paraId="06E1D767" w14:textId="77777777" w:rsidR="00084E9F" w:rsidRPr="006F74FE" w:rsidRDefault="00084E9F" w:rsidP="001E4AD7">
            <w:pPr>
              <w:widowControl w:val="0"/>
              <w:suppressAutoHyphens/>
              <w:spacing w:line="480" w:lineRule="auto"/>
              <w:rPr>
                <w:rFonts w:ascii="Times New Roman" w:eastAsia="Andale Sans UI" w:hAnsi="Times New Roman" w:cs="Times New Roman"/>
                <w:bCs/>
                <w:kern w:val="1"/>
                <w:sz w:val="24"/>
                <w:szCs w:val="24"/>
              </w:rPr>
            </w:pPr>
          </w:p>
          <w:p w14:paraId="211141B8" w14:textId="77777777" w:rsidR="00084E9F" w:rsidRPr="006F74FE" w:rsidRDefault="00084E9F"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Organ</w:t>
            </w:r>
          </w:p>
        </w:tc>
        <w:tc>
          <w:tcPr>
            <w:tcW w:w="833" w:type="pct"/>
          </w:tcPr>
          <w:p w14:paraId="2E12E545"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w:t>
            </w:r>
          </w:p>
        </w:tc>
        <w:tc>
          <w:tcPr>
            <w:tcW w:w="833" w:type="pct"/>
          </w:tcPr>
          <w:p w14:paraId="25F24F1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II</w:t>
            </w:r>
          </w:p>
        </w:tc>
        <w:tc>
          <w:tcPr>
            <w:tcW w:w="834" w:type="pct"/>
          </w:tcPr>
          <w:p w14:paraId="5BD1536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III</w:t>
            </w:r>
          </w:p>
        </w:tc>
        <w:tc>
          <w:tcPr>
            <w:tcW w:w="943" w:type="pct"/>
          </w:tcPr>
          <w:p w14:paraId="0879E17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Group IV</w:t>
            </w:r>
          </w:p>
        </w:tc>
        <w:tc>
          <w:tcPr>
            <w:tcW w:w="723" w:type="pct"/>
            <w:vMerge w:val="restart"/>
          </w:tcPr>
          <w:p w14:paraId="46CBC23D"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hAnsi="Times New Roman" w:cs="Times New Roman"/>
                <w:b/>
                <w:sz w:val="24"/>
                <w:szCs w:val="24"/>
              </w:rPr>
              <w:t>P value</w:t>
            </w:r>
          </w:p>
        </w:tc>
      </w:tr>
      <w:tr w:rsidR="00084E9F" w:rsidRPr="006F74FE" w14:paraId="55FCE5FC" w14:textId="77777777" w:rsidTr="00AE50C1">
        <w:trPr>
          <w:trHeight w:val="257"/>
          <w:jc w:val="center"/>
        </w:trPr>
        <w:tc>
          <w:tcPr>
            <w:tcW w:w="833" w:type="pct"/>
            <w:vMerge/>
          </w:tcPr>
          <w:p w14:paraId="76135F44" w14:textId="77777777" w:rsidR="00084E9F" w:rsidRPr="006F74FE" w:rsidRDefault="00084E9F" w:rsidP="001E4AD7">
            <w:pPr>
              <w:widowControl w:val="0"/>
              <w:suppressAutoHyphens/>
              <w:spacing w:line="480" w:lineRule="auto"/>
              <w:rPr>
                <w:rFonts w:ascii="Times New Roman" w:eastAsia="Andale Sans UI" w:hAnsi="Times New Roman" w:cs="Times New Roman"/>
                <w:bCs/>
                <w:kern w:val="1"/>
                <w:sz w:val="24"/>
                <w:szCs w:val="24"/>
              </w:rPr>
            </w:pPr>
          </w:p>
        </w:tc>
        <w:tc>
          <w:tcPr>
            <w:tcW w:w="833" w:type="pct"/>
          </w:tcPr>
          <w:p w14:paraId="603AB122"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CMC</w:t>
            </w:r>
          </w:p>
        </w:tc>
        <w:tc>
          <w:tcPr>
            <w:tcW w:w="833" w:type="pct"/>
          </w:tcPr>
          <w:p w14:paraId="46AA41E3"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Indoxacarb</w:t>
            </w:r>
          </w:p>
        </w:tc>
        <w:tc>
          <w:tcPr>
            <w:tcW w:w="834" w:type="pct"/>
          </w:tcPr>
          <w:p w14:paraId="0CAE87D2"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Vitamin C</w:t>
            </w:r>
          </w:p>
        </w:tc>
        <w:tc>
          <w:tcPr>
            <w:tcW w:w="943" w:type="pct"/>
          </w:tcPr>
          <w:p w14:paraId="1E9D3B6A"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r w:rsidRPr="006F74FE">
              <w:rPr>
                <w:rFonts w:ascii="Times New Roman" w:eastAsia="Andale Sans UI" w:hAnsi="Times New Roman" w:cs="Times New Roman"/>
                <w:b/>
                <w:kern w:val="1"/>
                <w:sz w:val="24"/>
                <w:szCs w:val="24"/>
              </w:rPr>
              <w:t>IND + VIT-C</w:t>
            </w:r>
          </w:p>
        </w:tc>
        <w:tc>
          <w:tcPr>
            <w:tcW w:w="723" w:type="pct"/>
            <w:vMerge/>
          </w:tcPr>
          <w:p w14:paraId="10FD06DC" w14:textId="77777777" w:rsidR="00084E9F" w:rsidRPr="006F74FE" w:rsidRDefault="00084E9F" w:rsidP="001E4AD7">
            <w:pPr>
              <w:widowControl w:val="0"/>
              <w:suppressAutoHyphens/>
              <w:spacing w:line="480" w:lineRule="auto"/>
              <w:rPr>
                <w:rFonts w:ascii="Times New Roman" w:eastAsia="Andale Sans UI" w:hAnsi="Times New Roman" w:cs="Times New Roman"/>
                <w:b/>
                <w:kern w:val="1"/>
                <w:sz w:val="24"/>
                <w:szCs w:val="24"/>
              </w:rPr>
            </w:pPr>
          </w:p>
        </w:tc>
      </w:tr>
      <w:tr w:rsidR="0030298D" w:rsidRPr="006F74FE" w14:paraId="3A0DF7DB" w14:textId="77777777" w:rsidTr="00AE50C1">
        <w:trPr>
          <w:trHeight w:val="261"/>
          <w:jc w:val="center"/>
        </w:trPr>
        <w:tc>
          <w:tcPr>
            <w:tcW w:w="833" w:type="pct"/>
            <w:vAlign w:val="center"/>
          </w:tcPr>
          <w:p w14:paraId="620FD9FF"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lastRenderedPageBreak/>
              <w:t>Liver</w:t>
            </w:r>
          </w:p>
        </w:tc>
        <w:tc>
          <w:tcPr>
            <w:tcW w:w="833" w:type="pct"/>
            <w:vAlign w:val="bottom"/>
          </w:tcPr>
          <w:p w14:paraId="152B099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5.44± 0.790</w:t>
            </w:r>
            <w:r w:rsidRPr="006F74FE">
              <w:rPr>
                <w:rFonts w:ascii="Times New Roman" w:eastAsia="Andale Sans UI" w:hAnsi="Times New Roman" w:cs="Times New Roman"/>
                <w:kern w:val="1"/>
                <w:vertAlign w:val="superscript"/>
              </w:rPr>
              <w:t xml:space="preserve"> a</w:t>
            </w:r>
          </w:p>
        </w:tc>
        <w:tc>
          <w:tcPr>
            <w:tcW w:w="833" w:type="pct"/>
          </w:tcPr>
          <w:p w14:paraId="2F1BCCA9"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5.79± 0.533</w:t>
            </w:r>
            <w:r w:rsidRPr="006F74FE">
              <w:rPr>
                <w:rFonts w:ascii="Times New Roman" w:eastAsia="Andale Sans UI" w:hAnsi="Times New Roman" w:cs="Times New Roman"/>
                <w:kern w:val="1"/>
                <w:vertAlign w:val="superscript"/>
              </w:rPr>
              <w:t xml:space="preserve"> a</w:t>
            </w:r>
          </w:p>
        </w:tc>
        <w:tc>
          <w:tcPr>
            <w:tcW w:w="834" w:type="pct"/>
          </w:tcPr>
          <w:p w14:paraId="58872AF6"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4.94± 1.563</w:t>
            </w:r>
            <w:r w:rsidRPr="006F74FE">
              <w:rPr>
                <w:rFonts w:ascii="Times New Roman" w:eastAsia="Andale Sans UI" w:hAnsi="Times New Roman" w:cs="Times New Roman"/>
                <w:kern w:val="1"/>
                <w:vertAlign w:val="superscript"/>
              </w:rPr>
              <w:t xml:space="preserve"> a</w:t>
            </w:r>
          </w:p>
        </w:tc>
        <w:tc>
          <w:tcPr>
            <w:tcW w:w="943" w:type="pct"/>
          </w:tcPr>
          <w:p w14:paraId="548808B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6.30± 0.679</w:t>
            </w:r>
            <w:r w:rsidRPr="006F74FE">
              <w:rPr>
                <w:rFonts w:ascii="Times New Roman" w:eastAsia="Andale Sans UI" w:hAnsi="Times New Roman" w:cs="Times New Roman"/>
                <w:kern w:val="1"/>
                <w:vertAlign w:val="superscript"/>
              </w:rPr>
              <w:t xml:space="preserve"> a</w:t>
            </w:r>
          </w:p>
        </w:tc>
        <w:tc>
          <w:tcPr>
            <w:tcW w:w="723" w:type="pct"/>
          </w:tcPr>
          <w:p w14:paraId="01C33D29"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0.198</w:t>
            </w:r>
          </w:p>
        </w:tc>
      </w:tr>
      <w:tr w:rsidR="0030298D" w:rsidRPr="006F74FE" w14:paraId="6BDE0E51" w14:textId="77777777" w:rsidTr="00AE50C1">
        <w:trPr>
          <w:trHeight w:val="251"/>
          <w:jc w:val="center"/>
        </w:trPr>
        <w:tc>
          <w:tcPr>
            <w:tcW w:w="833" w:type="pct"/>
            <w:vAlign w:val="center"/>
          </w:tcPr>
          <w:p w14:paraId="44EA5B9C"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Spleen</w:t>
            </w:r>
          </w:p>
        </w:tc>
        <w:tc>
          <w:tcPr>
            <w:tcW w:w="833" w:type="pct"/>
            <w:vAlign w:val="bottom"/>
          </w:tcPr>
          <w:p w14:paraId="6DC9525A"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0.54± 0.097</w:t>
            </w:r>
            <w:r w:rsidRPr="006F74FE">
              <w:rPr>
                <w:rFonts w:ascii="Times New Roman" w:eastAsia="Andale Sans UI" w:hAnsi="Times New Roman" w:cs="Times New Roman"/>
                <w:kern w:val="1"/>
                <w:vertAlign w:val="superscript"/>
              </w:rPr>
              <w:t xml:space="preserve"> a</w:t>
            </w:r>
          </w:p>
        </w:tc>
        <w:tc>
          <w:tcPr>
            <w:tcW w:w="833" w:type="pct"/>
          </w:tcPr>
          <w:p w14:paraId="5F692900"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0.60±0.136</w:t>
            </w:r>
            <w:r w:rsidRPr="006F74FE">
              <w:rPr>
                <w:rFonts w:ascii="Times New Roman" w:eastAsia="Andale Sans UI" w:hAnsi="Times New Roman" w:cs="Times New Roman"/>
                <w:kern w:val="1"/>
                <w:vertAlign w:val="superscript"/>
              </w:rPr>
              <w:t xml:space="preserve"> a</w:t>
            </w:r>
          </w:p>
        </w:tc>
        <w:tc>
          <w:tcPr>
            <w:tcW w:w="834" w:type="pct"/>
          </w:tcPr>
          <w:p w14:paraId="6056CAD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0.51± 0.097</w:t>
            </w:r>
            <w:r w:rsidRPr="006F74FE">
              <w:rPr>
                <w:rFonts w:ascii="Times New Roman" w:eastAsia="Andale Sans UI" w:hAnsi="Times New Roman" w:cs="Times New Roman"/>
                <w:kern w:val="1"/>
                <w:vertAlign w:val="superscript"/>
              </w:rPr>
              <w:t xml:space="preserve"> a</w:t>
            </w:r>
          </w:p>
        </w:tc>
        <w:tc>
          <w:tcPr>
            <w:tcW w:w="943" w:type="pct"/>
          </w:tcPr>
          <w:p w14:paraId="7CAFFB1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0.62± 0.171</w:t>
            </w:r>
            <w:r w:rsidRPr="006F74FE">
              <w:rPr>
                <w:rFonts w:ascii="Times New Roman" w:eastAsia="Andale Sans UI" w:hAnsi="Times New Roman" w:cs="Times New Roman"/>
                <w:kern w:val="1"/>
                <w:vertAlign w:val="superscript"/>
              </w:rPr>
              <w:t xml:space="preserve"> a</w:t>
            </w:r>
          </w:p>
        </w:tc>
        <w:tc>
          <w:tcPr>
            <w:tcW w:w="723" w:type="pct"/>
          </w:tcPr>
          <w:p w14:paraId="06404D31"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0.489</w:t>
            </w:r>
          </w:p>
        </w:tc>
      </w:tr>
      <w:tr w:rsidR="0030298D" w:rsidRPr="006F74FE" w14:paraId="71735DD0" w14:textId="77777777" w:rsidTr="00AE50C1">
        <w:trPr>
          <w:trHeight w:val="255"/>
          <w:jc w:val="center"/>
        </w:trPr>
        <w:tc>
          <w:tcPr>
            <w:tcW w:w="833" w:type="pct"/>
            <w:vAlign w:val="center"/>
          </w:tcPr>
          <w:p w14:paraId="40D8182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Heart</w:t>
            </w:r>
          </w:p>
        </w:tc>
        <w:tc>
          <w:tcPr>
            <w:tcW w:w="833" w:type="pct"/>
            <w:vAlign w:val="bottom"/>
          </w:tcPr>
          <w:p w14:paraId="3D22C0F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0.70± 0.126</w:t>
            </w:r>
            <w:r w:rsidRPr="006F74FE">
              <w:rPr>
                <w:rFonts w:ascii="Times New Roman" w:eastAsia="Andale Sans UI" w:hAnsi="Times New Roman" w:cs="Times New Roman"/>
                <w:kern w:val="1"/>
                <w:vertAlign w:val="superscript"/>
              </w:rPr>
              <w:t xml:space="preserve"> a</w:t>
            </w:r>
          </w:p>
        </w:tc>
        <w:tc>
          <w:tcPr>
            <w:tcW w:w="833" w:type="pct"/>
          </w:tcPr>
          <w:p w14:paraId="7951C42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0.76± 0.070</w:t>
            </w:r>
            <w:r w:rsidRPr="006F74FE">
              <w:rPr>
                <w:rFonts w:ascii="Times New Roman" w:eastAsia="Andale Sans UI" w:hAnsi="Times New Roman" w:cs="Times New Roman"/>
                <w:kern w:val="1"/>
                <w:vertAlign w:val="superscript"/>
              </w:rPr>
              <w:t xml:space="preserve"> a</w:t>
            </w:r>
          </w:p>
        </w:tc>
        <w:tc>
          <w:tcPr>
            <w:tcW w:w="834" w:type="pct"/>
          </w:tcPr>
          <w:p w14:paraId="50DF191B"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0.84± 0.112</w:t>
            </w:r>
            <w:r w:rsidRPr="006F74FE">
              <w:rPr>
                <w:rFonts w:ascii="Times New Roman" w:eastAsia="Andale Sans UI" w:hAnsi="Times New Roman" w:cs="Times New Roman"/>
                <w:kern w:val="1"/>
                <w:vertAlign w:val="superscript"/>
              </w:rPr>
              <w:t xml:space="preserve"> a</w:t>
            </w:r>
          </w:p>
        </w:tc>
        <w:tc>
          <w:tcPr>
            <w:tcW w:w="943" w:type="pct"/>
          </w:tcPr>
          <w:p w14:paraId="19D3144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0.79± 0.117</w:t>
            </w:r>
            <w:r w:rsidRPr="006F74FE">
              <w:rPr>
                <w:rFonts w:ascii="Times New Roman" w:eastAsia="Andale Sans UI" w:hAnsi="Times New Roman" w:cs="Times New Roman"/>
                <w:kern w:val="1"/>
                <w:vertAlign w:val="superscript"/>
              </w:rPr>
              <w:t xml:space="preserve"> a</w:t>
            </w:r>
          </w:p>
        </w:tc>
        <w:tc>
          <w:tcPr>
            <w:tcW w:w="723" w:type="pct"/>
          </w:tcPr>
          <w:p w14:paraId="51BD97BF"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0.288</w:t>
            </w:r>
          </w:p>
        </w:tc>
      </w:tr>
      <w:tr w:rsidR="0030298D" w:rsidRPr="006F74FE" w14:paraId="2234A349" w14:textId="77777777" w:rsidTr="00AE50C1">
        <w:trPr>
          <w:trHeight w:val="259"/>
          <w:jc w:val="center"/>
        </w:trPr>
        <w:tc>
          <w:tcPr>
            <w:tcW w:w="833" w:type="pct"/>
            <w:vAlign w:val="center"/>
          </w:tcPr>
          <w:p w14:paraId="71E2F630"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bookmarkStart w:id="4" w:name="_Hlk414623692"/>
            <w:r w:rsidRPr="006F74FE">
              <w:rPr>
                <w:rFonts w:ascii="Times New Roman" w:eastAsia="Andale Sans UI" w:hAnsi="Times New Roman" w:cs="Times New Roman"/>
                <w:bCs/>
                <w:kern w:val="1"/>
                <w:sz w:val="24"/>
                <w:szCs w:val="24"/>
              </w:rPr>
              <w:t>Lung</w:t>
            </w:r>
          </w:p>
        </w:tc>
        <w:tc>
          <w:tcPr>
            <w:tcW w:w="833" w:type="pct"/>
            <w:vAlign w:val="bottom"/>
          </w:tcPr>
          <w:p w14:paraId="2B0B7292"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2.22± 0.405</w:t>
            </w:r>
            <w:r w:rsidRPr="006F74FE">
              <w:rPr>
                <w:rFonts w:ascii="Times New Roman" w:eastAsia="Andale Sans UI" w:hAnsi="Times New Roman" w:cs="Times New Roman"/>
                <w:kern w:val="1"/>
                <w:vertAlign w:val="superscript"/>
              </w:rPr>
              <w:t xml:space="preserve"> a</w:t>
            </w:r>
          </w:p>
        </w:tc>
        <w:tc>
          <w:tcPr>
            <w:tcW w:w="833" w:type="pct"/>
          </w:tcPr>
          <w:p w14:paraId="71370A80"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2.06± 0.420</w:t>
            </w:r>
            <w:r w:rsidRPr="006F74FE">
              <w:rPr>
                <w:rFonts w:ascii="Times New Roman" w:eastAsia="Andale Sans UI" w:hAnsi="Times New Roman" w:cs="Times New Roman"/>
                <w:kern w:val="1"/>
                <w:vertAlign w:val="superscript"/>
              </w:rPr>
              <w:t xml:space="preserve"> a</w:t>
            </w:r>
          </w:p>
        </w:tc>
        <w:tc>
          <w:tcPr>
            <w:tcW w:w="834" w:type="pct"/>
          </w:tcPr>
          <w:p w14:paraId="679ACAEE"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1.99± 0.307</w:t>
            </w:r>
            <w:r w:rsidRPr="006F74FE">
              <w:rPr>
                <w:rFonts w:ascii="Times New Roman" w:eastAsia="Andale Sans UI" w:hAnsi="Times New Roman" w:cs="Times New Roman"/>
                <w:kern w:val="1"/>
                <w:vertAlign w:val="superscript"/>
              </w:rPr>
              <w:t xml:space="preserve"> a</w:t>
            </w:r>
          </w:p>
        </w:tc>
        <w:tc>
          <w:tcPr>
            <w:tcW w:w="943" w:type="pct"/>
          </w:tcPr>
          <w:p w14:paraId="3868052C"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2.20± 0.415</w:t>
            </w:r>
            <w:r w:rsidRPr="006F74FE">
              <w:rPr>
                <w:rFonts w:ascii="Times New Roman" w:eastAsia="Andale Sans UI" w:hAnsi="Times New Roman" w:cs="Times New Roman"/>
                <w:kern w:val="1"/>
                <w:vertAlign w:val="superscript"/>
              </w:rPr>
              <w:t xml:space="preserve"> a</w:t>
            </w:r>
          </w:p>
        </w:tc>
        <w:tc>
          <w:tcPr>
            <w:tcW w:w="723" w:type="pct"/>
          </w:tcPr>
          <w:p w14:paraId="099B345E"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0.748</w:t>
            </w:r>
          </w:p>
        </w:tc>
      </w:tr>
      <w:bookmarkEnd w:id="4"/>
      <w:tr w:rsidR="0030298D" w:rsidRPr="006F74FE" w14:paraId="51A9FE08" w14:textId="77777777" w:rsidTr="00AE50C1">
        <w:trPr>
          <w:trHeight w:val="249"/>
          <w:jc w:val="center"/>
        </w:trPr>
        <w:tc>
          <w:tcPr>
            <w:tcW w:w="833" w:type="pct"/>
            <w:vAlign w:val="center"/>
          </w:tcPr>
          <w:p w14:paraId="5868F6A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Kidney</w:t>
            </w:r>
          </w:p>
        </w:tc>
        <w:tc>
          <w:tcPr>
            <w:tcW w:w="833" w:type="pct"/>
            <w:vAlign w:val="bottom"/>
          </w:tcPr>
          <w:p w14:paraId="4DCAEA96"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1.29± 0.099</w:t>
            </w:r>
            <w:r w:rsidRPr="006F74FE">
              <w:rPr>
                <w:rFonts w:ascii="Times New Roman" w:eastAsia="Andale Sans UI" w:hAnsi="Times New Roman" w:cs="Times New Roman"/>
                <w:kern w:val="1"/>
                <w:vertAlign w:val="superscript"/>
              </w:rPr>
              <w:t xml:space="preserve"> a</w:t>
            </w:r>
          </w:p>
        </w:tc>
        <w:tc>
          <w:tcPr>
            <w:tcW w:w="833" w:type="pct"/>
          </w:tcPr>
          <w:p w14:paraId="7C9663B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1.51± 0.252</w:t>
            </w:r>
            <w:r w:rsidRPr="006F74FE">
              <w:rPr>
                <w:rFonts w:ascii="Times New Roman" w:eastAsia="Andale Sans UI" w:hAnsi="Times New Roman" w:cs="Times New Roman"/>
                <w:kern w:val="1"/>
                <w:vertAlign w:val="superscript"/>
              </w:rPr>
              <w:t xml:space="preserve"> a</w:t>
            </w:r>
          </w:p>
        </w:tc>
        <w:tc>
          <w:tcPr>
            <w:tcW w:w="834" w:type="pct"/>
          </w:tcPr>
          <w:p w14:paraId="307D556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1.37± 0.258</w:t>
            </w:r>
            <w:r w:rsidRPr="006F74FE">
              <w:rPr>
                <w:rFonts w:ascii="Times New Roman" w:eastAsia="Andale Sans UI" w:hAnsi="Times New Roman" w:cs="Times New Roman"/>
                <w:kern w:val="1"/>
                <w:vertAlign w:val="superscript"/>
              </w:rPr>
              <w:t xml:space="preserve"> a</w:t>
            </w:r>
          </w:p>
        </w:tc>
        <w:tc>
          <w:tcPr>
            <w:tcW w:w="943" w:type="pct"/>
          </w:tcPr>
          <w:p w14:paraId="5342211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1.50± 0.047</w:t>
            </w:r>
            <w:r w:rsidRPr="006F74FE">
              <w:rPr>
                <w:rFonts w:ascii="Times New Roman" w:eastAsia="Andale Sans UI" w:hAnsi="Times New Roman" w:cs="Times New Roman"/>
                <w:kern w:val="1"/>
                <w:vertAlign w:val="superscript"/>
              </w:rPr>
              <w:t xml:space="preserve"> a</w:t>
            </w:r>
          </w:p>
        </w:tc>
        <w:tc>
          <w:tcPr>
            <w:tcW w:w="723" w:type="pct"/>
          </w:tcPr>
          <w:p w14:paraId="2AFD476E"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0.243</w:t>
            </w:r>
          </w:p>
        </w:tc>
      </w:tr>
      <w:tr w:rsidR="0030298D" w:rsidRPr="006F74FE" w14:paraId="79D39420" w14:textId="77777777" w:rsidTr="00AE50C1">
        <w:trPr>
          <w:trHeight w:val="253"/>
          <w:jc w:val="center"/>
        </w:trPr>
        <w:tc>
          <w:tcPr>
            <w:tcW w:w="833" w:type="pct"/>
            <w:vAlign w:val="center"/>
          </w:tcPr>
          <w:p w14:paraId="01836628"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Brain</w:t>
            </w:r>
          </w:p>
        </w:tc>
        <w:tc>
          <w:tcPr>
            <w:tcW w:w="833" w:type="pct"/>
            <w:vAlign w:val="bottom"/>
          </w:tcPr>
          <w:p w14:paraId="28F2B991"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1.66± 0.104</w:t>
            </w:r>
            <w:r w:rsidRPr="006F74FE">
              <w:rPr>
                <w:rFonts w:ascii="Times New Roman" w:eastAsia="Andale Sans UI" w:hAnsi="Times New Roman" w:cs="Times New Roman"/>
                <w:kern w:val="1"/>
                <w:vertAlign w:val="superscript"/>
              </w:rPr>
              <w:t xml:space="preserve"> a</w:t>
            </w:r>
          </w:p>
        </w:tc>
        <w:tc>
          <w:tcPr>
            <w:tcW w:w="833" w:type="pct"/>
          </w:tcPr>
          <w:p w14:paraId="02C5A987"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1.75± 0.097</w:t>
            </w:r>
            <w:r w:rsidRPr="006F74FE">
              <w:rPr>
                <w:rFonts w:ascii="Times New Roman" w:eastAsia="Andale Sans UI" w:hAnsi="Times New Roman" w:cs="Times New Roman"/>
                <w:kern w:val="1"/>
                <w:vertAlign w:val="superscript"/>
              </w:rPr>
              <w:t xml:space="preserve"> a</w:t>
            </w:r>
          </w:p>
        </w:tc>
        <w:tc>
          <w:tcPr>
            <w:tcW w:w="834" w:type="pct"/>
          </w:tcPr>
          <w:p w14:paraId="74054159"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1.70± 0.136</w:t>
            </w:r>
            <w:r w:rsidRPr="006F74FE">
              <w:rPr>
                <w:rFonts w:ascii="Times New Roman" w:eastAsia="Andale Sans UI" w:hAnsi="Times New Roman" w:cs="Times New Roman"/>
                <w:kern w:val="1"/>
                <w:vertAlign w:val="superscript"/>
              </w:rPr>
              <w:t xml:space="preserve"> a</w:t>
            </w:r>
          </w:p>
        </w:tc>
        <w:tc>
          <w:tcPr>
            <w:tcW w:w="943" w:type="pct"/>
          </w:tcPr>
          <w:p w14:paraId="08A8D65B"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1.65± 0.137</w:t>
            </w:r>
            <w:r w:rsidRPr="006F74FE">
              <w:rPr>
                <w:rFonts w:ascii="Times New Roman" w:eastAsia="Andale Sans UI" w:hAnsi="Times New Roman" w:cs="Times New Roman"/>
                <w:kern w:val="1"/>
                <w:vertAlign w:val="superscript"/>
              </w:rPr>
              <w:t xml:space="preserve"> a</w:t>
            </w:r>
          </w:p>
        </w:tc>
        <w:tc>
          <w:tcPr>
            <w:tcW w:w="723" w:type="pct"/>
          </w:tcPr>
          <w:p w14:paraId="503419EE"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0.494</w:t>
            </w:r>
          </w:p>
        </w:tc>
      </w:tr>
      <w:tr w:rsidR="0030298D" w:rsidRPr="006F74FE" w14:paraId="2D472AF0" w14:textId="77777777" w:rsidTr="00AE50C1">
        <w:trPr>
          <w:trHeight w:val="243"/>
          <w:jc w:val="center"/>
        </w:trPr>
        <w:tc>
          <w:tcPr>
            <w:tcW w:w="833" w:type="pct"/>
            <w:vAlign w:val="center"/>
          </w:tcPr>
          <w:p w14:paraId="44E69991"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Adrenals</w:t>
            </w:r>
          </w:p>
        </w:tc>
        <w:tc>
          <w:tcPr>
            <w:tcW w:w="833" w:type="pct"/>
            <w:vAlign w:val="bottom"/>
          </w:tcPr>
          <w:p w14:paraId="5D9E38F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0.05± 0.022</w:t>
            </w:r>
            <w:r w:rsidRPr="006F74FE">
              <w:rPr>
                <w:rFonts w:ascii="Times New Roman" w:eastAsia="Andale Sans UI" w:hAnsi="Times New Roman" w:cs="Times New Roman"/>
                <w:kern w:val="1"/>
                <w:vertAlign w:val="superscript"/>
              </w:rPr>
              <w:t xml:space="preserve"> a</w:t>
            </w:r>
          </w:p>
        </w:tc>
        <w:tc>
          <w:tcPr>
            <w:tcW w:w="833" w:type="pct"/>
          </w:tcPr>
          <w:p w14:paraId="19FBA3F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0.17± 0.241</w:t>
            </w:r>
            <w:r w:rsidRPr="006F74FE">
              <w:rPr>
                <w:rFonts w:ascii="Times New Roman" w:eastAsia="Andale Sans UI" w:hAnsi="Times New Roman" w:cs="Times New Roman"/>
                <w:kern w:val="1"/>
                <w:vertAlign w:val="superscript"/>
              </w:rPr>
              <w:t xml:space="preserve"> a</w:t>
            </w:r>
          </w:p>
        </w:tc>
        <w:tc>
          <w:tcPr>
            <w:tcW w:w="834" w:type="pct"/>
          </w:tcPr>
          <w:p w14:paraId="65CECEF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0.06± 0.015</w:t>
            </w:r>
            <w:r w:rsidRPr="006F74FE">
              <w:rPr>
                <w:rFonts w:ascii="Times New Roman" w:eastAsia="Andale Sans UI" w:hAnsi="Times New Roman" w:cs="Times New Roman"/>
                <w:kern w:val="1"/>
                <w:vertAlign w:val="superscript"/>
              </w:rPr>
              <w:t xml:space="preserve"> a</w:t>
            </w:r>
          </w:p>
        </w:tc>
        <w:tc>
          <w:tcPr>
            <w:tcW w:w="943" w:type="pct"/>
          </w:tcPr>
          <w:p w14:paraId="49E7B4F3"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0.06± 0.005</w:t>
            </w:r>
            <w:r w:rsidRPr="006F74FE">
              <w:rPr>
                <w:rFonts w:ascii="Times New Roman" w:eastAsia="Andale Sans UI" w:hAnsi="Times New Roman" w:cs="Times New Roman"/>
                <w:kern w:val="1"/>
                <w:vertAlign w:val="superscript"/>
              </w:rPr>
              <w:t xml:space="preserve"> a</w:t>
            </w:r>
          </w:p>
        </w:tc>
        <w:tc>
          <w:tcPr>
            <w:tcW w:w="723" w:type="pct"/>
          </w:tcPr>
          <w:p w14:paraId="59159D7A"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0.542</w:t>
            </w:r>
          </w:p>
        </w:tc>
      </w:tr>
      <w:tr w:rsidR="0030298D" w:rsidRPr="006F74FE" w14:paraId="4B6C37F2" w14:textId="77777777" w:rsidTr="00AE50C1">
        <w:trPr>
          <w:trHeight w:val="243"/>
          <w:jc w:val="center"/>
        </w:trPr>
        <w:tc>
          <w:tcPr>
            <w:tcW w:w="833" w:type="pct"/>
            <w:vAlign w:val="center"/>
          </w:tcPr>
          <w:p w14:paraId="1E46F5F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Thymus</w:t>
            </w:r>
          </w:p>
        </w:tc>
        <w:tc>
          <w:tcPr>
            <w:tcW w:w="833" w:type="pct"/>
          </w:tcPr>
          <w:p w14:paraId="23567765"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0.21± 0.041</w:t>
            </w:r>
            <w:r w:rsidRPr="006F74FE">
              <w:rPr>
                <w:rFonts w:ascii="Times New Roman" w:eastAsia="Andale Sans UI" w:hAnsi="Times New Roman" w:cs="Times New Roman"/>
                <w:kern w:val="1"/>
                <w:vertAlign w:val="superscript"/>
              </w:rPr>
              <w:t xml:space="preserve"> a</w:t>
            </w:r>
          </w:p>
        </w:tc>
        <w:tc>
          <w:tcPr>
            <w:tcW w:w="833" w:type="pct"/>
          </w:tcPr>
          <w:p w14:paraId="472F2ACB"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0.24± 0.026</w:t>
            </w:r>
            <w:r w:rsidRPr="006F74FE">
              <w:rPr>
                <w:rFonts w:ascii="Times New Roman" w:eastAsia="Andale Sans UI" w:hAnsi="Times New Roman" w:cs="Times New Roman"/>
                <w:kern w:val="1"/>
                <w:vertAlign w:val="superscript"/>
              </w:rPr>
              <w:t xml:space="preserve"> a</w:t>
            </w:r>
          </w:p>
        </w:tc>
        <w:tc>
          <w:tcPr>
            <w:tcW w:w="834" w:type="pct"/>
          </w:tcPr>
          <w:p w14:paraId="7789840F"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0.18± 0.046</w:t>
            </w:r>
            <w:r w:rsidRPr="006F74FE">
              <w:rPr>
                <w:rFonts w:ascii="Times New Roman" w:eastAsia="Andale Sans UI" w:hAnsi="Times New Roman" w:cs="Times New Roman"/>
                <w:kern w:val="1"/>
                <w:vertAlign w:val="superscript"/>
              </w:rPr>
              <w:t xml:space="preserve"> a</w:t>
            </w:r>
          </w:p>
        </w:tc>
        <w:tc>
          <w:tcPr>
            <w:tcW w:w="943" w:type="pct"/>
          </w:tcPr>
          <w:p w14:paraId="719C3D3D" w14:textId="77777777" w:rsidR="0030298D" w:rsidRPr="006F74FE" w:rsidRDefault="0030298D"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0.24± 0.117</w:t>
            </w:r>
            <w:r w:rsidRPr="006F74FE">
              <w:rPr>
                <w:rFonts w:ascii="Times New Roman" w:eastAsia="Andale Sans UI" w:hAnsi="Times New Roman" w:cs="Times New Roman"/>
                <w:kern w:val="1"/>
                <w:vertAlign w:val="superscript"/>
              </w:rPr>
              <w:t xml:space="preserve"> a</w:t>
            </w:r>
          </w:p>
        </w:tc>
        <w:tc>
          <w:tcPr>
            <w:tcW w:w="723" w:type="pct"/>
          </w:tcPr>
          <w:p w14:paraId="11E64EDD" w14:textId="77777777" w:rsidR="0030298D" w:rsidRPr="006F74FE" w:rsidRDefault="00AE50C1" w:rsidP="001E4AD7">
            <w:pPr>
              <w:widowControl w:val="0"/>
              <w:suppressAutoHyphens/>
              <w:spacing w:line="480" w:lineRule="auto"/>
              <w:rPr>
                <w:rFonts w:ascii="Times New Roman" w:eastAsia="Andale Sans UI" w:hAnsi="Times New Roman" w:cs="Times New Roman"/>
                <w:bCs/>
                <w:kern w:val="1"/>
                <w:sz w:val="24"/>
                <w:szCs w:val="24"/>
              </w:rPr>
            </w:pPr>
            <w:r w:rsidRPr="006F74FE">
              <w:rPr>
                <w:rFonts w:ascii="Times New Roman" w:eastAsia="Andale Sans UI" w:hAnsi="Times New Roman" w:cs="Times New Roman"/>
                <w:bCs/>
                <w:kern w:val="1"/>
                <w:sz w:val="24"/>
                <w:szCs w:val="24"/>
              </w:rPr>
              <w:t>0.</w:t>
            </w:r>
            <w:r w:rsidR="00CD068A" w:rsidRPr="006F74FE">
              <w:rPr>
                <w:rFonts w:ascii="Times New Roman" w:eastAsia="Andale Sans UI" w:hAnsi="Times New Roman" w:cs="Times New Roman"/>
                <w:bCs/>
                <w:kern w:val="1"/>
                <w:sz w:val="24"/>
                <w:szCs w:val="24"/>
              </w:rPr>
              <w:t>600</w:t>
            </w:r>
          </w:p>
        </w:tc>
      </w:tr>
    </w:tbl>
    <w:p w14:paraId="11AB1995" w14:textId="77777777" w:rsidR="005A3088" w:rsidRPr="006F74FE" w:rsidRDefault="005A3088" w:rsidP="001E4AD7">
      <w:pPr>
        <w:widowControl w:val="0"/>
        <w:suppressAutoHyphens/>
        <w:autoSpaceDE w:val="0"/>
        <w:autoSpaceDN w:val="0"/>
        <w:adjustRightInd w:val="0"/>
        <w:spacing w:after="0" w:line="480" w:lineRule="auto"/>
        <w:ind w:left="720"/>
        <w:rPr>
          <w:rFonts w:ascii="Times New Roman" w:eastAsia="MS Mincho" w:hAnsi="Times New Roman" w:cs="Times New Roman"/>
          <w:sz w:val="24"/>
          <w:szCs w:val="24"/>
          <w:lang w:val="en-US" w:eastAsia="ja-JP"/>
        </w:rPr>
      </w:pPr>
      <w:r w:rsidRPr="006F74FE">
        <w:rPr>
          <w:rFonts w:ascii="Times New Roman" w:eastAsia="MS Mincho" w:hAnsi="Times New Roman" w:cs="Times New Roman"/>
          <w:sz w:val="24"/>
          <w:szCs w:val="24"/>
          <w:lang w:val="en-US" w:eastAsia="ja-JP"/>
        </w:rPr>
        <w:t>Mean</w:t>
      </w:r>
      <w:r w:rsidR="00EA6974" w:rsidRPr="006F74FE">
        <w:rPr>
          <w:rFonts w:ascii="Times New Roman" w:eastAsia="Andale Sans UI" w:hAnsi="Times New Roman" w:cs="Times New Roman"/>
          <w:kern w:val="1"/>
          <w:sz w:val="24"/>
          <w:szCs w:val="24"/>
          <w:shd w:val="clear" w:color="auto" w:fill="FFFFFF"/>
        </w:rPr>
        <w:t>± SD</w:t>
      </w:r>
      <w:r w:rsidRPr="006F74FE">
        <w:rPr>
          <w:rFonts w:ascii="Times New Roman" w:eastAsia="MS Mincho" w:hAnsi="Times New Roman" w:cs="Times New Roman"/>
          <w:sz w:val="24"/>
          <w:szCs w:val="24"/>
          <w:lang w:val="en-US" w:eastAsia="ja-JP"/>
        </w:rPr>
        <w:t xml:space="preserve"> bearing different superscripts in row differ significantly (p&lt;0.05).</w:t>
      </w:r>
    </w:p>
    <w:p w14:paraId="6C01145C" w14:textId="77777777" w:rsidR="005A3088" w:rsidRPr="006F74FE" w:rsidRDefault="00FB79A9" w:rsidP="001E4AD7">
      <w:pPr>
        <w:widowControl w:val="0"/>
        <w:suppressAutoHyphens/>
        <w:spacing w:after="0" w:line="480" w:lineRule="auto"/>
        <w:ind w:left="990" w:hanging="990"/>
        <w:rPr>
          <w:rFonts w:ascii="Times New Roman" w:eastAsia="Andale Sans UI" w:hAnsi="Times New Roman" w:cs="Times New Roman"/>
          <w:kern w:val="1"/>
          <w:sz w:val="24"/>
          <w:szCs w:val="24"/>
        </w:rPr>
      </w:pPr>
      <w:r w:rsidRPr="006F74FE">
        <w:rPr>
          <w:rFonts w:ascii="Times New Roman" w:eastAsia="Andale Sans UI" w:hAnsi="Times New Roman" w:cs="Times New Roman"/>
          <w:b/>
          <w:bCs/>
          <w:kern w:val="1"/>
          <w:sz w:val="24"/>
          <w:szCs w:val="24"/>
        </w:rPr>
        <w:t xml:space="preserve">Table </w:t>
      </w:r>
      <w:r w:rsidR="00DC7CEB">
        <w:rPr>
          <w:rFonts w:ascii="Times New Roman" w:eastAsia="Andale Sans UI" w:hAnsi="Times New Roman" w:cs="Times New Roman"/>
          <w:b/>
          <w:bCs/>
          <w:kern w:val="1"/>
          <w:sz w:val="24"/>
          <w:szCs w:val="24"/>
        </w:rPr>
        <w:t>V</w:t>
      </w:r>
      <w:r w:rsidR="005A3088" w:rsidRPr="006F74FE">
        <w:rPr>
          <w:rFonts w:ascii="Times New Roman" w:eastAsia="Andale Sans UI" w:hAnsi="Times New Roman" w:cs="Times New Roman"/>
          <w:b/>
          <w:bCs/>
          <w:kern w:val="1"/>
          <w:sz w:val="24"/>
          <w:szCs w:val="24"/>
        </w:rPr>
        <w:t xml:space="preserve">: </w:t>
      </w:r>
      <w:r w:rsidR="005A3088" w:rsidRPr="006F74FE">
        <w:rPr>
          <w:rFonts w:ascii="Times New Roman" w:eastAsia="Andale Sans UI" w:hAnsi="Times New Roman" w:cs="Times New Roman"/>
          <w:b/>
          <w:bCs/>
          <w:kern w:val="1"/>
          <w:sz w:val="24"/>
          <w:szCs w:val="24"/>
          <w:lang w:val="en-GB"/>
        </w:rPr>
        <w:t xml:space="preserve">Effect </w:t>
      </w:r>
      <w:r w:rsidR="005A3088" w:rsidRPr="006F74FE">
        <w:rPr>
          <w:rFonts w:ascii="Times New Roman" w:eastAsia="Andale Sans UI" w:hAnsi="Times New Roman" w:cs="Times New Roman"/>
          <w:b/>
          <w:bCs/>
          <w:kern w:val="1"/>
          <w:sz w:val="24"/>
          <w:szCs w:val="24"/>
        </w:rPr>
        <w:t xml:space="preserve">Indoxacarb and vitamin C </w:t>
      </w:r>
      <w:r w:rsidR="005A3088" w:rsidRPr="006F74FE">
        <w:rPr>
          <w:rFonts w:ascii="Times New Roman" w:eastAsia="Andale Sans UI" w:hAnsi="Times New Roman" w:cs="Times New Roman"/>
          <w:b/>
          <w:bCs/>
          <w:kern w:val="1"/>
          <w:sz w:val="24"/>
          <w:szCs w:val="24"/>
          <w:lang w:val="en-GB"/>
        </w:rPr>
        <w:t>on relative organ weight (Mean ± SD, n=5, gm) in female rats after daily oral administration for 28 days</w:t>
      </w:r>
      <w:r w:rsidR="005A3088" w:rsidRPr="006F74FE">
        <w:rPr>
          <w:rFonts w:ascii="Times New Roman" w:eastAsia="Andale Sans UI" w:hAnsi="Times New Roman" w:cs="Times New Roman"/>
          <w:kern w:val="1"/>
          <w:sz w:val="24"/>
          <w:szCs w:val="24"/>
        </w:rPr>
        <w:t xml:space="preserve"> </w:t>
      </w:r>
    </w:p>
    <w:tbl>
      <w:tblPr>
        <w:tblStyle w:val="TableGrid"/>
        <w:tblW w:w="5000" w:type="pct"/>
        <w:jc w:val="center"/>
        <w:tblLook w:val="04A0" w:firstRow="1" w:lastRow="0" w:firstColumn="1" w:lastColumn="0" w:noHBand="0" w:noVBand="1"/>
      </w:tblPr>
      <w:tblGrid>
        <w:gridCol w:w="1503"/>
        <w:gridCol w:w="1503"/>
        <w:gridCol w:w="1502"/>
        <w:gridCol w:w="1504"/>
        <w:gridCol w:w="1502"/>
        <w:gridCol w:w="1502"/>
      </w:tblGrid>
      <w:tr w:rsidR="00084E9F" w:rsidRPr="00EA6974" w14:paraId="069A5AF9" w14:textId="77777777" w:rsidTr="00180F10">
        <w:trPr>
          <w:trHeight w:val="283"/>
          <w:tblHeader/>
          <w:jc w:val="center"/>
        </w:trPr>
        <w:tc>
          <w:tcPr>
            <w:tcW w:w="833" w:type="pct"/>
            <w:vMerge w:val="restart"/>
          </w:tcPr>
          <w:p w14:paraId="00770636"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p>
          <w:p w14:paraId="7135F199"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Organ</w:t>
            </w:r>
          </w:p>
        </w:tc>
        <w:tc>
          <w:tcPr>
            <w:tcW w:w="833" w:type="pct"/>
          </w:tcPr>
          <w:p w14:paraId="3D826C53"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w:t>
            </w:r>
          </w:p>
        </w:tc>
        <w:tc>
          <w:tcPr>
            <w:tcW w:w="833" w:type="pct"/>
          </w:tcPr>
          <w:p w14:paraId="4F828731"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II</w:t>
            </w:r>
          </w:p>
        </w:tc>
        <w:tc>
          <w:tcPr>
            <w:tcW w:w="834" w:type="pct"/>
          </w:tcPr>
          <w:p w14:paraId="5D8930E0"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III</w:t>
            </w:r>
          </w:p>
        </w:tc>
        <w:tc>
          <w:tcPr>
            <w:tcW w:w="833" w:type="pct"/>
          </w:tcPr>
          <w:p w14:paraId="7324E58D"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Group IV</w:t>
            </w:r>
          </w:p>
        </w:tc>
        <w:tc>
          <w:tcPr>
            <w:tcW w:w="833" w:type="pct"/>
            <w:vMerge w:val="restart"/>
          </w:tcPr>
          <w:p w14:paraId="69874CCE"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r w:rsidRPr="00EA6974">
              <w:rPr>
                <w:rFonts w:ascii="Times New Roman" w:eastAsia="Andale Sans UI" w:hAnsi="Times New Roman" w:cs="Times New Roman"/>
                <w:b/>
                <w:kern w:val="1"/>
                <w:sz w:val="24"/>
                <w:szCs w:val="24"/>
              </w:rPr>
              <w:t>P value</w:t>
            </w:r>
          </w:p>
        </w:tc>
      </w:tr>
      <w:tr w:rsidR="00084E9F" w:rsidRPr="00EA6974" w14:paraId="3164FFE1" w14:textId="77777777" w:rsidTr="00180F10">
        <w:trPr>
          <w:trHeight w:val="257"/>
          <w:tblHeader/>
          <w:jc w:val="center"/>
        </w:trPr>
        <w:tc>
          <w:tcPr>
            <w:tcW w:w="833" w:type="pct"/>
            <w:vMerge/>
          </w:tcPr>
          <w:p w14:paraId="6AA0B7A7" w14:textId="77777777" w:rsidR="00084E9F" w:rsidRPr="00EA6974" w:rsidRDefault="00084E9F" w:rsidP="001E4AD7">
            <w:pPr>
              <w:widowControl w:val="0"/>
              <w:suppressAutoHyphens/>
              <w:spacing w:line="480" w:lineRule="auto"/>
              <w:jc w:val="center"/>
              <w:rPr>
                <w:rFonts w:ascii="Times New Roman" w:eastAsia="Andale Sans UI" w:hAnsi="Times New Roman" w:cs="Times New Roman"/>
                <w:b/>
                <w:kern w:val="1"/>
                <w:sz w:val="24"/>
                <w:szCs w:val="24"/>
              </w:rPr>
            </w:pPr>
          </w:p>
        </w:tc>
        <w:tc>
          <w:tcPr>
            <w:tcW w:w="833" w:type="pct"/>
          </w:tcPr>
          <w:p w14:paraId="32B28086"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CMC</w:t>
            </w:r>
          </w:p>
        </w:tc>
        <w:tc>
          <w:tcPr>
            <w:tcW w:w="833" w:type="pct"/>
          </w:tcPr>
          <w:p w14:paraId="04F95C04"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Indoxacarb</w:t>
            </w:r>
          </w:p>
        </w:tc>
        <w:tc>
          <w:tcPr>
            <w:tcW w:w="834" w:type="pct"/>
          </w:tcPr>
          <w:p w14:paraId="6D4BB5EE"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Vitamin C</w:t>
            </w:r>
          </w:p>
        </w:tc>
        <w:tc>
          <w:tcPr>
            <w:tcW w:w="833" w:type="pct"/>
          </w:tcPr>
          <w:p w14:paraId="0C8F594F" w14:textId="77777777" w:rsidR="00084E9F" w:rsidRPr="00EA6974" w:rsidRDefault="00084E9F" w:rsidP="001E4AD7">
            <w:pPr>
              <w:spacing w:line="480" w:lineRule="auto"/>
              <w:jc w:val="center"/>
              <w:rPr>
                <w:rFonts w:ascii="Times New Roman" w:eastAsia="Times New Roman" w:hAnsi="Times New Roman" w:cs="Times New Roman"/>
                <w:b/>
                <w:sz w:val="24"/>
                <w:szCs w:val="24"/>
              </w:rPr>
            </w:pPr>
            <w:r w:rsidRPr="00EA6974">
              <w:rPr>
                <w:rFonts w:ascii="Times New Roman" w:eastAsia="Times New Roman" w:hAnsi="Times New Roman" w:cs="Times New Roman"/>
                <w:b/>
                <w:kern w:val="24"/>
                <w:sz w:val="24"/>
                <w:szCs w:val="24"/>
              </w:rPr>
              <w:t>IND + VIT-C</w:t>
            </w:r>
          </w:p>
        </w:tc>
        <w:tc>
          <w:tcPr>
            <w:tcW w:w="833" w:type="pct"/>
            <w:vMerge/>
          </w:tcPr>
          <w:p w14:paraId="7261EA43" w14:textId="77777777" w:rsidR="00084E9F" w:rsidRPr="00EA6974" w:rsidRDefault="00084E9F" w:rsidP="001E4AD7">
            <w:pPr>
              <w:spacing w:line="480" w:lineRule="auto"/>
              <w:jc w:val="center"/>
              <w:rPr>
                <w:rFonts w:ascii="Times New Roman" w:eastAsia="Times New Roman" w:hAnsi="Times New Roman" w:cs="Times New Roman"/>
                <w:b/>
                <w:kern w:val="24"/>
                <w:sz w:val="24"/>
                <w:szCs w:val="24"/>
              </w:rPr>
            </w:pPr>
          </w:p>
        </w:tc>
      </w:tr>
      <w:tr w:rsidR="00180F10" w:rsidRPr="00EA6974" w14:paraId="0AB5C252" w14:textId="77777777" w:rsidTr="00180F10">
        <w:trPr>
          <w:trHeight w:val="261"/>
          <w:jc w:val="center"/>
        </w:trPr>
        <w:tc>
          <w:tcPr>
            <w:tcW w:w="833" w:type="pct"/>
            <w:vAlign w:val="center"/>
          </w:tcPr>
          <w:p w14:paraId="0AB9382D"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Liver</w:t>
            </w:r>
          </w:p>
        </w:tc>
        <w:tc>
          <w:tcPr>
            <w:tcW w:w="833" w:type="pct"/>
            <w:vAlign w:val="bottom"/>
          </w:tcPr>
          <w:p w14:paraId="7EACDD3A"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2.67± 0.233</w:t>
            </w:r>
            <w:r w:rsidRPr="00EA6974">
              <w:rPr>
                <w:rFonts w:ascii="Times New Roman" w:eastAsia="Andale Sans UI" w:hAnsi="Times New Roman" w:cs="Times New Roman"/>
                <w:kern w:val="1"/>
                <w:sz w:val="24"/>
                <w:szCs w:val="24"/>
                <w:vertAlign w:val="superscript"/>
              </w:rPr>
              <w:t xml:space="preserve"> a</w:t>
            </w:r>
          </w:p>
        </w:tc>
        <w:tc>
          <w:tcPr>
            <w:tcW w:w="833" w:type="pct"/>
          </w:tcPr>
          <w:p w14:paraId="48AFF3D4"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3.10± 0.355</w:t>
            </w:r>
            <w:r w:rsidRPr="00EA6974">
              <w:rPr>
                <w:rFonts w:ascii="Times New Roman" w:eastAsia="Andale Sans UI" w:hAnsi="Times New Roman" w:cs="Times New Roman"/>
                <w:kern w:val="1"/>
                <w:sz w:val="24"/>
                <w:szCs w:val="24"/>
                <w:vertAlign w:val="superscript"/>
              </w:rPr>
              <w:t xml:space="preserve"> a</w:t>
            </w:r>
          </w:p>
        </w:tc>
        <w:tc>
          <w:tcPr>
            <w:tcW w:w="834" w:type="pct"/>
          </w:tcPr>
          <w:p w14:paraId="2129EC4D"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2.37± 0.779</w:t>
            </w:r>
            <w:r w:rsidRPr="00EA6974">
              <w:rPr>
                <w:rFonts w:ascii="Times New Roman" w:eastAsia="Andale Sans UI" w:hAnsi="Times New Roman" w:cs="Times New Roman"/>
                <w:kern w:val="1"/>
                <w:sz w:val="24"/>
                <w:szCs w:val="24"/>
                <w:vertAlign w:val="superscript"/>
              </w:rPr>
              <w:t xml:space="preserve"> a</w:t>
            </w:r>
          </w:p>
        </w:tc>
        <w:tc>
          <w:tcPr>
            <w:tcW w:w="833" w:type="pct"/>
          </w:tcPr>
          <w:p w14:paraId="605B091B"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2.93± 0.319</w:t>
            </w:r>
            <w:r w:rsidRPr="00EA6974">
              <w:rPr>
                <w:rFonts w:ascii="Times New Roman" w:eastAsia="Andale Sans UI" w:hAnsi="Times New Roman" w:cs="Times New Roman"/>
                <w:kern w:val="1"/>
                <w:sz w:val="24"/>
                <w:szCs w:val="24"/>
                <w:vertAlign w:val="superscript"/>
              </w:rPr>
              <w:t xml:space="preserve"> a</w:t>
            </w:r>
          </w:p>
        </w:tc>
        <w:tc>
          <w:tcPr>
            <w:tcW w:w="833" w:type="pct"/>
          </w:tcPr>
          <w:p w14:paraId="1F79476C"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0.119</w:t>
            </w:r>
          </w:p>
        </w:tc>
      </w:tr>
      <w:tr w:rsidR="00180F10" w:rsidRPr="00EA6974" w14:paraId="7195A964" w14:textId="77777777" w:rsidTr="00180F10">
        <w:trPr>
          <w:trHeight w:val="251"/>
          <w:jc w:val="center"/>
        </w:trPr>
        <w:tc>
          <w:tcPr>
            <w:tcW w:w="833" w:type="pct"/>
            <w:vAlign w:val="center"/>
          </w:tcPr>
          <w:p w14:paraId="79EC6D39"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Spleen</w:t>
            </w:r>
          </w:p>
        </w:tc>
        <w:tc>
          <w:tcPr>
            <w:tcW w:w="833" w:type="pct"/>
            <w:vAlign w:val="bottom"/>
          </w:tcPr>
          <w:p w14:paraId="7E270EB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0.26± 0.027</w:t>
            </w:r>
            <w:r w:rsidRPr="00EA6974">
              <w:rPr>
                <w:rFonts w:ascii="Times New Roman" w:eastAsia="Andale Sans UI" w:hAnsi="Times New Roman" w:cs="Times New Roman"/>
                <w:kern w:val="1"/>
                <w:sz w:val="24"/>
                <w:szCs w:val="24"/>
                <w:vertAlign w:val="superscript"/>
              </w:rPr>
              <w:t xml:space="preserve"> a</w:t>
            </w:r>
          </w:p>
        </w:tc>
        <w:tc>
          <w:tcPr>
            <w:tcW w:w="833" w:type="pct"/>
          </w:tcPr>
          <w:p w14:paraId="3B6BF7EB"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0.32± 0.076</w:t>
            </w:r>
            <w:r w:rsidRPr="00EA6974">
              <w:rPr>
                <w:rFonts w:ascii="Times New Roman" w:eastAsia="Andale Sans UI" w:hAnsi="Times New Roman" w:cs="Times New Roman"/>
                <w:kern w:val="1"/>
                <w:sz w:val="24"/>
                <w:szCs w:val="24"/>
                <w:vertAlign w:val="superscript"/>
              </w:rPr>
              <w:t xml:space="preserve"> a</w:t>
            </w:r>
          </w:p>
        </w:tc>
        <w:tc>
          <w:tcPr>
            <w:tcW w:w="834" w:type="pct"/>
          </w:tcPr>
          <w:p w14:paraId="3812B4D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0.24± 0.043</w:t>
            </w:r>
            <w:r w:rsidRPr="00EA6974">
              <w:rPr>
                <w:rFonts w:ascii="Times New Roman" w:eastAsia="Andale Sans UI" w:hAnsi="Times New Roman" w:cs="Times New Roman"/>
                <w:kern w:val="1"/>
                <w:sz w:val="24"/>
                <w:szCs w:val="24"/>
                <w:vertAlign w:val="superscript"/>
              </w:rPr>
              <w:t xml:space="preserve"> a</w:t>
            </w:r>
          </w:p>
        </w:tc>
        <w:tc>
          <w:tcPr>
            <w:tcW w:w="833" w:type="pct"/>
          </w:tcPr>
          <w:p w14:paraId="40B02DA4"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0.29± 0.076</w:t>
            </w:r>
            <w:r w:rsidRPr="00EA6974">
              <w:rPr>
                <w:rFonts w:ascii="Times New Roman" w:eastAsia="Andale Sans UI" w:hAnsi="Times New Roman" w:cs="Times New Roman"/>
                <w:kern w:val="1"/>
                <w:sz w:val="24"/>
                <w:szCs w:val="24"/>
                <w:vertAlign w:val="superscript"/>
              </w:rPr>
              <w:t xml:space="preserve"> a</w:t>
            </w:r>
          </w:p>
        </w:tc>
        <w:tc>
          <w:tcPr>
            <w:tcW w:w="833" w:type="pct"/>
          </w:tcPr>
          <w:p w14:paraId="41D3B363"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0.239</w:t>
            </w:r>
          </w:p>
        </w:tc>
      </w:tr>
      <w:tr w:rsidR="00180F10" w:rsidRPr="00EA6974" w14:paraId="101217FA" w14:textId="77777777" w:rsidTr="00180F10">
        <w:trPr>
          <w:trHeight w:val="255"/>
          <w:jc w:val="center"/>
        </w:trPr>
        <w:tc>
          <w:tcPr>
            <w:tcW w:w="833" w:type="pct"/>
            <w:vAlign w:val="center"/>
          </w:tcPr>
          <w:p w14:paraId="159045A9"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Heart</w:t>
            </w:r>
          </w:p>
        </w:tc>
        <w:tc>
          <w:tcPr>
            <w:tcW w:w="833" w:type="pct"/>
            <w:vAlign w:val="bottom"/>
          </w:tcPr>
          <w:p w14:paraId="5ACD204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0.35± 0.035</w:t>
            </w:r>
            <w:r w:rsidRPr="00EA6974">
              <w:rPr>
                <w:rFonts w:ascii="Times New Roman" w:eastAsia="Andale Sans UI" w:hAnsi="Times New Roman" w:cs="Times New Roman"/>
                <w:kern w:val="1"/>
                <w:sz w:val="24"/>
                <w:szCs w:val="24"/>
                <w:vertAlign w:val="superscript"/>
              </w:rPr>
              <w:t xml:space="preserve"> a</w:t>
            </w:r>
          </w:p>
        </w:tc>
        <w:tc>
          <w:tcPr>
            <w:tcW w:w="833" w:type="pct"/>
          </w:tcPr>
          <w:p w14:paraId="0A5B8934"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0.41± 0.054</w:t>
            </w:r>
            <w:r w:rsidRPr="00EA6974">
              <w:rPr>
                <w:rFonts w:ascii="Times New Roman" w:eastAsia="Andale Sans UI" w:hAnsi="Times New Roman" w:cs="Times New Roman"/>
                <w:kern w:val="1"/>
                <w:sz w:val="24"/>
                <w:szCs w:val="24"/>
                <w:vertAlign w:val="superscript"/>
              </w:rPr>
              <w:t xml:space="preserve"> a</w:t>
            </w:r>
          </w:p>
        </w:tc>
        <w:tc>
          <w:tcPr>
            <w:tcW w:w="834" w:type="pct"/>
          </w:tcPr>
          <w:p w14:paraId="74AB41B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0.40± 0.074</w:t>
            </w:r>
            <w:r w:rsidRPr="00EA6974">
              <w:rPr>
                <w:rFonts w:ascii="Times New Roman" w:eastAsia="Andale Sans UI" w:hAnsi="Times New Roman" w:cs="Times New Roman"/>
                <w:kern w:val="1"/>
                <w:sz w:val="24"/>
                <w:szCs w:val="24"/>
                <w:vertAlign w:val="superscript"/>
              </w:rPr>
              <w:t xml:space="preserve"> a</w:t>
            </w:r>
          </w:p>
        </w:tc>
        <w:tc>
          <w:tcPr>
            <w:tcW w:w="833" w:type="pct"/>
          </w:tcPr>
          <w:p w14:paraId="690501AA"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0.37± 0.060</w:t>
            </w:r>
            <w:r w:rsidRPr="00EA6974">
              <w:rPr>
                <w:rFonts w:ascii="Times New Roman" w:eastAsia="Andale Sans UI" w:hAnsi="Times New Roman" w:cs="Times New Roman"/>
                <w:kern w:val="1"/>
                <w:sz w:val="24"/>
                <w:szCs w:val="24"/>
                <w:vertAlign w:val="superscript"/>
              </w:rPr>
              <w:t xml:space="preserve"> a</w:t>
            </w:r>
          </w:p>
        </w:tc>
        <w:tc>
          <w:tcPr>
            <w:tcW w:w="833" w:type="pct"/>
          </w:tcPr>
          <w:p w14:paraId="001DBE17"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0.872</w:t>
            </w:r>
          </w:p>
        </w:tc>
      </w:tr>
      <w:tr w:rsidR="00180F10" w:rsidRPr="00EA6974" w14:paraId="577B537B" w14:textId="77777777" w:rsidTr="00180F10">
        <w:trPr>
          <w:trHeight w:val="259"/>
          <w:jc w:val="center"/>
        </w:trPr>
        <w:tc>
          <w:tcPr>
            <w:tcW w:w="833" w:type="pct"/>
            <w:vAlign w:val="center"/>
          </w:tcPr>
          <w:p w14:paraId="212E9E5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Lung</w:t>
            </w:r>
          </w:p>
        </w:tc>
        <w:tc>
          <w:tcPr>
            <w:tcW w:w="833" w:type="pct"/>
            <w:vAlign w:val="bottom"/>
          </w:tcPr>
          <w:p w14:paraId="147CA97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1.09± 0.183</w:t>
            </w:r>
            <w:r w:rsidRPr="00EA6974">
              <w:rPr>
                <w:rFonts w:ascii="Times New Roman" w:eastAsia="Andale Sans UI" w:hAnsi="Times New Roman" w:cs="Times New Roman"/>
                <w:kern w:val="1"/>
                <w:sz w:val="24"/>
                <w:szCs w:val="24"/>
                <w:vertAlign w:val="superscript"/>
              </w:rPr>
              <w:t xml:space="preserve"> a</w:t>
            </w:r>
          </w:p>
        </w:tc>
        <w:tc>
          <w:tcPr>
            <w:tcW w:w="833" w:type="pct"/>
          </w:tcPr>
          <w:p w14:paraId="0D7DA84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1.10± 0.223</w:t>
            </w:r>
            <w:r w:rsidRPr="00EA6974">
              <w:rPr>
                <w:rFonts w:ascii="Times New Roman" w:eastAsia="Andale Sans UI" w:hAnsi="Times New Roman" w:cs="Times New Roman"/>
                <w:kern w:val="1"/>
                <w:sz w:val="24"/>
                <w:szCs w:val="24"/>
                <w:vertAlign w:val="superscript"/>
              </w:rPr>
              <w:t xml:space="preserve"> a</w:t>
            </w:r>
          </w:p>
        </w:tc>
        <w:tc>
          <w:tcPr>
            <w:tcW w:w="834" w:type="pct"/>
          </w:tcPr>
          <w:p w14:paraId="28AC625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0.96± 0.208</w:t>
            </w:r>
            <w:r w:rsidRPr="00EA6974">
              <w:rPr>
                <w:rFonts w:ascii="Times New Roman" w:eastAsia="Andale Sans UI" w:hAnsi="Times New Roman" w:cs="Times New Roman"/>
                <w:kern w:val="1"/>
                <w:sz w:val="24"/>
                <w:szCs w:val="24"/>
                <w:vertAlign w:val="superscript"/>
              </w:rPr>
              <w:t xml:space="preserve"> a</w:t>
            </w:r>
          </w:p>
        </w:tc>
        <w:tc>
          <w:tcPr>
            <w:tcW w:w="833" w:type="pct"/>
          </w:tcPr>
          <w:p w14:paraId="7844605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1.02± 0.219</w:t>
            </w:r>
            <w:r w:rsidRPr="00EA6974">
              <w:rPr>
                <w:rFonts w:ascii="Times New Roman" w:eastAsia="Andale Sans UI" w:hAnsi="Times New Roman" w:cs="Times New Roman"/>
                <w:kern w:val="1"/>
                <w:sz w:val="24"/>
                <w:szCs w:val="24"/>
                <w:vertAlign w:val="superscript"/>
              </w:rPr>
              <w:t xml:space="preserve"> a</w:t>
            </w:r>
          </w:p>
        </w:tc>
        <w:tc>
          <w:tcPr>
            <w:tcW w:w="833" w:type="pct"/>
          </w:tcPr>
          <w:p w14:paraId="7230DC2B"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0.682</w:t>
            </w:r>
          </w:p>
        </w:tc>
      </w:tr>
      <w:tr w:rsidR="00180F10" w:rsidRPr="00EA6974" w14:paraId="5224857B" w14:textId="77777777" w:rsidTr="00180F10">
        <w:trPr>
          <w:trHeight w:val="249"/>
          <w:jc w:val="center"/>
        </w:trPr>
        <w:tc>
          <w:tcPr>
            <w:tcW w:w="833" w:type="pct"/>
            <w:vAlign w:val="center"/>
          </w:tcPr>
          <w:p w14:paraId="313E8B3F"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Kidney</w:t>
            </w:r>
          </w:p>
        </w:tc>
        <w:tc>
          <w:tcPr>
            <w:tcW w:w="833" w:type="pct"/>
            <w:vAlign w:val="bottom"/>
          </w:tcPr>
          <w:p w14:paraId="4770C98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0.64± 0.039</w:t>
            </w:r>
            <w:r w:rsidRPr="00EA6974">
              <w:rPr>
                <w:rFonts w:ascii="Times New Roman" w:eastAsia="Andale Sans UI" w:hAnsi="Times New Roman" w:cs="Times New Roman"/>
                <w:kern w:val="1"/>
                <w:sz w:val="24"/>
                <w:szCs w:val="24"/>
                <w:vertAlign w:val="superscript"/>
              </w:rPr>
              <w:t>a</w:t>
            </w:r>
          </w:p>
        </w:tc>
        <w:tc>
          <w:tcPr>
            <w:tcW w:w="833" w:type="pct"/>
          </w:tcPr>
          <w:p w14:paraId="4CEF16A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Cs/>
                <w:kern w:val="1"/>
                <w:sz w:val="24"/>
                <w:szCs w:val="24"/>
              </w:rPr>
            </w:pPr>
            <w:r w:rsidRPr="00EA6974">
              <w:rPr>
                <w:rFonts w:ascii="Times New Roman" w:eastAsia="Andale Sans UI" w:hAnsi="Times New Roman" w:cs="Times New Roman"/>
                <w:bCs/>
                <w:kern w:val="1"/>
                <w:sz w:val="24"/>
                <w:szCs w:val="24"/>
              </w:rPr>
              <w:t>0.80± 0.119</w:t>
            </w:r>
            <w:r w:rsidRPr="00EA6974">
              <w:rPr>
                <w:rFonts w:ascii="Times New Roman" w:eastAsia="Andale Sans UI" w:hAnsi="Times New Roman" w:cs="Times New Roman"/>
                <w:bCs/>
                <w:kern w:val="1"/>
                <w:sz w:val="24"/>
                <w:szCs w:val="24"/>
                <w:vertAlign w:val="superscript"/>
              </w:rPr>
              <w:t>b</w:t>
            </w:r>
          </w:p>
        </w:tc>
        <w:tc>
          <w:tcPr>
            <w:tcW w:w="834" w:type="pct"/>
          </w:tcPr>
          <w:p w14:paraId="0B44043F"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0.65± 0.093</w:t>
            </w:r>
            <w:r w:rsidRPr="00EA6974">
              <w:rPr>
                <w:rFonts w:ascii="Times New Roman" w:eastAsia="Andale Sans UI" w:hAnsi="Times New Roman" w:cs="Times New Roman"/>
                <w:kern w:val="1"/>
                <w:sz w:val="24"/>
                <w:szCs w:val="24"/>
                <w:vertAlign w:val="superscript"/>
              </w:rPr>
              <w:t>a</w:t>
            </w:r>
          </w:p>
        </w:tc>
        <w:tc>
          <w:tcPr>
            <w:tcW w:w="833" w:type="pct"/>
          </w:tcPr>
          <w:p w14:paraId="4B638BA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0.70± 0.027</w:t>
            </w:r>
            <w:r w:rsidRPr="00EA6974">
              <w:rPr>
                <w:rFonts w:ascii="Times New Roman" w:eastAsia="Andale Sans UI" w:hAnsi="Times New Roman" w:cs="Times New Roman"/>
                <w:kern w:val="1"/>
                <w:sz w:val="24"/>
                <w:szCs w:val="24"/>
                <w:vertAlign w:val="superscript"/>
              </w:rPr>
              <w:t>ab</w:t>
            </w:r>
          </w:p>
        </w:tc>
        <w:tc>
          <w:tcPr>
            <w:tcW w:w="833" w:type="pct"/>
          </w:tcPr>
          <w:p w14:paraId="44F04F71"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0.018</w:t>
            </w:r>
          </w:p>
        </w:tc>
      </w:tr>
      <w:tr w:rsidR="00180F10" w:rsidRPr="00EA6974" w14:paraId="5705E902" w14:textId="77777777" w:rsidTr="00180F10">
        <w:trPr>
          <w:trHeight w:val="253"/>
          <w:jc w:val="center"/>
        </w:trPr>
        <w:tc>
          <w:tcPr>
            <w:tcW w:w="833" w:type="pct"/>
            <w:vAlign w:val="center"/>
          </w:tcPr>
          <w:p w14:paraId="5E219AF2"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Brain</w:t>
            </w:r>
          </w:p>
        </w:tc>
        <w:tc>
          <w:tcPr>
            <w:tcW w:w="833" w:type="pct"/>
            <w:vAlign w:val="bottom"/>
          </w:tcPr>
          <w:p w14:paraId="4A4218E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0.82± 0.116</w:t>
            </w:r>
            <w:r w:rsidRPr="00EA6974">
              <w:rPr>
                <w:rFonts w:ascii="Times New Roman" w:eastAsia="Andale Sans UI" w:hAnsi="Times New Roman" w:cs="Times New Roman"/>
                <w:kern w:val="1"/>
                <w:sz w:val="24"/>
                <w:szCs w:val="24"/>
                <w:vertAlign w:val="superscript"/>
              </w:rPr>
              <w:t xml:space="preserve"> a</w:t>
            </w:r>
          </w:p>
        </w:tc>
        <w:tc>
          <w:tcPr>
            <w:tcW w:w="833" w:type="pct"/>
          </w:tcPr>
          <w:p w14:paraId="64C1E10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0.94± 0.081</w:t>
            </w:r>
            <w:r w:rsidRPr="00EA6974">
              <w:rPr>
                <w:rFonts w:ascii="Times New Roman" w:eastAsia="Andale Sans UI" w:hAnsi="Times New Roman" w:cs="Times New Roman"/>
                <w:kern w:val="1"/>
                <w:sz w:val="24"/>
                <w:szCs w:val="24"/>
                <w:vertAlign w:val="superscript"/>
              </w:rPr>
              <w:t xml:space="preserve"> a</w:t>
            </w:r>
          </w:p>
        </w:tc>
        <w:tc>
          <w:tcPr>
            <w:tcW w:w="834" w:type="pct"/>
          </w:tcPr>
          <w:p w14:paraId="7CE1DF1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0.81± 0.046</w:t>
            </w:r>
            <w:r w:rsidRPr="00EA6974">
              <w:rPr>
                <w:rFonts w:ascii="Times New Roman" w:eastAsia="Andale Sans UI" w:hAnsi="Times New Roman" w:cs="Times New Roman"/>
                <w:kern w:val="1"/>
                <w:sz w:val="24"/>
                <w:szCs w:val="24"/>
                <w:vertAlign w:val="superscript"/>
              </w:rPr>
              <w:t xml:space="preserve"> a</w:t>
            </w:r>
          </w:p>
        </w:tc>
        <w:tc>
          <w:tcPr>
            <w:tcW w:w="833" w:type="pct"/>
          </w:tcPr>
          <w:p w14:paraId="00378B1D"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0.76± 0.055</w:t>
            </w:r>
            <w:r w:rsidRPr="00EA6974">
              <w:rPr>
                <w:rFonts w:ascii="Times New Roman" w:eastAsia="Andale Sans UI" w:hAnsi="Times New Roman" w:cs="Times New Roman"/>
                <w:kern w:val="1"/>
                <w:sz w:val="24"/>
                <w:szCs w:val="24"/>
                <w:vertAlign w:val="superscript"/>
              </w:rPr>
              <w:t xml:space="preserve"> a</w:t>
            </w:r>
          </w:p>
        </w:tc>
        <w:tc>
          <w:tcPr>
            <w:tcW w:w="833" w:type="pct"/>
          </w:tcPr>
          <w:p w14:paraId="6DE0756E"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0.085</w:t>
            </w:r>
          </w:p>
        </w:tc>
      </w:tr>
      <w:tr w:rsidR="00180F10" w:rsidRPr="00EA6974" w14:paraId="18F1A179" w14:textId="77777777" w:rsidTr="00180F10">
        <w:trPr>
          <w:trHeight w:val="243"/>
          <w:jc w:val="center"/>
        </w:trPr>
        <w:tc>
          <w:tcPr>
            <w:tcW w:w="833" w:type="pct"/>
            <w:vAlign w:val="center"/>
          </w:tcPr>
          <w:p w14:paraId="18C8D71B"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Adrenals</w:t>
            </w:r>
          </w:p>
        </w:tc>
        <w:tc>
          <w:tcPr>
            <w:tcW w:w="833" w:type="pct"/>
            <w:vAlign w:val="bottom"/>
          </w:tcPr>
          <w:p w14:paraId="6BF0F76E"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0.013</w:t>
            </w:r>
            <w:r w:rsidRPr="00EA6974">
              <w:rPr>
                <w:rFonts w:ascii="Times New Roman" w:eastAsia="Andale Sans UI" w:hAnsi="Times New Roman" w:cs="Times New Roman"/>
                <w:kern w:val="1"/>
                <w:sz w:val="24"/>
                <w:szCs w:val="24"/>
                <w:vertAlign w:val="superscript"/>
              </w:rPr>
              <w:t xml:space="preserve"> a</w:t>
            </w:r>
          </w:p>
        </w:tc>
        <w:tc>
          <w:tcPr>
            <w:tcW w:w="833" w:type="pct"/>
          </w:tcPr>
          <w:p w14:paraId="165121E3"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0.09± 0.131</w:t>
            </w:r>
            <w:r w:rsidRPr="00EA6974">
              <w:rPr>
                <w:rFonts w:ascii="Times New Roman" w:eastAsia="Andale Sans UI" w:hAnsi="Times New Roman" w:cs="Times New Roman"/>
                <w:kern w:val="1"/>
                <w:sz w:val="24"/>
                <w:szCs w:val="24"/>
                <w:vertAlign w:val="superscript"/>
              </w:rPr>
              <w:t xml:space="preserve"> a</w:t>
            </w:r>
          </w:p>
        </w:tc>
        <w:tc>
          <w:tcPr>
            <w:tcW w:w="834" w:type="pct"/>
          </w:tcPr>
          <w:p w14:paraId="418DBCBC"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0.007</w:t>
            </w:r>
            <w:r w:rsidRPr="00EA6974">
              <w:rPr>
                <w:rFonts w:ascii="Times New Roman" w:eastAsia="Andale Sans UI" w:hAnsi="Times New Roman" w:cs="Times New Roman"/>
                <w:kern w:val="1"/>
                <w:sz w:val="24"/>
                <w:szCs w:val="24"/>
                <w:vertAlign w:val="superscript"/>
              </w:rPr>
              <w:t xml:space="preserve"> a</w:t>
            </w:r>
          </w:p>
        </w:tc>
        <w:tc>
          <w:tcPr>
            <w:tcW w:w="833" w:type="pct"/>
          </w:tcPr>
          <w:p w14:paraId="758E45C5"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0.003</w:t>
            </w:r>
            <w:r w:rsidRPr="00EA6974">
              <w:rPr>
                <w:rFonts w:ascii="Times New Roman" w:eastAsia="Andale Sans UI" w:hAnsi="Times New Roman" w:cs="Times New Roman"/>
                <w:kern w:val="1"/>
                <w:sz w:val="24"/>
                <w:szCs w:val="24"/>
                <w:vertAlign w:val="superscript"/>
              </w:rPr>
              <w:t xml:space="preserve"> a</w:t>
            </w:r>
          </w:p>
        </w:tc>
        <w:tc>
          <w:tcPr>
            <w:tcW w:w="833" w:type="pct"/>
          </w:tcPr>
          <w:p w14:paraId="6E178FB9"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0.351</w:t>
            </w:r>
          </w:p>
        </w:tc>
      </w:tr>
      <w:tr w:rsidR="00180F10" w:rsidRPr="00EA6974" w14:paraId="2B9BDA67" w14:textId="77777777" w:rsidTr="00180F10">
        <w:trPr>
          <w:trHeight w:val="243"/>
          <w:jc w:val="center"/>
        </w:trPr>
        <w:tc>
          <w:tcPr>
            <w:tcW w:w="833" w:type="pct"/>
            <w:vAlign w:val="center"/>
          </w:tcPr>
          <w:p w14:paraId="08CC5CC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b/>
                <w:bCs/>
                <w:kern w:val="1"/>
                <w:sz w:val="24"/>
                <w:szCs w:val="24"/>
              </w:rPr>
            </w:pPr>
            <w:r w:rsidRPr="00EA6974">
              <w:rPr>
                <w:rFonts w:ascii="Times New Roman" w:eastAsia="Andale Sans UI" w:hAnsi="Times New Roman" w:cs="Times New Roman"/>
                <w:b/>
                <w:bCs/>
                <w:kern w:val="1"/>
                <w:sz w:val="24"/>
                <w:szCs w:val="24"/>
              </w:rPr>
              <w:t>Thymus</w:t>
            </w:r>
          </w:p>
        </w:tc>
        <w:tc>
          <w:tcPr>
            <w:tcW w:w="833" w:type="pct"/>
          </w:tcPr>
          <w:p w14:paraId="230FEC27"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0.10± 0.016</w:t>
            </w:r>
            <w:r w:rsidRPr="00EA6974">
              <w:rPr>
                <w:rFonts w:ascii="Times New Roman" w:eastAsia="Andale Sans UI" w:hAnsi="Times New Roman" w:cs="Times New Roman"/>
                <w:kern w:val="1"/>
                <w:sz w:val="24"/>
                <w:szCs w:val="24"/>
                <w:vertAlign w:val="superscript"/>
              </w:rPr>
              <w:t xml:space="preserve"> a</w:t>
            </w:r>
          </w:p>
        </w:tc>
        <w:tc>
          <w:tcPr>
            <w:tcW w:w="833" w:type="pct"/>
          </w:tcPr>
          <w:p w14:paraId="34E34DF0"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0.13± 0.011</w:t>
            </w:r>
            <w:r w:rsidRPr="00EA6974">
              <w:rPr>
                <w:rFonts w:ascii="Times New Roman" w:eastAsia="Andale Sans UI" w:hAnsi="Times New Roman" w:cs="Times New Roman"/>
                <w:kern w:val="1"/>
                <w:sz w:val="24"/>
                <w:szCs w:val="24"/>
                <w:vertAlign w:val="superscript"/>
              </w:rPr>
              <w:t xml:space="preserve"> a</w:t>
            </w:r>
          </w:p>
        </w:tc>
        <w:tc>
          <w:tcPr>
            <w:tcW w:w="834" w:type="pct"/>
          </w:tcPr>
          <w:p w14:paraId="0F31CBC1"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0.03± 0.028</w:t>
            </w:r>
            <w:r w:rsidRPr="00EA6974">
              <w:rPr>
                <w:rFonts w:ascii="Times New Roman" w:eastAsia="Andale Sans UI" w:hAnsi="Times New Roman" w:cs="Times New Roman"/>
                <w:kern w:val="1"/>
                <w:sz w:val="24"/>
                <w:szCs w:val="24"/>
                <w:vertAlign w:val="superscript"/>
              </w:rPr>
              <w:t xml:space="preserve"> a</w:t>
            </w:r>
          </w:p>
        </w:tc>
        <w:tc>
          <w:tcPr>
            <w:tcW w:w="833" w:type="pct"/>
          </w:tcPr>
          <w:p w14:paraId="04625D3F" w14:textId="77777777" w:rsidR="00180F10" w:rsidRPr="00EA6974" w:rsidRDefault="00180F10"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0.11± 0.050</w:t>
            </w:r>
            <w:r w:rsidRPr="00EA6974">
              <w:rPr>
                <w:rFonts w:ascii="Times New Roman" w:eastAsia="Andale Sans UI" w:hAnsi="Times New Roman" w:cs="Times New Roman"/>
                <w:kern w:val="1"/>
                <w:sz w:val="24"/>
                <w:szCs w:val="24"/>
                <w:vertAlign w:val="superscript"/>
              </w:rPr>
              <w:t xml:space="preserve"> a</w:t>
            </w:r>
          </w:p>
        </w:tc>
        <w:tc>
          <w:tcPr>
            <w:tcW w:w="833" w:type="pct"/>
          </w:tcPr>
          <w:p w14:paraId="4C9FDADB" w14:textId="77777777" w:rsidR="00180F10" w:rsidRPr="00EA6974" w:rsidRDefault="00084E9F" w:rsidP="001E4AD7">
            <w:pPr>
              <w:widowControl w:val="0"/>
              <w:suppressAutoHyphens/>
              <w:spacing w:line="480" w:lineRule="auto"/>
              <w:jc w:val="center"/>
              <w:rPr>
                <w:rFonts w:ascii="Times New Roman" w:eastAsia="Andale Sans UI" w:hAnsi="Times New Roman" w:cs="Times New Roman"/>
                <w:kern w:val="1"/>
                <w:sz w:val="24"/>
                <w:szCs w:val="24"/>
              </w:rPr>
            </w:pPr>
            <w:r w:rsidRPr="00EA6974">
              <w:rPr>
                <w:rFonts w:ascii="Times New Roman" w:eastAsia="Andale Sans UI" w:hAnsi="Times New Roman" w:cs="Times New Roman"/>
                <w:kern w:val="1"/>
                <w:sz w:val="24"/>
                <w:szCs w:val="24"/>
              </w:rPr>
              <w:t>0.270</w:t>
            </w:r>
          </w:p>
        </w:tc>
      </w:tr>
    </w:tbl>
    <w:p w14:paraId="151668E7" w14:textId="77777777" w:rsidR="005A3088" w:rsidRPr="006F74FE" w:rsidRDefault="005A3088" w:rsidP="001E4AD7">
      <w:pPr>
        <w:spacing w:line="480" w:lineRule="auto"/>
        <w:jc w:val="both"/>
        <w:rPr>
          <w:rFonts w:ascii="Times New Roman" w:eastAsia="Andale Sans UI" w:hAnsi="Times New Roman" w:cs="Times New Roman"/>
          <w:kern w:val="1"/>
          <w:sz w:val="24"/>
          <w:szCs w:val="24"/>
        </w:rPr>
      </w:pPr>
      <w:r w:rsidRPr="006F74FE">
        <w:rPr>
          <w:rFonts w:ascii="Times New Roman" w:eastAsia="Andale Sans UI" w:hAnsi="Times New Roman" w:cs="Times New Roman"/>
          <w:kern w:val="1"/>
          <w:sz w:val="24"/>
          <w:szCs w:val="24"/>
        </w:rPr>
        <w:t>Mean</w:t>
      </w:r>
      <w:r w:rsidR="00EA6974" w:rsidRPr="006F74FE">
        <w:rPr>
          <w:rFonts w:ascii="Times New Roman" w:eastAsia="Andale Sans UI" w:hAnsi="Times New Roman" w:cs="Times New Roman"/>
          <w:kern w:val="1"/>
          <w:sz w:val="24"/>
          <w:szCs w:val="24"/>
          <w:shd w:val="clear" w:color="auto" w:fill="FFFFFF"/>
        </w:rPr>
        <w:t>± SD</w:t>
      </w:r>
      <w:r w:rsidRPr="006F74FE">
        <w:rPr>
          <w:rFonts w:ascii="Times New Roman" w:eastAsia="Andale Sans UI" w:hAnsi="Times New Roman" w:cs="Times New Roman"/>
          <w:kern w:val="1"/>
          <w:sz w:val="24"/>
          <w:szCs w:val="24"/>
        </w:rPr>
        <w:t xml:space="preserve"> bearing different superscripts in row differ significantly (p&lt;0.05).</w:t>
      </w:r>
    </w:p>
    <w:p w14:paraId="17C32456" w14:textId="77777777" w:rsidR="005A3088" w:rsidRPr="00D41F68" w:rsidRDefault="005A3088"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lastRenderedPageBreak/>
        <w:t xml:space="preserve">In the present study, statistically significant </w:t>
      </w:r>
      <w:proofErr w:type="spellStart"/>
      <w:r w:rsidRPr="00D41F68">
        <w:rPr>
          <w:rFonts w:ascii="Arial" w:eastAsia="Andale Sans UI" w:hAnsi="Arial" w:cs="Arial"/>
          <w:kern w:val="1"/>
          <w:sz w:val="20"/>
          <w:szCs w:val="20"/>
          <w:shd w:val="clear" w:color="auto" w:fill="FFFFFF"/>
        </w:rPr>
        <w:t>increased</w:t>
      </w:r>
      <w:proofErr w:type="spellEnd"/>
      <w:r w:rsidRPr="00D41F68">
        <w:rPr>
          <w:rFonts w:ascii="Arial" w:eastAsia="Andale Sans UI" w:hAnsi="Arial" w:cs="Arial"/>
          <w:kern w:val="1"/>
          <w:sz w:val="20"/>
          <w:szCs w:val="20"/>
          <w:shd w:val="clear" w:color="auto" w:fill="FFFFFF"/>
        </w:rPr>
        <w:t xml:space="preserve"> in relative weight of kidneys in the Group II female rats compared to control Group, </w:t>
      </w:r>
      <w:r w:rsidR="00E0042D" w:rsidRPr="00D41F68">
        <w:rPr>
          <w:rFonts w:ascii="Arial" w:eastAsia="Andale Sans UI" w:hAnsi="Arial" w:cs="Arial"/>
          <w:kern w:val="1"/>
          <w:sz w:val="20"/>
          <w:szCs w:val="20"/>
          <w:shd w:val="clear" w:color="auto" w:fill="FFFFFF"/>
        </w:rPr>
        <w:t>whereas no significant change was reported</w:t>
      </w:r>
      <w:r w:rsidRPr="00D41F68">
        <w:rPr>
          <w:rFonts w:ascii="Arial" w:eastAsia="Andale Sans UI" w:hAnsi="Arial" w:cs="Arial"/>
          <w:kern w:val="1"/>
          <w:sz w:val="20"/>
          <w:szCs w:val="20"/>
          <w:shd w:val="clear" w:color="auto" w:fill="FFFFFF"/>
        </w:rPr>
        <w:t xml:space="preserve"> in absolute organ weight in Group II female rats.</w:t>
      </w:r>
    </w:p>
    <w:p w14:paraId="3455B67C" w14:textId="77777777" w:rsidR="005A3088" w:rsidRPr="006F74FE" w:rsidRDefault="005A3088" w:rsidP="001E4AD7">
      <w:pPr>
        <w:spacing w:line="480" w:lineRule="auto"/>
        <w:jc w:val="both"/>
        <w:rPr>
          <w:rFonts w:ascii="Times New Roman" w:eastAsia="Calibri" w:hAnsi="Times New Roman" w:cs="Times New Roman"/>
          <w:sz w:val="24"/>
          <w:szCs w:val="24"/>
        </w:rPr>
      </w:pPr>
      <w:proofErr w:type="spellStart"/>
      <w:r w:rsidRPr="006F74FE">
        <w:rPr>
          <w:rFonts w:ascii="Times New Roman" w:eastAsia="Calibri" w:hAnsi="Times New Roman" w:cs="Times New Roman"/>
          <w:b/>
          <w:sz w:val="24"/>
          <w:szCs w:val="24"/>
        </w:rPr>
        <w:t>Pathomorphology</w:t>
      </w:r>
      <w:proofErr w:type="spellEnd"/>
      <w:r w:rsidR="0032025E" w:rsidRPr="006F74FE">
        <w:rPr>
          <w:rFonts w:ascii="Times New Roman" w:eastAsia="Calibri" w:hAnsi="Times New Roman" w:cs="Times New Roman"/>
          <w:b/>
          <w:sz w:val="24"/>
          <w:szCs w:val="24"/>
        </w:rPr>
        <w:t xml:space="preserve">  </w:t>
      </w:r>
    </w:p>
    <w:p w14:paraId="57467236" w14:textId="77777777" w:rsidR="00A04578" w:rsidRPr="00D41F68" w:rsidRDefault="005A3088"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During necropsy, </w:t>
      </w:r>
      <w:proofErr w:type="gramStart"/>
      <w:r w:rsidRPr="00D41F68">
        <w:rPr>
          <w:rFonts w:ascii="Arial" w:eastAsia="Andale Sans UI" w:hAnsi="Arial" w:cs="Arial"/>
          <w:kern w:val="1"/>
          <w:sz w:val="20"/>
          <w:szCs w:val="20"/>
          <w:shd w:val="clear" w:color="auto" w:fill="FFFFFF"/>
        </w:rPr>
        <w:t>Most</w:t>
      </w:r>
      <w:proofErr w:type="gramEnd"/>
      <w:r w:rsidRPr="00D41F68">
        <w:rPr>
          <w:rFonts w:ascii="Arial" w:eastAsia="Andale Sans UI" w:hAnsi="Arial" w:cs="Arial"/>
          <w:kern w:val="1"/>
          <w:sz w:val="20"/>
          <w:szCs w:val="20"/>
          <w:shd w:val="clear" w:color="auto" w:fill="FFFFFF"/>
        </w:rPr>
        <w:t xml:space="preserve"> of all organs were examined, but none of them revealed any appreciable lesions, with the exception of the stomach of Group II and VI rats. Stomach of Group II and IV rats was distended and filled with undigested feed materials. </w:t>
      </w:r>
    </w:p>
    <w:p w14:paraId="4498602D" w14:textId="77777777" w:rsidR="005A3088" w:rsidRPr="00D41F68" w:rsidRDefault="005A3088" w:rsidP="00D41F68">
      <w:pPr>
        <w:spacing w:line="480" w:lineRule="auto"/>
        <w:jc w:val="both"/>
        <w:rPr>
          <w:rFonts w:ascii="Arial" w:eastAsia="Andale Sans UI" w:hAnsi="Arial" w:cs="Arial"/>
          <w:kern w:val="1"/>
          <w:sz w:val="20"/>
          <w:szCs w:val="20"/>
          <w:shd w:val="clear" w:color="auto" w:fill="FFFFFF"/>
        </w:rPr>
      </w:pPr>
      <w:proofErr w:type="spellStart"/>
      <w:r w:rsidRPr="00D41F68">
        <w:rPr>
          <w:rFonts w:ascii="Arial" w:eastAsia="Andale Sans UI" w:hAnsi="Arial" w:cs="Arial"/>
          <w:kern w:val="1"/>
          <w:sz w:val="20"/>
          <w:szCs w:val="20"/>
          <w:shd w:val="clear" w:color="auto" w:fill="FFFFFF"/>
        </w:rPr>
        <w:t>Histopathologically</w:t>
      </w:r>
      <w:proofErr w:type="spellEnd"/>
      <w:r w:rsidRPr="00D41F68">
        <w:rPr>
          <w:rFonts w:ascii="Arial" w:eastAsia="Andale Sans UI" w:hAnsi="Arial" w:cs="Arial"/>
          <w:kern w:val="1"/>
          <w:sz w:val="20"/>
          <w:szCs w:val="20"/>
          <w:shd w:val="clear" w:color="auto" w:fill="FFFFFF"/>
        </w:rPr>
        <w:t>,</w:t>
      </w:r>
      <w:r w:rsidR="004045DC" w:rsidRPr="00D41F68">
        <w:rPr>
          <w:rFonts w:ascii="Arial" w:eastAsia="Andale Sans UI" w:hAnsi="Arial" w:cs="Arial"/>
          <w:kern w:val="1"/>
          <w:sz w:val="20"/>
          <w:szCs w:val="20"/>
          <w:shd w:val="clear" w:color="auto" w:fill="FFFFFF"/>
        </w:rPr>
        <w:t xml:space="preserve"> in comparison to Group I (Fig. 2A)</w:t>
      </w:r>
      <w:r w:rsidRPr="00D41F68">
        <w:rPr>
          <w:rFonts w:ascii="Arial" w:eastAsia="Andale Sans UI" w:hAnsi="Arial" w:cs="Arial"/>
          <w:kern w:val="1"/>
          <w:sz w:val="20"/>
          <w:szCs w:val="20"/>
          <w:shd w:val="clear" w:color="auto" w:fill="FFFFFF"/>
        </w:rPr>
        <w:t xml:space="preserve"> the liver of the Group II (IND) showed mononuclear cells infiltration with bile duct hyperplasia, portal vein congestion</w:t>
      </w:r>
      <w:r w:rsidR="00E82933" w:rsidRPr="00D41F68">
        <w:rPr>
          <w:rFonts w:ascii="Arial" w:eastAsia="Andale Sans UI" w:hAnsi="Arial" w:cs="Arial"/>
          <w:kern w:val="1"/>
          <w:sz w:val="20"/>
          <w:szCs w:val="20"/>
          <w:shd w:val="clear" w:color="auto" w:fill="FFFFFF"/>
        </w:rPr>
        <w:t xml:space="preserve"> (Fig. 2B)</w:t>
      </w:r>
      <w:r w:rsidRPr="00D41F68">
        <w:rPr>
          <w:rFonts w:ascii="Arial" w:eastAsia="Andale Sans UI" w:hAnsi="Arial" w:cs="Arial"/>
          <w:kern w:val="1"/>
          <w:sz w:val="20"/>
          <w:szCs w:val="20"/>
          <w:shd w:val="clear" w:color="auto" w:fill="FFFFFF"/>
        </w:rPr>
        <w:t>, minimal sinusoidal congestion, micro vesicular vacuolation. As well as, liver of Group IV (IND+ VIT-C) revealed multifocal vacuolation</w:t>
      </w:r>
      <w:r w:rsidR="00BC1A4B" w:rsidRPr="00D41F68">
        <w:rPr>
          <w:rFonts w:ascii="Arial" w:eastAsia="Andale Sans UI" w:hAnsi="Arial" w:cs="Arial"/>
          <w:kern w:val="1"/>
          <w:sz w:val="20"/>
          <w:szCs w:val="20"/>
          <w:shd w:val="clear" w:color="auto" w:fill="FFFFFF"/>
        </w:rPr>
        <w:t xml:space="preserve"> (Fig. 2C)</w:t>
      </w:r>
      <w:r w:rsidRPr="00D41F68">
        <w:rPr>
          <w:rFonts w:ascii="Arial" w:eastAsia="Andale Sans UI" w:hAnsi="Arial" w:cs="Arial"/>
          <w:kern w:val="1"/>
          <w:sz w:val="20"/>
          <w:szCs w:val="20"/>
          <w:shd w:val="clear" w:color="auto" w:fill="FFFFFF"/>
        </w:rPr>
        <w:t xml:space="preserve"> with minimal sinusoidal congestion and multifocal bile duct hyperplasia with minimal infiltration of inflammatory</w:t>
      </w:r>
      <w:r w:rsidR="00E82933" w:rsidRPr="00D41F68">
        <w:rPr>
          <w:rFonts w:ascii="Arial" w:eastAsia="Andale Sans UI" w:hAnsi="Arial" w:cs="Arial"/>
          <w:kern w:val="1"/>
          <w:sz w:val="20"/>
          <w:szCs w:val="20"/>
          <w:shd w:val="clear" w:color="auto" w:fill="FFFFFF"/>
        </w:rPr>
        <w:t xml:space="preserve"> cells</w:t>
      </w:r>
      <w:r w:rsidRPr="00D41F68">
        <w:rPr>
          <w:rFonts w:ascii="Arial" w:eastAsia="Andale Sans UI" w:hAnsi="Arial" w:cs="Arial"/>
          <w:kern w:val="1"/>
          <w:sz w:val="20"/>
          <w:szCs w:val="20"/>
          <w:shd w:val="clear" w:color="auto" w:fill="FFFFFF"/>
        </w:rPr>
        <w:t xml:space="preserve">. In kidney, Group II (IND) rat showed mild to moderate accumulation of proteinaceous material in tubular lumen, regenerative tubules by flattened epithelium, congestion, and tubular necrosis </w:t>
      </w:r>
      <w:r w:rsidR="00BC1A4B" w:rsidRPr="00D41F68">
        <w:rPr>
          <w:rFonts w:ascii="Arial" w:eastAsia="Andale Sans UI" w:hAnsi="Arial" w:cs="Arial"/>
          <w:kern w:val="1"/>
          <w:sz w:val="20"/>
          <w:szCs w:val="20"/>
          <w:shd w:val="clear" w:color="auto" w:fill="FFFFFF"/>
        </w:rPr>
        <w:t>(Fig. 2</w:t>
      </w:r>
      <w:r w:rsidR="00F31885" w:rsidRPr="00D41F68">
        <w:rPr>
          <w:rFonts w:ascii="Arial" w:eastAsia="Andale Sans UI" w:hAnsi="Arial" w:cs="Arial"/>
          <w:kern w:val="1"/>
          <w:sz w:val="20"/>
          <w:szCs w:val="20"/>
          <w:shd w:val="clear" w:color="auto" w:fill="FFFFFF"/>
        </w:rPr>
        <w:t>D</w:t>
      </w:r>
      <w:r w:rsidR="00BC1A4B" w:rsidRPr="00D41F68">
        <w:rPr>
          <w:rFonts w:ascii="Arial" w:eastAsia="Andale Sans UI" w:hAnsi="Arial" w:cs="Arial"/>
          <w:kern w:val="1"/>
          <w:sz w:val="20"/>
          <w:szCs w:val="20"/>
          <w:shd w:val="clear" w:color="auto" w:fill="FFFFFF"/>
        </w:rPr>
        <w:t xml:space="preserve">) </w:t>
      </w:r>
      <w:r w:rsidRPr="00D41F68">
        <w:rPr>
          <w:rFonts w:ascii="Arial" w:eastAsia="Andale Sans UI" w:hAnsi="Arial" w:cs="Arial"/>
          <w:kern w:val="1"/>
          <w:sz w:val="20"/>
          <w:szCs w:val="20"/>
          <w:shd w:val="clear" w:color="auto" w:fill="FFFFFF"/>
        </w:rPr>
        <w:t>when compared to control rats. Tubular necrosis was characterized by loss of lining epithelium and presence of eosinophilic tissue debris in tubular lumen</w:t>
      </w:r>
      <w:r w:rsidR="00F31885" w:rsidRPr="00D41F68">
        <w:rPr>
          <w:rFonts w:ascii="Arial" w:eastAsia="Andale Sans UI" w:hAnsi="Arial" w:cs="Arial"/>
          <w:kern w:val="1"/>
          <w:sz w:val="20"/>
          <w:szCs w:val="20"/>
          <w:shd w:val="clear" w:color="auto" w:fill="FFFFFF"/>
        </w:rPr>
        <w:t xml:space="preserve"> (Fig. 2D)</w:t>
      </w:r>
      <w:r w:rsidRPr="00D41F68">
        <w:rPr>
          <w:rFonts w:ascii="Arial" w:eastAsia="Andale Sans UI" w:hAnsi="Arial" w:cs="Arial"/>
          <w:kern w:val="1"/>
          <w:sz w:val="20"/>
          <w:szCs w:val="20"/>
          <w:shd w:val="clear" w:color="auto" w:fill="FFFFFF"/>
        </w:rPr>
        <w:t xml:space="preserve"> and </w:t>
      </w:r>
      <w:r w:rsidR="00422C4F" w:rsidRPr="00D41F68">
        <w:rPr>
          <w:rFonts w:ascii="Arial" w:eastAsia="Andale Sans UI" w:hAnsi="Arial" w:cs="Arial"/>
          <w:kern w:val="1"/>
          <w:sz w:val="20"/>
          <w:szCs w:val="20"/>
          <w:shd w:val="clear" w:color="auto" w:fill="FFFFFF"/>
        </w:rPr>
        <w:t>was noted in</w:t>
      </w:r>
      <w:r w:rsidRPr="00D41F68">
        <w:rPr>
          <w:rFonts w:ascii="Arial" w:eastAsia="Andale Sans UI" w:hAnsi="Arial" w:cs="Arial"/>
          <w:kern w:val="1"/>
          <w:sz w:val="20"/>
          <w:szCs w:val="20"/>
          <w:shd w:val="clear" w:color="auto" w:fill="FFFFFF"/>
        </w:rPr>
        <w:t xml:space="preserve"> 2/5 female rats. Proteinaceous material in tubular lumen</w:t>
      </w:r>
      <w:r w:rsidR="00F31885" w:rsidRPr="00D41F68">
        <w:rPr>
          <w:rFonts w:ascii="Arial" w:eastAsia="Andale Sans UI" w:hAnsi="Arial" w:cs="Arial"/>
          <w:kern w:val="1"/>
          <w:sz w:val="20"/>
          <w:szCs w:val="20"/>
          <w:shd w:val="clear" w:color="auto" w:fill="FFFFFF"/>
        </w:rPr>
        <w:t xml:space="preserve"> (Fig. 2E)</w:t>
      </w:r>
      <w:r w:rsidRPr="00D41F68">
        <w:rPr>
          <w:rFonts w:ascii="Arial" w:eastAsia="Andale Sans UI" w:hAnsi="Arial" w:cs="Arial"/>
          <w:kern w:val="1"/>
          <w:sz w:val="20"/>
          <w:szCs w:val="20"/>
          <w:shd w:val="clear" w:color="auto" w:fill="FFFFFF"/>
        </w:rPr>
        <w:t xml:space="preserve">, congestion and tubular necrosis were also observed in kidney of Group IV (IND+ VIT-C) rats. </w:t>
      </w:r>
    </w:p>
    <w:p w14:paraId="24AE8108" w14:textId="77777777" w:rsidR="00BA5784" w:rsidRPr="00D41F68" w:rsidRDefault="00BA5784" w:rsidP="00D41F68">
      <w:pPr>
        <w:spacing w:line="480" w:lineRule="auto"/>
        <w:jc w:val="both"/>
        <w:rPr>
          <w:rFonts w:ascii="Arial" w:eastAsia="Andale Sans UI" w:hAnsi="Arial" w:cs="Arial"/>
          <w:kern w:val="1"/>
          <w:sz w:val="20"/>
          <w:szCs w:val="20"/>
          <w:shd w:val="clear" w:color="auto" w:fill="FFFFFF"/>
        </w:rPr>
      </w:pPr>
      <w:r w:rsidRPr="00D41F68">
        <w:rPr>
          <w:rFonts w:ascii="Arial" w:eastAsia="Andale Sans UI" w:hAnsi="Arial" w:cs="Arial"/>
          <w:kern w:val="1"/>
          <w:sz w:val="20"/>
          <w:szCs w:val="20"/>
          <w:shd w:val="clear" w:color="auto" w:fill="FFFFFF"/>
        </w:rPr>
        <w:t xml:space="preserve">In spleen, Group II (IND) female rats showed severe depletion of white pulp, diffuse extramedullary </w:t>
      </w:r>
      <w:proofErr w:type="spellStart"/>
      <w:r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(erythroid </w:t>
      </w:r>
      <w:proofErr w:type="spellStart"/>
      <w:r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with marked </w:t>
      </w:r>
      <w:proofErr w:type="spellStart"/>
      <w:r w:rsidRPr="00D41F68">
        <w:rPr>
          <w:rFonts w:ascii="Arial" w:eastAsia="Andale Sans UI" w:hAnsi="Arial" w:cs="Arial"/>
          <w:kern w:val="1"/>
          <w:sz w:val="20"/>
          <w:szCs w:val="20"/>
          <w:shd w:val="clear" w:color="auto" w:fill="FFFFFF"/>
        </w:rPr>
        <w:t>megakaryocytosis</w:t>
      </w:r>
      <w:proofErr w:type="spellEnd"/>
      <w:r w:rsidR="00962B7B" w:rsidRPr="00D41F68">
        <w:rPr>
          <w:rFonts w:ascii="Arial" w:eastAsia="Andale Sans UI" w:hAnsi="Arial" w:cs="Arial"/>
          <w:kern w:val="1"/>
          <w:sz w:val="20"/>
          <w:szCs w:val="20"/>
          <w:shd w:val="clear" w:color="auto" w:fill="FFFFFF"/>
        </w:rPr>
        <w:t xml:space="preserve"> (Fig. 2F)</w:t>
      </w:r>
      <w:r w:rsidRPr="00D41F68">
        <w:rPr>
          <w:rFonts w:ascii="Arial" w:eastAsia="Andale Sans UI" w:hAnsi="Arial" w:cs="Arial"/>
          <w:kern w:val="1"/>
          <w:sz w:val="20"/>
          <w:szCs w:val="20"/>
          <w:shd w:val="clear" w:color="auto" w:fill="FFFFFF"/>
        </w:rPr>
        <w:t xml:space="preserve"> and presence of golden yellow </w:t>
      </w:r>
      <w:proofErr w:type="spellStart"/>
      <w:r w:rsidRPr="00D41F68">
        <w:rPr>
          <w:rFonts w:ascii="Arial" w:eastAsia="Andale Sans UI" w:hAnsi="Arial" w:cs="Arial"/>
          <w:kern w:val="1"/>
          <w:sz w:val="20"/>
          <w:szCs w:val="20"/>
          <w:shd w:val="clear" w:color="auto" w:fill="FFFFFF"/>
        </w:rPr>
        <w:t>colored</w:t>
      </w:r>
      <w:proofErr w:type="spellEnd"/>
      <w:r w:rsidRPr="00D41F68">
        <w:rPr>
          <w:rFonts w:ascii="Arial" w:eastAsia="Andale Sans UI" w:hAnsi="Arial" w:cs="Arial"/>
          <w:kern w:val="1"/>
          <w:sz w:val="20"/>
          <w:szCs w:val="20"/>
          <w:shd w:val="clear" w:color="auto" w:fill="FFFFFF"/>
        </w:rPr>
        <w:t xml:space="preserve"> hemosiderin pigments. Protective effects were seen in vitamin C supplemented Group IV rats which revealed minimal to moderate </w:t>
      </w:r>
      <w:r w:rsidR="00527E95" w:rsidRPr="00D41F68">
        <w:rPr>
          <w:rFonts w:ascii="Arial" w:eastAsia="Andale Sans UI" w:hAnsi="Arial" w:cs="Arial"/>
          <w:kern w:val="1"/>
          <w:sz w:val="20"/>
          <w:szCs w:val="20"/>
          <w:shd w:val="clear" w:color="auto" w:fill="FFFFFF"/>
        </w:rPr>
        <w:t>depletion of white pulp</w:t>
      </w:r>
      <w:r w:rsidR="00DC597B" w:rsidRPr="00D41F68">
        <w:rPr>
          <w:rFonts w:ascii="Arial" w:eastAsia="Andale Sans UI" w:hAnsi="Arial" w:cs="Arial"/>
          <w:kern w:val="1"/>
          <w:sz w:val="20"/>
          <w:szCs w:val="20"/>
          <w:shd w:val="clear" w:color="auto" w:fill="FFFFFF"/>
        </w:rPr>
        <w:t xml:space="preserve"> (Fig. 2G)</w:t>
      </w:r>
      <w:r w:rsidR="00527E95" w:rsidRPr="00D41F68">
        <w:rPr>
          <w:rFonts w:ascii="Arial" w:eastAsia="Andale Sans UI" w:hAnsi="Arial" w:cs="Arial"/>
          <w:kern w:val="1"/>
          <w:sz w:val="20"/>
          <w:szCs w:val="20"/>
          <w:shd w:val="clear" w:color="auto" w:fill="FFFFFF"/>
        </w:rPr>
        <w:t xml:space="preserve">, diffuse extramedullary </w:t>
      </w:r>
      <w:proofErr w:type="spellStart"/>
      <w:r w:rsidR="00527E95" w:rsidRPr="00D41F68">
        <w:rPr>
          <w:rFonts w:ascii="Arial" w:eastAsia="Andale Sans UI" w:hAnsi="Arial" w:cs="Arial"/>
          <w:kern w:val="1"/>
          <w:sz w:val="20"/>
          <w:szCs w:val="20"/>
          <w:shd w:val="clear" w:color="auto" w:fill="FFFFFF"/>
        </w:rPr>
        <w:t>hematopoiesis</w:t>
      </w:r>
      <w:proofErr w:type="spellEnd"/>
      <w:r w:rsidRPr="00D41F68">
        <w:rPr>
          <w:rFonts w:ascii="Arial" w:eastAsia="Andale Sans UI" w:hAnsi="Arial" w:cs="Arial"/>
          <w:kern w:val="1"/>
          <w:sz w:val="20"/>
          <w:szCs w:val="20"/>
          <w:shd w:val="clear" w:color="auto" w:fill="FFFFFF"/>
        </w:rPr>
        <w:t xml:space="preserve">.  In addition to this, Indoxacarb dosage caused mild to moderate </w:t>
      </w:r>
      <w:proofErr w:type="spellStart"/>
      <w:r w:rsidRPr="00D41F68">
        <w:rPr>
          <w:rFonts w:ascii="Arial" w:eastAsia="Andale Sans UI" w:hAnsi="Arial" w:cs="Arial"/>
          <w:kern w:val="1"/>
          <w:sz w:val="20"/>
          <w:szCs w:val="20"/>
          <w:shd w:val="clear" w:color="auto" w:fill="FFFFFF"/>
        </w:rPr>
        <w:t>orthokeratotitc</w:t>
      </w:r>
      <w:proofErr w:type="spellEnd"/>
      <w:r w:rsidRPr="00D41F68">
        <w:rPr>
          <w:rFonts w:ascii="Arial" w:eastAsia="Andale Sans UI" w:hAnsi="Arial" w:cs="Arial"/>
          <w:kern w:val="1"/>
          <w:sz w:val="20"/>
          <w:szCs w:val="20"/>
          <w:shd w:val="clear" w:color="auto" w:fill="FFFFFF"/>
        </w:rPr>
        <w:t xml:space="preserve"> hyperkeratosis with prominent keratohyalin granules and minimal infiltration of inflammatory cells in non-glandular stomach</w:t>
      </w:r>
      <w:r w:rsidR="00DC597B" w:rsidRPr="00D41F68">
        <w:rPr>
          <w:rFonts w:ascii="Arial" w:eastAsia="Andale Sans UI" w:hAnsi="Arial" w:cs="Arial"/>
          <w:kern w:val="1"/>
          <w:sz w:val="20"/>
          <w:szCs w:val="20"/>
          <w:shd w:val="clear" w:color="auto" w:fill="FFFFFF"/>
        </w:rPr>
        <w:t xml:space="preserve"> of Group II (IND) </w:t>
      </w:r>
      <w:r w:rsidRPr="00D41F68">
        <w:rPr>
          <w:rFonts w:ascii="Arial" w:eastAsia="Andale Sans UI" w:hAnsi="Arial" w:cs="Arial"/>
          <w:kern w:val="1"/>
          <w:sz w:val="20"/>
          <w:szCs w:val="20"/>
          <w:shd w:val="clear" w:color="auto" w:fill="FFFFFF"/>
        </w:rPr>
        <w:t xml:space="preserve">rats, as well as Group IV (IND+ VIT-C) rats with less severity than Group II in comparison to Group I and III. Hyperkeratosis was noted in 3/5 female rats treated with indoxacarb. Microscopic lesions in lung of rats fed indoxacarb composed of severe oedema, moderate alveolar congestion and infiltration of inflammatory cells. In brain of Group II and IV rats, minimal haemorrhage, congestion, multifocal infiltration of mononuclear cells and </w:t>
      </w:r>
      <w:r w:rsidRPr="00D41F68">
        <w:rPr>
          <w:rFonts w:ascii="Arial" w:eastAsia="Andale Sans UI" w:hAnsi="Arial" w:cs="Arial"/>
          <w:kern w:val="1"/>
          <w:sz w:val="20"/>
          <w:szCs w:val="20"/>
          <w:shd w:val="clear" w:color="auto" w:fill="FFFFFF"/>
        </w:rPr>
        <w:lastRenderedPageBreak/>
        <w:t xml:space="preserve">subcapsular haemorrhage were noted. Minimal haemorrhage, congestion and mononuclear cell infiltrates were also observed in heart of Group II and IV rats. Histological impairment was ameliorated in groups with indoxacarb by the co-treatment with vitamin C. </w:t>
      </w:r>
    </w:p>
    <w:p w14:paraId="5598CBD9" w14:textId="77777777" w:rsidR="00237E49" w:rsidRPr="006F74FE" w:rsidRDefault="00A960D1" w:rsidP="001E4AD7">
      <w:pPr>
        <w:widowControl w:val="0"/>
        <w:suppressAutoHyphens/>
        <w:spacing w:after="0" w:line="480" w:lineRule="auto"/>
        <w:ind w:firstLine="720"/>
        <w:jc w:val="both"/>
        <w:rPr>
          <w:rFonts w:ascii="Times New Roman" w:eastAsiaTheme="minorEastAsia" w:hAnsi="Times New Roman" w:cs="Times New Roman"/>
          <w:sz w:val="24"/>
          <w:szCs w:val="24"/>
          <w:lang w:val="en-US"/>
        </w:rPr>
      </w:pPr>
      <w:r w:rsidRPr="006F74FE">
        <w:rPr>
          <w:rFonts w:ascii="Times New Roman" w:eastAsiaTheme="minorEastAsia" w:hAnsi="Times New Roman" w:cs="Times New Roman"/>
          <w:noProof/>
          <w:sz w:val="24"/>
          <w:szCs w:val="24"/>
          <w:lang w:val="en-US" w:bidi="gu-IN"/>
        </w:rPr>
        <w:lastRenderedPageBreak/>
        <w:drawing>
          <wp:inline distT="0" distB="0" distL="0" distR="0" wp14:anchorId="7ABB8C6D" wp14:editId="08071E66">
            <wp:extent cx="4830000" cy="9000000"/>
            <wp:effectExtent l="19050" t="0" r="8700" b="0"/>
            <wp:docPr id="16" name="Picture 7" descr="E:\jasmi Personal\papar_for_publication\Publication\Sent for publication\Parth Indoxacarb\Hi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asmi Personal\papar_for_publication\Publication\Sent for publication\Parth Indoxacarb\Histo.jpg"/>
                    <pic:cNvPicPr>
                      <a:picLocks noChangeAspect="1" noChangeArrowheads="1"/>
                    </pic:cNvPicPr>
                  </pic:nvPicPr>
                  <pic:blipFill>
                    <a:blip r:embed="rId13" cstate="print"/>
                    <a:srcRect l="8378" t="421" r="23806" b="10299"/>
                    <a:stretch>
                      <a:fillRect/>
                    </a:stretch>
                  </pic:blipFill>
                  <pic:spPr bwMode="auto">
                    <a:xfrm>
                      <a:off x="0" y="0"/>
                      <a:ext cx="4830000" cy="9000000"/>
                    </a:xfrm>
                    <a:prstGeom prst="rect">
                      <a:avLst/>
                    </a:prstGeom>
                    <a:noFill/>
                    <a:ln w="9525">
                      <a:noFill/>
                      <a:miter lim="800000"/>
                      <a:headEnd/>
                      <a:tailEnd/>
                    </a:ln>
                  </pic:spPr>
                </pic:pic>
              </a:graphicData>
            </a:graphic>
          </wp:inline>
        </w:drawing>
      </w:r>
    </w:p>
    <w:p w14:paraId="61D129A8" w14:textId="77777777" w:rsidR="001B1DFE" w:rsidRPr="00D41F68" w:rsidRDefault="00103EDD" w:rsidP="00D41F68">
      <w:pPr>
        <w:widowControl w:val="0"/>
        <w:suppressAutoHyphens/>
        <w:spacing w:after="0" w:line="240" w:lineRule="auto"/>
        <w:jc w:val="both"/>
        <w:rPr>
          <w:rFonts w:ascii="Arial" w:eastAsia="Andale Sans UI" w:hAnsi="Arial" w:cs="Arial"/>
          <w:kern w:val="1"/>
          <w:sz w:val="20"/>
          <w:szCs w:val="20"/>
        </w:rPr>
      </w:pPr>
      <w:r w:rsidRPr="00D41F68">
        <w:rPr>
          <w:rFonts w:ascii="Arial" w:eastAsia="Andale Sans UI" w:hAnsi="Arial" w:cs="Arial"/>
          <w:b/>
          <w:bCs/>
          <w:kern w:val="1"/>
          <w:sz w:val="20"/>
          <w:szCs w:val="20"/>
        </w:rPr>
        <w:lastRenderedPageBreak/>
        <w:t>Fig.2</w:t>
      </w:r>
      <w:r w:rsidR="00673B84"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673B84" w:rsidRPr="00D41F68">
        <w:rPr>
          <w:rFonts w:ascii="Arial" w:eastAsia="Andale Sans UI" w:hAnsi="Arial" w:cs="Arial"/>
          <w:kern w:val="1"/>
          <w:sz w:val="20"/>
          <w:szCs w:val="20"/>
        </w:rPr>
        <w:t>A</w:t>
      </w:r>
      <w:r w:rsidR="00F15CD3" w:rsidRPr="00D41F68">
        <w:rPr>
          <w:rFonts w:ascii="Arial" w:eastAsia="Andale Sans UI" w:hAnsi="Arial" w:cs="Arial"/>
          <w:kern w:val="1"/>
          <w:sz w:val="20"/>
          <w:szCs w:val="20"/>
        </w:rPr>
        <w:t>)</w:t>
      </w:r>
      <w:r w:rsidR="00673B84" w:rsidRPr="00D41F68">
        <w:rPr>
          <w:rFonts w:ascii="Arial" w:eastAsia="Andale Sans UI" w:hAnsi="Arial" w:cs="Arial"/>
          <w:kern w:val="1"/>
          <w:sz w:val="20"/>
          <w:szCs w:val="20"/>
        </w:rPr>
        <w:t>.</w:t>
      </w:r>
      <w:r w:rsidR="005A3088" w:rsidRPr="00D41F68">
        <w:rPr>
          <w:rFonts w:ascii="Arial" w:eastAsia="Andale Sans UI" w:hAnsi="Arial" w:cs="Arial"/>
          <w:kern w:val="1"/>
          <w:sz w:val="20"/>
          <w:szCs w:val="20"/>
        </w:rPr>
        <w:t xml:space="preserve"> </w:t>
      </w:r>
      <w:r w:rsidR="00673B84" w:rsidRPr="00D41F68">
        <w:rPr>
          <w:rFonts w:ascii="Arial" w:eastAsia="Andale Sans UI" w:hAnsi="Arial" w:cs="Arial"/>
          <w:kern w:val="1"/>
          <w:sz w:val="20"/>
          <w:szCs w:val="20"/>
        </w:rPr>
        <w:t>Group I. Liver showing minimal infiltration of inflammatory cells. H &amp; E 100X</w:t>
      </w:r>
      <w:r w:rsidR="00C02257"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B</w:t>
      </w:r>
      <w:r w:rsidR="00F15CD3"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 xml:space="preserve">. </w:t>
      </w:r>
      <w:r w:rsidR="001955B0" w:rsidRPr="00D41F68">
        <w:rPr>
          <w:rFonts w:ascii="Arial" w:eastAsia="Andale Sans UI" w:hAnsi="Arial" w:cs="Arial"/>
          <w:kern w:val="1"/>
          <w:sz w:val="20"/>
          <w:szCs w:val="20"/>
        </w:rPr>
        <w:t>Group II</w:t>
      </w:r>
      <w:r w:rsidR="00C02257" w:rsidRPr="00D41F68">
        <w:rPr>
          <w:rFonts w:ascii="Arial" w:eastAsia="Andale Sans UI" w:hAnsi="Arial" w:cs="Arial"/>
          <w:kern w:val="1"/>
          <w:sz w:val="20"/>
          <w:szCs w:val="20"/>
        </w:rPr>
        <w:t>. Liver showing focal infiltration of mononuclear cells</w:t>
      </w:r>
      <w:r w:rsidR="001955B0" w:rsidRPr="00D41F68">
        <w:rPr>
          <w:rFonts w:ascii="Arial" w:eastAsia="Andale Sans UI" w:hAnsi="Arial" w:cs="Arial"/>
          <w:kern w:val="1"/>
          <w:sz w:val="20"/>
          <w:szCs w:val="20"/>
        </w:rPr>
        <w:t xml:space="preserve"> (</w:t>
      </w:r>
      <w:r w:rsidR="009308C6" w:rsidRPr="00D41F68">
        <w:rPr>
          <w:rFonts w:ascii="Arial" w:eastAsia="Andale Sans UI" w:hAnsi="Arial" w:cs="Arial"/>
          <w:kern w:val="1"/>
          <w:sz w:val="20"/>
          <w:szCs w:val="20"/>
        </w:rPr>
        <w:t>asterisk</w:t>
      </w:r>
      <w:r w:rsidR="001955B0" w:rsidRPr="00D41F68">
        <w:rPr>
          <w:rFonts w:ascii="Arial" w:eastAsia="Andale Sans UI" w:hAnsi="Arial" w:cs="Arial"/>
          <w:kern w:val="1"/>
          <w:sz w:val="20"/>
          <w:szCs w:val="20"/>
        </w:rPr>
        <w:t>)</w:t>
      </w:r>
      <w:r w:rsidR="00C02257" w:rsidRPr="00D41F68">
        <w:rPr>
          <w:rFonts w:ascii="Arial" w:eastAsia="Andale Sans UI" w:hAnsi="Arial" w:cs="Arial"/>
          <w:kern w:val="1"/>
          <w:sz w:val="20"/>
          <w:szCs w:val="20"/>
        </w:rPr>
        <w:t xml:space="preserve"> with bile duct hyperplasia and portal vein congestion. H &amp; E 200X</w:t>
      </w:r>
      <w:r w:rsidR="000752A8" w:rsidRPr="00D41F68">
        <w:rPr>
          <w:rFonts w:ascii="Arial" w:eastAsia="Andale Sans UI" w:hAnsi="Arial" w:cs="Arial"/>
          <w:kern w:val="1"/>
          <w:sz w:val="20"/>
          <w:szCs w:val="20"/>
        </w:rPr>
        <w:t xml:space="preserve">. </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C</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 xml:space="preserve">. Group IV. Liver showing multifocal vacuolation </w:t>
      </w:r>
      <w:r w:rsidR="001659F9" w:rsidRPr="00D41F68">
        <w:rPr>
          <w:rFonts w:ascii="Arial" w:eastAsia="Andale Sans UI" w:hAnsi="Arial" w:cs="Arial"/>
          <w:kern w:val="1"/>
          <w:sz w:val="20"/>
          <w:szCs w:val="20"/>
        </w:rPr>
        <w:t xml:space="preserve">(asterisk) </w:t>
      </w:r>
      <w:r w:rsidR="000752A8" w:rsidRPr="00D41F68">
        <w:rPr>
          <w:rFonts w:ascii="Arial" w:eastAsia="Andale Sans UI" w:hAnsi="Arial" w:cs="Arial"/>
          <w:kern w:val="1"/>
          <w:sz w:val="20"/>
          <w:szCs w:val="20"/>
        </w:rPr>
        <w:t>with minimal sinusoidal dilatation</w:t>
      </w:r>
      <w:r w:rsidR="001659F9" w:rsidRPr="00D41F68">
        <w:rPr>
          <w:rFonts w:ascii="Arial" w:eastAsia="Andale Sans UI" w:hAnsi="Arial" w:cs="Arial"/>
          <w:kern w:val="1"/>
          <w:sz w:val="20"/>
          <w:szCs w:val="20"/>
        </w:rPr>
        <w:t xml:space="preserve">. </w:t>
      </w:r>
      <w:r w:rsidR="000752A8" w:rsidRPr="00D41F68">
        <w:rPr>
          <w:rFonts w:ascii="Arial" w:eastAsia="Andale Sans UI" w:hAnsi="Arial" w:cs="Arial"/>
          <w:kern w:val="1"/>
          <w:sz w:val="20"/>
          <w:szCs w:val="20"/>
        </w:rPr>
        <w:t xml:space="preserve">H &amp; E 200X. </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D</w:t>
      </w:r>
      <w:r w:rsidR="00F15CD3" w:rsidRPr="00D41F68">
        <w:rPr>
          <w:rFonts w:ascii="Arial" w:eastAsia="Andale Sans UI" w:hAnsi="Arial" w:cs="Arial"/>
          <w:kern w:val="1"/>
          <w:sz w:val="20"/>
          <w:szCs w:val="20"/>
        </w:rPr>
        <w:t>)</w:t>
      </w:r>
      <w:r w:rsidR="000752A8" w:rsidRPr="00D41F68">
        <w:rPr>
          <w:rFonts w:ascii="Arial" w:eastAsia="Andale Sans UI" w:hAnsi="Arial" w:cs="Arial"/>
          <w:kern w:val="1"/>
          <w:sz w:val="20"/>
          <w:szCs w:val="20"/>
        </w:rPr>
        <w:t>. Group II. Kidney showing congestion and tubular necrosis with loss of lining epithelium and presence of eosinophilic tissue debris</w:t>
      </w:r>
      <w:r w:rsidR="008D28F2" w:rsidRPr="00D41F68">
        <w:rPr>
          <w:rFonts w:ascii="Arial" w:eastAsia="Andale Sans UI" w:hAnsi="Arial" w:cs="Arial"/>
          <w:kern w:val="1"/>
          <w:sz w:val="20"/>
          <w:szCs w:val="20"/>
        </w:rPr>
        <w:t xml:space="preserve"> (arrow)</w:t>
      </w:r>
      <w:r w:rsidR="000752A8" w:rsidRPr="00D41F68">
        <w:rPr>
          <w:rFonts w:ascii="Arial" w:eastAsia="Andale Sans UI" w:hAnsi="Arial" w:cs="Arial"/>
          <w:kern w:val="1"/>
          <w:sz w:val="20"/>
          <w:szCs w:val="20"/>
        </w:rPr>
        <w:t xml:space="preserve"> in tubular lumen. H &amp; E 200X</w:t>
      </w:r>
      <w:r w:rsidR="00170FF2" w:rsidRPr="00D41F68">
        <w:rPr>
          <w:rFonts w:ascii="Arial" w:eastAsia="Andale Sans UI" w:hAnsi="Arial" w:cs="Arial"/>
          <w:kern w:val="1"/>
          <w:sz w:val="20"/>
          <w:szCs w:val="20"/>
        </w:rPr>
        <w:t>. (E). Group IV. Kidney showing proteinaceous material</w:t>
      </w:r>
      <w:r w:rsidR="00C830EF" w:rsidRPr="00D41F68">
        <w:rPr>
          <w:rFonts w:ascii="Arial" w:eastAsia="Andale Sans UI" w:hAnsi="Arial" w:cs="Arial"/>
          <w:kern w:val="1"/>
          <w:sz w:val="20"/>
          <w:szCs w:val="20"/>
        </w:rPr>
        <w:t>s (arrow)</w:t>
      </w:r>
      <w:r w:rsidR="00170FF2" w:rsidRPr="00D41F68">
        <w:rPr>
          <w:rFonts w:ascii="Arial" w:eastAsia="Andale Sans UI" w:hAnsi="Arial" w:cs="Arial"/>
          <w:kern w:val="1"/>
          <w:sz w:val="20"/>
          <w:szCs w:val="20"/>
        </w:rPr>
        <w:t xml:space="preserve"> in tubular lumen. H &amp; E 200X</w:t>
      </w:r>
      <w:r w:rsidR="00C830EF" w:rsidRPr="00D41F68">
        <w:rPr>
          <w:rFonts w:ascii="Arial" w:eastAsia="Andale Sans UI" w:hAnsi="Arial" w:cs="Arial"/>
          <w:kern w:val="1"/>
          <w:sz w:val="20"/>
          <w:szCs w:val="20"/>
        </w:rPr>
        <w:t xml:space="preserve">. (F). Group II. Spleen showing diffuse extramedullary </w:t>
      </w:r>
      <w:proofErr w:type="spellStart"/>
      <w:r w:rsidR="00C830EF" w:rsidRPr="00D41F68">
        <w:rPr>
          <w:rFonts w:ascii="Arial" w:eastAsia="Andale Sans UI" w:hAnsi="Arial" w:cs="Arial"/>
          <w:kern w:val="1"/>
          <w:sz w:val="20"/>
          <w:szCs w:val="20"/>
        </w:rPr>
        <w:t>hematopoiesis</w:t>
      </w:r>
      <w:proofErr w:type="spellEnd"/>
      <w:r w:rsidR="00C830EF" w:rsidRPr="00D41F68">
        <w:rPr>
          <w:rFonts w:ascii="Arial" w:eastAsia="Andale Sans UI" w:hAnsi="Arial" w:cs="Arial"/>
          <w:kern w:val="1"/>
          <w:sz w:val="20"/>
          <w:szCs w:val="20"/>
        </w:rPr>
        <w:t xml:space="preserve"> with marked </w:t>
      </w:r>
      <w:proofErr w:type="spellStart"/>
      <w:r w:rsidR="00C830EF" w:rsidRPr="00D41F68">
        <w:rPr>
          <w:rFonts w:ascii="Arial" w:eastAsia="Andale Sans UI" w:hAnsi="Arial" w:cs="Arial"/>
          <w:kern w:val="1"/>
          <w:sz w:val="20"/>
          <w:szCs w:val="20"/>
        </w:rPr>
        <w:t>megakaryocytosis</w:t>
      </w:r>
      <w:proofErr w:type="spellEnd"/>
      <w:r w:rsidR="00C830EF" w:rsidRPr="00D41F68">
        <w:rPr>
          <w:rFonts w:ascii="Arial" w:eastAsia="Andale Sans UI" w:hAnsi="Arial" w:cs="Arial"/>
          <w:kern w:val="1"/>
          <w:sz w:val="20"/>
          <w:szCs w:val="20"/>
        </w:rPr>
        <w:t xml:space="preserve"> and presence of golden yellow </w:t>
      </w:r>
      <w:proofErr w:type="spellStart"/>
      <w:r w:rsidR="00C830EF" w:rsidRPr="00D41F68">
        <w:rPr>
          <w:rFonts w:ascii="Arial" w:eastAsia="Andale Sans UI" w:hAnsi="Arial" w:cs="Arial"/>
          <w:kern w:val="1"/>
          <w:sz w:val="20"/>
          <w:szCs w:val="20"/>
        </w:rPr>
        <w:t>colored</w:t>
      </w:r>
      <w:proofErr w:type="spellEnd"/>
      <w:r w:rsidR="00C830EF" w:rsidRPr="00D41F68">
        <w:rPr>
          <w:rFonts w:ascii="Arial" w:eastAsia="Andale Sans UI" w:hAnsi="Arial" w:cs="Arial"/>
          <w:kern w:val="1"/>
          <w:sz w:val="20"/>
          <w:szCs w:val="20"/>
        </w:rPr>
        <w:t xml:space="preserve"> hemosiderin pigments. H &amp; E 200X</w:t>
      </w:r>
      <w:r w:rsidR="00D51F44" w:rsidRPr="00D41F68">
        <w:rPr>
          <w:rFonts w:ascii="Arial" w:eastAsia="Andale Sans UI" w:hAnsi="Arial" w:cs="Arial"/>
          <w:kern w:val="1"/>
          <w:sz w:val="20"/>
          <w:szCs w:val="20"/>
        </w:rPr>
        <w:t xml:space="preserve">. (G). Group IV. Spleen showing depletion of white pulp, presence of golden yellow </w:t>
      </w:r>
      <w:proofErr w:type="spellStart"/>
      <w:r w:rsidR="00D51F44" w:rsidRPr="00D41F68">
        <w:rPr>
          <w:rFonts w:ascii="Arial" w:eastAsia="Andale Sans UI" w:hAnsi="Arial" w:cs="Arial"/>
          <w:kern w:val="1"/>
          <w:sz w:val="20"/>
          <w:szCs w:val="20"/>
        </w:rPr>
        <w:t>colored</w:t>
      </w:r>
      <w:proofErr w:type="spellEnd"/>
      <w:r w:rsidR="00D51F44" w:rsidRPr="00D41F68">
        <w:rPr>
          <w:rFonts w:ascii="Arial" w:eastAsia="Andale Sans UI" w:hAnsi="Arial" w:cs="Arial"/>
          <w:kern w:val="1"/>
          <w:sz w:val="20"/>
          <w:szCs w:val="20"/>
        </w:rPr>
        <w:t xml:space="preserve"> hemosiderin pigments and presence of numerous basophilic islands of erythropoiesis in red pulp. H &amp; E 100X</w:t>
      </w:r>
      <w:r w:rsidR="001B1DFE" w:rsidRPr="00D41F68">
        <w:rPr>
          <w:rFonts w:ascii="Arial" w:eastAsia="Andale Sans UI" w:hAnsi="Arial" w:cs="Arial"/>
          <w:kern w:val="1"/>
          <w:sz w:val="20"/>
          <w:szCs w:val="20"/>
        </w:rPr>
        <w:t xml:space="preserve">. (H). Group II.  Non glandular stomach showing marked </w:t>
      </w:r>
      <w:proofErr w:type="spellStart"/>
      <w:r w:rsidR="001B1DFE" w:rsidRPr="00D41F68">
        <w:rPr>
          <w:rFonts w:ascii="Arial" w:eastAsia="Andale Sans UI" w:hAnsi="Arial" w:cs="Arial"/>
          <w:kern w:val="1"/>
          <w:sz w:val="20"/>
          <w:szCs w:val="20"/>
        </w:rPr>
        <w:t>orthokeratotitc</w:t>
      </w:r>
      <w:proofErr w:type="spellEnd"/>
      <w:r w:rsidR="001B1DFE" w:rsidRPr="00D41F68">
        <w:rPr>
          <w:rFonts w:ascii="Arial" w:eastAsia="Andale Sans UI" w:hAnsi="Arial" w:cs="Arial"/>
          <w:kern w:val="1"/>
          <w:sz w:val="20"/>
          <w:szCs w:val="20"/>
        </w:rPr>
        <w:t xml:space="preserve"> hyperkeratosis (asterisk) and prominent keratohyalin granules. H &amp; E 200X</w:t>
      </w:r>
      <w:r w:rsidR="00F87585" w:rsidRPr="00D41F68">
        <w:rPr>
          <w:rFonts w:ascii="Arial" w:eastAsia="Andale Sans UI" w:hAnsi="Arial" w:cs="Arial"/>
          <w:kern w:val="1"/>
          <w:sz w:val="20"/>
          <w:szCs w:val="20"/>
        </w:rPr>
        <w:t xml:space="preserve">. </w:t>
      </w:r>
      <w:r w:rsidR="001B1DFE" w:rsidRPr="00D41F68">
        <w:rPr>
          <w:rFonts w:ascii="Arial" w:eastAsia="Andale Sans UI" w:hAnsi="Arial" w:cs="Arial"/>
          <w:kern w:val="1"/>
          <w:sz w:val="20"/>
          <w:szCs w:val="20"/>
        </w:rPr>
        <w:t xml:space="preserve"> </w:t>
      </w:r>
      <w:r w:rsidR="00F87585" w:rsidRPr="00D41F68">
        <w:rPr>
          <w:rFonts w:ascii="Arial" w:eastAsia="Andale Sans UI" w:hAnsi="Arial" w:cs="Arial"/>
          <w:kern w:val="1"/>
          <w:sz w:val="20"/>
          <w:szCs w:val="20"/>
        </w:rPr>
        <w:t>(I)</w:t>
      </w:r>
      <w:r w:rsidR="007E6573" w:rsidRPr="00D41F68">
        <w:rPr>
          <w:rFonts w:ascii="Arial" w:eastAsia="Andale Sans UI" w:hAnsi="Arial" w:cs="Arial"/>
          <w:kern w:val="1"/>
          <w:sz w:val="20"/>
          <w:szCs w:val="20"/>
        </w:rPr>
        <w:t xml:space="preserve"> Group III. </w:t>
      </w:r>
      <w:r w:rsidR="009322FC" w:rsidRPr="00D41F68">
        <w:rPr>
          <w:rFonts w:ascii="Arial" w:eastAsia="Andale Sans UI" w:hAnsi="Arial" w:cs="Arial"/>
          <w:kern w:val="1"/>
          <w:sz w:val="20"/>
          <w:szCs w:val="20"/>
        </w:rPr>
        <w:t>Non glandular stomach showing normal stratified squamous epithelium with thin keratin layer</w:t>
      </w:r>
      <w:r w:rsidR="00E12FB6" w:rsidRPr="00D41F68">
        <w:rPr>
          <w:rFonts w:ascii="Arial" w:eastAsia="Andale Sans UI" w:hAnsi="Arial" w:cs="Arial"/>
          <w:kern w:val="1"/>
          <w:sz w:val="20"/>
          <w:szCs w:val="20"/>
        </w:rPr>
        <w:t xml:space="preserve"> (asterisk)</w:t>
      </w:r>
      <w:r w:rsidR="009322FC" w:rsidRPr="00D41F68">
        <w:rPr>
          <w:rFonts w:ascii="Arial" w:eastAsia="Andale Sans UI" w:hAnsi="Arial" w:cs="Arial"/>
          <w:kern w:val="1"/>
          <w:sz w:val="20"/>
          <w:szCs w:val="20"/>
        </w:rPr>
        <w:t>. H &amp; E 200X</w:t>
      </w:r>
      <w:r w:rsidR="00E12FB6" w:rsidRPr="00D41F68">
        <w:rPr>
          <w:rFonts w:ascii="Arial" w:eastAsia="Andale Sans UI" w:hAnsi="Arial" w:cs="Arial"/>
          <w:kern w:val="1"/>
          <w:sz w:val="20"/>
          <w:szCs w:val="20"/>
        </w:rPr>
        <w:t xml:space="preserve">.  </w:t>
      </w:r>
      <w:r w:rsidR="00F87585" w:rsidRPr="00D41F68">
        <w:rPr>
          <w:rFonts w:ascii="Arial" w:eastAsia="Andale Sans UI" w:hAnsi="Arial" w:cs="Arial"/>
          <w:kern w:val="1"/>
          <w:sz w:val="20"/>
          <w:szCs w:val="20"/>
        </w:rPr>
        <w:t xml:space="preserve">(J). </w:t>
      </w:r>
      <w:r w:rsidR="001B1DFE" w:rsidRPr="00D41F68">
        <w:rPr>
          <w:rFonts w:ascii="Arial" w:eastAsia="Andale Sans UI" w:hAnsi="Arial" w:cs="Arial"/>
          <w:kern w:val="1"/>
          <w:sz w:val="20"/>
          <w:szCs w:val="20"/>
        </w:rPr>
        <w:t xml:space="preserve">Group IV. Non glandular stomach showing </w:t>
      </w:r>
      <w:proofErr w:type="spellStart"/>
      <w:r w:rsidR="001B1DFE" w:rsidRPr="00D41F68">
        <w:rPr>
          <w:rFonts w:ascii="Arial" w:eastAsia="Andale Sans UI" w:hAnsi="Arial" w:cs="Arial"/>
          <w:kern w:val="1"/>
          <w:sz w:val="20"/>
          <w:szCs w:val="20"/>
        </w:rPr>
        <w:t>orthokeratotitc</w:t>
      </w:r>
      <w:proofErr w:type="spellEnd"/>
      <w:r w:rsidR="001B1DFE" w:rsidRPr="00D41F68">
        <w:rPr>
          <w:rFonts w:ascii="Arial" w:eastAsia="Andale Sans UI" w:hAnsi="Arial" w:cs="Arial"/>
          <w:kern w:val="1"/>
          <w:sz w:val="20"/>
          <w:szCs w:val="20"/>
        </w:rPr>
        <w:t xml:space="preserve"> hyperkeratosis</w:t>
      </w:r>
      <w:r w:rsidR="00F87585" w:rsidRPr="00D41F68">
        <w:rPr>
          <w:rFonts w:ascii="Arial" w:eastAsia="Andale Sans UI" w:hAnsi="Arial" w:cs="Arial"/>
          <w:kern w:val="1"/>
          <w:sz w:val="20"/>
          <w:szCs w:val="20"/>
        </w:rPr>
        <w:t xml:space="preserve"> (asterisk) </w:t>
      </w:r>
      <w:r w:rsidR="001B1DFE" w:rsidRPr="00D41F68">
        <w:rPr>
          <w:rFonts w:ascii="Arial" w:eastAsia="Andale Sans UI" w:hAnsi="Arial" w:cs="Arial"/>
          <w:kern w:val="1"/>
          <w:sz w:val="20"/>
          <w:szCs w:val="20"/>
        </w:rPr>
        <w:t>and prominent keratohyalin granules. H &amp; E 200X.</w:t>
      </w:r>
    </w:p>
    <w:p w14:paraId="30380C77" w14:textId="77777777" w:rsidR="005A3088" w:rsidRPr="00D41F68" w:rsidRDefault="005A3088" w:rsidP="00D41F68">
      <w:pPr>
        <w:pStyle w:val="ListParagraph"/>
        <w:widowControl w:val="0"/>
        <w:numPr>
          <w:ilvl w:val="0"/>
          <w:numId w:val="8"/>
        </w:numPr>
        <w:suppressAutoHyphens/>
        <w:spacing w:before="240" w:after="0" w:line="480" w:lineRule="auto"/>
        <w:jc w:val="both"/>
        <w:rPr>
          <w:rFonts w:ascii="Arial" w:eastAsia="Times New Roman" w:hAnsi="Arial" w:cs="Arial"/>
          <w:b/>
          <w:caps/>
          <w:szCs w:val="20"/>
          <w:lang w:val="en-US"/>
        </w:rPr>
      </w:pPr>
      <w:r w:rsidRPr="00D41F68">
        <w:rPr>
          <w:rFonts w:ascii="Arial" w:eastAsia="Times New Roman" w:hAnsi="Arial" w:cs="Arial"/>
          <w:b/>
          <w:caps/>
          <w:szCs w:val="20"/>
          <w:lang w:val="en-US"/>
        </w:rPr>
        <w:t>DISCUSSION</w:t>
      </w:r>
    </w:p>
    <w:p w14:paraId="7143036D" w14:textId="77777777" w:rsidR="007448B2" w:rsidRPr="00D41F68" w:rsidRDefault="00CC1057" w:rsidP="003718EB">
      <w:pPr>
        <w:widowControl w:val="0"/>
        <w:suppressAutoHyphens/>
        <w:spacing w:after="0" w:line="240" w:lineRule="auto"/>
        <w:ind w:firstLine="720"/>
        <w:jc w:val="both"/>
        <w:rPr>
          <w:rFonts w:ascii="Arial" w:eastAsia="Andale Sans UI" w:hAnsi="Arial" w:cs="Arial"/>
          <w:kern w:val="1"/>
          <w:sz w:val="20"/>
          <w:szCs w:val="20"/>
        </w:rPr>
      </w:pPr>
      <w:commentRangeStart w:id="5"/>
      <w:r w:rsidRPr="00D41F68">
        <w:rPr>
          <w:rFonts w:ascii="Arial" w:eastAsia="Andale Sans UI" w:hAnsi="Arial" w:cs="Arial"/>
          <w:kern w:val="1"/>
          <w:sz w:val="20"/>
          <w:szCs w:val="20"/>
        </w:rPr>
        <w:t>T</w:t>
      </w:r>
      <w:r w:rsidR="007448B2" w:rsidRPr="00D41F68">
        <w:rPr>
          <w:rFonts w:ascii="Arial" w:eastAsia="Andale Sans UI" w:hAnsi="Arial" w:cs="Arial"/>
          <w:kern w:val="1"/>
          <w:sz w:val="20"/>
          <w:szCs w:val="20"/>
        </w:rPr>
        <w:t xml:space="preserve">he </w:t>
      </w:r>
      <w:r w:rsidR="004D0D1D" w:rsidRPr="00D41F68">
        <w:rPr>
          <w:rFonts w:ascii="Arial" w:eastAsia="Andale Sans UI" w:hAnsi="Arial" w:cs="Arial"/>
          <w:kern w:val="1"/>
          <w:sz w:val="20"/>
          <w:szCs w:val="20"/>
        </w:rPr>
        <w:t>aim</w:t>
      </w:r>
      <w:r w:rsidR="007448B2" w:rsidRPr="00D41F68">
        <w:rPr>
          <w:rFonts w:ascii="Arial" w:eastAsia="Andale Sans UI" w:hAnsi="Arial" w:cs="Arial"/>
          <w:kern w:val="1"/>
          <w:sz w:val="20"/>
          <w:szCs w:val="20"/>
        </w:rPr>
        <w:t xml:space="preserve"> of this study is to determine the protective </w:t>
      </w:r>
      <w:r w:rsidR="004D0D1D" w:rsidRPr="00D41F68">
        <w:rPr>
          <w:rFonts w:ascii="Arial" w:eastAsia="Andale Sans UI" w:hAnsi="Arial" w:cs="Arial"/>
          <w:kern w:val="1"/>
          <w:sz w:val="20"/>
          <w:szCs w:val="20"/>
        </w:rPr>
        <w:t>role</w:t>
      </w:r>
      <w:r w:rsidR="007448B2" w:rsidRPr="00D41F68">
        <w:rPr>
          <w:rFonts w:ascii="Arial" w:eastAsia="Andale Sans UI" w:hAnsi="Arial" w:cs="Arial"/>
          <w:kern w:val="1"/>
          <w:sz w:val="20"/>
          <w:szCs w:val="20"/>
        </w:rPr>
        <w:t xml:space="preserve"> of Vitamin C against indoxacarb-</w:t>
      </w:r>
      <w:r w:rsidR="004D0D1D" w:rsidRPr="00D41F68">
        <w:rPr>
          <w:rFonts w:ascii="Arial" w:eastAsia="Andale Sans UI" w:hAnsi="Arial" w:cs="Arial"/>
          <w:kern w:val="1"/>
          <w:sz w:val="20"/>
          <w:szCs w:val="20"/>
        </w:rPr>
        <w:t xml:space="preserve">induced alterations in </w:t>
      </w:r>
      <w:r w:rsidR="00204261" w:rsidRPr="00D41F68">
        <w:rPr>
          <w:rFonts w:ascii="Arial" w:eastAsia="Andale Sans UI" w:hAnsi="Arial" w:cs="Arial"/>
          <w:kern w:val="1"/>
          <w:sz w:val="20"/>
          <w:szCs w:val="20"/>
        </w:rPr>
        <w:t>enzyme activities</w:t>
      </w:r>
      <w:r w:rsidR="007448B2" w:rsidRPr="00D41F68">
        <w:rPr>
          <w:rFonts w:ascii="Arial" w:eastAsia="Andale Sans UI" w:hAnsi="Arial" w:cs="Arial"/>
          <w:kern w:val="1"/>
          <w:sz w:val="20"/>
          <w:szCs w:val="20"/>
        </w:rPr>
        <w:t>, oxidative stress, and impairment of the antioxidant defence mechanism in rats</w:t>
      </w:r>
      <w:r w:rsidRPr="00D41F68">
        <w:rPr>
          <w:rFonts w:ascii="Arial" w:eastAsia="Andale Sans UI" w:hAnsi="Arial" w:cs="Arial"/>
          <w:kern w:val="1"/>
          <w:sz w:val="20"/>
          <w:szCs w:val="20"/>
        </w:rPr>
        <w:t xml:space="preserve"> in the light of </w:t>
      </w:r>
      <w:proofErr w:type="spellStart"/>
      <w:r w:rsidRPr="00D41F68">
        <w:rPr>
          <w:rFonts w:ascii="Arial" w:eastAsia="Andale Sans UI" w:hAnsi="Arial" w:cs="Arial"/>
          <w:kern w:val="1"/>
          <w:sz w:val="20"/>
          <w:szCs w:val="20"/>
        </w:rPr>
        <w:t>hemato</w:t>
      </w:r>
      <w:proofErr w:type="spellEnd"/>
      <w:r w:rsidRPr="00D41F68">
        <w:rPr>
          <w:rFonts w:ascii="Arial" w:eastAsia="Andale Sans UI" w:hAnsi="Arial" w:cs="Arial"/>
          <w:kern w:val="1"/>
          <w:sz w:val="20"/>
          <w:szCs w:val="20"/>
        </w:rPr>
        <w:t>-biochemic</w:t>
      </w:r>
      <w:r w:rsidR="00B639B6" w:rsidRPr="00D41F68">
        <w:rPr>
          <w:rFonts w:ascii="Arial" w:eastAsia="Andale Sans UI" w:hAnsi="Arial" w:cs="Arial"/>
          <w:kern w:val="1"/>
          <w:sz w:val="20"/>
          <w:szCs w:val="20"/>
        </w:rPr>
        <w:t>al and histological assessments</w:t>
      </w:r>
      <w:r w:rsidR="007448B2" w:rsidRPr="00D41F68">
        <w:rPr>
          <w:rFonts w:ascii="Arial" w:eastAsia="Andale Sans UI" w:hAnsi="Arial" w:cs="Arial"/>
          <w:kern w:val="1"/>
          <w:sz w:val="20"/>
          <w:szCs w:val="20"/>
        </w:rPr>
        <w:t>.</w:t>
      </w:r>
      <w:commentRangeEnd w:id="5"/>
      <w:r w:rsidR="009C359E">
        <w:rPr>
          <w:rStyle w:val="CommentReference"/>
        </w:rPr>
        <w:commentReference w:id="5"/>
      </w:r>
    </w:p>
    <w:p w14:paraId="32E75067" w14:textId="77777777" w:rsidR="003C2FA0"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Almost similar clinical signs </w:t>
      </w:r>
      <w:r w:rsidR="00B639B6" w:rsidRPr="00D41F68">
        <w:rPr>
          <w:rFonts w:ascii="Arial" w:eastAsia="Andale Sans UI" w:hAnsi="Arial" w:cs="Arial"/>
          <w:kern w:val="1"/>
          <w:sz w:val="20"/>
          <w:szCs w:val="20"/>
        </w:rPr>
        <w:t xml:space="preserve">such as reduced </w:t>
      </w:r>
      <w:r w:rsidRPr="00D41F68">
        <w:rPr>
          <w:rFonts w:ascii="Arial" w:eastAsia="Andale Sans UI" w:hAnsi="Arial" w:cs="Arial"/>
          <w:kern w:val="1"/>
          <w:sz w:val="20"/>
          <w:szCs w:val="20"/>
        </w:rPr>
        <w:t xml:space="preserve">food intake, dehydration, weakness, mild diarrhoea, weight loss, tremor, rolling and head tilt observed in this study was also reported by </w:t>
      </w:r>
      <w:r w:rsidR="007150AD" w:rsidRPr="00D41F68">
        <w:rPr>
          <w:rFonts w:ascii="Arial" w:eastAsia="Andale Sans UI" w:hAnsi="Arial" w:cs="Arial"/>
          <w:kern w:val="1"/>
          <w:sz w:val="20"/>
          <w:szCs w:val="20"/>
        </w:rPr>
        <w:t>earlier</w:t>
      </w:r>
      <w:r w:rsidRPr="00D41F68">
        <w:rPr>
          <w:rFonts w:ascii="Arial" w:eastAsia="Andale Sans UI" w:hAnsi="Arial" w:cs="Arial"/>
          <w:kern w:val="1"/>
          <w:sz w:val="20"/>
          <w:szCs w:val="20"/>
        </w:rPr>
        <w:t xml:space="preserve"> researchers</w:t>
      </w:r>
      <w:r w:rsidR="00EC5470" w:rsidRPr="00D41F68">
        <w:rPr>
          <w:rFonts w:ascii="Arial" w:eastAsia="Andale Sans UI" w:hAnsi="Arial" w:cs="Arial"/>
          <w:kern w:val="1"/>
          <w:sz w:val="20"/>
          <w:szCs w:val="20"/>
        </w:rPr>
        <w:t xml:space="preserve"> </w:t>
      </w:r>
      <w:r w:rsidR="009C4E19" w:rsidRPr="00D41F68">
        <w:rPr>
          <w:rFonts w:ascii="Arial" w:eastAsia="Andale Sans UI" w:hAnsi="Arial" w:cs="Arial"/>
          <w:kern w:val="1"/>
          <w:sz w:val="20"/>
          <w:szCs w:val="20"/>
        </w:rPr>
        <w:t xml:space="preserve">(Malek, 1997 and </w:t>
      </w:r>
      <w:r w:rsidR="00EC5470" w:rsidRPr="00D41F68">
        <w:rPr>
          <w:rFonts w:ascii="Arial" w:eastAsia="Andale Sans UI" w:hAnsi="Arial" w:cs="Arial"/>
          <w:kern w:val="1"/>
          <w:sz w:val="20"/>
          <w:szCs w:val="20"/>
        </w:rPr>
        <w:t>Mabrouk et al.</w:t>
      </w:r>
      <w:r w:rsidR="009C4E19" w:rsidRPr="00D41F68">
        <w:rPr>
          <w:rFonts w:ascii="Arial" w:eastAsia="Andale Sans UI" w:hAnsi="Arial" w:cs="Arial"/>
          <w:kern w:val="1"/>
          <w:sz w:val="20"/>
          <w:szCs w:val="20"/>
        </w:rPr>
        <w:t> </w:t>
      </w:r>
      <w:r w:rsidR="00EC5470" w:rsidRPr="00D41F68">
        <w:rPr>
          <w:rFonts w:ascii="Arial" w:eastAsia="Andale Sans UI" w:hAnsi="Arial" w:cs="Arial"/>
          <w:kern w:val="1"/>
          <w:sz w:val="20"/>
          <w:szCs w:val="20"/>
        </w:rPr>
        <w:t>2016)</w:t>
      </w:r>
      <w:r w:rsidRPr="00D41F68">
        <w:rPr>
          <w:rFonts w:ascii="Arial" w:eastAsia="Andale Sans UI" w:hAnsi="Arial" w:cs="Arial"/>
          <w:kern w:val="1"/>
          <w:sz w:val="20"/>
          <w:szCs w:val="20"/>
        </w:rPr>
        <w:t xml:space="preserve">. </w:t>
      </w:r>
    </w:p>
    <w:p w14:paraId="6F045728" w14:textId="77777777" w:rsidR="003C2FA0" w:rsidRPr="00D41F68" w:rsidRDefault="00394B60"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Body weight was significantly reduced in indoxacarb</w:t>
      </w:r>
      <w:r w:rsidR="003E7B6A" w:rsidRPr="00D41F68">
        <w:rPr>
          <w:rFonts w:ascii="Arial" w:eastAsia="Andale Sans UI" w:hAnsi="Arial" w:cs="Arial"/>
          <w:kern w:val="1"/>
          <w:sz w:val="20"/>
          <w:szCs w:val="20"/>
        </w:rPr>
        <w:t xml:space="preserve"> (Group II)</w:t>
      </w:r>
      <w:r w:rsidRPr="00D41F68">
        <w:rPr>
          <w:rFonts w:ascii="Arial" w:eastAsia="Andale Sans UI" w:hAnsi="Arial" w:cs="Arial"/>
          <w:kern w:val="1"/>
          <w:sz w:val="20"/>
          <w:szCs w:val="20"/>
        </w:rPr>
        <w:t xml:space="preserve"> administered rats </w:t>
      </w:r>
      <w:r w:rsidR="00FE5E16" w:rsidRPr="00D41F68">
        <w:rPr>
          <w:rFonts w:ascii="Arial" w:eastAsia="Andale Sans UI" w:hAnsi="Arial" w:cs="Arial"/>
          <w:kern w:val="1"/>
          <w:sz w:val="20"/>
          <w:szCs w:val="20"/>
        </w:rPr>
        <w:t xml:space="preserve">at 28th day </w:t>
      </w:r>
      <w:r w:rsidRPr="00D41F68">
        <w:rPr>
          <w:rFonts w:ascii="Arial" w:eastAsia="Andale Sans UI" w:hAnsi="Arial" w:cs="Arial"/>
          <w:kern w:val="1"/>
          <w:sz w:val="20"/>
          <w:szCs w:val="20"/>
        </w:rPr>
        <w:t xml:space="preserve">compared to </w:t>
      </w:r>
      <w:r w:rsidR="00FE5E16" w:rsidRPr="00D41F68">
        <w:rPr>
          <w:rFonts w:ascii="Arial" w:eastAsia="Andale Sans UI" w:hAnsi="Arial" w:cs="Arial"/>
          <w:kern w:val="1"/>
          <w:sz w:val="20"/>
          <w:szCs w:val="20"/>
        </w:rPr>
        <w:t>other groups</w:t>
      </w:r>
      <w:r w:rsidRPr="00D41F68">
        <w:rPr>
          <w:rFonts w:ascii="Arial" w:eastAsia="Andale Sans UI" w:hAnsi="Arial" w:cs="Arial"/>
          <w:kern w:val="1"/>
          <w:sz w:val="20"/>
          <w:szCs w:val="20"/>
        </w:rPr>
        <w:t xml:space="preserve">. This finding is in accordance with previous report by </w:t>
      </w:r>
      <w:proofErr w:type="spellStart"/>
      <w:r w:rsidRPr="00D41F68">
        <w:rPr>
          <w:rFonts w:ascii="Arial" w:eastAsia="Andale Sans UI" w:hAnsi="Arial" w:cs="Arial"/>
          <w:kern w:val="1"/>
          <w:sz w:val="20"/>
          <w:szCs w:val="20"/>
        </w:rPr>
        <w:t>Modh</w:t>
      </w:r>
      <w:proofErr w:type="spellEnd"/>
      <w:r w:rsidR="001E6489" w:rsidRPr="00D41F68">
        <w:rPr>
          <w:rFonts w:ascii="Arial" w:eastAsia="Andale Sans UI" w:hAnsi="Arial" w:cs="Arial"/>
          <w:kern w:val="1"/>
          <w:sz w:val="20"/>
          <w:szCs w:val="20"/>
        </w:rPr>
        <w:t xml:space="preserve"> (2020)</w:t>
      </w:r>
      <w:r w:rsidRPr="00D41F68">
        <w:rPr>
          <w:rFonts w:ascii="Arial" w:eastAsia="Andale Sans UI" w:hAnsi="Arial" w:cs="Arial"/>
          <w:kern w:val="1"/>
          <w:sz w:val="20"/>
          <w:szCs w:val="20"/>
        </w:rPr>
        <w:t xml:space="preserve">. </w:t>
      </w:r>
      <w:r w:rsidR="007150AD" w:rsidRPr="00D41F68">
        <w:rPr>
          <w:rFonts w:ascii="Arial" w:eastAsia="Andale Sans UI" w:hAnsi="Arial" w:cs="Arial"/>
          <w:kern w:val="1"/>
          <w:sz w:val="20"/>
          <w:szCs w:val="20"/>
        </w:rPr>
        <w:t>P</w:t>
      </w:r>
      <w:r w:rsidR="003C2FA0" w:rsidRPr="00D41F68">
        <w:rPr>
          <w:rFonts w:ascii="Arial" w:eastAsia="Andale Sans UI" w:hAnsi="Arial" w:cs="Arial"/>
          <w:kern w:val="1"/>
          <w:sz w:val="20"/>
          <w:szCs w:val="20"/>
        </w:rPr>
        <w:t xml:space="preserve">revious workers </w:t>
      </w:r>
      <w:r w:rsidR="006E0C4E" w:rsidRPr="00D41F68">
        <w:rPr>
          <w:rFonts w:ascii="Arial" w:eastAsia="Andale Sans UI" w:hAnsi="Arial" w:cs="Arial"/>
          <w:kern w:val="1"/>
          <w:sz w:val="20"/>
          <w:szCs w:val="20"/>
        </w:rPr>
        <w:t xml:space="preserve">also </w:t>
      </w:r>
      <w:r w:rsidR="003C2FA0" w:rsidRPr="00D41F68">
        <w:rPr>
          <w:rFonts w:ascii="Arial" w:eastAsia="Andale Sans UI" w:hAnsi="Arial" w:cs="Arial"/>
          <w:kern w:val="1"/>
          <w:sz w:val="20"/>
          <w:szCs w:val="20"/>
        </w:rPr>
        <w:t xml:space="preserve">found that indoxacarb treated male rats and mice showed a significant </w:t>
      </w:r>
      <w:r w:rsidR="006E0C4E" w:rsidRPr="00D41F68">
        <w:rPr>
          <w:rFonts w:ascii="Arial" w:eastAsia="Andale Sans UI" w:hAnsi="Arial" w:cs="Arial"/>
          <w:kern w:val="1"/>
          <w:sz w:val="20"/>
          <w:szCs w:val="20"/>
        </w:rPr>
        <w:t>reduction</w:t>
      </w:r>
      <w:r w:rsidR="003C2FA0" w:rsidRPr="00D41F68">
        <w:rPr>
          <w:rFonts w:ascii="Arial" w:eastAsia="Andale Sans UI" w:hAnsi="Arial" w:cs="Arial"/>
          <w:kern w:val="1"/>
          <w:sz w:val="20"/>
          <w:szCs w:val="20"/>
        </w:rPr>
        <w:t xml:space="preserve"> in body weight </w:t>
      </w:r>
      <w:proofErr w:type="spellStart"/>
      <w:r w:rsidR="003C2FA0" w:rsidRPr="00D41F68">
        <w:rPr>
          <w:rFonts w:ascii="Arial" w:eastAsia="Andale Sans UI" w:hAnsi="Arial" w:cs="Arial"/>
          <w:kern w:val="1"/>
          <w:sz w:val="20"/>
          <w:szCs w:val="20"/>
        </w:rPr>
        <w:t>growt</w:t>
      </w:r>
      <w:r w:rsidR="00B476A8" w:rsidRPr="00D41F68">
        <w:rPr>
          <w:rFonts w:ascii="Arial" w:eastAsia="Andale Sans UI" w:hAnsi="Arial" w:cs="Arial"/>
          <w:kern w:val="1"/>
          <w:sz w:val="20"/>
          <w:szCs w:val="20"/>
        </w:rPr>
        <w:t>s</w:t>
      </w:r>
      <w:r w:rsidR="003C2FA0" w:rsidRPr="00D41F68">
        <w:rPr>
          <w:rFonts w:ascii="Arial" w:eastAsia="Andale Sans UI" w:hAnsi="Arial" w:cs="Arial"/>
          <w:kern w:val="1"/>
          <w:sz w:val="20"/>
          <w:szCs w:val="20"/>
        </w:rPr>
        <w:t>h</w:t>
      </w:r>
      <w:proofErr w:type="spellEnd"/>
      <w:r w:rsidR="003C2FA0" w:rsidRPr="00D41F68">
        <w:rPr>
          <w:rFonts w:ascii="Arial" w:eastAsia="Andale Sans UI" w:hAnsi="Arial" w:cs="Arial"/>
          <w:kern w:val="1"/>
          <w:sz w:val="20"/>
          <w:szCs w:val="20"/>
        </w:rPr>
        <w:t xml:space="preserve"> (Shit et al., 2008</w:t>
      </w:r>
      <w:r w:rsidR="001D7FE1" w:rsidRPr="00D41F68">
        <w:rPr>
          <w:rFonts w:ascii="Arial" w:eastAsia="Andale Sans UI" w:hAnsi="Arial" w:cs="Arial"/>
          <w:kern w:val="1"/>
          <w:sz w:val="20"/>
          <w:szCs w:val="20"/>
        </w:rPr>
        <w:t>;</w:t>
      </w:r>
      <w:r w:rsidR="003C2FA0" w:rsidRPr="00D41F68">
        <w:rPr>
          <w:rFonts w:ascii="Arial" w:eastAsia="Andale Sans UI" w:hAnsi="Arial" w:cs="Arial"/>
          <w:kern w:val="1"/>
          <w:sz w:val="20"/>
          <w:szCs w:val="20"/>
        </w:rPr>
        <w:t xml:space="preserve"> Mabrouk et al., 2016).</w:t>
      </w:r>
      <w:r w:rsidR="007150AD" w:rsidRPr="00D41F68">
        <w:rPr>
          <w:rFonts w:ascii="Arial" w:eastAsia="Andale Sans UI" w:hAnsi="Arial" w:cs="Arial"/>
          <w:kern w:val="1"/>
          <w:sz w:val="20"/>
          <w:szCs w:val="20"/>
        </w:rPr>
        <w:t xml:space="preserve"> </w:t>
      </w:r>
    </w:p>
    <w:p w14:paraId="14908E46" w14:textId="77777777" w:rsidR="002C10DC"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proofErr w:type="spellStart"/>
      <w:r w:rsidRPr="00D41F68">
        <w:rPr>
          <w:rFonts w:ascii="Arial" w:eastAsia="Andale Sans UI" w:hAnsi="Arial" w:cs="Arial"/>
          <w:kern w:val="1"/>
          <w:sz w:val="20"/>
          <w:szCs w:val="20"/>
        </w:rPr>
        <w:t>Hematological</w:t>
      </w:r>
      <w:proofErr w:type="spellEnd"/>
      <w:r w:rsidRPr="00D41F68">
        <w:rPr>
          <w:rFonts w:ascii="Arial" w:eastAsia="Andale Sans UI" w:hAnsi="Arial" w:cs="Arial"/>
          <w:kern w:val="1"/>
          <w:sz w:val="20"/>
          <w:szCs w:val="20"/>
        </w:rPr>
        <w:t xml:space="preserve"> parameters like decrease in TEC, haemoglobin content and haematocrit as observed in the present study was in agreement with the findings of Mabrouk</w:t>
      </w:r>
      <w:r w:rsidR="00704DC3"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 xml:space="preserve">et al. </w:t>
      </w:r>
      <w:r w:rsidR="00704DC3" w:rsidRPr="00D41F68">
        <w:rPr>
          <w:rFonts w:ascii="Arial" w:eastAsia="Andale Sans UI" w:hAnsi="Arial" w:cs="Arial"/>
          <w:kern w:val="1"/>
          <w:sz w:val="20"/>
          <w:szCs w:val="20"/>
        </w:rPr>
        <w:t>(2016)</w:t>
      </w:r>
      <w:r w:rsidR="00205128" w:rsidRPr="00D41F68">
        <w:rPr>
          <w:rFonts w:ascii="Arial" w:eastAsia="Andale Sans UI" w:hAnsi="Arial" w:cs="Arial"/>
          <w:kern w:val="1"/>
          <w:sz w:val="20"/>
          <w:szCs w:val="20"/>
        </w:rPr>
        <w:t xml:space="preserve">, </w:t>
      </w:r>
      <w:proofErr w:type="spellStart"/>
      <w:r w:rsidR="00205128" w:rsidRPr="00D41F68">
        <w:rPr>
          <w:rFonts w:ascii="Arial" w:eastAsia="Andale Sans UI" w:hAnsi="Arial" w:cs="Arial"/>
          <w:kern w:val="1"/>
          <w:sz w:val="20"/>
          <w:szCs w:val="20"/>
        </w:rPr>
        <w:t>Abdelrasoul</w:t>
      </w:r>
      <w:proofErr w:type="spellEnd"/>
      <w:r w:rsidR="004F3608" w:rsidRPr="00D41F68">
        <w:rPr>
          <w:rFonts w:ascii="Arial" w:eastAsia="Andale Sans UI" w:hAnsi="Arial" w:cs="Arial"/>
          <w:kern w:val="1"/>
          <w:sz w:val="20"/>
          <w:szCs w:val="20"/>
        </w:rPr>
        <w:t xml:space="preserve"> </w:t>
      </w:r>
      <w:r w:rsidR="006F4AD5" w:rsidRPr="00D41F68">
        <w:rPr>
          <w:rFonts w:ascii="Arial" w:eastAsia="Andale Sans UI" w:hAnsi="Arial" w:cs="Arial"/>
          <w:kern w:val="1"/>
          <w:sz w:val="20"/>
          <w:szCs w:val="20"/>
        </w:rPr>
        <w:t xml:space="preserve">et al. </w:t>
      </w:r>
      <w:r w:rsidR="004F3608" w:rsidRPr="00D41F68">
        <w:rPr>
          <w:rFonts w:ascii="Arial" w:eastAsia="Andale Sans UI" w:hAnsi="Arial" w:cs="Arial"/>
          <w:kern w:val="1"/>
          <w:sz w:val="20"/>
          <w:szCs w:val="20"/>
        </w:rPr>
        <w:t>(201</w:t>
      </w:r>
      <w:r w:rsidR="00B77CA6" w:rsidRPr="00D41F68">
        <w:rPr>
          <w:rFonts w:ascii="Arial" w:eastAsia="Andale Sans UI" w:hAnsi="Arial" w:cs="Arial"/>
          <w:kern w:val="1"/>
          <w:sz w:val="20"/>
          <w:szCs w:val="20"/>
        </w:rPr>
        <w:t>8</w:t>
      </w:r>
      <w:r w:rsidR="004F3608" w:rsidRPr="00D41F68">
        <w:rPr>
          <w:rFonts w:ascii="Arial" w:eastAsia="Andale Sans UI" w:hAnsi="Arial" w:cs="Arial"/>
          <w:kern w:val="1"/>
          <w:sz w:val="20"/>
          <w:szCs w:val="20"/>
        </w:rPr>
        <w:t>)</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Koli</w:t>
      </w:r>
      <w:r w:rsidR="006F4AD5" w:rsidRPr="00D41F68">
        <w:rPr>
          <w:rFonts w:ascii="Arial" w:eastAsia="Andale Sans UI" w:hAnsi="Arial" w:cs="Arial"/>
          <w:kern w:val="1"/>
          <w:sz w:val="20"/>
          <w:szCs w:val="20"/>
        </w:rPr>
        <w:t xml:space="preserve"> et al. </w:t>
      </w:r>
      <w:r w:rsidR="004F3608" w:rsidRPr="00D41F68">
        <w:rPr>
          <w:rFonts w:ascii="Arial" w:eastAsia="Andale Sans UI" w:hAnsi="Arial" w:cs="Arial"/>
          <w:kern w:val="1"/>
          <w:sz w:val="20"/>
          <w:szCs w:val="20"/>
        </w:rPr>
        <w:t>(2019)</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and </w:t>
      </w:r>
      <w:proofErr w:type="spellStart"/>
      <w:r w:rsidRPr="00D41F68">
        <w:rPr>
          <w:rFonts w:ascii="Arial" w:eastAsia="Andale Sans UI" w:hAnsi="Arial" w:cs="Arial"/>
          <w:kern w:val="1"/>
          <w:sz w:val="20"/>
          <w:szCs w:val="20"/>
        </w:rPr>
        <w:t>Modh</w:t>
      </w:r>
      <w:proofErr w:type="spellEnd"/>
      <w:r w:rsidR="004F3608" w:rsidRPr="00D41F68">
        <w:rPr>
          <w:rFonts w:ascii="Arial" w:eastAsia="Andale Sans UI" w:hAnsi="Arial" w:cs="Arial"/>
          <w:kern w:val="1"/>
          <w:sz w:val="20"/>
          <w:szCs w:val="20"/>
        </w:rPr>
        <w:t xml:space="preserve"> (2020)</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The findings indicate that indoxacarb has a negative impact on blood cells. </w:t>
      </w:r>
      <w:r w:rsidR="00205128" w:rsidRPr="00D41F68">
        <w:rPr>
          <w:rFonts w:ascii="Arial" w:eastAsia="Andale Sans UI" w:hAnsi="Arial" w:cs="Arial"/>
          <w:kern w:val="1"/>
          <w:sz w:val="20"/>
          <w:szCs w:val="20"/>
        </w:rPr>
        <w:t>Malek</w:t>
      </w:r>
      <w:r w:rsidR="004F3608" w:rsidRPr="00D41F68">
        <w:rPr>
          <w:rFonts w:ascii="Arial" w:eastAsia="Andale Sans UI" w:hAnsi="Arial" w:cs="Arial"/>
          <w:kern w:val="1"/>
          <w:sz w:val="20"/>
          <w:szCs w:val="20"/>
        </w:rPr>
        <w:t xml:space="preserve"> (</w:t>
      </w:r>
      <w:r w:rsidR="002A1422" w:rsidRPr="00D41F68">
        <w:rPr>
          <w:rFonts w:ascii="Arial" w:eastAsia="Andale Sans UI" w:hAnsi="Arial" w:cs="Arial"/>
          <w:kern w:val="1"/>
          <w:sz w:val="20"/>
          <w:szCs w:val="20"/>
        </w:rPr>
        <w:t>1997</w:t>
      </w:r>
      <w:r w:rsidR="004F3608" w:rsidRPr="00D41F68">
        <w:rPr>
          <w:rFonts w:ascii="Arial" w:eastAsia="Andale Sans UI" w:hAnsi="Arial" w:cs="Arial"/>
          <w:kern w:val="1"/>
          <w:sz w:val="20"/>
          <w:szCs w:val="20"/>
        </w:rPr>
        <w:t>)</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observed significant reduction in mean values of RBC and Hb with increase in MCV and reticulocyte counts, suggestive of mild haemolytic anaemia. These effects could be due to adverse effects of insecticide on bone marrow or direct destruction of blood cells. The pre-treatment with vitamin C noticeably prevented the </w:t>
      </w:r>
      <w:r w:rsidR="00B223D5" w:rsidRPr="00D41F68">
        <w:rPr>
          <w:rFonts w:ascii="Arial" w:eastAsia="Andale Sans UI" w:hAnsi="Arial" w:cs="Arial"/>
          <w:kern w:val="1"/>
          <w:sz w:val="20"/>
          <w:szCs w:val="20"/>
        </w:rPr>
        <w:t xml:space="preserve">adverse </w:t>
      </w:r>
      <w:r w:rsidRPr="00D41F68">
        <w:rPr>
          <w:rFonts w:ascii="Arial" w:eastAsia="Andale Sans UI" w:hAnsi="Arial" w:cs="Arial"/>
          <w:kern w:val="1"/>
          <w:sz w:val="20"/>
          <w:szCs w:val="20"/>
        </w:rPr>
        <w:t>effect of indoxacarb on TEC, haemoglobin content and Haematocrit. However, in past studies due to indoxacarb toxicity, increased ALP, ALT, AST, BUN and creatinine levels</w:t>
      </w:r>
      <w:r w:rsidR="002A1422" w:rsidRPr="00D41F68">
        <w:rPr>
          <w:rFonts w:ascii="Arial" w:eastAsia="Andale Sans UI" w:hAnsi="Arial" w:cs="Arial"/>
          <w:kern w:val="1"/>
          <w:sz w:val="20"/>
          <w:szCs w:val="20"/>
        </w:rPr>
        <w:t xml:space="preserve"> </w:t>
      </w:r>
      <w:r w:rsidR="002643C2" w:rsidRPr="00D41F68">
        <w:rPr>
          <w:rFonts w:ascii="Arial" w:eastAsia="Andale Sans UI" w:hAnsi="Arial" w:cs="Arial"/>
          <w:kern w:val="1"/>
          <w:sz w:val="20"/>
          <w:szCs w:val="20"/>
        </w:rPr>
        <w:t>(</w:t>
      </w:r>
      <w:proofErr w:type="spellStart"/>
      <w:r w:rsidR="00B41219" w:rsidRPr="00D41F68">
        <w:rPr>
          <w:rFonts w:ascii="Arial" w:eastAsia="Andale Sans UI" w:hAnsi="Arial" w:cs="Arial"/>
          <w:kern w:val="1"/>
          <w:sz w:val="20"/>
          <w:szCs w:val="20"/>
        </w:rPr>
        <w:t>Thoker</w:t>
      </w:r>
      <w:proofErr w:type="spellEnd"/>
      <w:r w:rsidR="00B41219" w:rsidRPr="00D41F68">
        <w:rPr>
          <w:rFonts w:ascii="Arial" w:eastAsia="Andale Sans UI" w:hAnsi="Arial" w:cs="Arial"/>
          <w:kern w:val="1"/>
          <w:sz w:val="20"/>
          <w:szCs w:val="20"/>
        </w:rPr>
        <w:t xml:space="preserve">, </w:t>
      </w:r>
      <w:proofErr w:type="gramStart"/>
      <w:r w:rsidR="00B41219" w:rsidRPr="00D41F68">
        <w:rPr>
          <w:rFonts w:ascii="Arial" w:eastAsia="Andale Sans UI" w:hAnsi="Arial" w:cs="Arial"/>
          <w:kern w:val="1"/>
          <w:sz w:val="20"/>
          <w:szCs w:val="20"/>
        </w:rPr>
        <w:t xml:space="preserve">2017; </w:t>
      </w:r>
      <w:r w:rsidR="00D75DAD" w:rsidRPr="00D41F68">
        <w:rPr>
          <w:rFonts w:ascii="Arial" w:eastAsia="Andale Sans UI" w:hAnsi="Arial" w:cs="Arial"/>
          <w:kern w:val="1"/>
          <w:sz w:val="20"/>
          <w:szCs w:val="20"/>
        </w:rPr>
        <w:t xml:space="preserve"> </w:t>
      </w:r>
      <w:r w:rsidR="00B77CA6" w:rsidRPr="00D41F68">
        <w:rPr>
          <w:rFonts w:ascii="Arial" w:eastAsia="Andale Sans UI" w:hAnsi="Arial" w:cs="Arial"/>
          <w:kern w:val="1"/>
          <w:sz w:val="20"/>
          <w:szCs w:val="20"/>
        </w:rPr>
        <w:t>Koli</w:t>
      </w:r>
      <w:proofErr w:type="gramEnd"/>
      <w:r w:rsidR="00B77CA6" w:rsidRPr="00D41F68">
        <w:rPr>
          <w:rFonts w:ascii="Arial" w:eastAsia="Andale Sans UI" w:hAnsi="Arial" w:cs="Arial"/>
          <w:kern w:val="1"/>
          <w:sz w:val="20"/>
          <w:szCs w:val="20"/>
        </w:rPr>
        <w:t xml:space="preserve"> et al., </w:t>
      </w:r>
      <w:proofErr w:type="gramStart"/>
      <w:r w:rsidR="00B77CA6" w:rsidRPr="00D41F68">
        <w:rPr>
          <w:rFonts w:ascii="Arial" w:eastAsia="Andale Sans UI" w:hAnsi="Arial" w:cs="Arial"/>
          <w:kern w:val="1"/>
          <w:sz w:val="20"/>
          <w:szCs w:val="20"/>
        </w:rPr>
        <w:t xml:space="preserve">2019;  </w:t>
      </w:r>
      <w:proofErr w:type="spellStart"/>
      <w:r w:rsidR="002643C2" w:rsidRPr="00D41F68">
        <w:rPr>
          <w:rFonts w:ascii="Arial" w:eastAsia="Andale Sans UI" w:hAnsi="Arial" w:cs="Arial"/>
          <w:kern w:val="1"/>
          <w:sz w:val="20"/>
          <w:szCs w:val="20"/>
        </w:rPr>
        <w:t>Modh</w:t>
      </w:r>
      <w:proofErr w:type="spellEnd"/>
      <w:proofErr w:type="gramEnd"/>
      <w:r w:rsidR="002643C2" w:rsidRPr="00D41F68">
        <w:rPr>
          <w:rFonts w:ascii="Arial" w:eastAsia="Andale Sans UI" w:hAnsi="Arial" w:cs="Arial"/>
          <w:kern w:val="1"/>
          <w:sz w:val="20"/>
          <w:szCs w:val="20"/>
        </w:rPr>
        <w:t>, 2020)</w:t>
      </w:r>
      <w:r w:rsidR="00B77CA6"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and decreased in</w:t>
      </w:r>
      <w:r w:rsidR="00205128" w:rsidRPr="00D41F68">
        <w:rPr>
          <w:rFonts w:ascii="Arial" w:eastAsia="Andale Sans UI" w:hAnsi="Arial" w:cs="Arial"/>
          <w:kern w:val="1"/>
          <w:sz w:val="20"/>
          <w:szCs w:val="20"/>
        </w:rPr>
        <w:t xml:space="preserve"> total protein were reported </w:t>
      </w:r>
      <w:r w:rsidR="00B223D5" w:rsidRPr="00D41F68">
        <w:rPr>
          <w:rFonts w:ascii="Arial" w:eastAsia="Andale Sans UI" w:hAnsi="Arial" w:cs="Arial"/>
          <w:kern w:val="1"/>
          <w:sz w:val="20"/>
          <w:szCs w:val="20"/>
        </w:rPr>
        <w:t xml:space="preserve">by </w:t>
      </w:r>
      <w:r w:rsidRPr="00D41F68">
        <w:rPr>
          <w:rFonts w:ascii="Arial" w:eastAsia="Andale Sans UI" w:hAnsi="Arial" w:cs="Arial"/>
          <w:kern w:val="1"/>
          <w:sz w:val="20"/>
          <w:szCs w:val="20"/>
        </w:rPr>
        <w:t>Mabrouk</w:t>
      </w:r>
      <w:r w:rsidR="002A1422" w:rsidRPr="00D41F68">
        <w:rPr>
          <w:rFonts w:ascii="Arial" w:eastAsia="Andale Sans UI" w:hAnsi="Arial" w:cs="Arial"/>
          <w:kern w:val="1"/>
          <w:sz w:val="20"/>
          <w:szCs w:val="20"/>
        </w:rPr>
        <w:t xml:space="preserve"> (2016)</w:t>
      </w:r>
      <w:r w:rsidR="00205128" w:rsidRPr="00D41F68">
        <w:rPr>
          <w:rFonts w:ascii="Arial" w:eastAsia="Andale Sans UI" w:hAnsi="Arial" w:cs="Arial"/>
          <w:kern w:val="1"/>
          <w:sz w:val="20"/>
          <w:szCs w:val="20"/>
        </w:rPr>
        <w:t xml:space="preserve"> and </w:t>
      </w:r>
      <w:proofErr w:type="spellStart"/>
      <w:r w:rsidRPr="00D41F68">
        <w:rPr>
          <w:rFonts w:ascii="Arial" w:eastAsia="Andale Sans UI" w:hAnsi="Arial" w:cs="Arial"/>
          <w:kern w:val="1"/>
          <w:sz w:val="20"/>
          <w:szCs w:val="20"/>
        </w:rPr>
        <w:t>Abdelrasoul</w:t>
      </w:r>
      <w:proofErr w:type="spellEnd"/>
      <w:r w:rsidR="00D75DAD" w:rsidRPr="00D41F68">
        <w:rPr>
          <w:rFonts w:ascii="Arial" w:eastAsia="Andale Sans UI" w:hAnsi="Arial" w:cs="Arial"/>
          <w:kern w:val="1"/>
          <w:sz w:val="20"/>
          <w:szCs w:val="20"/>
        </w:rPr>
        <w:t xml:space="preserve"> (2018)</w:t>
      </w:r>
      <w:r w:rsidRPr="00D41F68">
        <w:rPr>
          <w:rFonts w:ascii="Arial" w:eastAsia="Andale Sans UI" w:hAnsi="Arial" w:cs="Arial"/>
          <w:kern w:val="1"/>
          <w:sz w:val="20"/>
          <w:szCs w:val="20"/>
        </w:rPr>
        <w:t>. Furthermore, according to Mabrouk</w:t>
      </w:r>
      <w:r w:rsidR="00D75DAD"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et al.</w:t>
      </w:r>
      <w:r w:rsidR="00D75DAD" w:rsidRPr="00D41F68">
        <w:rPr>
          <w:rFonts w:ascii="Arial" w:eastAsia="Andale Sans UI" w:hAnsi="Arial" w:cs="Arial"/>
          <w:kern w:val="1"/>
          <w:sz w:val="20"/>
          <w:szCs w:val="20"/>
        </w:rPr>
        <w:t xml:space="preserve"> </w:t>
      </w:r>
      <w:r w:rsidR="00E826C9" w:rsidRPr="00D41F68">
        <w:rPr>
          <w:rFonts w:ascii="Arial" w:eastAsia="Andale Sans UI" w:hAnsi="Arial" w:cs="Arial"/>
          <w:kern w:val="1"/>
          <w:sz w:val="20"/>
          <w:szCs w:val="20"/>
        </w:rPr>
        <w:t>(</w:t>
      </w:r>
      <w:r w:rsidR="00D75DAD" w:rsidRPr="00D41F68">
        <w:rPr>
          <w:rFonts w:ascii="Arial" w:eastAsia="Andale Sans UI" w:hAnsi="Arial" w:cs="Arial"/>
          <w:kern w:val="1"/>
          <w:sz w:val="20"/>
          <w:szCs w:val="20"/>
        </w:rPr>
        <w:t>2016)</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the total antioxidant status (TAS) is used to measure the overall antioxidant status of the body. Only one study reported an effect of indoxacarb on total antioxidant status, while few </w:t>
      </w:r>
      <w:r w:rsidR="00367797" w:rsidRPr="00D41F68">
        <w:rPr>
          <w:rFonts w:ascii="Arial" w:eastAsia="Andale Sans UI" w:hAnsi="Arial" w:cs="Arial"/>
          <w:kern w:val="1"/>
          <w:sz w:val="20"/>
          <w:szCs w:val="20"/>
        </w:rPr>
        <w:t xml:space="preserve">other </w:t>
      </w:r>
      <w:r w:rsidRPr="00D41F68">
        <w:rPr>
          <w:rFonts w:ascii="Arial" w:eastAsia="Andale Sans UI" w:hAnsi="Arial" w:cs="Arial"/>
          <w:kern w:val="1"/>
          <w:sz w:val="20"/>
          <w:szCs w:val="20"/>
        </w:rPr>
        <w:t xml:space="preserve">studies did find an effect of indoxacarb on other oxidative stress parameters.  In the current study, significantly (p&lt;0.05) elevated </w:t>
      </w:r>
      <w:r w:rsidR="000F52B7" w:rsidRPr="00D41F68">
        <w:rPr>
          <w:rFonts w:ascii="Arial" w:eastAsia="Andale Sans UI" w:hAnsi="Arial" w:cs="Arial"/>
          <w:kern w:val="1"/>
          <w:sz w:val="20"/>
          <w:szCs w:val="20"/>
        </w:rPr>
        <w:t xml:space="preserve">TAS </w:t>
      </w:r>
      <w:r w:rsidRPr="00D41F68">
        <w:rPr>
          <w:rFonts w:ascii="Arial" w:eastAsia="Andale Sans UI" w:hAnsi="Arial" w:cs="Arial"/>
          <w:kern w:val="1"/>
          <w:sz w:val="20"/>
          <w:szCs w:val="20"/>
        </w:rPr>
        <w:t>in rats treated with indoxacarb was coinc</w:t>
      </w:r>
      <w:r w:rsidR="00205128" w:rsidRPr="00D41F68">
        <w:rPr>
          <w:rFonts w:ascii="Arial" w:eastAsia="Andale Sans UI" w:hAnsi="Arial" w:cs="Arial"/>
          <w:kern w:val="1"/>
          <w:sz w:val="20"/>
          <w:szCs w:val="20"/>
        </w:rPr>
        <w:t xml:space="preserve">ided with finding of </w:t>
      </w:r>
      <w:proofErr w:type="spellStart"/>
      <w:r w:rsidR="00205128" w:rsidRPr="00D41F68">
        <w:rPr>
          <w:rFonts w:ascii="Arial" w:eastAsia="Andale Sans UI" w:hAnsi="Arial" w:cs="Arial"/>
          <w:kern w:val="1"/>
          <w:sz w:val="20"/>
          <w:szCs w:val="20"/>
        </w:rPr>
        <w:t>Modh</w:t>
      </w:r>
      <w:proofErr w:type="spellEnd"/>
      <w:r w:rsidR="0058516D" w:rsidRPr="00D41F68">
        <w:rPr>
          <w:rFonts w:ascii="Arial" w:eastAsia="Andale Sans UI" w:hAnsi="Arial" w:cs="Arial"/>
          <w:kern w:val="1"/>
          <w:sz w:val="20"/>
          <w:szCs w:val="20"/>
        </w:rPr>
        <w:t xml:space="preserve"> (2020)</w:t>
      </w:r>
      <w:r w:rsidRPr="00D41F68">
        <w:rPr>
          <w:rFonts w:ascii="Arial" w:eastAsia="Andale Sans UI" w:hAnsi="Arial" w:cs="Arial"/>
          <w:kern w:val="1"/>
          <w:sz w:val="20"/>
          <w:szCs w:val="20"/>
        </w:rPr>
        <w:t xml:space="preserve">. </w:t>
      </w:r>
      <w:r w:rsidR="0085105E" w:rsidRPr="00D41F68">
        <w:rPr>
          <w:rFonts w:ascii="Arial" w:eastAsia="Andale Sans UI" w:hAnsi="Arial" w:cs="Arial"/>
          <w:kern w:val="1"/>
          <w:sz w:val="20"/>
          <w:szCs w:val="20"/>
        </w:rPr>
        <w:t xml:space="preserve"> In mice, the values of superoxide dismutase, glutathione transferase, and catalase enzymes increased significantly, according to </w:t>
      </w:r>
      <w:proofErr w:type="spellStart"/>
      <w:r w:rsidR="0085105E" w:rsidRPr="00D41F68">
        <w:rPr>
          <w:rFonts w:ascii="Arial" w:eastAsia="Andale Sans UI" w:hAnsi="Arial" w:cs="Arial"/>
          <w:kern w:val="1"/>
          <w:sz w:val="20"/>
          <w:szCs w:val="20"/>
        </w:rPr>
        <w:t>Mudaraddi</w:t>
      </w:r>
      <w:proofErr w:type="spellEnd"/>
      <w:r w:rsidR="0085105E" w:rsidRPr="00D41F68">
        <w:rPr>
          <w:rFonts w:ascii="Arial" w:eastAsia="Andale Sans UI" w:hAnsi="Arial" w:cs="Arial"/>
          <w:kern w:val="1"/>
          <w:sz w:val="20"/>
          <w:szCs w:val="20"/>
        </w:rPr>
        <w:t xml:space="preserve"> et al. (2012) and </w:t>
      </w:r>
      <w:proofErr w:type="spellStart"/>
      <w:r w:rsidR="0085105E" w:rsidRPr="00D41F68">
        <w:rPr>
          <w:rFonts w:ascii="Arial" w:eastAsia="Andale Sans UI" w:hAnsi="Arial" w:cs="Arial"/>
          <w:kern w:val="1"/>
          <w:sz w:val="20"/>
          <w:szCs w:val="20"/>
        </w:rPr>
        <w:t>Thoker</w:t>
      </w:r>
      <w:proofErr w:type="spellEnd"/>
      <w:r w:rsidR="0085105E" w:rsidRPr="00D41F68">
        <w:rPr>
          <w:rFonts w:ascii="Arial" w:eastAsia="Andale Sans UI" w:hAnsi="Arial" w:cs="Arial"/>
          <w:kern w:val="1"/>
          <w:sz w:val="20"/>
          <w:szCs w:val="20"/>
        </w:rPr>
        <w:t xml:space="preserve"> (2017). The antioxidant system's role in countering the increased free radical load and, most likely, oxidative stress generated by indoxacarb toxicity in rats could be linked to the increase in the mean TAS of exposed rats.</w:t>
      </w:r>
      <w:r w:rsidR="0001051E"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Our findings support the concept that supplementing with vitamin C as an antioxidant reduces indoxacarb-induced toxicity in female rats. </w:t>
      </w:r>
    </w:p>
    <w:p w14:paraId="08AEC6E9" w14:textId="77777777" w:rsidR="005A3088" w:rsidRPr="00D41F68" w:rsidRDefault="005A3088"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Histopathological findings confirmed the aforementioned biochemical findings following repeated indoxacarb exposure. Co-treatment of indoxacarb with vitamin C helped </w:t>
      </w:r>
      <w:r w:rsidR="000347C3" w:rsidRPr="00D41F68">
        <w:rPr>
          <w:rFonts w:ascii="Arial" w:eastAsia="Andale Sans UI" w:hAnsi="Arial" w:cs="Arial"/>
          <w:kern w:val="1"/>
          <w:sz w:val="20"/>
          <w:szCs w:val="20"/>
        </w:rPr>
        <w:t>in the protection of</w:t>
      </w:r>
      <w:r w:rsidRPr="00D41F68">
        <w:rPr>
          <w:rFonts w:ascii="Arial" w:eastAsia="Andale Sans UI" w:hAnsi="Arial" w:cs="Arial"/>
          <w:kern w:val="1"/>
          <w:sz w:val="20"/>
          <w:szCs w:val="20"/>
        </w:rPr>
        <w:t xml:space="preserve"> the rats </w:t>
      </w:r>
      <w:r w:rsidR="000347C3" w:rsidRPr="00D41F68">
        <w:rPr>
          <w:rFonts w:ascii="Arial" w:eastAsia="Andale Sans UI" w:hAnsi="Arial" w:cs="Arial"/>
          <w:kern w:val="1"/>
          <w:sz w:val="20"/>
          <w:szCs w:val="20"/>
        </w:rPr>
        <w:t>from the</w:t>
      </w:r>
      <w:r w:rsidRPr="00D41F68">
        <w:rPr>
          <w:rFonts w:ascii="Arial" w:eastAsia="Andale Sans UI" w:hAnsi="Arial" w:cs="Arial"/>
          <w:kern w:val="1"/>
          <w:sz w:val="20"/>
          <w:szCs w:val="20"/>
        </w:rPr>
        <w:t xml:space="preserve"> </w:t>
      </w:r>
      <w:r w:rsidR="00532E3C" w:rsidRPr="00D41F68">
        <w:rPr>
          <w:rFonts w:ascii="Arial" w:eastAsia="Andale Sans UI" w:hAnsi="Arial" w:cs="Arial"/>
          <w:kern w:val="1"/>
          <w:sz w:val="20"/>
          <w:szCs w:val="20"/>
        </w:rPr>
        <w:t>harmful effect of</w:t>
      </w:r>
      <w:r w:rsidR="000347C3" w:rsidRPr="00D41F68">
        <w:rPr>
          <w:rFonts w:ascii="Arial" w:eastAsia="Andale Sans UI" w:hAnsi="Arial" w:cs="Arial"/>
          <w:kern w:val="1"/>
          <w:sz w:val="20"/>
          <w:szCs w:val="20"/>
        </w:rPr>
        <w:t xml:space="preserve"> indoxacarb</w:t>
      </w:r>
      <w:r w:rsidRPr="00D41F68">
        <w:rPr>
          <w:rFonts w:ascii="Arial" w:eastAsia="Andale Sans UI" w:hAnsi="Arial" w:cs="Arial"/>
          <w:kern w:val="1"/>
          <w:sz w:val="20"/>
          <w:szCs w:val="20"/>
        </w:rPr>
        <w:t xml:space="preserve">. Stomach of Group II and IV female rats was distended and filled with undigested feed materials as it may be occurred due to alteration in gastrointestinal tract motility. In the present study, microscopic lesions were found in spleen, stomach, kidney, lung and liver of female rats with indoxacarb which may attribute to indoxacarb toxic effect. Similar findings noted previously in liver, kidney by </w:t>
      </w:r>
      <w:r w:rsidR="002A549C" w:rsidRPr="00D41F68">
        <w:rPr>
          <w:rFonts w:ascii="Arial" w:eastAsia="Andale Sans UI" w:hAnsi="Arial" w:cs="Arial"/>
          <w:kern w:val="1"/>
          <w:sz w:val="20"/>
          <w:szCs w:val="20"/>
        </w:rPr>
        <w:t xml:space="preserve">Mabrouk et al. (2016), </w:t>
      </w:r>
      <w:proofErr w:type="spellStart"/>
      <w:r w:rsidR="002A549C" w:rsidRPr="00D41F68">
        <w:rPr>
          <w:rFonts w:ascii="Arial" w:eastAsia="Andale Sans UI" w:hAnsi="Arial" w:cs="Arial"/>
          <w:kern w:val="1"/>
          <w:sz w:val="20"/>
          <w:szCs w:val="20"/>
        </w:rPr>
        <w:t>Abdelrasoul</w:t>
      </w:r>
      <w:proofErr w:type="spellEnd"/>
      <w:r w:rsidR="002A549C" w:rsidRPr="00D41F68">
        <w:rPr>
          <w:rFonts w:ascii="Arial" w:eastAsia="Andale Sans UI" w:hAnsi="Arial" w:cs="Arial"/>
          <w:kern w:val="1"/>
          <w:sz w:val="20"/>
          <w:szCs w:val="20"/>
        </w:rPr>
        <w:t xml:space="preserve"> et al. (2018) and Koli et al. (2019) </w:t>
      </w:r>
      <w:r w:rsidRPr="00D41F68">
        <w:rPr>
          <w:rFonts w:ascii="Arial" w:eastAsia="Andale Sans UI" w:hAnsi="Arial" w:cs="Arial"/>
          <w:kern w:val="1"/>
          <w:sz w:val="20"/>
          <w:szCs w:val="20"/>
        </w:rPr>
        <w:t xml:space="preserve">in male mice and rats due to indoxacarb toxicity. </w:t>
      </w:r>
      <w:proofErr w:type="spellStart"/>
      <w:r w:rsidR="00205128" w:rsidRPr="00D41F68">
        <w:rPr>
          <w:rFonts w:ascii="Arial" w:eastAsia="Andale Sans UI" w:hAnsi="Arial" w:cs="Arial"/>
          <w:kern w:val="1"/>
          <w:sz w:val="20"/>
          <w:szCs w:val="20"/>
        </w:rPr>
        <w:t>Abdelrasoul</w:t>
      </w:r>
      <w:proofErr w:type="spellEnd"/>
      <w:r w:rsidR="002A549C" w:rsidRPr="00D41F68">
        <w:rPr>
          <w:rFonts w:ascii="Arial" w:eastAsia="Andale Sans UI" w:hAnsi="Arial" w:cs="Arial"/>
          <w:kern w:val="1"/>
          <w:sz w:val="20"/>
          <w:szCs w:val="20"/>
        </w:rPr>
        <w:t xml:space="preserve"> et al. (2018</w:t>
      </w:r>
      <w:proofErr w:type="gramStart"/>
      <w:r w:rsidR="002A549C" w:rsidRPr="00D41F68">
        <w:rPr>
          <w:rFonts w:ascii="Arial" w:eastAsia="Andale Sans UI" w:hAnsi="Arial" w:cs="Arial"/>
          <w:kern w:val="1"/>
          <w:sz w:val="20"/>
          <w:szCs w:val="20"/>
        </w:rPr>
        <w:t xml:space="preserve">) </w:t>
      </w:r>
      <w:r w:rsidR="00205128"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observed</w:t>
      </w:r>
      <w:proofErr w:type="gramEnd"/>
      <w:r w:rsidRPr="00D41F68">
        <w:rPr>
          <w:rFonts w:ascii="Arial" w:eastAsia="Andale Sans UI" w:hAnsi="Arial" w:cs="Arial"/>
          <w:kern w:val="1"/>
          <w:sz w:val="20"/>
          <w:szCs w:val="20"/>
        </w:rPr>
        <w:t xml:space="preserve"> necrosis, pyknosis of neurons, congestion of cerebral blood vessel and perivascular cuffing with mononuclear cells in male rats with indoxacarb and abamectin plus indoxacarb toxicity. In the current study, indoxacarb group female rats showed significant reduction </w:t>
      </w:r>
      <w:r w:rsidR="008617D3" w:rsidRPr="00D41F68">
        <w:rPr>
          <w:rFonts w:ascii="Arial" w:eastAsia="Andale Sans UI" w:hAnsi="Arial" w:cs="Arial"/>
          <w:kern w:val="1"/>
          <w:sz w:val="20"/>
          <w:szCs w:val="20"/>
        </w:rPr>
        <w:t xml:space="preserve">in body weight due to anorexia </w:t>
      </w:r>
      <w:r w:rsidRPr="00D41F68">
        <w:rPr>
          <w:rFonts w:ascii="Arial" w:eastAsia="Andale Sans UI" w:hAnsi="Arial" w:cs="Arial"/>
          <w:kern w:val="1"/>
          <w:sz w:val="20"/>
          <w:szCs w:val="20"/>
        </w:rPr>
        <w:t xml:space="preserve">as compared to control.  Hence probably anorexia caused by </w:t>
      </w:r>
      <w:proofErr w:type="spellStart"/>
      <w:r w:rsidRPr="00D41F68">
        <w:rPr>
          <w:rFonts w:ascii="Arial" w:eastAsia="Andale Sans UI" w:hAnsi="Arial" w:cs="Arial"/>
          <w:kern w:val="1"/>
          <w:sz w:val="20"/>
          <w:szCs w:val="20"/>
        </w:rPr>
        <w:t>indoxacrb</w:t>
      </w:r>
      <w:proofErr w:type="spellEnd"/>
      <w:r w:rsidRPr="00D41F68">
        <w:rPr>
          <w:rFonts w:ascii="Arial" w:eastAsia="Andale Sans UI" w:hAnsi="Arial" w:cs="Arial"/>
          <w:kern w:val="1"/>
          <w:sz w:val="20"/>
          <w:szCs w:val="20"/>
        </w:rPr>
        <w:t xml:space="preserve"> may be responsible for hyperkeratosis in rats treated. The excess keratin in anorectic rats is most likely due to decreased mechanical clearance through meal </w:t>
      </w:r>
      <w:r w:rsidRPr="00D41F68">
        <w:rPr>
          <w:rFonts w:ascii="Arial" w:eastAsia="Andale Sans UI" w:hAnsi="Arial" w:cs="Arial"/>
          <w:kern w:val="1"/>
          <w:sz w:val="20"/>
          <w:szCs w:val="20"/>
        </w:rPr>
        <w:lastRenderedPageBreak/>
        <w:t>passage. The relative decreased hyperkeratosis in stomach reported in the indoxacarb and vitamin C group showed the protective nature of vitamin C on indoxacarb-evoked stomach hyperkeratosis. Spleen lesions discovered in the present were in agreement with findings of Malek</w:t>
      </w:r>
      <w:r w:rsidR="000B232F" w:rsidRPr="00D41F68">
        <w:rPr>
          <w:rFonts w:ascii="Arial" w:eastAsia="Andale Sans UI" w:hAnsi="Arial" w:cs="Arial"/>
          <w:kern w:val="1"/>
          <w:sz w:val="20"/>
          <w:szCs w:val="20"/>
        </w:rPr>
        <w:t xml:space="preserve"> (1997)</w:t>
      </w:r>
      <w:r w:rsidRPr="00D41F68">
        <w:rPr>
          <w:rFonts w:ascii="Arial" w:eastAsia="Andale Sans UI" w:hAnsi="Arial" w:cs="Arial"/>
          <w:kern w:val="1"/>
          <w:sz w:val="20"/>
          <w:szCs w:val="20"/>
        </w:rPr>
        <w:t xml:space="preserve"> observed increased haemosiderin pigment and erythrocytic hyperplasia in the spleen of </w:t>
      </w:r>
      <w:r w:rsidR="00663447" w:rsidRPr="00D41F68">
        <w:rPr>
          <w:rFonts w:ascii="Arial" w:eastAsia="Andale Sans UI" w:hAnsi="Arial" w:cs="Arial"/>
          <w:kern w:val="1"/>
          <w:sz w:val="20"/>
          <w:szCs w:val="20"/>
        </w:rPr>
        <w:t>females</w:t>
      </w:r>
      <w:r w:rsidRPr="00D41F68">
        <w:rPr>
          <w:rFonts w:ascii="Arial" w:eastAsia="Andale Sans UI" w:hAnsi="Arial" w:cs="Arial"/>
          <w:kern w:val="1"/>
          <w:sz w:val="20"/>
          <w:szCs w:val="20"/>
        </w:rPr>
        <w:t xml:space="preserve"> at 60 ppm and above indoxacarb treated rats. Aging, cachexia, poor nutrition, toxicity, or chemotherapy can cause white pulp atrophy or decreased lymphocytes and macrophages cellularity in the spleen</w:t>
      </w:r>
      <w:r w:rsidR="00722CE4" w:rsidRPr="00D41F68">
        <w:rPr>
          <w:rFonts w:ascii="Arial" w:eastAsia="Andale Sans UI" w:hAnsi="Arial" w:cs="Arial"/>
          <w:kern w:val="1"/>
          <w:sz w:val="20"/>
          <w:szCs w:val="20"/>
        </w:rPr>
        <w:t xml:space="preserve"> (Willard-Mack et al., 2019)</w:t>
      </w:r>
      <w:r w:rsidRPr="00D41F68">
        <w:rPr>
          <w:rFonts w:ascii="Arial" w:eastAsia="Andale Sans UI" w:hAnsi="Arial" w:cs="Arial"/>
          <w:kern w:val="1"/>
          <w:sz w:val="20"/>
          <w:szCs w:val="20"/>
        </w:rPr>
        <w:t>. Histological impairment was ameliorated in groups with indoxacarb by the co-treatment with vitamin C.</w:t>
      </w:r>
    </w:p>
    <w:p w14:paraId="341183F4" w14:textId="77777777" w:rsidR="000D1410" w:rsidRPr="00D41F68" w:rsidRDefault="000D1410" w:rsidP="003718EB">
      <w:pPr>
        <w:widowControl w:val="0"/>
        <w:suppressAutoHyphens/>
        <w:spacing w:after="0" w:line="240" w:lineRule="auto"/>
        <w:ind w:firstLine="720"/>
        <w:jc w:val="both"/>
        <w:rPr>
          <w:rFonts w:ascii="Arial" w:eastAsia="Andale Sans UI" w:hAnsi="Arial" w:cs="Arial"/>
          <w:kern w:val="1"/>
          <w:sz w:val="20"/>
          <w:szCs w:val="20"/>
        </w:rPr>
      </w:pPr>
      <w:r w:rsidRPr="00D41F68">
        <w:rPr>
          <w:rFonts w:ascii="Arial" w:eastAsia="Andale Sans UI" w:hAnsi="Arial" w:cs="Arial"/>
          <w:kern w:val="1"/>
          <w:sz w:val="20"/>
          <w:szCs w:val="20"/>
        </w:rPr>
        <w:t xml:space="preserve">The administration of vitamin C before </w:t>
      </w:r>
      <w:proofErr w:type="spellStart"/>
      <w:r w:rsidRPr="00D41F68">
        <w:rPr>
          <w:rFonts w:ascii="Arial" w:eastAsia="Andale Sans UI" w:hAnsi="Arial" w:cs="Arial"/>
          <w:kern w:val="1"/>
          <w:sz w:val="20"/>
          <w:szCs w:val="20"/>
        </w:rPr>
        <w:t>indixacarb</w:t>
      </w:r>
      <w:proofErr w:type="spellEnd"/>
      <w:r w:rsidRPr="00D41F68">
        <w:rPr>
          <w:rFonts w:ascii="Arial" w:eastAsia="Andale Sans UI" w:hAnsi="Arial" w:cs="Arial"/>
          <w:kern w:val="1"/>
          <w:sz w:val="20"/>
          <w:szCs w:val="20"/>
        </w:rPr>
        <w:t xml:space="preserve"> diminished the </w:t>
      </w:r>
      <w:r w:rsidR="007000D1" w:rsidRPr="00D41F68">
        <w:rPr>
          <w:rFonts w:ascii="Arial" w:eastAsia="Andale Sans UI" w:hAnsi="Arial" w:cs="Arial"/>
          <w:kern w:val="1"/>
          <w:sz w:val="20"/>
          <w:szCs w:val="20"/>
        </w:rPr>
        <w:t xml:space="preserve">deleterious </w:t>
      </w:r>
      <w:r w:rsidRPr="00D41F68">
        <w:rPr>
          <w:rFonts w:ascii="Arial" w:eastAsia="Andale Sans UI" w:hAnsi="Arial" w:cs="Arial"/>
          <w:kern w:val="1"/>
          <w:sz w:val="20"/>
          <w:szCs w:val="20"/>
        </w:rPr>
        <w:t xml:space="preserve">effect of </w:t>
      </w:r>
      <w:proofErr w:type="spellStart"/>
      <w:r w:rsidR="003313D7" w:rsidRPr="00D41F68">
        <w:rPr>
          <w:rFonts w:ascii="Arial" w:eastAsia="Andale Sans UI" w:hAnsi="Arial" w:cs="Arial"/>
          <w:kern w:val="1"/>
          <w:sz w:val="20"/>
          <w:szCs w:val="20"/>
        </w:rPr>
        <w:t>indixacarb</w:t>
      </w:r>
      <w:proofErr w:type="spellEnd"/>
      <w:r w:rsidR="003313D7" w:rsidRPr="00D41F68">
        <w:rPr>
          <w:rFonts w:ascii="Arial" w:eastAsia="Andale Sans UI" w:hAnsi="Arial" w:cs="Arial"/>
          <w:kern w:val="1"/>
          <w:sz w:val="20"/>
          <w:szCs w:val="20"/>
        </w:rPr>
        <w:t xml:space="preserve"> </w:t>
      </w:r>
      <w:r w:rsidRPr="00D41F68">
        <w:rPr>
          <w:rFonts w:ascii="Arial" w:eastAsia="Andale Sans UI" w:hAnsi="Arial" w:cs="Arial"/>
          <w:kern w:val="1"/>
          <w:sz w:val="20"/>
          <w:szCs w:val="20"/>
        </w:rPr>
        <w:t xml:space="preserve">due to its power to eliminate the reactive oxygen species (ROS) </w:t>
      </w:r>
      <w:r w:rsidR="007000D1" w:rsidRPr="00D41F68">
        <w:rPr>
          <w:rFonts w:ascii="Arial" w:eastAsia="Andale Sans UI" w:hAnsi="Arial" w:cs="Arial"/>
          <w:kern w:val="1"/>
          <w:sz w:val="20"/>
          <w:szCs w:val="20"/>
        </w:rPr>
        <w:t xml:space="preserve">produced by </w:t>
      </w:r>
      <w:proofErr w:type="spellStart"/>
      <w:r w:rsidR="007000D1" w:rsidRPr="00D41F68">
        <w:rPr>
          <w:rFonts w:ascii="Arial" w:eastAsia="Andale Sans UI" w:hAnsi="Arial" w:cs="Arial"/>
          <w:kern w:val="1"/>
          <w:sz w:val="20"/>
          <w:szCs w:val="20"/>
        </w:rPr>
        <w:t>indixacarb</w:t>
      </w:r>
      <w:proofErr w:type="spellEnd"/>
      <w:r w:rsidRPr="00D41F68">
        <w:rPr>
          <w:rFonts w:ascii="Arial" w:eastAsia="Andale Sans UI" w:hAnsi="Arial" w:cs="Arial"/>
          <w:kern w:val="1"/>
          <w:sz w:val="20"/>
          <w:szCs w:val="20"/>
        </w:rPr>
        <w:t xml:space="preserve">. These </w:t>
      </w:r>
      <w:r w:rsidR="00F93637" w:rsidRPr="00D41F68">
        <w:rPr>
          <w:rFonts w:ascii="Arial" w:eastAsia="Andale Sans UI" w:hAnsi="Arial" w:cs="Arial"/>
          <w:kern w:val="1"/>
          <w:sz w:val="20"/>
          <w:szCs w:val="20"/>
        </w:rPr>
        <w:t>protective</w:t>
      </w:r>
      <w:r w:rsidRPr="00D41F68">
        <w:rPr>
          <w:rFonts w:ascii="Arial" w:eastAsia="Andale Sans UI" w:hAnsi="Arial" w:cs="Arial"/>
          <w:kern w:val="1"/>
          <w:sz w:val="20"/>
          <w:szCs w:val="20"/>
        </w:rPr>
        <w:t xml:space="preserve"> </w:t>
      </w:r>
      <w:r w:rsidR="00F93637" w:rsidRPr="00D41F68">
        <w:rPr>
          <w:rFonts w:ascii="Arial" w:eastAsia="Andale Sans UI" w:hAnsi="Arial" w:cs="Arial"/>
          <w:kern w:val="1"/>
          <w:sz w:val="20"/>
          <w:szCs w:val="20"/>
        </w:rPr>
        <w:t>roles</w:t>
      </w:r>
      <w:r w:rsidR="003313D7" w:rsidRPr="00D41F68">
        <w:rPr>
          <w:rFonts w:ascii="Arial" w:eastAsia="Andale Sans UI" w:hAnsi="Arial" w:cs="Arial"/>
          <w:kern w:val="1"/>
          <w:sz w:val="20"/>
          <w:szCs w:val="20"/>
        </w:rPr>
        <w:t xml:space="preserve"> of vitamin C indicate its </w:t>
      </w:r>
      <w:r w:rsidR="000522C3" w:rsidRPr="00D41F68">
        <w:rPr>
          <w:rFonts w:ascii="Arial" w:eastAsia="Andale Sans UI" w:hAnsi="Arial" w:cs="Arial"/>
          <w:kern w:val="1"/>
          <w:sz w:val="20"/>
          <w:szCs w:val="20"/>
        </w:rPr>
        <w:t>valuable effect in</w:t>
      </w:r>
      <w:r w:rsidRPr="00D41F68">
        <w:rPr>
          <w:rFonts w:ascii="Arial" w:eastAsia="Andale Sans UI" w:hAnsi="Arial" w:cs="Arial"/>
          <w:kern w:val="1"/>
          <w:sz w:val="20"/>
          <w:szCs w:val="20"/>
        </w:rPr>
        <w:t xml:space="preserve"> preventing tox</w:t>
      </w:r>
      <w:r w:rsidR="00703791" w:rsidRPr="00D41F68">
        <w:rPr>
          <w:rFonts w:ascii="Arial" w:eastAsia="Andale Sans UI" w:hAnsi="Arial" w:cs="Arial"/>
          <w:kern w:val="1"/>
          <w:sz w:val="20"/>
          <w:szCs w:val="20"/>
        </w:rPr>
        <w:t xml:space="preserve">icity resulted from </w:t>
      </w:r>
      <w:r w:rsidRPr="00D41F68">
        <w:rPr>
          <w:rFonts w:ascii="Arial" w:eastAsia="Andale Sans UI" w:hAnsi="Arial" w:cs="Arial"/>
          <w:kern w:val="1"/>
          <w:sz w:val="20"/>
          <w:szCs w:val="20"/>
        </w:rPr>
        <w:t>the generation of reactive oxygen species (ROS), as it has radical scavenging property.</w:t>
      </w:r>
    </w:p>
    <w:p w14:paraId="1F000108" w14:textId="77777777" w:rsidR="008D14A0" w:rsidRPr="003718EB" w:rsidRDefault="008D14A0" w:rsidP="003718EB">
      <w:pPr>
        <w:pStyle w:val="ListParagraph"/>
        <w:numPr>
          <w:ilvl w:val="0"/>
          <w:numId w:val="8"/>
        </w:numPr>
        <w:spacing w:before="240" w:after="0" w:line="480" w:lineRule="auto"/>
        <w:jc w:val="both"/>
        <w:rPr>
          <w:rFonts w:ascii="Arial" w:hAnsi="Arial" w:cs="Arial"/>
          <w:b/>
          <w:bCs/>
        </w:rPr>
      </w:pPr>
      <w:r w:rsidRPr="003718EB">
        <w:rPr>
          <w:rFonts w:ascii="Arial" w:hAnsi="Arial" w:cs="Arial"/>
          <w:b/>
          <w:bCs/>
        </w:rPr>
        <w:t>CONCLUSIONS</w:t>
      </w:r>
    </w:p>
    <w:p w14:paraId="5E345E21" w14:textId="77777777" w:rsidR="005A3088" w:rsidRPr="003718EB" w:rsidRDefault="00622758" w:rsidP="003718EB">
      <w:pPr>
        <w:widowControl w:val="0"/>
        <w:suppressAutoHyphens/>
        <w:spacing w:after="0" w:line="240" w:lineRule="auto"/>
        <w:ind w:firstLine="720"/>
        <w:jc w:val="both"/>
        <w:rPr>
          <w:rFonts w:ascii="Arial" w:eastAsia="Andale Sans UI" w:hAnsi="Arial" w:cs="Arial"/>
          <w:kern w:val="1"/>
          <w:sz w:val="20"/>
          <w:szCs w:val="20"/>
        </w:rPr>
      </w:pPr>
      <w:r w:rsidRPr="003718EB">
        <w:rPr>
          <w:rFonts w:ascii="Arial" w:eastAsia="Andale Sans UI" w:hAnsi="Arial" w:cs="Arial"/>
          <w:kern w:val="1"/>
          <w:sz w:val="20"/>
          <w:szCs w:val="20"/>
        </w:rPr>
        <w:t xml:space="preserve">Indoxacarb, a new generation insecticide of the oxadiazine class of chemistry, induced oxidative stress, histological changes, and deleterious effects on blood related parameters in female Wister rats at a dose rate of 26.8 mg/kg </w:t>
      </w:r>
      <w:proofErr w:type="spellStart"/>
      <w:r w:rsidRPr="003718EB">
        <w:rPr>
          <w:rFonts w:ascii="Arial" w:eastAsia="Andale Sans UI" w:hAnsi="Arial" w:cs="Arial"/>
          <w:kern w:val="1"/>
          <w:sz w:val="20"/>
          <w:szCs w:val="20"/>
        </w:rPr>
        <w:t>b.wt</w:t>
      </w:r>
      <w:proofErr w:type="spellEnd"/>
      <w:r w:rsidRPr="003718EB">
        <w:rPr>
          <w:rFonts w:ascii="Arial" w:eastAsia="Andale Sans UI" w:hAnsi="Arial" w:cs="Arial"/>
          <w:kern w:val="1"/>
          <w:sz w:val="20"/>
          <w:szCs w:val="20"/>
        </w:rPr>
        <w:t xml:space="preserve">. Indoxacarb-intoxicated rats received vitamin C co-treatment, which improved </w:t>
      </w:r>
      <w:proofErr w:type="spellStart"/>
      <w:r w:rsidRPr="003718EB">
        <w:rPr>
          <w:rFonts w:ascii="Arial" w:eastAsia="Andale Sans UI" w:hAnsi="Arial" w:cs="Arial"/>
          <w:kern w:val="1"/>
          <w:sz w:val="20"/>
          <w:szCs w:val="20"/>
        </w:rPr>
        <w:t>haematobiochemical</w:t>
      </w:r>
      <w:proofErr w:type="spellEnd"/>
      <w:r w:rsidRPr="003718EB">
        <w:rPr>
          <w:rFonts w:ascii="Arial" w:eastAsia="Andale Sans UI" w:hAnsi="Arial" w:cs="Arial"/>
          <w:kern w:val="1"/>
          <w:sz w:val="20"/>
          <w:szCs w:val="20"/>
        </w:rPr>
        <w:t xml:space="preserve"> abnormalities and histopathological changes.</w:t>
      </w:r>
    </w:p>
    <w:p w14:paraId="1A719C55" w14:textId="77777777" w:rsidR="003718EB" w:rsidRDefault="003718EB" w:rsidP="003718EB">
      <w:pPr>
        <w:spacing w:after="0" w:line="240" w:lineRule="auto"/>
        <w:jc w:val="both"/>
        <w:rPr>
          <w:rFonts w:ascii="Times New Roman" w:eastAsia="Andale Sans UI" w:hAnsi="Times New Roman" w:cs="Times New Roman"/>
          <w:kern w:val="1"/>
          <w:sz w:val="24"/>
          <w:szCs w:val="24"/>
          <w:lang w:val="en-US"/>
        </w:rPr>
      </w:pPr>
    </w:p>
    <w:p w14:paraId="138733F6" w14:textId="77777777" w:rsidR="0063364E" w:rsidRPr="003718EB" w:rsidRDefault="00266E86" w:rsidP="003718EB">
      <w:pPr>
        <w:spacing w:after="0" w:line="240" w:lineRule="auto"/>
        <w:jc w:val="both"/>
        <w:rPr>
          <w:rFonts w:ascii="Arial" w:eastAsia="Times New Roman" w:hAnsi="Arial" w:cs="Arial"/>
          <w:bCs/>
          <w:szCs w:val="20"/>
          <w:lang w:val="en-US"/>
        </w:rPr>
      </w:pPr>
      <w:r w:rsidRPr="003718EB">
        <w:rPr>
          <w:rFonts w:ascii="Arial" w:eastAsia="Times New Roman" w:hAnsi="Arial" w:cs="Arial"/>
          <w:b/>
          <w:bCs/>
          <w:szCs w:val="20"/>
          <w:lang w:val="en-US"/>
        </w:rPr>
        <w:t xml:space="preserve">DECLARATION OF COMPETING INTEREST: </w:t>
      </w:r>
    </w:p>
    <w:p w14:paraId="44E117FE" w14:textId="77777777" w:rsidR="0063364E" w:rsidRPr="003718EB" w:rsidRDefault="0063364E" w:rsidP="001E4AD7">
      <w:pPr>
        <w:spacing w:after="0" w:line="480" w:lineRule="auto"/>
        <w:ind w:firstLine="720"/>
        <w:jc w:val="both"/>
        <w:rPr>
          <w:rFonts w:ascii="Arial" w:eastAsia="Andale Sans UI" w:hAnsi="Arial" w:cs="Arial"/>
          <w:kern w:val="1"/>
          <w:sz w:val="20"/>
          <w:szCs w:val="20"/>
        </w:rPr>
      </w:pPr>
      <w:r w:rsidRPr="003718EB">
        <w:rPr>
          <w:rFonts w:ascii="Arial" w:eastAsia="Andale Sans UI" w:hAnsi="Arial" w:cs="Arial"/>
          <w:kern w:val="1"/>
          <w:sz w:val="20"/>
          <w:szCs w:val="20"/>
        </w:rPr>
        <w:t xml:space="preserve">The authors declare no conflicts of interest. </w:t>
      </w:r>
    </w:p>
    <w:p w14:paraId="0A624AE3" w14:textId="77777777" w:rsidR="005A3088" w:rsidRPr="006E5422" w:rsidRDefault="005A3088" w:rsidP="003718EB">
      <w:pPr>
        <w:pStyle w:val="ReferHead"/>
        <w:jc w:val="both"/>
        <w:rPr>
          <w:rFonts w:ascii="Arial" w:hAnsi="Arial" w:cs="Arial"/>
          <w:lang w:val="de-DE"/>
        </w:rPr>
      </w:pPr>
      <w:r w:rsidRPr="006E5422">
        <w:rPr>
          <w:rFonts w:ascii="Arial" w:hAnsi="Arial" w:cs="Arial"/>
          <w:lang w:val="de-DE"/>
        </w:rPr>
        <w:t>REFERENCES</w:t>
      </w:r>
    </w:p>
    <w:p w14:paraId="77DF913F" w14:textId="2B70D44C" w:rsidR="00EC77CD" w:rsidRPr="003718EB" w:rsidRDefault="00EC77CD" w:rsidP="003718EB">
      <w:pPr>
        <w:pStyle w:val="Body"/>
        <w:spacing w:after="0"/>
        <w:rPr>
          <w:rFonts w:ascii="Arial" w:hAnsi="Arial" w:cs="Arial"/>
          <w:i/>
          <w:u w:val="single"/>
        </w:rPr>
      </w:pPr>
      <w:r w:rsidRPr="006E5422">
        <w:rPr>
          <w:rFonts w:ascii="Arial" w:hAnsi="Arial" w:cs="Arial"/>
          <w:i/>
          <w:u w:val="single"/>
          <w:lang w:val="de-DE"/>
        </w:rPr>
        <w:t xml:space="preserve">Zikankuba VL, Mwanyika G, Ntwenya JE, James A. 2019.  </w:t>
      </w:r>
      <w:r w:rsidRPr="003718EB">
        <w:rPr>
          <w:rFonts w:ascii="Arial" w:hAnsi="Arial" w:cs="Arial"/>
          <w:i/>
          <w:u w:val="single"/>
        </w:rPr>
        <w:t>Pesticide regulations and their malpractice implications on food and environment safety. Cogent Food and Agriculture 5: 1601544.</w:t>
      </w:r>
      <w:r w:rsidR="00D90260" w:rsidRPr="00D90260">
        <w:t xml:space="preserve"> </w:t>
      </w:r>
      <w:hyperlink r:id="rId14" w:history="1">
        <w:r w:rsidR="00D90260" w:rsidRPr="00323765">
          <w:rPr>
            <w:rStyle w:val="Hyperlink"/>
            <w:rFonts w:ascii="Arial" w:hAnsi="Arial" w:cs="Arial"/>
            <w:i/>
          </w:rPr>
          <w:t>https://doi.org/10.1080/23311932.2019.1601544</w:t>
        </w:r>
      </w:hyperlink>
      <w:r w:rsidR="00D90260">
        <w:rPr>
          <w:rFonts w:ascii="Arial" w:hAnsi="Arial" w:cs="Arial"/>
          <w:i/>
          <w:u w:val="single"/>
        </w:rPr>
        <w:t xml:space="preserve"> </w:t>
      </w:r>
    </w:p>
    <w:p w14:paraId="56D41339" w14:textId="1B886CCA"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Oller WL, Cairns T, Bowman MC, Fishbein L. 1980. A toxicological risk assessment </w:t>
      </w:r>
      <w:proofErr w:type="gramStart"/>
      <w:r w:rsidRPr="003718EB">
        <w:rPr>
          <w:rFonts w:ascii="Arial" w:hAnsi="Arial" w:cs="Arial"/>
          <w:i/>
          <w:u w:val="single"/>
        </w:rPr>
        <w:t>procedure :</w:t>
      </w:r>
      <w:proofErr w:type="gramEnd"/>
      <w:r w:rsidRPr="003718EB">
        <w:rPr>
          <w:rFonts w:ascii="Arial" w:hAnsi="Arial" w:cs="Arial"/>
          <w:i/>
          <w:u w:val="single"/>
        </w:rPr>
        <w:t xml:space="preserve"> a proposal for a surveillance index for hazardous chemicals. Archives of Environmental Contamination and Toxicology 9: 483-490.</w:t>
      </w:r>
      <w:r w:rsidR="001A6060" w:rsidRPr="001A6060">
        <w:t xml:space="preserve"> </w:t>
      </w:r>
      <w:hyperlink r:id="rId15" w:history="1">
        <w:r w:rsidR="001A6060" w:rsidRPr="00323765">
          <w:rPr>
            <w:rStyle w:val="Hyperlink"/>
            <w:rFonts w:ascii="Arial" w:hAnsi="Arial" w:cs="Arial"/>
            <w:i/>
          </w:rPr>
          <w:t>https://doi.org/10.1007/BF01055300</w:t>
        </w:r>
      </w:hyperlink>
      <w:r w:rsidR="001A6060">
        <w:rPr>
          <w:rFonts w:ascii="Arial" w:hAnsi="Arial" w:cs="Arial"/>
          <w:i/>
          <w:u w:val="single"/>
        </w:rPr>
        <w:t xml:space="preserve"> </w:t>
      </w:r>
    </w:p>
    <w:p w14:paraId="20F25CEE"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Harder HH, Riley SL, McCann SF, Sherrod DW. 1997. DPX-MP</w:t>
      </w:r>
      <w:proofErr w:type="gramStart"/>
      <w:r w:rsidRPr="003718EB">
        <w:rPr>
          <w:rFonts w:ascii="Arial" w:hAnsi="Arial" w:cs="Arial"/>
          <w:i/>
          <w:u w:val="single"/>
        </w:rPr>
        <w:t>062 :</w:t>
      </w:r>
      <w:proofErr w:type="gramEnd"/>
      <w:r w:rsidRPr="003718EB">
        <w:rPr>
          <w:rFonts w:ascii="Arial" w:hAnsi="Arial" w:cs="Arial"/>
          <w:i/>
          <w:u w:val="single"/>
        </w:rPr>
        <w:t xml:space="preserve"> a novel broad-spectrum, environmentally soft, insect control compound, Proceedings Beltwide Conferences, New Orleans 1: 48-50.</w:t>
      </w:r>
    </w:p>
    <w:p w14:paraId="0CE3ED88" w14:textId="73B8F565" w:rsidR="00EC77CD" w:rsidRPr="003718EB" w:rsidRDefault="00EC77CD" w:rsidP="003718EB">
      <w:pPr>
        <w:pStyle w:val="Body"/>
        <w:spacing w:after="0"/>
        <w:rPr>
          <w:rFonts w:ascii="Arial" w:hAnsi="Arial" w:cs="Arial"/>
          <w:i/>
          <w:u w:val="single"/>
        </w:rPr>
      </w:pPr>
      <w:r w:rsidRPr="006E5422">
        <w:rPr>
          <w:rFonts w:ascii="Arial" w:hAnsi="Arial" w:cs="Arial"/>
          <w:i/>
          <w:u w:val="single"/>
          <w:lang w:val="de-DE"/>
        </w:rPr>
        <w:t xml:space="preserve">Koli S, Sahoo D, Suhas KS, Singh KP, Karikalan M, Kesavan M, Telang AG. 2019. </w:t>
      </w:r>
      <w:r w:rsidRPr="003718EB">
        <w:rPr>
          <w:rFonts w:ascii="Arial" w:hAnsi="Arial" w:cs="Arial"/>
          <w:i/>
          <w:u w:val="single"/>
        </w:rPr>
        <w:t>Sub-chronic Indoxacarb-induced haemato-biochemical and histopathological changes in rats. Indian Journal of Veterinary Pathology 43: 43-49.</w:t>
      </w:r>
      <w:r w:rsidR="005955F4" w:rsidRPr="005955F4">
        <w:t xml:space="preserve"> </w:t>
      </w:r>
      <w:hyperlink r:id="rId16" w:history="1">
        <w:r w:rsidR="005955F4" w:rsidRPr="00323765">
          <w:rPr>
            <w:rStyle w:val="Hyperlink"/>
            <w:rFonts w:ascii="Arial" w:hAnsi="Arial" w:cs="Arial"/>
            <w:i/>
          </w:rPr>
          <w:t>https://doi.org/10.5958/0973-970X.2019.00009.9</w:t>
        </w:r>
      </w:hyperlink>
      <w:r w:rsidR="005955F4">
        <w:rPr>
          <w:rFonts w:ascii="Arial" w:hAnsi="Arial" w:cs="Arial"/>
          <w:i/>
          <w:u w:val="single"/>
        </w:rPr>
        <w:t xml:space="preserve"> </w:t>
      </w:r>
    </w:p>
    <w:p w14:paraId="1F1C306F" w14:textId="6AB2910B"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Bhojane</w:t>
      </w:r>
      <w:proofErr w:type="spellEnd"/>
      <w:r w:rsidRPr="003718EB">
        <w:rPr>
          <w:rFonts w:ascii="Arial" w:hAnsi="Arial" w:cs="Arial"/>
          <w:i/>
          <w:u w:val="single"/>
        </w:rPr>
        <w:t xml:space="preserve"> N, Ingole R, </w:t>
      </w:r>
      <w:proofErr w:type="spellStart"/>
      <w:r w:rsidRPr="003718EB">
        <w:rPr>
          <w:rFonts w:ascii="Arial" w:hAnsi="Arial" w:cs="Arial"/>
          <w:i/>
          <w:u w:val="single"/>
        </w:rPr>
        <w:t>Hajare</w:t>
      </w:r>
      <w:proofErr w:type="spellEnd"/>
      <w:r w:rsidRPr="003718EB">
        <w:rPr>
          <w:rFonts w:ascii="Arial" w:hAnsi="Arial" w:cs="Arial"/>
          <w:i/>
          <w:u w:val="single"/>
        </w:rPr>
        <w:t xml:space="preserve"> S, </w:t>
      </w:r>
      <w:proofErr w:type="spellStart"/>
      <w:r w:rsidRPr="003718EB">
        <w:rPr>
          <w:rFonts w:ascii="Arial" w:hAnsi="Arial" w:cs="Arial"/>
          <w:i/>
          <w:u w:val="single"/>
        </w:rPr>
        <w:t>Kuralkar</w:t>
      </w:r>
      <w:proofErr w:type="spellEnd"/>
      <w:r w:rsidRPr="003718EB">
        <w:rPr>
          <w:rFonts w:ascii="Arial" w:hAnsi="Arial" w:cs="Arial"/>
          <w:i/>
          <w:u w:val="single"/>
        </w:rPr>
        <w:t xml:space="preserve"> S, </w:t>
      </w:r>
      <w:proofErr w:type="spellStart"/>
      <w:r w:rsidRPr="003718EB">
        <w:rPr>
          <w:rFonts w:ascii="Arial" w:hAnsi="Arial" w:cs="Arial"/>
          <w:i/>
          <w:u w:val="single"/>
        </w:rPr>
        <w:t>Manwar</w:t>
      </w:r>
      <w:proofErr w:type="spellEnd"/>
      <w:r w:rsidRPr="003718EB">
        <w:rPr>
          <w:rFonts w:ascii="Arial" w:hAnsi="Arial" w:cs="Arial"/>
          <w:i/>
          <w:u w:val="single"/>
        </w:rPr>
        <w:t xml:space="preserve"> S, Waghmare S. 2018. Individual and combined toxicity effect of indoxacarb and glyphosate on general performance and hematological parameters in Japanese quails. Journal of Entomology and Zoology Studies 6: 1212-1216.</w:t>
      </w:r>
      <w:r w:rsidR="00FA5EBC" w:rsidRPr="00FA5EBC">
        <w:t xml:space="preserve"> </w:t>
      </w:r>
      <w:hyperlink r:id="rId17" w:history="1">
        <w:r w:rsidR="00FA5EBC" w:rsidRPr="00323765">
          <w:rPr>
            <w:rStyle w:val="Hyperlink"/>
            <w:rFonts w:ascii="Arial" w:hAnsi="Arial" w:cs="Arial"/>
            <w:i/>
          </w:rPr>
          <w:t>https://www.entomoljournal.com/archives/2018/vol6issue4/PartR/6-4-100-907.pdf</w:t>
        </w:r>
      </w:hyperlink>
      <w:r w:rsidR="00FA5EBC">
        <w:rPr>
          <w:rFonts w:ascii="Arial" w:hAnsi="Arial" w:cs="Arial"/>
          <w:i/>
          <w:u w:val="single"/>
        </w:rPr>
        <w:t xml:space="preserve"> </w:t>
      </w:r>
    </w:p>
    <w:p w14:paraId="177AC461" w14:textId="641F80CB" w:rsidR="00EC77CD" w:rsidRPr="003718EB" w:rsidRDefault="00EC77CD" w:rsidP="003718EB">
      <w:pPr>
        <w:pStyle w:val="Body"/>
        <w:spacing w:after="0"/>
        <w:rPr>
          <w:rFonts w:ascii="Arial" w:hAnsi="Arial" w:cs="Arial"/>
          <w:i/>
          <w:u w:val="single"/>
        </w:rPr>
      </w:pPr>
      <w:r w:rsidRPr="00BB71B9">
        <w:rPr>
          <w:rFonts w:ascii="Arial" w:hAnsi="Arial" w:cs="Arial"/>
          <w:i/>
          <w:u w:val="single"/>
          <w:lang w:val="de-DE"/>
        </w:rPr>
        <w:t xml:space="preserve">Doerr MD, Brunner JF, Schrader LE. 2004. </w:t>
      </w:r>
      <w:r w:rsidRPr="003718EB">
        <w:rPr>
          <w:rFonts w:ascii="Arial" w:hAnsi="Arial" w:cs="Arial"/>
          <w:i/>
          <w:u w:val="single"/>
        </w:rPr>
        <w:t xml:space="preserve">Integrated pest management approach for a new pest, </w:t>
      </w:r>
      <w:proofErr w:type="spellStart"/>
      <w:r w:rsidRPr="003718EB">
        <w:rPr>
          <w:rFonts w:ascii="Arial" w:hAnsi="Arial" w:cs="Arial"/>
          <w:i/>
          <w:u w:val="single"/>
        </w:rPr>
        <w:t>Lacanobia</w:t>
      </w:r>
      <w:proofErr w:type="spellEnd"/>
      <w:r w:rsidRPr="003718EB">
        <w:rPr>
          <w:rFonts w:ascii="Arial" w:hAnsi="Arial" w:cs="Arial"/>
          <w:i/>
          <w:u w:val="single"/>
        </w:rPr>
        <w:t xml:space="preserve"> </w:t>
      </w:r>
      <w:proofErr w:type="spellStart"/>
      <w:r w:rsidRPr="003718EB">
        <w:rPr>
          <w:rFonts w:ascii="Arial" w:hAnsi="Arial" w:cs="Arial"/>
          <w:i/>
          <w:u w:val="single"/>
        </w:rPr>
        <w:t>subjuncta</w:t>
      </w:r>
      <w:proofErr w:type="spellEnd"/>
      <w:r w:rsidRPr="003718EB">
        <w:rPr>
          <w:rFonts w:ascii="Arial" w:hAnsi="Arial" w:cs="Arial"/>
          <w:i/>
          <w:u w:val="single"/>
        </w:rPr>
        <w:t xml:space="preserve"> (</w:t>
      </w:r>
      <w:proofErr w:type="gramStart"/>
      <w:r w:rsidRPr="003718EB">
        <w:rPr>
          <w:rFonts w:ascii="Arial" w:hAnsi="Arial" w:cs="Arial"/>
          <w:i/>
          <w:u w:val="single"/>
        </w:rPr>
        <w:t>Lepidoptera :</w:t>
      </w:r>
      <w:proofErr w:type="gramEnd"/>
      <w:r w:rsidRPr="003718EB">
        <w:rPr>
          <w:rFonts w:ascii="Arial" w:hAnsi="Arial" w:cs="Arial"/>
          <w:i/>
          <w:u w:val="single"/>
        </w:rPr>
        <w:t xml:space="preserve"> </w:t>
      </w:r>
      <w:proofErr w:type="spellStart"/>
      <w:r w:rsidRPr="003718EB">
        <w:rPr>
          <w:rFonts w:ascii="Arial" w:hAnsi="Arial" w:cs="Arial"/>
          <w:i/>
          <w:u w:val="single"/>
        </w:rPr>
        <w:t>Noctuidae</w:t>
      </w:r>
      <w:proofErr w:type="spellEnd"/>
      <w:r w:rsidRPr="003718EB">
        <w:rPr>
          <w:rFonts w:ascii="Arial" w:hAnsi="Arial" w:cs="Arial"/>
          <w:i/>
          <w:u w:val="single"/>
        </w:rPr>
        <w:t>), in Washington apple orchards. Pest Management Science: formerly Pesticide Science 60: 1025-1034.</w:t>
      </w:r>
      <w:r w:rsidR="0000607F" w:rsidRPr="0000607F">
        <w:t xml:space="preserve"> </w:t>
      </w:r>
      <w:hyperlink r:id="rId18" w:history="1">
        <w:r w:rsidR="0000607F" w:rsidRPr="00323765">
          <w:rPr>
            <w:rStyle w:val="Hyperlink"/>
            <w:rFonts w:ascii="Arial" w:hAnsi="Arial" w:cs="Arial"/>
            <w:i/>
          </w:rPr>
          <w:t>https://doi.org/10.1002/ps.912</w:t>
        </w:r>
      </w:hyperlink>
      <w:r w:rsidR="0000607F">
        <w:rPr>
          <w:rFonts w:ascii="Arial" w:hAnsi="Arial" w:cs="Arial"/>
          <w:i/>
          <w:u w:val="single"/>
        </w:rPr>
        <w:t xml:space="preserve"> </w:t>
      </w:r>
    </w:p>
    <w:p w14:paraId="5BCC7D9A" w14:textId="762B3DDD" w:rsidR="00EC77CD" w:rsidRPr="003718EB" w:rsidRDefault="00EC77CD" w:rsidP="003718EB">
      <w:pPr>
        <w:pStyle w:val="Body"/>
        <w:spacing w:after="0"/>
        <w:rPr>
          <w:rFonts w:ascii="Arial" w:hAnsi="Arial" w:cs="Arial"/>
          <w:i/>
          <w:u w:val="single"/>
        </w:rPr>
      </w:pPr>
      <w:r w:rsidRPr="006E5422">
        <w:rPr>
          <w:rFonts w:ascii="Arial" w:hAnsi="Arial" w:cs="Arial"/>
          <w:i/>
          <w:u w:val="single"/>
          <w:lang w:val="de-DE"/>
        </w:rPr>
        <w:t xml:space="preserve">Lapied B, Grolleau E, Sattelle DB. 2001. </w:t>
      </w:r>
      <w:r w:rsidRPr="003718EB">
        <w:rPr>
          <w:rFonts w:ascii="Arial" w:hAnsi="Arial" w:cs="Arial"/>
          <w:i/>
          <w:u w:val="single"/>
        </w:rPr>
        <w:t>Indoxacarb, an oxadiazine insecticide, blocks insect neuronal sodium channels. British Journal of Pharmacology 132: 587–595.</w:t>
      </w:r>
      <w:r w:rsidR="0059687B" w:rsidRPr="0059687B">
        <w:t xml:space="preserve"> </w:t>
      </w:r>
      <w:hyperlink r:id="rId19" w:history="1">
        <w:r w:rsidR="0059687B" w:rsidRPr="00323765">
          <w:rPr>
            <w:rStyle w:val="Hyperlink"/>
            <w:rFonts w:ascii="Arial" w:hAnsi="Arial" w:cs="Arial"/>
            <w:i/>
          </w:rPr>
          <w:t>https://doi.org/10.1038/sj.bjp.0703853</w:t>
        </w:r>
      </w:hyperlink>
      <w:r w:rsidR="0059687B">
        <w:rPr>
          <w:rFonts w:ascii="Arial" w:hAnsi="Arial" w:cs="Arial"/>
          <w:i/>
          <w:u w:val="single"/>
        </w:rPr>
        <w:t xml:space="preserve"> </w:t>
      </w:r>
    </w:p>
    <w:p w14:paraId="4EFB57E8" w14:textId="287841F2" w:rsidR="00AC0D15" w:rsidRPr="003718EB" w:rsidRDefault="00AC0D15" w:rsidP="003718EB">
      <w:pPr>
        <w:pStyle w:val="Body"/>
        <w:spacing w:after="0"/>
        <w:rPr>
          <w:rFonts w:ascii="Arial" w:hAnsi="Arial" w:cs="Arial"/>
          <w:i/>
          <w:u w:val="single"/>
        </w:rPr>
      </w:pPr>
      <w:r w:rsidRPr="003718EB">
        <w:rPr>
          <w:rFonts w:ascii="Arial" w:hAnsi="Arial" w:cs="Arial"/>
          <w:i/>
          <w:u w:val="single"/>
        </w:rPr>
        <w:t xml:space="preserve">Abdollahi M, Ranjbar A, </w:t>
      </w:r>
      <w:proofErr w:type="spellStart"/>
      <w:r w:rsidRPr="003718EB">
        <w:rPr>
          <w:rFonts w:ascii="Arial" w:hAnsi="Arial" w:cs="Arial"/>
          <w:i/>
          <w:u w:val="single"/>
        </w:rPr>
        <w:t>Shadnia</w:t>
      </w:r>
      <w:proofErr w:type="spellEnd"/>
      <w:r w:rsidRPr="003718EB">
        <w:rPr>
          <w:rFonts w:ascii="Arial" w:hAnsi="Arial" w:cs="Arial"/>
          <w:i/>
          <w:u w:val="single"/>
        </w:rPr>
        <w:t xml:space="preserve"> S, </w:t>
      </w:r>
      <w:proofErr w:type="spellStart"/>
      <w:r w:rsidRPr="003718EB">
        <w:rPr>
          <w:rFonts w:ascii="Arial" w:hAnsi="Arial" w:cs="Arial"/>
          <w:i/>
          <w:u w:val="single"/>
        </w:rPr>
        <w:t>Nikfar</w:t>
      </w:r>
      <w:proofErr w:type="spellEnd"/>
      <w:r w:rsidRPr="003718EB">
        <w:rPr>
          <w:rFonts w:ascii="Arial" w:hAnsi="Arial" w:cs="Arial"/>
          <w:i/>
          <w:u w:val="single"/>
        </w:rPr>
        <w:t xml:space="preserve"> S, </w:t>
      </w:r>
      <w:proofErr w:type="spellStart"/>
      <w:r w:rsidRPr="003718EB">
        <w:rPr>
          <w:rFonts w:ascii="Arial" w:hAnsi="Arial" w:cs="Arial"/>
          <w:i/>
          <w:u w:val="single"/>
        </w:rPr>
        <w:t>Rezaiee</w:t>
      </w:r>
      <w:proofErr w:type="spellEnd"/>
      <w:r w:rsidRPr="003718EB">
        <w:rPr>
          <w:rFonts w:ascii="Arial" w:hAnsi="Arial" w:cs="Arial"/>
          <w:i/>
          <w:u w:val="single"/>
        </w:rPr>
        <w:t xml:space="preserve"> A. (2004). Pesticides and </w:t>
      </w:r>
      <w:proofErr w:type="gramStart"/>
      <w:r w:rsidRPr="003718EB">
        <w:rPr>
          <w:rFonts w:ascii="Arial" w:hAnsi="Arial" w:cs="Arial"/>
          <w:i/>
          <w:u w:val="single"/>
        </w:rPr>
        <w:t>s  oxidative</w:t>
      </w:r>
      <w:proofErr w:type="gramEnd"/>
      <w:r w:rsidRPr="003718EB">
        <w:rPr>
          <w:rFonts w:ascii="Arial" w:hAnsi="Arial" w:cs="Arial"/>
          <w:i/>
          <w:u w:val="single"/>
        </w:rPr>
        <w:t xml:space="preserve"> stress: a review. Med Sci Monit, 10 (6), pp. 144-147</w:t>
      </w:r>
      <w:r w:rsidR="00E160C8" w:rsidRPr="00E160C8">
        <w:t xml:space="preserve"> </w:t>
      </w:r>
      <w:hyperlink r:id="rId20" w:history="1">
        <w:r w:rsidR="00E160C8" w:rsidRPr="00323765">
          <w:rPr>
            <w:rStyle w:val="Hyperlink"/>
            <w:rFonts w:ascii="Arial" w:hAnsi="Arial" w:cs="Arial"/>
            <w:i/>
          </w:rPr>
          <w:t>http://www.medscimonit.com/pub/vol_10/no_6/4163.pdf</w:t>
        </w:r>
      </w:hyperlink>
      <w:r w:rsidR="00E160C8">
        <w:rPr>
          <w:rFonts w:ascii="Arial" w:hAnsi="Arial" w:cs="Arial"/>
          <w:i/>
          <w:u w:val="single"/>
        </w:rPr>
        <w:t xml:space="preserve"> </w:t>
      </w:r>
    </w:p>
    <w:p w14:paraId="1B684CC1" w14:textId="564B03CB" w:rsidR="00AC0D15" w:rsidRPr="003718EB" w:rsidRDefault="00AC0D15" w:rsidP="003718EB">
      <w:pPr>
        <w:pStyle w:val="Body"/>
        <w:spacing w:after="0"/>
        <w:rPr>
          <w:rFonts w:ascii="Arial" w:hAnsi="Arial" w:cs="Arial"/>
          <w:i/>
          <w:u w:val="single"/>
        </w:rPr>
      </w:pPr>
      <w:r w:rsidRPr="003718EB">
        <w:rPr>
          <w:rFonts w:ascii="Arial" w:hAnsi="Arial" w:cs="Arial"/>
          <w:i/>
          <w:u w:val="single"/>
        </w:rPr>
        <w:t xml:space="preserve">Ranjbar A, </w:t>
      </w:r>
      <w:proofErr w:type="spellStart"/>
      <w:r w:rsidRPr="003718EB">
        <w:rPr>
          <w:rFonts w:ascii="Arial" w:hAnsi="Arial" w:cs="Arial"/>
          <w:i/>
          <w:u w:val="single"/>
        </w:rPr>
        <w:t>Pasalar</w:t>
      </w:r>
      <w:proofErr w:type="spellEnd"/>
      <w:r w:rsidRPr="003718EB">
        <w:rPr>
          <w:rFonts w:ascii="Arial" w:hAnsi="Arial" w:cs="Arial"/>
          <w:i/>
          <w:u w:val="single"/>
        </w:rPr>
        <w:t xml:space="preserve"> P, Sedighi A, Abdollahi M. (2002). Induction of oxidative stress in paraquat formulating workers. </w:t>
      </w:r>
      <w:proofErr w:type="spellStart"/>
      <w:r w:rsidRPr="003718EB">
        <w:rPr>
          <w:rFonts w:ascii="Arial" w:hAnsi="Arial" w:cs="Arial"/>
          <w:i/>
          <w:u w:val="single"/>
        </w:rPr>
        <w:t>Toxicol</w:t>
      </w:r>
      <w:proofErr w:type="spellEnd"/>
      <w:r w:rsidRPr="003718EB">
        <w:rPr>
          <w:rFonts w:ascii="Arial" w:hAnsi="Arial" w:cs="Arial"/>
          <w:i/>
          <w:u w:val="single"/>
        </w:rPr>
        <w:t xml:space="preserve"> Lett, 131, pp. 191-194.</w:t>
      </w:r>
      <w:r w:rsidR="00BF3B8C" w:rsidRPr="00BF3B8C">
        <w:t xml:space="preserve"> </w:t>
      </w:r>
      <w:hyperlink r:id="rId21" w:history="1">
        <w:r w:rsidR="00BF3B8C" w:rsidRPr="00323765">
          <w:rPr>
            <w:rStyle w:val="Hyperlink"/>
            <w:rFonts w:ascii="Arial" w:hAnsi="Arial" w:cs="Arial"/>
            <w:i/>
          </w:rPr>
          <w:t>https://doi.org/10.1016/s0378-4274(02)00033-4</w:t>
        </w:r>
      </w:hyperlink>
      <w:r w:rsidR="00BF3B8C">
        <w:rPr>
          <w:rFonts w:ascii="Arial" w:hAnsi="Arial" w:cs="Arial"/>
          <w:i/>
          <w:u w:val="single"/>
        </w:rPr>
        <w:t xml:space="preserve"> </w:t>
      </w:r>
    </w:p>
    <w:p w14:paraId="0B554A0E" w14:textId="082C331E" w:rsidR="00EC77CD" w:rsidRPr="003718EB" w:rsidRDefault="00EC77CD" w:rsidP="003718EB">
      <w:pPr>
        <w:pStyle w:val="Body"/>
        <w:spacing w:after="0"/>
        <w:rPr>
          <w:rFonts w:ascii="Arial" w:hAnsi="Arial" w:cs="Arial"/>
          <w:i/>
          <w:u w:val="single"/>
        </w:rPr>
      </w:pPr>
      <w:r w:rsidRPr="003718EB">
        <w:rPr>
          <w:rFonts w:ascii="Arial" w:hAnsi="Arial" w:cs="Arial"/>
          <w:i/>
          <w:u w:val="single"/>
        </w:rPr>
        <w:t>Yu F, Wang Z, Ju B, Wang Y, Wang J, Bai D. 2008. Apoptotic effect of organophosphorus insecticide chlorpyrifos on mouse retina in vivo via oxidative stress and protection of combination of vitamins C and E. Experimental and Toxicologic Pathology 59: 415-423.</w:t>
      </w:r>
      <w:r w:rsidR="002A7147" w:rsidRPr="002A7147">
        <w:t xml:space="preserve"> </w:t>
      </w:r>
      <w:hyperlink r:id="rId22" w:history="1">
        <w:r w:rsidR="002A7147" w:rsidRPr="00323765">
          <w:rPr>
            <w:rStyle w:val="Hyperlink"/>
            <w:rFonts w:ascii="Arial" w:hAnsi="Arial" w:cs="Arial"/>
            <w:i/>
          </w:rPr>
          <w:t>https://doi.org/10.1016/j.etp.2007.11.007</w:t>
        </w:r>
      </w:hyperlink>
      <w:r w:rsidR="002A7147">
        <w:rPr>
          <w:rFonts w:ascii="Arial" w:hAnsi="Arial" w:cs="Arial"/>
          <w:i/>
          <w:u w:val="single"/>
        </w:rPr>
        <w:t xml:space="preserve"> </w:t>
      </w:r>
    </w:p>
    <w:p w14:paraId="6206A891" w14:textId="06B49CE9"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Hacisevki</w:t>
      </w:r>
      <w:proofErr w:type="spellEnd"/>
      <w:r w:rsidRPr="003718EB">
        <w:rPr>
          <w:rFonts w:ascii="Arial" w:hAnsi="Arial" w:cs="Arial"/>
          <w:i/>
          <w:u w:val="single"/>
        </w:rPr>
        <w:t xml:space="preserve"> A. 2009. An overview of ascorbic acid biochemistry</w:t>
      </w:r>
      <w:r w:rsidR="00A14D1F" w:rsidRPr="003718EB">
        <w:rPr>
          <w:rFonts w:ascii="Arial" w:hAnsi="Arial" w:cs="Arial"/>
          <w:i/>
          <w:u w:val="single"/>
        </w:rPr>
        <w:t>.</w:t>
      </w:r>
      <w:r w:rsidR="00A14D1F" w:rsidRPr="003718EB">
        <w:rPr>
          <w:rFonts w:ascii="Arial" w:hAnsi="Arial" w:cs="Arial" w:hint="cs"/>
          <w:i/>
          <w:u w:val="single"/>
          <w:cs/>
          <w:lang w:bidi="gu-IN"/>
        </w:rPr>
        <w:t xml:space="preserve"> </w:t>
      </w:r>
      <w:r w:rsidRPr="006E5422">
        <w:rPr>
          <w:rFonts w:ascii="Arial" w:hAnsi="Arial" w:cs="Arial"/>
          <w:i/>
          <w:u w:val="single"/>
          <w:lang w:val="de-DE"/>
        </w:rPr>
        <w:t>Ankara Universitesi Eczacılık Fakültesi Dergisi 38: 233-255.</w:t>
      </w:r>
      <w:r w:rsidR="00375FD7" w:rsidRPr="006E5422">
        <w:rPr>
          <w:lang w:val="de-DE"/>
        </w:rPr>
        <w:t xml:space="preserve"> </w:t>
      </w:r>
      <w:hyperlink r:id="rId23" w:history="1">
        <w:r w:rsidR="00375FD7" w:rsidRPr="00323765">
          <w:rPr>
            <w:rStyle w:val="Hyperlink"/>
            <w:rFonts w:ascii="Arial" w:hAnsi="Arial" w:cs="Arial"/>
            <w:i/>
          </w:rPr>
          <w:t>https://doi.org/10.1501/Eczfak_0000000528</w:t>
        </w:r>
      </w:hyperlink>
      <w:r w:rsidR="00375FD7">
        <w:rPr>
          <w:rFonts w:ascii="Arial" w:hAnsi="Arial" w:cs="Arial"/>
          <w:i/>
          <w:u w:val="single"/>
        </w:rPr>
        <w:t xml:space="preserve"> </w:t>
      </w:r>
    </w:p>
    <w:p w14:paraId="347DA655" w14:textId="5D6D7F08"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Duarte TL, Lunec J. 2005. When is an antioxidant not an antioxidant? A review of novel actions and reactions of vitamin C. Free Radical Research 39: 671-686. </w:t>
      </w:r>
      <w:hyperlink r:id="rId24" w:history="1">
        <w:r w:rsidR="007068A2" w:rsidRPr="00323765">
          <w:rPr>
            <w:rStyle w:val="Hyperlink"/>
            <w:rFonts w:ascii="Arial" w:hAnsi="Arial" w:cs="Arial"/>
            <w:i/>
          </w:rPr>
          <w:t>https://doi.org/10.1080/10715760500104025</w:t>
        </w:r>
      </w:hyperlink>
      <w:r w:rsidR="007068A2">
        <w:rPr>
          <w:rFonts w:ascii="Arial" w:hAnsi="Arial" w:cs="Arial"/>
          <w:i/>
          <w:u w:val="single"/>
        </w:rPr>
        <w:t xml:space="preserve"> </w:t>
      </w:r>
    </w:p>
    <w:p w14:paraId="5362D4AF"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lastRenderedPageBreak/>
        <w:t xml:space="preserve">Luna LG. 1968. Manual of Histological Staining: Methods of the armed forces institute of pathology. 3rd </w:t>
      </w:r>
      <w:proofErr w:type="spellStart"/>
      <w:r w:rsidRPr="003718EB">
        <w:rPr>
          <w:rFonts w:ascii="Arial" w:hAnsi="Arial" w:cs="Arial"/>
          <w:i/>
          <w:u w:val="single"/>
        </w:rPr>
        <w:t>Edn</w:t>
      </w:r>
      <w:proofErr w:type="spellEnd"/>
      <w:r w:rsidRPr="003718EB">
        <w:rPr>
          <w:rFonts w:ascii="Arial" w:hAnsi="Arial" w:cs="Arial"/>
          <w:i/>
          <w:u w:val="single"/>
        </w:rPr>
        <w:t>. McGraw-Hill Book Co. pp. 3-34.</w:t>
      </w:r>
    </w:p>
    <w:p w14:paraId="11861432"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Suvarna KS, Layton C, Bancroft JD. 2012. Bancroft’s Theory and Practice of Histological Techniques. 8th Ed. Elsevier health sciences. 672.</w:t>
      </w:r>
    </w:p>
    <w:p w14:paraId="27FFFE92" w14:textId="77777777" w:rsidR="004C26A7" w:rsidRDefault="00EC77CD" w:rsidP="003718EB">
      <w:pPr>
        <w:pStyle w:val="Body"/>
        <w:spacing w:after="0"/>
      </w:pPr>
      <w:r w:rsidRPr="003718EB">
        <w:rPr>
          <w:rFonts w:ascii="Arial" w:hAnsi="Arial" w:cs="Arial"/>
          <w:i/>
          <w:u w:val="single"/>
        </w:rPr>
        <w:t>R Core Team. 2020. R: A language and environmen</w:t>
      </w:r>
      <w:r w:rsidR="00B77A4D" w:rsidRPr="003718EB">
        <w:rPr>
          <w:rFonts w:ascii="Arial" w:hAnsi="Arial" w:cs="Arial"/>
          <w:i/>
          <w:u w:val="single"/>
        </w:rPr>
        <w:t xml:space="preserve">t for statistical computing. </w:t>
      </w:r>
      <w:r w:rsidRPr="003718EB">
        <w:rPr>
          <w:rFonts w:ascii="Arial" w:hAnsi="Arial" w:cs="Arial"/>
          <w:i/>
          <w:u w:val="single"/>
        </w:rPr>
        <w:t xml:space="preserve">R Foundation for Statistical Computing, Vienna, Austria. URL </w:t>
      </w:r>
      <w:hyperlink r:id="rId25" w:history="1">
        <w:r w:rsidR="004C26A7" w:rsidRPr="00323765">
          <w:rPr>
            <w:rStyle w:val="Hyperlink"/>
          </w:rPr>
          <w:t>http://www.r-project.org/</w:t>
        </w:r>
      </w:hyperlink>
      <w:r w:rsidR="004C26A7">
        <w:t xml:space="preserve"> </w:t>
      </w:r>
    </w:p>
    <w:p w14:paraId="1BA867CE" w14:textId="567A2C3D"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Modh</w:t>
      </w:r>
      <w:proofErr w:type="spellEnd"/>
      <w:r w:rsidRPr="003718EB">
        <w:rPr>
          <w:rFonts w:ascii="Arial" w:hAnsi="Arial" w:cs="Arial"/>
          <w:i/>
          <w:u w:val="single"/>
        </w:rPr>
        <w:t xml:space="preserve"> SP. 2020. Toxicopathology of Indoxacarb in Wister rats. </w:t>
      </w:r>
      <w:proofErr w:type="spellStart"/>
      <w:r w:rsidRPr="003718EB">
        <w:rPr>
          <w:rFonts w:ascii="Arial" w:hAnsi="Arial" w:cs="Arial"/>
          <w:i/>
          <w:u w:val="single"/>
        </w:rPr>
        <w:t>M.V.Sc</w:t>
      </w:r>
      <w:proofErr w:type="spellEnd"/>
      <w:r w:rsidRPr="003718EB">
        <w:rPr>
          <w:rFonts w:ascii="Arial" w:hAnsi="Arial" w:cs="Arial"/>
          <w:i/>
          <w:u w:val="single"/>
        </w:rPr>
        <w:t xml:space="preserve">. Thesis (Unpublished). College of Veterinary Science and Animal Husbandry, </w:t>
      </w:r>
      <w:proofErr w:type="spellStart"/>
      <w:r w:rsidRPr="003718EB">
        <w:rPr>
          <w:rFonts w:ascii="Arial" w:hAnsi="Arial" w:cs="Arial"/>
          <w:i/>
          <w:u w:val="single"/>
        </w:rPr>
        <w:t>Sardarkrushinagar</w:t>
      </w:r>
      <w:proofErr w:type="spellEnd"/>
      <w:r w:rsidRPr="003718EB">
        <w:rPr>
          <w:rFonts w:ascii="Arial" w:hAnsi="Arial" w:cs="Arial"/>
          <w:i/>
          <w:u w:val="single"/>
        </w:rPr>
        <w:t xml:space="preserve"> </w:t>
      </w:r>
      <w:proofErr w:type="spellStart"/>
      <w:r w:rsidRPr="003718EB">
        <w:rPr>
          <w:rFonts w:ascii="Arial" w:hAnsi="Arial" w:cs="Arial"/>
          <w:i/>
          <w:u w:val="single"/>
        </w:rPr>
        <w:t>Dantiwada</w:t>
      </w:r>
      <w:proofErr w:type="spellEnd"/>
      <w:r w:rsidRPr="003718EB">
        <w:rPr>
          <w:rFonts w:ascii="Arial" w:hAnsi="Arial" w:cs="Arial"/>
          <w:i/>
          <w:u w:val="single"/>
        </w:rPr>
        <w:t xml:space="preserve"> Agricultural University </w:t>
      </w:r>
      <w:proofErr w:type="spellStart"/>
      <w:r w:rsidRPr="003718EB">
        <w:rPr>
          <w:rFonts w:ascii="Arial" w:hAnsi="Arial" w:cs="Arial"/>
          <w:i/>
          <w:u w:val="single"/>
        </w:rPr>
        <w:t>Sardarkrushinagar</w:t>
      </w:r>
      <w:proofErr w:type="spellEnd"/>
      <w:r w:rsidRPr="003718EB">
        <w:rPr>
          <w:rFonts w:ascii="Arial" w:hAnsi="Arial" w:cs="Arial"/>
          <w:i/>
          <w:u w:val="single"/>
        </w:rPr>
        <w:t>.</w:t>
      </w:r>
    </w:p>
    <w:p w14:paraId="26A307F4"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Mabrouk ZE, </w:t>
      </w:r>
      <w:proofErr w:type="spellStart"/>
      <w:r w:rsidRPr="003718EB">
        <w:rPr>
          <w:rFonts w:ascii="Arial" w:hAnsi="Arial" w:cs="Arial"/>
          <w:i/>
          <w:u w:val="single"/>
        </w:rPr>
        <w:t>Abusrer</w:t>
      </w:r>
      <w:proofErr w:type="spellEnd"/>
      <w:r w:rsidRPr="003718EB">
        <w:rPr>
          <w:rFonts w:ascii="Arial" w:hAnsi="Arial" w:cs="Arial"/>
          <w:i/>
          <w:u w:val="single"/>
        </w:rPr>
        <w:t xml:space="preserve"> S, Shibani N, El Jaafari H. 2016. The effect of Indoxacarb on blood parameters and liver tissues in Mice. Libyan Journal of Veterinary and Medical Sciences 2: 23-30.</w:t>
      </w:r>
    </w:p>
    <w:p w14:paraId="5774E55E" w14:textId="450918FE"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Abdelrasoul</w:t>
      </w:r>
      <w:proofErr w:type="spellEnd"/>
      <w:r w:rsidRPr="003718EB">
        <w:rPr>
          <w:rFonts w:ascii="Arial" w:hAnsi="Arial" w:cs="Arial"/>
          <w:i/>
          <w:u w:val="single"/>
        </w:rPr>
        <w:t xml:space="preserve"> MA. 2018. Modulation of abamectin and indoxacarb-induced toxicity on male albino rats by moringa oleifera. Alexandria Science Exchange Journal 39: 232–242.</w:t>
      </w:r>
      <w:r w:rsidR="002B2880" w:rsidRPr="002B2880">
        <w:t xml:space="preserve"> </w:t>
      </w:r>
      <w:hyperlink r:id="rId26" w:history="1">
        <w:r w:rsidR="002B2880" w:rsidRPr="00323765">
          <w:rPr>
            <w:rStyle w:val="Hyperlink"/>
            <w:rFonts w:ascii="Arial" w:hAnsi="Arial" w:cs="Arial"/>
            <w:i/>
          </w:rPr>
          <w:t>https://doi.org/10.21608/asejaiqjsae.2018.6831</w:t>
        </w:r>
      </w:hyperlink>
      <w:r w:rsidR="002B2880">
        <w:rPr>
          <w:rFonts w:ascii="Arial" w:hAnsi="Arial" w:cs="Arial"/>
          <w:i/>
          <w:u w:val="single"/>
        </w:rPr>
        <w:t xml:space="preserve"> </w:t>
      </w:r>
    </w:p>
    <w:p w14:paraId="3A903D29" w14:textId="77777777"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Malek DE. 1997. </w:t>
      </w:r>
      <w:proofErr w:type="spellStart"/>
      <w:r w:rsidRPr="003718EB">
        <w:rPr>
          <w:rFonts w:ascii="Arial" w:hAnsi="Arial" w:cs="Arial"/>
          <w:i/>
          <w:u w:val="single"/>
        </w:rPr>
        <w:t>Subchronic</w:t>
      </w:r>
      <w:proofErr w:type="spellEnd"/>
      <w:r w:rsidRPr="003718EB">
        <w:rPr>
          <w:rFonts w:ascii="Arial" w:hAnsi="Arial" w:cs="Arial"/>
          <w:i/>
          <w:u w:val="single"/>
        </w:rPr>
        <w:t xml:space="preserve"> oral toxicity: 90-day study with DPX-JW062           </w:t>
      </w:r>
      <w:proofErr w:type="gramStart"/>
      <w:r w:rsidRPr="003718EB">
        <w:rPr>
          <w:rFonts w:ascii="Arial" w:hAnsi="Arial" w:cs="Arial"/>
          <w:i/>
          <w:u w:val="single"/>
        </w:rPr>
        <w:t xml:space="preserve">   (</w:t>
      </w:r>
      <w:proofErr w:type="gramEnd"/>
      <w:r w:rsidRPr="003718EB">
        <w:rPr>
          <w:rFonts w:ascii="Arial" w:hAnsi="Arial" w:cs="Arial"/>
          <w:i/>
          <w:u w:val="single"/>
        </w:rPr>
        <w:t xml:space="preserve">50% DPX-KN128, 50% DPX-KN127) feeding study in </w:t>
      </w:r>
      <w:proofErr w:type="spellStart"/>
      <w:proofErr w:type="gramStart"/>
      <w:r w:rsidRPr="003718EB">
        <w:rPr>
          <w:rFonts w:ascii="Arial" w:hAnsi="Arial" w:cs="Arial"/>
          <w:i/>
          <w:u w:val="single"/>
        </w:rPr>
        <w:t>rats.Unpublished</w:t>
      </w:r>
      <w:proofErr w:type="spellEnd"/>
      <w:proofErr w:type="gramEnd"/>
      <w:r w:rsidRPr="003718EB">
        <w:rPr>
          <w:rFonts w:ascii="Arial" w:hAnsi="Arial" w:cs="Arial"/>
          <w:i/>
          <w:u w:val="single"/>
        </w:rPr>
        <w:t xml:space="preserve"> Report No. HLR. 751-93.</w:t>
      </w:r>
    </w:p>
    <w:p w14:paraId="4A872AF5" w14:textId="77777777" w:rsidR="00EC77CD" w:rsidRPr="003718EB" w:rsidRDefault="00EC77CD" w:rsidP="003718EB">
      <w:pPr>
        <w:pStyle w:val="Body"/>
        <w:spacing w:after="0"/>
        <w:rPr>
          <w:rFonts w:ascii="Arial" w:hAnsi="Arial" w:cs="Arial"/>
          <w:i/>
          <w:u w:val="single"/>
        </w:rPr>
      </w:pPr>
      <w:proofErr w:type="spellStart"/>
      <w:r w:rsidRPr="003718EB">
        <w:rPr>
          <w:rFonts w:ascii="Arial" w:hAnsi="Arial" w:cs="Arial"/>
          <w:i/>
          <w:u w:val="single"/>
        </w:rPr>
        <w:t>Thoker</w:t>
      </w:r>
      <w:proofErr w:type="spellEnd"/>
      <w:r w:rsidRPr="003718EB">
        <w:rPr>
          <w:rFonts w:ascii="Arial" w:hAnsi="Arial" w:cs="Arial"/>
          <w:i/>
          <w:u w:val="single"/>
        </w:rPr>
        <w:t xml:space="preserve"> AH. 2017. Evaluation of toxicity manifestation on vital organs following repeated exposure of indoxacarb alone and in combination of with cadmium. </w:t>
      </w:r>
      <w:proofErr w:type="spellStart"/>
      <w:r w:rsidRPr="003718EB">
        <w:rPr>
          <w:rFonts w:ascii="Arial" w:hAnsi="Arial" w:cs="Arial"/>
          <w:i/>
          <w:u w:val="single"/>
        </w:rPr>
        <w:t>M.V.Sc</w:t>
      </w:r>
      <w:proofErr w:type="spellEnd"/>
      <w:r w:rsidRPr="003718EB">
        <w:rPr>
          <w:rFonts w:ascii="Arial" w:hAnsi="Arial" w:cs="Arial"/>
          <w:i/>
          <w:u w:val="single"/>
        </w:rPr>
        <w:t xml:space="preserve">. dissertation, Sher-e-Kashmir University of Agricultural </w:t>
      </w:r>
      <w:proofErr w:type="gramStart"/>
      <w:r w:rsidRPr="003718EB">
        <w:rPr>
          <w:rFonts w:ascii="Arial" w:hAnsi="Arial" w:cs="Arial"/>
          <w:i/>
          <w:u w:val="single"/>
        </w:rPr>
        <w:t>Sciences  and</w:t>
      </w:r>
      <w:proofErr w:type="gramEnd"/>
      <w:r w:rsidRPr="003718EB">
        <w:rPr>
          <w:rFonts w:ascii="Arial" w:hAnsi="Arial" w:cs="Arial"/>
          <w:i/>
          <w:u w:val="single"/>
        </w:rPr>
        <w:t xml:space="preserve">  Technology of Jammu.</w:t>
      </w:r>
    </w:p>
    <w:p w14:paraId="3E87C368" w14:textId="00D1CCB5" w:rsidR="00EC77CD" w:rsidRPr="003718EB" w:rsidRDefault="00EC77CD" w:rsidP="003718EB">
      <w:pPr>
        <w:pStyle w:val="Body"/>
        <w:spacing w:after="0"/>
        <w:rPr>
          <w:rFonts w:ascii="Arial" w:hAnsi="Arial" w:cs="Arial"/>
          <w:i/>
          <w:u w:val="single"/>
        </w:rPr>
      </w:pPr>
      <w:r w:rsidRPr="003718EB">
        <w:rPr>
          <w:rFonts w:ascii="Arial" w:hAnsi="Arial" w:cs="Arial"/>
          <w:i/>
          <w:u w:val="single"/>
        </w:rPr>
        <w:t xml:space="preserve">Willard-Mack CL, Elmore SA, Hall WC, Harleman J, Kuper CF, Losco P, Rehg </w:t>
      </w:r>
      <w:proofErr w:type="gramStart"/>
      <w:r w:rsidRPr="003718EB">
        <w:rPr>
          <w:rFonts w:ascii="Arial" w:hAnsi="Arial" w:cs="Arial"/>
          <w:i/>
          <w:u w:val="single"/>
        </w:rPr>
        <w:t>JE,  Ruhl</w:t>
      </w:r>
      <w:proofErr w:type="gramEnd"/>
      <w:r w:rsidRPr="003718EB">
        <w:rPr>
          <w:rFonts w:ascii="Arial" w:hAnsi="Arial" w:cs="Arial"/>
          <w:i/>
          <w:u w:val="single"/>
        </w:rPr>
        <w:t>-</w:t>
      </w:r>
      <w:proofErr w:type="spellStart"/>
      <w:r w:rsidRPr="003718EB">
        <w:rPr>
          <w:rFonts w:ascii="Arial" w:hAnsi="Arial" w:cs="Arial"/>
          <w:i/>
          <w:u w:val="single"/>
        </w:rPr>
        <w:t>Fehlert</w:t>
      </w:r>
      <w:proofErr w:type="spellEnd"/>
      <w:r w:rsidRPr="003718EB">
        <w:rPr>
          <w:rFonts w:ascii="Arial" w:hAnsi="Arial" w:cs="Arial"/>
          <w:i/>
          <w:u w:val="single"/>
        </w:rPr>
        <w:t xml:space="preserve"> C, Ward JM, Weinstock D, Bradley A, Hosokawa S, Pearse G, Mahler BW, Herbert RA, Keenan CM. 2019. </w:t>
      </w:r>
      <w:proofErr w:type="spellStart"/>
      <w:r w:rsidRPr="003718EB">
        <w:rPr>
          <w:rFonts w:ascii="Arial" w:hAnsi="Arial" w:cs="Arial"/>
          <w:i/>
          <w:u w:val="single"/>
        </w:rPr>
        <w:t>Nonproliferative</w:t>
      </w:r>
      <w:proofErr w:type="spellEnd"/>
      <w:r w:rsidRPr="003718EB">
        <w:rPr>
          <w:rFonts w:ascii="Arial" w:hAnsi="Arial" w:cs="Arial"/>
          <w:i/>
          <w:u w:val="single"/>
        </w:rPr>
        <w:t xml:space="preserve"> and proliferative lesions of the rat and mouse hematolymphoid system. Toxicologic Pathology 47: 665-783.</w:t>
      </w:r>
      <w:r w:rsidR="00D341C6" w:rsidRPr="00D341C6">
        <w:t xml:space="preserve"> </w:t>
      </w:r>
      <w:hyperlink r:id="rId27" w:history="1">
        <w:r w:rsidR="00D341C6" w:rsidRPr="00323765">
          <w:rPr>
            <w:rStyle w:val="Hyperlink"/>
            <w:rFonts w:ascii="Arial" w:hAnsi="Arial" w:cs="Arial"/>
            <w:i/>
          </w:rPr>
          <w:t>https://doi.org/10.1177/0192623319867053</w:t>
        </w:r>
      </w:hyperlink>
      <w:r w:rsidR="00D341C6">
        <w:rPr>
          <w:rFonts w:ascii="Arial" w:hAnsi="Arial" w:cs="Arial"/>
          <w:i/>
          <w:u w:val="single"/>
        </w:rPr>
        <w:t xml:space="preserve"> </w:t>
      </w:r>
    </w:p>
    <w:p w14:paraId="796054C7" w14:textId="77777777" w:rsidR="008D0EAE" w:rsidRPr="003718EB" w:rsidRDefault="00EB77F7" w:rsidP="003718EB">
      <w:pPr>
        <w:pStyle w:val="Body"/>
        <w:spacing w:after="0"/>
        <w:rPr>
          <w:rFonts w:ascii="Arial" w:hAnsi="Arial" w:cs="Arial"/>
          <w:i/>
          <w:u w:val="single"/>
        </w:rPr>
      </w:pPr>
      <w:r w:rsidRPr="003718EB">
        <w:rPr>
          <w:rFonts w:ascii="Arial" w:hAnsi="Arial" w:cs="Arial"/>
          <w:i/>
          <w:u w:val="single"/>
        </w:rPr>
        <w:t xml:space="preserve">Shit SP, </w:t>
      </w:r>
      <w:proofErr w:type="spellStart"/>
      <w:r w:rsidRPr="003718EB">
        <w:rPr>
          <w:rFonts w:ascii="Arial" w:hAnsi="Arial" w:cs="Arial"/>
          <w:i/>
          <w:u w:val="single"/>
        </w:rPr>
        <w:t>Panghal</w:t>
      </w:r>
      <w:proofErr w:type="spellEnd"/>
      <w:r w:rsidRPr="003718EB">
        <w:rPr>
          <w:rFonts w:ascii="Arial" w:hAnsi="Arial" w:cs="Arial"/>
          <w:i/>
          <w:u w:val="single"/>
        </w:rPr>
        <w:t>, R</w:t>
      </w:r>
      <w:r w:rsidR="008D0EAE" w:rsidRPr="003718EB">
        <w:rPr>
          <w:rFonts w:ascii="Arial" w:hAnsi="Arial" w:cs="Arial"/>
          <w:i/>
          <w:u w:val="single"/>
        </w:rPr>
        <w:t>S</w:t>
      </w:r>
      <w:r w:rsidRPr="003718EB">
        <w:rPr>
          <w:rFonts w:ascii="Arial" w:hAnsi="Arial" w:cs="Arial"/>
          <w:i/>
          <w:u w:val="single"/>
        </w:rPr>
        <w:t>, Vinod, K and Rana R</w:t>
      </w:r>
      <w:r w:rsidR="008D0EAE" w:rsidRPr="003718EB">
        <w:rPr>
          <w:rFonts w:ascii="Arial" w:hAnsi="Arial" w:cs="Arial"/>
          <w:i/>
          <w:u w:val="single"/>
        </w:rPr>
        <w:t xml:space="preserve">D. (2008). Acute toxicity and gross behavioral effects of indoxacarb in laboratory animals. Haryana Veterinary. </w:t>
      </w:r>
      <w:proofErr w:type="gramStart"/>
      <w:r w:rsidR="008D0EAE" w:rsidRPr="003718EB">
        <w:rPr>
          <w:rFonts w:ascii="Arial" w:hAnsi="Arial" w:cs="Arial"/>
          <w:i/>
          <w:u w:val="single"/>
        </w:rPr>
        <w:t>47 :</w:t>
      </w:r>
      <w:proofErr w:type="gramEnd"/>
      <w:r w:rsidR="008D0EAE" w:rsidRPr="003718EB">
        <w:rPr>
          <w:rFonts w:ascii="Arial" w:hAnsi="Arial" w:cs="Arial"/>
          <w:i/>
          <w:u w:val="single"/>
        </w:rPr>
        <w:t xml:space="preserve"> 49-51.</w:t>
      </w:r>
    </w:p>
    <w:p w14:paraId="7FA15AFD" w14:textId="77777777" w:rsidR="00EC77CD" w:rsidRPr="003718EB" w:rsidRDefault="00EB77F7" w:rsidP="003718EB">
      <w:pPr>
        <w:pStyle w:val="Body"/>
        <w:spacing w:after="0"/>
        <w:rPr>
          <w:rFonts w:ascii="Arial" w:hAnsi="Arial" w:cs="Arial"/>
          <w:i/>
          <w:u w:val="single"/>
        </w:rPr>
      </w:pPr>
      <w:proofErr w:type="spellStart"/>
      <w:r w:rsidRPr="003718EB">
        <w:rPr>
          <w:rFonts w:ascii="Arial" w:hAnsi="Arial" w:cs="Arial"/>
          <w:i/>
          <w:u w:val="single"/>
        </w:rPr>
        <w:t>Mudaraddi</w:t>
      </w:r>
      <w:proofErr w:type="spellEnd"/>
      <w:r w:rsidRPr="003718EB">
        <w:rPr>
          <w:rFonts w:ascii="Arial" w:hAnsi="Arial" w:cs="Arial"/>
          <w:i/>
          <w:u w:val="single"/>
        </w:rPr>
        <w:t xml:space="preserve"> T</w:t>
      </w:r>
      <w:r w:rsidR="0001051E" w:rsidRPr="003718EB">
        <w:rPr>
          <w:rFonts w:ascii="Arial" w:hAnsi="Arial" w:cs="Arial"/>
          <w:i/>
          <w:u w:val="single"/>
        </w:rPr>
        <w:t>Y</w:t>
      </w:r>
      <w:r w:rsidRPr="003718EB">
        <w:rPr>
          <w:rFonts w:ascii="Arial" w:hAnsi="Arial" w:cs="Arial"/>
          <w:i/>
          <w:u w:val="single"/>
        </w:rPr>
        <w:t>, Potadar</w:t>
      </w:r>
      <w:r w:rsidR="0001051E" w:rsidRPr="003718EB">
        <w:rPr>
          <w:rFonts w:ascii="Arial" w:hAnsi="Arial" w:cs="Arial"/>
          <w:i/>
          <w:u w:val="single"/>
        </w:rPr>
        <w:t xml:space="preserve"> R.R</w:t>
      </w:r>
      <w:r w:rsidRPr="003718EB">
        <w:rPr>
          <w:rFonts w:ascii="Arial" w:hAnsi="Arial" w:cs="Arial"/>
          <w:i/>
          <w:u w:val="single"/>
        </w:rPr>
        <w:t xml:space="preserve"> and </w:t>
      </w:r>
      <w:proofErr w:type="spellStart"/>
      <w:r w:rsidRPr="003718EB">
        <w:rPr>
          <w:rFonts w:ascii="Arial" w:hAnsi="Arial" w:cs="Arial"/>
          <w:i/>
          <w:u w:val="single"/>
        </w:rPr>
        <w:t>Kaliwal</w:t>
      </w:r>
      <w:proofErr w:type="spellEnd"/>
      <w:r w:rsidRPr="003718EB">
        <w:rPr>
          <w:rFonts w:ascii="Arial" w:hAnsi="Arial" w:cs="Arial"/>
          <w:i/>
          <w:u w:val="single"/>
        </w:rPr>
        <w:t xml:space="preserve"> B</w:t>
      </w:r>
      <w:r w:rsidR="0001051E" w:rsidRPr="003718EB">
        <w:rPr>
          <w:rFonts w:ascii="Arial" w:hAnsi="Arial" w:cs="Arial"/>
          <w:i/>
          <w:u w:val="single"/>
        </w:rPr>
        <w:t>B. (2012). Indoxacarb induces liver oxidative stress in Swiss Albino Mice. European Journal of Experimental Biology. 2 (1</w:t>
      </w:r>
      <w:proofErr w:type="gramStart"/>
      <w:r w:rsidR="0001051E" w:rsidRPr="003718EB">
        <w:rPr>
          <w:rFonts w:ascii="Arial" w:hAnsi="Arial" w:cs="Arial"/>
          <w:i/>
          <w:u w:val="single"/>
        </w:rPr>
        <w:t>) :</w:t>
      </w:r>
      <w:proofErr w:type="gramEnd"/>
      <w:r w:rsidR="0001051E" w:rsidRPr="003718EB">
        <w:rPr>
          <w:rFonts w:ascii="Arial" w:hAnsi="Arial" w:cs="Arial"/>
          <w:i/>
          <w:u w:val="single"/>
        </w:rPr>
        <w:t xml:space="preserve"> 180-186.</w:t>
      </w:r>
    </w:p>
    <w:sectPr w:rsidR="00EC77CD" w:rsidRPr="003718EB" w:rsidSect="002509B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i angi" w:date="2025-12-02T23:02:00Z" w:initials="aa">
    <w:p w14:paraId="08A4DED9" w14:textId="77777777" w:rsidR="00C253A2" w:rsidRDefault="00C253A2" w:rsidP="00C253A2">
      <w:pPr>
        <w:pStyle w:val="CommentText"/>
      </w:pPr>
      <w:r>
        <w:rPr>
          <w:rStyle w:val="CommentReference"/>
        </w:rPr>
        <w:annotationRef/>
      </w:r>
      <w:r>
        <w:t xml:space="preserve">It is best to ignore the research objective in the title. “ This study aims to describe the toxicopathology of indoxacarb and its amilioration with vitamin C in Wistar rats (Rattus norvegicus). </w:t>
      </w:r>
    </w:p>
  </w:comment>
  <w:comment w:id="1" w:author="andri angi" w:date="2025-12-02T23:04:00Z" w:initials="aa">
    <w:p w14:paraId="0757D950" w14:textId="77777777" w:rsidR="00C253A2" w:rsidRDefault="00C253A2" w:rsidP="00C253A2">
      <w:pPr>
        <w:pStyle w:val="CommentText"/>
      </w:pPr>
      <w:r>
        <w:rPr>
          <w:rStyle w:val="CommentReference"/>
        </w:rPr>
        <w:annotationRef/>
      </w:r>
      <w:r>
        <w:t>Research objectives that must be presented in the abstract</w:t>
      </w:r>
    </w:p>
  </w:comment>
  <w:comment w:id="2" w:author="andri angi" w:date="2025-12-01T14:14:00Z" w:initials="aa">
    <w:p w14:paraId="4850A4A6" w14:textId="7CF6F5E4" w:rsidR="006E5422" w:rsidRDefault="006E5422" w:rsidP="006E5422">
      <w:pPr>
        <w:pStyle w:val="CommentText"/>
      </w:pPr>
      <w:r>
        <w:rPr>
          <w:rStyle w:val="CommentReference"/>
        </w:rPr>
        <w:annotationRef/>
      </w:r>
      <w:r>
        <w:rPr>
          <w:lang w:val="en-ID"/>
        </w:rPr>
        <w:t>It is also advisable to provide an explanation regarding clinical symptoms, both visible and invisible (especially in groups II and III). Provide an explanation as to why the treatment of female rats in groups 1 and IV resulted in visible clinical symptoms, while groups II and III did not report any visible clinical symptoms. Was there an effect of the dosage given to groups I and IV (the effective dosage that should be given)?</w:t>
      </w:r>
    </w:p>
  </w:comment>
  <w:comment w:id="3" w:author="andri angi" w:date="2025-12-02T23:09:00Z" w:initials="aa">
    <w:p w14:paraId="08B3D1D3" w14:textId="77777777" w:rsidR="00C253A2" w:rsidRDefault="00C253A2" w:rsidP="00C253A2">
      <w:pPr>
        <w:pStyle w:val="CommentText"/>
      </w:pPr>
      <w:r>
        <w:rPr>
          <w:rStyle w:val="CommentReference"/>
        </w:rPr>
        <w:annotationRef/>
      </w:r>
      <w:r>
        <w:t>Explain in the discussion that its value is very high compared to others, especially on day 0.</w:t>
      </w:r>
    </w:p>
  </w:comment>
  <w:comment w:id="5" w:author="andri angi" w:date="2025-12-02T23:23:00Z" w:initials="aa">
    <w:p w14:paraId="19CBDC1A" w14:textId="77777777" w:rsidR="009C359E" w:rsidRDefault="009C359E" w:rsidP="009C359E">
      <w:pPr>
        <w:pStyle w:val="CommentText"/>
      </w:pPr>
      <w:r>
        <w:rPr>
          <w:rStyle w:val="CommentReference"/>
        </w:rPr>
        <w:annotationRef/>
      </w:r>
      <w:r>
        <w:t xml:space="preserve">Must be aligned with the overall research objectives outlined in the abstract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A4DED9" w15:done="0"/>
  <w15:commentEx w15:paraId="0757D950" w15:done="0"/>
  <w15:commentEx w15:paraId="4850A4A6" w15:done="0"/>
  <w15:commentEx w15:paraId="08B3D1D3" w15:done="0"/>
  <w15:commentEx w15:paraId="19CBDC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E5F078" w16cex:dateUtc="2025-12-02T15:02:00Z"/>
  <w16cex:commentExtensible w16cex:durableId="34A8B157" w16cex:dateUtc="2025-12-02T15:04:00Z"/>
  <w16cex:commentExtensible w16cex:durableId="4790FB50" w16cex:dateUtc="2025-12-01T06:14:00Z"/>
  <w16cex:commentExtensible w16cex:durableId="4CB43F96" w16cex:dateUtc="2025-12-02T15:09:00Z"/>
  <w16cex:commentExtensible w16cex:durableId="595DCED3" w16cex:dateUtc="2025-12-02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4DED9" w16cid:durableId="7DE5F078"/>
  <w16cid:commentId w16cid:paraId="0757D950" w16cid:durableId="34A8B157"/>
  <w16cid:commentId w16cid:paraId="4850A4A6" w16cid:durableId="4790FB50"/>
  <w16cid:commentId w16cid:paraId="08B3D1D3" w16cid:durableId="4CB43F96"/>
  <w16cid:commentId w16cid:paraId="19CBDC1A" w16cid:durableId="595DCE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400D" w14:textId="77777777" w:rsidR="00AB782B" w:rsidRDefault="00AB782B" w:rsidP="00D9129D">
      <w:pPr>
        <w:spacing w:after="0" w:line="240" w:lineRule="auto"/>
      </w:pPr>
      <w:r>
        <w:separator/>
      </w:r>
    </w:p>
  </w:endnote>
  <w:endnote w:type="continuationSeparator" w:id="0">
    <w:p w14:paraId="5182C737" w14:textId="77777777" w:rsidR="00AB782B" w:rsidRDefault="00AB782B" w:rsidP="00D9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3D13" w14:textId="77777777" w:rsidR="002509B9" w:rsidRDefault="00250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3B40" w14:textId="77777777" w:rsidR="002509B9" w:rsidRDefault="00250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7131" w14:textId="77777777" w:rsidR="002509B9" w:rsidRDefault="0025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1581" w14:textId="77777777" w:rsidR="00AB782B" w:rsidRDefault="00AB782B" w:rsidP="00D9129D">
      <w:pPr>
        <w:spacing w:after="0" w:line="240" w:lineRule="auto"/>
      </w:pPr>
      <w:r>
        <w:separator/>
      </w:r>
    </w:p>
  </w:footnote>
  <w:footnote w:type="continuationSeparator" w:id="0">
    <w:p w14:paraId="7D864486" w14:textId="77777777" w:rsidR="00AB782B" w:rsidRDefault="00AB782B" w:rsidP="00D9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3751" w14:textId="0BC0FC22" w:rsidR="002509B9" w:rsidRDefault="00000000">
    <w:pPr>
      <w:pStyle w:val="Header"/>
    </w:pPr>
    <w:r>
      <w:rPr>
        <w:noProof/>
      </w:rPr>
      <w:pict w14:anchorId="61621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40C4" w14:textId="160C8EA9" w:rsidR="002509B9" w:rsidRDefault="00000000">
    <w:pPr>
      <w:pStyle w:val="Header"/>
    </w:pPr>
    <w:r>
      <w:rPr>
        <w:noProof/>
      </w:rPr>
      <w:pict w14:anchorId="7F706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00F" w14:textId="6A96BF8E" w:rsidR="002509B9" w:rsidRDefault="00000000">
    <w:pPr>
      <w:pStyle w:val="Header"/>
    </w:pPr>
    <w:r>
      <w:rPr>
        <w:noProof/>
      </w:rPr>
      <w:pict w14:anchorId="054C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219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1490"/>
    <w:multiLevelType w:val="hybridMultilevel"/>
    <w:tmpl w:val="8946CE3E"/>
    <w:lvl w:ilvl="0" w:tplc="4009000F">
      <w:start w:val="1"/>
      <w:numFmt w:val="decimal"/>
      <w:lvlText w:val="%1."/>
      <w:lvlJc w:val="left"/>
      <w:pPr>
        <w:ind w:left="720" w:hanging="360"/>
      </w:pPr>
    </w:lvl>
    <w:lvl w:ilvl="1" w:tplc="BAE4598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970727"/>
    <w:multiLevelType w:val="hybridMultilevel"/>
    <w:tmpl w:val="2B20C2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AC0E07"/>
    <w:multiLevelType w:val="hybridMultilevel"/>
    <w:tmpl w:val="867A9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67E0E"/>
    <w:multiLevelType w:val="hybridMultilevel"/>
    <w:tmpl w:val="7F928A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A412B8"/>
    <w:multiLevelType w:val="hybridMultilevel"/>
    <w:tmpl w:val="8668A4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7A6731"/>
    <w:multiLevelType w:val="hybridMultilevel"/>
    <w:tmpl w:val="41DE4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B5170"/>
    <w:multiLevelType w:val="hybridMultilevel"/>
    <w:tmpl w:val="ACB8ACF0"/>
    <w:lvl w:ilvl="0" w:tplc="04090013">
      <w:start w:val="1"/>
      <w:numFmt w:val="upp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11D27"/>
    <w:multiLevelType w:val="hybridMultilevel"/>
    <w:tmpl w:val="4B685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38442260">
    <w:abstractNumId w:val="0"/>
  </w:num>
  <w:num w:numId="2" w16cid:durableId="390348440">
    <w:abstractNumId w:val="3"/>
  </w:num>
  <w:num w:numId="3" w16cid:durableId="999962695">
    <w:abstractNumId w:val="2"/>
  </w:num>
  <w:num w:numId="4" w16cid:durableId="691154835">
    <w:abstractNumId w:val="1"/>
  </w:num>
  <w:num w:numId="5" w16cid:durableId="1741436869">
    <w:abstractNumId w:val="6"/>
  </w:num>
  <w:num w:numId="6" w16cid:durableId="940529060">
    <w:abstractNumId w:val="5"/>
  </w:num>
  <w:num w:numId="7" w16cid:durableId="1923374369">
    <w:abstractNumId w:val="7"/>
  </w:num>
  <w:num w:numId="8" w16cid:durableId="14963856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 angi">
    <w15:presenceInfo w15:providerId="Windows Live" w15:userId="05ff61c6d0a46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88"/>
    <w:rsid w:val="00003D74"/>
    <w:rsid w:val="0000607F"/>
    <w:rsid w:val="0001051E"/>
    <w:rsid w:val="00016E6D"/>
    <w:rsid w:val="00025325"/>
    <w:rsid w:val="000347C3"/>
    <w:rsid w:val="00046E53"/>
    <w:rsid w:val="000522C3"/>
    <w:rsid w:val="00053D56"/>
    <w:rsid w:val="00055F85"/>
    <w:rsid w:val="0005784C"/>
    <w:rsid w:val="00057BD3"/>
    <w:rsid w:val="00057F34"/>
    <w:rsid w:val="0006391D"/>
    <w:rsid w:val="000660A7"/>
    <w:rsid w:val="00072963"/>
    <w:rsid w:val="00073EAC"/>
    <w:rsid w:val="000752A8"/>
    <w:rsid w:val="0007548C"/>
    <w:rsid w:val="0007772D"/>
    <w:rsid w:val="00081FA3"/>
    <w:rsid w:val="000841DD"/>
    <w:rsid w:val="00084E9F"/>
    <w:rsid w:val="00085E2D"/>
    <w:rsid w:val="00092C36"/>
    <w:rsid w:val="00096F1F"/>
    <w:rsid w:val="000A74EB"/>
    <w:rsid w:val="000B232F"/>
    <w:rsid w:val="000B2FD5"/>
    <w:rsid w:val="000B36E7"/>
    <w:rsid w:val="000B4B12"/>
    <w:rsid w:val="000B6D15"/>
    <w:rsid w:val="000C5B96"/>
    <w:rsid w:val="000D1410"/>
    <w:rsid w:val="000D3E43"/>
    <w:rsid w:val="000D5B2B"/>
    <w:rsid w:val="000E1C53"/>
    <w:rsid w:val="000E6CE4"/>
    <w:rsid w:val="000F52B7"/>
    <w:rsid w:val="000F779A"/>
    <w:rsid w:val="00103EDD"/>
    <w:rsid w:val="001122AB"/>
    <w:rsid w:val="00124BDD"/>
    <w:rsid w:val="00126054"/>
    <w:rsid w:val="0014597D"/>
    <w:rsid w:val="001504F5"/>
    <w:rsid w:val="00150BAD"/>
    <w:rsid w:val="00153CFA"/>
    <w:rsid w:val="00155D36"/>
    <w:rsid w:val="00157681"/>
    <w:rsid w:val="001659F9"/>
    <w:rsid w:val="0016760B"/>
    <w:rsid w:val="00170FF2"/>
    <w:rsid w:val="00176684"/>
    <w:rsid w:val="001805B1"/>
    <w:rsid w:val="00180AD4"/>
    <w:rsid w:val="00180DFE"/>
    <w:rsid w:val="00180F10"/>
    <w:rsid w:val="00184D3F"/>
    <w:rsid w:val="0018750C"/>
    <w:rsid w:val="00191181"/>
    <w:rsid w:val="0019237B"/>
    <w:rsid w:val="0019419F"/>
    <w:rsid w:val="001955B0"/>
    <w:rsid w:val="001A063D"/>
    <w:rsid w:val="001A2702"/>
    <w:rsid w:val="001A36EC"/>
    <w:rsid w:val="001A4106"/>
    <w:rsid w:val="001A6060"/>
    <w:rsid w:val="001A7DBB"/>
    <w:rsid w:val="001B1DFE"/>
    <w:rsid w:val="001B6F68"/>
    <w:rsid w:val="001C06A3"/>
    <w:rsid w:val="001C18B7"/>
    <w:rsid w:val="001D3266"/>
    <w:rsid w:val="001D7FE1"/>
    <w:rsid w:val="001E3388"/>
    <w:rsid w:val="001E4AD7"/>
    <w:rsid w:val="001E6489"/>
    <w:rsid w:val="001E67CF"/>
    <w:rsid w:val="001F6F48"/>
    <w:rsid w:val="001F77D1"/>
    <w:rsid w:val="00201EED"/>
    <w:rsid w:val="00204261"/>
    <w:rsid w:val="00205128"/>
    <w:rsid w:val="0021119C"/>
    <w:rsid w:val="00212DC4"/>
    <w:rsid w:val="00216325"/>
    <w:rsid w:val="00217229"/>
    <w:rsid w:val="00224901"/>
    <w:rsid w:val="00233110"/>
    <w:rsid w:val="002340C7"/>
    <w:rsid w:val="00237E49"/>
    <w:rsid w:val="00241111"/>
    <w:rsid w:val="00241751"/>
    <w:rsid w:val="00241B38"/>
    <w:rsid w:val="00244EBE"/>
    <w:rsid w:val="002509B9"/>
    <w:rsid w:val="00254321"/>
    <w:rsid w:val="00257932"/>
    <w:rsid w:val="002613FD"/>
    <w:rsid w:val="002643C2"/>
    <w:rsid w:val="00266E86"/>
    <w:rsid w:val="002736A1"/>
    <w:rsid w:val="00273BFC"/>
    <w:rsid w:val="00276073"/>
    <w:rsid w:val="002770D0"/>
    <w:rsid w:val="002774C6"/>
    <w:rsid w:val="0028296C"/>
    <w:rsid w:val="002833F8"/>
    <w:rsid w:val="00284548"/>
    <w:rsid w:val="00290B78"/>
    <w:rsid w:val="00294F73"/>
    <w:rsid w:val="00295831"/>
    <w:rsid w:val="00296F80"/>
    <w:rsid w:val="002A1422"/>
    <w:rsid w:val="002A549C"/>
    <w:rsid w:val="002A6242"/>
    <w:rsid w:val="002A7147"/>
    <w:rsid w:val="002B2880"/>
    <w:rsid w:val="002B3579"/>
    <w:rsid w:val="002B7E91"/>
    <w:rsid w:val="002C10DC"/>
    <w:rsid w:val="002C48D7"/>
    <w:rsid w:val="002D1E12"/>
    <w:rsid w:val="002D2A5C"/>
    <w:rsid w:val="002F0FD7"/>
    <w:rsid w:val="002F7FCA"/>
    <w:rsid w:val="0030298D"/>
    <w:rsid w:val="00303CCD"/>
    <w:rsid w:val="003066CC"/>
    <w:rsid w:val="00306A7B"/>
    <w:rsid w:val="003071BE"/>
    <w:rsid w:val="003105CF"/>
    <w:rsid w:val="00311C2F"/>
    <w:rsid w:val="00311EC1"/>
    <w:rsid w:val="003159F3"/>
    <w:rsid w:val="00315CBF"/>
    <w:rsid w:val="003173E8"/>
    <w:rsid w:val="0032025E"/>
    <w:rsid w:val="00322560"/>
    <w:rsid w:val="003235C2"/>
    <w:rsid w:val="00323F24"/>
    <w:rsid w:val="00330FAF"/>
    <w:rsid w:val="003313D7"/>
    <w:rsid w:val="0033737C"/>
    <w:rsid w:val="00337E32"/>
    <w:rsid w:val="003413E1"/>
    <w:rsid w:val="00344C1F"/>
    <w:rsid w:val="00346FD1"/>
    <w:rsid w:val="003473C6"/>
    <w:rsid w:val="0035098A"/>
    <w:rsid w:val="00353A06"/>
    <w:rsid w:val="00353DC9"/>
    <w:rsid w:val="00354602"/>
    <w:rsid w:val="00355594"/>
    <w:rsid w:val="00367797"/>
    <w:rsid w:val="003711F2"/>
    <w:rsid w:val="003718EB"/>
    <w:rsid w:val="00371E7E"/>
    <w:rsid w:val="00373158"/>
    <w:rsid w:val="00375FD7"/>
    <w:rsid w:val="003847F0"/>
    <w:rsid w:val="003879F5"/>
    <w:rsid w:val="00393EBF"/>
    <w:rsid w:val="00394B60"/>
    <w:rsid w:val="003A56F0"/>
    <w:rsid w:val="003B06F1"/>
    <w:rsid w:val="003B2C66"/>
    <w:rsid w:val="003B49CA"/>
    <w:rsid w:val="003B6886"/>
    <w:rsid w:val="003C2FA0"/>
    <w:rsid w:val="003C6089"/>
    <w:rsid w:val="003D1A03"/>
    <w:rsid w:val="003E5015"/>
    <w:rsid w:val="003E7B6A"/>
    <w:rsid w:val="003F736B"/>
    <w:rsid w:val="00404245"/>
    <w:rsid w:val="004045DC"/>
    <w:rsid w:val="0041504E"/>
    <w:rsid w:val="00422C4F"/>
    <w:rsid w:val="0043243B"/>
    <w:rsid w:val="00437422"/>
    <w:rsid w:val="00441E59"/>
    <w:rsid w:val="00451D1A"/>
    <w:rsid w:val="0045480E"/>
    <w:rsid w:val="00461DC5"/>
    <w:rsid w:val="00470A68"/>
    <w:rsid w:val="004A6F1B"/>
    <w:rsid w:val="004B251D"/>
    <w:rsid w:val="004B2D8F"/>
    <w:rsid w:val="004C0C3B"/>
    <w:rsid w:val="004C26A7"/>
    <w:rsid w:val="004C4959"/>
    <w:rsid w:val="004C617A"/>
    <w:rsid w:val="004D0733"/>
    <w:rsid w:val="004D0AA2"/>
    <w:rsid w:val="004D0D1D"/>
    <w:rsid w:val="004D4A65"/>
    <w:rsid w:val="004E2E69"/>
    <w:rsid w:val="004E59D2"/>
    <w:rsid w:val="004F3608"/>
    <w:rsid w:val="004F39FC"/>
    <w:rsid w:val="00500449"/>
    <w:rsid w:val="00500F53"/>
    <w:rsid w:val="00502494"/>
    <w:rsid w:val="00504F7A"/>
    <w:rsid w:val="00517F51"/>
    <w:rsid w:val="005264F9"/>
    <w:rsid w:val="00527854"/>
    <w:rsid w:val="00527E95"/>
    <w:rsid w:val="00531B80"/>
    <w:rsid w:val="00532E3C"/>
    <w:rsid w:val="00543844"/>
    <w:rsid w:val="00544568"/>
    <w:rsid w:val="00557C29"/>
    <w:rsid w:val="00557C76"/>
    <w:rsid w:val="005625C1"/>
    <w:rsid w:val="005656B8"/>
    <w:rsid w:val="00565F6E"/>
    <w:rsid w:val="00567260"/>
    <w:rsid w:val="00583612"/>
    <w:rsid w:val="0058516D"/>
    <w:rsid w:val="00586403"/>
    <w:rsid w:val="005951D3"/>
    <w:rsid w:val="005955F4"/>
    <w:rsid w:val="005957C4"/>
    <w:rsid w:val="0059687B"/>
    <w:rsid w:val="005A2164"/>
    <w:rsid w:val="005A3088"/>
    <w:rsid w:val="005A503B"/>
    <w:rsid w:val="005A6AAE"/>
    <w:rsid w:val="005A7F31"/>
    <w:rsid w:val="005B188F"/>
    <w:rsid w:val="005B56DE"/>
    <w:rsid w:val="005D4986"/>
    <w:rsid w:val="005D798C"/>
    <w:rsid w:val="005F6E57"/>
    <w:rsid w:val="00607C58"/>
    <w:rsid w:val="0061521B"/>
    <w:rsid w:val="00616785"/>
    <w:rsid w:val="00620D27"/>
    <w:rsid w:val="006212AE"/>
    <w:rsid w:val="00622758"/>
    <w:rsid w:val="00626048"/>
    <w:rsid w:val="0063364E"/>
    <w:rsid w:val="00633D26"/>
    <w:rsid w:val="00634C9E"/>
    <w:rsid w:val="00634DB8"/>
    <w:rsid w:val="00637813"/>
    <w:rsid w:val="00644D5B"/>
    <w:rsid w:val="00645621"/>
    <w:rsid w:val="00647030"/>
    <w:rsid w:val="00652252"/>
    <w:rsid w:val="00663447"/>
    <w:rsid w:val="006654C8"/>
    <w:rsid w:val="00667DE2"/>
    <w:rsid w:val="00673B84"/>
    <w:rsid w:val="00683558"/>
    <w:rsid w:val="0068397A"/>
    <w:rsid w:val="00690E3D"/>
    <w:rsid w:val="006A14DE"/>
    <w:rsid w:val="006A5C66"/>
    <w:rsid w:val="006A7E43"/>
    <w:rsid w:val="006C0AA7"/>
    <w:rsid w:val="006C4608"/>
    <w:rsid w:val="006C75B6"/>
    <w:rsid w:val="006D22A5"/>
    <w:rsid w:val="006D3D2F"/>
    <w:rsid w:val="006D7429"/>
    <w:rsid w:val="006D7DF0"/>
    <w:rsid w:val="006E0C4E"/>
    <w:rsid w:val="006E5422"/>
    <w:rsid w:val="006F4AD5"/>
    <w:rsid w:val="006F74FE"/>
    <w:rsid w:val="007000D1"/>
    <w:rsid w:val="00703791"/>
    <w:rsid w:val="00704DC3"/>
    <w:rsid w:val="007055CE"/>
    <w:rsid w:val="007068A2"/>
    <w:rsid w:val="00712EB9"/>
    <w:rsid w:val="007150AD"/>
    <w:rsid w:val="007161E1"/>
    <w:rsid w:val="00717F1E"/>
    <w:rsid w:val="00722CE4"/>
    <w:rsid w:val="00724AEE"/>
    <w:rsid w:val="00727AF2"/>
    <w:rsid w:val="007421C9"/>
    <w:rsid w:val="007448B2"/>
    <w:rsid w:val="00744B01"/>
    <w:rsid w:val="007457E9"/>
    <w:rsid w:val="00745FFC"/>
    <w:rsid w:val="00750432"/>
    <w:rsid w:val="00750876"/>
    <w:rsid w:val="00753716"/>
    <w:rsid w:val="00762DC7"/>
    <w:rsid w:val="00776A28"/>
    <w:rsid w:val="00780BA1"/>
    <w:rsid w:val="00787481"/>
    <w:rsid w:val="007903FC"/>
    <w:rsid w:val="007943E9"/>
    <w:rsid w:val="007955C9"/>
    <w:rsid w:val="007C2A69"/>
    <w:rsid w:val="007D0EE7"/>
    <w:rsid w:val="007D2F76"/>
    <w:rsid w:val="007D42D0"/>
    <w:rsid w:val="007D7164"/>
    <w:rsid w:val="007E17D0"/>
    <w:rsid w:val="007E4E2B"/>
    <w:rsid w:val="007E6573"/>
    <w:rsid w:val="007E6DA6"/>
    <w:rsid w:val="007F1A98"/>
    <w:rsid w:val="007F5154"/>
    <w:rsid w:val="00802B26"/>
    <w:rsid w:val="00815EE5"/>
    <w:rsid w:val="00816B3D"/>
    <w:rsid w:val="008172B3"/>
    <w:rsid w:val="008253F4"/>
    <w:rsid w:val="00825B02"/>
    <w:rsid w:val="00833293"/>
    <w:rsid w:val="00834C80"/>
    <w:rsid w:val="0085105E"/>
    <w:rsid w:val="008543D7"/>
    <w:rsid w:val="008617D3"/>
    <w:rsid w:val="008656D4"/>
    <w:rsid w:val="00867FFD"/>
    <w:rsid w:val="00876DEB"/>
    <w:rsid w:val="00885BF1"/>
    <w:rsid w:val="00890E44"/>
    <w:rsid w:val="00891FC3"/>
    <w:rsid w:val="00893FA8"/>
    <w:rsid w:val="008958B0"/>
    <w:rsid w:val="008A3EA0"/>
    <w:rsid w:val="008A5533"/>
    <w:rsid w:val="008A577B"/>
    <w:rsid w:val="008A78E5"/>
    <w:rsid w:val="008B2E40"/>
    <w:rsid w:val="008C7C24"/>
    <w:rsid w:val="008D0812"/>
    <w:rsid w:val="008D0C6D"/>
    <w:rsid w:val="008D0EAE"/>
    <w:rsid w:val="008D14A0"/>
    <w:rsid w:val="008D28F2"/>
    <w:rsid w:val="008D4DC5"/>
    <w:rsid w:val="008D7CC3"/>
    <w:rsid w:val="008D7E01"/>
    <w:rsid w:val="008E41B6"/>
    <w:rsid w:val="008E4FF1"/>
    <w:rsid w:val="008E652C"/>
    <w:rsid w:val="00901C25"/>
    <w:rsid w:val="009052F2"/>
    <w:rsid w:val="00914AC9"/>
    <w:rsid w:val="00922774"/>
    <w:rsid w:val="0092407D"/>
    <w:rsid w:val="009308C6"/>
    <w:rsid w:val="009322FC"/>
    <w:rsid w:val="0094420A"/>
    <w:rsid w:val="00944570"/>
    <w:rsid w:val="00954F62"/>
    <w:rsid w:val="00955054"/>
    <w:rsid w:val="0095699D"/>
    <w:rsid w:val="00962B7B"/>
    <w:rsid w:val="009630FD"/>
    <w:rsid w:val="00963464"/>
    <w:rsid w:val="00974954"/>
    <w:rsid w:val="00980EA1"/>
    <w:rsid w:val="009A0805"/>
    <w:rsid w:val="009A50CA"/>
    <w:rsid w:val="009C359E"/>
    <w:rsid w:val="009C3CC7"/>
    <w:rsid w:val="009C4494"/>
    <w:rsid w:val="009C4BD1"/>
    <w:rsid w:val="009C4E19"/>
    <w:rsid w:val="009D2E9D"/>
    <w:rsid w:val="009D3111"/>
    <w:rsid w:val="009D3A99"/>
    <w:rsid w:val="009D7441"/>
    <w:rsid w:val="009E308C"/>
    <w:rsid w:val="009E793A"/>
    <w:rsid w:val="009F09FA"/>
    <w:rsid w:val="009F0A58"/>
    <w:rsid w:val="009F1B8E"/>
    <w:rsid w:val="009F3A3E"/>
    <w:rsid w:val="00A039AD"/>
    <w:rsid w:val="00A04578"/>
    <w:rsid w:val="00A11DD8"/>
    <w:rsid w:val="00A14D1F"/>
    <w:rsid w:val="00A22489"/>
    <w:rsid w:val="00A230BE"/>
    <w:rsid w:val="00A24058"/>
    <w:rsid w:val="00A31A24"/>
    <w:rsid w:val="00A51CD8"/>
    <w:rsid w:val="00A55611"/>
    <w:rsid w:val="00A65619"/>
    <w:rsid w:val="00A679AA"/>
    <w:rsid w:val="00A70199"/>
    <w:rsid w:val="00A742C5"/>
    <w:rsid w:val="00A82FE4"/>
    <w:rsid w:val="00A835EE"/>
    <w:rsid w:val="00A9060C"/>
    <w:rsid w:val="00A925A9"/>
    <w:rsid w:val="00A932BC"/>
    <w:rsid w:val="00A960D1"/>
    <w:rsid w:val="00AA49C1"/>
    <w:rsid w:val="00AB782B"/>
    <w:rsid w:val="00AC0D15"/>
    <w:rsid w:val="00AD00F0"/>
    <w:rsid w:val="00AD255E"/>
    <w:rsid w:val="00AE1E7F"/>
    <w:rsid w:val="00AE2EDE"/>
    <w:rsid w:val="00AE50C1"/>
    <w:rsid w:val="00AE6543"/>
    <w:rsid w:val="00AE6635"/>
    <w:rsid w:val="00B00AC5"/>
    <w:rsid w:val="00B03E92"/>
    <w:rsid w:val="00B07BA1"/>
    <w:rsid w:val="00B16B1B"/>
    <w:rsid w:val="00B17C66"/>
    <w:rsid w:val="00B223D5"/>
    <w:rsid w:val="00B2621B"/>
    <w:rsid w:val="00B30365"/>
    <w:rsid w:val="00B347FB"/>
    <w:rsid w:val="00B377AA"/>
    <w:rsid w:val="00B41219"/>
    <w:rsid w:val="00B42CE8"/>
    <w:rsid w:val="00B43BE2"/>
    <w:rsid w:val="00B4453F"/>
    <w:rsid w:val="00B476A8"/>
    <w:rsid w:val="00B53946"/>
    <w:rsid w:val="00B639B6"/>
    <w:rsid w:val="00B67AA2"/>
    <w:rsid w:val="00B77A4D"/>
    <w:rsid w:val="00B77CA6"/>
    <w:rsid w:val="00B8007B"/>
    <w:rsid w:val="00B83729"/>
    <w:rsid w:val="00B865A9"/>
    <w:rsid w:val="00BA5784"/>
    <w:rsid w:val="00BB1687"/>
    <w:rsid w:val="00BB4761"/>
    <w:rsid w:val="00BB4D55"/>
    <w:rsid w:val="00BB71B9"/>
    <w:rsid w:val="00BC1A4B"/>
    <w:rsid w:val="00BE10E7"/>
    <w:rsid w:val="00BE3012"/>
    <w:rsid w:val="00BF2A8C"/>
    <w:rsid w:val="00BF3B8C"/>
    <w:rsid w:val="00C02257"/>
    <w:rsid w:val="00C031B7"/>
    <w:rsid w:val="00C039A6"/>
    <w:rsid w:val="00C03FB9"/>
    <w:rsid w:val="00C22E84"/>
    <w:rsid w:val="00C253A2"/>
    <w:rsid w:val="00C2624A"/>
    <w:rsid w:val="00C31CFC"/>
    <w:rsid w:val="00C31EA8"/>
    <w:rsid w:val="00C44020"/>
    <w:rsid w:val="00C5756C"/>
    <w:rsid w:val="00C60181"/>
    <w:rsid w:val="00C61A67"/>
    <w:rsid w:val="00C63B0D"/>
    <w:rsid w:val="00C6480C"/>
    <w:rsid w:val="00C66116"/>
    <w:rsid w:val="00C75F9F"/>
    <w:rsid w:val="00C81BDA"/>
    <w:rsid w:val="00C830EF"/>
    <w:rsid w:val="00C83302"/>
    <w:rsid w:val="00C9653C"/>
    <w:rsid w:val="00CA22C1"/>
    <w:rsid w:val="00CB0AA0"/>
    <w:rsid w:val="00CB1A25"/>
    <w:rsid w:val="00CB3D10"/>
    <w:rsid w:val="00CC1057"/>
    <w:rsid w:val="00CD068A"/>
    <w:rsid w:val="00CE0351"/>
    <w:rsid w:val="00CE1CA9"/>
    <w:rsid w:val="00CF2F12"/>
    <w:rsid w:val="00CF3A66"/>
    <w:rsid w:val="00CF6E27"/>
    <w:rsid w:val="00D043E6"/>
    <w:rsid w:val="00D11696"/>
    <w:rsid w:val="00D14595"/>
    <w:rsid w:val="00D1688E"/>
    <w:rsid w:val="00D31632"/>
    <w:rsid w:val="00D341C6"/>
    <w:rsid w:val="00D40AE7"/>
    <w:rsid w:val="00D41F68"/>
    <w:rsid w:val="00D42702"/>
    <w:rsid w:val="00D437EA"/>
    <w:rsid w:val="00D468A5"/>
    <w:rsid w:val="00D51F44"/>
    <w:rsid w:val="00D5658D"/>
    <w:rsid w:val="00D634C6"/>
    <w:rsid w:val="00D65104"/>
    <w:rsid w:val="00D65E60"/>
    <w:rsid w:val="00D6624F"/>
    <w:rsid w:val="00D744E4"/>
    <w:rsid w:val="00D75DAD"/>
    <w:rsid w:val="00D81848"/>
    <w:rsid w:val="00D86A0F"/>
    <w:rsid w:val="00D90260"/>
    <w:rsid w:val="00D90E9C"/>
    <w:rsid w:val="00D9129D"/>
    <w:rsid w:val="00D96D6F"/>
    <w:rsid w:val="00DA4495"/>
    <w:rsid w:val="00DB0886"/>
    <w:rsid w:val="00DB1E44"/>
    <w:rsid w:val="00DB2BD3"/>
    <w:rsid w:val="00DB3522"/>
    <w:rsid w:val="00DC05E8"/>
    <w:rsid w:val="00DC0635"/>
    <w:rsid w:val="00DC3A67"/>
    <w:rsid w:val="00DC47E6"/>
    <w:rsid w:val="00DC597B"/>
    <w:rsid w:val="00DC6371"/>
    <w:rsid w:val="00DC7CEB"/>
    <w:rsid w:val="00DF0C55"/>
    <w:rsid w:val="00DF2BB4"/>
    <w:rsid w:val="00DF59F7"/>
    <w:rsid w:val="00DF6569"/>
    <w:rsid w:val="00E0042D"/>
    <w:rsid w:val="00E02C37"/>
    <w:rsid w:val="00E03440"/>
    <w:rsid w:val="00E03CBC"/>
    <w:rsid w:val="00E04014"/>
    <w:rsid w:val="00E12FB6"/>
    <w:rsid w:val="00E160C8"/>
    <w:rsid w:val="00E21B38"/>
    <w:rsid w:val="00E23429"/>
    <w:rsid w:val="00E2752F"/>
    <w:rsid w:val="00E3434C"/>
    <w:rsid w:val="00E562A6"/>
    <w:rsid w:val="00E6230E"/>
    <w:rsid w:val="00E634B8"/>
    <w:rsid w:val="00E6588E"/>
    <w:rsid w:val="00E67A60"/>
    <w:rsid w:val="00E77CC4"/>
    <w:rsid w:val="00E8129F"/>
    <w:rsid w:val="00E826C9"/>
    <w:rsid w:val="00E82933"/>
    <w:rsid w:val="00E94139"/>
    <w:rsid w:val="00E9759C"/>
    <w:rsid w:val="00EA0BD5"/>
    <w:rsid w:val="00EA1420"/>
    <w:rsid w:val="00EA6974"/>
    <w:rsid w:val="00EB5498"/>
    <w:rsid w:val="00EB56EC"/>
    <w:rsid w:val="00EB6C41"/>
    <w:rsid w:val="00EB77F7"/>
    <w:rsid w:val="00EC196F"/>
    <w:rsid w:val="00EC1FFA"/>
    <w:rsid w:val="00EC2E15"/>
    <w:rsid w:val="00EC5470"/>
    <w:rsid w:val="00EC55CD"/>
    <w:rsid w:val="00EC77CD"/>
    <w:rsid w:val="00ED2256"/>
    <w:rsid w:val="00ED5271"/>
    <w:rsid w:val="00ED68BA"/>
    <w:rsid w:val="00ED6ED1"/>
    <w:rsid w:val="00EE01F8"/>
    <w:rsid w:val="00EE581D"/>
    <w:rsid w:val="00EF1D8C"/>
    <w:rsid w:val="00EF5DF6"/>
    <w:rsid w:val="00F0284F"/>
    <w:rsid w:val="00F03250"/>
    <w:rsid w:val="00F03BC5"/>
    <w:rsid w:val="00F15CD3"/>
    <w:rsid w:val="00F2114C"/>
    <w:rsid w:val="00F31885"/>
    <w:rsid w:val="00F4469A"/>
    <w:rsid w:val="00F47B9F"/>
    <w:rsid w:val="00F556C7"/>
    <w:rsid w:val="00F57692"/>
    <w:rsid w:val="00F87585"/>
    <w:rsid w:val="00F93637"/>
    <w:rsid w:val="00FA2971"/>
    <w:rsid w:val="00FA3CD9"/>
    <w:rsid w:val="00FA5EBC"/>
    <w:rsid w:val="00FA79A7"/>
    <w:rsid w:val="00FB3AD4"/>
    <w:rsid w:val="00FB47BE"/>
    <w:rsid w:val="00FB49E7"/>
    <w:rsid w:val="00FB79A9"/>
    <w:rsid w:val="00FC0B93"/>
    <w:rsid w:val="00FC19A9"/>
    <w:rsid w:val="00FC47C1"/>
    <w:rsid w:val="00FC6CCE"/>
    <w:rsid w:val="00FD7A19"/>
    <w:rsid w:val="00FE1EF9"/>
    <w:rsid w:val="00FE29F5"/>
    <w:rsid w:val="00FE5E16"/>
    <w:rsid w:val="00FE7352"/>
    <w:rsid w:val="00FF1551"/>
    <w:rsid w:val="00FF2F6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2850"/>
  <w15:docId w15:val="{9C35BDA8-24BD-4DC4-9304-C262061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88"/>
    <w:pPr>
      <w:spacing w:after="160" w:line="259" w:lineRule="auto"/>
      <w:ind w:left="720"/>
      <w:contextualSpacing/>
    </w:pPr>
    <w:rPr>
      <w:lang w:bidi="gu-IN"/>
    </w:rPr>
  </w:style>
  <w:style w:type="table" w:styleId="TableGrid">
    <w:name w:val="Table Grid"/>
    <w:basedOn w:val="TableNormal"/>
    <w:uiPriority w:val="59"/>
    <w:rsid w:val="005A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A308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BodyTextChar">
    <w:name w:val="Body Text Char"/>
    <w:basedOn w:val="DefaultParagraphFont"/>
    <w:link w:val="BodyText"/>
    <w:rsid w:val="005A3088"/>
    <w:rPr>
      <w:rFonts w:ascii="Times New Roman" w:eastAsia="Andale Sans UI" w:hAnsi="Times New Roman" w:cs="Times New Roman"/>
      <w:kern w:val="1"/>
      <w:sz w:val="24"/>
      <w:szCs w:val="24"/>
    </w:rPr>
  </w:style>
  <w:style w:type="paragraph" w:customStyle="1" w:styleId="Default">
    <w:name w:val="Default"/>
    <w:rsid w:val="005A3088"/>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TableParagraph">
    <w:name w:val="Table Paragraph"/>
    <w:basedOn w:val="Normal"/>
    <w:uiPriority w:val="1"/>
    <w:qFormat/>
    <w:rsid w:val="005A3088"/>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NormalWeb">
    <w:name w:val="Normal (Web)"/>
    <w:aliases w:val="Normal (Web) Char"/>
    <w:basedOn w:val="Normal"/>
    <w:link w:val="NormalWebChar1"/>
    <w:uiPriority w:val="99"/>
    <w:unhideWhenUsed/>
    <w:rsid w:val="005A3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rsid w:val="005A30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8"/>
    <w:rPr>
      <w:rFonts w:ascii="Tahoma" w:hAnsi="Tahoma" w:cs="Tahoma"/>
      <w:sz w:val="16"/>
      <w:szCs w:val="16"/>
    </w:rPr>
  </w:style>
  <w:style w:type="character" w:styleId="Hyperlink">
    <w:name w:val="Hyperlink"/>
    <w:basedOn w:val="DefaultParagraphFont"/>
    <w:uiPriority w:val="99"/>
    <w:unhideWhenUsed/>
    <w:rsid w:val="005A3088"/>
    <w:rPr>
      <w:color w:val="0000FF" w:themeColor="hyperlink"/>
      <w:u w:val="single"/>
    </w:rPr>
  </w:style>
  <w:style w:type="paragraph" w:styleId="Caption">
    <w:name w:val="caption"/>
    <w:basedOn w:val="Normal"/>
    <w:next w:val="Normal"/>
    <w:uiPriority w:val="35"/>
    <w:unhideWhenUsed/>
    <w:qFormat/>
    <w:rsid w:val="00016E6D"/>
    <w:pPr>
      <w:spacing w:line="240" w:lineRule="auto"/>
    </w:pPr>
    <w:rPr>
      <w:b/>
      <w:bCs/>
      <w:color w:val="4F81BD" w:themeColor="accent1"/>
      <w:sz w:val="18"/>
      <w:szCs w:val="18"/>
    </w:rPr>
  </w:style>
  <w:style w:type="character" w:styleId="LineNumber">
    <w:name w:val="line number"/>
    <w:basedOn w:val="DefaultParagraphFont"/>
    <w:uiPriority w:val="99"/>
    <w:semiHidden/>
    <w:unhideWhenUsed/>
    <w:rsid w:val="00257932"/>
  </w:style>
  <w:style w:type="paragraph" w:customStyle="1" w:styleId="Author">
    <w:name w:val="Author"/>
    <w:basedOn w:val="Normal"/>
    <w:rsid w:val="00470A68"/>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70A68"/>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EC1FFA"/>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3718EB"/>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D91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9D"/>
  </w:style>
  <w:style w:type="paragraph" w:styleId="Footer">
    <w:name w:val="footer"/>
    <w:basedOn w:val="Normal"/>
    <w:link w:val="FooterChar"/>
    <w:uiPriority w:val="99"/>
    <w:unhideWhenUsed/>
    <w:rsid w:val="00D91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9D"/>
  </w:style>
  <w:style w:type="character" w:styleId="UnresolvedMention">
    <w:name w:val="Unresolved Mention"/>
    <w:basedOn w:val="DefaultParagraphFont"/>
    <w:uiPriority w:val="99"/>
    <w:semiHidden/>
    <w:unhideWhenUsed/>
    <w:rsid w:val="009F1B8E"/>
    <w:rPr>
      <w:color w:val="605E5C"/>
      <w:shd w:val="clear" w:color="auto" w:fill="E1DFDD"/>
    </w:rPr>
  </w:style>
  <w:style w:type="character" w:styleId="CommentReference">
    <w:name w:val="annotation reference"/>
    <w:basedOn w:val="DefaultParagraphFont"/>
    <w:uiPriority w:val="99"/>
    <w:semiHidden/>
    <w:unhideWhenUsed/>
    <w:rsid w:val="006E5422"/>
    <w:rPr>
      <w:sz w:val="16"/>
      <w:szCs w:val="16"/>
    </w:rPr>
  </w:style>
  <w:style w:type="paragraph" w:styleId="CommentText">
    <w:name w:val="annotation text"/>
    <w:basedOn w:val="Normal"/>
    <w:link w:val="CommentTextChar"/>
    <w:uiPriority w:val="99"/>
    <w:unhideWhenUsed/>
    <w:rsid w:val="006E5422"/>
    <w:pPr>
      <w:spacing w:line="240" w:lineRule="auto"/>
    </w:pPr>
    <w:rPr>
      <w:sz w:val="20"/>
      <w:szCs w:val="20"/>
    </w:rPr>
  </w:style>
  <w:style w:type="character" w:customStyle="1" w:styleId="CommentTextChar">
    <w:name w:val="Comment Text Char"/>
    <w:basedOn w:val="DefaultParagraphFont"/>
    <w:link w:val="CommentText"/>
    <w:uiPriority w:val="99"/>
    <w:rsid w:val="006E5422"/>
    <w:rPr>
      <w:sz w:val="20"/>
      <w:szCs w:val="20"/>
    </w:rPr>
  </w:style>
  <w:style w:type="paragraph" w:styleId="CommentSubject">
    <w:name w:val="annotation subject"/>
    <w:basedOn w:val="CommentText"/>
    <w:next w:val="CommentText"/>
    <w:link w:val="CommentSubjectChar"/>
    <w:uiPriority w:val="99"/>
    <w:semiHidden/>
    <w:unhideWhenUsed/>
    <w:rsid w:val="006E5422"/>
    <w:rPr>
      <w:b/>
      <w:bCs/>
    </w:rPr>
  </w:style>
  <w:style w:type="character" w:customStyle="1" w:styleId="CommentSubjectChar">
    <w:name w:val="Comment Subject Char"/>
    <w:basedOn w:val="CommentTextChar"/>
    <w:link w:val="CommentSubject"/>
    <w:uiPriority w:val="99"/>
    <w:semiHidden/>
    <w:rsid w:val="006E5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2937">
      <w:bodyDiv w:val="1"/>
      <w:marLeft w:val="0"/>
      <w:marRight w:val="0"/>
      <w:marTop w:val="0"/>
      <w:marBottom w:val="0"/>
      <w:divBdr>
        <w:top w:val="none" w:sz="0" w:space="0" w:color="auto"/>
        <w:left w:val="none" w:sz="0" w:space="0" w:color="auto"/>
        <w:bottom w:val="none" w:sz="0" w:space="0" w:color="auto"/>
        <w:right w:val="none" w:sz="0" w:space="0" w:color="auto"/>
      </w:divBdr>
      <w:divsChild>
        <w:div w:id="407188818">
          <w:marLeft w:val="0"/>
          <w:marRight w:val="0"/>
          <w:marTop w:val="0"/>
          <w:marBottom w:val="0"/>
          <w:divBdr>
            <w:top w:val="none" w:sz="0" w:space="0" w:color="auto"/>
            <w:left w:val="none" w:sz="0" w:space="0" w:color="auto"/>
            <w:bottom w:val="none" w:sz="0" w:space="0" w:color="auto"/>
            <w:right w:val="none" w:sz="0" w:space="0" w:color="auto"/>
          </w:divBdr>
          <w:divsChild>
            <w:div w:id="1822647904">
              <w:marLeft w:val="0"/>
              <w:marRight w:val="0"/>
              <w:marTop w:val="0"/>
              <w:marBottom w:val="0"/>
              <w:divBdr>
                <w:top w:val="none" w:sz="0" w:space="0" w:color="auto"/>
                <w:left w:val="none" w:sz="0" w:space="0" w:color="auto"/>
                <w:bottom w:val="none" w:sz="0" w:space="0" w:color="auto"/>
                <w:right w:val="none" w:sz="0" w:space="0" w:color="auto"/>
              </w:divBdr>
            </w:div>
          </w:divsChild>
        </w:div>
        <w:div w:id="289672263">
          <w:marLeft w:val="0"/>
          <w:marRight w:val="0"/>
          <w:marTop w:val="0"/>
          <w:marBottom w:val="0"/>
          <w:divBdr>
            <w:top w:val="none" w:sz="0" w:space="0" w:color="auto"/>
            <w:left w:val="none" w:sz="0" w:space="0" w:color="auto"/>
            <w:bottom w:val="none" w:sz="0" w:space="0" w:color="auto"/>
            <w:right w:val="none" w:sz="0" w:space="0" w:color="auto"/>
          </w:divBdr>
        </w:div>
      </w:divsChild>
    </w:div>
    <w:div w:id="848377001">
      <w:bodyDiv w:val="1"/>
      <w:marLeft w:val="0"/>
      <w:marRight w:val="0"/>
      <w:marTop w:val="0"/>
      <w:marBottom w:val="0"/>
      <w:divBdr>
        <w:top w:val="none" w:sz="0" w:space="0" w:color="auto"/>
        <w:left w:val="none" w:sz="0" w:space="0" w:color="auto"/>
        <w:bottom w:val="none" w:sz="0" w:space="0" w:color="auto"/>
        <w:right w:val="none" w:sz="0" w:space="0" w:color="auto"/>
      </w:divBdr>
      <w:divsChild>
        <w:div w:id="1102456914">
          <w:marLeft w:val="0"/>
          <w:marRight w:val="0"/>
          <w:marTop w:val="0"/>
          <w:marBottom w:val="0"/>
          <w:divBdr>
            <w:top w:val="none" w:sz="0" w:space="0" w:color="auto"/>
            <w:left w:val="none" w:sz="0" w:space="0" w:color="auto"/>
            <w:bottom w:val="none" w:sz="0" w:space="0" w:color="auto"/>
            <w:right w:val="none" w:sz="0" w:space="0" w:color="auto"/>
          </w:divBdr>
          <w:divsChild>
            <w:div w:id="977803808">
              <w:marLeft w:val="0"/>
              <w:marRight w:val="0"/>
              <w:marTop w:val="0"/>
              <w:marBottom w:val="0"/>
              <w:divBdr>
                <w:top w:val="none" w:sz="0" w:space="0" w:color="auto"/>
                <w:left w:val="none" w:sz="0" w:space="0" w:color="auto"/>
                <w:bottom w:val="none" w:sz="0" w:space="0" w:color="auto"/>
                <w:right w:val="none" w:sz="0" w:space="0" w:color="auto"/>
              </w:divBdr>
            </w:div>
          </w:divsChild>
        </w:div>
        <w:div w:id="1885748933">
          <w:marLeft w:val="0"/>
          <w:marRight w:val="0"/>
          <w:marTop w:val="0"/>
          <w:marBottom w:val="0"/>
          <w:divBdr>
            <w:top w:val="none" w:sz="0" w:space="0" w:color="auto"/>
            <w:left w:val="none" w:sz="0" w:space="0" w:color="auto"/>
            <w:bottom w:val="none" w:sz="0" w:space="0" w:color="auto"/>
            <w:right w:val="none" w:sz="0" w:space="0" w:color="auto"/>
          </w:divBdr>
        </w:div>
      </w:divsChild>
    </w:div>
    <w:div w:id="1503009792">
      <w:bodyDiv w:val="1"/>
      <w:marLeft w:val="0"/>
      <w:marRight w:val="0"/>
      <w:marTop w:val="0"/>
      <w:marBottom w:val="0"/>
      <w:divBdr>
        <w:top w:val="none" w:sz="0" w:space="0" w:color="auto"/>
        <w:left w:val="none" w:sz="0" w:space="0" w:color="auto"/>
        <w:bottom w:val="none" w:sz="0" w:space="0" w:color="auto"/>
        <w:right w:val="none" w:sz="0" w:space="0" w:color="auto"/>
      </w:divBdr>
      <w:divsChild>
        <w:div w:id="2127382923">
          <w:marLeft w:val="0"/>
          <w:marRight w:val="0"/>
          <w:marTop w:val="0"/>
          <w:marBottom w:val="0"/>
          <w:divBdr>
            <w:top w:val="none" w:sz="0" w:space="0" w:color="auto"/>
            <w:left w:val="none" w:sz="0" w:space="0" w:color="auto"/>
            <w:bottom w:val="none" w:sz="0" w:space="0" w:color="auto"/>
            <w:right w:val="none" w:sz="0" w:space="0" w:color="auto"/>
          </w:divBdr>
          <w:divsChild>
            <w:div w:id="174082073">
              <w:marLeft w:val="0"/>
              <w:marRight w:val="0"/>
              <w:marTop w:val="0"/>
              <w:marBottom w:val="0"/>
              <w:divBdr>
                <w:top w:val="none" w:sz="0" w:space="0" w:color="auto"/>
                <w:left w:val="none" w:sz="0" w:space="0" w:color="auto"/>
                <w:bottom w:val="none" w:sz="0" w:space="0" w:color="auto"/>
                <w:right w:val="none" w:sz="0" w:space="0" w:color="auto"/>
              </w:divBdr>
            </w:div>
          </w:divsChild>
        </w:div>
        <w:div w:id="1144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2/ps.912" TargetMode="External"/><Relationship Id="rId26" Type="http://schemas.openxmlformats.org/officeDocument/2006/relationships/hyperlink" Target="https://doi.org/10.21608/asejaiqjsae.2018.6831" TargetMode="External"/><Relationship Id="rId3" Type="http://schemas.openxmlformats.org/officeDocument/2006/relationships/styles" Target="styles.xml"/><Relationship Id="rId21" Type="http://schemas.openxmlformats.org/officeDocument/2006/relationships/hyperlink" Target="https://doi.org/10.1016/s0378-4274(02)00033-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entomoljournal.com/archives/2018/vol6issue4/PartR/6-4-100-907.pdf" TargetMode="External"/><Relationship Id="rId25" Type="http://schemas.openxmlformats.org/officeDocument/2006/relationships/hyperlink" Target="http://www.r-project.or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958/0973-970X.2019.00009.9" TargetMode="External"/><Relationship Id="rId20" Type="http://schemas.openxmlformats.org/officeDocument/2006/relationships/hyperlink" Target="http://www.medscimonit.com/pub/vol_10/no_6/4163.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80/1071576050010402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BF01055300" TargetMode="External"/><Relationship Id="rId23" Type="http://schemas.openxmlformats.org/officeDocument/2006/relationships/hyperlink" Target="https://doi.org/10.1501/Eczfak_0000000528"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038/sj.bjp.0703853"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23311932.2019.1601544" TargetMode="External"/><Relationship Id="rId22" Type="http://schemas.openxmlformats.org/officeDocument/2006/relationships/hyperlink" Target="https://doi.org/10.1016/j.etp.2007.11.007" TargetMode="External"/><Relationship Id="rId27" Type="http://schemas.openxmlformats.org/officeDocument/2006/relationships/hyperlink" Target="https://doi.org/10.1177/0192623319867053"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043D3-46C8-4010-BE5E-BF3C793D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5420</Words>
  <Characters>30898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andri angi</cp:lastModifiedBy>
  <cp:revision>4</cp:revision>
  <cp:lastPrinted>2021-09-27T10:21:00Z</cp:lastPrinted>
  <dcterms:created xsi:type="dcterms:W3CDTF">2025-11-30T14:38:00Z</dcterms:created>
  <dcterms:modified xsi:type="dcterms:W3CDTF">2025-12-02T16:22:00Z</dcterms:modified>
</cp:coreProperties>
</file>