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A7D3F5" w14:textId="77777777" w:rsidR="00AC68F5" w:rsidRPr="00740E03" w:rsidRDefault="00BF649C">
      <w:pPr>
        <w:spacing w:after="160" w:line="259" w:lineRule="auto"/>
        <w:rPr>
          <w:rFonts w:ascii="Times New Roman" w:eastAsia="Times New Roman" w:hAnsi="Times New Roman" w:cs="Times New Roman"/>
          <w:b/>
          <w:sz w:val="24"/>
          <w:szCs w:val="24"/>
        </w:rPr>
      </w:pPr>
      <w:r w:rsidRPr="00740E03">
        <w:rPr>
          <w:rFonts w:ascii="Times New Roman" w:eastAsia="Times New Roman" w:hAnsi="Times New Roman" w:cs="Times New Roman"/>
          <w:b/>
          <w:sz w:val="24"/>
          <w:szCs w:val="24"/>
        </w:rPr>
        <w:t xml:space="preserve">In Silico Identification of Conserved Hypothetical Proteins as Drug Targets in </w:t>
      </w:r>
      <w:r w:rsidRPr="00740E03">
        <w:rPr>
          <w:rFonts w:ascii="Times New Roman" w:eastAsia="Times New Roman" w:hAnsi="Times New Roman" w:cs="Times New Roman"/>
          <w:b/>
          <w:i/>
          <w:sz w:val="24"/>
          <w:szCs w:val="24"/>
        </w:rPr>
        <w:t>Clostridium perfringens</w:t>
      </w:r>
      <w:r w:rsidRPr="00740E03">
        <w:rPr>
          <w:rFonts w:ascii="Times New Roman" w:eastAsia="Times New Roman" w:hAnsi="Times New Roman" w:cs="Times New Roman"/>
          <w:b/>
          <w:sz w:val="24"/>
          <w:szCs w:val="24"/>
        </w:rPr>
        <w:tab/>
      </w:r>
    </w:p>
    <w:p w14:paraId="66C8AE65" w14:textId="77777777" w:rsidR="00AC68F5" w:rsidRDefault="00AC68F5">
      <w:pPr>
        <w:jc w:val="both"/>
        <w:rPr>
          <w:rFonts w:ascii="Times New Roman" w:eastAsia="Times New Roman" w:hAnsi="Times New Roman" w:cs="Times New Roman"/>
          <w:b/>
          <w:sz w:val="24"/>
          <w:szCs w:val="24"/>
        </w:rPr>
      </w:pPr>
    </w:p>
    <w:p w14:paraId="3BD7383A"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4A94D340" w14:textId="77777777" w:rsidR="00AC68F5" w:rsidRDefault="00BF649C">
      <w:pPr>
        <w:jc w:val="both"/>
        <w:rPr>
          <w:rFonts w:ascii="Times New Roman" w:eastAsia="Times New Roman" w:hAnsi="Times New Roman" w:cs="Times New Roman"/>
          <w:sz w:val="24"/>
          <w:szCs w:val="24"/>
        </w:rPr>
      </w:pPr>
      <w:commentRangeStart w:id="0"/>
      <w:r>
        <w:rPr>
          <w:rFonts w:ascii="Times New Roman" w:eastAsia="Times New Roman" w:hAnsi="Times New Roman" w:cs="Times New Roman"/>
          <w:sz w:val="24"/>
          <w:szCs w:val="24"/>
        </w:rPr>
        <w:t xml:space="preserve">The growing global threat of antimicrobial resistance (AMR) necessitates the urgent identification of new drug targets against pathogens like the Gram-positive, spore-forming anaerobe </w:t>
      </w:r>
      <w:r>
        <w:rPr>
          <w:rFonts w:ascii="Times New Roman" w:eastAsia="Times New Roman" w:hAnsi="Times New Roman" w:cs="Times New Roman"/>
          <w:i/>
          <w:sz w:val="24"/>
          <w:szCs w:val="24"/>
        </w:rPr>
        <w:t>Clostridium perfringens</w:t>
      </w:r>
      <w:r>
        <w:rPr>
          <w:rFonts w:ascii="Times New Roman" w:eastAsia="Times New Roman" w:hAnsi="Times New Roman" w:cs="Times New Roman"/>
          <w:sz w:val="24"/>
          <w:szCs w:val="24"/>
        </w:rPr>
        <w:t xml:space="preserve">, a major cause of diarrhea, enterotoxemia, and myonecrosis. </w:t>
      </w:r>
      <w:commentRangeEnd w:id="0"/>
      <w:r w:rsidR="009B3A27">
        <w:rPr>
          <w:rStyle w:val="CommentReference"/>
        </w:rPr>
        <w:commentReference w:id="0"/>
      </w:r>
      <w:r>
        <w:rPr>
          <w:rFonts w:ascii="Times New Roman" w:eastAsia="Times New Roman" w:hAnsi="Times New Roman" w:cs="Times New Roman"/>
          <w:sz w:val="24"/>
          <w:szCs w:val="24"/>
        </w:rPr>
        <w:t xml:space="preserve">We propose that conserved hypothetical proteins (HPs)—a largely uncharacterized component of the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proteome—represent an overlooked resource for novel therapeutics. Using a stringent subtractive proteomics and in silico pipeline, we analyzed 2661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proteins. We focused on 1179 HPs, identifying 496 conserved across strains. Sequential filtering based on physicochemical properties, subcellular localization, and non-homology to the human gut microbiome yielded 22 promising non-homologous HPs suitable as drug targets. To identify lead compounds, we screened 69 drug-like phytochemical ligands with known antibacterial activity. Molecular docking revealed strong inhibitory interactions for multiple ligand-protein pairs, with binding energies as low as –10.6 kcal/mol (e.g., (+)-</w:t>
      </w:r>
      <w:proofErr w:type="spellStart"/>
      <w:r>
        <w:rPr>
          <w:rFonts w:ascii="Times New Roman" w:eastAsia="Times New Roman" w:hAnsi="Times New Roman" w:cs="Times New Roman"/>
          <w:sz w:val="24"/>
          <w:szCs w:val="24"/>
        </w:rPr>
        <w:t>galbacin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tuberosin</w:t>
      </w:r>
      <w:proofErr w:type="spellEnd"/>
      <w:r>
        <w:rPr>
          <w:rFonts w:ascii="Times New Roman" w:eastAsia="Times New Roman" w:hAnsi="Times New Roman" w:cs="Times New Roman"/>
          <w:sz w:val="24"/>
          <w:szCs w:val="24"/>
        </w:rPr>
        <w:t>, and (-)-</w:t>
      </w:r>
      <w:proofErr w:type="spellStart"/>
      <w:r>
        <w:rPr>
          <w:rFonts w:ascii="Times New Roman" w:eastAsia="Times New Roman" w:hAnsi="Times New Roman" w:cs="Times New Roman"/>
          <w:sz w:val="24"/>
          <w:szCs w:val="24"/>
        </w:rPr>
        <w:t>asarinin</w:t>
      </w:r>
      <w:proofErr w:type="spellEnd"/>
      <w:r>
        <w:rPr>
          <w:rFonts w:ascii="Times New Roman" w:eastAsia="Times New Roman" w:hAnsi="Times New Roman" w:cs="Times New Roman"/>
          <w:sz w:val="24"/>
          <w:szCs w:val="24"/>
        </w:rPr>
        <w:t xml:space="preserve"> against specific HPs). </w:t>
      </w:r>
      <w:commentRangeStart w:id="1"/>
      <w:r>
        <w:rPr>
          <w:rFonts w:ascii="Times New Roman" w:eastAsia="Times New Roman" w:hAnsi="Times New Roman" w:cs="Times New Roman"/>
          <w:sz w:val="24"/>
          <w:szCs w:val="24"/>
        </w:rPr>
        <w:t>These findings strongly support the utility of conserved hypothetical proteins as a rich, untapped source for new antimicrobial targets.</w:t>
      </w:r>
      <w:commentRangeEnd w:id="1"/>
      <w:r w:rsidR="001A1AB4">
        <w:rPr>
          <w:rStyle w:val="CommentReference"/>
        </w:rPr>
        <w:commentReference w:id="1"/>
      </w:r>
      <w:r>
        <w:rPr>
          <w:rFonts w:ascii="Times New Roman" w:eastAsia="Times New Roman" w:hAnsi="Times New Roman" w:cs="Times New Roman"/>
          <w:sz w:val="24"/>
          <w:szCs w:val="24"/>
        </w:rPr>
        <w:t xml:space="preserve"> Our study demonstrates that in silico analyses can rapidly accelerate drug discovery against fast-evolving pathogens by prioritizing novel targets and corresponding lead compounds for subsequent experimental validation.</w:t>
      </w:r>
    </w:p>
    <w:p w14:paraId="4A791158" w14:textId="77777777" w:rsidR="00AC68F5" w:rsidRDefault="00AC68F5">
      <w:pPr>
        <w:jc w:val="both"/>
        <w:rPr>
          <w:rFonts w:ascii="Times New Roman" w:eastAsia="Times New Roman" w:hAnsi="Times New Roman" w:cs="Times New Roman"/>
          <w:sz w:val="24"/>
          <w:szCs w:val="24"/>
        </w:rPr>
      </w:pPr>
    </w:p>
    <w:p w14:paraId="219B47AB"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commentRangeStart w:id="2"/>
      <w:r>
        <w:rPr>
          <w:rFonts w:ascii="Times New Roman" w:eastAsia="Times New Roman" w:hAnsi="Times New Roman" w:cs="Times New Roman"/>
          <w:i/>
          <w:sz w:val="24"/>
          <w:szCs w:val="24"/>
        </w:rPr>
        <w:t>Clostridium perfringens</w:t>
      </w:r>
      <w:r>
        <w:rPr>
          <w:rFonts w:ascii="Times New Roman" w:eastAsia="Times New Roman" w:hAnsi="Times New Roman" w:cs="Times New Roman"/>
          <w:sz w:val="24"/>
          <w:szCs w:val="24"/>
        </w:rPr>
        <w:t>, Antimicrobial resistance (AMR), Hypothetical proteins, Subtractive proteomics, In-</w:t>
      </w:r>
      <w:proofErr w:type="spellStart"/>
      <w:r>
        <w:rPr>
          <w:rFonts w:ascii="Times New Roman" w:eastAsia="Times New Roman" w:hAnsi="Times New Roman" w:cs="Times New Roman"/>
          <w:sz w:val="24"/>
          <w:szCs w:val="24"/>
        </w:rPr>
        <w:t>silico</w:t>
      </w:r>
      <w:proofErr w:type="spellEnd"/>
      <w:r>
        <w:rPr>
          <w:rFonts w:ascii="Times New Roman" w:eastAsia="Times New Roman" w:hAnsi="Times New Roman" w:cs="Times New Roman"/>
          <w:sz w:val="24"/>
          <w:szCs w:val="24"/>
        </w:rPr>
        <w:t xml:space="preserve"> drug discovery</w:t>
      </w:r>
      <w:commentRangeEnd w:id="2"/>
      <w:r w:rsidR="009B47B6">
        <w:rPr>
          <w:rStyle w:val="CommentReference"/>
        </w:rPr>
        <w:commentReference w:id="2"/>
      </w:r>
    </w:p>
    <w:p w14:paraId="5D1937C5" w14:textId="77777777" w:rsidR="00AC68F5" w:rsidRDefault="00AC68F5">
      <w:pPr>
        <w:jc w:val="both"/>
        <w:rPr>
          <w:rFonts w:ascii="Times New Roman" w:eastAsia="Times New Roman" w:hAnsi="Times New Roman" w:cs="Times New Roman"/>
          <w:sz w:val="24"/>
          <w:szCs w:val="24"/>
        </w:rPr>
      </w:pPr>
    </w:p>
    <w:p w14:paraId="2B7D79CD"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w:t>
      </w:r>
    </w:p>
    <w:p w14:paraId="07B68345"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rapid global rise of Antimicrobial Resistance (AMR) constitutes an urgent public health crisis, demanding the discovery of therapeutics with novel mechanisms of action [7][16]. The Gram-positive, spore-forming anaerobe </w:t>
      </w:r>
      <w:r>
        <w:rPr>
          <w:rFonts w:ascii="Times New Roman" w:eastAsia="Times New Roman" w:hAnsi="Times New Roman" w:cs="Times New Roman"/>
          <w:i/>
          <w:sz w:val="24"/>
          <w:szCs w:val="24"/>
        </w:rPr>
        <w:t>Clostridium perfringens</w:t>
      </w:r>
      <w:r>
        <w:rPr>
          <w:rFonts w:ascii="Times New Roman" w:eastAsia="Times New Roman" w:hAnsi="Times New Roman" w:cs="Times New Roman"/>
          <w:sz w:val="24"/>
          <w:szCs w:val="24"/>
        </w:rPr>
        <w:t xml:space="preserve"> is a critical pathogen in this context, causing a spectrum of severe conditions including food poisoning, enterotoxemia, and rapidly progressing myonecrosis (gas gangrene) via potent toxins like alpha toxin [1][2][3][4]. The increasing prevalence of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strains resistant to frontline antibiotics, such as clindamycin and penicillin, severely threatens the long-term efficacy of current treatments [7][8][9]. The limited diversity of existing drug targets—often focused on a narrow subset of well-characterized essential proteins—exacerbates this challenge, driving cross-resistance and slowing the development of new anti-infectives. An expansion of the druggable proteome is critically needed to combat rapidly evolving pathogens like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w:t>
      </w:r>
    </w:p>
    <w:p w14:paraId="7FD6A0B7" w14:textId="77777777" w:rsidR="00AC68F5" w:rsidRDefault="00BF649C">
      <w:pPr>
        <w:jc w:val="both"/>
        <w:rPr>
          <w:rFonts w:ascii="Times New Roman" w:eastAsia="Times New Roman" w:hAnsi="Times New Roman" w:cs="Times New Roman"/>
          <w:sz w:val="24"/>
          <w:szCs w:val="24"/>
        </w:rPr>
      </w:pPr>
      <w:commentRangeStart w:id="3"/>
      <w:r>
        <w:rPr>
          <w:rFonts w:ascii="Times New Roman" w:eastAsia="Times New Roman" w:hAnsi="Times New Roman" w:cs="Times New Roman"/>
          <w:sz w:val="24"/>
          <w:szCs w:val="24"/>
        </w:rPr>
        <w:t xml:space="preserve">We propose that conserved hypothetical proteins (HPs) represent a vast, untapped reservoir of novel drug targets. Hypothetical proteins are computationally predicted gene products lacking experimental validation, yet they constitute a significant fraction of bacterial proteomes (e.g., 1179 of 2661 proteins in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perfringens</w:t>
      </w:r>
      <w:proofErr w:type="spellEnd"/>
      <w:r>
        <w:rPr>
          <w:rFonts w:ascii="Times New Roman" w:eastAsia="Times New Roman" w:hAnsi="Times New Roman" w:cs="Times New Roman"/>
          <w:sz w:val="24"/>
          <w:szCs w:val="24"/>
        </w:rPr>
        <w:t xml:space="preserve"> are HPs) [5][6].</w:t>
      </w:r>
      <w:commentRangeEnd w:id="3"/>
      <w:r w:rsidR="00C916C5">
        <w:rPr>
          <w:rStyle w:val="CommentReference"/>
        </w:rPr>
        <w:commentReference w:id="3"/>
      </w:r>
      <w:r>
        <w:rPr>
          <w:rFonts w:ascii="Times New Roman" w:eastAsia="Times New Roman" w:hAnsi="Times New Roman" w:cs="Times New Roman"/>
          <w:sz w:val="24"/>
          <w:szCs w:val="24"/>
        </w:rPr>
        <w:t xml:space="preserve"> While historically overlooked in drug discovery, </w:t>
      </w:r>
      <w:r>
        <w:rPr>
          <w:rFonts w:ascii="Times New Roman" w:eastAsia="Times New Roman" w:hAnsi="Times New Roman" w:cs="Times New Roman"/>
          <w:sz w:val="24"/>
          <w:szCs w:val="24"/>
        </w:rPr>
        <w:lastRenderedPageBreak/>
        <w:t>the presence of a conserved subset of these HPs across bacterial strains strongly implies their functional importance and possible essentiality for survival or pathogenesis [18]. Targeting these conserved HPs offers a distinct, dual advantage: it dramatically broadens the array of potential drug targets and allows for the identification of Achilles' heels unique to the pathogen [5]. Crucially, non-homology to human host proteins means targeting these HPs carries a significantly reduced risk of off-target toxicity.</w:t>
      </w:r>
    </w:p>
    <w:p w14:paraId="67E08497"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bottleneck in characterizing and drugging novel targets can be overcome by leveraging advanced methodologies. Traditional experimental validation is often resource-intensive and time-consuming, particularly for poorly studied proteins. A computational pipeline utilizing a subtractive proteomics and comparative genomics approach is a rapid, cost-effective, and scalable alternative [13][14][17][19]. These techniques allow for the initial prioritization of proteins based on essentiality, subcellular localization, physicochemical stability, and critically, non-homology to the human gut microbiome to maximize target specificity. Furthermore, modern molecular docking is a powerful tool that bridges the gap between target identification and lead compound development [15]. It allows for the high-throughput virtual screening of potential ligands, predicting their binding affinity and orientation with high accuracy (e.g., against key functional sites involved in toxin secretion or proliferation).</w:t>
      </w:r>
    </w:p>
    <w:p w14:paraId="2B4B754A"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fast-progressing and understudied pathogens like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an integrated strategy offers a highly efficient route to novel therapies. Here, we describe a comprehensive computational analysis employing subtractive proteomics and molecular docking, focusing on the conserved hypothetical proteome of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The aim of this study is to identify and characterize a set of highly promising, non-host-homologous hypothetical protein targets and to predict potent small-molecule phytochemical ligands that inhibit their function, thereby accelerating the pipeline for developing new antibiotics.</w:t>
      </w:r>
    </w:p>
    <w:p w14:paraId="08DF68F5" w14:textId="77777777" w:rsidR="00AC68F5" w:rsidRDefault="00AC68F5">
      <w:pPr>
        <w:rPr>
          <w:rFonts w:ascii="Times New Roman" w:eastAsia="Times New Roman" w:hAnsi="Times New Roman" w:cs="Times New Roman"/>
          <w:sz w:val="24"/>
          <w:szCs w:val="24"/>
        </w:rPr>
      </w:pPr>
    </w:p>
    <w:p w14:paraId="7DCA4702" w14:textId="77777777" w:rsidR="00AC68F5" w:rsidRDefault="00BF649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p>
    <w:p w14:paraId="541306EB" w14:textId="77777777" w:rsidR="00AC68F5" w:rsidRDefault="00AC68F5">
      <w:pPr>
        <w:rPr>
          <w:rFonts w:ascii="Times New Roman" w:eastAsia="Times New Roman" w:hAnsi="Times New Roman" w:cs="Times New Roman"/>
          <w:sz w:val="24"/>
          <w:szCs w:val="24"/>
        </w:rPr>
      </w:pPr>
    </w:p>
    <w:p w14:paraId="78FD547D"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Protein Sequence Retrieval</w:t>
      </w:r>
    </w:p>
    <w:p w14:paraId="299F2790"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complete amino acid sequences, along with the corresponding genome data for the Clostridium perfringens hypothetical proteins were retrieved from the National Center for Biotechnology Information (NCBI) GenBank database. (</w:t>
      </w:r>
      <w:hyperlink r:id="rId9">
        <w:r>
          <w:rPr>
            <w:rFonts w:ascii="Times New Roman" w:eastAsia="Times New Roman" w:hAnsi="Times New Roman" w:cs="Times New Roman"/>
            <w:sz w:val="24"/>
            <w:szCs w:val="24"/>
            <w:u w:val="single"/>
          </w:rPr>
          <w:t>https://www.ncbi.nlm.nih.gov/genbank/</w:t>
        </w:r>
      </w:hyperlink>
      <w:r>
        <w:rPr>
          <w:rFonts w:ascii="Times New Roman" w:eastAsia="Times New Roman" w:hAnsi="Times New Roman" w:cs="Times New Roman"/>
          <w:sz w:val="24"/>
          <w:szCs w:val="24"/>
        </w:rPr>
        <w:t>) [21].</w:t>
      </w:r>
    </w:p>
    <w:p w14:paraId="59BD855F" w14:textId="77777777" w:rsidR="00AC68F5" w:rsidRDefault="00AC68F5">
      <w:pPr>
        <w:jc w:val="both"/>
        <w:rPr>
          <w:rFonts w:ascii="Times New Roman" w:eastAsia="Times New Roman" w:hAnsi="Times New Roman" w:cs="Times New Roman"/>
          <w:sz w:val="24"/>
          <w:szCs w:val="24"/>
        </w:rPr>
      </w:pPr>
    </w:p>
    <w:p w14:paraId="56B260FB"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Physicochemical Characterization</w:t>
      </w:r>
    </w:p>
    <w:p w14:paraId="143F645D"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physicochemical properties of each protein sequence, including molecular weight, theoretical isoelectric point (</w:t>
      </w:r>
      <w:proofErr w:type="spellStart"/>
      <w:r>
        <w:rPr>
          <w:rFonts w:ascii="Times New Roman" w:eastAsia="Times New Roman" w:hAnsi="Times New Roman" w:cs="Times New Roman"/>
          <w:sz w:val="24"/>
          <w:szCs w:val="24"/>
        </w:rPr>
        <w:t>pI</w:t>
      </w:r>
      <w:proofErr w:type="spellEnd"/>
      <w:r>
        <w:rPr>
          <w:rFonts w:ascii="Times New Roman" w:eastAsia="Times New Roman" w:hAnsi="Times New Roman" w:cs="Times New Roman"/>
          <w:sz w:val="24"/>
          <w:szCs w:val="24"/>
        </w:rPr>
        <w:t xml:space="preserve">), amino acid composition, instability index, aliphatic index, and grand average of hydropathicity (GRAVY), were discerned using the </w:t>
      </w:r>
      <w:proofErr w:type="spellStart"/>
      <w:r>
        <w:rPr>
          <w:rFonts w:ascii="Times New Roman" w:eastAsia="Times New Roman" w:hAnsi="Times New Roman" w:cs="Times New Roman"/>
          <w:sz w:val="24"/>
          <w:szCs w:val="24"/>
        </w:rPr>
        <w:t>ProtParam</w:t>
      </w:r>
      <w:proofErr w:type="spellEnd"/>
      <w:r>
        <w:rPr>
          <w:rFonts w:ascii="Times New Roman" w:eastAsia="Times New Roman" w:hAnsi="Times New Roman" w:cs="Times New Roman"/>
          <w:sz w:val="24"/>
          <w:szCs w:val="24"/>
        </w:rPr>
        <w:t xml:space="preserve"> tool available on the </w:t>
      </w:r>
      <w:proofErr w:type="spellStart"/>
      <w:r>
        <w:rPr>
          <w:rFonts w:ascii="Times New Roman" w:eastAsia="Times New Roman" w:hAnsi="Times New Roman" w:cs="Times New Roman"/>
          <w:sz w:val="24"/>
          <w:szCs w:val="24"/>
        </w:rPr>
        <w:t>ExPASy</w:t>
      </w:r>
      <w:proofErr w:type="spellEnd"/>
      <w:r>
        <w:rPr>
          <w:rFonts w:ascii="Times New Roman" w:eastAsia="Times New Roman" w:hAnsi="Times New Roman" w:cs="Times New Roman"/>
          <w:sz w:val="24"/>
          <w:szCs w:val="24"/>
        </w:rPr>
        <w:t xml:space="preserve"> server (</w:t>
      </w:r>
      <w:hyperlink r:id="rId10">
        <w:r>
          <w:rPr>
            <w:rFonts w:ascii="Times New Roman" w:eastAsia="Times New Roman" w:hAnsi="Times New Roman" w:cs="Times New Roman"/>
            <w:sz w:val="24"/>
            <w:szCs w:val="24"/>
            <w:u w:val="single"/>
          </w:rPr>
          <w:t>https://web.expasy.org/protparam/</w:t>
        </w:r>
      </w:hyperlink>
      <w:r>
        <w:rPr>
          <w:rFonts w:ascii="Times New Roman" w:eastAsia="Times New Roman" w:hAnsi="Times New Roman" w:cs="Times New Roman"/>
          <w:sz w:val="24"/>
          <w:szCs w:val="24"/>
        </w:rPr>
        <w:t>) [25].</w:t>
      </w:r>
    </w:p>
    <w:p w14:paraId="5EF9FBD4" w14:textId="77777777" w:rsidR="00AC68F5" w:rsidRDefault="00AC68F5">
      <w:pPr>
        <w:jc w:val="both"/>
        <w:rPr>
          <w:rFonts w:ascii="Times New Roman" w:eastAsia="Times New Roman" w:hAnsi="Times New Roman" w:cs="Times New Roman"/>
          <w:sz w:val="24"/>
          <w:szCs w:val="24"/>
        </w:rPr>
      </w:pPr>
    </w:p>
    <w:p w14:paraId="373EEF20"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Antigenicity Prediction</w:t>
      </w:r>
    </w:p>
    <w:p w14:paraId="046862D0"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Antigenicity of the selected proteins was determined using the </w:t>
      </w:r>
      <w:proofErr w:type="spellStart"/>
      <w:r>
        <w:rPr>
          <w:rFonts w:ascii="Times New Roman" w:eastAsia="Times New Roman" w:hAnsi="Times New Roman" w:cs="Times New Roman"/>
          <w:sz w:val="24"/>
          <w:szCs w:val="24"/>
        </w:rPr>
        <w:t>VaxiJen</w:t>
      </w:r>
      <w:proofErr w:type="spellEnd"/>
      <w:r>
        <w:rPr>
          <w:rFonts w:ascii="Times New Roman" w:eastAsia="Times New Roman" w:hAnsi="Times New Roman" w:cs="Times New Roman"/>
          <w:sz w:val="24"/>
          <w:szCs w:val="24"/>
        </w:rPr>
        <w:t xml:space="preserve"> v2.0 server (</w:t>
      </w:r>
      <w:hyperlink r:id="rId11">
        <w:r>
          <w:rPr>
            <w:rFonts w:ascii="Times New Roman" w:eastAsia="Times New Roman" w:hAnsi="Times New Roman" w:cs="Times New Roman"/>
            <w:sz w:val="24"/>
            <w:szCs w:val="24"/>
            <w:u w:val="single"/>
          </w:rPr>
          <w:t>http://www.ddg-pharmfac.net/vaxijen/</w:t>
        </w:r>
      </w:hyperlink>
      <w:r>
        <w:rPr>
          <w:rFonts w:ascii="Times New Roman" w:eastAsia="Times New Roman" w:hAnsi="Times New Roman" w:cs="Times New Roman"/>
          <w:sz w:val="24"/>
          <w:szCs w:val="24"/>
        </w:rPr>
        <w:t>), using the bacterial model and the default threshold values [23].</w:t>
      </w:r>
    </w:p>
    <w:p w14:paraId="33A38447" w14:textId="77777777" w:rsidR="00AC68F5" w:rsidRDefault="00AC68F5">
      <w:pPr>
        <w:jc w:val="both"/>
        <w:rPr>
          <w:rFonts w:ascii="Times New Roman" w:eastAsia="Times New Roman" w:hAnsi="Times New Roman" w:cs="Times New Roman"/>
          <w:sz w:val="24"/>
          <w:szCs w:val="24"/>
        </w:rPr>
      </w:pPr>
    </w:p>
    <w:p w14:paraId="231672E8"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Homology Analysis</w:t>
      </w:r>
    </w:p>
    <w:p w14:paraId="2F430354"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identify which bacterial proteins were considered non-homologous relative to human proteins, each sequence was subjected to </w:t>
      </w:r>
      <w:proofErr w:type="spellStart"/>
      <w:r>
        <w:rPr>
          <w:rFonts w:ascii="Times New Roman" w:eastAsia="Times New Roman" w:hAnsi="Times New Roman" w:cs="Times New Roman"/>
          <w:sz w:val="24"/>
          <w:szCs w:val="24"/>
        </w:rPr>
        <w:t>BLASTp</w:t>
      </w:r>
      <w:proofErr w:type="spellEnd"/>
      <w:r>
        <w:rPr>
          <w:rFonts w:ascii="Times New Roman" w:eastAsia="Times New Roman" w:hAnsi="Times New Roman" w:cs="Times New Roman"/>
          <w:sz w:val="24"/>
          <w:szCs w:val="24"/>
        </w:rPr>
        <w:t xml:space="preserve"> analysis (</w:t>
      </w:r>
      <w:hyperlink r:id="rId12">
        <w:r>
          <w:rPr>
            <w:rFonts w:ascii="Times New Roman" w:eastAsia="Times New Roman" w:hAnsi="Times New Roman" w:cs="Times New Roman"/>
            <w:sz w:val="24"/>
            <w:szCs w:val="24"/>
            <w:u w:val="single"/>
          </w:rPr>
          <w:t>https://blast.ncbi.nlm.nih.gov/Blast.cgi</w:t>
        </w:r>
      </w:hyperlink>
      <w:r>
        <w:rPr>
          <w:rFonts w:ascii="Times New Roman" w:eastAsia="Times New Roman" w:hAnsi="Times New Roman" w:cs="Times New Roman"/>
          <w:sz w:val="24"/>
          <w:szCs w:val="24"/>
        </w:rPr>
        <w:t>) against the set of bacteria within the human gut flora with an E-value cutoff of 1e-5 [20].</w:t>
      </w:r>
    </w:p>
    <w:p w14:paraId="38E36736" w14:textId="77777777" w:rsidR="00AC68F5" w:rsidRDefault="00AC68F5">
      <w:pPr>
        <w:jc w:val="both"/>
        <w:rPr>
          <w:rFonts w:ascii="Times New Roman" w:eastAsia="Times New Roman" w:hAnsi="Times New Roman" w:cs="Times New Roman"/>
          <w:sz w:val="24"/>
          <w:szCs w:val="24"/>
        </w:rPr>
      </w:pPr>
    </w:p>
    <w:p w14:paraId="06FB5737"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Tertiary Structure Modeling</w:t>
      </w:r>
    </w:p>
    <w:p w14:paraId="734D8F3A"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tertiary structures of the non-homologous proteins were generated using SWISS-MODEL (</w:t>
      </w:r>
      <w:hyperlink r:id="rId13">
        <w:r>
          <w:rPr>
            <w:rFonts w:ascii="Times New Roman" w:eastAsia="Times New Roman" w:hAnsi="Times New Roman" w:cs="Times New Roman"/>
            <w:sz w:val="24"/>
            <w:szCs w:val="24"/>
            <w:u w:val="single"/>
          </w:rPr>
          <w:t>https://swissmodel.expasy.org/</w:t>
        </w:r>
      </w:hyperlink>
      <w:r>
        <w:rPr>
          <w:rFonts w:ascii="Times New Roman" w:eastAsia="Times New Roman" w:hAnsi="Times New Roman" w:cs="Times New Roman"/>
          <w:sz w:val="24"/>
          <w:szCs w:val="24"/>
        </w:rPr>
        <w:t>) [22][29]. The best scoring models were selected based on Global Model Quality Estimation (GMQE) and QMEAN scores.</w:t>
      </w:r>
    </w:p>
    <w:p w14:paraId="017C9165" w14:textId="77777777" w:rsidR="00AC68F5" w:rsidRDefault="00AC68F5">
      <w:pPr>
        <w:jc w:val="both"/>
        <w:rPr>
          <w:rFonts w:ascii="Times New Roman" w:eastAsia="Times New Roman" w:hAnsi="Times New Roman" w:cs="Times New Roman"/>
          <w:sz w:val="24"/>
          <w:szCs w:val="24"/>
        </w:rPr>
      </w:pPr>
    </w:p>
    <w:p w14:paraId="22E283C5"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Ligand Selection and Preparation</w:t>
      </w:r>
    </w:p>
    <w:p w14:paraId="66E5D942"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Candidate ligands were selected from phytochemical compounds listed in Dr. Duke’s Phytochemical and Ethnobotanical Databases (</w:t>
      </w:r>
      <w:hyperlink r:id="rId14">
        <w:r>
          <w:rPr>
            <w:rFonts w:ascii="Times New Roman" w:eastAsia="Times New Roman" w:hAnsi="Times New Roman" w:cs="Times New Roman"/>
            <w:sz w:val="24"/>
            <w:szCs w:val="24"/>
            <w:u w:val="single"/>
          </w:rPr>
          <w:t>https://phytochem.nal.usda.gov/</w:t>
        </w:r>
      </w:hyperlink>
      <w:r>
        <w:rPr>
          <w:rFonts w:ascii="Times New Roman" w:eastAsia="Times New Roman" w:hAnsi="Times New Roman" w:cs="Times New Roman"/>
          <w:sz w:val="24"/>
          <w:szCs w:val="24"/>
        </w:rPr>
        <w:t>). The SMILES for each phytochemical were retrieved from the PubChem database (</w:t>
      </w:r>
      <w:hyperlink r:id="rId15">
        <w:r>
          <w:rPr>
            <w:rFonts w:ascii="Times New Roman" w:eastAsia="Times New Roman" w:hAnsi="Times New Roman" w:cs="Times New Roman"/>
            <w:sz w:val="24"/>
            <w:szCs w:val="24"/>
            <w:u w:val="single"/>
          </w:rPr>
          <w:t>https://pubchem.ncbi.nlm.nih.gov/</w:t>
        </w:r>
      </w:hyperlink>
      <w:r>
        <w:rPr>
          <w:rFonts w:ascii="Times New Roman" w:eastAsia="Times New Roman" w:hAnsi="Times New Roman" w:cs="Times New Roman"/>
          <w:sz w:val="24"/>
          <w:szCs w:val="24"/>
        </w:rPr>
        <w:t xml:space="preserve">) for further processing. Pharmacokinetics and drug-likeness of each of the selected compounds were evaluated using the </w:t>
      </w:r>
      <w:proofErr w:type="spellStart"/>
      <w:r>
        <w:rPr>
          <w:rFonts w:ascii="Times New Roman" w:eastAsia="Times New Roman" w:hAnsi="Times New Roman" w:cs="Times New Roman"/>
          <w:sz w:val="24"/>
          <w:szCs w:val="24"/>
        </w:rPr>
        <w:t>SwissADME</w:t>
      </w:r>
      <w:proofErr w:type="spellEnd"/>
      <w:r>
        <w:rPr>
          <w:rFonts w:ascii="Times New Roman" w:eastAsia="Times New Roman" w:hAnsi="Times New Roman" w:cs="Times New Roman"/>
          <w:sz w:val="24"/>
          <w:szCs w:val="24"/>
        </w:rPr>
        <w:t xml:space="preserve"> tool (</w:t>
      </w:r>
      <w:hyperlink r:id="rId16">
        <w:r>
          <w:rPr>
            <w:rFonts w:ascii="Times New Roman" w:eastAsia="Times New Roman" w:hAnsi="Times New Roman" w:cs="Times New Roman"/>
            <w:sz w:val="24"/>
            <w:szCs w:val="24"/>
            <w:u w:val="single"/>
          </w:rPr>
          <w:t>http://www.swissadme.ch/</w:t>
        </w:r>
      </w:hyperlink>
      <w:r>
        <w:rPr>
          <w:rFonts w:ascii="Times New Roman" w:eastAsia="Times New Roman" w:hAnsi="Times New Roman" w:cs="Times New Roman"/>
          <w:sz w:val="24"/>
          <w:szCs w:val="24"/>
        </w:rPr>
        <w:t>). Protein structures were then prepared for docking using UCSF Chimera (</w:t>
      </w:r>
      <w:hyperlink r:id="rId17">
        <w:r>
          <w:rPr>
            <w:rFonts w:ascii="Times New Roman" w:eastAsia="Times New Roman" w:hAnsi="Times New Roman" w:cs="Times New Roman"/>
            <w:sz w:val="24"/>
            <w:szCs w:val="24"/>
            <w:u w:val="single"/>
          </w:rPr>
          <w:t>https://www.cgl.ucsf.edu/chimera/</w:t>
        </w:r>
      </w:hyperlink>
      <w:r>
        <w:rPr>
          <w:rFonts w:ascii="Times New Roman" w:eastAsia="Times New Roman" w:hAnsi="Times New Roman" w:cs="Times New Roman"/>
          <w:sz w:val="24"/>
          <w:szCs w:val="24"/>
        </w:rPr>
        <w:t xml:space="preserve">) [27], and energy minimization of ligands was performed using Babel in </w:t>
      </w:r>
      <w:proofErr w:type="spellStart"/>
      <w:r>
        <w:rPr>
          <w:rFonts w:ascii="Times New Roman" w:eastAsia="Times New Roman" w:hAnsi="Times New Roman" w:cs="Times New Roman"/>
          <w:sz w:val="24"/>
          <w:szCs w:val="24"/>
        </w:rPr>
        <w:t>PyRx</w:t>
      </w:r>
      <w:proofErr w:type="spellEnd"/>
      <w:r>
        <w:rPr>
          <w:rFonts w:ascii="Times New Roman" w:eastAsia="Times New Roman" w:hAnsi="Times New Roman" w:cs="Times New Roman"/>
          <w:sz w:val="24"/>
          <w:szCs w:val="24"/>
        </w:rPr>
        <w:t>.</w:t>
      </w:r>
    </w:p>
    <w:p w14:paraId="1ACCA344" w14:textId="77777777" w:rsidR="00AC68F5" w:rsidRDefault="00AC68F5">
      <w:pPr>
        <w:jc w:val="both"/>
        <w:rPr>
          <w:rFonts w:ascii="Times New Roman" w:eastAsia="Times New Roman" w:hAnsi="Times New Roman" w:cs="Times New Roman"/>
          <w:sz w:val="24"/>
          <w:szCs w:val="24"/>
        </w:rPr>
      </w:pPr>
    </w:p>
    <w:p w14:paraId="37A02140"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Molecular Docking</w:t>
      </w:r>
    </w:p>
    <w:p w14:paraId="15285AE9"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Molecular docking was performed using </w:t>
      </w:r>
      <w:proofErr w:type="spellStart"/>
      <w:r>
        <w:rPr>
          <w:rFonts w:ascii="Times New Roman" w:eastAsia="Times New Roman" w:hAnsi="Times New Roman" w:cs="Times New Roman"/>
          <w:sz w:val="24"/>
          <w:szCs w:val="24"/>
        </w:rPr>
        <w:t>AutoDock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Vina</w:t>
      </w:r>
      <w:proofErr w:type="spellEnd"/>
      <w:r>
        <w:rPr>
          <w:rFonts w:ascii="Times New Roman" w:eastAsia="Times New Roman" w:hAnsi="Times New Roman" w:cs="Times New Roman"/>
          <w:sz w:val="24"/>
          <w:szCs w:val="24"/>
        </w:rPr>
        <w:t xml:space="preserve"> [28], part of the </w:t>
      </w:r>
      <w:proofErr w:type="spellStart"/>
      <w:r>
        <w:rPr>
          <w:rFonts w:ascii="Times New Roman" w:eastAsia="Times New Roman" w:hAnsi="Times New Roman" w:cs="Times New Roman"/>
          <w:sz w:val="24"/>
          <w:szCs w:val="24"/>
        </w:rPr>
        <w:t>PyRx</w:t>
      </w:r>
      <w:proofErr w:type="spellEnd"/>
      <w:r>
        <w:rPr>
          <w:rFonts w:ascii="Times New Roman" w:eastAsia="Times New Roman" w:hAnsi="Times New Roman" w:cs="Times New Roman"/>
          <w:sz w:val="24"/>
          <w:szCs w:val="24"/>
        </w:rPr>
        <w:t xml:space="preserve"> platform, to predict the binding energy and interaction between each phytochemical and the modeled proteins. The docked complexes were evaluated based on binding energy scores, and interaction visualization was performed using UCSF Chimera.</w:t>
      </w:r>
    </w:p>
    <w:p w14:paraId="48345B22" w14:textId="77777777" w:rsidR="00AC68F5" w:rsidRDefault="00BF649C">
      <w:pPr>
        <w:pStyle w:val="Heading3"/>
        <w:keepNext w:val="0"/>
        <w:keepLines w:val="0"/>
        <w:spacing w:before="280"/>
        <w:rPr>
          <w:rFonts w:ascii="Times New Roman" w:eastAsia="Times New Roman" w:hAnsi="Times New Roman" w:cs="Times New Roman"/>
          <w:b/>
          <w:color w:val="000000"/>
          <w:sz w:val="24"/>
          <w:szCs w:val="24"/>
        </w:rPr>
      </w:pPr>
      <w:bookmarkStart w:id="4" w:name="_heading=h.3mwl4q1pam2" w:colFirst="0" w:colLast="0"/>
      <w:bookmarkEnd w:id="4"/>
      <w:commentRangeStart w:id="5"/>
      <w:r>
        <w:rPr>
          <w:rFonts w:ascii="Times New Roman" w:eastAsia="Times New Roman" w:hAnsi="Times New Roman" w:cs="Times New Roman"/>
          <w:b/>
          <w:color w:val="000000"/>
          <w:sz w:val="24"/>
          <w:szCs w:val="24"/>
        </w:rPr>
        <w:t>Results</w:t>
      </w:r>
    </w:p>
    <w:p w14:paraId="5C4DBEA8" w14:textId="6CFBE028" w:rsidR="00740E03" w:rsidRDefault="00BF649C" w:rsidP="00740E03">
      <w:pPr>
        <w:pStyle w:val="Heading3"/>
        <w:keepNext w:val="0"/>
        <w:keepLines w:val="0"/>
        <w:spacing w:before="280"/>
        <w:rPr>
          <w:rFonts w:ascii="Times New Roman" w:eastAsia="Times New Roman" w:hAnsi="Times New Roman" w:cs="Times New Roman"/>
          <w:sz w:val="24"/>
          <w:szCs w:val="24"/>
        </w:rPr>
      </w:pPr>
      <w:r>
        <w:rPr>
          <w:rFonts w:ascii="Times New Roman" w:eastAsia="Times New Roman" w:hAnsi="Times New Roman" w:cs="Times New Roman"/>
          <w:b/>
          <w:sz w:val="24"/>
          <w:szCs w:val="24"/>
        </w:rPr>
        <w:t>Identification and Characterization of Novel Drug Targets</w:t>
      </w:r>
      <w:r w:rsidR="00740E03">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primary objective of this study was to employ a subtractive proteomics pipeline to identify novel, non-host-homologous drug targets within the uncharacterized portion of the </w:t>
      </w:r>
      <w:r>
        <w:rPr>
          <w:rFonts w:ascii="Times New Roman" w:eastAsia="Times New Roman" w:hAnsi="Times New Roman" w:cs="Times New Roman"/>
          <w:i/>
          <w:sz w:val="24"/>
          <w:szCs w:val="24"/>
        </w:rPr>
        <w:t>Clostridium perfringens</w:t>
      </w:r>
      <w:r>
        <w:rPr>
          <w:rFonts w:ascii="Times New Roman" w:eastAsia="Times New Roman" w:hAnsi="Times New Roman" w:cs="Times New Roman"/>
          <w:sz w:val="24"/>
          <w:szCs w:val="24"/>
        </w:rPr>
        <w:t xml:space="preserve"> proteome. The complete proteome was retrieved from NCBI, yielding 2,661 total proteins. A substantial fraction, 1,179 proteins, were initially annotated as hypothetical proteins (HPs), underscoring the gap in functional annotation for this pathogen.</w:t>
      </w:r>
      <w:commentRangeEnd w:id="5"/>
      <w:r w:rsidR="000E15CE">
        <w:rPr>
          <w:rStyle w:val="CommentReference"/>
          <w:color w:val="auto"/>
        </w:rPr>
        <w:commentReference w:id="5"/>
      </w:r>
    </w:p>
    <w:p w14:paraId="1FFEA367" w14:textId="77777777" w:rsidR="00740E03" w:rsidRDefault="00BF649C" w:rsidP="00740E03">
      <w:pPr>
        <w:pStyle w:val="Heading3"/>
        <w:keepNext w:val="0"/>
        <w:keepLines w:val="0"/>
        <w:spacing w:before="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We prioritized targets by selecting the subset of HPs considered conserved hypothetical proteins (CHPs) across clinically relevant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strains. This filtering step yielded 496 candidate CHPs, which were hypothesized to be essential for basic cell biology or virulence.</w:t>
      </w:r>
    </w:p>
    <w:p w14:paraId="21A97968" w14:textId="143B2E15" w:rsidR="00740E03" w:rsidRDefault="00BF649C" w:rsidP="00740E03">
      <w:pPr>
        <w:pStyle w:val="Heading3"/>
        <w:keepNext w:val="0"/>
        <w:keepLines w:val="0"/>
        <w:spacing w:before="280"/>
        <w:jc w:val="both"/>
        <w:rPr>
          <w:rFonts w:ascii="Times New Roman" w:eastAsia="Times New Roman" w:hAnsi="Times New Roman" w:cs="Times New Roman"/>
          <w:b/>
          <w:sz w:val="24"/>
          <w:szCs w:val="24"/>
        </w:rPr>
      </w:pPr>
      <w:commentRangeStart w:id="6"/>
      <w:r>
        <w:rPr>
          <w:rFonts w:ascii="Times New Roman" w:eastAsia="Times New Roman" w:hAnsi="Times New Roman" w:cs="Times New Roman"/>
          <w:b/>
          <w:sz w:val="24"/>
          <w:szCs w:val="24"/>
        </w:rPr>
        <w:t xml:space="preserve">In Silico Filtering and Target </w:t>
      </w:r>
      <w:proofErr w:type="gramStart"/>
      <w:r>
        <w:rPr>
          <w:rFonts w:ascii="Times New Roman" w:eastAsia="Times New Roman" w:hAnsi="Times New Roman" w:cs="Times New Roman"/>
          <w:b/>
          <w:sz w:val="24"/>
          <w:szCs w:val="24"/>
        </w:rPr>
        <w:t>Prioritization</w:t>
      </w:r>
      <w:r w:rsidR="00740E03">
        <w:rPr>
          <w:rFonts w:ascii="Times New Roman" w:eastAsia="Times New Roman" w:hAnsi="Times New Roman" w:cs="Times New Roman"/>
          <w:b/>
          <w:sz w:val="24"/>
          <w:szCs w:val="24"/>
        </w:rPr>
        <w:t xml:space="preserve"> :</w:t>
      </w:r>
      <w:proofErr w:type="gramEnd"/>
    </w:p>
    <w:p w14:paraId="73AD3D8C" w14:textId="77777777" w:rsidR="00740E03" w:rsidRDefault="00BF649C" w:rsidP="00740E03">
      <w:pPr>
        <w:pStyle w:val="Heading3"/>
        <w:keepNext w:val="0"/>
        <w:keepLines w:val="0"/>
        <w:spacing w:before="28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496 CHPs were subjected to sequential filtering based on pharmacological and biological criteria:</w:t>
      </w:r>
    </w:p>
    <w:p w14:paraId="0D9C83D1" w14:textId="4F5BEA5F" w:rsidR="00AC68F5" w:rsidRDefault="00BF649C" w:rsidP="00740E03">
      <w:pPr>
        <w:pStyle w:val="Heading3"/>
        <w:keepNext w:val="0"/>
        <w:keepLines w:val="0"/>
        <w:spacing w:before="2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Physicochemical Filtering</w:t>
      </w:r>
      <w:r w:rsidR="00740E03">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stability and feasibility of the 496 CHPs for therapeutic development were assessed using </w:t>
      </w:r>
      <w:proofErr w:type="spellStart"/>
      <w:r>
        <w:rPr>
          <w:rFonts w:ascii="Times New Roman" w:eastAsia="Times New Roman" w:hAnsi="Times New Roman" w:cs="Times New Roman"/>
          <w:sz w:val="24"/>
          <w:szCs w:val="24"/>
        </w:rPr>
        <w:t>ProtParam</w:t>
      </w:r>
      <w:proofErr w:type="spellEnd"/>
      <w:r>
        <w:rPr>
          <w:rFonts w:ascii="Times New Roman" w:eastAsia="Times New Roman" w:hAnsi="Times New Roman" w:cs="Times New Roman"/>
          <w:sz w:val="24"/>
          <w:szCs w:val="24"/>
        </w:rPr>
        <w:t>. Based on the Instability Index (II) threshold, 390 proteins were retained, exhibiting predicted physiochemical stability required for persistence and drug binding under physiological conditions.</w:t>
      </w:r>
    </w:p>
    <w:p w14:paraId="7F436CA0" w14:textId="2B45367B" w:rsidR="00AC68F5" w:rsidRDefault="00BF649C" w:rsidP="00740E03">
      <w:pPr>
        <w:pStyle w:val="Heading3"/>
        <w:spacing w:before="280"/>
        <w:rPr>
          <w:rFonts w:ascii="Times New Roman" w:eastAsia="Times New Roman" w:hAnsi="Times New Roman" w:cs="Times New Roman"/>
          <w:sz w:val="24"/>
          <w:szCs w:val="24"/>
        </w:rPr>
      </w:pPr>
      <w:r>
        <w:rPr>
          <w:rFonts w:ascii="Times New Roman" w:eastAsia="Times New Roman" w:hAnsi="Times New Roman" w:cs="Times New Roman"/>
          <w:b/>
          <w:sz w:val="24"/>
          <w:szCs w:val="24"/>
        </w:rPr>
        <w:t>Subcellular Localization</w:t>
      </w:r>
      <w:r w:rsidR="00740E03">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Drug targets must be accessible to therapeutic agents. Subcellular localization prediction was performed using </w:t>
      </w:r>
      <w:proofErr w:type="spellStart"/>
      <w:r>
        <w:rPr>
          <w:rFonts w:ascii="Times New Roman" w:eastAsia="Times New Roman" w:hAnsi="Times New Roman" w:cs="Times New Roman"/>
          <w:sz w:val="24"/>
          <w:szCs w:val="24"/>
        </w:rPr>
        <w:t>PSORTb</w:t>
      </w:r>
      <w:proofErr w:type="spellEnd"/>
      <w:r>
        <w:rPr>
          <w:rFonts w:ascii="Times New Roman" w:eastAsia="Times New Roman" w:hAnsi="Times New Roman" w:cs="Times New Roman"/>
          <w:sz w:val="24"/>
          <w:szCs w:val="24"/>
        </w:rPr>
        <w:t>, which identified 313 proteins situated in the cytoplasmic or cell membrane regions. To increase confidence in these crucial predictions, cross-validation was performed using CELLO v2.5, confirming 291 proteins within these accessible compartments.</w:t>
      </w:r>
    </w:p>
    <w:p w14:paraId="3B756482" w14:textId="1F05CA9C" w:rsidR="00AC68F5" w:rsidRDefault="00BF649C" w:rsidP="00740E03">
      <w:pPr>
        <w:pStyle w:val="Heading3"/>
        <w:spacing w:before="280"/>
        <w:rPr>
          <w:rFonts w:ascii="Times New Roman" w:eastAsia="Times New Roman" w:hAnsi="Times New Roman" w:cs="Times New Roman"/>
          <w:sz w:val="24"/>
          <w:szCs w:val="24"/>
        </w:rPr>
      </w:pPr>
      <w:r>
        <w:rPr>
          <w:rFonts w:ascii="Times New Roman" w:eastAsia="Times New Roman" w:hAnsi="Times New Roman" w:cs="Times New Roman"/>
          <w:b/>
          <w:sz w:val="24"/>
          <w:szCs w:val="24"/>
        </w:rPr>
        <w:t>Non-Homology Subtraction (Pathogen Specificity</w:t>
      </w:r>
      <w:proofErr w:type="gramStart"/>
      <w:r>
        <w:rPr>
          <w:rFonts w:ascii="Times New Roman" w:eastAsia="Times New Roman" w:hAnsi="Times New Roman" w:cs="Times New Roman"/>
          <w:b/>
          <w:sz w:val="24"/>
          <w:szCs w:val="24"/>
        </w:rPr>
        <w:t>)</w:t>
      </w:r>
      <w:r w:rsidR="00740E03">
        <w:rPr>
          <w:rFonts w:ascii="Times New Roman" w:eastAsia="Times New Roman" w:hAnsi="Times New Roman" w:cs="Times New Roman"/>
          <w:b/>
          <w:sz w:val="24"/>
          <w:szCs w:val="24"/>
        </w:rPr>
        <w:t>:</w:t>
      </w:r>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ensure high specificity and minimize the risk of off-target toxicity to the human host and the crucial gut microbiota, the 291 candidates were subjected to rigorous non-homology analysis. </w:t>
      </w:r>
      <w:proofErr w:type="spellStart"/>
      <w:r>
        <w:rPr>
          <w:rFonts w:ascii="Times New Roman" w:eastAsia="Times New Roman" w:hAnsi="Times New Roman" w:cs="Times New Roman"/>
          <w:sz w:val="24"/>
          <w:szCs w:val="24"/>
        </w:rPr>
        <w:t>BLASTp</w:t>
      </w:r>
      <w:proofErr w:type="spellEnd"/>
      <w:r>
        <w:rPr>
          <w:rFonts w:ascii="Times New Roman" w:eastAsia="Times New Roman" w:hAnsi="Times New Roman" w:cs="Times New Roman"/>
          <w:sz w:val="24"/>
          <w:szCs w:val="24"/>
        </w:rPr>
        <w:t xml:space="preserve"> analysis was conducted against a comprehensive set of reference proteomes from the human gut flora, including </w:t>
      </w:r>
      <w:r>
        <w:rPr>
          <w:rFonts w:ascii="Times New Roman" w:eastAsia="Times New Roman" w:hAnsi="Times New Roman" w:cs="Times New Roman"/>
          <w:i/>
          <w:sz w:val="24"/>
          <w:szCs w:val="24"/>
        </w:rPr>
        <w:t>Bacteroides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Enterococcus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Escherichia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Enterobacter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Klebsiella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Bifidobacterium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Staphylococcus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Lactobacillus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Proteus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Pseudomonas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Salmonella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Faecalibacterium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Peptostreptococcus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Peptococcus</w:t>
      </w:r>
      <w:proofErr w:type="spellEnd"/>
      <w:r>
        <w:rPr>
          <w:rFonts w:ascii="Times New Roman" w:eastAsia="Times New Roman" w:hAnsi="Times New Roman" w:cs="Times New Roman"/>
          <w:sz w:val="24"/>
          <w:szCs w:val="24"/>
        </w:rPr>
        <w:t>.</w:t>
      </w:r>
    </w:p>
    <w:p w14:paraId="219D9968" w14:textId="77777777" w:rsidR="00AC68F5" w:rsidRDefault="00BF649C">
      <w:pPr>
        <w:pStyle w:val="Heading3"/>
        <w:spacing w:before="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protein was classified as homologous and subsequently removed if it displayed sequence identity with query coverage. This highly selective subtractive process reduced the pool to 22 final, non-homologous hypothetical protein targets. The detailed physiochemical properties and predicted subcellular locations for these 22 most promising drug candidates are summarized in Table 1.</w:t>
      </w:r>
      <w:commentRangeEnd w:id="6"/>
      <w:r w:rsidR="00814946">
        <w:rPr>
          <w:rStyle w:val="CommentReference"/>
          <w:color w:val="auto"/>
        </w:rPr>
        <w:commentReference w:id="6"/>
      </w:r>
    </w:p>
    <w:p w14:paraId="3612FDE1" w14:textId="77777777" w:rsidR="00AC68F5" w:rsidRDefault="00AC68F5">
      <w:pPr>
        <w:rPr>
          <w:rFonts w:ascii="Times New Roman" w:eastAsia="Times New Roman" w:hAnsi="Times New Roman" w:cs="Times New Roman"/>
        </w:rPr>
      </w:pPr>
    </w:p>
    <w:p w14:paraId="11A26513" w14:textId="77777777" w:rsidR="00AC68F5" w:rsidRDefault="00BF649C">
      <w:pPr>
        <w:keepNext/>
        <w:pBdr>
          <w:top w:val="nil"/>
          <w:left w:val="nil"/>
          <w:bottom w:val="nil"/>
          <w:right w:val="nil"/>
          <w:between w:val="nil"/>
        </w:pBdr>
        <w:spacing w:after="200" w:line="240" w:lineRule="auto"/>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 xml:space="preserve">Table 1 </w:t>
      </w:r>
      <w:r>
        <w:rPr>
          <w:rFonts w:ascii="Times New Roman" w:eastAsia="Times New Roman" w:hAnsi="Times New Roman" w:cs="Times New Roman"/>
          <w:b/>
          <w:i/>
          <w:color w:val="1F497D"/>
          <w:sz w:val="18"/>
          <w:szCs w:val="18"/>
        </w:rPr>
        <w:t>Physicochemical characterization and antigenicity prediction of conserved hypothetical proteins of Clostridium perfringens.</w:t>
      </w:r>
      <w:r>
        <w:rPr>
          <w:rFonts w:ascii="Times New Roman" w:eastAsia="Times New Roman" w:hAnsi="Times New Roman" w:cs="Times New Roman"/>
          <w:i/>
          <w:color w:val="1F497D"/>
          <w:sz w:val="18"/>
          <w:szCs w:val="18"/>
        </w:rPr>
        <w:br/>
        <w:t>Physicochemical and immunological properties of 22 non-homologous hypothetical proteins identified through subtractive proteomics analysis. Parameters include subcellular localization, amino acid length, molecular weight, theoretical isoelectric point (</w:t>
      </w:r>
      <w:proofErr w:type="spellStart"/>
      <w:r>
        <w:rPr>
          <w:rFonts w:ascii="Times New Roman" w:eastAsia="Times New Roman" w:hAnsi="Times New Roman" w:cs="Times New Roman"/>
          <w:i/>
          <w:color w:val="1F497D"/>
          <w:sz w:val="18"/>
          <w:szCs w:val="18"/>
        </w:rPr>
        <w:t>pI</w:t>
      </w:r>
      <w:proofErr w:type="spellEnd"/>
      <w:r>
        <w:rPr>
          <w:rFonts w:ascii="Times New Roman" w:eastAsia="Times New Roman" w:hAnsi="Times New Roman" w:cs="Times New Roman"/>
          <w:i/>
          <w:color w:val="1F497D"/>
          <w:sz w:val="18"/>
          <w:szCs w:val="18"/>
        </w:rPr>
        <w:t>), instability index (II), aliphatic index, grand average of hydropathicity (GRAVY), and antigenicity prediction scores. Proteins predicted as probable antigens are highlighted as potential vaccine or drug target candidates.</w:t>
      </w:r>
    </w:p>
    <w:tbl>
      <w:tblPr>
        <w:tblStyle w:val="a1"/>
        <w:tblW w:w="11415" w:type="dxa"/>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1350"/>
        <w:gridCol w:w="1065"/>
        <w:gridCol w:w="1260"/>
        <w:gridCol w:w="1545"/>
        <w:gridCol w:w="1350"/>
        <w:gridCol w:w="1545"/>
        <w:gridCol w:w="1110"/>
        <w:gridCol w:w="1245"/>
      </w:tblGrid>
      <w:tr w:rsidR="00AC68F5" w14:paraId="7A921C25" w14:textId="77777777">
        <w:tc>
          <w:tcPr>
            <w:tcW w:w="945" w:type="dxa"/>
            <w:tcMar>
              <w:top w:w="100" w:type="dxa"/>
              <w:left w:w="100" w:type="dxa"/>
              <w:bottom w:w="100" w:type="dxa"/>
              <w:right w:w="100" w:type="dxa"/>
            </w:tcMar>
          </w:tcPr>
          <w:p w14:paraId="1E0C568E"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Protein Name</w:t>
            </w:r>
          </w:p>
        </w:tc>
        <w:tc>
          <w:tcPr>
            <w:tcW w:w="1350" w:type="dxa"/>
            <w:tcMar>
              <w:top w:w="0" w:type="dxa"/>
              <w:left w:w="40" w:type="dxa"/>
              <w:bottom w:w="0" w:type="dxa"/>
              <w:right w:w="40" w:type="dxa"/>
            </w:tcMar>
            <w:vAlign w:val="bottom"/>
          </w:tcPr>
          <w:p w14:paraId="5A61587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Subcellular Localization </w:t>
            </w:r>
          </w:p>
        </w:tc>
        <w:tc>
          <w:tcPr>
            <w:tcW w:w="1065" w:type="dxa"/>
            <w:tcMar>
              <w:top w:w="0" w:type="dxa"/>
              <w:left w:w="40" w:type="dxa"/>
              <w:bottom w:w="0" w:type="dxa"/>
              <w:right w:w="40" w:type="dxa"/>
            </w:tcMar>
            <w:vAlign w:val="bottom"/>
          </w:tcPr>
          <w:p w14:paraId="638B564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Amino Acids</w:t>
            </w:r>
          </w:p>
        </w:tc>
        <w:tc>
          <w:tcPr>
            <w:tcW w:w="1260" w:type="dxa"/>
            <w:tcMar>
              <w:top w:w="0" w:type="dxa"/>
              <w:left w:w="40" w:type="dxa"/>
              <w:bottom w:w="0" w:type="dxa"/>
              <w:right w:w="40" w:type="dxa"/>
            </w:tcMar>
            <w:vAlign w:val="bottom"/>
          </w:tcPr>
          <w:p w14:paraId="737A7A9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Molecular Weight</w:t>
            </w:r>
          </w:p>
        </w:tc>
        <w:tc>
          <w:tcPr>
            <w:tcW w:w="1545" w:type="dxa"/>
            <w:tcMar>
              <w:top w:w="0" w:type="dxa"/>
              <w:left w:w="40" w:type="dxa"/>
              <w:bottom w:w="0" w:type="dxa"/>
              <w:right w:w="40" w:type="dxa"/>
            </w:tcMar>
            <w:vAlign w:val="bottom"/>
          </w:tcPr>
          <w:p w14:paraId="3CBF1DD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Theoretical </w:t>
            </w:r>
            <w:proofErr w:type="spellStart"/>
            <w:r>
              <w:rPr>
                <w:rFonts w:ascii="Times New Roman" w:eastAsia="Times New Roman" w:hAnsi="Times New Roman" w:cs="Times New Roman"/>
                <w:sz w:val="20"/>
                <w:szCs w:val="20"/>
              </w:rPr>
              <w:t>pI</w:t>
            </w:r>
            <w:proofErr w:type="spellEnd"/>
          </w:p>
        </w:tc>
        <w:tc>
          <w:tcPr>
            <w:tcW w:w="1350" w:type="dxa"/>
            <w:tcMar>
              <w:top w:w="0" w:type="dxa"/>
              <w:left w:w="40" w:type="dxa"/>
              <w:bottom w:w="0" w:type="dxa"/>
              <w:right w:w="40" w:type="dxa"/>
            </w:tcMar>
            <w:vAlign w:val="bottom"/>
          </w:tcPr>
          <w:p w14:paraId="0AE9D47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Instability Index (II)</w:t>
            </w:r>
          </w:p>
        </w:tc>
        <w:tc>
          <w:tcPr>
            <w:tcW w:w="1545" w:type="dxa"/>
            <w:tcMar>
              <w:top w:w="0" w:type="dxa"/>
              <w:left w:w="40" w:type="dxa"/>
              <w:bottom w:w="0" w:type="dxa"/>
              <w:right w:w="40" w:type="dxa"/>
            </w:tcMar>
            <w:vAlign w:val="bottom"/>
          </w:tcPr>
          <w:p w14:paraId="4787EA7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Aliphatic Index</w:t>
            </w:r>
          </w:p>
        </w:tc>
        <w:tc>
          <w:tcPr>
            <w:tcW w:w="1110" w:type="dxa"/>
            <w:tcMar>
              <w:top w:w="0" w:type="dxa"/>
              <w:left w:w="40" w:type="dxa"/>
              <w:bottom w:w="0" w:type="dxa"/>
              <w:right w:w="40" w:type="dxa"/>
            </w:tcMar>
            <w:vAlign w:val="bottom"/>
          </w:tcPr>
          <w:p w14:paraId="443B856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GRAVY</w:t>
            </w:r>
          </w:p>
        </w:tc>
        <w:tc>
          <w:tcPr>
            <w:tcW w:w="1245" w:type="dxa"/>
            <w:tcMar>
              <w:top w:w="0" w:type="dxa"/>
              <w:left w:w="0" w:type="dxa"/>
              <w:bottom w:w="0" w:type="dxa"/>
              <w:right w:w="0" w:type="dxa"/>
            </w:tcMar>
            <w:vAlign w:val="bottom"/>
          </w:tcPr>
          <w:p w14:paraId="3A7A22B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Antigen Prediction Score</w:t>
            </w:r>
          </w:p>
        </w:tc>
      </w:tr>
      <w:tr w:rsidR="00AC68F5" w14:paraId="35D9AF82" w14:textId="77777777">
        <w:tc>
          <w:tcPr>
            <w:tcW w:w="945" w:type="dxa"/>
            <w:tcMar>
              <w:top w:w="100" w:type="dxa"/>
              <w:left w:w="100" w:type="dxa"/>
              <w:bottom w:w="100" w:type="dxa"/>
              <w:right w:w="100" w:type="dxa"/>
            </w:tcMar>
          </w:tcPr>
          <w:p w14:paraId="524E9F97"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CPE0133</w:t>
            </w:r>
          </w:p>
        </w:tc>
        <w:tc>
          <w:tcPr>
            <w:tcW w:w="1350" w:type="dxa"/>
            <w:tcMar>
              <w:top w:w="0" w:type="dxa"/>
              <w:left w:w="40" w:type="dxa"/>
              <w:bottom w:w="0" w:type="dxa"/>
              <w:right w:w="40" w:type="dxa"/>
            </w:tcMar>
            <w:vAlign w:val="bottom"/>
          </w:tcPr>
          <w:p w14:paraId="2D4D504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0A0D874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308</w:t>
            </w:r>
          </w:p>
        </w:tc>
        <w:tc>
          <w:tcPr>
            <w:tcW w:w="1260" w:type="dxa"/>
            <w:tcMar>
              <w:top w:w="0" w:type="dxa"/>
              <w:left w:w="40" w:type="dxa"/>
              <w:bottom w:w="0" w:type="dxa"/>
              <w:right w:w="40" w:type="dxa"/>
            </w:tcMar>
            <w:vAlign w:val="bottom"/>
          </w:tcPr>
          <w:p w14:paraId="440AFC8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34914.36</w:t>
            </w:r>
          </w:p>
        </w:tc>
        <w:tc>
          <w:tcPr>
            <w:tcW w:w="1545" w:type="dxa"/>
            <w:tcMar>
              <w:top w:w="0" w:type="dxa"/>
              <w:left w:w="40" w:type="dxa"/>
              <w:bottom w:w="0" w:type="dxa"/>
              <w:right w:w="40" w:type="dxa"/>
            </w:tcMar>
            <w:vAlign w:val="bottom"/>
          </w:tcPr>
          <w:p w14:paraId="7486325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9.52</w:t>
            </w:r>
          </w:p>
        </w:tc>
        <w:tc>
          <w:tcPr>
            <w:tcW w:w="1350" w:type="dxa"/>
            <w:tcMar>
              <w:top w:w="0" w:type="dxa"/>
              <w:left w:w="40" w:type="dxa"/>
              <w:bottom w:w="0" w:type="dxa"/>
              <w:right w:w="40" w:type="dxa"/>
            </w:tcMar>
            <w:vAlign w:val="bottom"/>
          </w:tcPr>
          <w:p w14:paraId="5B46EE8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22.74</w:t>
            </w:r>
          </w:p>
        </w:tc>
        <w:tc>
          <w:tcPr>
            <w:tcW w:w="1545" w:type="dxa"/>
            <w:tcMar>
              <w:top w:w="0" w:type="dxa"/>
              <w:left w:w="40" w:type="dxa"/>
              <w:bottom w:w="0" w:type="dxa"/>
              <w:right w:w="40" w:type="dxa"/>
            </w:tcMar>
            <w:vAlign w:val="bottom"/>
          </w:tcPr>
          <w:p w14:paraId="4B399BA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137.27</w:t>
            </w:r>
          </w:p>
        </w:tc>
        <w:tc>
          <w:tcPr>
            <w:tcW w:w="1110" w:type="dxa"/>
            <w:tcMar>
              <w:top w:w="0" w:type="dxa"/>
              <w:left w:w="40" w:type="dxa"/>
              <w:bottom w:w="0" w:type="dxa"/>
              <w:right w:w="40" w:type="dxa"/>
            </w:tcMar>
            <w:vAlign w:val="bottom"/>
          </w:tcPr>
          <w:p w14:paraId="7C15B4C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0.975</w:t>
            </w:r>
          </w:p>
        </w:tc>
        <w:tc>
          <w:tcPr>
            <w:tcW w:w="1245" w:type="dxa"/>
            <w:tcMar>
              <w:top w:w="0" w:type="dxa"/>
              <w:left w:w="0" w:type="dxa"/>
              <w:bottom w:w="0" w:type="dxa"/>
              <w:right w:w="0" w:type="dxa"/>
            </w:tcMar>
            <w:vAlign w:val="bottom"/>
          </w:tcPr>
          <w:p w14:paraId="67C619D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0.7249 ( Probable ANTIGEN ).</w:t>
            </w:r>
          </w:p>
        </w:tc>
      </w:tr>
      <w:tr w:rsidR="00AC68F5" w14:paraId="592232F8" w14:textId="77777777">
        <w:tc>
          <w:tcPr>
            <w:tcW w:w="945" w:type="dxa"/>
            <w:tcMar>
              <w:top w:w="100" w:type="dxa"/>
              <w:left w:w="100" w:type="dxa"/>
              <w:bottom w:w="100" w:type="dxa"/>
              <w:right w:w="100" w:type="dxa"/>
            </w:tcMar>
          </w:tcPr>
          <w:p w14:paraId="7B2EF1BA"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CPE0245</w:t>
            </w:r>
          </w:p>
        </w:tc>
        <w:tc>
          <w:tcPr>
            <w:tcW w:w="1350" w:type="dxa"/>
            <w:tcMar>
              <w:top w:w="0" w:type="dxa"/>
              <w:left w:w="40" w:type="dxa"/>
              <w:bottom w:w="0" w:type="dxa"/>
              <w:right w:w="40" w:type="dxa"/>
            </w:tcMar>
            <w:vAlign w:val="bottom"/>
          </w:tcPr>
          <w:p w14:paraId="52FC752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3A27AB3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775</w:t>
            </w:r>
          </w:p>
        </w:tc>
        <w:tc>
          <w:tcPr>
            <w:tcW w:w="1260" w:type="dxa"/>
            <w:tcMar>
              <w:top w:w="0" w:type="dxa"/>
              <w:left w:w="40" w:type="dxa"/>
              <w:bottom w:w="0" w:type="dxa"/>
              <w:right w:w="40" w:type="dxa"/>
            </w:tcMar>
            <w:vAlign w:val="bottom"/>
          </w:tcPr>
          <w:p w14:paraId="1EDF55F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89675.9</w:t>
            </w:r>
          </w:p>
        </w:tc>
        <w:tc>
          <w:tcPr>
            <w:tcW w:w="1545" w:type="dxa"/>
            <w:tcMar>
              <w:top w:w="0" w:type="dxa"/>
              <w:left w:w="40" w:type="dxa"/>
              <w:bottom w:w="0" w:type="dxa"/>
              <w:right w:w="40" w:type="dxa"/>
            </w:tcMar>
            <w:vAlign w:val="bottom"/>
          </w:tcPr>
          <w:p w14:paraId="78F18C1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8.93</w:t>
            </w:r>
          </w:p>
        </w:tc>
        <w:tc>
          <w:tcPr>
            <w:tcW w:w="1350" w:type="dxa"/>
            <w:tcMar>
              <w:top w:w="0" w:type="dxa"/>
              <w:left w:w="40" w:type="dxa"/>
              <w:bottom w:w="0" w:type="dxa"/>
              <w:right w:w="40" w:type="dxa"/>
            </w:tcMar>
            <w:vAlign w:val="bottom"/>
          </w:tcPr>
          <w:p w14:paraId="65974FE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27.69</w:t>
            </w:r>
          </w:p>
        </w:tc>
        <w:tc>
          <w:tcPr>
            <w:tcW w:w="1545" w:type="dxa"/>
            <w:tcMar>
              <w:top w:w="0" w:type="dxa"/>
              <w:left w:w="40" w:type="dxa"/>
              <w:bottom w:w="0" w:type="dxa"/>
              <w:right w:w="40" w:type="dxa"/>
            </w:tcMar>
            <w:vAlign w:val="bottom"/>
          </w:tcPr>
          <w:p w14:paraId="78E02D3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125.87</w:t>
            </w:r>
          </w:p>
        </w:tc>
        <w:tc>
          <w:tcPr>
            <w:tcW w:w="1110" w:type="dxa"/>
            <w:tcMar>
              <w:top w:w="0" w:type="dxa"/>
              <w:left w:w="40" w:type="dxa"/>
              <w:bottom w:w="0" w:type="dxa"/>
              <w:right w:w="40" w:type="dxa"/>
            </w:tcMar>
            <w:vAlign w:val="bottom"/>
          </w:tcPr>
          <w:p w14:paraId="4B32DBC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0.39</w:t>
            </w:r>
          </w:p>
        </w:tc>
        <w:tc>
          <w:tcPr>
            <w:tcW w:w="1245" w:type="dxa"/>
            <w:tcMar>
              <w:top w:w="0" w:type="dxa"/>
              <w:left w:w="0" w:type="dxa"/>
              <w:bottom w:w="0" w:type="dxa"/>
              <w:right w:w="0" w:type="dxa"/>
            </w:tcMar>
            <w:vAlign w:val="bottom"/>
          </w:tcPr>
          <w:p w14:paraId="79269B5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0.4851 ( Probable ANTIGEN ).</w:t>
            </w:r>
          </w:p>
        </w:tc>
      </w:tr>
      <w:tr w:rsidR="00AC68F5" w14:paraId="286FF9BF" w14:textId="77777777">
        <w:tc>
          <w:tcPr>
            <w:tcW w:w="945" w:type="dxa"/>
            <w:tcMar>
              <w:top w:w="100" w:type="dxa"/>
              <w:left w:w="100" w:type="dxa"/>
              <w:bottom w:w="100" w:type="dxa"/>
              <w:right w:w="100" w:type="dxa"/>
            </w:tcMar>
          </w:tcPr>
          <w:p w14:paraId="100A3055"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CPE0246</w:t>
            </w:r>
          </w:p>
        </w:tc>
        <w:tc>
          <w:tcPr>
            <w:tcW w:w="1350" w:type="dxa"/>
            <w:tcMar>
              <w:top w:w="0" w:type="dxa"/>
              <w:left w:w="40" w:type="dxa"/>
              <w:bottom w:w="0" w:type="dxa"/>
              <w:right w:w="40" w:type="dxa"/>
            </w:tcMar>
            <w:vAlign w:val="bottom"/>
          </w:tcPr>
          <w:p w14:paraId="71ECF75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2ADA4D0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422</w:t>
            </w:r>
          </w:p>
        </w:tc>
        <w:tc>
          <w:tcPr>
            <w:tcW w:w="1260" w:type="dxa"/>
            <w:tcMar>
              <w:top w:w="0" w:type="dxa"/>
              <w:left w:w="40" w:type="dxa"/>
              <w:bottom w:w="0" w:type="dxa"/>
              <w:right w:w="40" w:type="dxa"/>
            </w:tcMar>
            <w:vAlign w:val="bottom"/>
          </w:tcPr>
          <w:p w14:paraId="13C9DFD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50266.98</w:t>
            </w:r>
          </w:p>
        </w:tc>
        <w:tc>
          <w:tcPr>
            <w:tcW w:w="1545" w:type="dxa"/>
            <w:tcMar>
              <w:top w:w="0" w:type="dxa"/>
              <w:left w:w="40" w:type="dxa"/>
              <w:bottom w:w="0" w:type="dxa"/>
              <w:right w:w="40" w:type="dxa"/>
            </w:tcMar>
            <w:vAlign w:val="bottom"/>
          </w:tcPr>
          <w:p w14:paraId="429CC37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9.03</w:t>
            </w:r>
          </w:p>
        </w:tc>
        <w:tc>
          <w:tcPr>
            <w:tcW w:w="1350" w:type="dxa"/>
            <w:tcMar>
              <w:top w:w="0" w:type="dxa"/>
              <w:left w:w="40" w:type="dxa"/>
              <w:bottom w:w="0" w:type="dxa"/>
              <w:right w:w="40" w:type="dxa"/>
            </w:tcMar>
            <w:vAlign w:val="bottom"/>
          </w:tcPr>
          <w:p w14:paraId="1304C62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29.01</w:t>
            </w:r>
          </w:p>
        </w:tc>
        <w:tc>
          <w:tcPr>
            <w:tcW w:w="1545" w:type="dxa"/>
            <w:tcMar>
              <w:top w:w="0" w:type="dxa"/>
              <w:left w:w="40" w:type="dxa"/>
              <w:bottom w:w="0" w:type="dxa"/>
              <w:right w:w="40" w:type="dxa"/>
            </w:tcMar>
            <w:vAlign w:val="bottom"/>
          </w:tcPr>
          <w:p w14:paraId="393309B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95.81</w:t>
            </w:r>
          </w:p>
        </w:tc>
        <w:tc>
          <w:tcPr>
            <w:tcW w:w="1110" w:type="dxa"/>
            <w:tcMar>
              <w:top w:w="0" w:type="dxa"/>
              <w:left w:w="40" w:type="dxa"/>
              <w:bottom w:w="0" w:type="dxa"/>
              <w:right w:w="40" w:type="dxa"/>
            </w:tcMar>
            <w:vAlign w:val="bottom"/>
          </w:tcPr>
          <w:p w14:paraId="760927E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-0.663</w:t>
            </w:r>
          </w:p>
        </w:tc>
        <w:tc>
          <w:tcPr>
            <w:tcW w:w="1245" w:type="dxa"/>
            <w:tcMar>
              <w:top w:w="0" w:type="dxa"/>
              <w:left w:w="0" w:type="dxa"/>
              <w:bottom w:w="0" w:type="dxa"/>
              <w:right w:w="0" w:type="dxa"/>
            </w:tcMar>
            <w:vAlign w:val="bottom"/>
          </w:tcPr>
          <w:p w14:paraId="584D4C2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0.3871 ( Probable NON-ANTIGEN ).</w:t>
            </w:r>
          </w:p>
        </w:tc>
      </w:tr>
      <w:tr w:rsidR="00AC68F5" w14:paraId="13F04582" w14:textId="77777777">
        <w:tc>
          <w:tcPr>
            <w:tcW w:w="945" w:type="dxa"/>
            <w:tcMar>
              <w:top w:w="100" w:type="dxa"/>
              <w:left w:w="100" w:type="dxa"/>
              <w:bottom w:w="100" w:type="dxa"/>
              <w:right w:w="100" w:type="dxa"/>
            </w:tcMar>
          </w:tcPr>
          <w:p w14:paraId="6ACCCBFB"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CPE0657</w:t>
            </w:r>
          </w:p>
        </w:tc>
        <w:tc>
          <w:tcPr>
            <w:tcW w:w="1350" w:type="dxa"/>
            <w:tcMar>
              <w:top w:w="0" w:type="dxa"/>
              <w:left w:w="40" w:type="dxa"/>
              <w:bottom w:w="0" w:type="dxa"/>
              <w:right w:w="40" w:type="dxa"/>
            </w:tcMar>
            <w:vAlign w:val="bottom"/>
          </w:tcPr>
          <w:p w14:paraId="4DBA53D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002F627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445</w:t>
            </w:r>
          </w:p>
        </w:tc>
        <w:tc>
          <w:tcPr>
            <w:tcW w:w="1260" w:type="dxa"/>
            <w:tcMar>
              <w:top w:w="0" w:type="dxa"/>
              <w:left w:w="40" w:type="dxa"/>
              <w:bottom w:w="0" w:type="dxa"/>
              <w:right w:w="40" w:type="dxa"/>
            </w:tcMar>
            <w:vAlign w:val="bottom"/>
          </w:tcPr>
          <w:p w14:paraId="34E0E5F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52081.29</w:t>
            </w:r>
          </w:p>
        </w:tc>
        <w:tc>
          <w:tcPr>
            <w:tcW w:w="1545" w:type="dxa"/>
            <w:tcMar>
              <w:top w:w="0" w:type="dxa"/>
              <w:left w:w="40" w:type="dxa"/>
              <w:bottom w:w="0" w:type="dxa"/>
              <w:right w:w="40" w:type="dxa"/>
            </w:tcMar>
            <w:vAlign w:val="bottom"/>
          </w:tcPr>
          <w:p w14:paraId="32E2145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8.97</w:t>
            </w:r>
          </w:p>
        </w:tc>
        <w:tc>
          <w:tcPr>
            <w:tcW w:w="1350" w:type="dxa"/>
            <w:tcMar>
              <w:top w:w="0" w:type="dxa"/>
              <w:left w:w="40" w:type="dxa"/>
              <w:bottom w:w="0" w:type="dxa"/>
              <w:right w:w="40" w:type="dxa"/>
            </w:tcMar>
            <w:vAlign w:val="bottom"/>
          </w:tcPr>
          <w:p w14:paraId="2632070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39.58</w:t>
            </w:r>
          </w:p>
        </w:tc>
        <w:tc>
          <w:tcPr>
            <w:tcW w:w="1545" w:type="dxa"/>
            <w:tcMar>
              <w:top w:w="0" w:type="dxa"/>
              <w:left w:w="40" w:type="dxa"/>
              <w:bottom w:w="0" w:type="dxa"/>
              <w:right w:w="40" w:type="dxa"/>
            </w:tcMar>
            <w:vAlign w:val="bottom"/>
          </w:tcPr>
          <w:p w14:paraId="684523D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91.57</w:t>
            </w:r>
          </w:p>
        </w:tc>
        <w:tc>
          <w:tcPr>
            <w:tcW w:w="1110" w:type="dxa"/>
            <w:tcMar>
              <w:top w:w="0" w:type="dxa"/>
              <w:left w:w="40" w:type="dxa"/>
              <w:bottom w:w="0" w:type="dxa"/>
              <w:right w:w="40" w:type="dxa"/>
            </w:tcMar>
            <w:vAlign w:val="bottom"/>
          </w:tcPr>
          <w:p w14:paraId="3F7D9A3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-0.583</w:t>
            </w:r>
          </w:p>
        </w:tc>
        <w:tc>
          <w:tcPr>
            <w:tcW w:w="1245" w:type="dxa"/>
            <w:tcMar>
              <w:top w:w="0" w:type="dxa"/>
              <w:left w:w="0" w:type="dxa"/>
              <w:bottom w:w="0" w:type="dxa"/>
              <w:right w:w="0" w:type="dxa"/>
            </w:tcMar>
            <w:vAlign w:val="bottom"/>
          </w:tcPr>
          <w:p w14:paraId="5092346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0.4922 ( Probable ANTIGEN ).</w:t>
            </w:r>
          </w:p>
        </w:tc>
      </w:tr>
      <w:tr w:rsidR="00AC68F5" w14:paraId="665220E9" w14:textId="77777777">
        <w:tc>
          <w:tcPr>
            <w:tcW w:w="945" w:type="dxa"/>
            <w:tcMar>
              <w:top w:w="100" w:type="dxa"/>
              <w:left w:w="100" w:type="dxa"/>
              <w:bottom w:w="100" w:type="dxa"/>
              <w:right w:w="100" w:type="dxa"/>
            </w:tcMar>
          </w:tcPr>
          <w:p w14:paraId="03A73EA8"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CPE0662</w:t>
            </w:r>
          </w:p>
        </w:tc>
        <w:tc>
          <w:tcPr>
            <w:tcW w:w="1350" w:type="dxa"/>
            <w:tcMar>
              <w:top w:w="0" w:type="dxa"/>
              <w:left w:w="40" w:type="dxa"/>
              <w:bottom w:w="0" w:type="dxa"/>
              <w:right w:w="40" w:type="dxa"/>
            </w:tcMar>
            <w:vAlign w:val="bottom"/>
          </w:tcPr>
          <w:p w14:paraId="421B6FE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319FAAB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267</w:t>
            </w:r>
          </w:p>
        </w:tc>
        <w:tc>
          <w:tcPr>
            <w:tcW w:w="1260" w:type="dxa"/>
            <w:tcMar>
              <w:top w:w="0" w:type="dxa"/>
              <w:left w:w="40" w:type="dxa"/>
              <w:bottom w:w="0" w:type="dxa"/>
              <w:right w:w="40" w:type="dxa"/>
            </w:tcMar>
            <w:vAlign w:val="bottom"/>
          </w:tcPr>
          <w:p w14:paraId="5565B74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31159.99</w:t>
            </w:r>
          </w:p>
        </w:tc>
        <w:tc>
          <w:tcPr>
            <w:tcW w:w="1545" w:type="dxa"/>
            <w:tcMar>
              <w:top w:w="0" w:type="dxa"/>
              <w:left w:w="40" w:type="dxa"/>
              <w:bottom w:w="0" w:type="dxa"/>
              <w:right w:w="40" w:type="dxa"/>
            </w:tcMar>
            <w:vAlign w:val="bottom"/>
          </w:tcPr>
          <w:p w14:paraId="3A34F57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8.22</w:t>
            </w:r>
          </w:p>
        </w:tc>
        <w:tc>
          <w:tcPr>
            <w:tcW w:w="1350" w:type="dxa"/>
            <w:tcMar>
              <w:top w:w="0" w:type="dxa"/>
              <w:left w:w="40" w:type="dxa"/>
              <w:bottom w:w="0" w:type="dxa"/>
              <w:right w:w="40" w:type="dxa"/>
            </w:tcMar>
            <w:vAlign w:val="bottom"/>
          </w:tcPr>
          <w:p w14:paraId="1CBA75F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36.04</w:t>
            </w:r>
          </w:p>
        </w:tc>
        <w:tc>
          <w:tcPr>
            <w:tcW w:w="1545" w:type="dxa"/>
            <w:tcMar>
              <w:top w:w="0" w:type="dxa"/>
              <w:left w:w="40" w:type="dxa"/>
              <w:bottom w:w="0" w:type="dxa"/>
              <w:right w:w="40" w:type="dxa"/>
            </w:tcMar>
            <w:vAlign w:val="bottom"/>
          </w:tcPr>
          <w:p w14:paraId="384BFEA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101.65</w:t>
            </w:r>
          </w:p>
        </w:tc>
        <w:tc>
          <w:tcPr>
            <w:tcW w:w="1110" w:type="dxa"/>
            <w:tcMar>
              <w:top w:w="0" w:type="dxa"/>
              <w:left w:w="40" w:type="dxa"/>
              <w:bottom w:w="0" w:type="dxa"/>
              <w:right w:w="40" w:type="dxa"/>
            </w:tcMar>
            <w:vAlign w:val="bottom"/>
          </w:tcPr>
          <w:p w14:paraId="56757E3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-0.291</w:t>
            </w:r>
          </w:p>
        </w:tc>
        <w:tc>
          <w:tcPr>
            <w:tcW w:w="1245" w:type="dxa"/>
            <w:tcMar>
              <w:top w:w="0" w:type="dxa"/>
              <w:left w:w="0" w:type="dxa"/>
              <w:bottom w:w="0" w:type="dxa"/>
              <w:right w:w="0" w:type="dxa"/>
            </w:tcMar>
            <w:vAlign w:val="bottom"/>
          </w:tcPr>
          <w:p w14:paraId="7479237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0.4799 ( Probable ANTIGEN ).</w:t>
            </w:r>
          </w:p>
        </w:tc>
      </w:tr>
      <w:tr w:rsidR="00AC68F5" w14:paraId="3F146F8D" w14:textId="77777777">
        <w:tc>
          <w:tcPr>
            <w:tcW w:w="945" w:type="dxa"/>
            <w:tcMar>
              <w:top w:w="100" w:type="dxa"/>
              <w:left w:w="100" w:type="dxa"/>
              <w:bottom w:w="100" w:type="dxa"/>
              <w:right w:w="100" w:type="dxa"/>
            </w:tcMar>
          </w:tcPr>
          <w:p w14:paraId="77C56993"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CPE0708</w:t>
            </w:r>
          </w:p>
        </w:tc>
        <w:tc>
          <w:tcPr>
            <w:tcW w:w="1350" w:type="dxa"/>
            <w:tcMar>
              <w:top w:w="0" w:type="dxa"/>
              <w:left w:w="40" w:type="dxa"/>
              <w:bottom w:w="0" w:type="dxa"/>
              <w:right w:w="40" w:type="dxa"/>
            </w:tcMar>
            <w:vAlign w:val="bottom"/>
          </w:tcPr>
          <w:p w14:paraId="6B7031E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4A381EF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403</w:t>
            </w:r>
          </w:p>
        </w:tc>
        <w:tc>
          <w:tcPr>
            <w:tcW w:w="1260" w:type="dxa"/>
            <w:tcMar>
              <w:top w:w="0" w:type="dxa"/>
              <w:left w:w="40" w:type="dxa"/>
              <w:bottom w:w="0" w:type="dxa"/>
              <w:right w:w="40" w:type="dxa"/>
            </w:tcMar>
            <w:vAlign w:val="bottom"/>
          </w:tcPr>
          <w:p w14:paraId="66081FA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44804.82</w:t>
            </w:r>
          </w:p>
        </w:tc>
        <w:tc>
          <w:tcPr>
            <w:tcW w:w="1545" w:type="dxa"/>
            <w:tcMar>
              <w:top w:w="0" w:type="dxa"/>
              <w:left w:w="40" w:type="dxa"/>
              <w:bottom w:w="0" w:type="dxa"/>
              <w:right w:w="40" w:type="dxa"/>
            </w:tcMar>
            <w:vAlign w:val="bottom"/>
          </w:tcPr>
          <w:p w14:paraId="60B224A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8.25</w:t>
            </w:r>
          </w:p>
        </w:tc>
        <w:tc>
          <w:tcPr>
            <w:tcW w:w="1350" w:type="dxa"/>
            <w:tcMar>
              <w:top w:w="0" w:type="dxa"/>
              <w:left w:w="40" w:type="dxa"/>
              <w:bottom w:w="0" w:type="dxa"/>
              <w:right w:w="40" w:type="dxa"/>
            </w:tcMar>
            <w:vAlign w:val="bottom"/>
          </w:tcPr>
          <w:p w14:paraId="2D35DBB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29.12</w:t>
            </w:r>
          </w:p>
        </w:tc>
        <w:tc>
          <w:tcPr>
            <w:tcW w:w="1545" w:type="dxa"/>
            <w:tcMar>
              <w:top w:w="0" w:type="dxa"/>
              <w:left w:w="40" w:type="dxa"/>
              <w:bottom w:w="0" w:type="dxa"/>
              <w:right w:w="40" w:type="dxa"/>
            </w:tcMar>
            <w:vAlign w:val="bottom"/>
          </w:tcPr>
          <w:p w14:paraId="063BA1C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111.49</w:t>
            </w:r>
          </w:p>
        </w:tc>
        <w:tc>
          <w:tcPr>
            <w:tcW w:w="1110" w:type="dxa"/>
            <w:tcMar>
              <w:top w:w="0" w:type="dxa"/>
              <w:left w:w="40" w:type="dxa"/>
              <w:bottom w:w="0" w:type="dxa"/>
              <w:right w:w="40" w:type="dxa"/>
            </w:tcMar>
            <w:vAlign w:val="bottom"/>
          </w:tcPr>
          <w:p w14:paraId="38BAFB8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0.442</w:t>
            </w:r>
          </w:p>
        </w:tc>
        <w:tc>
          <w:tcPr>
            <w:tcW w:w="1245" w:type="dxa"/>
            <w:tcMar>
              <w:top w:w="0" w:type="dxa"/>
              <w:left w:w="0" w:type="dxa"/>
              <w:bottom w:w="0" w:type="dxa"/>
              <w:right w:w="0" w:type="dxa"/>
            </w:tcMar>
            <w:vAlign w:val="bottom"/>
          </w:tcPr>
          <w:p w14:paraId="785063E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0.3974 ( Probable NON-ANTIGEN ).</w:t>
            </w:r>
          </w:p>
        </w:tc>
      </w:tr>
      <w:tr w:rsidR="00AC68F5" w14:paraId="24C7E6DC" w14:textId="77777777">
        <w:tc>
          <w:tcPr>
            <w:tcW w:w="945" w:type="dxa"/>
            <w:tcMar>
              <w:top w:w="100" w:type="dxa"/>
              <w:left w:w="100" w:type="dxa"/>
              <w:bottom w:w="100" w:type="dxa"/>
              <w:right w:w="100" w:type="dxa"/>
            </w:tcMar>
          </w:tcPr>
          <w:p w14:paraId="0E0852B6"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CPE0836</w:t>
            </w:r>
          </w:p>
        </w:tc>
        <w:tc>
          <w:tcPr>
            <w:tcW w:w="1350" w:type="dxa"/>
            <w:tcMar>
              <w:top w:w="0" w:type="dxa"/>
              <w:left w:w="40" w:type="dxa"/>
              <w:bottom w:w="0" w:type="dxa"/>
              <w:right w:w="40" w:type="dxa"/>
            </w:tcMar>
            <w:vAlign w:val="bottom"/>
          </w:tcPr>
          <w:p w14:paraId="7059C57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3EF94CA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542</w:t>
            </w:r>
          </w:p>
        </w:tc>
        <w:tc>
          <w:tcPr>
            <w:tcW w:w="1260" w:type="dxa"/>
            <w:tcMar>
              <w:top w:w="0" w:type="dxa"/>
              <w:left w:w="40" w:type="dxa"/>
              <w:bottom w:w="0" w:type="dxa"/>
              <w:right w:w="40" w:type="dxa"/>
            </w:tcMar>
            <w:vAlign w:val="bottom"/>
          </w:tcPr>
          <w:p w14:paraId="7CFEAE8E"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62333.93</w:t>
            </w:r>
          </w:p>
        </w:tc>
        <w:tc>
          <w:tcPr>
            <w:tcW w:w="1545" w:type="dxa"/>
            <w:tcMar>
              <w:top w:w="0" w:type="dxa"/>
              <w:left w:w="40" w:type="dxa"/>
              <w:bottom w:w="0" w:type="dxa"/>
              <w:right w:w="40" w:type="dxa"/>
            </w:tcMar>
            <w:vAlign w:val="bottom"/>
          </w:tcPr>
          <w:p w14:paraId="517B828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9.16</w:t>
            </w:r>
          </w:p>
        </w:tc>
        <w:tc>
          <w:tcPr>
            <w:tcW w:w="1350" w:type="dxa"/>
            <w:tcMar>
              <w:top w:w="0" w:type="dxa"/>
              <w:left w:w="40" w:type="dxa"/>
              <w:bottom w:w="0" w:type="dxa"/>
              <w:right w:w="40" w:type="dxa"/>
            </w:tcMar>
            <w:vAlign w:val="bottom"/>
          </w:tcPr>
          <w:p w14:paraId="0A4A981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37.72</w:t>
            </w:r>
          </w:p>
        </w:tc>
        <w:tc>
          <w:tcPr>
            <w:tcW w:w="1545" w:type="dxa"/>
            <w:tcMar>
              <w:top w:w="0" w:type="dxa"/>
              <w:left w:w="40" w:type="dxa"/>
              <w:bottom w:w="0" w:type="dxa"/>
              <w:right w:w="40" w:type="dxa"/>
            </w:tcMar>
            <w:vAlign w:val="bottom"/>
          </w:tcPr>
          <w:p w14:paraId="6AB8415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114.87</w:t>
            </w:r>
          </w:p>
        </w:tc>
        <w:tc>
          <w:tcPr>
            <w:tcW w:w="1110" w:type="dxa"/>
            <w:tcMar>
              <w:top w:w="0" w:type="dxa"/>
              <w:left w:w="40" w:type="dxa"/>
              <w:bottom w:w="0" w:type="dxa"/>
              <w:right w:w="40" w:type="dxa"/>
            </w:tcMar>
            <w:vAlign w:val="bottom"/>
          </w:tcPr>
          <w:p w14:paraId="39AF111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-0.024</w:t>
            </w:r>
          </w:p>
        </w:tc>
        <w:tc>
          <w:tcPr>
            <w:tcW w:w="1245" w:type="dxa"/>
            <w:tcMar>
              <w:top w:w="0" w:type="dxa"/>
              <w:left w:w="0" w:type="dxa"/>
              <w:bottom w:w="0" w:type="dxa"/>
              <w:right w:w="0" w:type="dxa"/>
            </w:tcMar>
            <w:vAlign w:val="bottom"/>
          </w:tcPr>
          <w:p w14:paraId="0C2FE74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0.5817 ( Probable ANTIGEN ).</w:t>
            </w:r>
          </w:p>
        </w:tc>
      </w:tr>
      <w:tr w:rsidR="00AC68F5" w14:paraId="64F1CCA4" w14:textId="77777777">
        <w:tc>
          <w:tcPr>
            <w:tcW w:w="945" w:type="dxa"/>
            <w:tcMar>
              <w:top w:w="100" w:type="dxa"/>
              <w:left w:w="100" w:type="dxa"/>
              <w:bottom w:w="100" w:type="dxa"/>
              <w:right w:w="100" w:type="dxa"/>
            </w:tcMar>
          </w:tcPr>
          <w:p w14:paraId="23F04085"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CPE0969</w:t>
            </w:r>
          </w:p>
        </w:tc>
        <w:tc>
          <w:tcPr>
            <w:tcW w:w="1350" w:type="dxa"/>
            <w:tcMar>
              <w:top w:w="0" w:type="dxa"/>
              <w:left w:w="40" w:type="dxa"/>
              <w:bottom w:w="0" w:type="dxa"/>
              <w:right w:w="40" w:type="dxa"/>
            </w:tcMar>
            <w:vAlign w:val="bottom"/>
          </w:tcPr>
          <w:p w14:paraId="52E7E37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250D379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636</w:t>
            </w:r>
          </w:p>
        </w:tc>
        <w:tc>
          <w:tcPr>
            <w:tcW w:w="1260" w:type="dxa"/>
            <w:tcMar>
              <w:top w:w="0" w:type="dxa"/>
              <w:left w:w="40" w:type="dxa"/>
              <w:bottom w:w="0" w:type="dxa"/>
              <w:right w:w="40" w:type="dxa"/>
            </w:tcMar>
            <w:vAlign w:val="bottom"/>
          </w:tcPr>
          <w:p w14:paraId="0719CDD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74092.36</w:t>
            </w:r>
          </w:p>
        </w:tc>
        <w:tc>
          <w:tcPr>
            <w:tcW w:w="1545" w:type="dxa"/>
            <w:tcMar>
              <w:top w:w="0" w:type="dxa"/>
              <w:left w:w="40" w:type="dxa"/>
              <w:bottom w:w="0" w:type="dxa"/>
              <w:right w:w="40" w:type="dxa"/>
            </w:tcMar>
            <w:vAlign w:val="bottom"/>
          </w:tcPr>
          <w:p w14:paraId="03FB210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8.82</w:t>
            </w:r>
          </w:p>
        </w:tc>
        <w:tc>
          <w:tcPr>
            <w:tcW w:w="1350" w:type="dxa"/>
            <w:tcMar>
              <w:top w:w="0" w:type="dxa"/>
              <w:left w:w="40" w:type="dxa"/>
              <w:bottom w:w="0" w:type="dxa"/>
              <w:right w:w="40" w:type="dxa"/>
            </w:tcMar>
            <w:vAlign w:val="bottom"/>
          </w:tcPr>
          <w:p w14:paraId="542ED48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32.43</w:t>
            </w:r>
          </w:p>
        </w:tc>
        <w:tc>
          <w:tcPr>
            <w:tcW w:w="1545" w:type="dxa"/>
            <w:tcMar>
              <w:top w:w="0" w:type="dxa"/>
              <w:left w:w="40" w:type="dxa"/>
              <w:bottom w:w="0" w:type="dxa"/>
              <w:right w:w="40" w:type="dxa"/>
            </w:tcMar>
            <w:vAlign w:val="bottom"/>
          </w:tcPr>
          <w:p w14:paraId="239CD1E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117.37</w:t>
            </w:r>
          </w:p>
        </w:tc>
        <w:tc>
          <w:tcPr>
            <w:tcW w:w="1110" w:type="dxa"/>
            <w:tcMar>
              <w:top w:w="0" w:type="dxa"/>
              <w:left w:w="40" w:type="dxa"/>
              <w:bottom w:w="0" w:type="dxa"/>
              <w:right w:w="40" w:type="dxa"/>
            </w:tcMar>
            <w:vAlign w:val="bottom"/>
          </w:tcPr>
          <w:p w14:paraId="522C887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0.241</w:t>
            </w:r>
          </w:p>
        </w:tc>
        <w:tc>
          <w:tcPr>
            <w:tcW w:w="1245" w:type="dxa"/>
            <w:tcMar>
              <w:top w:w="0" w:type="dxa"/>
              <w:left w:w="0" w:type="dxa"/>
              <w:bottom w:w="0" w:type="dxa"/>
              <w:right w:w="0" w:type="dxa"/>
            </w:tcMar>
            <w:vAlign w:val="bottom"/>
          </w:tcPr>
          <w:p w14:paraId="117C345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0.4892 ( Probable ANTIGEN ).</w:t>
            </w:r>
          </w:p>
        </w:tc>
      </w:tr>
      <w:tr w:rsidR="00AC68F5" w14:paraId="397FC381" w14:textId="77777777">
        <w:tc>
          <w:tcPr>
            <w:tcW w:w="945" w:type="dxa"/>
            <w:tcMar>
              <w:top w:w="100" w:type="dxa"/>
              <w:left w:w="100" w:type="dxa"/>
              <w:bottom w:w="100" w:type="dxa"/>
              <w:right w:w="100" w:type="dxa"/>
            </w:tcMar>
          </w:tcPr>
          <w:p w14:paraId="2B44AF42"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CPE1094</w:t>
            </w:r>
          </w:p>
        </w:tc>
        <w:tc>
          <w:tcPr>
            <w:tcW w:w="1350" w:type="dxa"/>
            <w:tcMar>
              <w:top w:w="0" w:type="dxa"/>
              <w:left w:w="40" w:type="dxa"/>
              <w:bottom w:w="0" w:type="dxa"/>
              <w:right w:w="40" w:type="dxa"/>
            </w:tcMar>
            <w:vAlign w:val="bottom"/>
          </w:tcPr>
          <w:p w14:paraId="05043E3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0ED453A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537</w:t>
            </w:r>
          </w:p>
        </w:tc>
        <w:tc>
          <w:tcPr>
            <w:tcW w:w="1260" w:type="dxa"/>
            <w:tcMar>
              <w:top w:w="0" w:type="dxa"/>
              <w:left w:w="40" w:type="dxa"/>
              <w:bottom w:w="0" w:type="dxa"/>
              <w:right w:w="40" w:type="dxa"/>
            </w:tcMar>
            <w:vAlign w:val="bottom"/>
          </w:tcPr>
          <w:p w14:paraId="029AB91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60493.66</w:t>
            </w:r>
          </w:p>
        </w:tc>
        <w:tc>
          <w:tcPr>
            <w:tcW w:w="1545" w:type="dxa"/>
            <w:tcMar>
              <w:top w:w="0" w:type="dxa"/>
              <w:left w:w="40" w:type="dxa"/>
              <w:bottom w:w="0" w:type="dxa"/>
              <w:right w:w="40" w:type="dxa"/>
            </w:tcMar>
            <w:vAlign w:val="bottom"/>
          </w:tcPr>
          <w:p w14:paraId="04BB656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5.52</w:t>
            </w:r>
          </w:p>
        </w:tc>
        <w:tc>
          <w:tcPr>
            <w:tcW w:w="1350" w:type="dxa"/>
            <w:tcMar>
              <w:top w:w="0" w:type="dxa"/>
              <w:left w:w="40" w:type="dxa"/>
              <w:bottom w:w="0" w:type="dxa"/>
              <w:right w:w="40" w:type="dxa"/>
            </w:tcMar>
            <w:vAlign w:val="bottom"/>
          </w:tcPr>
          <w:p w14:paraId="242DBCD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39.63</w:t>
            </w:r>
          </w:p>
        </w:tc>
        <w:tc>
          <w:tcPr>
            <w:tcW w:w="1545" w:type="dxa"/>
            <w:tcMar>
              <w:top w:w="0" w:type="dxa"/>
              <w:left w:w="40" w:type="dxa"/>
              <w:bottom w:w="0" w:type="dxa"/>
              <w:right w:w="40" w:type="dxa"/>
            </w:tcMar>
            <w:vAlign w:val="bottom"/>
          </w:tcPr>
          <w:p w14:paraId="09B188B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94.93</w:t>
            </w:r>
          </w:p>
        </w:tc>
        <w:tc>
          <w:tcPr>
            <w:tcW w:w="1110" w:type="dxa"/>
            <w:tcMar>
              <w:top w:w="0" w:type="dxa"/>
              <w:left w:w="40" w:type="dxa"/>
              <w:bottom w:w="0" w:type="dxa"/>
              <w:right w:w="40" w:type="dxa"/>
            </w:tcMar>
            <w:vAlign w:val="bottom"/>
          </w:tcPr>
          <w:p w14:paraId="7AD5B2A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-0.28</w:t>
            </w:r>
          </w:p>
        </w:tc>
        <w:tc>
          <w:tcPr>
            <w:tcW w:w="1245" w:type="dxa"/>
            <w:tcMar>
              <w:top w:w="0" w:type="dxa"/>
              <w:left w:w="0" w:type="dxa"/>
              <w:bottom w:w="0" w:type="dxa"/>
              <w:right w:w="0" w:type="dxa"/>
            </w:tcMar>
            <w:vAlign w:val="bottom"/>
          </w:tcPr>
          <w:p w14:paraId="733453C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0.3218 ( Probable NON-ANTIGEN ).</w:t>
            </w:r>
          </w:p>
        </w:tc>
      </w:tr>
      <w:tr w:rsidR="00AC68F5" w14:paraId="3220A83E" w14:textId="77777777">
        <w:tc>
          <w:tcPr>
            <w:tcW w:w="945" w:type="dxa"/>
            <w:tcMar>
              <w:top w:w="100" w:type="dxa"/>
              <w:left w:w="100" w:type="dxa"/>
              <w:bottom w:w="100" w:type="dxa"/>
              <w:right w:w="100" w:type="dxa"/>
            </w:tcMar>
          </w:tcPr>
          <w:p w14:paraId="757BF238"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CPE1362</w:t>
            </w:r>
          </w:p>
        </w:tc>
        <w:tc>
          <w:tcPr>
            <w:tcW w:w="1350" w:type="dxa"/>
            <w:tcMar>
              <w:top w:w="0" w:type="dxa"/>
              <w:left w:w="40" w:type="dxa"/>
              <w:bottom w:w="0" w:type="dxa"/>
              <w:right w:w="40" w:type="dxa"/>
            </w:tcMar>
            <w:vAlign w:val="bottom"/>
          </w:tcPr>
          <w:p w14:paraId="2F083DB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6A335FC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186</w:t>
            </w:r>
          </w:p>
        </w:tc>
        <w:tc>
          <w:tcPr>
            <w:tcW w:w="1260" w:type="dxa"/>
            <w:tcMar>
              <w:top w:w="0" w:type="dxa"/>
              <w:left w:w="40" w:type="dxa"/>
              <w:bottom w:w="0" w:type="dxa"/>
              <w:right w:w="40" w:type="dxa"/>
            </w:tcMar>
            <w:vAlign w:val="bottom"/>
          </w:tcPr>
          <w:p w14:paraId="4FEE432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21543.62</w:t>
            </w:r>
          </w:p>
        </w:tc>
        <w:tc>
          <w:tcPr>
            <w:tcW w:w="1545" w:type="dxa"/>
            <w:tcMar>
              <w:top w:w="0" w:type="dxa"/>
              <w:left w:w="40" w:type="dxa"/>
              <w:bottom w:w="0" w:type="dxa"/>
              <w:right w:w="40" w:type="dxa"/>
            </w:tcMar>
            <w:vAlign w:val="bottom"/>
          </w:tcPr>
          <w:p w14:paraId="02927A7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5.77</w:t>
            </w:r>
          </w:p>
        </w:tc>
        <w:tc>
          <w:tcPr>
            <w:tcW w:w="1350" w:type="dxa"/>
            <w:tcMar>
              <w:top w:w="0" w:type="dxa"/>
              <w:left w:w="40" w:type="dxa"/>
              <w:bottom w:w="0" w:type="dxa"/>
              <w:right w:w="40" w:type="dxa"/>
            </w:tcMar>
            <w:vAlign w:val="bottom"/>
          </w:tcPr>
          <w:p w14:paraId="4872196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16.78</w:t>
            </w:r>
          </w:p>
        </w:tc>
        <w:tc>
          <w:tcPr>
            <w:tcW w:w="1545" w:type="dxa"/>
            <w:tcMar>
              <w:top w:w="0" w:type="dxa"/>
              <w:left w:w="40" w:type="dxa"/>
              <w:bottom w:w="0" w:type="dxa"/>
              <w:right w:w="40" w:type="dxa"/>
            </w:tcMar>
            <w:vAlign w:val="bottom"/>
          </w:tcPr>
          <w:p w14:paraId="5C445D6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80.59</w:t>
            </w:r>
          </w:p>
        </w:tc>
        <w:tc>
          <w:tcPr>
            <w:tcW w:w="1110" w:type="dxa"/>
            <w:tcMar>
              <w:top w:w="0" w:type="dxa"/>
              <w:left w:w="40" w:type="dxa"/>
              <w:bottom w:w="0" w:type="dxa"/>
              <w:right w:w="40" w:type="dxa"/>
            </w:tcMar>
            <w:vAlign w:val="bottom"/>
          </w:tcPr>
          <w:p w14:paraId="45C02DF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-0.56</w:t>
            </w:r>
          </w:p>
        </w:tc>
        <w:tc>
          <w:tcPr>
            <w:tcW w:w="1245" w:type="dxa"/>
            <w:tcMar>
              <w:top w:w="0" w:type="dxa"/>
              <w:left w:w="0" w:type="dxa"/>
              <w:bottom w:w="0" w:type="dxa"/>
              <w:right w:w="0" w:type="dxa"/>
            </w:tcMar>
            <w:vAlign w:val="bottom"/>
          </w:tcPr>
          <w:p w14:paraId="78B0CFC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0.2306 ( Probable NON-ANTIGEN ).</w:t>
            </w:r>
          </w:p>
        </w:tc>
      </w:tr>
      <w:tr w:rsidR="00AC68F5" w14:paraId="18E80EBF" w14:textId="77777777">
        <w:tc>
          <w:tcPr>
            <w:tcW w:w="945" w:type="dxa"/>
            <w:tcMar>
              <w:top w:w="100" w:type="dxa"/>
              <w:left w:w="100" w:type="dxa"/>
              <w:bottom w:w="100" w:type="dxa"/>
              <w:right w:w="100" w:type="dxa"/>
            </w:tcMar>
          </w:tcPr>
          <w:p w14:paraId="29E311FD"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CPE1509</w:t>
            </w:r>
          </w:p>
        </w:tc>
        <w:tc>
          <w:tcPr>
            <w:tcW w:w="1350" w:type="dxa"/>
            <w:tcMar>
              <w:top w:w="0" w:type="dxa"/>
              <w:left w:w="40" w:type="dxa"/>
              <w:bottom w:w="0" w:type="dxa"/>
              <w:right w:w="40" w:type="dxa"/>
            </w:tcMar>
            <w:vAlign w:val="bottom"/>
          </w:tcPr>
          <w:p w14:paraId="0735EAF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3A84716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472</w:t>
            </w:r>
          </w:p>
        </w:tc>
        <w:tc>
          <w:tcPr>
            <w:tcW w:w="1260" w:type="dxa"/>
            <w:tcMar>
              <w:top w:w="0" w:type="dxa"/>
              <w:left w:w="40" w:type="dxa"/>
              <w:bottom w:w="0" w:type="dxa"/>
              <w:right w:w="40" w:type="dxa"/>
            </w:tcMar>
            <w:vAlign w:val="bottom"/>
          </w:tcPr>
          <w:p w14:paraId="05FE7A0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56004.71</w:t>
            </w:r>
          </w:p>
        </w:tc>
        <w:tc>
          <w:tcPr>
            <w:tcW w:w="1545" w:type="dxa"/>
            <w:tcMar>
              <w:top w:w="0" w:type="dxa"/>
              <w:left w:w="40" w:type="dxa"/>
              <w:bottom w:w="0" w:type="dxa"/>
              <w:right w:w="40" w:type="dxa"/>
            </w:tcMar>
            <w:vAlign w:val="bottom"/>
          </w:tcPr>
          <w:p w14:paraId="0E9CCFBE"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9.66</w:t>
            </w:r>
          </w:p>
        </w:tc>
        <w:tc>
          <w:tcPr>
            <w:tcW w:w="1350" w:type="dxa"/>
            <w:tcMar>
              <w:top w:w="0" w:type="dxa"/>
              <w:left w:w="40" w:type="dxa"/>
              <w:bottom w:w="0" w:type="dxa"/>
              <w:right w:w="40" w:type="dxa"/>
            </w:tcMar>
            <w:vAlign w:val="bottom"/>
          </w:tcPr>
          <w:p w14:paraId="30DA540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34.75</w:t>
            </w:r>
          </w:p>
        </w:tc>
        <w:tc>
          <w:tcPr>
            <w:tcW w:w="1545" w:type="dxa"/>
            <w:tcMar>
              <w:top w:w="0" w:type="dxa"/>
              <w:left w:w="40" w:type="dxa"/>
              <w:bottom w:w="0" w:type="dxa"/>
              <w:right w:w="40" w:type="dxa"/>
            </w:tcMar>
            <w:vAlign w:val="bottom"/>
          </w:tcPr>
          <w:p w14:paraId="42D6B6F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124.07</w:t>
            </w:r>
          </w:p>
        </w:tc>
        <w:tc>
          <w:tcPr>
            <w:tcW w:w="1110" w:type="dxa"/>
            <w:tcMar>
              <w:top w:w="0" w:type="dxa"/>
              <w:left w:w="40" w:type="dxa"/>
              <w:bottom w:w="0" w:type="dxa"/>
              <w:right w:w="40" w:type="dxa"/>
            </w:tcMar>
            <w:vAlign w:val="bottom"/>
          </w:tcPr>
          <w:p w14:paraId="4235BF1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0.187</w:t>
            </w:r>
          </w:p>
        </w:tc>
        <w:tc>
          <w:tcPr>
            <w:tcW w:w="1245" w:type="dxa"/>
            <w:tcMar>
              <w:top w:w="0" w:type="dxa"/>
              <w:left w:w="0" w:type="dxa"/>
              <w:bottom w:w="0" w:type="dxa"/>
              <w:right w:w="0" w:type="dxa"/>
            </w:tcMar>
            <w:vAlign w:val="bottom"/>
          </w:tcPr>
          <w:p w14:paraId="22F12A1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0.3616 ( Probable NON-ANTIGEN ).</w:t>
            </w:r>
          </w:p>
        </w:tc>
      </w:tr>
      <w:tr w:rsidR="00AC68F5" w14:paraId="04E1BC55" w14:textId="77777777">
        <w:tc>
          <w:tcPr>
            <w:tcW w:w="945" w:type="dxa"/>
            <w:tcMar>
              <w:top w:w="100" w:type="dxa"/>
              <w:left w:w="100" w:type="dxa"/>
              <w:bottom w:w="100" w:type="dxa"/>
              <w:right w:w="100" w:type="dxa"/>
            </w:tcMar>
          </w:tcPr>
          <w:p w14:paraId="198A61D2"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CPE1510</w:t>
            </w:r>
          </w:p>
        </w:tc>
        <w:tc>
          <w:tcPr>
            <w:tcW w:w="1350" w:type="dxa"/>
            <w:tcMar>
              <w:top w:w="0" w:type="dxa"/>
              <w:left w:w="40" w:type="dxa"/>
              <w:bottom w:w="0" w:type="dxa"/>
              <w:right w:w="40" w:type="dxa"/>
            </w:tcMar>
            <w:vAlign w:val="bottom"/>
          </w:tcPr>
          <w:p w14:paraId="6CD7841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22F429A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c>
        <w:tc>
          <w:tcPr>
            <w:tcW w:w="1260" w:type="dxa"/>
            <w:tcMar>
              <w:top w:w="0" w:type="dxa"/>
              <w:left w:w="40" w:type="dxa"/>
              <w:bottom w:w="0" w:type="dxa"/>
              <w:right w:w="40" w:type="dxa"/>
            </w:tcMar>
            <w:vAlign w:val="bottom"/>
          </w:tcPr>
          <w:p w14:paraId="0BEF7CE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18327.12</w:t>
            </w:r>
          </w:p>
        </w:tc>
        <w:tc>
          <w:tcPr>
            <w:tcW w:w="1545" w:type="dxa"/>
            <w:tcMar>
              <w:top w:w="0" w:type="dxa"/>
              <w:left w:w="40" w:type="dxa"/>
              <w:bottom w:w="0" w:type="dxa"/>
              <w:right w:w="40" w:type="dxa"/>
            </w:tcMar>
            <w:vAlign w:val="bottom"/>
          </w:tcPr>
          <w:p w14:paraId="7D98A14E"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9.63</w:t>
            </w:r>
          </w:p>
        </w:tc>
        <w:tc>
          <w:tcPr>
            <w:tcW w:w="1350" w:type="dxa"/>
            <w:tcMar>
              <w:top w:w="0" w:type="dxa"/>
              <w:left w:w="40" w:type="dxa"/>
              <w:bottom w:w="0" w:type="dxa"/>
              <w:right w:w="40" w:type="dxa"/>
            </w:tcMar>
            <w:vAlign w:val="bottom"/>
          </w:tcPr>
          <w:p w14:paraId="63712E4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30.51</w:t>
            </w:r>
          </w:p>
        </w:tc>
        <w:tc>
          <w:tcPr>
            <w:tcW w:w="1545" w:type="dxa"/>
            <w:tcMar>
              <w:top w:w="0" w:type="dxa"/>
              <w:left w:w="40" w:type="dxa"/>
              <w:bottom w:w="0" w:type="dxa"/>
              <w:right w:w="40" w:type="dxa"/>
            </w:tcMar>
            <w:vAlign w:val="bottom"/>
          </w:tcPr>
          <w:p w14:paraId="0809979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135.74</w:t>
            </w:r>
          </w:p>
        </w:tc>
        <w:tc>
          <w:tcPr>
            <w:tcW w:w="1110" w:type="dxa"/>
            <w:tcMar>
              <w:top w:w="0" w:type="dxa"/>
              <w:left w:w="40" w:type="dxa"/>
              <w:bottom w:w="0" w:type="dxa"/>
              <w:right w:w="40" w:type="dxa"/>
            </w:tcMar>
            <w:vAlign w:val="bottom"/>
          </w:tcPr>
          <w:p w14:paraId="7309330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0.692</w:t>
            </w:r>
          </w:p>
        </w:tc>
        <w:tc>
          <w:tcPr>
            <w:tcW w:w="1245" w:type="dxa"/>
            <w:tcMar>
              <w:top w:w="0" w:type="dxa"/>
              <w:left w:w="0" w:type="dxa"/>
              <w:bottom w:w="0" w:type="dxa"/>
              <w:right w:w="0" w:type="dxa"/>
            </w:tcMar>
            <w:vAlign w:val="bottom"/>
          </w:tcPr>
          <w:p w14:paraId="42F67B3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0.5600 ( Probable ANTIGEN ).</w:t>
            </w:r>
          </w:p>
        </w:tc>
      </w:tr>
      <w:tr w:rsidR="00AC68F5" w14:paraId="67955FFA" w14:textId="77777777">
        <w:tc>
          <w:tcPr>
            <w:tcW w:w="945" w:type="dxa"/>
            <w:tcMar>
              <w:top w:w="100" w:type="dxa"/>
              <w:left w:w="100" w:type="dxa"/>
              <w:bottom w:w="100" w:type="dxa"/>
              <w:right w:w="100" w:type="dxa"/>
            </w:tcMar>
          </w:tcPr>
          <w:p w14:paraId="6302CA11"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CPE1576</w:t>
            </w:r>
          </w:p>
        </w:tc>
        <w:tc>
          <w:tcPr>
            <w:tcW w:w="1350" w:type="dxa"/>
            <w:tcMar>
              <w:top w:w="0" w:type="dxa"/>
              <w:left w:w="40" w:type="dxa"/>
              <w:bottom w:w="0" w:type="dxa"/>
              <w:right w:w="40" w:type="dxa"/>
            </w:tcMar>
            <w:vAlign w:val="bottom"/>
          </w:tcPr>
          <w:p w14:paraId="7D0EC90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3B44515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c>
          <w:tcPr>
            <w:tcW w:w="1260" w:type="dxa"/>
            <w:tcMar>
              <w:top w:w="0" w:type="dxa"/>
              <w:left w:w="40" w:type="dxa"/>
              <w:bottom w:w="0" w:type="dxa"/>
              <w:right w:w="40" w:type="dxa"/>
            </w:tcMar>
            <w:vAlign w:val="bottom"/>
          </w:tcPr>
          <w:p w14:paraId="46F0567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13713.03</w:t>
            </w:r>
          </w:p>
        </w:tc>
        <w:tc>
          <w:tcPr>
            <w:tcW w:w="1545" w:type="dxa"/>
            <w:tcMar>
              <w:top w:w="0" w:type="dxa"/>
              <w:left w:w="40" w:type="dxa"/>
              <w:bottom w:w="0" w:type="dxa"/>
              <w:right w:w="40" w:type="dxa"/>
            </w:tcMar>
            <w:vAlign w:val="bottom"/>
          </w:tcPr>
          <w:p w14:paraId="0D32A68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6.34</w:t>
            </w:r>
          </w:p>
        </w:tc>
        <w:tc>
          <w:tcPr>
            <w:tcW w:w="1350" w:type="dxa"/>
            <w:tcMar>
              <w:top w:w="0" w:type="dxa"/>
              <w:left w:w="40" w:type="dxa"/>
              <w:bottom w:w="0" w:type="dxa"/>
              <w:right w:w="40" w:type="dxa"/>
            </w:tcMar>
            <w:vAlign w:val="bottom"/>
          </w:tcPr>
          <w:p w14:paraId="6B2AFD2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30.4</w:t>
            </w:r>
          </w:p>
        </w:tc>
        <w:tc>
          <w:tcPr>
            <w:tcW w:w="1545" w:type="dxa"/>
            <w:tcMar>
              <w:top w:w="0" w:type="dxa"/>
              <w:left w:w="40" w:type="dxa"/>
              <w:bottom w:w="0" w:type="dxa"/>
              <w:right w:w="40" w:type="dxa"/>
            </w:tcMar>
            <w:vAlign w:val="bottom"/>
          </w:tcPr>
          <w:p w14:paraId="6B3DB96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103.85</w:t>
            </w:r>
          </w:p>
        </w:tc>
        <w:tc>
          <w:tcPr>
            <w:tcW w:w="1110" w:type="dxa"/>
            <w:tcMar>
              <w:top w:w="0" w:type="dxa"/>
              <w:left w:w="40" w:type="dxa"/>
              <w:bottom w:w="0" w:type="dxa"/>
              <w:right w:w="40" w:type="dxa"/>
            </w:tcMar>
            <w:vAlign w:val="bottom"/>
          </w:tcPr>
          <w:p w14:paraId="39FE52C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-0.087</w:t>
            </w:r>
          </w:p>
        </w:tc>
        <w:tc>
          <w:tcPr>
            <w:tcW w:w="1245" w:type="dxa"/>
            <w:tcMar>
              <w:top w:w="0" w:type="dxa"/>
              <w:left w:w="0" w:type="dxa"/>
              <w:bottom w:w="0" w:type="dxa"/>
              <w:right w:w="0" w:type="dxa"/>
            </w:tcMar>
            <w:vAlign w:val="bottom"/>
          </w:tcPr>
          <w:p w14:paraId="6CBB46B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0.1768 ( Probable NON-ANTIGEN ).</w:t>
            </w:r>
          </w:p>
        </w:tc>
      </w:tr>
      <w:tr w:rsidR="00AC68F5" w14:paraId="41CCF8A5" w14:textId="77777777">
        <w:tc>
          <w:tcPr>
            <w:tcW w:w="945" w:type="dxa"/>
            <w:tcMar>
              <w:top w:w="100" w:type="dxa"/>
              <w:left w:w="100" w:type="dxa"/>
              <w:bottom w:w="100" w:type="dxa"/>
              <w:right w:w="100" w:type="dxa"/>
            </w:tcMar>
          </w:tcPr>
          <w:p w14:paraId="688FF753"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CPE1922</w:t>
            </w:r>
          </w:p>
        </w:tc>
        <w:tc>
          <w:tcPr>
            <w:tcW w:w="1350" w:type="dxa"/>
            <w:tcMar>
              <w:top w:w="0" w:type="dxa"/>
              <w:left w:w="40" w:type="dxa"/>
              <w:bottom w:w="0" w:type="dxa"/>
              <w:right w:w="40" w:type="dxa"/>
            </w:tcMar>
            <w:vAlign w:val="bottom"/>
          </w:tcPr>
          <w:p w14:paraId="76100E8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6109658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391</w:t>
            </w:r>
          </w:p>
        </w:tc>
        <w:tc>
          <w:tcPr>
            <w:tcW w:w="1260" w:type="dxa"/>
            <w:tcMar>
              <w:top w:w="0" w:type="dxa"/>
              <w:left w:w="40" w:type="dxa"/>
              <w:bottom w:w="0" w:type="dxa"/>
              <w:right w:w="40" w:type="dxa"/>
            </w:tcMar>
            <w:vAlign w:val="bottom"/>
          </w:tcPr>
          <w:p w14:paraId="4088867E"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44532.81</w:t>
            </w:r>
          </w:p>
        </w:tc>
        <w:tc>
          <w:tcPr>
            <w:tcW w:w="1545" w:type="dxa"/>
            <w:tcMar>
              <w:top w:w="0" w:type="dxa"/>
              <w:left w:w="40" w:type="dxa"/>
              <w:bottom w:w="0" w:type="dxa"/>
              <w:right w:w="40" w:type="dxa"/>
            </w:tcMar>
            <w:vAlign w:val="bottom"/>
          </w:tcPr>
          <w:p w14:paraId="509C6E2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9.15</w:t>
            </w:r>
          </w:p>
        </w:tc>
        <w:tc>
          <w:tcPr>
            <w:tcW w:w="1350" w:type="dxa"/>
            <w:tcMar>
              <w:top w:w="0" w:type="dxa"/>
              <w:left w:w="40" w:type="dxa"/>
              <w:bottom w:w="0" w:type="dxa"/>
              <w:right w:w="40" w:type="dxa"/>
            </w:tcMar>
            <w:vAlign w:val="bottom"/>
          </w:tcPr>
          <w:p w14:paraId="1C3BD5D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36.86</w:t>
            </w:r>
          </w:p>
        </w:tc>
        <w:tc>
          <w:tcPr>
            <w:tcW w:w="1545" w:type="dxa"/>
            <w:tcMar>
              <w:top w:w="0" w:type="dxa"/>
              <w:left w:w="40" w:type="dxa"/>
              <w:bottom w:w="0" w:type="dxa"/>
              <w:right w:w="40" w:type="dxa"/>
            </w:tcMar>
            <w:vAlign w:val="bottom"/>
          </w:tcPr>
          <w:p w14:paraId="3E869D7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105.45</w:t>
            </w:r>
          </w:p>
        </w:tc>
        <w:tc>
          <w:tcPr>
            <w:tcW w:w="1110" w:type="dxa"/>
            <w:tcMar>
              <w:top w:w="0" w:type="dxa"/>
              <w:left w:w="40" w:type="dxa"/>
              <w:bottom w:w="0" w:type="dxa"/>
              <w:right w:w="40" w:type="dxa"/>
            </w:tcMar>
            <w:vAlign w:val="bottom"/>
          </w:tcPr>
          <w:p w14:paraId="4D54100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0.006</w:t>
            </w:r>
          </w:p>
        </w:tc>
        <w:tc>
          <w:tcPr>
            <w:tcW w:w="1245" w:type="dxa"/>
            <w:tcMar>
              <w:top w:w="0" w:type="dxa"/>
              <w:left w:w="0" w:type="dxa"/>
              <w:bottom w:w="0" w:type="dxa"/>
              <w:right w:w="0" w:type="dxa"/>
            </w:tcMar>
            <w:vAlign w:val="bottom"/>
          </w:tcPr>
          <w:p w14:paraId="2CF8046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0.6308 ( Probable ANTIGEN ).</w:t>
            </w:r>
          </w:p>
        </w:tc>
      </w:tr>
      <w:tr w:rsidR="00AC68F5" w14:paraId="2E9AEDB7" w14:textId="77777777">
        <w:tc>
          <w:tcPr>
            <w:tcW w:w="945" w:type="dxa"/>
            <w:tcMar>
              <w:top w:w="100" w:type="dxa"/>
              <w:left w:w="100" w:type="dxa"/>
              <w:bottom w:w="100" w:type="dxa"/>
              <w:right w:w="100" w:type="dxa"/>
            </w:tcMar>
          </w:tcPr>
          <w:p w14:paraId="6F6BB1FF"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CPE2021</w:t>
            </w:r>
          </w:p>
        </w:tc>
        <w:tc>
          <w:tcPr>
            <w:tcW w:w="1350" w:type="dxa"/>
            <w:tcMar>
              <w:top w:w="0" w:type="dxa"/>
              <w:left w:w="40" w:type="dxa"/>
              <w:bottom w:w="0" w:type="dxa"/>
              <w:right w:w="40" w:type="dxa"/>
            </w:tcMar>
            <w:vAlign w:val="bottom"/>
          </w:tcPr>
          <w:p w14:paraId="11987E9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223D69E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1260" w:type="dxa"/>
            <w:tcMar>
              <w:top w:w="0" w:type="dxa"/>
              <w:left w:w="40" w:type="dxa"/>
              <w:bottom w:w="0" w:type="dxa"/>
              <w:right w:w="40" w:type="dxa"/>
            </w:tcMar>
            <w:vAlign w:val="bottom"/>
          </w:tcPr>
          <w:p w14:paraId="2914B73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10436.05</w:t>
            </w:r>
          </w:p>
        </w:tc>
        <w:tc>
          <w:tcPr>
            <w:tcW w:w="1545" w:type="dxa"/>
            <w:tcMar>
              <w:top w:w="0" w:type="dxa"/>
              <w:left w:w="40" w:type="dxa"/>
              <w:bottom w:w="0" w:type="dxa"/>
              <w:right w:w="40" w:type="dxa"/>
            </w:tcMar>
            <w:vAlign w:val="bottom"/>
          </w:tcPr>
          <w:p w14:paraId="1AC5428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5.19</w:t>
            </w:r>
          </w:p>
        </w:tc>
        <w:tc>
          <w:tcPr>
            <w:tcW w:w="1350" w:type="dxa"/>
            <w:tcMar>
              <w:top w:w="0" w:type="dxa"/>
              <w:left w:w="40" w:type="dxa"/>
              <w:bottom w:w="0" w:type="dxa"/>
              <w:right w:w="40" w:type="dxa"/>
            </w:tcMar>
            <w:vAlign w:val="bottom"/>
          </w:tcPr>
          <w:p w14:paraId="1C94DE9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32.35</w:t>
            </w:r>
          </w:p>
        </w:tc>
        <w:tc>
          <w:tcPr>
            <w:tcW w:w="1545" w:type="dxa"/>
            <w:tcMar>
              <w:top w:w="0" w:type="dxa"/>
              <w:left w:w="40" w:type="dxa"/>
              <w:bottom w:w="0" w:type="dxa"/>
              <w:right w:w="40" w:type="dxa"/>
            </w:tcMar>
            <w:vAlign w:val="bottom"/>
          </w:tcPr>
          <w:p w14:paraId="162C72F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119.46</w:t>
            </w:r>
          </w:p>
        </w:tc>
        <w:tc>
          <w:tcPr>
            <w:tcW w:w="1110" w:type="dxa"/>
            <w:tcMar>
              <w:top w:w="0" w:type="dxa"/>
              <w:left w:w="40" w:type="dxa"/>
              <w:bottom w:w="0" w:type="dxa"/>
              <w:right w:w="40" w:type="dxa"/>
            </w:tcMar>
            <w:vAlign w:val="bottom"/>
          </w:tcPr>
          <w:p w14:paraId="4243505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-0.175</w:t>
            </w:r>
          </w:p>
        </w:tc>
        <w:tc>
          <w:tcPr>
            <w:tcW w:w="1245" w:type="dxa"/>
            <w:tcMar>
              <w:top w:w="0" w:type="dxa"/>
              <w:left w:w="0" w:type="dxa"/>
              <w:bottom w:w="0" w:type="dxa"/>
              <w:right w:w="0" w:type="dxa"/>
            </w:tcMar>
            <w:vAlign w:val="bottom"/>
          </w:tcPr>
          <w:p w14:paraId="2B6DCE9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0.3558 ( Probable NON-ANTIGEN ).</w:t>
            </w:r>
          </w:p>
        </w:tc>
      </w:tr>
      <w:tr w:rsidR="00AC68F5" w14:paraId="5876968B" w14:textId="77777777">
        <w:tc>
          <w:tcPr>
            <w:tcW w:w="945" w:type="dxa"/>
            <w:tcMar>
              <w:top w:w="100" w:type="dxa"/>
              <w:left w:w="100" w:type="dxa"/>
              <w:bottom w:w="100" w:type="dxa"/>
              <w:right w:w="100" w:type="dxa"/>
            </w:tcMar>
          </w:tcPr>
          <w:p w14:paraId="089E592E"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CPE2044</w:t>
            </w:r>
          </w:p>
        </w:tc>
        <w:tc>
          <w:tcPr>
            <w:tcW w:w="1350" w:type="dxa"/>
            <w:tcMar>
              <w:top w:w="0" w:type="dxa"/>
              <w:left w:w="40" w:type="dxa"/>
              <w:bottom w:w="0" w:type="dxa"/>
              <w:right w:w="40" w:type="dxa"/>
            </w:tcMar>
            <w:vAlign w:val="bottom"/>
          </w:tcPr>
          <w:p w14:paraId="3DCFE91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6C2D033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536</w:t>
            </w:r>
          </w:p>
        </w:tc>
        <w:tc>
          <w:tcPr>
            <w:tcW w:w="1260" w:type="dxa"/>
            <w:tcMar>
              <w:top w:w="0" w:type="dxa"/>
              <w:left w:w="40" w:type="dxa"/>
              <w:bottom w:w="0" w:type="dxa"/>
              <w:right w:w="40" w:type="dxa"/>
            </w:tcMar>
            <w:vAlign w:val="bottom"/>
          </w:tcPr>
          <w:p w14:paraId="15E1779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61232.48</w:t>
            </w:r>
          </w:p>
        </w:tc>
        <w:tc>
          <w:tcPr>
            <w:tcW w:w="1545" w:type="dxa"/>
            <w:tcMar>
              <w:top w:w="0" w:type="dxa"/>
              <w:left w:w="40" w:type="dxa"/>
              <w:bottom w:w="0" w:type="dxa"/>
              <w:right w:w="40" w:type="dxa"/>
            </w:tcMar>
            <w:vAlign w:val="bottom"/>
          </w:tcPr>
          <w:p w14:paraId="05B5228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9.41</w:t>
            </w:r>
          </w:p>
        </w:tc>
        <w:tc>
          <w:tcPr>
            <w:tcW w:w="1350" w:type="dxa"/>
            <w:tcMar>
              <w:top w:w="0" w:type="dxa"/>
              <w:left w:w="40" w:type="dxa"/>
              <w:bottom w:w="0" w:type="dxa"/>
              <w:right w:w="40" w:type="dxa"/>
            </w:tcMar>
            <w:vAlign w:val="bottom"/>
          </w:tcPr>
          <w:p w14:paraId="10FABD5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35.49</w:t>
            </w:r>
          </w:p>
        </w:tc>
        <w:tc>
          <w:tcPr>
            <w:tcW w:w="1545" w:type="dxa"/>
            <w:tcMar>
              <w:top w:w="0" w:type="dxa"/>
              <w:left w:w="40" w:type="dxa"/>
              <w:bottom w:w="0" w:type="dxa"/>
              <w:right w:w="40" w:type="dxa"/>
            </w:tcMar>
            <w:vAlign w:val="bottom"/>
          </w:tcPr>
          <w:p w14:paraId="7E3E3E5E"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133.25</w:t>
            </w:r>
          </w:p>
        </w:tc>
        <w:tc>
          <w:tcPr>
            <w:tcW w:w="1110" w:type="dxa"/>
            <w:tcMar>
              <w:top w:w="0" w:type="dxa"/>
              <w:left w:w="40" w:type="dxa"/>
              <w:bottom w:w="0" w:type="dxa"/>
              <w:right w:w="40" w:type="dxa"/>
            </w:tcMar>
            <w:vAlign w:val="bottom"/>
          </w:tcPr>
          <w:p w14:paraId="34EB89D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0.58</w:t>
            </w:r>
          </w:p>
        </w:tc>
        <w:tc>
          <w:tcPr>
            <w:tcW w:w="1245" w:type="dxa"/>
            <w:tcMar>
              <w:top w:w="0" w:type="dxa"/>
              <w:left w:w="0" w:type="dxa"/>
              <w:bottom w:w="0" w:type="dxa"/>
              <w:right w:w="0" w:type="dxa"/>
            </w:tcMar>
            <w:vAlign w:val="bottom"/>
          </w:tcPr>
          <w:p w14:paraId="4B13FA4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0.4741 ( Probable ANTIGEN ).</w:t>
            </w:r>
          </w:p>
        </w:tc>
      </w:tr>
      <w:tr w:rsidR="00AC68F5" w14:paraId="34467F99" w14:textId="77777777">
        <w:tc>
          <w:tcPr>
            <w:tcW w:w="945" w:type="dxa"/>
            <w:tcMar>
              <w:top w:w="100" w:type="dxa"/>
              <w:left w:w="100" w:type="dxa"/>
              <w:bottom w:w="100" w:type="dxa"/>
              <w:right w:w="100" w:type="dxa"/>
            </w:tcMar>
          </w:tcPr>
          <w:p w14:paraId="587A3746"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CPE2210</w:t>
            </w:r>
          </w:p>
        </w:tc>
        <w:tc>
          <w:tcPr>
            <w:tcW w:w="1350" w:type="dxa"/>
            <w:tcMar>
              <w:top w:w="0" w:type="dxa"/>
              <w:left w:w="40" w:type="dxa"/>
              <w:bottom w:w="0" w:type="dxa"/>
              <w:right w:w="40" w:type="dxa"/>
            </w:tcMar>
            <w:vAlign w:val="bottom"/>
          </w:tcPr>
          <w:p w14:paraId="63A75E0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26CF3E7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326</w:t>
            </w:r>
          </w:p>
        </w:tc>
        <w:tc>
          <w:tcPr>
            <w:tcW w:w="1260" w:type="dxa"/>
            <w:tcMar>
              <w:top w:w="0" w:type="dxa"/>
              <w:left w:w="40" w:type="dxa"/>
              <w:bottom w:w="0" w:type="dxa"/>
              <w:right w:w="40" w:type="dxa"/>
            </w:tcMar>
            <w:vAlign w:val="bottom"/>
          </w:tcPr>
          <w:p w14:paraId="779B06E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37198.89</w:t>
            </w:r>
          </w:p>
        </w:tc>
        <w:tc>
          <w:tcPr>
            <w:tcW w:w="1545" w:type="dxa"/>
            <w:tcMar>
              <w:top w:w="0" w:type="dxa"/>
              <w:left w:w="40" w:type="dxa"/>
              <w:bottom w:w="0" w:type="dxa"/>
              <w:right w:w="40" w:type="dxa"/>
            </w:tcMar>
            <w:vAlign w:val="bottom"/>
          </w:tcPr>
          <w:p w14:paraId="1163EEC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350" w:type="dxa"/>
            <w:tcMar>
              <w:top w:w="0" w:type="dxa"/>
              <w:left w:w="40" w:type="dxa"/>
              <w:bottom w:w="0" w:type="dxa"/>
              <w:right w:w="40" w:type="dxa"/>
            </w:tcMar>
            <w:vAlign w:val="bottom"/>
          </w:tcPr>
          <w:p w14:paraId="41CC510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35.62</w:t>
            </w:r>
          </w:p>
        </w:tc>
        <w:tc>
          <w:tcPr>
            <w:tcW w:w="1545" w:type="dxa"/>
            <w:tcMar>
              <w:top w:w="0" w:type="dxa"/>
              <w:left w:w="40" w:type="dxa"/>
              <w:bottom w:w="0" w:type="dxa"/>
              <w:right w:w="40" w:type="dxa"/>
            </w:tcMar>
            <w:vAlign w:val="bottom"/>
          </w:tcPr>
          <w:p w14:paraId="564DB31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82.85</w:t>
            </w:r>
          </w:p>
        </w:tc>
        <w:tc>
          <w:tcPr>
            <w:tcW w:w="1110" w:type="dxa"/>
            <w:tcMar>
              <w:top w:w="0" w:type="dxa"/>
              <w:left w:w="40" w:type="dxa"/>
              <w:bottom w:w="0" w:type="dxa"/>
              <w:right w:w="40" w:type="dxa"/>
            </w:tcMar>
            <w:vAlign w:val="bottom"/>
          </w:tcPr>
          <w:p w14:paraId="7DDB631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-0.513</w:t>
            </w:r>
          </w:p>
        </w:tc>
        <w:tc>
          <w:tcPr>
            <w:tcW w:w="1245" w:type="dxa"/>
            <w:tcMar>
              <w:top w:w="0" w:type="dxa"/>
              <w:left w:w="0" w:type="dxa"/>
              <w:bottom w:w="0" w:type="dxa"/>
              <w:right w:w="0" w:type="dxa"/>
            </w:tcMar>
            <w:vAlign w:val="bottom"/>
          </w:tcPr>
          <w:p w14:paraId="6476953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0.5727 ( Probable ANTIGEN ).</w:t>
            </w:r>
          </w:p>
        </w:tc>
      </w:tr>
      <w:tr w:rsidR="00AC68F5" w14:paraId="3F17F016" w14:textId="77777777">
        <w:tc>
          <w:tcPr>
            <w:tcW w:w="945" w:type="dxa"/>
            <w:tcMar>
              <w:top w:w="100" w:type="dxa"/>
              <w:left w:w="100" w:type="dxa"/>
              <w:bottom w:w="100" w:type="dxa"/>
              <w:right w:w="100" w:type="dxa"/>
            </w:tcMar>
          </w:tcPr>
          <w:p w14:paraId="0F99E1A8"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CPE2344</w:t>
            </w:r>
          </w:p>
        </w:tc>
        <w:tc>
          <w:tcPr>
            <w:tcW w:w="1350" w:type="dxa"/>
            <w:tcMar>
              <w:top w:w="0" w:type="dxa"/>
              <w:left w:w="40" w:type="dxa"/>
              <w:bottom w:w="0" w:type="dxa"/>
              <w:right w:w="40" w:type="dxa"/>
            </w:tcMar>
            <w:vAlign w:val="bottom"/>
          </w:tcPr>
          <w:p w14:paraId="1D72B20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5424F27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313</w:t>
            </w:r>
          </w:p>
        </w:tc>
        <w:tc>
          <w:tcPr>
            <w:tcW w:w="1260" w:type="dxa"/>
            <w:tcMar>
              <w:top w:w="0" w:type="dxa"/>
              <w:left w:w="40" w:type="dxa"/>
              <w:bottom w:w="0" w:type="dxa"/>
              <w:right w:w="40" w:type="dxa"/>
            </w:tcMar>
            <w:vAlign w:val="bottom"/>
          </w:tcPr>
          <w:p w14:paraId="287687F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36624.24</w:t>
            </w:r>
          </w:p>
        </w:tc>
        <w:tc>
          <w:tcPr>
            <w:tcW w:w="1545" w:type="dxa"/>
            <w:tcMar>
              <w:top w:w="0" w:type="dxa"/>
              <w:left w:w="40" w:type="dxa"/>
              <w:bottom w:w="0" w:type="dxa"/>
              <w:right w:w="40" w:type="dxa"/>
            </w:tcMar>
            <w:vAlign w:val="bottom"/>
          </w:tcPr>
          <w:p w14:paraId="664BB6B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5.08</w:t>
            </w:r>
          </w:p>
        </w:tc>
        <w:tc>
          <w:tcPr>
            <w:tcW w:w="1350" w:type="dxa"/>
            <w:tcMar>
              <w:top w:w="0" w:type="dxa"/>
              <w:left w:w="40" w:type="dxa"/>
              <w:bottom w:w="0" w:type="dxa"/>
              <w:right w:w="40" w:type="dxa"/>
            </w:tcMar>
            <w:vAlign w:val="bottom"/>
          </w:tcPr>
          <w:p w14:paraId="01ACB6F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35.3</w:t>
            </w:r>
          </w:p>
        </w:tc>
        <w:tc>
          <w:tcPr>
            <w:tcW w:w="1545" w:type="dxa"/>
            <w:tcMar>
              <w:top w:w="0" w:type="dxa"/>
              <w:left w:w="40" w:type="dxa"/>
              <w:bottom w:w="0" w:type="dxa"/>
              <w:right w:w="40" w:type="dxa"/>
            </w:tcMar>
            <w:vAlign w:val="bottom"/>
          </w:tcPr>
          <w:p w14:paraId="59F2DAB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108.63</w:t>
            </w:r>
          </w:p>
        </w:tc>
        <w:tc>
          <w:tcPr>
            <w:tcW w:w="1110" w:type="dxa"/>
            <w:tcMar>
              <w:top w:w="0" w:type="dxa"/>
              <w:left w:w="40" w:type="dxa"/>
              <w:bottom w:w="0" w:type="dxa"/>
              <w:right w:w="40" w:type="dxa"/>
            </w:tcMar>
            <w:vAlign w:val="bottom"/>
          </w:tcPr>
          <w:p w14:paraId="54BDB44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-0.216</w:t>
            </w:r>
          </w:p>
        </w:tc>
        <w:tc>
          <w:tcPr>
            <w:tcW w:w="1245" w:type="dxa"/>
            <w:tcMar>
              <w:top w:w="0" w:type="dxa"/>
              <w:left w:w="0" w:type="dxa"/>
              <w:bottom w:w="0" w:type="dxa"/>
              <w:right w:w="0" w:type="dxa"/>
            </w:tcMar>
            <w:vAlign w:val="bottom"/>
          </w:tcPr>
          <w:p w14:paraId="0CB9630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0.2982 ( Probable NON-ANTIGEN ).</w:t>
            </w:r>
          </w:p>
        </w:tc>
      </w:tr>
      <w:tr w:rsidR="00AC68F5" w14:paraId="52394D57" w14:textId="77777777">
        <w:tc>
          <w:tcPr>
            <w:tcW w:w="945" w:type="dxa"/>
            <w:tcMar>
              <w:top w:w="100" w:type="dxa"/>
              <w:left w:w="100" w:type="dxa"/>
              <w:bottom w:w="100" w:type="dxa"/>
              <w:right w:w="100" w:type="dxa"/>
            </w:tcMar>
          </w:tcPr>
          <w:p w14:paraId="146243DA"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CPE2564</w:t>
            </w:r>
          </w:p>
        </w:tc>
        <w:tc>
          <w:tcPr>
            <w:tcW w:w="1350" w:type="dxa"/>
            <w:tcMar>
              <w:top w:w="0" w:type="dxa"/>
              <w:left w:w="40" w:type="dxa"/>
              <w:bottom w:w="0" w:type="dxa"/>
              <w:right w:w="40" w:type="dxa"/>
            </w:tcMar>
            <w:vAlign w:val="bottom"/>
          </w:tcPr>
          <w:p w14:paraId="18D1BD1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414FEC5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223</w:t>
            </w:r>
          </w:p>
        </w:tc>
        <w:tc>
          <w:tcPr>
            <w:tcW w:w="1260" w:type="dxa"/>
            <w:tcMar>
              <w:top w:w="0" w:type="dxa"/>
              <w:left w:w="40" w:type="dxa"/>
              <w:bottom w:w="0" w:type="dxa"/>
              <w:right w:w="40" w:type="dxa"/>
            </w:tcMar>
            <w:vAlign w:val="bottom"/>
          </w:tcPr>
          <w:p w14:paraId="322B201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25329.22</w:t>
            </w:r>
          </w:p>
        </w:tc>
        <w:tc>
          <w:tcPr>
            <w:tcW w:w="1545" w:type="dxa"/>
            <w:tcMar>
              <w:top w:w="0" w:type="dxa"/>
              <w:left w:w="40" w:type="dxa"/>
              <w:bottom w:w="0" w:type="dxa"/>
              <w:right w:w="40" w:type="dxa"/>
            </w:tcMar>
            <w:vAlign w:val="bottom"/>
          </w:tcPr>
          <w:p w14:paraId="3B7B2C0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9.21</w:t>
            </w:r>
          </w:p>
        </w:tc>
        <w:tc>
          <w:tcPr>
            <w:tcW w:w="1350" w:type="dxa"/>
            <w:tcMar>
              <w:top w:w="0" w:type="dxa"/>
              <w:left w:w="40" w:type="dxa"/>
              <w:bottom w:w="0" w:type="dxa"/>
              <w:right w:w="40" w:type="dxa"/>
            </w:tcMar>
            <w:vAlign w:val="bottom"/>
          </w:tcPr>
          <w:p w14:paraId="7F551DA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25.59</w:t>
            </w:r>
          </w:p>
        </w:tc>
        <w:tc>
          <w:tcPr>
            <w:tcW w:w="1545" w:type="dxa"/>
            <w:tcMar>
              <w:top w:w="0" w:type="dxa"/>
              <w:left w:w="40" w:type="dxa"/>
              <w:bottom w:w="0" w:type="dxa"/>
              <w:right w:w="40" w:type="dxa"/>
            </w:tcMar>
            <w:vAlign w:val="bottom"/>
          </w:tcPr>
          <w:p w14:paraId="7F5F54F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97.04</w:t>
            </w:r>
          </w:p>
        </w:tc>
        <w:tc>
          <w:tcPr>
            <w:tcW w:w="1110" w:type="dxa"/>
            <w:tcMar>
              <w:top w:w="0" w:type="dxa"/>
              <w:left w:w="40" w:type="dxa"/>
              <w:bottom w:w="0" w:type="dxa"/>
              <w:right w:w="40" w:type="dxa"/>
            </w:tcMar>
            <w:vAlign w:val="bottom"/>
          </w:tcPr>
          <w:p w14:paraId="074BD56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-0.463</w:t>
            </w:r>
          </w:p>
        </w:tc>
        <w:tc>
          <w:tcPr>
            <w:tcW w:w="1245" w:type="dxa"/>
            <w:tcMar>
              <w:top w:w="0" w:type="dxa"/>
              <w:left w:w="0" w:type="dxa"/>
              <w:bottom w:w="0" w:type="dxa"/>
              <w:right w:w="0" w:type="dxa"/>
            </w:tcMar>
            <w:vAlign w:val="bottom"/>
          </w:tcPr>
          <w:p w14:paraId="0346E7D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0.5950 ( Probable ANTIGEN ).</w:t>
            </w:r>
          </w:p>
        </w:tc>
      </w:tr>
      <w:tr w:rsidR="00AC68F5" w14:paraId="331CE7E9" w14:textId="77777777">
        <w:tc>
          <w:tcPr>
            <w:tcW w:w="945" w:type="dxa"/>
            <w:tcMar>
              <w:top w:w="100" w:type="dxa"/>
              <w:left w:w="100" w:type="dxa"/>
              <w:bottom w:w="100" w:type="dxa"/>
              <w:right w:w="100" w:type="dxa"/>
            </w:tcMar>
          </w:tcPr>
          <w:p w14:paraId="7B58F6D1"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CPE2571</w:t>
            </w:r>
          </w:p>
        </w:tc>
        <w:tc>
          <w:tcPr>
            <w:tcW w:w="1350" w:type="dxa"/>
            <w:tcMar>
              <w:top w:w="0" w:type="dxa"/>
              <w:left w:w="40" w:type="dxa"/>
              <w:bottom w:w="0" w:type="dxa"/>
              <w:right w:w="40" w:type="dxa"/>
            </w:tcMar>
            <w:vAlign w:val="bottom"/>
          </w:tcPr>
          <w:p w14:paraId="1F01BC9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20ABDE4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213</w:t>
            </w:r>
          </w:p>
        </w:tc>
        <w:tc>
          <w:tcPr>
            <w:tcW w:w="1260" w:type="dxa"/>
            <w:tcMar>
              <w:top w:w="0" w:type="dxa"/>
              <w:left w:w="40" w:type="dxa"/>
              <w:bottom w:w="0" w:type="dxa"/>
              <w:right w:w="40" w:type="dxa"/>
            </w:tcMar>
            <w:vAlign w:val="bottom"/>
          </w:tcPr>
          <w:p w14:paraId="7C7ABD8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24865.09</w:t>
            </w:r>
          </w:p>
        </w:tc>
        <w:tc>
          <w:tcPr>
            <w:tcW w:w="1545" w:type="dxa"/>
            <w:tcMar>
              <w:top w:w="0" w:type="dxa"/>
              <w:left w:w="40" w:type="dxa"/>
              <w:bottom w:w="0" w:type="dxa"/>
              <w:right w:w="40" w:type="dxa"/>
            </w:tcMar>
            <w:vAlign w:val="bottom"/>
          </w:tcPr>
          <w:p w14:paraId="0BC4DFC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9.74</w:t>
            </w:r>
          </w:p>
        </w:tc>
        <w:tc>
          <w:tcPr>
            <w:tcW w:w="1350" w:type="dxa"/>
            <w:tcMar>
              <w:top w:w="0" w:type="dxa"/>
              <w:left w:w="40" w:type="dxa"/>
              <w:bottom w:w="0" w:type="dxa"/>
              <w:right w:w="40" w:type="dxa"/>
            </w:tcMar>
            <w:vAlign w:val="bottom"/>
          </w:tcPr>
          <w:p w14:paraId="1ACA582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28.01</w:t>
            </w:r>
          </w:p>
        </w:tc>
        <w:tc>
          <w:tcPr>
            <w:tcW w:w="1545" w:type="dxa"/>
            <w:tcMar>
              <w:top w:w="0" w:type="dxa"/>
              <w:left w:w="40" w:type="dxa"/>
              <w:bottom w:w="0" w:type="dxa"/>
              <w:right w:w="40" w:type="dxa"/>
            </w:tcMar>
            <w:vAlign w:val="bottom"/>
          </w:tcPr>
          <w:p w14:paraId="5FA5594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123.1</w:t>
            </w:r>
          </w:p>
        </w:tc>
        <w:tc>
          <w:tcPr>
            <w:tcW w:w="1110" w:type="dxa"/>
            <w:tcMar>
              <w:top w:w="0" w:type="dxa"/>
              <w:left w:w="40" w:type="dxa"/>
              <w:bottom w:w="0" w:type="dxa"/>
              <w:right w:w="40" w:type="dxa"/>
            </w:tcMar>
            <w:vAlign w:val="bottom"/>
          </w:tcPr>
          <w:p w14:paraId="655E51E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0.721</w:t>
            </w:r>
          </w:p>
        </w:tc>
        <w:tc>
          <w:tcPr>
            <w:tcW w:w="1245" w:type="dxa"/>
            <w:tcMar>
              <w:top w:w="0" w:type="dxa"/>
              <w:left w:w="0" w:type="dxa"/>
              <w:bottom w:w="0" w:type="dxa"/>
              <w:right w:w="0" w:type="dxa"/>
            </w:tcMar>
            <w:vAlign w:val="bottom"/>
          </w:tcPr>
          <w:p w14:paraId="6E7900B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0.5475 ( Probable ANTIGEN ).</w:t>
            </w:r>
          </w:p>
        </w:tc>
      </w:tr>
      <w:tr w:rsidR="00AC68F5" w14:paraId="455BCACB" w14:textId="77777777">
        <w:tc>
          <w:tcPr>
            <w:tcW w:w="945" w:type="dxa"/>
            <w:tcMar>
              <w:top w:w="100" w:type="dxa"/>
              <w:left w:w="100" w:type="dxa"/>
              <w:bottom w:w="100" w:type="dxa"/>
              <w:right w:w="100" w:type="dxa"/>
            </w:tcMar>
          </w:tcPr>
          <w:p w14:paraId="76F9AC7C"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CPE2638</w:t>
            </w:r>
          </w:p>
        </w:tc>
        <w:tc>
          <w:tcPr>
            <w:tcW w:w="1350" w:type="dxa"/>
            <w:tcMar>
              <w:top w:w="0" w:type="dxa"/>
              <w:left w:w="40" w:type="dxa"/>
              <w:bottom w:w="0" w:type="dxa"/>
              <w:right w:w="40" w:type="dxa"/>
            </w:tcMar>
            <w:vAlign w:val="bottom"/>
          </w:tcPr>
          <w:p w14:paraId="635AFEE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34F155C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331</w:t>
            </w:r>
          </w:p>
        </w:tc>
        <w:tc>
          <w:tcPr>
            <w:tcW w:w="1260" w:type="dxa"/>
            <w:tcMar>
              <w:top w:w="0" w:type="dxa"/>
              <w:left w:w="40" w:type="dxa"/>
              <w:bottom w:w="0" w:type="dxa"/>
              <w:right w:w="40" w:type="dxa"/>
            </w:tcMar>
            <w:vAlign w:val="bottom"/>
          </w:tcPr>
          <w:p w14:paraId="2973C0A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36586.59</w:t>
            </w:r>
          </w:p>
        </w:tc>
        <w:tc>
          <w:tcPr>
            <w:tcW w:w="1545" w:type="dxa"/>
            <w:tcMar>
              <w:top w:w="0" w:type="dxa"/>
              <w:left w:w="40" w:type="dxa"/>
              <w:bottom w:w="0" w:type="dxa"/>
              <w:right w:w="40" w:type="dxa"/>
            </w:tcMar>
            <w:vAlign w:val="bottom"/>
          </w:tcPr>
          <w:p w14:paraId="58B2A3F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9.7</w:t>
            </w:r>
          </w:p>
        </w:tc>
        <w:tc>
          <w:tcPr>
            <w:tcW w:w="1350" w:type="dxa"/>
            <w:tcMar>
              <w:top w:w="0" w:type="dxa"/>
              <w:left w:w="40" w:type="dxa"/>
              <w:bottom w:w="0" w:type="dxa"/>
              <w:right w:w="40" w:type="dxa"/>
            </w:tcMar>
            <w:vAlign w:val="bottom"/>
          </w:tcPr>
          <w:p w14:paraId="5848A6F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12.23</w:t>
            </w:r>
          </w:p>
        </w:tc>
        <w:tc>
          <w:tcPr>
            <w:tcW w:w="1545" w:type="dxa"/>
            <w:tcMar>
              <w:top w:w="0" w:type="dxa"/>
              <w:left w:w="40" w:type="dxa"/>
              <w:bottom w:w="0" w:type="dxa"/>
              <w:right w:w="40" w:type="dxa"/>
            </w:tcMar>
            <w:vAlign w:val="bottom"/>
          </w:tcPr>
          <w:p w14:paraId="763993E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137.79</w:t>
            </w:r>
          </w:p>
        </w:tc>
        <w:tc>
          <w:tcPr>
            <w:tcW w:w="1110" w:type="dxa"/>
            <w:tcMar>
              <w:top w:w="0" w:type="dxa"/>
              <w:left w:w="40" w:type="dxa"/>
              <w:bottom w:w="0" w:type="dxa"/>
              <w:right w:w="40" w:type="dxa"/>
            </w:tcMar>
            <w:vAlign w:val="bottom"/>
          </w:tcPr>
          <w:p w14:paraId="19EC577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0.946</w:t>
            </w:r>
          </w:p>
        </w:tc>
        <w:tc>
          <w:tcPr>
            <w:tcW w:w="1245" w:type="dxa"/>
            <w:tcMar>
              <w:top w:w="0" w:type="dxa"/>
              <w:left w:w="0" w:type="dxa"/>
              <w:bottom w:w="0" w:type="dxa"/>
              <w:right w:w="0" w:type="dxa"/>
            </w:tcMar>
            <w:vAlign w:val="bottom"/>
          </w:tcPr>
          <w:p w14:paraId="1AE459F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0.5370 ( Probable ANTIGEN ).</w:t>
            </w:r>
          </w:p>
        </w:tc>
      </w:tr>
      <w:tr w:rsidR="00AC68F5" w14:paraId="23581537" w14:textId="77777777">
        <w:tc>
          <w:tcPr>
            <w:tcW w:w="945" w:type="dxa"/>
            <w:tcMar>
              <w:top w:w="100" w:type="dxa"/>
              <w:left w:w="100" w:type="dxa"/>
              <w:bottom w:w="100" w:type="dxa"/>
              <w:right w:w="100" w:type="dxa"/>
            </w:tcMar>
          </w:tcPr>
          <w:p w14:paraId="6D7FAFD3"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CPE2648</w:t>
            </w:r>
          </w:p>
        </w:tc>
        <w:tc>
          <w:tcPr>
            <w:tcW w:w="1350" w:type="dxa"/>
            <w:tcMar>
              <w:top w:w="0" w:type="dxa"/>
              <w:left w:w="40" w:type="dxa"/>
              <w:bottom w:w="0" w:type="dxa"/>
              <w:right w:w="40" w:type="dxa"/>
            </w:tcMar>
            <w:vAlign w:val="bottom"/>
          </w:tcPr>
          <w:p w14:paraId="568928F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66F45F9E"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354</w:t>
            </w:r>
          </w:p>
        </w:tc>
        <w:tc>
          <w:tcPr>
            <w:tcW w:w="1260" w:type="dxa"/>
            <w:tcMar>
              <w:top w:w="0" w:type="dxa"/>
              <w:left w:w="40" w:type="dxa"/>
              <w:bottom w:w="0" w:type="dxa"/>
              <w:right w:w="40" w:type="dxa"/>
            </w:tcMar>
            <w:vAlign w:val="bottom"/>
          </w:tcPr>
          <w:p w14:paraId="480527D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41140.84</w:t>
            </w:r>
          </w:p>
        </w:tc>
        <w:tc>
          <w:tcPr>
            <w:tcW w:w="1545" w:type="dxa"/>
            <w:tcMar>
              <w:top w:w="0" w:type="dxa"/>
              <w:left w:w="40" w:type="dxa"/>
              <w:bottom w:w="0" w:type="dxa"/>
              <w:right w:w="40" w:type="dxa"/>
            </w:tcMar>
            <w:vAlign w:val="bottom"/>
          </w:tcPr>
          <w:p w14:paraId="08D604C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9.29</w:t>
            </w:r>
          </w:p>
        </w:tc>
        <w:tc>
          <w:tcPr>
            <w:tcW w:w="1350" w:type="dxa"/>
            <w:tcMar>
              <w:top w:w="0" w:type="dxa"/>
              <w:left w:w="40" w:type="dxa"/>
              <w:bottom w:w="0" w:type="dxa"/>
              <w:right w:w="40" w:type="dxa"/>
            </w:tcMar>
            <w:vAlign w:val="bottom"/>
          </w:tcPr>
          <w:p w14:paraId="1581029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24.09</w:t>
            </w:r>
          </w:p>
        </w:tc>
        <w:tc>
          <w:tcPr>
            <w:tcW w:w="1545" w:type="dxa"/>
            <w:tcMar>
              <w:top w:w="0" w:type="dxa"/>
              <w:left w:w="40" w:type="dxa"/>
              <w:bottom w:w="0" w:type="dxa"/>
              <w:right w:w="40" w:type="dxa"/>
            </w:tcMar>
            <w:vAlign w:val="bottom"/>
          </w:tcPr>
          <w:p w14:paraId="114CD6E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147.6</w:t>
            </w:r>
          </w:p>
        </w:tc>
        <w:tc>
          <w:tcPr>
            <w:tcW w:w="1110" w:type="dxa"/>
            <w:tcMar>
              <w:top w:w="0" w:type="dxa"/>
              <w:left w:w="40" w:type="dxa"/>
              <w:bottom w:w="0" w:type="dxa"/>
              <w:right w:w="40" w:type="dxa"/>
            </w:tcMar>
            <w:vAlign w:val="bottom"/>
          </w:tcPr>
          <w:p w14:paraId="4BDC844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1.138</w:t>
            </w:r>
          </w:p>
        </w:tc>
        <w:tc>
          <w:tcPr>
            <w:tcW w:w="1245" w:type="dxa"/>
            <w:tcMar>
              <w:top w:w="0" w:type="dxa"/>
              <w:left w:w="0" w:type="dxa"/>
              <w:bottom w:w="0" w:type="dxa"/>
              <w:right w:w="0" w:type="dxa"/>
            </w:tcMar>
            <w:vAlign w:val="bottom"/>
          </w:tcPr>
          <w:p w14:paraId="65CA778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0.7841 ( Probable ANTIGEN ).</w:t>
            </w:r>
          </w:p>
        </w:tc>
      </w:tr>
    </w:tbl>
    <w:p w14:paraId="0532A80A" w14:textId="77777777" w:rsidR="00AC68F5" w:rsidRDefault="00AC68F5">
      <w:pPr>
        <w:jc w:val="both"/>
        <w:rPr>
          <w:rFonts w:ascii="Times New Roman" w:eastAsia="Times New Roman" w:hAnsi="Times New Roman" w:cs="Times New Roman"/>
        </w:rPr>
      </w:pPr>
    </w:p>
    <w:p w14:paraId="03653EEF" w14:textId="77777777" w:rsidR="00AC68F5" w:rsidRDefault="00AC68F5">
      <w:pPr>
        <w:jc w:val="both"/>
        <w:rPr>
          <w:rFonts w:ascii="Times New Roman" w:eastAsia="Times New Roman" w:hAnsi="Times New Roman" w:cs="Times New Roman"/>
        </w:rPr>
      </w:pPr>
    </w:p>
    <w:p w14:paraId="5E2C0C3F" w14:textId="77777777" w:rsidR="00AC68F5" w:rsidRDefault="00AC68F5">
      <w:pPr>
        <w:rPr>
          <w:rFonts w:ascii="Times New Roman" w:eastAsia="Times New Roman" w:hAnsi="Times New Roman" w:cs="Times New Roman"/>
        </w:rPr>
      </w:pPr>
    </w:p>
    <w:p w14:paraId="5ADEBA48" w14:textId="77777777" w:rsidR="00AC68F5" w:rsidRDefault="00BF649C">
      <w:pPr>
        <w:pStyle w:val="Heading3"/>
        <w:spacing w:before="280"/>
        <w:rPr>
          <w:rFonts w:ascii="Times New Roman" w:eastAsia="Times New Roman" w:hAnsi="Times New Roman" w:cs="Times New Roman"/>
          <w:b/>
          <w:sz w:val="24"/>
          <w:szCs w:val="24"/>
        </w:rPr>
      </w:pPr>
      <w:commentRangeStart w:id="7"/>
      <w:r>
        <w:rPr>
          <w:rFonts w:ascii="Times New Roman" w:eastAsia="Times New Roman" w:hAnsi="Times New Roman" w:cs="Times New Roman"/>
          <w:b/>
          <w:sz w:val="24"/>
          <w:szCs w:val="24"/>
        </w:rPr>
        <w:lastRenderedPageBreak/>
        <w:t>Ligand Screening and Molecular Docking</w:t>
      </w:r>
    </w:p>
    <w:p w14:paraId="044CBC61" w14:textId="6DE5796B" w:rsidR="00AC68F5" w:rsidRDefault="00BF649C" w:rsidP="00740E03">
      <w:pPr>
        <w:pStyle w:val="Heading3"/>
        <w:spacing w:before="280"/>
        <w:rPr>
          <w:rFonts w:ascii="Times New Roman" w:eastAsia="Times New Roman" w:hAnsi="Times New Roman" w:cs="Times New Roman"/>
          <w:sz w:val="24"/>
          <w:szCs w:val="24"/>
        </w:rPr>
      </w:pPr>
      <w:r>
        <w:rPr>
          <w:rFonts w:ascii="Times New Roman" w:eastAsia="Times New Roman" w:hAnsi="Times New Roman" w:cs="Times New Roman"/>
          <w:b/>
          <w:sz w:val="24"/>
          <w:szCs w:val="24"/>
        </w:rPr>
        <w:t>Phytochemical Ligand Selection</w:t>
      </w:r>
      <w:r w:rsidR="00740E03">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 library of 669 phytochemical compounds previously noted to possess antibacterial activity was sourced from Dr. Duke's Phytochemical and Ethnobotanical Databases. These compounds were initially filtered for favorable oral bioavailability and pharmacokinetics using the </w:t>
      </w:r>
      <w:proofErr w:type="spellStart"/>
      <w:r>
        <w:rPr>
          <w:rFonts w:ascii="Times New Roman" w:eastAsia="Times New Roman" w:hAnsi="Times New Roman" w:cs="Times New Roman"/>
          <w:sz w:val="24"/>
          <w:szCs w:val="24"/>
        </w:rPr>
        <w:t>SwissADME</w:t>
      </w:r>
      <w:proofErr w:type="spellEnd"/>
      <w:r>
        <w:rPr>
          <w:rFonts w:ascii="Times New Roman" w:eastAsia="Times New Roman" w:hAnsi="Times New Roman" w:cs="Times New Roman"/>
          <w:sz w:val="24"/>
          <w:szCs w:val="24"/>
        </w:rPr>
        <w:t xml:space="preserve"> tool. Only molecules that successfully satisfied all five standard drug-likeness rules (Lipinski, Ghose, Veber, Egan, and Muegge) were retained. This screening step yielded 69 highly promising small-molecule phytochemical candidates for molecular docking.</w:t>
      </w:r>
    </w:p>
    <w:p w14:paraId="4B6AD5DB" w14:textId="3F2BC921" w:rsidR="00AC68F5" w:rsidRDefault="00BF649C" w:rsidP="00740E03">
      <w:pPr>
        <w:pStyle w:val="Heading3"/>
        <w:spacing w:before="280"/>
        <w:rPr>
          <w:rFonts w:ascii="Times New Roman" w:eastAsia="Times New Roman" w:hAnsi="Times New Roman" w:cs="Times New Roman"/>
          <w:sz w:val="24"/>
          <w:szCs w:val="24"/>
        </w:rPr>
      </w:pPr>
      <w:r>
        <w:rPr>
          <w:rFonts w:ascii="Times New Roman" w:eastAsia="Times New Roman" w:hAnsi="Times New Roman" w:cs="Times New Roman"/>
          <w:b/>
          <w:sz w:val="24"/>
          <w:szCs w:val="24"/>
        </w:rPr>
        <w:t>Virtual Screening and Binding Affinity</w:t>
      </w:r>
      <w:r w:rsidR="00740E03">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To predict the inhibitory potential of the 69 lead compounds against the 22 final protein targets, molecular docking was performed using the </w:t>
      </w:r>
      <w:proofErr w:type="spellStart"/>
      <w:r>
        <w:rPr>
          <w:rFonts w:ascii="Times New Roman" w:eastAsia="Times New Roman" w:hAnsi="Times New Roman" w:cs="Times New Roman"/>
          <w:sz w:val="24"/>
          <w:szCs w:val="24"/>
        </w:rPr>
        <w:t>AutoDock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Vina</w:t>
      </w:r>
      <w:proofErr w:type="spellEnd"/>
      <w:r>
        <w:rPr>
          <w:rFonts w:ascii="Times New Roman" w:eastAsia="Times New Roman" w:hAnsi="Times New Roman" w:cs="Times New Roman"/>
          <w:sz w:val="24"/>
          <w:szCs w:val="24"/>
        </w:rPr>
        <w:t xml:space="preserve"> program within the </w:t>
      </w:r>
      <w:proofErr w:type="spellStart"/>
      <w:r>
        <w:rPr>
          <w:rFonts w:ascii="Times New Roman" w:eastAsia="Times New Roman" w:hAnsi="Times New Roman" w:cs="Times New Roman"/>
          <w:sz w:val="24"/>
          <w:szCs w:val="24"/>
        </w:rPr>
        <w:t>PyRx</w:t>
      </w:r>
      <w:proofErr w:type="spellEnd"/>
      <w:r>
        <w:rPr>
          <w:rFonts w:ascii="Times New Roman" w:eastAsia="Times New Roman" w:hAnsi="Times New Roman" w:cs="Times New Roman"/>
          <w:sz w:val="24"/>
          <w:szCs w:val="24"/>
        </w:rPr>
        <w:t xml:space="preserve"> platform. The docking analysis quantified the binding strength by calculating the predicted binding energy </w:t>
      </w:r>
      <w:proofErr w:type="gramStart"/>
      <w:r>
        <w:rPr>
          <w:rFonts w:ascii="Times New Roman" w:eastAsia="Times New Roman" w:hAnsi="Times New Roman" w:cs="Times New Roman"/>
          <w:sz w:val="24"/>
          <w:szCs w:val="24"/>
        </w:rPr>
        <w:t>( in</w:t>
      </w:r>
      <w:proofErr w:type="gramEnd"/>
      <w:r>
        <w:rPr>
          <w:rFonts w:ascii="Times New Roman" w:eastAsia="Times New Roman" w:hAnsi="Times New Roman" w:cs="Times New Roman"/>
          <w:sz w:val="24"/>
          <w:szCs w:val="24"/>
        </w:rPr>
        <w:t xml:space="preserve"> kcal/mol). The lower (more negative) the binding energy, the stronger the predicted affinity and the higher the likelihood of efficacious inhibition (Figure 1). The results, specifically highlighting the ligands that exhibited the lowest (most favorable) binding energy for each of the 22 protein targets, are presented in Table 2.</w:t>
      </w:r>
      <w:commentRangeEnd w:id="7"/>
      <w:r w:rsidR="00EC2FC8">
        <w:rPr>
          <w:rStyle w:val="CommentReference"/>
          <w:color w:val="auto"/>
        </w:rPr>
        <w:commentReference w:id="7"/>
      </w:r>
    </w:p>
    <w:p w14:paraId="5C9B1DC8" w14:textId="77777777" w:rsidR="00AC68F5" w:rsidRDefault="00AC68F5">
      <w:pPr>
        <w:rPr>
          <w:rFonts w:ascii="Times New Roman" w:eastAsia="Times New Roman" w:hAnsi="Times New Roman" w:cs="Times New Roman"/>
        </w:rPr>
      </w:pPr>
    </w:p>
    <w:p w14:paraId="45D258B9" w14:textId="77777777" w:rsidR="00AC68F5" w:rsidRDefault="00BF649C">
      <w:pPr>
        <w:keepNext/>
        <w:pBdr>
          <w:top w:val="nil"/>
          <w:left w:val="nil"/>
          <w:bottom w:val="nil"/>
          <w:right w:val="nil"/>
          <w:between w:val="nil"/>
        </w:pBdr>
        <w:spacing w:after="200" w:line="240" w:lineRule="auto"/>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 xml:space="preserve">Table 2 </w:t>
      </w:r>
      <w:r>
        <w:rPr>
          <w:rFonts w:ascii="Times New Roman" w:eastAsia="Times New Roman" w:hAnsi="Times New Roman" w:cs="Times New Roman"/>
          <w:b/>
          <w:i/>
          <w:color w:val="1F497D"/>
          <w:sz w:val="18"/>
          <w:szCs w:val="18"/>
        </w:rPr>
        <w:t>Molecular docking analysis of phytochemical ligands with conserved hypothetical proteins of Clostridium perfringens.</w:t>
      </w:r>
      <w:sdt>
        <w:sdtPr>
          <w:tag w:val="goog_rdk_0"/>
          <w:id w:val="-693000577"/>
        </w:sdtPr>
        <w:sdtEndPr/>
        <w:sdtContent>
          <w:r>
            <w:rPr>
              <w:rFonts w:ascii="Cardo" w:eastAsia="Cardo" w:hAnsi="Cardo" w:cs="Cardo"/>
              <w:i/>
              <w:color w:val="1F497D"/>
              <w:sz w:val="18"/>
              <w:szCs w:val="18"/>
            </w:rPr>
            <w:br/>
            <w:t>Predicted binding affinities (ΔG, kcal mol⁻¹) of selected phytochemical ligands docked with 22 prioritized hypothetical proteins identified through subtractive proteomics analysis. Lower binding energies indicate stronger predicted protein–ligand interactions. Several compounds, including (+)-</w:t>
          </w:r>
          <w:proofErr w:type="spellStart"/>
          <w:r>
            <w:rPr>
              <w:rFonts w:ascii="Cardo" w:eastAsia="Cardo" w:hAnsi="Cardo" w:cs="Cardo"/>
              <w:i/>
              <w:color w:val="1F497D"/>
              <w:sz w:val="18"/>
              <w:szCs w:val="18"/>
            </w:rPr>
            <w:t>Galbacin</w:t>
          </w:r>
          <w:proofErr w:type="spellEnd"/>
          <w:r>
            <w:rPr>
              <w:rFonts w:ascii="Cardo" w:eastAsia="Cardo" w:hAnsi="Cardo" w:cs="Cardo"/>
              <w:i/>
              <w:color w:val="1F497D"/>
              <w:sz w:val="18"/>
              <w:szCs w:val="18"/>
            </w:rPr>
            <w:t>, (–)-</w:t>
          </w:r>
          <w:proofErr w:type="spellStart"/>
          <w:r>
            <w:rPr>
              <w:rFonts w:ascii="Cardo" w:eastAsia="Cardo" w:hAnsi="Cardo" w:cs="Cardo"/>
              <w:i/>
              <w:color w:val="1F497D"/>
              <w:sz w:val="18"/>
              <w:szCs w:val="18"/>
            </w:rPr>
            <w:t>Asarinin</w:t>
          </w:r>
          <w:proofErr w:type="spellEnd"/>
          <w:r>
            <w:rPr>
              <w:rFonts w:ascii="Cardo" w:eastAsia="Cardo" w:hAnsi="Cardo" w:cs="Cardo"/>
              <w:i/>
              <w:color w:val="1F497D"/>
              <w:sz w:val="18"/>
              <w:szCs w:val="18"/>
            </w:rPr>
            <w:t xml:space="preserve">, and </w:t>
          </w:r>
          <w:proofErr w:type="spellStart"/>
          <w:r>
            <w:rPr>
              <w:rFonts w:ascii="Cardo" w:eastAsia="Cardo" w:hAnsi="Cardo" w:cs="Cardo"/>
              <w:i/>
              <w:color w:val="1F497D"/>
              <w:sz w:val="18"/>
              <w:szCs w:val="18"/>
            </w:rPr>
            <w:t>Tuberosin</w:t>
          </w:r>
          <w:proofErr w:type="spellEnd"/>
          <w:r>
            <w:rPr>
              <w:rFonts w:ascii="Cardo" w:eastAsia="Cardo" w:hAnsi="Cardo" w:cs="Cardo"/>
              <w:i/>
              <w:color w:val="1F497D"/>
              <w:sz w:val="18"/>
              <w:szCs w:val="18"/>
            </w:rPr>
            <w:t>, exhibited high binding affinities (ΔG ≤ –9.0 kcal mol⁻¹), suggesting their potential as lead molecules for further experimental validation.</w:t>
          </w:r>
        </w:sdtContent>
      </w:sdt>
    </w:p>
    <w:tbl>
      <w:tblPr>
        <w:tblStyle w:val="a2"/>
        <w:tblW w:w="9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4395"/>
        <w:gridCol w:w="3360"/>
      </w:tblGrid>
      <w:tr w:rsidR="00AC68F5" w14:paraId="6601F9BA" w14:textId="77777777">
        <w:tc>
          <w:tcPr>
            <w:tcW w:w="2040" w:type="dxa"/>
            <w:tcMar>
              <w:top w:w="100" w:type="dxa"/>
              <w:left w:w="100" w:type="dxa"/>
              <w:bottom w:w="100" w:type="dxa"/>
              <w:right w:w="100" w:type="dxa"/>
            </w:tcMar>
          </w:tcPr>
          <w:p w14:paraId="31A28D98"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Protein Name</w:t>
            </w:r>
          </w:p>
        </w:tc>
        <w:tc>
          <w:tcPr>
            <w:tcW w:w="4395" w:type="dxa"/>
            <w:tcMar>
              <w:top w:w="100" w:type="dxa"/>
              <w:left w:w="100" w:type="dxa"/>
              <w:bottom w:w="100" w:type="dxa"/>
              <w:right w:w="100" w:type="dxa"/>
            </w:tcMar>
          </w:tcPr>
          <w:p w14:paraId="441ED8A2"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Ligand(s)</w:t>
            </w:r>
          </w:p>
        </w:tc>
        <w:tc>
          <w:tcPr>
            <w:tcW w:w="3360" w:type="dxa"/>
            <w:tcMar>
              <w:top w:w="100" w:type="dxa"/>
              <w:left w:w="100" w:type="dxa"/>
              <w:bottom w:w="100" w:type="dxa"/>
              <w:right w:w="100" w:type="dxa"/>
            </w:tcMar>
          </w:tcPr>
          <w:p w14:paraId="6E69A593"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Binding Energy (𝚫G) (kcal/mol)</w:t>
            </w:r>
          </w:p>
        </w:tc>
      </w:tr>
      <w:tr w:rsidR="00AC68F5" w14:paraId="05E1A0ED" w14:textId="77777777">
        <w:tc>
          <w:tcPr>
            <w:tcW w:w="2040" w:type="dxa"/>
            <w:tcMar>
              <w:top w:w="100" w:type="dxa"/>
              <w:left w:w="100" w:type="dxa"/>
              <w:bottom w:w="100" w:type="dxa"/>
              <w:right w:w="100" w:type="dxa"/>
            </w:tcMar>
          </w:tcPr>
          <w:p w14:paraId="74D64230"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CPE0133</w:t>
            </w:r>
          </w:p>
        </w:tc>
        <w:tc>
          <w:tcPr>
            <w:tcW w:w="4395" w:type="dxa"/>
            <w:tcMar>
              <w:top w:w="100" w:type="dxa"/>
              <w:left w:w="100" w:type="dxa"/>
              <w:bottom w:w="100" w:type="dxa"/>
              <w:right w:w="100" w:type="dxa"/>
            </w:tcMar>
          </w:tcPr>
          <w:p w14:paraId="5AB621AC"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Tuberosin</w:t>
            </w:r>
            <w:proofErr w:type="spellEnd"/>
          </w:p>
        </w:tc>
        <w:tc>
          <w:tcPr>
            <w:tcW w:w="3360" w:type="dxa"/>
            <w:tcMar>
              <w:top w:w="100" w:type="dxa"/>
              <w:left w:w="100" w:type="dxa"/>
              <w:bottom w:w="100" w:type="dxa"/>
              <w:right w:w="100" w:type="dxa"/>
            </w:tcMar>
          </w:tcPr>
          <w:p w14:paraId="1836B59A"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r>
      <w:tr w:rsidR="00AC68F5" w14:paraId="064B3C89" w14:textId="77777777">
        <w:tc>
          <w:tcPr>
            <w:tcW w:w="2040" w:type="dxa"/>
            <w:tcMar>
              <w:top w:w="100" w:type="dxa"/>
              <w:left w:w="100" w:type="dxa"/>
              <w:bottom w:w="100" w:type="dxa"/>
              <w:right w:w="100" w:type="dxa"/>
            </w:tcMar>
          </w:tcPr>
          <w:p w14:paraId="3BE75E9E"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CPE0245</w:t>
            </w:r>
          </w:p>
        </w:tc>
        <w:tc>
          <w:tcPr>
            <w:tcW w:w="4395" w:type="dxa"/>
            <w:tcMar>
              <w:top w:w="100" w:type="dxa"/>
              <w:left w:w="100" w:type="dxa"/>
              <w:bottom w:w="100" w:type="dxa"/>
              <w:right w:w="100" w:type="dxa"/>
            </w:tcMar>
          </w:tcPr>
          <w:p w14:paraId="3625A7EB"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14:paraId="5DA7B803"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r>
      <w:tr w:rsidR="00AC68F5" w14:paraId="0C32383D" w14:textId="77777777">
        <w:tc>
          <w:tcPr>
            <w:tcW w:w="2040" w:type="dxa"/>
            <w:tcMar>
              <w:top w:w="100" w:type="dxa"/>
              <w:left w:w="100" w:type="dxa"/>
              <w:bottom w:w="100" w:type="dxa"/>
              <w:right w:w="100" w:type="dxa"/>
            </w:tcMar>
          </w:tcPr>
          <w:p w14:paraId="0F5E0766"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CPE0246</w:t>
            </w:r>
          </w:p>
        </w:tc>
        <w:tc>
          <w:tcPr>
            <w:tcW w:w="4395" w:type="dxa"/>
            <w:tcMar>
              <w:top w:w="100" w:type="dxa"/>
              <w:left w:w="100" w:type="dxa"/>
              <w:bottom w:w="100" w:type="dxa"/>
              <w:right w:w="100" w:type="dxa"/>
            </w:tcMar>
          </w:tcPr>
          <w:p w14:paraId="254E8D4D"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Glabridin</w:t>
            </w:r>
            <w:proofErr w:type="spellEnd"/>
          </w:p>
        </w:tc>
        <w:tc>
          <w:tcPr>
            <w:tcW w:w="3360" w:type="dxa"/>
            <w:tcMar>
              <w:top w:w="100" w:type="dxa"/>
              <w:left w:w="100" w:type="dxa"/>
              <w:bottom w:w="100" w:type="dxa"/>
              <w:right w:w="100" w:type="dxa"/>
            </w:tcMar>
          </w:tcPr>
          <w:p w14:paraId="518F941F"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r>
      <w:tr w:rsidR="00AC68F5" w14:paraId="6D82906B" w14:textId="77777777">
        <w:tc>
          <w:tcPr>
            <w:tcW w:w="2040" w:type="dxa"/>
            <w:tcMar>
              <w:top w:w="100" w:type="dxa"/>
              <w:left w:w="100" w:type="dxa"/>
              <w:bottom w:w="100" w:type="dxa"/>
              <w:right w:w="100" w:type="dxa"/>
            </w:tcMar>
          </w:tcPr>
          <w:p w14:paraId="7DA440DE"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CPE0657</w:t>
            </w:r>
          </w:p>
        </w:tc>
        <w:tc>
          <w:tcPr>
            <w:tcW w:w="4395" w:type="dxa"/>
            <w:tcMar>
              <w:top w:w="100" w:type="dxa"/>
              <w:left w:w="100" w:type="dxa"/>
              <w:bottom w:w="100" w:type="dxa"/>
              <w:right w:w="100" w:type="dxa"/>
            </w:tcMar>
          </w:tcPr>
          <w:p w14:paraId="2159742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14:paraId="7FC96DB4"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AC68F5" w14:paraId="248FC964" w14:textId="77777777">
        <w:tc>
          <w:tcPr>
            <w:tcW w:w="2040" w:type="dxa"/>
            <w:tcMar>
              <w:top w:w="100" w:type="dxa"/>
              <w:left w:w="100" w:type="dxa"/>
              <w:bottom w:w="100" w:type="dxa"/>
              <w:right w:w="100" w:type="dxa"/>
            </w:tcMar>
          </w:tcPr>
          <w:p w14:paraId="44EB46CA"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CPE0662</w:t>
            </w:r>
          </w:p>
        </w:tc>
        <w:tc>
          <w:tcPr>
            <w:tcW w:w="4395" w:type="dxa"/>
            <w:tcMar>
              <w:top w:w="100" w:type="dxa"/>
              <w:left w:w="100" w:type="dxa"/>
              <w:bottom w:w="100" w:type="dxa"/>
              <w:right w:w="100" w:type="dxa"/>
            </w:tcMar>
          </w:tcPr>
          <w:p w14:paraId="11079F3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8-(3,3-Dimethylallyl)</w:t>
            </w:r>
            <w:proofErr w:type="spellStart"/>
            <w:r>
              <w:rPr>
                <w:rFonts w:ascii="Times New Roman" w:eastAsia="Times New Roman" w:hAnsi="Times New Roman" w:cs="Times New Roman"/>
                <w:sz w:val="24"/>
                <w:szCs w:val="24"/>
              </w:rPr>
              <w:t>spatheliachromene</w:t>
            </w:r>
            <w:proofErr w:type="spellEnd"/>
          </w:p>
        </w:tc>
        <w:tc>
          <w:tcPr>
            <w:tcW w:w="3360" w:type="dxa"/>
            <w:tcMar>
              <w:top w:w="100" w:type="dxa"/>
              <w:left w:w="100" w:type="dxa"/>
              <w:bottom w:w="100" w:type="dxa"/>
              <w:right w:w="100" w:type="dxa"/>
            </w:tcMar>
          </w:tcPr>
          <w:p w14:paraId="6C737657"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AC68F5" w14:paraId="29AB9816" w14:textId="77777777">
        <w:tc>
          <w:tcPr>
            <w:tcW w:w="2040" w:type="dxa"/>
            <w:tcMar>
              <w:top w:w="100" w:type="dxa"/>
              <w:left w:w="100" w:type="dxa"/>
              <w:bottom w:w="100" w:type="dxa"/>
              <w:right w:w="100" w:type="dxa"/>
            </w:tcMar>
          </w:tcPr>
          <w:p w14:paraId="3B2DB674"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CPE0708</w:t>
            </w:r>
          </w:p>
        </w:tc>
        <w:tc>
          <w:tcPr>
            <w:tcW w:w="4395" w:type="dxa"/>
            <w:tcMar>
              <w:top w:w="100" w:type="dxa"/>
              <w:left w:w="100" w:type="dxa"/>
              <w:bottom w:w="100" w:type="dxa"/>
              <w:right w:w="100" w:type="dxa"/>
            </w:tcMar>
          </w:tcPr>
          <w:p w14:paraId="63BD51A9"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14:paraId="70F2B23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r>
      <w:tr w:rsidR="00AC68F5" w14:paraId="19D40589" w14:textId="77777777">
        <w:tc>
          <w:tcPr>
            <w:tcW w:w="2040" w:type="dxa"/>
            <w:tcMar>
              <w:top w:w="100" w:type="dxa"/>
              <w:left w:w="100" w:type="dxa"/>
              <w:bottom w:w="100" w:type="dxa"/>
              <w:right w:w="100" w:type="dxa"/>
            </w:tcMar>
          </w:tcPr>
          <w:p w14:paraId="36F64F2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CPE0836</w:t>
            </w:r>
          </w:p>
        </w:tc>
        <w:tc>
          <w:tcPr>
            <w:tcW w:w="4395" w:type="dxa"/>
            <w:tcMar>
              <w:top w:w="100" w:type="dxa"/>
              <w:left w:w="100" w:type="dxa"/>
              <w:bottom w:w="100" w:type="dxa"/>
              <w:right w:w="100" w:type="dxa"/>
            </w:tcMar>
          </w:tcPr>
          <w:p w14:paraId="22471F67"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Galdosol</w:t>
            </w:r>
            <w:proofErr w:type="spellEnd"/>
          </w:p>
          <w:p w14:paraId="1D8C678B" w14:textId="77777777" w:rsidR="00AC68F5" w:rsidRDefault="00AC68F5">
            <w:pPr>
              <w:widowControl w:val="0"/>
              <w:spacing w:line="240" w:lineRule="auto"/>
              <w:jc w:val="both"/>
              <w:rPr>
                <w:rFonts w:ascii="Times New Roman" w:eastAsia="Times New Roman" w:hAnsi="Times New Roman" w:cs="Times New Roman"/>
                <w:sz w:val="24"/>
                <w:szCs w:val="24"/>
              </w:rPr>
            </w:pPr>
          </w:p>
          <w:p w14:paraId="2E6D1105"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Stemonine</w:t>
            </w:r>
            <w:proofErr w:type="spellEnd"/>
          </w:p>
        </w:tc>
        <w:tc>
          <w:tcPr>
            <w:tcW w:w="3360" w:type="dxa"/>
            <w:tcMar>
              <w:top w:w="100" w:type="dxa"/>
              <w:left w:w="100" w:type="dxa"/>
              <w:bottom w:w="100" w:type="dxa"/>
              <w:right w:w="100" w:type="dxa"/>
            </w:tcMar>
          </w:tcPr>
          <w:p w14:paraId="2932B84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r w:rsidR="00AC68F5" w14:paraId="2CBF1093" w14:textId="77777777">
        <w:tc>
          <w:tcPr>
            <w:tcW w:w="2040" w:type="dxa"/>
            <w:tcMar>
              <w:top w:w="100" w:type="dxa"/>
              <w:left w:w="100" w:type="dxa"/>
              <w:bottom w:w="100" w:type="dxa"/>
              <w:right w:w="100" w:type="dxa"/>
            </w:tcMar>
          </w:tcPr>
          <w:p w14:paraId="75E523C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CPE0969</w:t>
            </w:r>
          </w:p>
        </w:tc>
        <w:tc>
          <w:tcPr>
            <w:tcW w:w="4395" w:type="dxa"/>
            <w:tcMar>
              <w:top w:w="100" w:type="dxa"/>
              <w:left w:w="100" w:type="dxa"/>
              <w:bottom w:w="100" w:type="dxa"/>
              <w:right w:w="100" w:type="dxa"/>
            </w:tcMar>
          </w:tcPr>
          <w:p w14:paraId="729A35F3"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Asarinin</w:t>
            </w:r>
            <w:proofErr w:type="spellEnd"/>
          </w:p>
        </w:tc>
        <w:tc>
          <w:tcPr>
            <w:tcW w:w="3360" w:type="dxa"/>
            <w:tcMar>
              <w:top w:w="100" w:type="dxa"/>
              <w:left w:w="100" w:type="dxa"/>
              <w:bottom w:w="100" w:type="dxa"/>
              <w:right w:w="100" w:type="dxa"/>
            </w:tcMar>
          </w:tcPr>
          <w:p w14:paraId="21148F02"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r>
      <w:tr w:rsidR="00AC68F5" w14:paraId="02DC90CD" w14:textId="77777777">
        <w:tc>
          <w:tcPr>
            <w:tcW w:w="2040" w:type="dxa"/>
            <w:tcMar>
              <w:top w:w="100" w:type="dxa"/>
              <w:left w:w="100" w:type="dxa"/>
              <w:bottom w:w="100" w:type="dxa"/>
              <w:right w:w="100" w:type="dxa"/>
            </w:tcMar>
          </w:tcPr>
          <w:p w14:paraId="38EBB0DE"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CPE1094</w:t>
            </w:r>
          </w:p>
        </w:tc>
        <w:tc>
          <w:tcPr>
            <w:tcW w:w="4395" w:type="dxa"/>
            <w:tcMar>
              <w:top w:w="100" w:type="dxa"/>
              <w:left w:w="100" w:type="dxa"/>
              <w:bottom w:w="100" w:type="dxa"/>
              <w:right w:w="100" w:type="dxa"/>
            </w:tcMar>
          </w:tcPr>
          <w:p w14:paraId="44ED09D8"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Tuberosin</w:t>
            </w:r>
            <w:proofErr w:type="spellEnd"/>
          </w:p>
        </w:tc>
        <w:tc>
          <w:tcPr>
            <w:tcW w:w="3360" w:type="dxa"/>
            <w:tcMar>
              <w:top w:w="100" w:type="dxa"/>
              <w:left w:w="100" w:type="dxa"/>
              <w:bottom w:w="100" w:type="dxa"/>
              <w:right w:w="100" w:type="dxa"/>
            </w:tcMar>
          </w:tcPr>
          <w:p w14:paraId="549F6B19"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AC68F5" w14:paraId="5A1BF13F" w14:textId="77777777">
        <w:tc>
          <w:tcPr>
            <w:tcW w:w="2040" w:type="dxa"/>
            <w:tcMar>
              <w:top w:w="100" w:type="dxa"/>
              <w:left w:w="100" w:type="dxa"/>
              <w:bottom w:w="100" w:type="dxa"/>
              <w:right w:w="100" w:type="dxa"/>
            </w:tcMar>
          </w:tcPr>
          <w:p w14:paraId="62ABBF78"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CPE1362</w:t>
            </w:r>
          </w:p>
        </w:tc>
        <w:tc>
          <w:tcPr>
            <w:tcW w:w="4395" w:type="dxa"/>
            <w:tcMar>
              <w:top w:w="100" w:type="dxa"/>
              <w:left w:w="100" w:type="dxa"/>
              <w:bottom w:w="100" w:type="dxa"/>
              <w:right w:w="100" w:type="dxa"/>
            </w:tcMar>
          </w:tcPr>
          <w:p w14:paraId="71DD44DF"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Stemonine</w:t>
            </w:r>
            <w:proofErr w:type="spellEnd"/>
          </w:p>
        </w:tc>
        <w:tc>
          <w:tcPr>
            <w:tcW w:w="3360" w:type="dxa"/>
            <w:tcMar>
              <w:top w:w="100" w:type="dxa"/>
              <w:left w:w="100" w:type="dxa"/>
              <w:bottom w:w="100" w:type="dxa"/>
              <w:right w:w="100" w:type="dxa"/>
            </w:tcMar>
          </w:tcPr>
          <w:p w14:paraId="50A80D88"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AC68F5" w14:paraId="76AD4850" w14:textId="77777777">
        <w:tc>
          <w:tcPr>
            <w:tcW w:w="2040" w:type="dxa"/>
            <w:tcMar>
              <w:top w:w="100" w:type="dxa"/>
              <w:left w:w="100" w:type="dxa"/>
              <w:bottom w:w="100" w:type="dxa"/>
              <w:right w:w="100" w:type="dxa"/>
            </w:tcMar>
          </w:tcPr>
          <w:p w14:paraId="7D02EBBA"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CPE1509</w:t>
            </w:r>
          </w:p>
        </w:tc>
        <w:tc>
          <w:tcPr>
            <w:tcW w:w="4395" w:type="dxa"/>
            <w:tcMar>
              <w:top w:w="100" w:type="dxa"/>
              <w:left w:w="100" w:type="dxa"/>
              <w:bottom w:w="100" w:type="dxa"/>
              <w:right w:w="100" w:type="dxa"/>
            </w:tcMar>
          </w:tcPr>
          <w:p w14:paraId="741A49B6"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14:paraId="2F8AB0CC"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r w:rsidR="00AC68F5" w14:paraId="3B219A5B" w14:textId="77777777">
        <w:tc>
          <w:tcPr>
            <w:tcW w:w="2040" w:type="dxa"/>
            <w:tcBorders>
              <w:right w:val="single" w:sz="4" w:space="0" w:color="000000"/>
            </w:tcBorders>
            <w:tcMar>
              <w:top w:w="100" w:type="dxa"/>
              <w:left w:w="100" w:type="dxa"/>
              <w:bottom w:w="100" w:type="dxa"/>
              <w:right w:w="100" w:type="dxa"/>
            </w:tcMar>
          </w:tcPr>
          <w:p w14:paraId="70BC2CD4"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CPE1510</w:t>
            </w:r>
          </w:p>
        </w:tc>
        <w:tc>
          <w:tcPr>
            <w:tcW w:w="4395" w:type="dxa"/>
            <w:tcBorders>
              <w:left w:val="single" w:sz="4" w:space="0" w:color="000000"/>
            </w:tcBorders>
            <w:tcMar>
              <w:top w:w="100" w:type="dxa"/>
              <w:left w:w="100" w:type="dxa"/>
              <w:bottom w:w="100" w:type="dxa"/>
              <w:right w:w="100" w:type="dxa"/>
            </w:tcMar>
          </w:tcPr>
          <w:p w14:paraId="7E10C64F"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(+)-8-Hydroxycalamenene</w:t>
            </w:r>
          </w:p>
        </w:tc>
        <w:tc>
          <w:tcPr>
            <w:tcW w:w="3360" w:type="dxa"/>
            <w:tcMar>
              <w:top w:w="100" w:type="dxa"/>
              <w:left w:w="100" w:type="dxa"/>
              <w:bottom w:w="100" w:type="dxa"/>
              <w:right w:w="100" w:type="dxa"/>
            </w:tcMar>
          </w:tcPr>
          <w:p w14:paraId="6494CA4B"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AC68F5" w14:paraId="1A4920A0" w14:textId="77777777">
        <w:tc>
          <w:tcPr>
            <w:tcW w:w="2040" w:type="dxa"/>
            <w:tcBorders>
              <w:right w:val="single" w:sz="4" w:space="0" w:color="000000"/>
            </w:tcBorders>
            <w:tcMar>
              <w:top w:w="100" w:type="dxa"/>
              <w:left w:w="100" w:type="dxa"/>
              <w:bottom w:w="100" w:type="dxa"/>
              <w:right w:w="100" w:type="dxa"/>
            </w:tcMar>
          </w:tcPr>
          <w:p w14:paraId="132B593F"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CPE1576</w:t>
            </w:r>
          </w:p>
        </w:tc>
        <w:tc>
          <w:tcPr>
            <w:tcW w:w="4395" w:type="dxa"/>
            <w:tcBorders>
              <w:left w:val="single" w:sz="4" w:space="0" w:color="000000"/>
            </w:tcBorders>
            <w:tcMar>
              <w:top w:w="100" w:type="dxa"/>
              <w:left w:w="100" w:type="dxa"/>
              <w:bottom w:w="100" w:type="dxa"/>
              <w:right w:w="100" w:type="dxa"/>
            </w:tcMar>
          </w:tcPr>
          <w:p w14:paraId="010B849B"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Asarinin</w:t>
            </w:r>
            <w:proofErr w:type="spellEnd"/>
          </w:p>
          <w:p w14:paraId="31EAE30F" w14:textId="77777777" w:rsidR="00AC68F5" w:rsidRDefault="00AC68F5">
            <w:pPr>
              <w:widowControl w:val="0"/>
              <w:spacing w:line="240" w:lineRule="auto"/>
              <w:jc w:val="both"/>
              <w:rPr>
                <w:rFonts w:ascii="Times New Roman" w:eastAsia="Times New Roman" w:hAnsi="Times New Roman" w:cs="Times New Roman"/>
                <w:sz w:val="24"/>
                <w:szCs w:val="24"/>
              </w:rPr>
            </w:pPr>
          </w:p>
          <w:p w14:paraId="1B158B7F"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p w14:paraId="24954C56" w14:textId="77777777" w:rsidR="00AC68F5" w:rsidRDefault="00AC68F5">
            <w:pPr>
              <w:widowControl w:val="0"/>
              <w:spacing w:line="240" w:lineRule="auto"/>
              <w:jc w:val="both"/>
              <w:rPr>
                <w:rFonts w:ascii="Times New Roman" w:eastAsia="Times New Roman" w:hAnsi="Times New Roman" w:cs="Times New Roman"/>
                <w:sz w:val="24"/>
                <w:szCs w:val="24"/>
              </w:rPr>
            </w:pPr>
          </w:p>
          <w:p w14:paraId="0E9E3C20"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Sesamin</w:t>
            </w:r>
            <w:proofErr w:type="spellEnd"/>
          </w:p>
        </w:tc>
        <w:tc>
          <w:tcPr>
            <w:tcW w:w="3360" w:type="dxa"/>
            <w:tcMar>
              <w:top w:w="100" w:type="dxa"/>
              <w:left w:w="100" w:type="dxa"/>
              <w:bottom w:w="100" w:type="dxa"/>
              <w:right w:w="100" w:type="dxa"/>
            </w:tcMar>
          </w:tcPr>
          <w:p w14:paraId="67754E48"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r>
      <w:tr w:rsidR="00AC68F5" w14:paraId="3465EEB4" w14:textId="77777777">
        <w:tc>
          <w:tcPr>
            <w:tcW w:w="2040" w:type="dxa"/>
            <w:tcBorders>
              <w:right w:val="single" w:sz="4" w:space="0" w:color="000000"/>
            </w:tcBorders>
            <w:tcMar>
              <w:top w:w="100" w:type="dxa"/>
              <w:left w:w="100" w:type="dxa"/>
              <w:bottom w:w="100" w:type="dxa"/>
              <w:right w:w="100" w:type="dxa"/>
            </w:tcMar>
          </w:tcPr>
          <w:p w14:paraId="02754AAF"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CPE1922</w:t>
            </w:r>
          </w:p>
        </w:tc>
        <w:tc>
          <w:tcPr>
            <w:tcW w:w="4395" w:type="dxa"/>
            <w:tcBorders>
              <w:left w:val="single" w:sz="4" w:space="0" w:color="000000"/>
            </w:tcBorders>
            <w:tcMar>
              <w:top w:w="100" w:type="dxa"/>
              <w:left w:w="100" w:type="dxa"/>
              <w:bottom w:w="100" w:type="dxa"/>
              <w:right w:w="100" w:type="dxa"/>
            </w:tcMar>
          </w:tcPr>
          <w:p w14:paraId="68BEC3A9"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Glabridin</w:t>
            </w:r>
            <w:proofErr w:type="spellEnd"/>
          </w:p>
        </w:tc>
        <w:tc>
          <w:tcPr>
            <w:tcW w:w="3360" w:type="dxa"/>
            <w:tcMar>
              <w:top w:w="100" w:type="dxa"/>
              <w:left w:w="100" w:type="dxa"/>
              <w:bottom w:w="100" w:type="dxa"/>
              <w:right w:w="100" w:type="dxa"/>
            </w:tcMar>
          </w:tcPr>
          <w:p w14:paraId="79650B0D"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r>
      <w:tr w:rsidR="00AC68F5" w14:paraId="7DFCF1BF" w14:textId="77777777">
        <w:tc>
          <w:tcPr>
            <w:tcW w:w="2040" w:type="dxa"/>
            <w:tcBorders>
              <w:right w:val="single" w:sz="4" w:space="0" w:color="000000"/>
            </w:tcBorders>
            <w:tcMar>
              <w:top w:w="100" w:type="dxa"/>
              <w:left w:w="100" w:type="dxa"/>
              <w:bottom w:w="100" w:type="dxa"/>
              <w:right w:w="100" w:type="dxa"/>
            </w:tcMar>
          </w:tcPr>
          <w:p w14:paraId="4583485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CPE2021</w:t>
            </w:r>
          </w:p>
        </w:tc>
        <w:tc>
          <w:tcPr>
            <w:tcW w:w="4395" w:type="dxa"/>
            <w:tcBorders>
              <w:left w:val="single" w:sz="4" w:space="0" w:color="000000"/>
            </w:tcBorders>
            <w:tcMar>
              <w:top w:w="100" w:type="dxa"/>
              <w:left w:w="100" w:type="dxa"/>
              <w:bottom w:w="100" w:type="dxa"/>
              <w:right w:w="100" w:type="dxa"/>
            </w:tcMar>
          </w:tcPr>
          <w:p w14:paraId="587AAFA8"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Asarinin</w:t>
            </w:r>
            <w:proofErr w:type="spellEnd"/>
          </w:p>
          <w:p w14:paraId="75B1A482" w14:textId="77777777" w:rsidR="00AC68F5" w:rsidRDefault="00AC68F5">
            <w:pPr>
              <w:widowControl w:val="0"/>
              <w:spacing w:line="240" w:lineRule="auto"/>
              <w:jc w:val="both"/>
              <w:rPr>
                <w:rFonts w:ascii="Times New Roman" w:eastAsia="Times New Roman" w:hAnsi="Times New Roman" w:cs="Times New Roman"/>
                <w:sz w:val="24"/>
                <w:szCs w:val="24"/>
              </w:rPr>
            </w:pPr>
          </w:p>
          <w:p w14:paraId="3B00FF52"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Sesamin</w:t>
            </w:r>
            <w:proofErr w:type="spellEnd"/>
          </w:p>
        </w:tc>
        <w:tc>
          <w:tcPr>
            <w:tcW w:w="3360" w:type="dxa"/>
            <w:tcMar>
              <w:top w:w="100" w:type="dxa"/>
              <w:left w:w="100" w:type="dxa"/>
              <w:bottom w:w="100" w:type="dxa"/>
              <w:right w:w="100" w:type="dxa"/>
            </w:tcMar>
          </w:tcPr>
          <w:p w14:paraId="304FBC70"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AC68F5" w14:paraId="0778D28B" w14:textId="77777777">
        <w:tc>
          <w:tcPr>
            <w:tcW w:w="2040" w:type="dxa"/>
            <w:tcBorders>
              <w:right w:val="single" w:sz="4" w:space="0" w:color="000000"/>
            </w:tcBorders>
            <w:tcMar>
              <w:top w:w="100" w:type="dxa"/>
              <w:left w:w="100" w:type="dxa"/>
              <w:bottom w:w="100" w:type="dxa"/>
              <w:right w:w="100" w:type="dxa"/>
            </w:tcMar>
          </w:tcPr>
          <w:p w14:paraId="6BD31D27"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CPE2044</w:t>
            </w:r>
          </w:p>
        </w:tc>
        <w:tc>
          <w:tcPr>
            <w:tcW w:w="4395" w:type="dxa"/>
            <w:tcBorders>
              <w:left w:val="single" w:sz="4" w:space="0" w:color="000000"/>
            </w:tcBorders>
            <w:tcMar>
              <w:top w:w="100" w:type="dxa"/>
              <w:left w:w="100" w:type="dxa"/>
              <w:bottom w:w="100" w:type="dxa"/>
              <w:right w:w="100" w:type="dxa"/>
            </w:tcMar>
          </w:tcPr>
          <w:p w14:paraId="1D12493F"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14:paraId="6190B4E6"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AC68F5" w14:paraId="34634BB2" w14:textId="77777777">
        <w:tc>
          <w:tcPr>
            <w:tcW w:w="2040" w:type="dxa"/>
            <w:tcBorders>
              <w:right w:val="single" w:sz="4" w:space="0" w:color="000000"/>
            </w:tcBorders>
            <w:tcMar>
              <w:top w:w="100" w:type="dxa"/>
              <w:left w:w="100" w:type="dxa"/>
              <w:bottom w:w="100" w:type="dxa"/>
              <w:right w:w="100" w:type="dxa"/>
            </w:tcMar>
          </w:tcPr>
          <w:p w14:paraId="4131E30E"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CPE2210</w:t>
            </w:r>
          </w:p>
        </w:tc>
        <w:tc>
          <w:tcPr>
            <w:tcW w:w="4395" w:type="dxa"/>
            <w:tcBorders>
              <w:left w:val="single" w:sz="4" w:space="0" w:color="000000"/>
            </w:tcBorders>
            <w:tcMar>
              <w:top w:w="100" w:type="dxa"/>
              <w:left w:w="100" w:type="dxa"/>
              <w:bottom w:w="100" w:type="dxa"/>
              <w:right w:w="100" w:type="dxa"/>
            </w:tcMar>
          </w:tcPr>
          <w:p w14:paraId="31E071A5"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Ammoresinol</w:t>
            </w:r>
            <w:proofErr w:type="spellEnd"/>
          </w:p>
        </w:tc>
        <w:tc>
          <w:tcPr>
            <w:tcW w:w="3360" w:type="dxa"/>
            <w:tcMar>
              <w:top w:w="100" w:type="dxa"/>
              <w:left w:w="100" w:type="dxa"/>
              <w:bottom w:w="100" w:type="dxa"/>
              <w:right w:w="100" w:type="dxa"/>
            </w:tcMar>
          </w:tcPr>
          <w:p w14:paraId="0A748D74"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r w:rsidR="00AC68F5" w14:paraId="4A48404D" w14:textId="77777777">
        <w:tc>
          <w:tcPr>
            <w:tcW w:w="2040" w:type="dxa"/>
            <w:tcBorders>
              <w:right w:val="single" w:sz="4" w:space="0" w:color="000000"/>
            </w:tcBorders>
            <w:tcMar>
              <w:top w:w="100" w:type="dxa"/>
              <w:left w:w="100" w:type="dxa"/>
              <w:bottom w:w="100" w:type="dxa"/>
              <w:right w:w="100" w:type="dxa"/>
            </w:tcMar>
          </w:tcPr>
          <w:p w14:paraId="605BBA1D"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CPE2344</w:t>
            </w:r>
          </w:p>
        </w:tc>
        <w:tc>
          <w:tcPr>
            <w:tcW w:w="4395" w:type="dxa"/>
            <w:tcBorders>
              <w:left w:val="single" w:sz="4" w:space="0" w:color="000000"/>
            </w:tcBorders>
            <w:tcMar>
              <w:top w:w="100" w:type="dxa"/>
              <w:left w:w="100" w:type="dxa"/>
              <w:bottom w:w="100" w:type="dxa"/>
              <w:right w:w="100" w:type="dxa"/>
            </w:tcMar>
          </w:tcPr>
          <w:p w14:paraId="39FFCB31"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Galdosol</w:t>
            </w:r>
            <w:proofErr w:type="spellEnd"/>
          </w:p>
        </w:tc>
        <w:tc>
          <w:tcPr>
            <w:tcW w:w="3360" w:type="dxa"/>
            <w:tcMar>
              <w:top w:w="100" w:type="dxa"/>
              <w:left w:w="100" w:type="dxa"/>
              <w:bottom w:w="100" w:type="dxa"/>
              <w:right w:w="100" w:type="dxa"/>
            </w:tcMar>
          </w:tcPr>
          <w:p w14:paraId="2522FCC8"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r>
      <w:tr w:rsidR="00AC68F5" w14:paraId="6B9B83C0" w14:textId="77777777">
        <w:tc>
          <w:tcPr>
            <w:tcW w:w="2040" w:type="dxa"/>
            <w:tcBorders>
              <w:right w:val="single" w:sz="4" w:space="0" w:color="000000"/>
            </w:tcBorders>
            <w:tcMar>
              <w:top w:w="100" w:type="dxa"/>
              <w:left w:w="100" w:type="dxa"/>
              <w:bottom w:w="100" w:type="dxa"/>
              <w:right w:w="100" w:type="dxa"/>
            </w:tcMar>
          </w:tcPr>
          <w:p w14:paraId="50D793ED"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CPE2564</w:t>
            </w:r>
          </w:p>
        </w:tc>
        <w:tc>
          <w:tcPr>
            <w:tcW w:w="4395" w:type="dxa"/>
            <w:tcBorders>
              <w:left w:val="single" w:sz="4" w:space="0" w:color="000000"/>
            </w:tcBorders>
            <w:tcMar>
              <w:top w:w="100" w:type="dxa"/>
              <w:left w:w="100" w:type="dxa"/>
              <w:bottom w:w="100" w:type="dxa"/>
              <w:right w:w="100" w:type="dxa"/>
            </w:tcMar>
          </w:tcPr>
          <w:p w14:paraId="7952CFA6"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Tuberosin</w:t>
            </w:r>
            <w:proofErr w:type="spellEnd"/>
          </w:p>
        </w:tc>
        <w:tc>
          <w:tcPr>
            <w:tcW w:w="3360" w:type="dxa"/>
            <w:tcMar>
              <w:top w:w="100" w:type="dxa"/>
              <w:left w:w="100" w:type="dxa"/>
              <w:bottom w:w="100" w:type="dxa"/>
              <w:right w:w="100" w:type="dxa"/>
            </w:tcMar>
          </w:tcPr>
          <w:p w14:paraId="78F50A5D"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r w:rsidR="00AC68F5" w14:paraId="0E662B3C" w14:textId="77777777">
        <w:tc>
          <w:tcPr>
            <w:tcW w:w="2040" w:type="dxa"/>
            <w:tcBorders>
              <w:right w:val="single" w:sz="4" w:space="0" w:color="000000"/>
            </w:tcBorders>
            <w:tcMar>
              <w:top w:w="100" w:type="dxa"/>
              <w:left w:w="100" w:type="dxa"/>
              <w:bottom w:w="100" w:type="dxa"/>
              <w:right w:w="100" w:type="dxa"/>
            </w:tcMar>
          </w:tcPr>
          <w:p w14:paraId="481A413B"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CPE2571</w:t>
            </w:r>
          </w:p>
        </w:tc>
        <w:tc>
          <w:tcPr>
            <w:tcW w:w="4395" w:type="dxa"/>
            <w:tcBorders>
              <w:left w:val="single" w:sz="4" w:space="0" w:color="000000"/>
            </w:tcBorders>
            <w:tcMar>
              <w:top w:w="100" w:type="dxa"/>
              <w:left w:w="100" w:type="dxa"/>
              <w:bottom w:w="100" w:type="dxa"/>
              <w:right w:w="100" w:type="dxa"/>
            </w:tcMar>
          </w:tcPr>
          <w:p w14:paraId="32453E3D"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14:paraId="257180C7"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r>
      <w:tr w:rsidR="00AC68F5" w14:paraId="7335F790" w14:textId="77777777">
        <w:tc>
          <w:tcPr>
            <w:tcW w:w="2040" w:type="dxa"/>
            <w:tcBorders>
              <w:right w:val="single" w:sz="4" w:space="0" w:color="000000"/>
            </w:tcBorders>
            <w:tcMar>
              <w:top w:w="100" w:type="dxa"/>
              <w:left w:w="100" w:type="dxa"/>
              <w:bottom w:w="100" w:type="dxa"/>
              <w:right w:w="100" w:type="dxa"/>
            </w:tcMar>
          </w:tcPr>
          <w:p w14:paraId="00956794"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CPE2638</w:t>
            </w:r>
          </w:p>
        </w:tc>
        <w:tc>
          <w:tcPr>
            <w:tcW w:w="4395" w:type="dxa"/>
            <w:tcBorders>
              <w:left w:val="single" w:sz="4" w:space="0" w:color="000000"/>
            </w:tcBorders>
            <w:tcMar>
              <w:top w:w="100" w:type="dxa"/>
              <w:left w:w="100" w:type="dxa"/>
              <w:bottom w:w="100" w:type="dxa"/>
              <w:right w:w="100" w:type="dxa"/>
            </w:tcMar>
          </w:tcPr>
          <w:p w14:paraId="7EB356E1"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14:paraId="4118E5D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AC68F5" w14:paraId="79FF66C5" w14:textId="77777777">
        <w:tc>
          <w:tcPr>
            <w:tcW w:w="2040" w:type="dxa"/>
            <w:tcBorders>
              <w:right w:val="single" w:sz="4" w:space="0" w:color="000000"/>
            </w:tcBorders>
            <w:tcMar>
              <w:top w:w="100" w:type="dxa"/>
              <w:left w:w="100" w:type="dxa"/>
              <w:bottom w:w="100" w:type="dxa"/>
              <w:right w:w="100" w:type="dxa"/>
            </w:tcMar>
          </w:tcPr>
          <w:p w14:paraId="786751AF"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CPE2648</w:t>
            </w:r>
          </w:p>
        </w:tc>
        <w:tc>
          <w:tcPr>
            <w:tcW w:w="4395" w:type="dxa"/>
            <w:tcBorders>
              <w:left w:val="single" w:sz="4" w:space="0" w:color="000000"/>
            </w:tcBorders>
            <w:tcMar>
              <w:top w:w="100" w:type="dxa"/>
              <w:left w:w="100" w:type="dxa"/>
              <w:bottom w:w="100" w:type="dxa"/>
              <w:right w:w="100" w:type="dxa"/>
            </w:tcMar>
          </w:tcPr>
          <w:p w14:paraId="2EB5A8E0"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Asarinin</w:t>
            </w:r>
            <w:proofErr w:type="spellEnd"/>
          </w:p>
          <w:p w14:paraId="0A1C6E6C" w14:textId="77777777" w:rsidR="00AC68F5" w:rsidRDefault="00AC68F5">
            <w:pPr>
              <w:widowControl w:val="0"/>
              <w:spacing w:line="240" w:lineRule="auto"/>
              <w:jc w:val="both"/>
              <w:rPr>
                <w:rFonts w:ascii="Times New Roman" w:eastAsia="Times New Roman" w:hAnsi="Times New Roman" w:cs="Times New Roman"/>
                <w:sz w:val="24"/>
                <w:szCs w:val="24"/>
              </w:rPr>
            </w:pPr>
          </w:p>
          <w:p w14:paraId="7FC4DEED"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Sesamin</w:t>
            </w:r>
            <w:proofErr w:type="spellEnd"/>
          </w:p>
        </w:tc>
        <w:tc>
          <w:tcPr>
            <w:tcW w:w="3360" w:type="dxa"/>
            <w:tcMar>
              <w:top w:w="100" w:type="dxa"/>
              <w:left w:w="100" w:type="dxa"/>
              <w:bottom w:w="100" w:type="dxa"/>
              <w:right w:w="100" w:type="dxa"/>
            </w:tcMar>
          </w:tcPr>
          <w:p w14:paraId="3EA9250E"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bl>
    <w:p w14:paraId="561687DB" w14:textId="77777777" w:rsidR="00AC68F5" w:rsidRDefault="00AC68F5">
      <w:pPr>
        <w:jc w:val="both"/>
        <w:rPr>
          <w:rFonts w:ascii="Times New Roman" w:eastAsia="Times New Roman" w:hAnsi="Times New Roman" w:cs="Times New Roman"/>
          <w:sz w:val="24"/>
          <w:szCs w:val="24"/>
        </w:rPr>
      </w:pPr>
    </w:p>
    <w:p w14:paraId="3966B2CD" w14:textId="77777777" w:rsidR="00AC68F5" w:rsidRDefault="00AC68F5">
      <w:pPr>
        <w:jc w:val="both"/>
        <w:rPr>
          <w:rFonts w:ascii="Times New Roman" w:eastAsia="Times New Roman" w:hAnsi="Times New Roman" w:cs="Times New Roman"/>
        </w:rPr>
      </w:pPr>
    </w:p>
    <w:p w14:paraId="33E63EEF" w14:textId="77777777" w:rsidR="00AC68F5" w:rsidRDefault="00AC68F5">
      <w:pPr>
        <w:rPr>
          <w:rFonts w:ascii="Times New Roman" w:eastAsia="Times New Roman" w:hAnsi="Times New Roman" w:cs="Times New Roman"/>
        </w:rPr>
      </w:pPr>
    </w:p>
    <w:p w14:paraId="23093636" w14:textId="77777777" w:rsidR="00AC68F5" w:rsidRDefault="00BF649C">
      <w:pPr>
        <w:keepNext/>
        <w:rPr>
          <w:rFonts w:ascii="Times New Roman" w:eastAsia="Times New Roman" w:hAnsi="Times New Roman" w:cs="Times New Roman"/>
        </w:rPr>
      </w:pPr>
      <w:r>
        <w:rPr>
          <w:rFonts w:ascii="Times New Roman" w:eastAsia="Times New Roman" w:hAnsi="Times New Roman" w:cs="Times New Roman"/>
          <w:noProof/>
          <w:lang w:val="en-IN" w:bidi="hi-IN"/>
        </w:rPr>
        <w:lastRenderedPageBreak/>
        <w:drawing>
          <wp:inline distT="0" distB="0" distL="0" distR="0" wp14:anchorId="071E282E" wp14:editId="2AF80EA8">
            <wp:extent cx="5943600" cy="3285490"/>
            <wp:effectExtent l="0" t="0" r="0" b="0"/>
            <wp:docPr id="19791561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943600" cy="3285490"/>
                    </a:xfrm>
                    <a:prstGeom prst="rect">
                      <a:avLst/>
                    </a:prstGeom>
                    <a:ln/>
                  </pic:spPr>
                </pic:pic>
              </a:graphicData>
            </a:graphic>
          </wp:inline>
        </w:drawing>
      </w:r>
    </w:p>
    <w:p w14:paraId="337171DC" w14:textId="77777777" w:rsidR="00AC68F5" w:rsidRDefault="00BF649C">
      <w:pPr>
        <w:pBdr>
          <w:top w:val="nil"/>
          <w:left w:val="nil"/>
          <w:bottom w:val="nil"/>
          <w:right w:val="nil"/>
          <w:between w:val="nil"/>
        </w:pBdr>
        <w:spacing w:after="200" w:line="240" w:lineRule="auto"/>
        <w:jc w:val="both"/>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 xml:space="preserve">Figure 1 </w:t>
      </w:r>
      <w:r>
        <w:rPr>
          <w:rFonts w:ascii="Times New Roman" w:eastAsia="Times New Roman" w:hAnsi="Times New Roman" w:cs="Times New Roman"/>
          <w:b/>
          <w:i/>
          <w:color w:val="1F497D"/>
          <w:sz w:val="18"/>
          <w:szCs w:val="18"/>
        </w:rPr>
        <w:t>Representative 2D interaction diagrams of ligand–protein complexes in Clostridium perfringens.</w:t>
      </w:r>
      <w:r>
        <w:rPr>
          <w:rFonts w:ascii="Times New Roman" w:eastAsia="Times New Roman" w:hAnsi="Times New Roman" w:cs="Times New Roman"/>
          <w:i/>
          <w:color w:val="1F497D"/>
          <w:sz w:val="18"/>
          <w:szCs w:val="18"/>
        </w:rPr>
        <w:br/>
        <w:t xml:space="preserve">(A) Interaction of </w:t>
      </w:r>
      <w:proofErr w:type="spellStart"/>
      <w:r>
        <w:rPr>
          <w:rFonts w:ascii="Times New Roman" w:eastAsia="Times New Roman" w:hAnsi="Times New Roman" w:cs="Times New Roman"/>
          <w:i/>
          <w:color w:val="1F497D"/>
          <w:sz w:val="18"/>
          <w:szCs w:val="18"/>
        </w:rPr>
        <w:t>Tuberosin</w:t>
      </w:r>
      <w:proofErr w:type="spellEnd"/>
      <w:r>
        <w:rPr>
          <w:rFonts w:ascii="Times New Roman" w:eastAsia="Times New Roman" w:hAnsi="Times New Roman" w:cs="Times New Roman"/>
          <w:i/>
          <w:color w:val="1F497D"/>
          <w:sz w:val="18"/>
          <w:szCs w:val="18"/>
        </w:rPr>
        <w:t xml:space="preserve"> with the hypothetical protein CPE0133, showing hydrogen bonds with residues Tyr173(A), Asn202(A), and Asn205(A) (green dashed lines) and surrounding hydrophobic contacts (red arcs).</w:t>
      </w:r>
      <w:r>
        <w:rPr>
          <w:rFonts w:ascii="Times New Roman" w:eastAsia="Times New Roman" w:hAnsi="Times New Roman" w:cs="Times New Roman"/>
          <w:i/>
          <w:color w:val="1F497D"/>
          <w:sz w:val="18"/>
          <w:szCs w:val="18"/>
        </w:rPr>
        <w:br/>
        <w:t xml:space="preserve">(B) Interaction of </w:t>
      </w:r>
      <w:proofErr w:type="spellStart"/>
      <w:r>
        <w:rPr>
          <w:rFonts w:ascii="Times New Roman" w:eastAsia="Times New Roman" w:hAnsi="Times New Roman" w:cs="Times New Roman"/>
          <w:i/>
          <w:color w:val="1F497D"/>
          <w:sz w:val="18"/>
          <w:szCs w:val="18"/>
        </w:rPr>
        <w:t>Glabridin</w:t>
      </w:r>
      <w:proofErr w:type="spellEnd"/>
      <w:r>
        <w:rPr>
          <w:rFonts w:ascii="Times New Roman" w:eastAsia="Times New Roman" w:hAnsi="Times New Roman" w:cs="Times New Roman"/>
          <w:i/>
          <w:color w:val="1F497D"/>
          <w:sz w:val="18"/>
          <w:szCs w:val="18"/>
        </w:rPr>
        <w:t xml:space="preserve"> with the hypothetical protein CPE0246, highlighting hydrogen bonding with Lys206(A), Ile238(A), and Asn242(A) along with adjacent hydrophobic interactions. These panels represent typical binding patterns observed among the top-ranked ligand–protein complexes identified through molecular docking analysis.</w:t>
      </w:r>
    </w:p>
    <w:p w14:paraId="2229E043" w14:textId="77777777" w:rsidR="00AC68F5" w:rsidRDefault="00AC68F5">
      <w:pPr>
        <w:pBdr>
          <w:top w:val="nil"/>
          <w:left w:val="nil"/>
          <w:bottom w:val="nil"/>
          <w:right w:val="nil"/>
          <w:between w:val="nil"/>
        </w:pBdr>
        <w:spacing w:after="200" w:line="240" w:lineRule="auto"/>
        <w:rPr>
          <w:rFonts w:ascii="Times New Roman" w:eastAsia="Times New Roman" w:hAnsi="Times New Roman" w:cs="Times New Roman"/>
          <w:i/>
          <w:color w:val="1F497D"/>
          <w:sz w:val="18"/>
          <w:szCs w:val="18"/>
        </w:rPr>
      </w:pPr>
    </w:p>
    <w:p w14:paraId="3B8D2DED" w14:textId="77777777" w:rsidR="00AC68F5" w:rsidRDefault="00AC68F5">
      <w:pPr>
        <w:rPr>
          <w:rFonts w:ascii="Times New Roman" w:eastAsia="Times New Roman" w:hAnsi="Times New Roman" w:cs="Times New Roman"/>
        </w:rPr>
      </w:pPr>
    </w:p>
    <w:p w14:paraId="3227B0CB" w14:textId="77777777" w:rsidR="00AC68F5" w:rsidRDefault="00BF649C">
      <w:pPr>
        <w:pStyle w:val="Heading3"/>
        <w:keepNext w:val="0"/>
        <w:keepLines w:val="0"/>
        <w:spacing w:before="280"/>
        <w:rPr>
          <w:rFonts w:ascii="Times New Roman" w:eastAsia="Times New Roman" w:hAnsi="Times New Roman" w:cs="Times New Roman"/>
          <w:b/>
          <w:color w:val="000000"/>
          <w:sz w:val="24"/>
          <w:szCs w:val="24"/>
        </w:rPr>
      </w:pPr>
      <w:commentRangeStart w:id="8"/>
      <w:r>
        <w:rPr>
          <w:rFonts w:ascii="Times New Roman" w:eastAsia="Times New Roman" w:hAnsi="Times New Roman" w:cs="Times New Roman"/>
          <w:b/>
          <w:color w:val="000000"/>
          <w:sz w:val="24"/>
          <w:szCs w:val="24"/>
        </w:rPr>
        <w:t>Discussion</w:t>
      </w:r>
    </w:p>
    <w:p w14:paraId="37B63177" w14:textId="77777777" w:rsidR="00AC68F5" w:rsidRDefault="00BF649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aim of this study was to identify novel drug targets within the </w:t>
      </w:r>
      <w:r>
        <w:rPr>
          <w:rFonts w:ascii="Times New Roman" w:eastAsia="Times New Roman" w:hAnsi="Times New Roman" w:cs="Times New Roman"/>
          <w:i/>
          <w:sz w:val="24"/>
          <w:szCs w:val="24"/>
        </w:rPr>
        <w:t>Clostridium perfringens</w:t>
      </w:r>
      <w:r>
        <w:rPr>
          <w:rFonts w:ascii="Times New Roman" w:eastAsia="Times New Roman" w:hAnsi="Times New Roman" w:cs="Times New Roman"/>
          <w:sz w:val="24"/>
          <w:szCs w:val="24"/>
        </w:rPr>
        <w:t xml:space="preserve"> proteome through the use of subtractive proteomics. This was accomplished by carefully narrowing down the set of proteins that were determined to play important roles in the functions of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while still remaining distinct from the proteomes of other bacteria present within the human microbiome. This rigorous filtering process, which allowed 22 potential drug targets to be identified from an initial proteome of 2,661 proteins, emphasizes the inherent strength of computational analysis in finding drug target candidates which warrant immediate further experimental investigation. The results found line up with previous observations that conserved hypothetical proteins (CHPs) can harbor undiscovered vulnerabilities in bacterial pathogens. </w:t>
      </w:r>
    </w:p>
    <w:p w14:paraId="63947446" w14:textId="77777777" w:rsidR="00AC68F5" w:rsidRDefault="00BF649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the rapid progression of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infection and its escalating resistance to some first-line therapies, discovering new methods of treatment is critical. While other studies have focused on established toxin genes or virulence factors, this analysis deliberately aimed to expand the scope of inquiry by exploring proteins whose functions are poorly characterized but which are predicted to be both conserved and essential. In doing so, this analysis provides a complementary therapeutic </w:t>
      </w:r>
      <w:r>
        <w:rPr>
          <w:rFonts w:ascii="Times New Roman" w:eastAsia="Times New Roman" w:hAnsi="Times New Roman" w:cs="Times New Roman"/>
          <w:sz w:val="24"/>
          <w:szCs w:val="24"/>
        </w:rPr>
        <w:lastRenderedPageBreak/>
        <w:t xml:space="preserve">view to existing literature in the field and contributes to a broader understanding of how to combat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through novel mechanisms. It is possible to speculate on the biological roles of the proteins identified in this study. </w:t>
      </w:r>
    </w:p>
    <w:p w14:paraId="513D9DA9" w14:textId="77777777" w:rsidR="00AC68F5" w:rsidRDefault="00BF649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Conserved hypothetical proteins frequently take part in essential cellular processes, which include replication, core metabolism, and maintenance of the cell wall [18]. If these proteins are disrupted, the bacteria may lose its fundamental ability to sustain itself or produce toxins, both of which are key to successful infection. For this reason, targeting these specific CHPs could provide a novel way to weaken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either as a standalone agent or, more promisingly, in combination with existing antibiotics to circumvent resistance mechanisms. Though this method of subtractive proteomics presents a clear strength in its multilayered approach—layering various predictive indices to determine ideal drug targets and screening small-molecule ligands—certain limitations must be acknowledged. All findings of this analysis are purely predictive until they are validated through experimental means. Although many strong computational tools exist, they are inherently imperfect and may be prone to false positives (predicting non-essential proteins as viable targets) and false negatives (excluding true targets due to overly stringent cutoffs). Therefore, any predictions made must be rigorously tested experimentally before further work is done using the proteins or lead compounds found in this analysis. More broadly, this study aims to support a strong argument for the functionality and necessity of computational pipelines and analysis for accelerating drug discovery against rapidly evolving bacterial pathogens. The precise framework used here could be directly applied to other species that present an urgent need for clinical intervention, possibly allowing for faster and cheaper drug development, particularly during the crucial early stages of target identification. In the context of the ever-increasing global threat of antimicrobial resistance, approaches such as this represent a pragmatic and significant step towards creating a more diverse and complete therapeutic design.</w:t>
      </w:r>
      <w:commentRangeEnd w:id="8"/>
      <w:r w:rsidR="00A24C1B">
        <w:rPr>
          <w:rStyle w:val="CommentReference"/>
        </w:rPr>
        <w:commentReference w:id="8"/>
      </w:r>
    </w:p>
    <w:p w14:paraId="43D63C61" w14:textId="77777777" w:rsidR="00AC68F5" w:rsidRDefault="00BF649C">
      <w:pPr>
        <w:spacing w:before="240" w:after="240"/>
        <w:jc w:val="both"/>
        <w:rPr>
          <w:rFonts w:ascii="Times New Roman" w:eastAsia="Times New Roman" w:hAnsi="Times New Roman" w:cs="Times New Roman"/>
          <w:sz w:val="24"/>
          <w:szCs w:val="24"/>
        </w:rPr>
      </w:pPr>
      <w:commentRangeStart w:id="9"/>
      <w:r>
        <w:rPr>
          <w:rFonts w:ascii="Times New Roman" w:eastAsia="Times New Roman" w:hAnsi="Times New Roman" w:cs="Times New Roman"/>
          <w:b/>
          <w:sz w:val="24"/>
          <w:szCs w:val="24"/>
        </w:rPr>
        <w:t>Conclusion</w:t>
      </w:r>
    </w:p>
    <w:p w14:paraId="0CD722DE" w14:textId="77777777" w:rsidR="00AC68F5" w:rsidRDefault="00BF649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leveraged a robust subtractive proteomics and molecular docking pipeline to address the urgent need for novel therapeutic interventions against the rapidly evolving pathogen, </w:t>
      </w:r>
      <w:r>
        <w:rPr>
          <w:rFonts w:ascii="Times New Roman" w:eastAsia="Times New Roman" w:hAnsi="Times New Roman" w:cs="Times New Roman"/>
          <w:i/>
          <w:sz w:val="24"/>
          <w:szCs w:val="24"/>
        </w:rPr>
        <w:t>Clostridium perfringens</w:t>
      </w:r>
      <w:r>
        <w:rPr>
          <w:rFonts w:ascii="Times New Roman" w:eastAsia="Times New Roman" w:hAnsi="Times New Roman" w:cs="Times New Roman"/>
          <w:sz w:val="24"/>
          <w:szCs w:val="24"/>
        </w:rPr>
        <w:t>. Through sequential in silico filtering based on essentiality, stability, cellular accessibility, and non-homology, we successfully narrowed the complete proteome to 22 high-priority conserved hypothetical protein (CHP) drug targets. Crucially, the non-homology screen confirmed the predicted high specificity of these targets against the human gut microbiome, minimizing the risk of off-target dysbiosis associated with current broad-spectrum antimicrobials.</w:t>
      </w:r>
    </w:p>
    <w:p w14:paraId="34615905" w14:textId="77777777" w:rsidR="00AC68F5" w:rsidRDefault="00BF649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a comprehensive molecular docking screen identified 69 drug-like phytochemical compounds that exhibited favorable binding </w:t>
      </w:r>
      <w:proofErr w:type="spellStart"/>
      <w:r>
        <w:rPr>
          <w:rFonts w:ascii="Times New Roman" w:eastAsia="Times New Roman" w:hAnsi="Times New Roman" w:cs="Times New Roman"/>
          <w:sz w:val="24"/>
          <w:szCs w:val="24"/>
        </w:rPr>
        <w:t>affinitie</w:t>
      </w:r>
      <w:proofErr w:type="spellEnd"/>
      <w:r>
        <w:rPr>
          <w:rFonts w:ascii="Times New Roman" w:eastAsia="Times New Roman" w:hAnsi="Times New Roman" w:cs="Times New Roman"/>
          <w:sz w:val="24"/>
          <w:szCs w:val="24"/>
        </w:rPr>
        <w:t xml:space="preserve"> for these 22 targets, providing concrete chemical starting points for drug development.</w:t>
      </w:r>
    </w:p>
    <w:p w14:paraId="15A0DB67" w14:textId="77777777" w:rsidR="00AC68F5" w:rsidRDefault="00BF649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work provides a powerful, validated blueprint that dramatically accelerates the initial stages of target and lead compound identification. The 22 unique protein candidates are now primed for </w:t>
      </w:r>
      <w:r>
        <w:rPr>
          <w:rFonts w:ascii="Times New Roman" w:eastAsia="Times New Roman" w:hAnsi="Times New Roman" w:cs="Times New Roman"/>
          <w:sz w:val="24"/>
          <w:szCs w:val="24"/>
        </w:rPr>
        <w:lastRenderedPageBreak/>
        <w:t xml:space="preserve">immediate experimental validation through essentiality testing and </w:t>
      </w:r>
      <w:r>
        <w:rPr>
          <w:rFonts w:ascii="Times New Roman" w:eastAsia="Times New Roman" w:hAnsi="Times New Roman" w:cs="Times New Roman"/>
          <w:i/>
          <w:sz w:val="24"/>
          <w:szCs w:val="24"/>
        </w:rPr>
        <w:t>in vitro</w:t>
      </w:r>
      <w:r>
        <w:rPr>
          <w:rFonts w:ascii="Times New Roman" w:eastAsia="Times New Roman" w:hAnsi="Times New Roman" w:cs="Times New Roman"/>
          <w:sz w:val="24"/>
          <w:szCs w:val="24"/>
        </w:rPr>
        <w:t xml:space="preserve"> binding assays, representing a significant step toward developing a new class of targeted antibiotics to combat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and providing a scalable methodology to fight the global threat of antimicrobial resistance.</w:t>
      </w:r>
    </w:p>
    <w:p w14:paraId="570DB5F0" w14:textId="77777777" w:rsidR="00AC68F5" w:rsidRDefault="00AC68F5">
      <w:pPr>
        <w:spacing w:before="240" w:after="240"/>
        <w:rPr>
          <w:rFonts w:ascii="Times New Roman" w:eastAsia="Times New Roman" w:hAnsi="Times New Roman" w:cs="Times New Roman"/>
          <w:sz w:val="24"/>
          <w:szCs w:val="24"/>
        </w:rPr>
      </w:pPr>
    </w:p>
    <w:commentRangeEnd w:id="9"/>
    <w:p w14:paraId="4409A8E1" w14:textId="77777777" w:rsidR="00AC68F5" w:rsidRDefault="0097061B">
      <w:pPr>
        <w:spacing w:before="240" w:after="240"/>
        <w:rPr>
          <w:rFonts w:ascii="Times New Roman" w:eastAsia="Times New Roman" w:hAnsi="Times New Roman" w:cs="Times New Roman"/>
          <w:b/>
          <w:sz w:val="24"/>
          <w:szCs w:val="24"/>
        </w:rPr>
      </w:pPr>
      <w:r>
        <w:rPr>
          <w:rStyle w:val="CommentReference"/>
        </w:rPr>
        <w:commentReference w:id="9"/>
      </w:r>
    </w:p>
    <w:p w14:paraId="41A0A0C5" w14:textId="77777777" w:rsidR="00AC68F5" w:rsidRDefault="00BF649C">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Abbreviations</w:t>
      </w:r>
    </w:p>
    <w:p w14:paraId="4A448806"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Kcal – kilocalories; Mol – mole; AMR - Antimicrobial Resistance; NCBI - National Center for Biotechnology Information; </w:t>
      </w:r>
      <w:proofErr w:type="spellStart"/>
      <w:r>
        <w:rPr>
          <w:rFonts w:ascii="Times New Roman" w:eastAsia="Times New Roman" w:hAnsi="Times New Roman" w:cs="Times New Roman"/>
          <w:sz w:val="24"/>
          <w:szCs w:val="24"/>
        </w:rPr>
        <w:t>pI</w:t>
      </w:r>
      <w:proofErr w:type="spellEnd"/>
      <w:r>
        <w:rPr>
          <w:rFonts w:ascii="Times New Roman" w:eastAsia="Times New Roman" w:hAnsi="Times New Roman" w:cs="Times New Roman"/>
          <w:sz w:val="24"/>
          <w:szCs w:val="24"/>
        </w:rPr>
        <w:t xml:space="preserve"> - theoretical isoelectric point; GRAVY - grand average of hydropathicity; BLAST - Basic Local Alignment Search Tool; GMQE - Global Model Quality Estimation; QMEAN - Qualitative Model Energy Analysis; SMILES - Simplified Molecular-Input Line-Entry System; ADME - Absorption, Distribution, Metabolism, and Excretion; UCSF - University of California, San Francisco</w:t>
      </w:r>
    </w:p>
    <w:p w14:paraId="27F81919" w14:textId="77777777" w:rsidR="00740E03" w:rsidRPr="00740E03" w:rsidRDefault="00740E03" w:rsidP="00740E03">
      <w:pPr>
        <w:spacing w:before="240" w:after="240"/>
        <w:rPr>
          <w:rFonts w:ascii="Times New Roman" w:eastAsia="Times New Roman" w:hAnsi="Times New Roman" w:cs="Times New Roman"/>
          <w:sz w:val="24"/>
          <w:szCs w:val="24"/>
          <w:lang w:val="en-IN"/>
        </w:rPr>
      </w:pPr>
      <w:r w:rsidRPr="00740E03">
        <w:rPr>
          <w:rFonts w:ascii="Times New Roman" w:eastAsia="Times New Roman" w:hAnsi="Times New Roman" w:cs="Times New Roman"/>
          <w:b/>
          <w:bCs/>
          <w:sz w:val="24"/>
          <w:szCs w:val="24"/>
          <w:lang w:val="en-IN"/>
        </w:rPr>
        <w:t>Ethics approval and consent to participate:</w:t>
      </w:r>
      <w:r w:rsidRPr="00740E03">
        <w:rPr>
          <w:rFonts w:ascii="Times New Roman" w:eastAsia="Times New Roman" w:hAnsi="Times New Roman" w:cs="Times New Roman"/>
          <w:sz w:val="24"/>
          <w:szCs w:val="24"/>
          <w:lang w:val="en-IN"/>
        </w:rPr>
        <w:t xml:space="preserve"> Not applicable.</w:t>
      </w:r>
    </w:p>
    <w:p w14:paraId="1678D168" w14:textId="77777777" w:rsidR="00740E03" w:rsidRPr="00740E03" w:rsidRDefault="00740E03" w:rsidP="00740E03">
      <w:pPr>
        <w:spacing w:before="240" w:after="240"/>
        <w:rPr>
          <w:rFonts w:ascii="Times New Roman" w:eastAsia="Times New Roman" w:hAnsi="Times New Roman" w:cs="Times New Roman"/>
          <w:sz w:val="24"/>
          <w:szCs w:val="24"/>
          <w:lang w:val="en-IN"/>
        </w:rPr>
      </w:pPr>
      <w:r w:rsidRPr="00740E03">
        <w:rPr>
          <w:rFonts w:ascii="Times New Roman" w:eastAsia="Times New Roman" w:hAnsi="Times New Roman" w:cs="Times New Roman"/>
          <w:b/>
          <w:bCs/>
          <w:sz w:val="24"/>
          <w:szCs w:val="24"/>
          <w:lang w:val="en-IN"/>
        </w:rPr>
        <w:t xml:space="preserve">Consent for publication: </w:t>
      </w:r>
      <w:r w:rsidRPr="00740E03">
        <w:rPr>
          <w:rFonts w:ascii="Times New Roman" w:eastAsia="Times New Roman" w:hAnsi="Times New Roman" w:cs="Times New Roman"/>
          <w:sz w:val="24"/>
          <w:szCs w:val="24"/>
          <w:lang w:val="en-IN"/>
        </w:rPr>
        <w:t>Not applicable.</w:t>
      </w:r>
    </w:p>
    <w:p w14:paraId="6D9B90CD" w14:textId="2BE2C84B" w:rsidR="00740E03" w:rsidRPr="00740E03" w:rsidRDefault="00740E03" w:rsidP="00740E03">
      <w:pPr>
        <w:spacing w:before="240" w:after="240"/>
        <w:rPr>
          <w:rFonts w:ascii="Times New Roman" w:eastAsia="Times New Roman" w:hAnsi="Times New Roman" w:cs="Times New Roman"/>
          <w:sz w:val="24"/>
          <w:szCs w:val="24"/>
          <w:lang w:val="en-IN"/>
        </w:rPr>
      </w:pPr>
      <w:r w:rsidRPr="00740E03">
        <w:rPr>
          <w:rFonts w:ascii="Times New Roman" w:eastAsia="Times New Roman" w:hAnsi="Times New Roman" w:cs="Times New Roman"/>
          <w:b/>
          <w:bCs/>
          <w:sz w:val="24"/>
          <w:szCs w:val="24"/>
          <w:lang w:val="en-IN"/>
        </w:rPr>
        <w:t>Data Availability Statement:</w:t>
      </w:r>
      <w:r w:rsidRPr="00740E03">
        <w:rPr>
          <w:rFonts w:ascii="Times New Roman" w:eastAsia="Times New Roman" w:hAnsi="Times New Roman" w:cs="Times New Roman"/>
          <w:sz w:val="24"/>
          <w:szCs w:val="24"/>
          <w:lang w:val="en-IN"/>
        </w:rPr>
        <w:t xml:space="preserve"> All data generated or </w:t>
      </w:r>
      <w:proofErr w:type="spellStart"/>
      <w:r w:rsidRPr="00740E03">
        <w:rPr>
          <w:rFonts w:ascii="Times New Roman" w:eastAsia="Times New Roman" w:hAnsi="Times New Roman" w:cs="Times New Roman"/>
          <w:sz w:val="24"/>
          <w:szCs w:val="24"/>
          <w:lang w:val="en-IN"/>
        </w:rPr>
        <w:t>analyzed</w:t>
      </w:r>
      <w:proofErr w:type="spellEnd"/>
      <w:r w:rsidRPr="00740E03">
        <w:rPr>
          <w:rFonts w:ascii="Times New Roman" w:eastAsia="Times New Roman" w:hAnsi="Times New Roman" w:cs="Times New Roman"/>
          <w:sz w:val="24"/>
          <w:szCs w:val="24"/>
          <w:lang w:val="en-IN"/>
        </w:rPr>
        <w:t xml:space="preserve"> during this study are included in this</w:t>
      </w:r>
      <w:r>
        <w:rPr>
          <w:rFonts w:ascii="Times New Roman" w:eastAsia="Times New Roman" w:hAnsi="Times New Roman" w:cs="Times New Roman"/>
          <w:sz w:val="24"/>
          <w:szCs w:val="24"/>
          <w:lang w:val="en-IN"/>
        </w:rPr>
        <w:t xml:space="preserve"> </w:t>
      </w:r>
      <w:r w:rsidRPr="00740E03">
        <w:rPr>
          <w:rFonts w:ascii="Times New Roman" w:eastAsia="Times New Roman" w:hAnsi="Times New Roman" w:cs="Times New Roman"/>
          <w:sz w:val="24"/>
          <w:szCs w:val="24"/>
          <w:lang w:val="en-IN"/>
        </w:rPr>
        <w:t>published article.</w:t>
      </w:r>
    </w:p>
    <w:p w14:paraId="42231B95" w14:textId="275984F8" w:rsidR="00AC68F5" w:rsidRPr="00740E03" w:rsidRDefault="00740E03" w:rsidP="00740E03">
      <w:pPr>
        <w:spacing w:before="240" w:after="240"/>
        <w:rPr>
          <w:rFonts w:ascii="Times New Roman" w:eastAsia="Times New Roman" w:hAnsi="Times New Roman" w:cs="Times New Roman"/>
          <w:sz w:val="24"/>
          <w:szCs w:val="24"/>
          <w:lang w:val="en-IN"/>
        </w:rPr>
      </w:pPr>
      <w:r w:rsidRPr="00740E03">
        <w:rPr>
          <w:rFonts w:ascii="Times New Roman" w:eastAsia="Times New Roman" w:hAnsi="Times New Roman" w:cs="Times New Roman"/>
          <w:b/>
          <w:bCs/>
          <w:sz w:val="24"/>
          <w:szCs w:val="24"/>
          <w:lang w:val="en-IN"/>
        </w:rPr>
        <w:t xml:space="preserve">Declaration of Competing Interest: </w:t>
      </w:r>
      <w:r w:rsidRPr="00740E03">
        <w:rPr>
          <w:rFonts w:ascii="Times New Roman" w:eastAsia="Times New Roman" w:hAnsi="Times New Roman" w:cs="Times New Roman"/>
          <w:sz w:val="24"/>
          <w:szCs w:val="24"/>
          <w:lang w:val="en-IN"/>
        </w:rPr>
        <w:t>The authors declare that the research was conducted in the</w:t>
      </w:r>
      <w:r>
        <w:rPr>
          <w:rFonts w:ascii="Times New Roman" w:eastAsia="Times New Roman" w:hAnsi="Times New Roman" w:cs="Times New Roman"/>
          <w:sz w:val="24"/>
          <w:szCs w:val="24"/>
          <w:lang w:val="en-IN"/>
        </w:rPr>
        <w:t xml:space="preserve"> </w:t>
      </w:r>
      <w:r w:rsidRPr="00740E03">
        <w:rPr>
          <w:rFonts w:ascii="Times New Roman" w:eastAsia="Times New Roman" w:hAnsi="Times New Roman" w:cs="Times New Roman"/>
          <w:sz w:val="24"/>
          <w:szCs w:val="24"/>
          <w:lang w:val="en-IN"/>
        </w:rPr>
        <w:t>absence of any commercial or financial relationships that could be construed as a potential conflict</w:t>
      </w:r>
      <w:r>
        <w:rPr>
          <w:rFonts w:ascii="Times New Roman" w:eastAsia="Times New Roman" w:hAnsi="Times New Roman" w:cs="Times New Roman"/>
          <w:sz w:val="24"/>
          <w:szCs w:val="24"/>
          <w:lang w:val="en-IN"/>
        </w:rPr>
        <w:t xml:space="preserve"> </w:t>
      </w:r>
      <w:r w:rsidRPr="00740E03">
        <w:rPr>
          <w:rFonts w:ascii="Times New Roman" w:eastAsia="Times New Roman" w:hAnsi="Times New Roman" w:cs="Times New Roman"/>
          <w:sz w:val="24"/>
          <w:szCs w:val="24"/>
          <w:lang w:val="en-IN"/>
        </w:rPr>
        <w:t>of interest.</w:t>
      </w:r>
    </w:p>
    <w:p w14:paraId="57E5EEF5" w14:textId="77777777" w:rsidR="00AC68F5" w:rsidRDefault="00AC68F5">
      <w:pPr>
        <w:spacing w:before="240" w:after="240"/>
        <w:rPr>
          <w:rFonts w:ascii="Times New Roman" w:eastAsia="Times New Roman" w:hAnsi="Times New Roman" w:cs="Times New Roman"/>
          <w:sz w:val="24"/>
          <w:szCs w:val="24"/>
        </w:rPr>
      </w:pPr>
    </w:p>
    <w:p w14:paraId="2B0CFFF3" w14:textId="77777777" w:rsidR="00AC68F5" w:rsidRDefault="00AC68F5">
      <w:pPr>
        <w:spacing w:before="240" w:after="240"/>
        <w:rPr>
          <w:rFonts w:ascii="Times New Roman" w:eastAsia="Times New Roman" w:hAnsi="Times New Roman" w:cs="Times New Roman"/>
          <w:sz w:val="24"/>
          <w:szCs w:val="24"/>
        </w:rPr>
      </w:pPr>
    </w:p>
    <w:p w14:paraId="2CC3EA0A" w14:textId="77777777" w:rsidR="00AC68F5" w:rsidRDefault="00BF649C">
      <w:pPr>
        <w:spacing w:before="240" w:after="240"/>
        <w:rPr>
          <w:rFonts w:ascii="Times New Roman" w:eastAsia="Times New Roman" w:hAnsi="Times New Roman" w:cs="Times New Roman"/>
          <w:b/>
          <w:sz w:val="36"/>
          <w:szCs w:val="36"/>
        </w:rPr>
      </w:pPr>
      <w:r>
        <w:rPr>
          <w:rFonts w:ascii="Times New Roman" w:eastAsia="Times New Roman" w:hAnsi="Times New Roman" w:cs="Times New Roman"/>
          <w:b/>
          <w:sz w:val="24"/>
          <w:szCs w:val="24"/>
        </w:rPr>
        <w:t>References:</w:t>
      </w:r>
    </w:p>
    <w:p w14:paraId="72F65686" w14:textId="77777777" w:rsidR="00AC68F5" w:rsidRDefault="00BF649C">
      <w:pPr>
        <w:jc w:val="both"/>
        <w:rPr>
          <w:rFonts w:ascii="Times New Roman" w:eastAsia="Times New Roman" w:hAnsi="Times New Roman" w:cs="Times New Roman"/>
          <w:sz w:val="24"/>
          <w:szCs w:val="24"/>
        </w:rPr>
      </w:pPr>
      <w:bookmarkStart w:id="10" w:name="_GoBack"/>
      <w:commentRangeStart w:id="11"/>
      <w:r>
        <w:rPr>
          <w:rFonts w:ascii="Times New Roman" w:eastAsia="Times New Roman" w:hAnsi="Times New Roman" w:cs="Times New Roman"/>
          <w:sz w:val="24"/>
          <w:szCs w:val="24"/>
        </w:rPr>
        <w:t xml:space="preserve">[1] P. Yao and P. </w:t>
      </w:r>
      <w:proofErr w:type="spellStart"/>
      <w:r>
        <w:rPr>
          <w:rFonts w:ascii="Times New Roman" w:eastAsia="Times New Roman" w:hAnsi="Times New Roman" w:cs="Times New Roman"/>
          <w:sz w:val="24"/>
          <w:szCs w:val="24"/>
        </w:rPr>
        <w:t>Annamaraju</w:t>
      </w:r>
      <w:proofErr w:type="spellEnd"/>
      <w:r>
        <w:rPr>
          <w:rFonts w:ascii="Times New Roman" w:eastAsia="Times New Roman" w:hAnsi="Times New Roman" w:cs="Times New Roman"/>
          <w:sz w:val="24"/>
          <w:szCs w:val="24"/>
        </w:rPr>
        <w:t xml:space="preserve">, “Clostridium </w:t>
      </w:r>
      <w:proofErr w:type="spellStart"/>
      <w:r>
        <w:rPr>
          <w:rFonts w:ascii="Times New Roman" w:eastAsia="Times New Roman" w:hAnsi="Times New Roman" w:cs="Times New Roman"/>
          <w:sz w:val="24"/>
          <w:szCs w:val="24"/>
        </w:rPr>
        <w:t>Perfringens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PubMed</w:t>
      </w:r>
      <w:r>
        <w:rPr>
          <w:rFonts w:ascii="Times New Roman" w:eastAsia="Times New Roman" w:hAnsi="Times New Roman" w:cs="Times New Roman"/>
          <w:sz w:val="24"/>
          <w:szCs w:val="24"/>
        </w:rPr>
        <w:t>, Aug. 08, 2023. https://www.ncbi.nlm.nih.gov/books/NBK559049/</w:t>
      </w:r>
    </w:p>
    <w:p w14:paraId="6F624B29"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2]T.</w:t>
      </w:r>
      <w:proofErr w:type="gramEnd"/>
      <w:r>
        <w:rPr>
          <w:rFonts w:ascii="Times New Roman" w:eastAsia="Times New Roman" w:hAnsi="Times New Roman" w:cs="Times New Roman"/>
          <w:sz w:val="24"/>
          <w:szCs w:val="24"/>
        </w:rPr>
        <w:t xml:space="preserve"> Mada, K. Ochi, M. Okamoto, and D. Takamatsu, “First genomic analysis of a Clostridium perfringens strain carrying both the </w:t>
      </w:r>
      <w:proofErr w:type="spellStart"/>
      <w:r>
        <w:rPr>
          <w:rFonts w:ascii="Times New Roman" w:eastAsia="Times New Roman" w:hAnsi="Times New Roman" w:cs="Times New Roman"/>
          <w:sz w:val="24"/>
          <w:szCs w:val="24"/>
        </w:rPr>
        <w:t>cpe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netB</w:t>
      </w:r>
      <w:proofErr w:type="spellEnd"/>
      <w:r>
        <w:rPr>
          <w:rFonts w:ascii="Times New Roman" w:eastAsia="Times New Roman" w:hAnsi="Times New Roman" w:cs="Times New Roman"/>
          <w:sz w:val="24"/>
          <w:szCs w:val="24"/>
        </w:rPr>
        <w:t xml:space="preserve"> genes and the proposal of an amended toxin-based typing scheme,” </w:t>
      </w:r>
      <w:r>
        <w:rPr>
          <w:rFonts w:ascii="Times New Roman" w:eastAsia="Times New Roman" w:hAnsi="Times New Roman" w:cs="Times New Roman"/>
          <w:i/>
          <w:sz w:val="24"/>
          <w:szCs w:val="24"/>
        </w:rPr>
        <w:t>Frontiers in Microbiology</w:t>
      </w:r>
      <w:r>
        <w:rPr>
          <w:rFonts w:ascii="Times New Roman" w:eastAsia="Times New Roman" w:hAnsi="Times New Roman" w:cs="Times New Roman"/>
          <w:sz w:val="24"/>
          <w:szCs w:val="24"/>
        </w:rPr>
        <w:t xml:space="preserve">, vol. 16, May 2025,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https://doi.org/10.3389/fmicb.2025.1580271.</w:t>
      </w:r>
    </w:p>
    <w:p w14:paraId="28EA6719"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J. Li, D. Paredes-</w:t>
      </w:r>
      <w:proofErr w:type="spellStart"/>
      <w:r>
        <w:rPr>
          <w:rFonts w:ascii="Times New Roman" w:eastAsia="Times New Roman" w:hAnsi="Times New Roman" w:cs="Times New Roman"/>
          <w:sz w:val="24"/>
          <w:szCs w:val="24"/>
        </w:rPr>
        <w:t>Sabja</w:t>
      </w:r>
      <w:proofErr w:type="spellEnd"/>
      <w:r>
        <w:rPr>
          <w:rFonts w:ascii="Times New Roman" w:eastAsia="Times New Roman" w:hAnsi="Times New Roman" w:cs="Times New Roman"/>
          <w:sz w:val="24"/>
          <w:szCs w:val="24"/>
        </w:rPr>
        <w:t xml:space="preserve">, M. R. Sarker, and B. A. McClane, “Clostridium perfringens Sporulation and Sporulation-Associated Toxin Production,” </w:t>
      </w:r>
      <w:r>
        <w:rPr>
          <w:rFonts w:ascii="Times New Roman" w:eastAsia="Times New Roman" w:hAnsi="Times New Roman" w:cs="Times New Roman"/>
          <w:i/>
          <w:sz w:val="24"/>
          <w:szCs w:val="24"/>
        </w:rPr>
        <w:t>Microbiology Spectrum</w:t>
      </w:r>
      <w:r>
        <w:rPr>
          <w:rFonts w:ascii="Times New Roman" w:eastAsia="Times New Roman" w:hAnsi="Times New Roman" w:cs="Times New Roman"/>
          <w:sz w:val="24"/>
          <w:szCs w:val="24"/>
        </w:rPr>
        <w:t xml:space="preserve">, vol. 4, no. 3, Jun. 2016,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https://doi.org/10.1128/microbiolspec.tbs-0022-2015.</w:t>
      </w:r>
    </w:p>
    <w:p w14:paraId="4381DFA8"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N. Geremia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subanalysis</w:t>
      </w:r>
      <w:proofErr w:type="spellEnd"/>
      <w:r>
        <w:rPr>
          <w:rFonts w:ascii="Times New Roman" w:eastAsia="Times New Roman" w:hAnsi="Times New Roman" w:cs="Times New Roman"/>
          <w:sz w:val="24"/>
          <w:szCs w:val="24"/>
        </w:rPr>
        <w:t xml:space="preserve"> of Clostridium </w:t>
      </w:r>
      <w:proofErr w:type="spellStart"/>
      <w:r>
        <w:rPr>
          <w:rFonts w:ascii="Times New Roman" w:eastAsia="Times New Roman" w:hAnsi="Times New Roman" w:cs="Times New Roman"/>
          <w:sz w:val="24"/>
          <w:szCs w:val="24"/>
        </w:rPr>
        <w:t>perfringens</w:t>
      </w:r>
      <w:proofErr w:type="spellEnd"/>
      <w:r>
        <w:rPr>
          <w:rFonts w:ascii="Times New Roman" w:eastAsia="Times New Roman" w:hAnsi="Times New Roman" w:cs="Times New Roman"/>
          <w:sz w:val="24"/>
          <w:szCs w:val="24"/>
        </w:rPr>
        <w:t xml:space="preserve"> bloodstream infections from a 5-year retrospective nationwide survey (ITANAEROBY),” </w:t>
      </w:r>
      <w:r>
        <w:rPr>
          <w:rFonts w:ascii="Times New Roman" w:eastAsia="Times New Roman" w:hAnsi="Times New Roman" w:cs="Times New Roman"/>
          <w:i/>
          <w:sz w:val="24"/>
          <w:szCs w:val="24"/>
        </w:rPr>
        <w:t>Anaerobe</w:t>
      </w:r>
      <w:r>
        <w:rPr>
          <w:rFonts w:ascii="Times New Roman" w:eastAsia="Times New Roman" w:hAnsi="Times New Roman" w:cs="Times New Roman"/>
          <w:sz w:val="24"/>
          <w:szCs w:val="24"/>
        </w:rPr>
        <w:t xml:space="preserve">, pp. 102901–102901, Aug. 2024,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https://doi.org/10.1016/j.anaerobe.2024.102901.</w:t>
      </w:r>
    </w:p>
    <w:p w14:paraId="686E04FF"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V. Chakma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“In silico analysis of a novel hypothetical protein (YP_498675.1) from Staphylococcus aureus unravels the protein of tryptophan synthase beta superfamily (Try-synth-beta_ II),” </w:t>
      </w:r>
      <w:r>
        <w:rPr>
          <w:rFonts w:ascii="Times New Roman" w:eastAsia="Times New Roman" w:hAnsi="Times New Roman" w:cs="Times New Roman"/>
          <w:i/>
          <w:sz w:val="24"/>
          <w:szCs w:val="24"/>
        </w:rPr>
        <w:t>Journal of Genetic Engineering and Biotechnology</w:t>
      </w:r>
      <w:r>
        <w:rPr>
          <w:rFonts w:ascii="Times New Roman" w:eastAsia="Times New Roman" w:hAnsi="Times New Roman" w:cs="Times New Roman"/>
          <w:sz w:val="24"/>
          <w:szCs w:val="24"/>
        </w:rPr>
        <w:t xml:space="preserve">, vol. 21, no. 1, pp. 135–135, Dec. 2023,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https://doi.org/10.1186/s43141-023-00613-7.</w:t>
      </w:r>
    </w:p>
    <w:p w14:paraId="5FC2AA17"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Md. Atikur Rahman, Uzma Habiba Heme, and K. Parvez, “In silico functional annotation of hypothetical proteins from the Bacillus </w:t>
      </w:r>
      <w:proofErr w:type="spellStart"/>
      <w:r>
        <w:rPr>
          <w:rFonts w:ascii="Times New Roman" w:eastAsia="Times New Roman" w:hAnsi="Times New Roman" w:cs="Times New Roman"/>
          <w:sz w:val="24"/>
          <w:szCs w:val="24"/>
        </w:rPr>
        <w:t>paralicheniformis</w:t>
      </w:r>
      <w:proofErr w:type="spellEnd"/>
      <w:r>
        <w:rPr>
          <w:rFonts w:ascii="Times New Roman" w:eastAsia="Times New Roman" w:hAnsi="Times New Roman" w:cs="Times New Roman"/>
          <w:sz w:val="24"/>
          <w:szCs w:val="24"/>
        </w:rPr>
        <w:t xml:space="preserve"> strain Bac84 reveals proteins with biotechnological potentials and adaptational functions to extreme environments,” </w:t>
      </w:r>
      <w:proofErr w:type="spellStart"/>
      <w:r>
        <w:rPr>
          <w:rFonts w:ascii="Times New Roman" w:eastAsia="Times New Roman" w:hAnsi="Times New Roman" w:cs="Times New Roman"/>
          <w:i/>
          <w:sz w:val="24"/>
          <w:szCs w:val="24"/>
        </w:rPr>
        <w:t>PloS</w:t>
      </w:r>
      <w:proofErr w:type="spellEnd"/>
      <w:r>
        <w:rPr>
          <w:rFonts w:ascii="Times New Roman" w:eastAsia="Times New Roman" w:hAnsi="Times New Roman" w:cs="Times New Roman"/>
          <w:i/>
          <w:sz w:val="24"/>
          <w:szCs w:val="24"/>
        </w:rPr>
        <w:t xml:space="preserve"> one</w:t>
      </w:r>
      <w:r>
        <w:rPr>
          <w:rFonts w:ascii="Times New Roman" w:eastAsia="Times New Roman" w:hAnsi="Times New Roman" w:cs="Times New Roman"/>
          <w:sz w:val="24"/>
          <w:szCs w:val="24"/>
        </w:rPr>
        <w:t xml:space="preserve">, vol. 17, no. 10, pp. e0276085–e0276085, Oct. 2022,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https://doi.org/10.1371/journal.pone.0276085.</w:t>
      </w:r>
    </w:p>
    <w:p w14:paraId="4A040D12"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A. N. Schuetz, “Antimicrobial Resistance and Susceptibility Testing of Anaerobic Bacteria,” </w:t>
      </w:r>
      <w:r>
        <w:rPr>
          <w:rFonts w:ascii="Times New Roman" w:eastAsia="Times New Roman" w:hAnsi="Times New Roman" w:cs="Times New Roman"/>
          <w:i/>
          <w:sz w:val="24"/>
          <w:szCs w:val="24"/>
        </w:rPr>
        <w:t>Clinical Infectious Diseases</w:t>
      </w:r>
      <w:r>
        <w:rPr>
          <w:rFonts w:ascii="Times New Roman" w:eastAsia="Times New Roman" w:hAnsi="Times New Roman" w:cs="Times New Roman"/>
          <w:sz w:val="24"/>
          <w:szCs w:val="24"/>
        </w:rPr>
        <w:t xml:space="preserve">, vol. 59, no. 5, pp. 698–705, May 2014,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https://doi.org/10.1093/cid/ciu395.</w:t>
      </w:r>
    </w:p>
    <w:p w14:paraId="187647C7"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T. Ramatla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“Prevalence and antimicrobial resistance patterns of Clostridium perfringens from healthy broiler chickens: A potential public health threat,” </w:t>
      </w:r>
      <w:r>
        <w:rPr>
          <w:rFonts w:ascii="Times New Roman" w:eastAsia="Times New Roman" w:hAnsi="Times New Roman" w:cs="Times New Roman"/>
          <w:i/>
          <w:sz w:val="24"/>
          <w:szCs w:val="24"/>
        </w:rPr>
        <w:t>One Health</w:t>
      </w:r>
      <w:r>
        <w:rPr>
          <w:rFonts w:ascii="Times New Roman" w:eastAsia="Times New Roman" w:hAnsi="Times New Roman" w:cs="Times New Roman"/>
          <w:sz w:val="24"/>
          <w:szCs w:val="24"/>
        </w:rPr>
        <w:t xml:space="preserve">, vol. 21, p. 101156, Jul. 2025,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https://doi.org/10.1016/j.onehlt.2025.101156.</w:t>
      </w:r>
    </w:p>
    <w:p w14:paraId="0CAC67C6"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M. Archambault and J. E. Rubin, “Antimicrobial Resistance in Clostridium and </w:t>
      </w:r>
      <w:proofErr w:type="spellStart"/>
      <w:r>
        <w:rPr>
          <w:rFonts w:ascii="Times New Roman" w:eastAsia="Times New Roman" w:hAnsi="Times New Roman" w:cs="Times New Roman"/>
          <w:sz w:val="24"/>
          <w:szCs w:val="24"/>
        </w:rPr>
        <w:t>Brachyspira</w:t>
      </w:r>
      <w:proofErr w:type="spellEnd"/>
      <w:r>
        <w:rPr>
          <w:rFonts w:ascii="Times New Roman" w:eastAsia="Times New Roman" w:hAnsi="Times New Roman" w:cs="Times New Roman"/>
          <w:sz w:val="24"/>
          <w:szCs w:val="24"/>
        </w:rPr>
        <w:t xml:space="preserve"> spp. and Other Anaerobes,” </w:t>
      </w:r>
      <w:r>
        <w:rPr>
          <w:rFonts w:ascii="Times New Roman" w:eastAsia="Times New Roman" w:hAnsi="Times New Roman" w:cs="Times New Roman"/>
          <w:i/>
          <w:sz w:val="24"/>
          <w:szCs w:val="24"/>
        </w:rPr>
        <w:t>Microbiology Spectrum</w:t>
      </w:r>
      <w:r>
        <w:rPr>
          <w:rFonts w:ascii="Times New Roman" w:eastAsia="Times New Roman" w:hAnsi="Times New Roman" w:cs="Times New Roman"/>
          <w:sz w:val="24"/>
          <w:szCs w:val="24"/>
        </w:rPr>
        <w:t xml:space="preserve">, vol. 8, no. 1, Jan. 2020,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https://doi.org/10.1128/microbiolspec.arba-0020-2017.</w:t>
      </w:r>
    </w:p>
    <w:p w14:paraId="4D15DF89"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Z. Yang, J. Hou, M. Mu, and S. Y. Wu, “Subtractive proteomics and systems biology analysis revealed novel drug targets in Mycoplasma </w:t>
      </w:r>
      <w:proofErr w:type="spellStart"/>
      <w:r>
        <w:rPr>
          <w:rFonts w:ascii="Times New Roman" w:eastAsia="Times New Roman" w:hAnsi="Times New Roman" w:cs="Times New Roman"/>
          <w:sz w:val="24"/>
          <w:szCs w:val="24"/>
        </w:rPr>
        <w:t>genitalium</w:t>
      </w:r>
      <w:proofErr w:type="spellEnd"/>
      <w:r>
        <w:rPr>
          <w:rFonts w:ascii="Times New Roman" w:eastAsia="Times New Roman" w:hAnsi="Times New Roman" w:cs="Times New Roman"/>
          <w:sz w:val="24"/>
          <w:szCs w:val="24"/>
        </w:rPr>
        <w:t xml:space="preserve"> strain G37,” </w:t>
      </w:r>
      <w:r>
        <w:rPr>
          <w:rFonts w:ascii="Times New Roman" w:eastAsia="Times New Roman" w:hAnsi="Times New Roman" w:cs="Times New Roman"/>
          <w:i/>
          <w:sz w:val="24"/>
          <w:szCs w:val="24"/>
        </w:rPr>
        <w:t>Microbial Pathogenesis</w:t>
      </w:r>
      <w:r>
        <w:rPr>
          <w:rFonts w:ascii="Times New Roman" w:eastAsia="Times New Roman" w:hAnsi="Times New Roman" w:cs="Times New Roman"/>
          <w:sz w:val="24"/>
          <w:szCs w:val="24"/>
        </w:rPr>
        <w:t xml:space="preserve">, vol. 145, p. 104231, Apr. 2020,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https://doi.org/10.1016/j.micpath.2020.104231.</w:t>
      </w:r>
    </w:p>
    <w:p w14:paraId="5B2D64FB"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Shalini Maurya, Salman Akhtar, Mohammed Haris Siddiqui, and Mohammed Kalim Ahmad Khan, “Subtractive Proteomics for Identification of Drug Targets in Bacterial Pathogens: A Review,” </w:t>
      </w:r>
      <w:r>
        <w:rPr>
          <w:rFonts w:ascii="Times New Roman" w:eastAsia="Times New Roman" w:hAnsi="Times New Roman" w:cs="Times New Roman"/>
          <w:i/>
          <w:sz w:val="24"/>
          <w:szCs w:val="24"/>
        </w:rPr>
        <w:t>International Journal of Engineering Research and</w:t>
      </w:r>
      <w:r>
        <w:rPr>
          <w:rFonts w:ascii="Times New Roman" w:eastAsia="Times New Roman" w:hAnsi="Times New Roman" w:cs="Times New Roman"/>
          <w:sz w:val="24"/>
          <w:szCs w:val="24"/>
        </w:rPr>
        <w:t xml:space="preserve">, vol. V9, no. 01, Jan. 2020,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https://doi.org/10.17577/ijertv9is010169.</w:t>
      </w:r>
    </w:p>
    <w:p w14:paraId="7787E5B2"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N. K. Subramani and S. Venugopal, “Identification of novel drug targets and small molecule discovery for MRSA infections,” </w:t>
      </w:r>
      <w:r>
        <w:rPr>
          <w:rFonts w:ascii="Times New Roman" w:eastAsia="Times New Roman" w:hAnsi="Times New Roman" w:cs="Times New Roman"/>
          <w:i/>
          <w:sz w:val="24"/>
          <w:szCs w:val="24"/>
        </w:rPr>
        <w:t>Frontiers in Bioinformatics</w:t>
      </w:r>
      <w:r>
        <w:rPr>
          <w:rFonts w:ascii="Times New Roman" w:eastAsia="Times New Roman" w:hAnsi="Times New Roman" w:cs="Times New Roman"/>
          <w:sz w:val="24"/>
          <w:szCs w:val="24"/>
        </w:rPr>
        <w:t xml:space="preserve">, vol. 5, Apr. 2025,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https://doi.org/10.3389/fbinf.2025.1562596.</w:t>
      </w:r>
    </w:p>
    <w:p w14:paraId="3383C8D0"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A. Shami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“In Silico Subtractive Proteomics and Molecular Docking Approaches for the Identification of Novel Inhibitors against Streptococcus pneumoniae Strain D39,” </w:t>
      </w:r>
      <w:r>
        <w:rPr>
          <w:rFonts w:ascii="Times New Roman" w:eastAsia="Times New Roman" w:hAnsi="Times New Roman" w:cs="Times New Roman"/>
          <w:i/>
          <w:sz w:val="24"/>
          <w:szCs w:val="24"/>
        </w:rPr>
        <w:t>Life</w:t>
      </w:r>
      <w:r>
        <w:rPr>
          <w:rFonts w:ascii="Times New Roman" w:eastAsia="Times New Roman" w:hAnsi="Times New Roman" w:cs="Times New Roman"/>
          <w:sz w:val="24"/>
          <w:szCs w:val="24"/>
        </w:rPr>
        <w:t xml:space="preserve">, vol. 13, no. 5, p. 1128, May 2023,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https://doi.org/10.3390/life13051128.</w:t>
      </w:r>
    </w:p>
    <w:p w14:paraId="61BBA3CF"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A. Rehman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“In Silico Core Proteomics and Molecular Docking Approaches for the Identification of Novel Inhibitors against Streptococcus pyogenes,” </w:t>
      </w:r>
      <w:r>
        <w:rPr>
          <w:rFonts w:ascii="Times New Roman" w:eastAsia="Times New Roman" w:hAnsi="Times New Roman" w:cs="Times New Roman"/>
          <w:i/>
          <w:sz w:val="24"/>
          <w:szCs w:val="24"/>
        </w:rPr>
        <w:t xml:space="preserve">International Journal of </w:t>
      </w:r>
      <w:r>
        <w:rPr>
          <w:rFonts w:ascii="Times New Roman" w:eastAsia="Times New Roman" w:hAnsi="Times New Roman" w:cs="Times New Roman"/>
          <w:i/>
          <w:sz w:val="24"/>
          <w:szCs w:val="24"/>
        </w:rPr>
        <w:lastRenderedPageBreak/>
        <w:t>Environmental Research and Public Health</w:t>
      </w:r>
      <w:r>
        <w:rPr>
          <w:rFonts w:ascii="Times New Roman" w:eastAsia="Times New Roman" w:hAnsi="Times New Roman" w:cs="Times New Roman"/>
          <w:sz w:val="24"/>
          <w:szCs w:val="24"/>
        </w:rPr>
        <w:t xml:space="preserve">, vol. 18, no. 21, p. 11355, Oct. 2021,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https://doi.org/10.3390/ijerph182111355.</w:t>
      </w:r>
    </w:p>
    <w:p w14:paraId="76882AA4"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P. C. Agu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“Molecular docking as a tool for the discovery of molecular targets of nutraceuticals in diseases management,” </w:t>
      </w:r>
      <w:r>
        <w:rPr>
          <w:rFonts w:ascii="Times New Roman" w:eastAsia="Times New Roman" w:hAnsi="Times New Roman" w:cs="Times New Roman"/>
          <w:i/>
          <w:sz w:val="24"/>
          <w:szCs w:val="24"/>
        </w:rPr>
        <w:t>Scientific Reports</w:t>
      </w:r>
      <w:r>
        <w:rPr>
          <w:rFonts w:ascii="Times New Roman" w:eastAsia="Times New Roman" w:hAnsi="Times New Roman" w:cs="Times New Roman"/>
          <w:sz w:val="24"/>
          <w:szCs w:val="24"/>
        </w:rPr>
        <w:t xml:space="preserve">, vol. 13, no. 1, Aug. 2023,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https://doi.org/10.1038/s41598-023-40160-2.</w:t>
      </w:r>
    </w:p>
    <w:p w14:paraId="60D8CBBD"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B. </w:t>
      </w:r>
      <w:proofErr w:type="spellStart"/>
      <w:r>
        <w:rPr>
          <w:rFonts w:ascii="Times New Roman" w:eastAsia="Times New Roman" w:hAnsi="Times New Roman" w:cs="Times New Roman"/>
          <w:sz w:val="24"/>
          <w:szCs w:val="24"/>
        </w:rPr>
        <w:t>Khameneh</w:t>
      </w:r>
      <w:proofErr w:type="spellEnd"/>
      <w:r>
        <w:rPr>
          <w:rFonts w:ascii="Times New Roman" w:eastAsia="Times New Roman" w:hAnsi="Times New Roman" w:cs="Times New Roman"/>
          <w:sz w:val="24"/>
          <w:szCs w:val="24"/>
        </w:rPr>
        <w:t xml:space="preserve">, N. A. M. Eskin, M. Iranshahy, and B. S. </w:t>
      </w:r>
      <w:proofErr w:type="spellStart"/>
      <w:r>
        <w:rPr>
          <w:rFonts w:ascii="Times New Roman" w:eastAsia="Times New Roman" w:hAnsi="Times New Roman" w:cs="Times New Roman"/>
          <w:sz w:val="24"/>
          <w:szCs w:val="24"/>
        </w:rPr>
        <w:t>Fazly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Bazzaz</w:t>
      </w:r>
      <w:proofErr w:type="spellEnd"/>
      <w:r>
        <w:rPr>
          <w:rFonts w:ascii="Times New Roman" w:eastAsia="Times New Roman" w:hAnsi="Times New Roman" w:cs="Times New Roman"/>
          <w:sz w:val="24"/>
          <w:szCs w:val="24"/>
        </w:rPr>
        <w:t xml:space="preserve">, “Phytochemicals: A Promising Weapon in the Arsenal against Antibiotic-Resistant Bacteria,” </w:t>
      </w:r>
      <w:r>
        <w:rPr>
          <w:rFonts w:ascii="Times New Roman" w:eastAsia="Times New Roman" w:hAnsi="Times New Roman" w:cs="Times New Roman"/>
          <w:i/>
          <w:sz w:val="24"/>
          <w:szCs w:val="24"/>
        </w:rPr>
        <w:t>Antibiotics</w:t>
      </w:r>
      <w:r>
        <w:rPr>
          <w:rFonts w:ascii="Times New Roman" w:eastAsia="Times New Roman" w:hAnsi="Times New Roman" w:cs="Times New Roman"/>
          <w:sz w:val="24"/>
          <w:szCs w:val="24"/>
        </w:rPr>
        <w:t xml:space="preserve">, vol. 10, no. 9, p. 1044, Aug. 2021,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https://doi.org/10.3390/antibiotics10091044.</w:t>
      </w:r>
    </w:p>
    <w:p w14:paraId="780CFCBB"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H. Yang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“In silico prediction of chemical subcellular localization via multi-classification methods,” </w:t>
      </w:r>
      <w:proofErr w:type="spellStart"/>
      <w:r>
        <w:rPr>
          <w:rFonts w:ascii="Times New Roman" w:eastAsia="Times New Roman" w:hAnsi="Times New Roman" w:cs="Times New Roman"/>
          <w:i/>
          <w:sz w:val="24"/>
          <w:szCs w:val="24"/>
        </w:rPr>
        <w:t>MedChemComm</w:t>
      </w:r>
      <w:proofErr w:type="spellEnd"/>
      <w:r>
        <w:rPr>
          <w:rFonts w:ascii="Times New Roman" w:eastAsia="Times New Roman" w:hAnsi="Times New Roman" w:cs="Times New Roman"/>
          <w:sz w:val="24"/>
          <w:szCs w:val="24"/>
        </w:rPr>
        <w:t xml:space="preserve">, vol. 8, no. 6, pp. 1225–1234, 2017,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https://doi.org/10.1039/c7md00074j.</w:t>
      </w:r>
    </w:p>
    <w:p w14:paraId="2548816E"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M. Y. Galperin, “‘Conserved hypothetical’ proteins: prioritization of targets for experimental study,” </w:t>
      </w:r>
      <w:r>
        <w:rPr>
          <w:rFonts w:ascii="Times New Roman" w:eastAsia="Times New Roman" w:hAnsi="Times New Roman" w:cs="Times New Roman"/>
          <w:i/>
          <w:sz w:val="24"/>
          <w:szCs w:val="24"/>
        </w:rPr>
        <w:t>Nucleic Acids Research</w:t>
      </w:r>
      <w:r>
        <w:rPr>
          <w:rFonts w:ascii="Times New Roman" w:eastAsia="Times New Roman" w:hAnsi="Times New Roman" w:cs="Times New Roman"/>
          <w:sz w:val="24"/>
          <w:szCs w:val="24"/>
        </w:rPr>
        <w:t xml:space="preserve">, vol. 32, no. 18, pp. 5452–5463, Oct. 2004,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https://doi.org/10.1093/nar/gkh885.</w:t>
      </w:r>
    </w:p>
    <w:p w14:paraId="699A1739"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Neelam Kushwaha, D. Nandi, and B. Singh, “Subtractive Proteomic Approaches to Identify Drug Targets: An Analysis on Hypothetical Proteins of Multidrug-Resistant </w:t>
      </w:r>
      <w:r>
        <w:rPr>
          <w:rFonts w:ascii="Times New Roman" w:eastAsia="Times New Roman" w:hAnsi="Times New Roman" w:cs="Times New Roman"/>
          <w:i/>
          <w:sz w:val="24"/>
          <w:szCs w:val="24"/>
        </w:rPr>
        <w:t>P. aeruginosa,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ACS Omega</w:t>
      </w:r>
      <w:r>
        <w:rPr>
          <w:rFonts w:ascii="Times New Roman" w:eastAsia="Times New Roman" w:hAnsi="Times New Roman" w:cs="Times New Roman"/>
          <w:sz w:val="24"/>
          <w:szCs w:val="24"/>
        </w:rPr>
        <w:t xml:space="preserve">, Aug. 2025,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https://doi.org/10.1021/acsomega.5c02268.</w:t>
      </w:r>
    </w:p>
    <w:p w14:paraId="5779E3BC"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S. F. Altschul, W. Gish, W. Miller, E. W. Myers, and D. J. Lipman, “Basic local alignment search tool,” </w:t>
      </w:r>
      <w:r>
        <w:rPr>
          <w:rFonts w:ascii="Times New Roman" w:eastAsia="Times New Roman" w:hAnsi="Times New Roman" w:cs="Times New Roman"/>
          <w:i/>
          <w:sz w:val="24"/>
          <w:szCs w:val="24"/>
        </w:rPr>
        <w:t>Journal of Molecular Biology</w:t>
      </w:r>
      <w:r>
        <w:rPr>
          <w:rFonts w:ascii="Times New Roman" w:eastAsia="Times New Roman" w:hAnsi="Times New Roman" w:cs="Times New Roman"/>
          <w:sz w:val="24"/>
          <w:szCs w:val="24"/>
        </w:rPr>
        <w:t xml:space="preserve">, vol. 215, no. 3, pp. 403–410, Oct. 1990,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https://doi.org/10.1016/S0022-2836(05)80360-2.</w:t>
      </w:r>
    </w:p>
    <w:p w14:paraId="7A229110"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D. A. Benson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“GenBank,” </w:t>
      </w:r>
      <w:r>
        <w:rPr>
          <w:rFonts w:ascii="Times New Roman" w:eastAsia="Times New Roman" w:hAnsi="Times New Roman" w:cs="Times New Roman"/>
          <w:i/>
          <w:sz w:val="24"/>
          <w:szCs w:val="24"/>
        </w:rPr>
        <w:t>Nucleic Acids Research</w:t>
      </w:r>
      <w:r>
        <w:rPr>
          <w:rFonts w:ascii="Times New Roman" w:eastAsia="Times New Roman" w:hAnsi="Times New Roman" w:cs="Times New Roman"/>
          <w:sz w:val="24"/>
          <w:szCs w:val="24"/>
        </w:rPr>
        <w:t xml:space="preserve">, vol. 41, no. D1, pp. D36–D42, Nov. 2012,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https://doi.org/10.1093/nar/gks1195.</w:t>
      </w:r>
    </w:p>
    <w:p w14:paraId="1B2416FD"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A. Daina, O. </w:t>
      </w:r>
      <w:proofErr w:type="spellStart"/>
      <w:r>
        <w:rPr>
          <w:rFonts w:ascii="Times New Roman" w:eastAsia="Times New Roman" w:hAnsi="Times New Roman" w:cs="Times New Roman"/>
          <w:sz w:val="24"/>
          <w:szCs w:val="24"/>
        </w:rPr>
        <w:t>Michielin</w:t>
      </w:r>
      <w:proofErr w:type="spellEnd"/>
      <w:r>
        <w:rPr>
          <w:rFonts w:ascii="Times New Roman" w:eastAsia="Times New Roman" w:hAnsi="Times New Roman" w:cs="Times New Roman"/>
          <w:sz w:val="24"/>
          <w:szCs w:val="24"/>
        </w:rPr>
        <w:t xml:space="preserve">, and V. </w:t>
      </w:r>
      <w:proofErr w:type="spellStart"/>
      <w:r>
        <w:rPr>
          <w:rFonts w:ascii="Times New Roman" w:eastAsia="Times New Roman" w:hAnsi="Times New Roman" w:cs="Times New Roman"/>
          <w:sz w:val="24"/>
          <w:szCs w:val="24"/>
        </w:rPr>
        <w:t>Zoete</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SwissADME</w:t>
      </w:r>
      <w:proofErr w:type="spellEnd"/>
      <w:r>
        <w:rPr>
          <w:rFonts w:ascii="Times New Roman" w:eastAsia="Times New Roman" w:hAnsi="Times New Roman" w:cs="Times New Roman"/>
          <w:sz w:val="24"/>
          <w:szCs w:val="24"/>
        </w:rPr>
        <w:t xml:space="preserve">: a Free Web Tool to Evaluate pharmacokinetics, drug-likeness and Medicinal Chemistry Friendliness of Small Molecules,” </w:t>
      </w:r>
      <w:r>
        <w:rPr>
          <w:rFonts w:ascii="Times New Roman" w:eastAsia="Times New Roman" w:hAnsi="Times New Roman" w:cs="Times New Roman"/>
          <w:i/>
          <w:sz w:val="24"/>
          <w:szCs w:val="24"/>
        </w:rPr>
        <w:t>Scientific Reports</w:t>
      </w:r>
      <w:r>
        <w:rPr>
          <w:rFonts w:ascii="Times New Roman" w:eastAsia="Times New Roman" w:hAnsi="Times New Roman" w:cs="Times New Roman"/>
          <w:sz w:val="24"/>
          <w:szCs w:val="24"/>
        </w:rPr>
        <w:t xml:space="preserve">, vol. 7, no. 1, pp. 1–13, Mar. 2017,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https://doi.org/10.1038/srep42717.</w:t>
      </w:r>
    </w:p>
    <w:p w14:paraId="5292AB45"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I. A. </w:t>
      </w:r>
      <w:proofErr w:type="spellStart"/>
      <w:r>
        <w:rPr>
          <w:rFonts w:ascii="Times New Roman" w:eastAsia="Times New Roman" w:hAnsi="Times New Roman" w:cs="Times New Roman"/>
          <w:sz w:val="24"/>
          <w:szCs w:val="24"/>
        </w:rPr>
        <w:t>Doytchinova</w:t>
      </w:r>
      <w:proofErr w:type="spellEnd"/>
      <w:r>
        <w:rPr>
          <w:rFonts w:ascii="Times New Roman" w:eastAsia="Times New Roman" w:hAnsi="Times New Roman" w:cs="Times New Roman"/>
          <w:sz w:val="24"/>
          <w:szCs w:val="24"/>
        </w:rPr>
        <w:t xml:space="preserve"> and D. R. Flower, “</w:t>
      </w:r>
      <w:proofErr w:type="spellStart"/>
      <w:r>
        <w:rPr>
          <w:rFonts w:ascii="Times New Roman" w:eastAsia="Times New Roman" w:hAnsi="Times New Roman" w:cs="Times New Roman"/>
          <w:sz w:val="24"/>
          <w:szCs w:val="24"/>
        </w:rPr>
        <w:t>VaxiJen</w:t>
      </w:r>
      <w:proofErr w:type="spellEnd"/>
      <w:r>
        <w:rPr>
          <w:rFonts w:ascii="Times New Roman" w:eastAsia="Times New Roman" w:hAnsi="Times New Roman" w:cs="Times New Roman"/>
          <w:sz w:val="24"/>
          <w:szCs w:val="24"/>
        </w:rPr>
        <w:t xml:space="preserve">: a server for prediction of protective antigens, </w:t>
      </w:r>
      <w:proofErr w:type="spellStart"/>
      <w:r>
        <w:rPr>
          <w:rFonts w:ascii="Times New Roman" w:eastAsia="Times New Roman" w:hAnsi="Times New Roman" w:cs="Times New Roman"/>
          <w:sz w:val="24"/>
          <w:szCs w:val="24"/>
        </w:rPr>
        <w:t>tumour</w:t>
      </w:r>
      <w:proofErr w:type="spellEnd"/>
      <w:r>
        <w:rPr>
          <w:rFonts w:ascii="Times New Roman" w:eastAsia="Times New Roman" w:hAnsi="Times New Roman" w:cs="Times New Roman"/>
          <w:sz w:val="24"/>
          <w:szCs w:val="24"/>
        </w:rPr>
        <w:t xml:space="preserve"> antigens and subunit vaccines,” </w:t>
      </w:r>
      <w:r>
        <w:rPr>
          <w:rFonts w:ascii="Times New Roman" w:eastAsia="Times New Roman" w:hAnsi="Times New Roman" w:cs="Times New Roman"/>
          <w:i/>
          <w:sz w:val="24"/>
          <w:szCs w:val="24"/>
        </w:rPr>
        <w:t>BMC Bioinformatics</w:t>
      </w:r>
      <w:r>
        <w:rPr>
          <w:rFonts w:ascii="Times New Roman" w:eastAsia="Times New Roman" w:hAnsi="Times New Roman" w:cs="Times New Roman"/>
          <w:sz w:val="24"/>
          <w:szCs w:val="24"/>
        </w:rPr>
        <w:t xml:space="preserve">, vol. 8, no. 1, Jan. 2007,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https://doi.org/10.1186/1471-2105-8-4.</w:t>
      </w:r>
    </w:p>
    <w:p w14:paraId="5FC15B38"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“Dr. Duke’s Phytochemical and Ethnobotanical Databases at NAL,” </w:t>
      </w:r>
      <w:r>
        <w:rPr>
          <w:rFonts w:ascii="Times New Roman" w:eastAsia="Times New Roman" w:hAnsi="Times New Roman" w:cs="Times New Roman"/>
          <w:i/>
          <w:sz w:val="24"/>
          <w:szCs w:val="24"/>
        </w:rPr>
        <w:t>phytochem.nal.usda.gov</w:t>
      </w:r>
      <w:r>
        <w:rPr>
          <w:rFonts w:ascii="Times New Roman" w:eastAsia="Times New Roman" w:hAnsi="Times New Roman" w:cs="Times New Roman"/>
          <w:sz w:val="24"/>
          <w:szCs w:val="24"/>
        </w:rPr>
        <w:t>. https://phytochem.nal.usda.gov/</w:t>
      </w:r>
    </w:p>
    <w:p w14:paraId="17D5556D"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E. Gasteiger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“Protein Identification and Analysis Tools on the </w:t>
      </w:r>
      <w:proofErr w:type="spellStart"/>
      <w:r>
        <w:rPr>
          <w:rFonts w:ascii="Times New Roman" w:eastAsia="Times New Roman" w:hAnsi="Times New Roman" w:cs="Times New Roman"/>
          <w:sz w:val="24"/>
          <w:szCs w:val="24"/>
        </w:rPr>
        <w:t>ExPASy</w:t>
      </w:r>
      <w:proofErr w:type="spellEnd"/>
      <w:r>
        <w:rPr>
          <w:rFonts w:ascii="Times New Roman" w:eastAsia="Times New Roman" w:hAnsi="Times New Roman" w:cs="Times New Roman"/>
          <w:sz w:val="24"/>
          <w:szCs w:val="24"/>
        </w:rPr>
        <w:t xml:space="preserve"> Server,” </w:t>
      </w:r>
      <w:r>
        <w:rPr>
          <w:rFonts w:ascii="Times New Roman" w:eastAsia="Times New Roman" w:hAnsi="Times New Roman" w:cs="Times New Roman"/>
          <w:i/>
          <w:sz w:val="24"/>
          <w:szCs w:val="24"/>
        </w:rPr>
        <w:t>The Proteomics Protocols Handbook</w:t>
      </w:r>
      <w:r>
        <w:rPr>
          <w:rFonts w:ascii="Times New Roman" w:eastAsia="Times New Roman" w:hAnsi="Times New Roman" w:cs="Times New Roman"/>
          <w:sz w:val="24"/>
          <w:szCs w:val="24"/>
        </w:rPr>
        <w:t xml:space="preserve">, pp. 571–607, 2005,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https://doi.org/10.1385/1-59259-890-0:571.</w:t>
      </w:r>
    </w:p>
    <w:p w14:paraId="6E3B0785"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S. Kim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“PubChem 2023 update,” </w:t>
      </w:r>
      <w:r>
        <w:rPr>
          <w:rFonts w:ascii="Times New Roman" w:eastAsia="Times New Roman" w:hAnsi="Times New Roman" w:cs="Times New Roman"/>
          <w:i/>
          <w:sz w:val="24"/>
          <w:szCs w:val="24"/>
        </w:rPr>
        <w:t>Nucleic Acids Research</w:t>
      </w:r>
      <w:r>
        <w:rPr>
          <w:rFonts w:ascii="Times New Roman" w:eastAsia="Times New Roman" w:hAnsi="Times New Roman" w:cs="Times New Roman"/>
          <w:sz w:val="24"/>
          <w:szCs w:val="24"/>
        </w:rPr>
        <w:t xml:space="preserve">, vol. 51, no. D1, Oct. 2022,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https://doi.org/10.1093/nar/gkac956.</w:t>
      </w:r>
    </w:p>
    <w:p w14:paraId="699C59BF"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E. F. Pettersen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“UCSF Chimera--a visualization system for exploratory research and analysis,” </w:t>
      </w:r>
      <w:r>
        <w:rPr>
          <w:rFonts w:ascii="Times New Roman" w:eastAsia="Times New Roman" w:hAnsi="Times New Roman" w:cs="Times New Roman"/>
          <w:i/>
          <w:sz w:val="24"/>
          <w:szCs w:val="24"/>
        </w:rPr>
        <w:t>Journal of Computational Chemistry</w:t>
      </w:r>
      <w:r>
        <w:rPr>
          <w:rFonts w:ascii="Times New Roman" w:eastAsia="Times New Roman" w:hAnsi="Times New Roman" w:cs="Times New Roman"/>
          <w:sz w:val="24"/>
          <w:szCs w:val="24"/>
        </w:rPr>
        <w:t xml:space="preserve">, vol. 25, no. 13, pp. 1605–1612, Oct. 2004,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https://doi.org/10.1002/jcc.20084.</w:t>
      </w:r>
    </w:p>
    <w:p w14:paraId="2E2BEBE6"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[28] O. Trott and A. J. Olson, “</w:t>
      </w:r>
      <w:proofErr w:type="spellStart"/>
      <w:r>
        <w:rPr>
          <w:rFonts w:ascii="Times New Roman" w:eastAsia="Times New Roman" w:hAnsi="Times New Roman" w:cs="Times New Roman"/>
          <w:sz w:val="24"/>
          <w:szCs w:val="24"/>
        </w:rPr>
        <w:t>AutoDock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Vina</w:t>
      </w:r>
      <w:proofErr w:type="spellEnd"/>
      <w:r>
        <w:rPr>
          <w:rFonts w:ascii="Times New Roman" w:eastAsia="Times New Roman" w:hAnsi="Times New Roman" w:cs="Times New Roman"/>
          <w:sz w:val="24"/>
          <w:szCs w:val="24"/>
        </w:rPr>
        <w:t xml:space="preserve">: Improving the Speed and Accuracy of Docking with a New Scoring function, Efficient optimization, and Multithreading,” </w:t>
      </w:r>
      <w:r>
        <w:rPr>
          <w:rFonts w:ascii="Times New Roman" w:eastAsia="Times New Roman" w:hAnsi="Times New Roman" w:cs="Times New Roman"/>
          <w:i/>
          <w:sz w:val="24"/>
          <w:szCs w:val="24"/>
        </w:rPr>
        <w:t>Journal of Computational Chemistry</w:t>
      </w:r>
      <w:r>
        <w:rPr>
          <w:rFonts w:ascii="Times New Roman" w:eastAsia="Times New Roman" w:hAnsi="Times New Roman" w:cs="Times New Roman"/>
          <w:sz w:val="24"/>
          <w:szCs w:val="24"/>
        </w:rPr>
        <w:t xml:space="preserve">, vol. 31, no. 2, 2009,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https://doi.org/10.1002/jcc.21334.</w:t>
      </w:r>
    </w:p>
    <w:p w14:paraId="6605A587"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A. Waterhouse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“SWISS-MODEL: homology modelling of protein structures and complexes,” </w:t>
      </w:r>
      <w:r>
        <w:rPr>
          <w:rFonts w:ascii="Times New Roman" w:eastAsia="Times New Roman" w:hAnsi="Times New Roman" w:cs="Times New Roman"/>
          <w:i/>
          <w:sz w:val="24"/>
          <w:szCs w:val="24"/>
        </w:rPr>
        <w:t>Nucleic Acids Research</w:t>
      </w:r>
      <w:r>
        <w:rPr>
          <w:rFonts w:ascii="Times New Roman" w:eastAsia="Times New Roman" w:hAnsi="Times New Roman" w:cs="Times New Roman"/>
          <w:sz w:val="24"/>
          <w:szCs w:val="24"/>
        </w:rPr>
        <w:t>, vol. 46, no. W1, pp. W296–W303, May 2018, Available: https://academic.oup.com/nar/article/46/W1/W296/5000024</w:t>
      </w:r>
    </w:p>
    <w:p w14:paraId="01AC171F"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C.-S. Yu, C.-J. Lin, and J.-K. Hwang, “Predicting subcellular localization of proteins for Gram-negative bacteria by support vector machines based </w:t>
      </w:r>
      <w:proofErr w:type="spellStart"/>
      <w:r>
        <w:rPr>
          <w:rFonts w:ascii="Times New Roman" w:eastAsia="Times New Roman" w:hAnsi="Times New Roman" w:cs="Times New Roman"/>
          <w:sz w:val="24"/>
          <w:szCs w:val="24"/>
        </w:rPr>
        <w:t>onn</w:t>
      </w:r>
      <w:proofErr w:type="spellEnd"/>
      <w:r>
        <w:rPr>
          <w:rFonts w:ascii="Times New Roman" w:eastAsia="Times New Roman" w:hAnsi="Times New Roman" w:cs="Times New Roman"/>
          <w:sz w:val="24"/>
          <w:szCs w:val="24"/>
        </w:rPr>
        <w:t xml:space="preserve">-peptide compositions,” </w:t>
      </w:r>
      <w:r>
        <w:rPr>
          <w:rFonts w:ascii="Times New Roman" w:eastAsia="Times New Roman" w:hAnsi="Times New Roman" w:cs="Times New Roman"/>
          <w:i/>
          <w:sz w:val="24"/>
          <w:szCs w:val="24"/>
        </w:rPr>
        <w:t>Protein Science</w:t>
      </w:r>
      <w:r>
        <w:rPr>
          <w:rFonts w:ascii="Times New Roman" w:eastAsia="Times New Roman" w:hAnsi="Times New Roman" w:cs="Times New Roman"/>
          <w:sz w:val="24"/>
          <w:szCs w:val="24"/>
        </w:rPr>
        <w:t xml:space="preserve">, vol. 13, no. 5, pp. 1402–1406, May 2004,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https://doi.org/10.1110/ps.03479604.</w:t>
      </w:r>
    </w:p>
    <w:p w14:paraId="41FFA307"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N. Y. Yu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PSORTb</w:t>
      </w:r>
      <w:proofErr w:type="spellEnd"/>
      <w:r>
        <w:rPr>
          <w:rFonts w:ascii="Times New Roman" w:eastAsia="Times New Roman" w:hAnsi="Times New Roman" w:cs="Times New Roman"/>
          <w:sz w:val="24"/>
          <w:szCs w:val="24"/>
        </w:rPr>
        <w:t xml:space="preserve"> 3.0: improved protein subcellular localization prediction with refined localization subcategories and predictive capabilities for all prokaryotes,” </w:t>
      </w:r>
      <w:r>
        <w:rPr>
          <w:rFonts w:ascii="Times New Roman" w:eastAsia="Times New Roman" w:hAnsi="Times New Roman" w:cs="Times New Roman"/>
          <w:i/>
          <w:sz w:val="24"/>
          <w:szCs w:val="24"/>
        </w:rPr>
        <w:t>Bioinformatics</w:t>
      </w:r>
      <w:r>
        <w:rPr>
          <w:rFonts w:ascii="Times New Roman" w:eastAsia="Times New Roman" w:hAnsi="Times New Roman" w:cs="Times New Roman"/>
          <w:sz w:val="24"/>
          <w:szCs w:val="24"/>
        </w:rPr>
        <w:t xml:space="preserve">, vol. 26, no. 13, pp. 1608–1615, May 2010,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https://doi.org/10.1093/bioinformatics/btq249.</w:t>
      </w:r>
      <w:bookmarkEnd w:id="10"/>
      <w:commentRangeEnd w:id="11"/>
      <w:r w:rsidR="002B532D">
        <w:rPr>
          <w:rStyle w:val="CommentReference"/>
        </w:rPr>
        <w:commentReference w:id="11"/>
      </w:r>
    </w:p>
    <w:sectPr w:rsidR="00AC68F5">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Dr. Deepak" w:date="2025-11-12T12:50:00Z" w:initials="DD">
    <w:p w14:paraId="2A83D018" w14:textId="2B8AF506" w:rsidR="009B3A27" w:rsidRDefault="009B3A27">
      <w:pPr>
        <w:pStyle w:val="CommentText"/>
      </w:pPr>
      <w:r>
        <w:rPr>
          <w:rStyle w:val="CommentReference"/>
        </w:rPr>
        <w:annotationRef/>
      </w:r>
      <w:r>
        <w:t>[</w:t>
      </w:r>
      <w:r>
        <w:rPr>
          <w:rFonts w:ascii="Segoe UI Symbol" w:hAnsi="Segoe UI Symbol" w:cs="Segoe UI Symbol"/>
        </w:rPr>
        <w:t>✓</w:t>
      </w:r>
      <w:r>
        <w:t xml:space="preserve"> Strong opening; you may consider specifying “in humans and animals” for broader relevance.]</w:t>
      </w:r>
    </w:p>
  </w:comment>
  <w:comment w:id="1" w:author="Dr. Deepak" w:date="2025-11-12T12:49:00Z" w:initials="DD">
    <w:p w14:paraId="2EEBD35C" w14:textId="0261631F" w:rsidR="001A1AB4" w:rsidRDefault="001A1AB4">
      <w:pPr>
        <w:pStyle w:val="CommentText"/>
      </w:pPr>
      <w:r>
        <w:rPr>
          <w:rStyle w:val="CommentReference"/>
        </w:rPr>
        <w:annotationRef/>
      </w:r>
      <w:r w:rsidRPr="001A1AB4">
        <w:t>These findings strongly support the utility of conserved hypothetical proteins as a rich, untapped source [of] new antimicrobial targets. [→ “of” instead of “for” fits grammatically.]</w:t>
      </w:r>
    </w:p>
  </w:comment>
  <w:comment w:id="2" w:author="Dr. Deepak" w:date="2025-11-12T12:51:00Z" w:initials="DD">
    <w:p w14:paraId="486599B9" w14:textId="5DF2D292" w:rsidR="009B47B6" w:rsidRDefault="009B47B6">
      <w:pPr>
        <w:pStyle w:val="CommentText"/>
      </w:pPr>
      <w:r>
        <w:rPr>
          <w:rStyle w:val="CommentReference"/>
        </w:rPr>
        <w:annotationRef/>
      </w:r>
      <w:r>
        <w:t xml:space="preserve">Arrange alphabetically </w:t>
      </w:r>
    </w:p>
  </w:comment>
  <w:comment w:id="3" w:author="Dr. Deepak" w:date="2025-11-12T12:58:00Z" w:initials="DD">
    <w:p w14:paraId="4855EC6A" w14:textId="25A3E542" w:rsidR="00C916C5" w:rsidRDefault="00C916C5">
      <w:pPr>
        <w:pStyle w:val="CommentText"/>
      </w:pPr>
      <w:r>
        <w:rPr>
          <w:rStyle w:val="CommentReference"/>
        </w:rPr>
        <w:annotationRef/>
      </w:r>
      <w:r w:rsidRPr="00C916C5">
        <w:t>[→ changed comma to semicolon for proper clause separation.]</w:t>
      </w:r>
    </w:p>
  </w:comment>
  <w:comment w:id="5" w:author="Dr. Deepak" w:date="2025-11-12T13:04:00Z" w:initials="DD">
    <w:p w14:paraId="5A998C3B" w14:textId="77777777" w:rsidR="000E15CE" w:rsidRDefault="000E15CE">
      <w:pPr>
        <w:pStyle w:val="CommentText"/>
      </w:pPr>
      <w:r>
        <w:rPr>
          <w:rStyle w:val="CommentReference"/>
        </w:rPr>
        <w:annotationRef/>
      </w:r>
      <w:r>
        <w:t>Justify the line</w:t>
      </w:r>
    </w:p>
    <w:p w14:paraId="4BC29C5B" w14:textId="77777777" w:rsidR="000E15CE" w:rsidRDefault="000E15CE" w:rsidP="000E15CE">
      <w:pPr>
        <w:pStyle w:val="CommentText"/>
      </w:pPr>
      <w:r>
        <w:t>Replace</w:t>
      </w:r>
    </w:p>
    <w:p w14:paraId="03F5339E" w14:textId="77777777" w:rsidR="000E15CE" w:rsidRDefault="000E15CE" w:rsidP="000E15CE">
      <w:pPr>
        <w:pStyle w:val="CommentText"/>
      </w:pPr>
      <w:r>
        <w:t>“A substantial fraction, 1,179 proteins, were initially annotated as hypothetical proteins (HPs), underscoring the gap in functional annotation for this pathogen.”</w:t>
      </w:r>
    </w:p>
    <w:p w14:paraId="70C9DEBB" w14:textId="77777777" w:rsidR="000E15CE" w:rsidRDefault="000E15CE" w:rsidP="000E15CE">
      <w:pPr>
        <w:pStyle w:val="CommentText"/>
      </w:pPr>
    </w:p>
    <w:p w14:paraId="0B729DD4" w14:textId="77777777" w:rsidR="000E15CE" w:rsidRDefault="000E15CE" w:rsidP="000E15CE">
      <w:pPr>
        <w:pStyle w:val="CommentText"/>
      </w:pPr>
      <w:r>
        <w:t>with</w:t>
      </w:r>
    </w:p>
    <w:p w14:paraId="391289EE" w14:textId="471D8516" w:rsidR="000E15CE" w:rsidRDefault="000E15CE" w:rsidP="000E15CE">
      <w:pPr>
        <w:pStyle w:val="CommentText"/>
      </w:pPr>
      <w:r>
        <w:t xml:space="preserve">“Of these, 1,179 proteins were annotated as hypothetical proteins (HPs), highlighting the considerable lack of experimental characterization in the C. </w:t>
      </w:r>
      <w:proofErr w:type="spellStart"/>
      <w:r>
        <w:t>perfringens</w:t>
      </w:r>
      <w:proofErr w:type="spellEnd"/>
      <w:r>
        <w:t xml:space="preserve"> proteome.”</w:t>
      </w:r>
    </w:p>
  </w:comment>
  <w:comment w:id="6" w:author="Dr. Deepak" w:date="2025-11-12T13:07:00Z" w:initials="DD">
    <w:p w14:paraId="30BC8B4E" w14:textId="77777777" w:rsidR="00814946" w:rsidRDefault="00814946" w:rsidP="00814946">
      <w:pPr>
        <w:pStyle w:val="NormalWeb"/>
      </w:pPr>
      <w:r>
        <w:rPr>
          <w:rStyle w:val="CommentReference"/>
        </w:rPr>
        <w:annotationRef/>
      </w:r>
      <w:r>
        <w:t>Replace</w:t>
      </w:r>
      <w:r>
        <w:br/>
      </w:r>
      <w:r>
        <w:rPr>
          <w:rStyle w:val="Strong"/>
        </w:rPr>
        <w:t>“Based on the Instability Index (II) threshold, 390 proteins were retained, exhibiting predicted physiochemical stability required for persistence and drug binding under physiological conditions.”</w:t>
      </w:r>
    </w:p>
    <w:p w14:paraId="4C390A26" w14:textId="77777777" w:rsidR="00814946" w:rsidRDefault="00814946" w:rsidP="00814946">
      <w:pPr>
        <w:pStyle w:val="NormalWeb"/>
      </w:pPr>
      <w:r>
        <w:t>with</w:t>
      </w:r>
      <w:r>
        <w:br/>
      </w:r>
      <w:r>
        <w:rPr>
          <w:rStyle w:val="Strong"/>
        </w:rPr>
        <w:t>“Based on the Instability Index (II) threshold, 390 proteins were retained, exhibiting predicted physicochemical stability suitable for persistence and effective drug binding under physiological conditions.”</w:t>
      </w:r>
    </w:p>
    <w:p w14:paraId="389E60EC" w14:textId="17EAF7FA" w:rsidR="00814946" w:rsidRDefault="00C6147E">
      <w:pPr>
        <w:pStyle w:val="CommentText"/>
      </w:pPr>
      <w:r w:rsidRPr="00C6147E">
        <w:t>The correction ensures scientific accuracy</w:t>
      </w:r>
      <w:proofErr w:type="gramStart"/>
      <w:r w:rsidRPr="00C6147E">
        <w:t>—“</w:t>
      </w:r>
      <w:proofErr w:type="gramEnd"/>
      <w:r w:rsidRPr="00C6147E">
        <w:t>physicochemical” is the proper term for describing combined physical and chemical properties, unlike “physiochemical,” which is incorrect in biochemical contexts.</w:t>
      </w:r>
    </w:p>
  </w:comment>
  <w:comment w:id="7" w:author="Dr. Deepak" w:date="2025-11-12T13:10:00Z" w:initials="DD">
    <w:p w14:paraId="7C49DFC9" w14:textId="77777777" w:rsidR="00EC2FC8" w:rsidRDefault="00EC2FC8" w:rsidP="00EC2FC8">
      <w:pPr>
        <w:pStyle w:val="CommentText"/>
      </w:pPr>
      <w:r>
        <w:rPr>
          <w:rStyle w:val="CommentReference"/>
        </w:rPr>
        <w:annotationRef/>
      </w:r>
      <w:r>
        <w:t>Correction:</w:t>
      </w:r>
    </w:p>
    <w:p w14:paraId="391B1CFA" w14:textId="77777777" w:rsidR="00EC2FC8" w:rsidRDefault="00EC2FC8" w:rsidP="00EC2FC8">
      <w:pPr>
        <w:pStyle w:val="CommentText"/>
      </w:pPr>
      <w:r>
        <w:t xml:space="preserve">Replace </w:t>
      </w:r>
      <w:proofErr w:type="gramStart"/>
      <w:r>
        <w:t>“( in</w:t>
      </w:r>
      <w:proofErr w:type="gramEnd"/>
      <w:r>
        <w:t xml:space="preserve"> kcal/</w:t>
      </w:r>
      <w:proofErr w:type="spellStart"/>
      <w:r>
        <w:t>mol</w:t>
      </w:r>
      <w:proofErr w:type="spellEnd"/>
      <w:r>
        <w:t>)” with “(in kcal/</w:t>
      </w:r>
      <w:proofErr w:type="spellStart"/>
      <w:r>
        <w:t>mol</w:t>
      </w:r>
      <w:proofErr w:type="spellEnd"/>
      <w:r>
        <w:t>)” — remove the extra space inside the parentheses.</w:t>
      </w:r>
    </w:p>
    <w:p w14:paraId="60337F81" w14:textId="77777777" w:rsidR="00EC2FC8" w:rsidRDefault="00EC2FC8" w:rsidP="00EC2FC8">
      <w:pPr>
        <w:pStyle w:val="CommentText"/>
      </w:pPr>
    </w:p>
    <w:p w14:paraId="32AF6C27" w14:textId="77777777" w:rsidR="00EC2FC8" w:rsidRDefault="00EC2FC8" w:rsidP="00EC2FC8">
      <w:pPr>
        <w:pStyle w:val="CommentText"/>
      </w:pPr>
      <w:r>
        <w:t>Justification:</w:t>
      </w:r>
    </w:p>
    <w:p w14:paraId="5103C282" w14:textId="0ED4EA6A" w:rsidR="00EC2FC8" w:rsidRDefault="00EC2FC8" w:rsidP="00EC2FC8">
      <w:pPr>
        <w:pStyle w:val="CommentText"/>
      </w:pPr>
      <w:r>
        <w:t>Corrects a minor typographical error to maintain professional formatting and readability in scientific writing.</w:t>
      </w:r>
    </w:p>
  </w:comment>
  <w:comment w:id="8" w:author="Dr. Deepak" w:date="2025-11-12T13:12:00Z" w:initials="DD">
    <w:p w14:paraId="74BB743C" w14:textId="77777777" w:rsidR="00A24C1B" w:rsidRDefault="00A24C1B" w:rsidP="00A24C1B">
      <w:pPr>
        <w:pStyle w:val="CommentText"/>
      </w:pPr>
      <w:r>
        <w:rPr>
          <w:rStyle w:val="CommentReference"/>
        </w:rPr>
        <w:annotationRef/>
      </w:r>
      <w:r>
        <w:t>Correction:</w:t>
      </w:r>
    </w:p>
    <w:p w14:paraId="56671F00" w14:textId="77777777" w:rsidR="00A24C1B" w:rsidRDefault="00A24C1B" w:rsidP="00A24C1B">
      <w:pPr>
        <w:pStyle w:val="CommentText"/>
      </w:pPr>
      <w:r>
        <w:t>Replace</w:t>
      </w:r>
    </w:p>
    <w:p w14:paraId="4D1D30EB" w14:textId="77777777" w:rsidR="00A24C1B" w:rsidRDefault="00A24C1B" w:rsidP="00A24C1B">
      <w:pPr>
        <w:pStyle w:val="CommentText"/>
      </w:pPr>
    </w:p>
    <w:p w14:paraId="73EA931D" w14:textId="77777777" w:rsidR="00A24C1B" w:rsidRDefault="00A24C1B" w:rsidP="00A24C1B">
      <w:pPr>
        <w:pStyle w:val="CommentText"/>
      </w:pPr>
      <w:r>
        <w:t>“the bacteria may lose its fundamental ability to sustain itself or produce toxins”</w:t>
      </w:r>
    </w:p>
    <w:p w14:paraId="091AC762" w14:textId="77777777" w:rsidR="00A24C1B" w:rsidRDefault="00A24C1B" w:rsidP="00A24C1B">
      <w:pPr>
        <w:pStyle w:val="CommentText"/>
      </w:pPr>
    </w:p>
    <w:p w14:paraId="635FBA37" w14:textId="77777777" w:rsidR="00A24C1B" w:rsidRDefault="00A24C1B" w:rsidP="00A24C1B">
      <w:pPr>
        <w:pStyle w:val="CommentText"/>
      </w:pPr>
      <w:r>
        <w:t>with</w:t>
      </w:r>
    </w:p>
    <w:p w14:paraId="6A77B1FC" w14:textId="77777777" w:rsidR="00A24C1B" w:rsidRDefault="00A24C1B" w:rsidP="00A24C1B">
      <w:pPr>
        <w:pStyle w:val="CommentText"/>
      </w:pPr>
    </w:p>
    <w:p w14:paraId="0CF400DE" w14:textId="77777777" w:rsidR="00A24C1B" w:rsidRDefault="00A24C1B" w:rsidP="00A24C1B">
      <w:pPr>
        <w:pStyle w:val="CommentText"/>
      </w:pPr>
      <w:r>
        <w:t>“the bacterium may lose its fundamental ability to sustain itself or produce toxins”</w:t>
      </w:r>
    </w:p>
    <w:p w14:paraId="07D202D8" w14:textId="77777777" w:rsidR="00A24C1B" w:rsidRDefault="00A24C1B" w:rsidP="00A24C1B">
      <w:pPr>
        <w:pStyle w:val="CommentText"/>
      </w:pPr>
    </w:p>
    <w:p w14:paraId="1EC3C2CE" w14:textId="77777777" w:rsidR="00A24C1B" w:rsidRDefault="00A24C1B" w:rsidP="00A24C1B">
      <w:pPr>
        <w:pStyle w:val="CommentText"/>
      </w:pPr>
      <w:r>
        <w:t>Justification:</w:t>
      </w:r>
    </w:p>
    <w:p w14:paraId="42F39025" w14:textId="5715245D" w:rsidR="00A24C1B" w:rsidRDefault="00A24C1B" w:rsidP="00A24C1B">
      <w:pPr>
        <w:pStyle w:val="CommentText"/>
      </w:pPr>
      <w:r>
        <w:t xml:space="preserve">“Clostridium </w:t>
      </w:r>
      <w:proofErr w:type="spellStart"/>
      <w:r>
        <w:t>perfringens</w:t>
      </w:r>
      <w:proofErr w:type="spellEnd"/>
      <w:r>
        <w:t>” is singular, so the correct singular form “bacterium” must be used instead of the plural “bacteria” to maintain scientific and grammatical accuracy.</w:t>
      </w:r>
    </w:p>
  </w:comment>
  <w:comment w:id="9" w:author="Dr. Deepak" w:date="2025-11-12T13:14:00Z" w:initials="DD">
    <w:p w14:paraId="3F1DD030" w14:textId="77777777" w:rsidR="0097061B" w:rsidRDefault="0097061B" w:rsidP="0097061B">
      <w:pPr>
        <w:pStyle w:val="CommentText"/>
      </w:pPr>
      <w:r>
        <w:rPr>
          <w:rStyle w:val="CommentReference"/>
        </w:rPr>
        <w:annotationRef/>
      </w:r>
      <w:r>
        <w:t>Correction:</w:t>
      </w:r>
    </w:p>
    <w:p w14:paraId="75C88EE9" w14:textId="77777777" w:rsidR="0097061B" w:rsidRDefault="0097061B" w:rsidP="0097061B">
      <w:pPr>
        <w:pStyle w:val="CommentText"/>
      </w:pPr>
      <w:r>
        <w:t>Replace</w:t>
      </w:r>
    </w:p>
    <w:p w14:paraId="2A1F79CE" w14:textId="77777777" w:rsidR="0097061B" w:rsidRDefault="0097061B" w:rsidP="0097061B">
      <w:pPr>
        <w:pStyle w:val="CommentText"/>
      </w:pPr>
    </w:p>
    <w:p w14:paraId="1490A2BD" w14:textId="77777777" w:rsidR="0097061B" w:rsidRDefault="0097061B" w:rsidP="0097061B">
      <w:pPr>
        <w:pStyle w:val="CommentText"/>
      </w:pPr>
      <w:r>
        <w:t xml:space="preserve">“exhibited favorable binding </w:t>
      </w:r>
      <w:proofErr w:type="spellStart"/>
      <w:r>
        <w:t>affinitie</w:t>
      </w:r>
      <w:proofErr w:type="spellEnd"/>
      <w:r>
        <w:t xml:space="preserve"> for these 22 targets”</w:t>
      </w:r>
    </w:p>
    <w:p w14:paraId="0BBFEA68" w14:textId="77777777" w:rsidR="0097061B" w:rsidRDefault="0097061B" w:rsidP="0097061B">
      <w:pPr>
        <w:pStyle w:val="CommentText"/>
      </w:pPr>
      <w:r>
        <w:t>with</w:t>
      </w:r>
    </w:p>
    <w:p w14:paraId="5C903EAB" w14:textId="77777777" w:rsidR="0097061B" w:rsidRDefault="0097061B" w:rsidP="0097061B">
      <w:pPr>
        <w:pStyle w:val="CommentText"/>
      </w:pPr>
      <w:r>
        <w:t>“exhibited favorable binding affinities for these 22 targets”</w:t>
      </w:r>
    </w:p>
    <w:p w14:paraId="24C10A61" w14:textId="77777777" w:rsidR="0097061B" w:rsidRDefault="0097061B" w:rsidP="0097061B">
      <w:pPr>
        <w:pStyle w:val="CommentText"/>
      </w:pPr>
    </w:p>
    <w:p w14:paraId="1CB7E011" w14:textId="77777777" w:rsidR="0097061B" w:rsidRDefault="0097061B" w:rsidP="0097061B">
      <w:pPr>
        <w:pStyle w:val="CommentText"/>
      </w:pPr>
      <w:r>
        <w:t>Scientific Justification:</w:t>
      </w:r>
    </w:p>
    <w:p w14:paraId="1D13252D" w14:textId="551BA1D3" w:rsidR="0097061B" w:rsidRDefault="0097061B" w:rsidP="0097061B">
      <w:pPr>
        <w:pStyle w:val="CommentText"/>
      </w:pPr>
      <w:r>
        <w:t>The plural form “affinities” is grammatically and scientifically correct because multiple ligand–protein interactions were analyzed. Each ligand–target pair has its own binding affinity value, so the plural accurately reflects distinct interaction measurements.</w:t>
      </w:r>
    </w:p>
  </w:comment>
  <w:comment w:id="11" w:author="Dr. Deepak" w:date="2025-11-12T13:18:00Z" w:initials="DD">
    <w:p w14:paraId="2E263E18" w14:textId="77777777" w:rsidR="002B532D" w:rsidRDefault="002B532D" w:rsidP="002B532D">
      <w:pPr>
        <w:pStyle w:val="CommentText"/>
      </w:pPr>
      <w:r>
        <w:rPr>
          <w:rStyle w:val="CommentReference"/>
        </w:rPr>
        <w:annotationRef/>
      </w:r>
      <w:r>
        <w:rPr>
          <w:rFonts w:ascii="Segoe UI Symbol" w:hAnsi="Segoe UI Symbol" w:cs="Segoe UI Symbol"/>
        </w:rPr>
        <w:t>✅</w:t>
      </w:r>
      <w:r>
        <w:t xml:space="preserve"> Formatting consistency:</w:t>
      </w:r>
    </w:p>
    <w:p w14:paraId="0C28E022" w14:textId="77777777" w:rsidR="002B532D" w:rsidRDefault="002B532D" w:rsidP="002B532D">
      <w:pPr>
        <w:pStyle w:val="CommentText"/>
      </w:pPr>
      <w:r>
        <w:t>Ensure uniform spacing and punctuation — e.g., “vol.”, “no.”, “pp.”, “</w:t>
      </w:r>
      <w:proofErr w:type="spellStart"/>
      <w:r>
        <w:t>doi</w:t>
      </w:r>
      <w:proofErr w:type="spellEnd"/>
      <w:r>
        <w:t>:” should be consistently formatted throughout.</w:t>
      </w:r>
    </w:p>
    <w:p w14:paraId="172B41C9" w14:textId="77777777" w:rsidR="002B532D" w:rsidRDefault="002B532D" w:rsidP="002B532D">
      <w:pPr>
        <w:pStyle w:val="CommentText"/>
      </w:pPr>
      <w:r>
        <w:t>(Example: Replace “pp. e0276085–e0276085” with “pp. e0276085.”)</w:t>
      </w:r>
    </w:p>
    <w:p w14:paraId="71876FCB" w14:textId="77777777" w:rsidR="002B532D" w:rsidRDefault="002B532D" w:rsidP="002B532D">
      <w:pPr>
        <w:pStyle w:val="CommentText"/>
      </w:pPr>
    </w:p>
    <w:p w14:paraId="73D8AC4A" w14:textId="77777777" w:rsidR="002B532D" w:rsidRDefault="002B532D" w:rsidP="002B532D">
      <w:pPr>
        <w:pStyle w:val="CommentText"/>
      </w:pPr>
      <w:r>
        <w:rPr>
          <w:rFonts w:ascii="Segoe UI Symbol" w:hAnsi="Segoe UI Symbol" w:cs="Segoe UI Symbol"/>
        </w:rPr>
        <w:t>✅</w:t>
      </w:r>
      <w:r>
        <w:t xml:space="preserve"> Check latest access/update details for databases and web tools:</w:t>
      </w:r>
    </w:p>
    <w:p w14:paraId="5A56824D" w14:textId="77777777" w:rsidR="002B532D" w:rsidRDefault="002B532D" w:rsidP="002B532D">
      <w:pPr>
        <w:pStyle w:val="CommentText"/>
      </w:pPr>
      <w:r>
        <w:t>References like [24] (Dr. Duke’s Database) and [26] (PubChem 2023 update) should include “Accessed on [date]” if required by journal guidelines.</w:t>
      </w:r>
    </w:p>
    <w:p w14:paraId="43D1A1B5" w14:textId="77777777" w:rsidR="002B532D" w:rsidRDefault="002B532D" w:rsidP="002B532D">
      <w:pPr>
        <w:pStyle w:val="CommentText"/>
      </w:pPr>
    </w:p>
    <w:p w14:paraId="5C357F82" w14:textId="77777777" w:rsidR="002B532D" w:rsidRDefault="002B532D" w:rsidP="002B532D">
      <w:pPr>
        <w:pStyle w:val="CommentText"/>
      </w:pPr>
      <w:r>
        <w:rPr>
          <w:rFonts w:ascii="Segoe UI Symbol" w:hAnsi="Segoe UI Symbol" w:cs="Segoe UI Symbol"/>
        </w:rPr>
        <w:t>✅</w:t>
      </w:r>
      <w:r>
        <w:t xml:space="preserve"> Journal style alignment:</w:t>
      </w:r>
    </w:p>
    <w:p w14:paraId="1DFA0E10" w14:textId="0B698781" w:rsidR="002B532D" w:rsidRDefault="002B532D" w:rsidP="002B532D">
      <w:pPr>
        <w:pStyle w:val="CommentText"/>
      </w:pPr>
      <w:r>
        <w:t>Cross-check your format with the target journal’s reference style (e.g., APA, Vancouver, or Elsevier’s Harvard). Currently, it’s closest to Elsevier–Harvard, but ensure the DOI and author formatting align perfectly</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A83D018" w15:done="0"/>
  <w15:commentEx w15:paraId="2EEBD35C" w15:done="0"/>
  <w15:commentEx w15:paraId="486599B9" w15:done="0"/>
  <w15:commentEx w15:paraId="4855EC6A" w15:done="0"/>
  <w15:commentEx w15:paraId="391289EE" w15:done="0"/>
  <w15:commentEx w15:paraId="389E60EC" w15:done="0"/>
  <w15:commentEx w15:paraId="5103C282" w15:done="0"/>
  <w15:commentEx w15:paraId="42F39025" w15:done="0"/>
  <w15:commentEx w15:paraId="1D13252D" w15:done="0"/>
  <w15:commentEx w15:paraId="1DFA0E1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1D68D9" w14:textId="77777777" w:rsidR="00047234" w:rsidRDefault="00047234" w:rsidP="00504D7C">
      <w:pPr>
        <w:spacing w:line="240" w:lineRule="auto"/>
      </w:pPr>
      <w:r>
        <w:separator/>
      </w:r>
    </w:p>
  </w:endnote>
  <w:endnote w:type="continuationSeparator" w:id="0">
    <w:p w14:paraId="461B55A1" w14:textId="77777777" w:rsidR="00047234" w:rsidRDefault="00047234" w:rsidP="00504D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1AB92C79-6AB2-4181-9366-71A6E5BBE8E0}"/>
  </w:font>
  <w:font w:name="Segoe UI Symbol">
    <w:panose1 w:val="020B0502040204020203"/>
    <w:charset w:val="00"/>
    <w:family w:val="swiss"/>
    <w:pitch w:val="variable"/>
    <w:sig w:usb0="800001E3" w:usb1="1200FFEF" w:usb2="00040000" w:usb3="00000000" w:csb0="00000001" w:csb1="00000000"/>
    <w:embedRegular r:id="rId2" w:fontKey="{A3A24CBF-7CBF-4587-8764-9CE2B0A8B06D}"/>
  </w:font>
  <w:font w:name="Cardo">
    <w:charset w:val="00"/>
    <w:family w:val="auto"/>
    <w:pitch w:val="default"/>
    <w:embedRegular r:id="rId3" w:fontKey="{6F6EAD8F-CF7F-4376-BA3E-72F76AF96F94}"/>
    <w:embedItalic r:id="rId4" w:fontKey="{0B9BAAA4-247A-49A3-AAFD-7E8E6636AD31}"/>
  </w:font>
  <w:font w:name="Calibri">
    <w:panose1 w:val="020F0502020204030204"/>
    <w:charset w:val="00"/>
    <w:family w:val="swiss"/>
    <w:pitch w:val="variable"/>
    <w:sig w:usb0="E4002EFF" w:usb1="C200247B" w:usb2="00000009" w:usb3="00000000" w:csb0="000001FF" w:csb1="00000000"/>
    <w:embedRegular r:id="rId5" w:fontKey="{5B596700-6B71-497F-B5DE-AE9B9565E17C}"/>
  </w:font>
  <w:font w:name="Mangal">
    <w:panose1 w:val="00000400000000000000"/>
    <w:charset w:val="00"/>
    <w:family w:val="roman"/>
    <w:pitch w:val="variable"/>
    <w:sig w:usb0="00008003" w:usb1="00000000" w:usb2="00000000" w:usb3="00000000" w:csb0="00000001" w:csb1="00000000"/>
    <w:embedRegular r:id="rId6" w:fontKey="{281FF031-4835-4CB4-A6F6-93F82DF0B8E4}"/>
  </w:font>
  <w:font w:name="Cambria">
    <w:panose1 w:val="02040503050406030204"/>
    <w:charset w:val="00"/>
    <w:family w:val="roman"/>
    <w:pitch w:val="variable"/>
    <w:sig w:usb0="E00006FF" w:usb1="420024FF" w:usb2="02000000" w:usb3="00000000" w:csb0="0000019F" w:csb1="00000000"/>
    <w:embedRegular r:id="rId7" w:fontKey="{A63FD109-1CBD-4BF0-BBDE-F93F551CA13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AEC78" w14:textId="77777777" w:rsidR="00504D7C" w:rsidRDefault="00504D7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EC8E2" w14:textId="77777777" w:rsidR="00504D7C" w:rsidRDefault="00504D7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A2BA0" w14:textId="77777777" w:rsidR="00504D7C" w:rsidRDefault="00504D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C16BF5" w14:textId="77777777" w:rsidR="00047234" w:rsidRDefault="00047234" w:rsidP="00504D7C">
      <w:pPr>
        <w:spacing w:line="240" w:lineRule="auto"/>
      </w:pPr>
      <w:r>
        <w:separator/>
      </w:r>
    </w:p>
  </w:footnote>
  <w:footnote w:type="continuationSeparator" w:id="0">
    <w:p w14:paraId="394756BA" w14:textId="77777777" w:rsidR="00047234" w:rsidRDefault="00047234" w:rsidP="00504D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722AA" w14:textId="42EE241C" w:rsidR="00504D7C" w:rsidRDefault="00047234">
    <w:pPr>
      <w:pStyle w:val="Header"/>
    </w:pPr>
    <w:r>
      <w:rPr>
        <w:noProof/>
      </w:rPr>
      <w:pict w14:anchorId="33E067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43700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D5E63" w14:textId="6AAAA2CD" w:rsidR="00504D7C" w:rsidRDefault="00047234">
    <w:pPr>
      <w:pStyle w:val="Header"/>
    </w:pPr>
    <w:r>
      <w:rPr>
        <w:noProof/>
      </w:rPr>
      <w:pict w14:anchorId="06B862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43700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2AE65" w14:textId="398FDCDD" w:rsidR="00504D7C" w:rsidRDefault="00047234">
    <w:pPr>
      <w:pStyle w:val="Header"/>
    </w:pPr>
    <w:r>
      <w:rPr>
        <w:noProof/>
      </w:rPr>
      <w:pict w14:anchorId="4DAE7A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43700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r. Deepak">
    <w15:presenceInfo w15:providerId="Windows Live" w15:userId="4455a8c3fe81cc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8F5"/>
    <w:rsid w:val="0002345A"/>
    <w:rsid w:val="00047234"/>
    <w:rsid w:val="000E15CE"/>
    <w:rsid w:val="001A1AB4"/>
    <w:rsid w:val="002B532D"/>
    <w:rsid w:val="00475B7A"/>
    <w:rsid w:val="00504D7C"/>
    <w:rsid w:val="00740E03"/>
    <w:rsid w:val="00814946"/>
    <w:rsid w:val="00836AF3"/>
    <w:rsid w:val="0097061B"/>
    <w:rsid w:val="009B3A27"/>
    <w:rsid w:val="009B47B6"/>
    <w:rsid w:val="00A24C1B"/>
    <w:rsid w:val="00AC68F5"/>
    <w:rsid w:val="00AC6CF4"/>
    <w:rsid w:val="00AC7802"/>
    <w:rsid w:val="00BF649C"/>
    <w:rsid w:val="00C6147E"/>
    <w:rsid w:val="00C916C5"/>
    <w:rsid w:val="00CC330A"/>
    <w:rsid w:val="00EC2FC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D5098B"/>
  <w15:docId w15:val="{A15D840A-9F68-4310-96CB-3D8041907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5B0859"/>
    <w:rPr>
      <w:color w:val="0000FF" w:themeColor="hyperlink"/>
      <w:u w:val="single"/>
    </w:rPr>
  </w:style>
  <w:style w:type="character" w:customStyle="1" w:styleId="UnresolvedMention">
    <w:name w:val="Unresolved Mention"/>
    <w:basedOn w:val="DefaultParagraphFont"/>
    <w:uiPriority w:val="99"/>
    <w:semiHidden/>
    <w:unhideWhenUsed/>
    <w:rsid w:val="005B0859"/>
    <w:rPr>
      <w:color w:val="605E5C"/>
      <w:shd w:val="clear" w:color="auto" w:fill="E1DFDD"/>
    </w:rPr>
  </w:style>
  <w:style w:type="paragraph" w:styleId="Caption">
    <w:name w:val="caption"/>
    <w:basedOn w:val="Normal"/>
    <w:next w:val="Normal"/>
    <w:uiPriority w:val="35"/>
    <w:unhideWhenUsed/>
    <w:qFormat/>
    <w:rsid w:val="00000481"/>
    <w:pPr>
      <w:spacing w:after="200" w:line="240" w:lineRule="auto"/>
    </w:pPr>
    <w:rPr>
      <w:i/>
      <w:iCs/>
      <w:color w:val="1F497D" w:themeColor="text2"/>
      <w:sz w:val="18"/>
      <w:szCs w:val="18"/>
    </w:rPr>
  </w:style>
  <w:style w:type="paragraph" w:styleId="NormalWeb">
    <w:name w:val="Normal (Web)"/>
    <w:basedOn w:val="Normal"/>
    <w:uiPriority w:val="99"/>
    <w:semiHidden/>
    <w:unhideWhenUsed/>
    <w:rsid w:val="00000481"/>
    <w:pPr>
      <w:spacing w:before="100" w:beforeAutospacing="1" w:after="100" w:afterAutospacing="1" w:line="240" w:lineRule="auto"/>
    </w:pPr>
    <w:rPr>
      <w:rFonts w:ascii="Times New Roman" w:eastAsia="Times New Roman" w:hAnsi="Times New Roman" w:cs="Times New Roman"/>
      <w:sz w:val="24"/>
      <w:szCs w:val="24"/>
      <w:lang w:val="en-IN"/>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504D7C"/>
    <w:pPr>
      <w:tabs>
        <w:tab w:val="center" w:pos="4680"/>
        <w:tab w:val="right" w:pos="9360"/>
      </w:tabs>
      <w:spacing w:line="240" w:lineRule="auto"/>
    </w:pPr>
  </w:style>
  <w:style w:type="character" w:customStyle="1" w:styleId="HeaderChar">
    <w:name w:val="Header Char"/>
    <w:basedOn w:val="DefaultParagraphFont"/>
    <w:link w:val="Header"/>
    <w:uiPriority w:val="99"/>
    <w:rsid w:val="00504D7C"/>
  </w:style>
  <w:style w:type="paragraph" w:styleId="Footer">
    <w:name w:val="footer"/>
    <w:basedOn w:val="Normal"/>
    <w:link w:val="FooterChar"/>
    <w:uiPriority w:val="99"/>
    <w:unhideWhenUsed/>
    <w:rsid w:val="00504D7C"/>
    <w:pPr>
      <w:tabs>
        <w:tab w:val="center" w:pos="4680"/>
        <w:tab w:val="right" w:pos="9360"/>
      </w:tabs>
      <w:spacing w:line="240" w:lineRule="auto"/>
    </w:pPr>
  </w:style>
  <w:style w:type="character" w:customStyle="1" w:styleId="FooterChar">
    <w:name w:val="Footer Char"/>
    <w:basedOn w:val="DefaultParagraphFont"/>
    <w:link w:val="Footer"/>
    <w:uiPriority w:val="99"/>
    <w:rsid w:val="00504D7C"/>
  </w:style>
  <w:style w:type="paragraph" w:styleId="CommentSubject">
    <w:name w:val="annotation subject"/>
    <w:basedOn w:val="CommentText"/>
    <w:next w:val="CommentText"/>
    <w:link w:val="CommentSubjectChar"/>
    <w:uiPriority w:val="99"/>
    <w:semiHidden/>
    <w:unhideWhenUsed/>
    <w:rsid w:val="001A1AB4"/>
    <w:rPr>
      <w:b/>
      <w:bCs/>
    </w:rPr>
  </w:style>
  <w:style w:type="character" w:customStyle="1" w:styleId="CommentSubjectChar">
    <w:name w:val="Comment Subject Char"/>
    <w:basedOn w:val="CommentTextChar"/>
    <w:link w:val="CommentSubject"/>
    <w:uiPriority w:val="99"/>
    <w:semiHidden/>
    <w:rsid w:val="001A1AB4"/>
    <w:rPr>
      <w:b/>
      <w:bCs/>
      <w:sz w:val="20"/>
      <w:szCs w:val="20"/>
    </w:rPr>
  </w:style>
  <w:style w:type="paragraph" w:styleId="BalloonText">
    <w:name w:val="Balloon Text"/>
    <w:basedOn w:val="Normal"/>
    <w:link w:val="BalloonTextChar"/>
    <w:uiPriority w:val="99"/>
    <w:semiHidden/>
    <w:unhideWhenUsed/>
    <w:rsid w:val="001A1AB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AB4"/>
    <w:rPr>
      <w:rFonts w:ascii="Segoe UI" w:hAnsi="Segoe UI" w:cs="Segoe UI"/>
      <w:sz w:val="18"/>
      <w:szCs w:val="18"/>
    </w:rPr>
  </w:style>
  <w:style w:type="character" w:styleId="Strong">
    <w:name w:val="Strong"/>
    <w:basedOn w:val="DefaultParagraphFont"/>
    <w:uiPriority w:val="22"/>
    <w:qFormat/>
    <w:rsid w:val="008149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2299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swissmodel.expasy.org/" TargetMode="External"/><Relationship Id="rId18" Type="http://schemas.openxmlformats.org/officeDocument/2006/relationships/image" Target="media/image1.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hyperlink" Target="https://blast.ncbi.nlm.nih.gov/Blast.cgi" TargetMode="External"/><Relationship Id="rId17" Type="http://schemas.openxmlformats.org/officeDocument/2006/relationships/hyperlink" Target="https://www.cgl.ucsf.edu/chimer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wissadme.ch/"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ddg-pharmfac.net/vaxijen/"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pubchem.ncbi.nlm.nih.gov/" TargetMode="External"/><Relationship Id="rId23" Type="http://schemas.openxmlformats.org/officeDocument/2006/relationships/header" Target="header3.xml"/><Relationship Id="rId10" Type="http://schemas.openxmlformats.org/officeDocument/2006/relationships/hyperlink" Target="https://web.expasy.org/protpara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cbi.nlm.nih.gov/genbank/" TargetMode="External"/><Relationship Id="rId14" Type="http://schemas.openxmlformats.org/officeDocument/2006/relationships/hyperlink" Target="https://phytochem.nal.usda.gov/" TargetMode="External"/><Relationship Id="rId22" Type="http://schemas.openxmlformats.org/officeDocument/2006/relationships/footer" Target="footer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86mWafeNOhFnImTWYNlTF3ZaUA==">CgMxLjAaIwoBMBIeChwIB0IYCg9UaW1lcyBOZXcgUm9tYW4SBUNhcmRvMg1oLjNtd2w0cTFwYW0yOAByITFobldWY2tCZjBublpSVm9YTzQzYmUwaXlGeWlUenFDag==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14</Pages>
  <Words>4508</Words>
  <Characters>25698</Characters>
  <Application>Microsoft Office Word</Application>
  <DocSecurity>0</DocSecurity>
  <Lines>214</Lines>
  <Paragraphs>60</Paragraphs>
  <ScaleCrop>false</ScaleCrop>
  <Company/>
  <LinksUpToDate>false</LinksUpToDate>
  <CharactersWithSpaces>30146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VIKAS</dc:creator>
  <cp:lastModifiedBy>Dr. Deepak</cp:lastModifiedBy>
  <cp:revision>25</cp:revision>
  <dcterms:created xsi:type="dcterms:W3CDTF">2025-10-07T02:07:00Z</dcterms:created>
  <dcterms:modified xsi:type="dcterms:W3CDTF">2025-11-12T07:49:00Z</dcterms:modified>
</cp:coreProperties>
</file>