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A3F77" w14:textId="77777777" w:rsidR="002C4ADA" w:rsidRDefault="002C4ADA">
      <w:pPr>
        <w:pStyle w:val="Default"/>
        <w:rPr>
          <w:sz w:val="2"/>
        </w:rPr>
      </w:pPr>
    </w:p>
    <w:p w14:paraId="4F016629" w14:textId="77777777" w:rsidR="002C4ADA" w:rsidRDefault="00C467A7">
      <w:pPr>
        <w:spacing w:after="0" w:line="360" w:lineRule="auto"/>
        <w:jc w:val="center"/>
        <w:rPr>
          <w:rFonts w:ascii="Times New Roman" w:hAnsi="Times New Roman" w:cs="Times New Roman"/>
          <w:b/>
          <w:bCs/>
          <w:color w:val="000000"/>
          <w:sz w:val="24"/>
          <w:szCs w:val="24"/>
        </w:rPr>
      </w:pPr>
      <w:r>
        <w:rPr>
          <w:rFonts w:ascii="Times New Roman" w:hAnsi="Times New Roman" w:cs="Times New Roman"/>
          <w:b/>
          <w:sz w:val="24"/>
        </w:rPr>
        <w:t xml:space="preserve">Assessment of Culture media on </w:t>
      </w:r>
      <w:proofErr w:type="spellStart"/>
      <w:r>
        <w:rPr>
          <w:rFonts w:ascii="Times New Roman" w:hAnsi="Times New Roman" w:cs="Times New Roman"/>
          <w:b/>
          <w:bCs/>
          <w:i/>
          <w:color w:val="000000"/>
          <w:sz w:val="24"/>
          <w:szCs w:val="24"/>
        </w:rPr>
        <w:t>Alternaria</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i/>
          <w:color w:val="000000"/>
          <w:sz w:val="24"/>
          <w:szCs w:val="24"/>
        </w:rPr>
        <w:t>alternata</w:t>
      </w:r>
      <w:proofErr w:type="spellEnd"/>
      <w:r>
        <w:rPr>
          <w:rFonts w:ascii="Times New Roman" w:hAnsi="Times New Roman" w:cs="Times New Roman"/>
          <w:b/>
          <w:bCs/>
          <w:color w:val="000000"/>
          <w:sz w:val="24"/>
          <w:szCs w:val="24"/>
        </w:rPr>
        <w:t xml:space="preserve"> (Fr.) </w:t>
      </w:r>
      <w:proofErr w:type="spellStart"/>
      <w:r>
        <w:rPr>
          <w:rFonts w:ascii="Times New Roman" w:hAnsi="Times New Roman" w:cs="Times New Roman"/>
          <w:b/>
          <w:bCs/>
          <w:color w:val="000000"/>
          <w:sz w:val="24"/>
          <w:szCs w:val="24"/>
        </w:rPr>
        <w:t>Keissler</w:t>
      </w:r>
      <w:proofErr w:type="spellEnd"/>
      <w:r>
        <w:rPr>
          <w:rFonts w:ascii="Times New Roman" w:hAnsi="Times New Roman" w:cs="Times New Roman"/>
          <w:b/>
          <w:bCs/>
          <w:color w:val="000000"/>
          <w:sz w:val="24"/>
          <w:szCs w:val="24"/>
        </w:rPr>
        <w:t xml:space="preserve">) </w:t>
      </w:r>
      <w:commentRangeStart w:id="0"/>
      <w:r>
        <w:rPr>
          <w:rFonts w:ascii="Times New Roman" w:hAnsi="Times New Roman" w:cs="Times New Roman"/>
          <w:b/>
          <w:sz w:val="24"/>
        </w:rPr>
        <w:t>for</w:t>
      </w:r>
      <w:commentRangeEnd w:id="0"/>
      <w:r w:rsidR="000C3747">
        <w:rPr>
          <w:rStyle w:val="CommentReference"/>
        </w:rPr>
        <w:commentReference w:id="0"/>
      </w:r>
      <w:r>
        <w:rPr>
          <w:rFonts w:ascii="Times New Roman" w:hAnsi="Times New Roman" w:cs="Times New Roman"/>
          <w:b/>
          <w:sz w:val="24"/>
        </w:rPr>
        <w:t xml:space="preserve"> Most Suitable Mycelia Growth Under </w:t>
      </w:r>
      <w:r>
        <w:rPr>
          <w:rFonts w:ascii="Times New Roman" w:hAnsi="Times New Roman" w:cs="Times New Roman"/>
          <w:b/>
          <w:i/>
          <w:sz w:val="24"/>
        </w:rPr>
        <w:t>In-vitro</w:t>
      </w:r>
      <w:r>
        <w:rPr>
          <w:rFonts w:ascii="Times New Roman" w:hAnsi="Times New Roman" w:cs="Times New Roman"/>
          <w:b/>
          <w:sz w:val="24"/>
        </w:rPr>
        <w:t xml:space="preserve"> Conditions</w:t>
      </w:r>
    </w:p>
    <w:p w14:paraId="59FD2E6D" w14:textId="77777777" w:rsidR="00F85E62" w:rsidRDefault="00F85E62">
      <w:pPr>
        <w:spacing w:after="0" w:line="360" w:lineRule="auto"/>
        <w:rPr>
          <w:rFonts w:ascii="Times New Roman" w:hAnsi="Times New Roman" w:cs="Times New Roman"/>
          <w:b/>
          <w:bCs/>
          <w:color w:val="000000"/>
          <w:sz w:val="24"/>
          <w:szCs w:val="24"/>
        </w:rPr>
      </w:pPr>
    </w:p>
    <w:p w14:paraId="30247AF5" w14:textId="77E652A3" w:rsidR="002C4ADA" w:rsidRDefault="00C467A7">
      <w:pPr>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p>
    <w:p w14:paraId="201AE277" w14:textId="66B2FC38" w:rsidR="005A315F" w:rsidRPr="00766B37" w:rsidRDefault="005A315F" w:rsidP="005A315F">
      <w:pPr>
        <w:spacing w:after="0" w:line="360" w:lineRule="auto"/>
        <w:ind w:firstLine="720"/>
        <w:jc w:val="both"/>
        <w:rPr>
          <w:rFonts w:ascii="Times New Roman" w:hAnsi="Times New Roman" w:cs="Times New Roman"/>
          <w:sz w:val="24"/>
        </w:rPr>
      </w:pPr>
      <w:r w:rsidRPr="00766B37">
        <w:rPr>
          <w:rFonts w:ascii="Times New Roman" w:hAnsi="Times New Roman" w:cs="Times New Roman"/>
          <w:sz w:val="24"/>
        </w:rPr>
        <w:t>Brinjal (</w:t>
      </w:r>
      <w:r w:rsidRPr="00766B37">
        <w:rPr>
          <w:rFonts w:ascii="Times New Roman" w:hAnsi="Times New Roman" w:cs="Times New Roman"/>
          <w:i/>
          <w:iCs/>
          <w:sz w:val="24"/>
        </w:rPr>
        <w:t>Solanum melongena</w:t>
      </w:r>
      <w:r w:rsidRPr="00766B37">
        <w:rPr>
          <w:rFonts w:ascii="Times New Roman" w:hAnsi="Times New Roman" w:cs="Times New Roman"/>
          <w:sz w:val="24"/>
        </w:rPr>
        <w:t xml:space="preserve"> L.), also referred to as eggplant, </w:t>
      </w:r>
      <w:r w:rsidR="000C3747" w:rsidRPr="00766B37">
        <w:rPr>
          <w:rFonts w:ascii="Times New Roman" w:hAnsi="Times New Roman" w:cs="Times New Roman"/>
          <w:sz w:val="24"/>
        </w:rPr>
        <w:t>aborigine</w:t>
      </w:r>
      <w:r>
        <w:rPr>
          <w:rFonts w:ascii="Times New Roman" w:hAnsi="Times New Roman" w:cs="Times New Roman"/>
          <w:sz w:val="24"/>
        </w:rPr>
        <w:t xml:space="preserve"> </w:t>
      </w:r>
      <w:r w:rsidRPr="00766B37">
        <w:rPr>
          <w:rFonts w:ascii="Times New Roman" w:hAnsi="Times New Roman" w:cs="Times New Roman"/>
          <w:sz w:val="24"/>
        </w:rPr>
        <w:t xml:space="preserve">or garden egg, is a globally important vegetable crop, with India ranking among the top producers. Its cultivation is often hindered by foliar diseases, particularly leaf spot caused by </w:t>
      </w:r>
      <w:proofErr w:type="spellStart"/>
      <w:r w:rsidRPr="00766B37">
        <w:rPr>
          <w:rFonts w:ascii="Times New Roman" w:hAnsi="Times New Roman" w:cs="Times New Roman"/>
          <w:i/>
          <w:iCs/>
          <w:sz w:val="24"/>
        </w:rPr>
        <w:t>Alternaria</w:t>
      </w:r>
      <w:proofErr w:type="spellEnd"/>
      <w:r w:rsidRPr="00766B37">
        <w:rPr>
          <w:rFonts w:ascii="Times New Roman" w:hAnsi="Times New Roman" w:cs="Times New Roman"/>
          <w:i/>
          <w:iCs/>
          <w:sz w:val="24"/>
        </w:rPr>
        <w:t xml:space="preserve">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which can result in significant yield losses. Effective management of this disease requires understanding the growth and sporulation behavior of the pathogen under different nutritional conditions.</w:t>
      </w:r>
      <w:r>
        <w:rPr>
          <w:rFonts w:ascii="Times New Roman" w:hAnsi="Times New Roman" w:cs="Times New Roman"/>
          <w:sz w:val="24"/>
        </w:rPr>
        <w:t xml:space="preserve"> </w:t>
      </w:r>
      <w:r w:rsidRPr="00766B37">
        <w:rPr>
          <w:rFonts w:ascii="Times New Roman" w:hAnsi="Times New Roman" w:cs="Times New Roman"/>
          <w:sz w:val="24"/>
        </w:rPr>
        <w:t xml:space="preserve">The present study evaluated the effect of fourteen solid culture media, including natural, semi-synthetic and synthetic types, on the mycelial growth and sporulation of </w:t>
      </w:r>
      <w:r w:rsidRPr="00766B37">
        <w:rPr>
          <w:rFonts w:ascii="Times New Roman" w:hAnsi="Times New Roman" w:cs="Times New Roman"/>
          <w:i/>
          <w:iCs/>
          <w:sz w:val="24"/>
        </w:rPr>
        <w:t xml:space="preserve">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xml:space="preserve"> isolated from infected brinjal leaves. Observations on radial growth, colony morphology and sporulation were recorded under controlled laboratory conditions. The results demonstrated significant differences among the media in supporting fungal development. Potato Dextrose Agar (PDA) supported the maximum radial growth (86.67 mm), followed by Richard Agar (79.67 mm), Asthana and Hawkers medium (74.33 mm) and Oat Meal Agar (71.67 mm), whereas the lowest growth (41.00 mm) was observed on Brinjal Leaf Agar.</w:t>
      </w:r>
      <w:r>
        <w:rPr>
          <w:rFonts w:ascii="Times New Roman" w:hAnsi="Times New Roman" w:cs="Times New Roman"/>
          <w:sz w:val="24"/>
        </w:rPr>
        <w:t xml:space="preserve"> </w:t>
      </w:r>
      <w:r w:rsidRPr="00766B37">
        <w:rPr>
          <w:rFonts w:ascii="Times New Roman" w:hAnsi="Times New Roman" w:cs="Times New Roman"/>
          <w:sz w:val="24"/>
        </w:rPr>
        <w:t xml:space="preserve">Colony characteristics varied with media with </w:t>
      </w:r>
      <w:proofErr w:type="spellStart"/>
      <w:r w:rsidRPr="00766B37">
        <w:rPr>
          <w:rFonts w:ascii="Times New Roman" w:hAnsi="Times New Roman" w:cs="Times New Roman"/>
          <w:sz w:val="24"/>
        </w:rPr>
        <w:t>colours</w:t>
      </w:r>
      <w:proofErr w:type="spellEnd"/>
      <w:r w:rsidRPr="00766B37">
        <w:rPr>
          <w:rFonts w:ascii="Times New Roman" w:hAnsi="Times New Roman" w:cs="Times New Roman"/>
          <w:sz w:val="24"/>
        </w:rPr>
        <w:t xml:space="preserve"> ranging from grayish-white to black and textures classified as smooth, compact, or fluffy. Sporulation also differed significantly; PDA, Oat Meal Agar, Richard Agar and Asthana and Hawkers medium exhibited excellent (++++) sporulation, while Brinjal Leaf Agar and Coon’s Agar showed poor (+) sporulation. These variations are likely due to differences in nutrient composition and the type of carbon sources available in each medium.</w:t>
      </w:r>
      <w:r w:rsidR="00D02799">
        <w:rPr>
          <w:rFonts w:ascii="Times New Roman" w:hAnsi="Times New Roman" w:cs="Times New Roman"/>
          <w:sz w:val="24"/>
        </w:rPr>
        <w:t xml:space="preserve"> </w:t>
      </w:r>
      <w:r w:rsidRPr="00766B37">
        <w:rPr>
          <w:rFonts w:ascii="Times New Roman" w:hAnsi="Times New Roman" w:cs="Times New Roman"/>
          <w:sz w:val="24"/>
        </w:rPr>
        <w:t xml:space="preserve">PDA proved to be the most suitable medium for </w:t>
      </w:r>
      <w:r w:rsidRPr="00766B37">
        <w:rPr>
          <w:rFonts w:ascii="Times New Roman" w:hAnsi="Times New Roman" w:cs="Times New Roman"/>
          <w:i/>
          <w:iCs/>
          <w:sz w:val="24"/>
        </w:rPr>
        <w:t>in vitro</w:t>
      </w:r>
      <w:r w:rsidRPr="00766B37">
        <w:rPr>
          <w:rFonts w:ascii="Times New Roman" w:hAnsi="Times New Roman" w:cs="Times New Roman"/>
          <w:sz w:val="24"/>
        </w:rPr>
        <w:t xml:space="preserve"> growth and sporulation of </w:t>
      </w:r>
      <w:r w:rsidRPr="00766B37">
        <w:rPr>
          <w:rFonts w:ascii="Times New Roman" w:hAnsi="Times New Roman" w:cs="Times New Roman"/>
          <w:i/>
          <w:iCs/>
          <w:sz w:val="24"/>
        </w:rPr>
        <w:t xml:space="preserve">A. </w:t>
      </w:r>
      <w:proofErr w:type="spellStart"/>
      <w:r w:rsidRPr="00766B37">
        <w:rPr>
          <w:rFonts w:ascii="Times New Roman" w:hAnsi="Times New Roman" w:cs="Times New Roman"/>
          <w:i/>
          <w:iCs/>
          <w:sz w:val="24"/>
        </w:rPr>
        <w:t>alternata</w:t>
      </w:r>
      <w:proofErr w:type="spellEnd"/>
      <w:r w:rsidRPr="00766B37">
        <w:rPr>
          <w:rFonts w:ascii="Times New Roman" w:hAnsi="Times New Roman" w:cs="Times New Roman"/>
          <w:sz w:val="24"/>
        </w:rPr>
        <w:t>, providing a reliable substrate for further studies on its pathogenicity and biology.</w:t>
      </w:r>
    </w:p>
    <w:p w14:paraId="426EA1A8" w14:textId="77777777" w:rsidR="005A315F" w:rsidRDefault="005A315F" w:rsidP="005A315F">
      <w:pPr>
        <w:spacing w:after="0" w:line="360" w:lineRule="auto"/>
        <w:ind w:firstLine="720"/>
        <w:jc w:val="both"/>
        <w:rPr>
          <w:rFonts w:ascii="Times New Roman" w:hAnsi="Times New Roman" w:cs="Times New Roman"/>
          <w:sz w:val="2"/>
        </w:rPr>
      </w:pPr>
    </w:p>
    <w:p w14:paraId="293C8D3D" w14:textId="7761AB09" w:rsidR="005A315F" w:rsidRDefault="005A315F" w:rsidP="005A315F">
      <w:pPr>
        <w:autoSpaceDE w:val="0"/>
        <w:autoSpaceDN w:val="0"/>
        <w:adjustRightInd w:val="0"/>
        <w:spacing w:after="0" w:line="360" w:lineRule="auto"/>
        <w:jc w:val="both"/>
        <w:rPr>
          <w:rFonts w:ascii="Times New Roman" w:eastAsia="CIDFont+F4" w:hAnsi="Times New Roman" w:cs="Times New Roman"/>
          <w:sz w:val="24"/>
          <w:szCs w:val="24"/>
        </w:rPr>
      </w:pPr>
      <w:r>
        <w:rPr>
          <w:rFonts w:ascii="Times New Roman" w:eastAsia="CIDFont+F4" w:hAnsi="Times New Roman" w:cs="Times New Roman"/>
          <w:b/>
          <w:sz w:val="24"/>
          <w:szCs w:val="24"/>
        </w:rPr>
        <w:t>Key words</w:t>
      </w:r>
      <w:r>
        <w:rPr>
          <w:rFonts w:ascii="Times New Roman" w:eastAsia="CIDFont+F4" w:hAnsi="Times New Roman" w:cs="Times New Roman"/>
          <w:sz w:val="24"/>
          <w:szCs w:val="24"/>
        </w:rPr>
        <w:t xml:space="preserve">: </w:t>
      </w:r>
      <w:r>
        <w:rPr>
          <w:rFonts w:ascii="Times New Roman" w:hAnsi="Times New Roman" w:cs="Times New Roman"/>
          <w:sz w:val="24"/>
          <w:szCs w:val="24"/>
        </w:rPr>
        <w:t xml:space="preserve">Brinjal, </w:t>
      </w:r>
      <w:r>
        <w:rPr>
          <w:rFonts w:ascii="Times New Roman" w:hAnsi="Times New Roman" w:cs="Times New Roman"/>
          <w:bCs/>
          <w:color w:val="000000"/>
          <w:sz w:val="24"/>
          <w:szCs w:val="24"/>
        </w:rPr>
        <w:t>Alternaria blight</w:t>
      </w:r>
      <w:r>
        <w:rPr>
          <w:rFonts w:ascii="Times New Roman" w:hAnsi="Times New Roman" w:cs="Times New Roman"/>
          <w:b/>
          <w:bCs/>
          <w:color w:val="000000"/>
          <w:sz w:val="24"/>
          <w:szCs w:val="24"/>
        </w:rPr>
        <w:t xml:space="preserve">, </w:t>
      </w:r>
      <w:r>
        <w:rPr>
          <w:rFonts w:ascii="Times New Roman" w:hAnsi="Times New Roman" w:cs="Times New Roman"/>
          <w:i/>
          <w:iCs/>
          <w:sz w:val="24"/>
          <w:szCs w:val="24"/>
        </w:rPr>
        <w:t xml:space="preserve">A. </w:t>
      </w:r>
      <w:proofErr w:type="spellStart"/>
      <w:r>
        <w:rPr>
          <w:rFonts w:ascii="Times New Roman" w:hAnsi="Times New Roman" w:cs="Times New Roman"/>
          <w:i/>
          <w:iCs/>
          <w:sz w:val="24"/>
          <w:szCs w:val="24"/>
        </w:rPr>
        <w:t>alternata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Culture media</w:t>
      </w:r>
      <w:r w:rsidR="00D02799">
        <w:rPr>
          <w:rFonts w:ascii="Times New Roman" w:hAnsi="Times New Roman" w:cs="Times New Roman"/>
          <w:iCs/>
          <w:sz w:val="24"/>
          <w:szCs w:val="24"/>
        </w:rPr>
        <w:t>.</w:t>
      </w:r>
      <w:r>
        <w:rPr>
          <w:rFonts w:ascii="Times New Roman" w:hAnsi="Times New Roman" w:cs="Times New Roman"/>
          <w:iCs/>
          <w:sz w:val="24"/>
          <w:szCs w:val="24"/>
        </w:rPr>
        <w:t xml:space="preserve"> </w:t>
      </w:r>
    </w:p>
    <w:p w14:paraId="604F8A7B" w14:textId="77777777" w:rsidR="002C4ADA" w:rsidRDefault="00C467A7">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Introduction</w:t>
      </w:r>
    </w:p>
    <w:p w14:paraId="48E60D7F" w14:textId="64A0ADB2" w:rsidR="005A315F" w:rsidRPr="00CE0E85" w:rsidRDefault="005A315F" w:rsidP="005A315F">
      <w:pPr>
        <w:autoSpaceDE w:val="0"/>
        <w:autoSpaceDN w:val="0"/>
        <w:adjustRightInd w:val="0"/>
        <w:spacing w:after="0" w:line="360" w:lineRule="auto"/>
        <w:ind w:firstLine="630"/>
        <w:jc w:val="both"/>
        <w:rPr>
          <w:rFonts w:ascii="Times New Roman" w:hAnsi="Times New Roman" w:cs="Times New Roman"/>
          <w:sz w:val="24"/>
          <w:szCs w:val="23"/>
        </w:rPr>
      </w:pPr>
      <w:r w:rsidRPr="00CE0E85">
        <w:rPr>
          <w:rFonts w:ascii="Times New Roman" w:hAnsi="Times New Roman" w:cs="Times New Roman"/>
          <w:sz w:val="24"/>
          <w:szCs w:val="23"/>
        </w:rPr>
        <w:t>Brinjal (</w:t>
      </w:r>
      <w:r w:rsidRPr="00CE0E85">
        <w:rPr>
          <w:rFonts w:ascii="Times New Roman" w:hAnsi="Times New Roman" w:cs="Times New Roman"/>
          <w:i/>
          <w:iCs/>
          <w:sz w:val="24"/>
          <w:szCs w:val="23"/>
        </w:rPr>
        <w:t>Solanum melongena</w:t>
      </w:r>
      <w:r w:rsidRPr="00CE0E85">
        <w:rPr>
          <w:rFonts w:ascii="Times New Roman" w:hAnsi="Times New Roman" w:cs="Times New Roman"/>
          <w:sz w:val="24"/>
          <w:szCs w:val="23"/>
        </w:rPr>
        <w:t xml:space="preserve"> L.), </w:t>
      </w:r>
      <w:commentRangeStart w:id="1"/>
      <w:r w:rsidRPr="00CE0E85">
        <w:rPr>
          <w:rFonts w:ascii="Times New Roman" w:hAnsi="Times New Roman" w:cs="Times New Roman"/>
          <w:sz w:val="24"/>
          <w:szCs w:val="23"/>
        </w:rPr>
        <w:t xml:space="preserve">commonly referred to as eggplant, </w:t>
      </w:r>
      <w:proofErr w:type="spellStart"/>
      <w:r w:rsidRPr="00CE0E85">
        <w:rPr>
          <w:rFonts w:ascii="Times New Roman" w:hAnsi="Times New Roman" w:cs="Times New Roman"/>
          <w:sz w:val="24"/>
          <w:szCs w:val="23"/>
        </w:rPr>
        <w:t>aubergine</w:t>
      </w:r>
      <w:proofErr w:type="spellEnd"/>
      <w:r w:rsidRPr="00CE0E85">
        <w:rPr>
          <w:rFonts w:ascii="Times New Roman" w:hAnsi="Times New Roman" w:cs="Times New Roman"/>
          <w:sz w:val="24"/>
          <w:szCs w:val="23"/>
        </w:rPr>
        <w:t xml:space="preserve"> or garden egg,</w:t>
      </w:r>
      <w:commentRangeEnd w:id="1"/>
      <w:r w:rsidR="000C3747">
        <w:rPr>
          <w:rStyle w:val="CommentReference"/>
        </w:rPr>
        <w:commentReference w:id="1"/>
      </w:r>
      <w:r w:rsidRPr="00CE0E85">
        <w:rPr>
          <w:rFonts w:ascii="Times New Roman" w:hAnsi="Times New Roman" w:cs="Times New Roman"/>
          <w:sz w:val="24"/>
          <w:szCs w:val="23"/>
        </w:rPr>
        <w:t xml:space="preserve"> is a prominent vegetable crop belonging to the family </w:t>
      </w:r>
      <w:r w:rsidRPr="00CE0E85">
        <w:rPr>
          <w:rFonts w:ascii="Times New Roman" w:hAnsi="Times New Roman" w:cs="Times New Roman"/>
          <w:i/>
          <w:iCs/>
          <w:sz w:val="24"/>
          <w:szCs w:val="23"/>
        </w:rPr>
        <w:t>Solanaceae</w:t>
      </w:r>
      <w:r w:rsidRPr="00CE0E85">
        <w:rPr>
          <w:rFonts w:ascii="Times New Roman" w:hAnsi="Times New Roman" w:cs="Times New Roman"/>
          <w:sz w:val="24"/>
          <w:szCs w:val="23"/>
        </w:rPr>
        <w:t xml:space="preserve"> and is cultivated extensively across the globe. In India, it ranks among the most widely grown vegetable crops, thriving throughout the country except at higher altitudes. Major brinjal-producing nations include China, India, Bangladesh, Pakistan and the Philippines. Owing to its wide culinary applications and economic importance, it is often termed the “king of vegetables” (Choudhary and Gaur, 2009; Singh </w:t>
      </w:r>
      <w:r w:rsidRPr="00CE0E85">
        <w:rPr>
          <w:rFonts w:ascii="Times New Roman" w:hAnsi="Times New Roman" w:cs="Times New Roman"/>
          <w:i/>
          <w:iCs/>
          <w:sz w:val="24"/>
          <w:szCs w:val="23"/>
        </w:rPr>
        <w:t>et al.,</w:t>
      </w:r>
      <w:r w:rsidRPr="00CE0E85">
        <w:rPr>
          <w:rFonts w:ascii="Times New Roman" w:hAnsi="Times New Roman" w:cs="Times New Roman"/>
          <w:sz w:val="24"/>
          <w:szCs w:val="23"/>
        </w:rPr>
        <w:t xml:space="preserve"> 2014). India is recognized as the primary </w:t>
      </w:r>
      <w:r w:rsidR="000B142B" w:rsidRPr="00CE0E85">
        <w:rPr>
          <w:rFonts w:ascii="Times New Roman" w:hAnsi="Times New Roman" w:cs="Times New Roman"/>
          <w:sz w:val="24"/>
          <w:szCs w:val="23"/>
        </w:rPr>
        <w:t>center</w:t>
      </w:r>
      <w:r w:rsidRPr="00CE0E85">
        <w:rPr>
          <w:rFonts w:ascii="Times New Roman" w:hAnsi="Times New Roman" w:cs="Times New Roman"/>
          <w:sz w:val="24"/>
          <w:szCs w:val="23"/>
        </w:rPr>
        <w:t xml:space="preserve"> of origin of </w:t>
      </w:r>
      <w:r w:rsidRPr="00CE0E85">
        <w:rPr>
          <w:rFonts w:ascii="Times New Roman" w:hAnsi="Times New Roman" w:cs="Times New Roman"/>
          <w:sz w:val="24"/>
          <w:szCs w:val="23"/>
        </w:rPr>
        <w:lastRenderedPageBreak/>
        <w:t xml:space="preserve">cultivated brinjal, from where it disseminated to various parts of the world (Choudhary and Kalda, 1968). The leading brinjal-producing states in India include Odisha, Bihar, Punjab, West Bengal, Karnataka, Maharashtra, Andhra Pradesh and Uttar Pradesh. Globally, the crop occupies approximately 2.67 million hectares, with an estimated production of 93.21 million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and an average productivity of 34.91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per hectare (Anon, 2024). In India, brinjal is cultivated over an area of about 0.73 million hectares, producing 12.78 million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with an average yield of 17.36 </w:t>
      </w:r>
      <w:proofErr w:type="spellStart"/>
      <w:r w:rsidRPr="00CE0E85">
        <w:rPr>
          <w:rFonts w:ascii="Times New Roman" w:hAnsi="Times New Roman" w:cs="Times New Roman"/>
          <w:sz w:val="24"/>
          <w:szCs w:val="23"/>
        </w:rPr>
        <w:t>tonnes</w:t>
      </w:r>
      <w:proofErr w:type="spellEnd"/>
      <w:r w:rsidRPr="00CE0E85">
        <w:rPr>
          <w:rFonts w:ascii="Times New Roman" w:hAnsi="Times New Roman" w:cs="Times New Roman"/>
          <w:sz w:val="24"/>
          <w:szCs w:val="23"/>
        </w:rPr>
        <w:t xml:space="preserve"> per hectare (Anon, 2024).</w:t>
      </w:r>
    </w:p>
    <w:p w14:paraId="3CA092CF" w14:textId="77777777" w:rsidR="005A315F" w:rsidRPr="00CE0E85" w:rsidRDefault="005A315F" w:rsidP="005A315F">
      <w:pPr>
        <w:autoSpaceDE w:val="0"/>
        <w:autoSpaceDN w:val="0"/>
        <w:adjustRightInd w:val="0"/>
        <w:spacing w:after="0" w:line="360" w:lineRule="auto"/>
        <w:ind w:firstLine="630"/>
        <w:jc w:val="both"/>
        <w:rPr>
          <w:rFonts w:ascii="Times New Roman" w:hAnsi="Times New Roman" w:cs="Times New Roman"/>
          <w:sz w:val="24"/>
          <w:szCs w:val="23"/>
        </w:rPr>
      </w:pPr>
      <w:r w:rsidRPr="00CE0E85">
        <w:rPr>
          <w:rFonts w:ascii="Times New Roman" w:hAnsi="Times New Roman" w:cs="Times New Roman"/>
          <w:sz w:val="24"/>
          <w:szCs w:val="23"/>
        </w:rPr>
        <w:t xml:space="preserve">Among the various diseases affecting brinjal, early blight caused by </w:t>
      </w:r>
      <w:commentRangeStart w:id="2"/>
      <w:proofErr w:type="spellStart"/>
      <w:r w:rsidRPr="00CE0E85">
        <w:rPr>
          <w:rFonts w:ascii="Times New Roman" w:hAnsi="Times New Roman" w:cs="Times New Roman"/>
          <w:i/>
          <w:iCs/>
          <w:sz w:val="24"/>
          <w:szCs w:val="23"/>
        </w:rPr>
        <w:t>Alternaria</w:t>
      </w:r>
      <w:commentRangeEnd w:id="2"/>
      <w:proofErr w:type="spellEnd"/>
      <w:r w:rsidR="000C3747">
        <w:rPr>
          <w:rStyle w:val="CommentReference"/>
        </w:rPr>
        <w:commentReference w:id="2"/>
      </w:r>
      <w:r w:rsidRPr="00CE0E85">
        <w:rPr>
          <w:rFonts w:ascii="Times New Roman" w:hAnsi="Times New Roman" w:cs="Times New Roman"/>
          <w:i/>
          <w:iCs/>
          <w:sz w:val="24"/>
          <w:szCs w:val="23"/>
        </w:rPr>
        <w:t xml:space="preserve"> </w:t>
      </w:r>
      <w:proofErr w:type="spellStart"/>
      <w:r w:rsidRPr="00CE0E85">
        <w:rPr>
          <w:rFonts w:ascii="Times New Roman" w:hAnsi="Times New Roman" w:cs="Times New Roman"/>
          <w:i/>
          <w:iCs/>
          <w:sz w:val="24"/>
          <w:szCs w:val="23"/>
        </w:rPr>
        <w:t>solani</w:t>
      </w:r>
      <w:proofErr w:type="spellEnd"/>
      <w:r w:rsidRPr="00CE0E85">
        <w:rPr>
          <w:rFonts w:ascii="Times New Roman" w:hAnsi="Times New Roman" w:cs="Times New Roman"/>
          <w:sz w:val="24"/>
          <w:szCs w:val="23"/>
        </w:rPr>
        <w:t xml:space="preserve"> is one of the most destructive and widely studied within the </w:t>
      </w:r>
      <w:r w:rsidRPr="00CE0E85">
        <w:rPr>
          <w:rFonts w:ascii="Times New Roman" w:hAnsi="Times New Roman" w:cs="Times New Roman"/>
          <w:i/>
          <w:iCs/>
          <w:sz w:val="24"/>
          <w:szCs w:val="23"/>
        </w:rPr>
        <w:t>Alternaria</w:t>
      </w:r>
      <w:r w:rsidRPr="00CE0E85">
        <w:rPr>
          <w:rFonts w:ascii="Times New Roman" w:hAnsi="Times New Roman" w:cs="Times New Roman"/>
          <w:sz w:val="24"/>
          <w:szCs w:val="23"/>
        </w:rPr>
        <w:t xml:space="preserve"> genus. However, in recent years, other species such as </w:t>
      </w:r>
      <w:r w:rsidRPr="00CE0E85">
        <w:rPr>
          <w:rFonts w:ascii="Times New Roman" w:hAnsi="Times New Roman" w:cs="Times New Roman"/>
          <w:i/>
          <w:iCs/>
          <w:sz w:val="24"/>
          <w:szCs w:val="23"/>
        </w:rPr>
        <w:t xml:space="preserve">A. </w:t>
      </w:r>
      <w:proofErr w:type="spellStart"/>
      <w:r w:rsidRPr="00CE0E85">
        <w:rPr>
          <w:rFonts w:ascii="Times New Roman" w:hAnsi="Times New Roman" w:cs="Times New Roman"/>
          <w:i/>
          <w:iCs/>
          <w:sz w:val="24"/>
          <w:szCs w:val="23"/>
        </w:rPr>
        <w:t>alternata</w:t>
      </w:r>
      <w:proofErr w:type="spellEnd"/>
      <w:r w:rsidRPr="00CE0E85">
        <w:rPr>
          <w:rFonts w:ascii="Times New Roman" w:hAnsi="Times New Roman" w:cs="Times New Roman"/>
          <w:sz w:val="24"/>
          <w:szCs w:val="23"/>
        </w:rPr>
        <w:t xml:space="preserve"> and </w:t>
      </w:r>
      <w:r w:rsidRPr="00CE0E85">
        <w:rPr>
          <w:rFonts w:ascii="Times New Roman" w:hAnsi="Times New Roman" w:cs="Times New Roman"/>
          <w:i/>
          <w:iCs/>
          <w:sz w:val="24"/>
          <w:szCs w:val="23"/>
        </w:rPr>
        <w:t xml:space="preserve">A. </w:t>
      </w:r>
      <w:proofErr w:type="spellStart"/>
      <w:r w:rsidRPr="00CE0E85">
        <w:rPr>
          <w:rFonts w:ascii="Times New Roman" w:hAnsi="Times New Roman" w:cs="Times New Roman"/>
          <w:i/>
          <w:iCs/>
          <w:sz w:val="24"/>
          <w:szCs w:val="23"/>
        </w:rPr>
        <w:t>tenuissima</w:t>
      </w:r>
      <w:proofErr w:type="spellEnd"/>
      <w:r w:rsidRPr="00CE0E85">
        <w:rPr>
          <w:rFonts w:ascii="Times New Roman" w:hAnsi="Times New Roman" w:cs="Times New Roman"/>
          <w:sz w:val="24"/>
          <w:szCs w:val="23"/>
        </w:rPr>
        <w:t xml:space="preserve"> have also emerged as significant pathogens, contributing to increasing crop damage. The disease manifests severely and occurs regularly, resulting in considerable yield losses. Balai and Ahir (2013) reported yield reductions of up to 25% due to leaf spot disease of brinjal in the Jaipur district of Rajasthan.</w:t>
      </w:r>
    </w:p>
    <w:p w14:paraId="6780887B" w14:textId="77777777" w:rsidR="002C4ADA" w:rsidRDefault="00C467A7">
      <w:pPr>
        <w:tabs>
          <w:tab w:val="left" w:pos="270"/>
        </w:tabs>
        <w:spacing w:after="0" w:line="360" w:lineRule="auto"/>
        <w:jc w:val="both"/>
        <w:rPr>
          <w:rFonts w:ascii="Times New Roman" w:hAnsi="Times New Roman"/>
          <w:b/>
          <w:sz w:val="24"/>
        </w:rPr>
      </w:pPr>
      <w:r>
        <w:rPr>
          <w:rFonts w:ascii="Times New Roman" w:hAnsi="Times New Roman"/>
          <w:b/>
          <w:sz w:val="24"/>
        </w:rPr>
        <w:t xml:space="preserve">Method and Material </w:t>
      </w:r>
    </w:p>
    <w:p w14:paraId="23A4124B" w14:textId="47B7F3E8" w:rsidR="005A315F" w:rsidRDefault="00C467A7" w:rsidP="005A315F">
      <w:pPr>
        <w:pStyle w:val="Style7"/>
        <w:tabs>
          <w:tab w:val="left" w:pos="720"/>
          <w:tab w:val="left" w:pos="2268"/>
        </w:tabs>
        <w:spacing w:before="120" w:after="120" w:line="360" w:lineRule="auto"/>
        <w:ind w:firstLine="0"/>
        <w:jc w:val="both"/>
        <w:outlineLvl w:val="0"/>
        <w:rPr>
          <w:rFonts w:ascii="Times New Roman" w:hAnsi="Times New Roman" w:cs="Times New Roman"/>
        </w:rPr>
      </w:pPr>
      <w:r>
        <w:rPr>
          <w:rStyle w:val="FontStyle15"/>
          <w:rFonts w:ascii="Times New Roman" w:hAnsi="Times New Roman" w:cs="Times New Roman"/>
          <w:b w:val="0"/>
          <w:sz w:val="24"/>
          <w:szCs w:val="24"/>
        </w:rPr>
        <w:tab/>
      </w:r>
      <w:r w:rsidR="005A315F" w:rsidRPr="00CE0E85">
        <w:rPr>
          <w:rFonts w:ascii="Times New Roman" w:hAnsi="Times New Roman" w:cs="Times New Roman"/>
        </w:rPr>
        <w:t xml:space="preserve">To identify the most suitable medium for optimal mycelial growth of the </w:t>
      </w:r>
      <w:r w:rsidR="005A315F" w:rsidRPr="00CE0E85">
        <w:rPr>
          <w:rFonts w:ascii="Times New Roman" w:hAnsi="Times New Roman" w:cs="Times New Roman"/>
          <w:i/>
          <w:iCs/>
        </w:rPr>
        <w:t>Alternaria</w:t>
      </w:r>
      <w:r w:rsidR="005A315F" w:rsidRPr="00CE0E85">
        <w:rPr>
          <w:rFonts w:ascii="Times New Roman" w:hAnsi="Times New Roman" w:cs="Times New Roman"/>
        </w:rPr>
        <w:t xml:space="preserve"> leaf spot pathogen (</w:t>
      </w:r>
      <w:r w:rsidR="005A315F" w:rsidRPr="00CE0E85">
        <w:rPr>
          <w:rFonts w:ascii="Times New Roman" w:hAnsi="Times New Roman" w:cs="Times New Roman"/>
          <w:i/>
          <w:iCs/>
        </w:rPr>
        <w:t xml:space="preserve">A. </w:t>
      </w:r>
      <w:proofErr w:type="spellStart"/>
      <w:r w:rsidR="005A315F" w:rsidRPr="00CE0E85">
        <w:rPr>
          <w:rFonts w:ascii="Times New Roman" w:hAnsi="Times New Roman" w:cs="Times New Roman"/>
          <w:i/>
          <w:iCs/>
        </w:rPr>
        <w:t>alternata</w:t>
      </w:r>
      <w:proofErr w:type="spellEnd"/>
      <w:r w:rsidR="005A315F" w:rsidRPr="00CE0E85">
        <w:rPr>
          <w:rFonts w:ascii="Times New Roman" w:hAnsi="Times New Roman" w:cs="Times New Roman"/>
        </w:rPr>
        <w:t>), an experiment was conducted using a Completely Randomized Design (CRD) with three replications. Fourteen different solid culture media</w:t>
      </w:r>
      <w:r w:rsidR="005A315F">
        <w:rPr>
          <w:rFonts w:ascii="Times New Roman" w:hAnsi="Times New Roman" w:cs="Times New Roman"/>
        </w:rPr>
        <w:t xml:space="preserve"> </w:t>
      </w:r>
      <w:r w:rsidR="005A315F" w:rsidRPr="00CE0E85">
        <w:rPr>
          <w:rFonts w:ascii="Times New Roman" w:hAnsi="Times New Roman" w:cs="Times New Roman"/>
        </w:rPr>
        <w:t xml:space="preserve">Brinjal leaf agar, Brinjal fruit agar, Asthana and Hawker’s medium, Brown agar, </w:t>
      </w:r>
      <w:commentRangeStart w:id="3"/>
      <w:r w:rsidR="005A315F" w:rsidRPr="00CE0E85">
        <w:rPr>
          <w:rFonts w:ascii="Times New Roman" w:hAnsi="Times New Roman" w:cs="Times New Roman"/>
        </w:rPr>
        <w:t xml:space="preserve">Potato Dextrose Agar </w:t>
      </w:r>
      <w:commentRangeEnd w:id="3"/>
      <w:r w:rsidR="004E42B1">
        <w:rPr>
          <w:rStyle w:val="CommentReference"/>
          <w:rFonts w:ascii="Calibri" w:eastAsia="Calibri" w:hAnsi="Calibri" w:cs="Mangal"/>
        </w:rPr>
        <w:commentReference w:id="3"/>
      </w:r>
      <w:r w:rsidR="005A315F" w:rsidRPr="00CE0E85">
        <w:rPr>
          <w:rFonts w:ascii="Times New Roman" w:hAnsi="Times New Roman" w:cs="Times New Roman"/>
        </w:rPr>
        <w:t xml:space="preserve">(PDA), Coon’s agar, Richard’s agar, V8 juice agar, </w:t>
      </w:r>
      <w:proofErr w:type="spellStart"/>
      <w:r w:rsidR="005A315F" w:rsidRPr="00CE0E85">
        <w:rPr>
          <w:rFonts w:ascii="Times New Roman" w:hAnsi="Times New Roman" w:cs="Times New Roman"/>
        </w:rPr>
        <w:t>Czapek</w:t>
      </w:r>
      <w:proofErr w:type="spellEnd"/>
      <w:r w:rsidR="005A315F" w:rsidRPr="00CE0E85">
        <w:rPr>
          <w:rFonts w:ascii="Times New Roman" w:hAnsi="Times New Roman" w:cs="Times New Roman"/>
        </w:rPr>
        <w:t xml:space="preserve"> </w:t>
      </w:r>
      <w:proofErr w:type="spellStart"/>
      <w:r w:rsidR="005A315F" w:rsidRPr="00CE0E85">
        <w:rPr>
          <w:rFonts w:ascii="Times New Roman" w:hAnsi="Times New Roman" w:cs="Times New Roman"/>
        </w:rPr>
        <w:t>Dox</w:t>
      </w:r>
      <w:proofErr w:type="spellEnd"/>
      <w:r w:rsidR="005A315F" w:rsidRPr="00CE0E85">
        <w:rPr>
          <w:rFonts w:ascii="Times New Roman" w:hAnsi="Times New Roman" w:cs="Times New Roman"/>
        </w:rPr>
        <w:t xml:space="preserve"> agar, Oatmeal agar, Brown’s agar, Ashby’s agar, Malt Extract Agar and Potato leaf agar</w:t>
      </w:r>
      <w:r w:rsidR="005A315F">
        <w:rPr>
          <w:rFonts w:ascii="Times New Roman" w:hAnsi="Times New Roman" w:cs="Times New Roman"/>
        </w:rPr>
        <w:t xml:space="preserve"> </w:t>
      </w:r>
      <w:r w:rsidR="00D02799" w:rsidRPr="00CE0E85">
        <w:rPr>
          <w:rFonts w:ascii="Times New Roman" w:hAnsi="Times New Roman" w:cs="Times New Roman"/>
        </w:rPr>
        <w:t>was</w:t>
      </w:r>
      <w:r w:rsidR="005A315F" w:rsidRPr="00CE0E85">
        <w:rPr>
          <w:rFonts w:ascii="Times New Roman" w:hAnsi="Times New Roman" w:cs="Times New Roman"/>
        </w:rPr>
        <w:t xml:space="preserve"> assessed for their ability to support fungal growth. The media were prepared following standard laboratory protocols and sterilized in an autoclave at 121.6°C and 15 psi for 20 minutes. Approximately 20 ml of each medium was dispensed into sterile 90 mm Petri plates. A 7 mm diameter mycelial disc, excised from a 5-day-old actively growing culture using a sterilized </w:t>
      </w:r>
      <w:proofErr w:type="spellStart"/>
      <w:r w:rsidR="005A315F" w:rsidRPr="00CE0E85">
        <w:rPr>
          <w:rFonts w:ascii="Times New Roman" w:hAnsi="Times New Roman" w:cs="Times New Roman"/>
        </w:rPr>
        <w:t>cork</w:t>
      </w:r>
      <w:proofErr w:type="spellEnd"/>
      <w:r w:rsidR="005A315F" w:rsidRPr="00CE0E85">
        <w:rPr>
          <w:rFonts w:ascii="Times New Roman" w:hAnsi="Times New Roman" w:cs="Times New Roman"/>
        </w:rPr>
        <w:t xml:space="preserve"> borer, was inoculated at the center of each plate under aseptic conditions. The inoculated plates were then incubated at 28 ± 1°C as described by Dela Paz </w:t>
      </w:r>
      <w:r w:rsidR="005A315F" w:rsidRPr="00CE0E85">
        <w:rPr>
          <w:rFonts w:ascii="Times New Roman" w:hAnsi="Times New Roman" w:cs="Times New Roman"/>
          <w:i/>
          <w:iCs/>
        </w:rPr>
        <w:t>et al.</w:t>
      </w:r>
      <w:r w:rsidR="005A315F" w:rsidRPr="00CE0E85">
        <w:rPr>
          <w:rFonts w:ascii="Times New Roman" w:hAnsi="Times New Roman" w:cs="Times New Roman"/>
        </w:rPr>
        <w:t xml:space="preserve"> (2006). Radial growth of the fungus was measured at 3, 5 and 7 days after inoculation (DAI).</w:t>
      </w:r>
      <w:r w:rsidR="00D02799">
        <w:rPr>
          <w:rFonts w:ascii="Times New Roman" w:hAnsi="Times New Roman" w:cs="Times New Roman"/>
        </w:rPr>
        <w:t xml:space="preserve"> T</w:t>
      </w:r>
      <w:r w:rsidR="005A315F" w:rsidRPr="00CE0E85">
        <w:rPr>
          <w:rFonts w:ascii="Times New Roman" w:hAnsi="Times New Roman" w:cs="Times New Roman"/>
        </w:rPr>
        <w:t xml:space="preserve">he experiment comprised </w:t>
      </w:r>
      <w:r w:rsidR="005A315F">
        <w:rPr>
          <w:rFonts w:ascii="Times New Roman" w:hAnsi="Times New Roman" w:cs="Times New Roman"/>
        </w:rPr>
        <w:t>fourteen</w:t>
      </w:r>
      <w:r w:rsidR="005A315F" w:rsidRPr="00CE0E85">
        <w:rPr>
          <w:rFonts w:ascii="Times New Roman" w:hAnsi="Times New Roman" w:cs="Times New Roman"/>
        </w:rPr>
        <w:t xml:space="preserve"> treatment media, each replicated three times, following a CRD layout.</w:t>
      </w:r>
      <w:r w:rsidR="005A315F">
        <w:rPr>
          <w:rFonts w:ascii="Times New Roman" w:hAnsi="Times New Roman" w:cs="Times New Roman"/>
        </w:rPr>
        <w:t xml:space="preserve"> </w:t>
      </w:r>
    </w:p>
    <w:p w14:paraId="3B0DB004" w14:textId="685E7FAA" w:rsidR="002C4ADA" w:rsidRDefault="00C467A7" w:rsidP="005A315F">
      <w:pPr>
        <w:pStyle w:val="Style7"/>
        <w:tabs>
          <w:tab w:val="left" w:pos="720"/>
          <w:tab w:val="left" w:pos="2268"/>
        </w:tabs>
        <w:spacing w:before="120" w:after="120" w:line="360" w:lineRule="auto"/>
        <w:ind w:firstLine="0"/>
        <w:jc w:val="both"/>
        <w:outlineLvl w:val="0"/>
        <w:rPr>
          <w:rFonts w:ascii="Times New Roman" w:hAnsi="Times New Roman" w:cs="Times New Roman"/>
          <w:b/>
          <w:bCs/>
        </w:rPr>
      </w:pPr>
      <w:r>
        <w:rPr>
          <w:rFonts w:ascii="Times New Roman" w:hAnsi="Times New Roman" w:cs="Times New Roman"/>
          <w:b/>
          <w:bCs/>
        </w:rPr>
        <w:t xml:space="preserve">Fungus growth measurement technique </w:t>
      </w:r>
    </w:p>
    <w:p w14:paraId="3F3EF155" w14:textId="77777777" w:rsidR="005A315F" w:rsidRDefault="005A315F" w:rsidP="005A315F">
      <w:pPr>
        <w:autoSpaceDE w:val="0"/>
        <w:autoSpaceDN w:val="0"/>
        <w:adjustRightInd w:val="0"/>
        <w:spacing w:line="360" w:lineRule="auto"/>
        <w:ind w:firstLine="720"/>
        <w:jc w:val="both"/>
        <w:rPr>
          <w:rFonts w:ascii="Times New Roman" w:hAnsi="Times New Roman" w:cs="Times New Roman"/>
          <w:sz w:val="24"/>
        </w:rPr>
      </w:pPr>
      <w:r w:rsidRPr="00CE0E85">
        <w:rPr>
          <w:rFonts w:ascii="Times New Roman" w:hAnsi="Times New Roman" w:cs="Times New Roman"/>
          <w:sz w:val="24"/>
        </w:rPr>
        <w:t xml:space="preserve">For all solid media, the linear growth of the fungus was assessed by measuring the colony diameter along a fixed axis seven days after inoculation. Measurements were taken in millimeters using a fine transparent plastic ruler for accuracy. In contrast, for liquid media, </w:t>
      </w:r>
      <w:r w:rsidRPr="00CE0E85">
        <w:rPr>
          <w:rFonts w:ascii="Times New Roman" w:hAnsi="Times New Roman" w:cs="Times New Roman"/>
          <w:sz w:val="24"/>
        </w:rPr>
        <w:lastRenderedPageBreak/>
        <w:t>fungal biomass was estimated by determining the dry weight of the mycelial mats. After seven days of incubation, the fungal mycelia were separated by filtration through pre-weighed Whatman No. 1 filter papers. The collected mycelial mats, along with the filter papers, were dried in a hot air oven at 60°C for 48 hours. Subsequently, they were transferred to a desiccator containing calcium chloride to prevent moisture absorption. The process of drying and weighing was repeated until a constant dry weight was obtained, ensuring precise measurement of fungal biomass.</w:t>
      </w:r>
    </w:p>
    <w:p w14:paraId="3526B827" w14:textId="77777777" w:rsidR="002C4ADA" w:rsidRDefault="00C467A7">
      <w:pPr>
        <w:autoSpaceDE w:val="0"/>
        <w:autoSpaceDN w:val="0"/>
        <w:adjustRightInd w:val="0"/>
        <w:rPr>
          <w:rFonts w:ascii="Times New Roman" w:hAnsi="Times New Roman" w:cs="Times New Roman"/>
          <w:b/>
          <w:bCs/>
          <w:sz w:val="24"/>
          <w:szCs w:val="20"/>
        </w:rPr>
      </w:pPr>
      <w:r>
        <w:rPr>
          <w:rFonts w:ascii="Times New Roman" w:hAnsi="Times New Roman" w:cs="Times New Roman"/>
          <w:b/>
          <w:bCs/>
          <w:sz w:val="24"/>
          <w:szCs w:val="20"/>
        </w:rPr>
        <w:t>Observation on characteristics of growth</w:t>
      </w:r>
    </w:p>
    <w:p w14:paraId="1191000B" w14:textId="42A9D719" w:rsidR="005A315F" w:rsidRDefault="005A315F" w:rsidP="005A315F">
      <w:pPr>
        <w:autoSpaceDE w:val="0"/>
        <w:autoSpaceDN w:val="0"/>
        <w:adjustRightInd w:val="0"/>
        <w:spacing w:line="360" w:lineRule="auto"/>
        <w:jc w:val="both"/>
        <w:rPr>
          <w:rFonts w:ascii="Times New Roman" w:hAnsi="Times New Roman" w:cs="Times New Roman"/>
          <w:sz w:val="24"/>
          <w:szCs w:val="18"/>
        </w:rPr>
      </w:pPr>
      <w:r w:rsidRPr="00CE0E85">
        <w:rPr>
          <w:rFonts w:ascii="Times New Roman" w:hAnsi="Times New Roman" w:cs="Times New Roman"/>
          <w:sz w:val="24"/>
          <w:szCs w:val="18"/>
        </w:rPr>
        <w:t xml:space="preserve">The colony characteristics such as </w:t>
      </w:r>
      <w:proofErr w:type="spellStart"/>
      <w:r w:rsidRPr="00CE0E85">
        <w:rPr>
          <w:rFonts w:ascii="Times New Roman" w:hAnsi="Times New Roman" w:cs="Times New Roman"/>
          <w:sz w:val="24"/>
          <w:szCs w:val="18"/>
        </w:rPr>
        <w:t>colour</w:t>
      </w:r>
      <w:proofErr w:type="spellEnd"/>
      <w:r w:rsidRPr="00CE0E85">
        <w:rPr>
          <w:rFonts w:ascii="Times New Roman" w:hAnsi="Times New Roman" w:cs="Times New Roman"/>
          <w:sz w:val="24"/>
          <w:szCs w:val="18"/>
        </w:rPr>
        <w:t xml:space="preserve"> of the colony and substrate, colony margin, and mycelial topography were examined visually. To assess sporulation on different media, a 5 mm diameter mycelial disc was aseptically cut from the colony margin using a sterilized </w:t>
      </w:r>
      <w:proofErr w:type="spellStart"/>
      <w:r w:rsidRPr="00CE0E85">
        <w:rPr>
          <w:rFonts w:ascii="Times New Roman" w:hAnsi="Times New Roman" w:cs="Times New Roman"/>
          <w:sz w:val="24"/>
          <w:szCs w:val="18"/>
        </w:rPr>
        <w:t>cork</w:t>
      </w:r>
      <w:proofErr w:type="spellEnd"/>
      <w:r w:rsidRPr="00CE0E85">
        <w:rPr>
          <w:rFonts w:ascii="Times New Roman" w:hAnsi="Times New Roman" w:cs="Times New Roman"/>
          <w:sz w:val="24"/>
          <w:szCs w:val="18"/>
        </w:rPr>
        <w:t xml:space="preserve"> borer and transferred into a test tube containing 5 ml of sterile distilled water. The contents were mixed thoroughly to prepare a uniform spore suspension. A small drop of this suspension was placed on a clean glass slide, and the number of spores was counted under a compound microscope at low power (10× objective). The mean spore count was calculated from observations recorded across three microscopic fields (Table </w:t>
      </w:r>
      <w:r w:rsidR="0090651C">
        <w:rPr>
          <w:rFonts w:ascii="Times New Roman" w:hAnsi="Times New Roman" w:cs="Times New Roman"/>
          <w:sz w:val="24"/>
          <w:szCs w:val="18"/>
        </w:rPr>
        <w:t>1</w:t>
      </w:r>
      <w:r w:rsidRPr="00CE0E85">
        <w:rPr>
          <w:rFonts w:ascii="Times New Roman" w:hAnsi="Times New Roman" w:cs="Times New Roman"/>
          <w:sz w:val="24"/>
          <w:szCs w:val="18"/>
        </w:rPr>
        <w:t>).</w:t>
      </w:r>
    </w:p>
    <w:p w14:paraId="51489779" w14:textId="77777777" w:rsidR="002C4ADA" w:rsidRDefault="00C467A7">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4"/>
          <w:szCs w:val="20"/>
        </w:rPr>
        <w:t>Measurement of growth rate</w:t>
      </w:r>
    </w:p>
    <w:p w14:paraId="42619C63" w14:textId="77777777" w:rsidR="005A315F" w:rsidRDefault="005A315F" w:rsidP="005A315F">
      <w:pPr>
        <w:autoSpaceDE w:val="0"/>
        <w:autoSpaceDN w:val="0"/>
        <w:adjustRightInd w:val="0"/>
        <w:spacing w:after="0" w:line="360" w:lineRule="auto"/>
        <w:jc w:val="both"/>
        <w:rPr>
          <w:rFonts w:ascii="Times New Roman" w:hAnsi="Times New Roman" w:cs="Times New Roman"/>
          <w:sz w:val="24"/>
          <w:szCs w:val="18"/>
        </w:rPr>
      </w:pPr>
      <w:r w:rsidRPr="00CE0E85">
        <w:rPr>
          <w:rFonts w:ascii="Times New Roman" w:hAnsi="Times New Roman" w:cs="Times New Roman"/>
          <w:sz w:val="24"/>
          <w:szCs w:val="18"/>
        </w:rPr>
        <w:t>To evaluate the daily growth rate of the fungus, 100 ml Erlenmeyer flasks were each filled with 30 ml of Potato Dextrose Broth (PDB) medium. The fungal culture was aseptically inoculated into the broth and incubated at 28 ± 1°C for a period of 15 days. Observations on fungal biomass were made at two-day intervals by determining the dry weight of the mycelial mat. Measurements were recorded up to 14 days after inoculation, representing fourteen time-based treatments, with each treatment replicated three times to ensure experimental precision and reliability.</w:t>
      </w:r>
    </w:p>
    <w:p w14:paraId="24781BA2" w14:textId="77777777" w:rsidR="002C4ADA" w:rsidRDefault="00C467A7">
      <w:pPr>
        <w:autoSpaceDE w:val="0"/>
        <w:autoSpaceDN w:val="0"/>
        <w:adjustRightInd w:val="0"/>
        <w:spacing w:after="0" w:line="360" w:lineRule="auto"/>
        <w:jc w:val="both"/>
        <w:rPr>
          <w:rFonts w:ascii="Times New Roman" w:hAnsi="Times New Roman" w:cs="Times New Roman"/>
          <w:sz w:val="24"/>
          <w:szCs w:val="28"/>
        </w:rPr>
      </w:pPr>
      <w:r>
        <w:rPr>
          <w:rFonts w:ascii="Times New Roman" w:hAnsi="Times New Roman" w:cs="Times New Roman"/>
          <w:sz w:val="24"/>
          <w:szCs w:val="28"/>
        </w:rPr>
        <w:t>Experimental details:</w:t>
      </w:r>
    </w:p>
    <w:p w14:paraId="2EC8D4CB" w14:textId="77777777" w:rsidR="002C4ADA" w:rsidRDefault="00C467A7">
      <w:pPr>
        <w:pStyle w:val="ListParagraph"/>
        <w:numPr>
          <w:ilvl w:val="0"/>
          <w:numId w:val="1"/>
        </w:numPr>
        <w:autoSpaceDE w:val="0"/>
        <w:autoSpaceDN w:val="0"/>
        <w:adjustRightInd w:val="0"/>
        <w:spacing w:line="360" w:lineRule="auto"/>
        <w:jc w:val="both"/>
        <w:rPr>
          <w:rStyle w:val="FontStyle15"/>
          <w:rFonts w:ascii="Times New Roman" w:hAnsi="Times New Roman" w:cs="Times New Roman"/>
          <w:b w:val="0"/>
          <w:bCs w:val="0"/>
          <w:sz w:val="24"/>
          <w:szCs w:val="28"/>
        </w:rPr>
      </w:pPr>
      <w:r>
        <w:rPr>
          <w:rStyle w:val="FontStyle15"/>
          <w:rFonts w:ascii="Times New Roman" w:hAnsi="Times New Roman" w:cs="Times New Roman"/>
          <w:b w:val="0"/>
          <w:sz w:val="24"/>
          <w:szCs w:val="28"/>
        </w:rPr>
        <w:t xml:space="preserve">Design:             CRD      2. Replications:      03    3. Treatments (media):     14 </w:t>
      </w:r>
    </w:p>
    <w:p w14:paraId="69983966" w14:textId="77777777" w:rsidR="002C4ADA" w:rsidRDefault="002C4ADA">
      <w:pPr>
        <w:pStyle w:val="ListParagraph"/>
        <w:autoSpaceDE w:val="0"/>
        <w:autoSpaceDN w:val="0"/>
        <w:adjustRightInd w:val="0"/>
        <w:spacing w:after="0" w:line="360" w:lineRule="auto"/>
        <w:ind w:left="420"/>
        <w:jc w:val="both"/>
        <w:rPr>
          <w:rStyle w:val="FontStyle15"/>
          <w:b w:val="0"/>
          <w:bCs w:val="0"/>
          <w:sz w:val="4"/>
          <w:szCs w:val="18"/>
        </w:rPr>
      </w:pPr>
    </w:p>
    <w:p w14:paraId="0FDEED1A" w14:textId="77777777" w:rsidR="002C4ADA" w:rsidRDefault="00C467A7">
      <w:pPr>
        <w:pStyle w:val="ListParagraph"/>
        <w:autoSpaceDE w:val="0"/>
        <w:autoSpaceDN w:val="0"/>
        <w:adjustRightInd w:val="0"/>
        <w:spacing w:after="0" w:line="360" w:lineRule="auto"/>
        <w:ind w:left="420" w:hanging="510"/>
        <w:jc w:val="both"/>
        <w:rPr>
          <w:rFonts w:ascii="Times New Roman" w:hAnsi="Times New Roman"/>
          <w:sz w:val="24"/>
        </w:rPr>
      </w:pPr>
      <w:r>
        <w:rPr>
          <w:rStyle w:val="FontStyle15"/>
          <w:rFonts w:ascii="Times New Roman" w:hAnsi="Times New Roman" w:cs="Times New Roman"/>
          <w:sz w:val="24"/>
        </w:rPr>
        <w:t xml:space="preserve">Table-1. </w:t>
      </w:r>
      <w:r>
        <w:rPr>
          <w:rFonts w:ascii="Times New Roman" w:hAnsi="Times New Roman"/>
          <w:b/>
          <w:sz w:val="24"/>
        </w:rPr>
        <w:t>Concentration of the spore suspension was estimated by using the following notations.</w:t>
      </w:r>
    </w:p>
    <w:tbl>
      <w:tblPr>
        <w:tblStyle w:val="TableGrid"/>
        <w:tblW w:w="0" w:type="auto"/>
        <w:tblInd w:w="108" w:type="dxa"/>
        <w:tblLook w:val="04A0" w:firstRow="1" w:lastRow="0" w:firstColumn="1" w:lastColumn="0" w:noHBand="0" w:noVBand="1"/>
      </w:tblPr>
      <w:tblGrid>
        <w:gridCol w:w="4680"/>
        <w:gridCol w:w="4770"/>
      </w:tblGrid>
      <w:tr w:rsidR="002C4ADA" w14:paraId="790DC914" w14:textId="77777777">
        <w:trPr>
          <w:trHeight w:val="332"/>
        </w:trPr>
        <w:tc>
          <w:tcPr>
            <w:tcW w:w="4680" w:type="dxa"/>
          </w:tcPr>
          <w:p w14:paraId="763AB943"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eastAsia="Calibri" w:hAnsi="Times New Roman" w:cs="Times New Roman"/>
                <w:b/>
                <w:bCs/>
                <w:szCs w:val="14"/>
              </w:rPr>
              <w:t>No. of spore per microscopic field</w:t>
            </w:r>
          </w:p>
        </w:tc>
        <w:tc>
          <w:tcPr>
            <w:tcW w:w="4770" w:type="dxa"/>
          </w:tcPr>
          <w:p w14:paraId="45E22FBB" w14:textId="77777777" w:rsidR="002C4ADA" w:rsidRDefault="002C4ADA">
            <w:pPr>
              <w:autoSpaceDE w:val="0"/>
              <w:autoSpaceDN w:val="0"/>
              <w:adjustRightInd w:val="0"/>
              <w:spacing w:line="360" w:lineRule="auto"/>
              <w:rPr>
                <w:rFonts w:ascii="Times New Roman" w:hAnsi="Times New Roman" w:cs="Times New Roman"/>
                <w:b/>
                <w:bCs/>
                <w:sz w:val="8"/>
                <w:szCs w:val="14"/>
              </w:rPr>
            </w:pPr>
          </w:p>
          <w:p w14:paraId="114E0475" w14:textId="77777777" w:rsidR="002C4ADA" w:rsidRDefault="00C467A7">
            <w:pPr>
              <w:autoSpaceDE w:val="0"/>
              <w:autoSpaceDN w:val="0"/>
              <w:adjustRightInd w:val="0"/>
              <w:spacing w:line="360" w:lineRule="auto"/>
              <w:jc w:val="center"/>
              <w:rPr>
                <w:rFonts w:ascii="Times New Roman" w:hAnsi="Times New Roman" w:cs="Times New Roman"/>
                <w:b/>
                <w:bCs/>
                <w:sz w:val="24"/>
                <w:szCs w:val="14"/>
              </w:rPr>
            </w:pPr>
            <w:r>
              <w:rPr>
                <w:rFonts w:ascii="Times New Roman" w:hAnsi="Times New Roman" w:cs="Times New Roman"/>
                <w:b/>
                <w:bCs/>
                <w:sz w:val="24"/>
                <w:szCs w:val="14"/>
              </w:rPr>
              <w:t>Designation</w:t>
            </w:r>
          </w:p>
        </w:tc>
      </w:tr>
      <w:tr w:rsidR="002C4ADA" w14:paraId="05AE974E" w14:textId="77777777">
        <w:tc>
          <w:tcPr>
            <w:tcW w:w="4680" w:type="dxa"/>
          </w:tcPr>
          <w:p w14:paraId="20E7F689"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eastAsia="ArialMT" w:hAnsi="Times New Roman" w:cs="Times New Roman"/>
              </w:rPr>
              <w:t>0</w:t>
            </w:r>
          </w:p>
        </w:tc>
        <w:tc>
          <w:tcPr>
            <w:tcW w:w="4770" w:type="dxa"/>
          </w:tcPr>
          <w:p w14:paraId="7DE99964"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Nil</w:t>
            </w:r>
          </w:p>
        </w:tc>
      </w:tr>
      <w:tr w:rsidR="002C4ADA" w14:paraId="255472DF" w14:textId="77777777">
        <w:tc>
          <w:tcPr>
            <w:tcW w:w="4680" w:type="dxa"/>
          </w:tcPr>
          <w:p w14:paraId="15EF361F"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lastRenderedPageBreak/>
              <w:t>1-10</w:t>
            </w:r>
          </w:p>
        </w:tc>
        <w:tc>
          <w:tcPr>
            <w:tcW w:w="4770" w:type="dxa"/>
          </w:tcPr>
          <w:p w14:paraId="14FC123D"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Poor</w:t>
            </w:r>
          </w:p>
        </w:tc>
      </w:tr>
      <w:tr w:rsidR="002C4ADA" w14:paraId="11038A6C" w14:textId="77777777">
        <w:tc>
          <w:tcPr>
            <w:tcW w:w="4680" w:type="dxa"/>
          </w:tcPr>
          <w:p w14:paraId="33C79E25"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11-20</w:t>
            </w:r>
          </w:p>
        </w:tc>
        <w:tc>
          <w:tcPr>
            <w:tcW w:w="4770" w:type="dxa"/>
          </w:tcPr>
          <w:p w14:paraId="0C0AAFB6"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Moderate</w:t>
            </w:r>
          </w:p>
        </w:tc>
      </w:tr>
      <w:tr w:rsidR="002C4ADA" w14:paraId="12B8A4B1" w14:textId="77777777">
        <w:tc>
          <w:tcPr>
            <w:tcW w:w="4680" w:type="dxa"/>
          </w:tcPr>
          <w:p w14:paraId="4FE218A4"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21-30</w:t>
            </w:r>
          </w:p>
        </w:tc>
        <w:tc>
          <w:tcPr>
            <w:tcW w:w="4770" w:type="dxa"/>
          </w:tcPr>
          <w:p w14:paraId="2FD82964" w14:textId="78EB67FC"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Good</w:t>
            </w:r>
          </w:p>
        </w:tc>
      </w:tr>
      <w:tr w:rsidR="002C4ADA" w14:paraId="71057E9B" w14:textId="77777777">
        <w:tc>
          <w:tcPr>
            <w:tcW w:w="4680" w:type="dxa"/>
          </w:tcPr>
          <w:p w14:paraId="5092D917"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31-40</w:t>
            </w:r>
          </w:p>
        </w:tc>
        <w:tc>
          <w:tcPr>
            <w:tcW w:w="4770" w:type="dxa"/>
          </w:tcPr>
          <w:p w14:paraId="2C9F2970" w14:textId="77777777" w:rsidR="002C4ADA" w:rsidRDefault="00C467A7">
            <w:pPr>
              <w:pStyle w:val="Style7"/>
              <w:tabs>
                <w:tab w:val="left" w:pos="720"/>
                <w:tab w:val="left" w:pos="2268"/>
              </w:tabs>
              <w:spacing w:line="360" w:lineRule="auto"/>
              <w:ind w:firstLine="0"/>
              <w:jc w:val="center"/>
              <w:outlineLvl w:val="0"/>
              <w:rPr>
                <w:rFonts w:ascii="Times New Roman" w:hAnsi="Times New Roman" w:cs="Times New Roman"/>
              </w:rPr>
            </w:pPr>
            <w:r>
              <w:rPr>
                <w:rFonts w:ascii="Times New Roman" w:hAnsi="Times New Roman" w:cs="Times New Roman"/>
              </w:rPr>
              <w:t>(++++) Excellent</w:t>
            </w:r>
          </w:p>
        </w:tc>
      </w:tr>
    </w:tbl>
    <w:p w14:paraId="7AD7071A" w14:textId="77777777" w:rsidR="002C4ADA" w:rsidRDefault="002C4ADA">
      <w:pPr>
        <w:pStyle w:val="Default"/>
        <w:rPr>
          <w:b/>
          <w:bCs/>
          <w:sz w:val="8"/>
          <w:szCs w:val="20"/>
        </w:rPr>
      </w:pPr>
    </w:p>
    <w:p w14:paraId="263867F5" w14:textId="77777777" w:rsidR="002C4ADA" w:rsidRDefault="00C467A7">
      <w:pPr>
        <w:pStyle w:val="Default"/>
        <w:spacing w:line="360" w:lineRule="auto"/>
        <w:rPr>
          <w:b/>
          <w:bCs/>
          <w:szCs w:val="20"/>
        </w:rPr>
      </w:pPr>
      <w:r>
        <w:rPr>
          <w:b/>
          <w:bCs/>
          <w:szCs w:val="20"/>
        </w:rPr>
        <w:t xml:space="preserve">Results and Discussion </w:t>
      </w:r>
    </w:p>
    <w:p w14:paraId="5CF8F10D" w14:textId="77777777" w:rsidR="002C4ADA" w:rsidRDefault="00C467A7">
      <w:pPr>
        <w:tabs>
          <w:tab w:val="left" w:pos="270"/>
        </w:tabs>
        <w:spacing w:after="0" w:line="360" w:lineRule="auto"/>
        <w:ind w:right="120"/>
        <w:jc w:val="both"/>
        <w:rPr>
          <w:rFonts w:ascii="Times New Roman" w:hAnsi="Times New Roman" w:cs="Times New Roman"/>
          <w:b/>
          <w:bCs/>
          <w:sz w:val="24"/>
          <w:szCs w:val="24"/>
        </w:rPr>
      </w:pPr>
      <w:r>
        <w:rPr>
          <w:rFonts w:ascii="Times New Roman" w:hAnsi="Times New Roman" w:cs="Times New Roman"/>
          <w:b/>
          <w:bCs/>
          <w:color w:val="000000"/>
          <w:sz w:val="24"/>
          <w:szCs w:val="24"/>
        </w:rPr>
        <w:t xml:space="preserve">Effect of various media on radial growth </w:t>
      </w:r>
      <w:r>
        <w:rPr>
          <w:rFonts w:ascii="Times New Roman" w:hAnsi="Times New Roman" w:cs="Times New Roman"/>
          <w:b/>
          <w:sz w:val="24"/>
          <w:szCs w:val="24"/>
        </w:rPr>
        <w:t xml:space="preserve">of </w:t>
      </w:r>
      <w:r>
        <w:rPr>
          <w:rFonts w:ascii="Times New Roman" w:eastAsia="Arial" w:hAnsi="Times New Roman" w:cs="Times New Roman"/>
          <w:b/>
          <w:i/>
          <w:sz w:val="24"/>
          <w:szCs w:val="24"/>
        </w:rPr>
        <w:t>A.</w:t>
      </w:r>
      <w:r>
        <w:rPr>
          <w:rFonts w:ascii="Times New Roman" w:eastAsia="Arial" w:hAnsi="Times New Roman" w:cs="Times New Roman"/>
          <w:b/>
          <w:sz w:val="24"/>
          <w:szCs w:val="24"/>
        </w:rPr>
        <w:t xml:space="preserve"> </w:t>
      </w:r>
      <w:proofErr w:type="spellStart"/>
      <w:r>
        <w:rPr>
          <w:rFonts w:ascii="Times New Roman" w:hAnsi="Times New Roman" w:cs="Times New Roman"/>
          <w:b/>
          <w:i/>
          <w:sz w:val="24"/>
          <w:szCs w:val="24"/>
        </w:rPr>
        <w:t>alternata</w:t>
      </w:r>
      <w:proofErr w:type="spellEnd"/>
      <w:r>
        <w:rPr>
          <w:rFonts w:ascii="Times New Roman" w:hAnsi="Times New Roman" w:cs="Times New Roman"/>
          <w:b/>
          <w:bCs/>
          <w:color w:val="000000"/>
          <w:sz w:val="24"/>
          <w:szCs w:val="24"/>
        </w:rPr>
        <w:t>.</w:t>
      </w:r>
    </w:p>
    <w:p w14:paraId="12B3D741" w14:textId="205C2876"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To assess the radial growth pattern of </w:t>
      </w:r>
      <w:commentRangeStart w:id="4"/>
      <w:proofErr w:type="spellStart"/>
      <w:r w:rsidRPr="00751CBE">
        <w:rPr>
          <w:rFonts w:ascii="Times New Roman" w:hAnsi="Times New Roman" w:cs="Times New Roman"/>
          <w:i/>
          <w:iCs/>
          <w:w w:val="110"/>
          <w:sz w:val="24"/>
          <w:szCs w:val="24"/>
        </w:rPr>
        <w:t>Alternaria</w:t>
      </w:r>
      <w:proofErr w:type="spellEnd"/>
      <w:r w:rsidRPr="00751CBE">
        <w:rPr>
          <w:rFonts w:ascii="Times New Roman" w:hAnsi="Times New Roman" w:cs="Times New Roman"/>
          <w:i/>
          <w:iCs/>
          <w:w w:val="110"/>
          <w:sz w:val="24"/>
          <w:szCs w:val="24"/>
        </w:rPr>
        <w:t xml:space="preserve"> </w:t>
      </w:r>
      <w:proofErr w:type="spellStart"/>
      <w:r w:rsidRPr="00751CBE">
        <w:rPr>
          <w:rFonts w:ascii="Times New Roman" w:hAnsi="Times New Roman" w:cs="Times New Roman"/>
          <w:i/>
          <w:iCs/>
          <w:w w:val="110"/>
          <w:sz w:val="24"/>
          <w:szCs w:val="24"/>
        </w:rPr>
        <w:t>alternata</w:t>
      </w:r>
      <w:commentRangeEnd w:id="4"/>
      <w:proofErr w:type="spellEnd"/>
      <w:r w:rsidR="004E42B1">
        <w:rPr>
          <w:rStyle w:val="CommentReference"/>
        </w:rPr>
        <w:commentReference w:id="4"/>
      </w:r>
      <w:r w:rsidRPr="00751CBE">
        <w:rPr>
          <w:rFonts w:ascii="Times New Roman" w:hAnsi="Times New Roman" w:cs="Times New Roman"/>
          <w:w w:val="110"/>
          <w:sz w:val="24"/>
          <w:szCs w:val="24"/>
        </w:rPr>
        <w:t xml:space="preserve">, the fungus was cultured on fourteen different solid media, representing synthetic, semi-synthetic, and natural types, as described previously. These media were evaluated for their influence on mycelial growth, colony characteristics and sporulation (Table </w:t>
      </w:r>
      <w:r w:rsidR="0090651C">
        <w:rPr>
          <w:rFonts w:ascii="Times New Roman" w:hAnsi="Times New Roman" w:cs="Times New Roman"/>
          <w:w w:val="110"/>
          <w:sz w:val="24"/>
          <w:szCs w:val="24"/>
        </w:rPr>
        <w:t>2</w:t>
      </w:r>
      <w:r w:rsidRPr="00751CBE">
        <w:rPr>
          <w:rFonts w:ascii="Times New Roman" w:hAnsi="Times New Roman" w:cs="Times New Roman"/>
          <w:w w:val="110"/>
          <w:sz w:val="24"/>
          <w:szCs w:val="24"/>
        </w:rPr>
        <w:t>, Fig. 1, Plate 1). Considerable variation in growth rate and sporulation was observed among the media at 3, 5 and 7 days after inoculation (DAI).</w:t>
      </w:r>
      <w:r>
        <w:rPr>
          <w:rFonts w:ascii="Times New Roman" w:hAnsi="Times New Roman" w:cs="Times New Roman"/>
          <w:w w:val="110"/>
          <w:sz w:val="24"/>
          <w:szCs w:val="24"/>
        </w:rPr>
        <w:t xml:space="preserve"> </w:t>
      </w:r>
      <w:r w:rsidRPr="00751CBE">
        <w:rPr>
          <w:rFonts w:ascii="Times New Roman" w:hAnsi="Times New Roman" w:cs="Times New Roman"/>
          <w:w w:val="110"/>
          <w:sz w:val="24"/>
          <w:szCs w:val="24"/>
        </w:rPr>
        <w:t xml:space="preserve">At 3 DAI, the highest mycelial growth was recorded on Potato Dextrose Agar (48.00 mm), followed by Oatmeal Agar (44.00 mm) and Asthana and Hawker’s medium (38.00 mm), whereas the lowest growth (19.67 mm) occurred on Potato Leaf Agar. By 5 DAI, Potato Dextrose Agar again supported the maximum radial growth (63.67 mm), followed by Oatmeal Agar (57.33 mm), Asthana and Hawker’s (55.00 mm), Malt Extract Agar (47.33 mm) and Elliot’s Agar (46.67 mm). The least growth (25.67 mm) was observed on Potato Leaf Agar. After 7 days of incubation, Potato Dextrose Agar continued to exhibit the greatest mycelial expansion (86.67 mm), followed by Richard’s Agar (79.67 mm), Asthana and Hawker’s (74.33 mm), Oatmeal Agar (71.67 mm) and Malt Extract Agar (58.00 mm). Moderate growth was noted on Brinjal Fruit Dextrose Agar (54.33 mm),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w:t>
      </w:r>
      <w:proofErr w:type="spellStart"/>
      <w:r w:rsidRPr="00751CBE">
        <w:rPr>
          <w:rFonts w:ascii="Times New Roman" w:hAnsi="Times New Roman" w:cs="Times New Roman"/>
          <w:w w:val="110"/>
          <w:sz w:val="24"/>
          <w:szCs w:val="24"/>
        </w:rPr>
        <w:t>Dox</w:t>
      </w:r>
      <w:proofErr w:type="spellEnd"/>
      <w:r w:rsidRPr="00751CBE">
        <w:rPr>
          <w:rFonts w:ascii="Times New Roman" w:hAnsi="Times New Roman" w:cs="Times New Roman"/>
          <w:w w:val="110"/>
          <w:sz w:val="24"/>
          <w:szCs w:val="24"/>
        </w:rPr>
        <w:t xml:space="preserve"> Agar and Brown’s Agar (52.00 mm), whereas Brinjal Leaf Agar showed the least growth (41.00 mm).</w:t>
      </w:r>
      <w:r>
        <w:rPr>
          <w:rFonts w:ascii="Times New Roman" w:hAnsi="Times New Roman" w:cs="Times New Roman"/>
          <w:w w:val="110"/>
          <w:sz w:val="24"/>
          <w:szCs w:val="24"/>
        </w:rPr>
        <w:t xml:space="preserve"> </w:t>
      </w:r>
    </w:p>
    <w:p w14:paraId="2605D35B" w14:textId="5FA725D0"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Colony </w:t>
      </w:r>
      <w:proofErr w:type="spellStart"/>
      <w:r w:rsidRPr="00751CBE">
        <w:rPr>
          <w:rFonts w:ascii="Times New Roman" w:hAnsi="Times New Roman" w:cs="Times New Roman"/>
          <w:w w:val="110"/>
          <w:sz w:val="24"/>
          <w:szCs w:val="24"/>
        </w:rPr>
        <w:t>colour</w:t>
      </w:r>
      <w:proofErr w:type="spellEnd"/>
      <w:r w:rsidRPr="00751CBE">
        <w:rPr>
          <w:rFonts w:ascii="Times New Roman" w:hAnsi="Times New Roman" w:cs="Times New Roman"/>
          <w:w w:val="110"/>
          <w:sz w:val="24"/>
          <w:szCs w:val="24"/>
        </w:rPr>
        <w:t xml:space="preserve"> and texture varied notably across media. Based on pigmentation, colonies were categorized as grayish-white or black. Grayish-white colonies were observed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w:t>
      </w:r>
      <w:proofErr w:type="spellStart"/>
      <w:r w:rsidRPr="00751CBE">
        <w:rPr>
          <w:rFonts w:ascii="Times New Roman" w:hAnsi="Times New Roman" w:cs="Times New Roman"/>
          <w:w w:val="110"/>
          <w:sz w:val="24"/>
          <w:szCs w:val="24"/>
        </w:rPr>
        <w:t>Dox</w:t>
      </w:r>
      <w:proofErr w:type="spellEnd"/>
      <w:r w:rsidRPr="00751CBE">
        <w:rPr>
          <w:rFonts w:ascii="Times New Roman" w:hAnsi="Times New Roman" w:cs="Times New Roman"/>
          <w:w w:val="110"/>
          <w:sz w:val="24"/>
          <w:szCs w:val="24"/>
        </w:rPr>
        <w:t xml:space="preserve"> Agar, </w:t>
      </w:r>
      <w:proofErr w:type="spellStart"/>
      <w:r w:rsidRPr="00751CBE">
        <w:rPr>
          <w:rFonts w:ascii="Times New Roman" w:hAnsi="Times New Roman" w:cs="Times New Roman"/>
          <w:w w:val="110"/>
          <w:sz w:val="24"/>
          <w:szCs w:val="24"/>
        </w:rPr>
        <w:t>Brinjal</w:t>
      </w:r>
      <w:proofErr w:type="spellEnd"/>
      <w:r w:rsidRPr="00751CBE">
        <w:rPr>
          <w:rFonts w:ascii="Times New Roman" w:hAnsi="Times New Roman" w:cs="Times New Roman"/>
          <w:w w:val="110"/>
          <w:sz w:val="24"/>
          <w:szCs w:val="24"/>
        </w:rPr>
        <w:t xml:space="preserve"> Fruit Dextrose Agar and Asthana and Hawker’s medium, while black colonies developed on Potato Dextrose Agar, Brinjal Leaf Agar, Oatmeal Agar, V8 Juice Agar, Potato Leaf Agar, Richard’s Agar, Ashby’s Mannitol Agar, Coon’s Agar, Elliot’s Agar and Brown’s Agar. Regarding texture, three distinct types were observed: smooth, compact and fluffy. Smooth colonies were produced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w:t>
      </w:r>
      <w:proofErr w:type="spellStart"/>
      <w:r w:rsidRPr="00751CBE">
        <w:rPr>
          <w:rFonts w:ascii="Times New Roman" w:hAnsi="Times New Roman" w:cs="Times New Roman"/>
          <w:w w:val="110"/>
          <w:sz w:val="24"/>
          <w:szCs w:val="24"/>
        </w:rPr>
        <w:t>Dox</w:t>
      </w:r>
      <w:proofErr w:type="spellEnd"/>
      <w:r w:rsidRPr="00751CBE">
        <w:rPr>
          <w:rFonts w:ascii="Times New Roman" w:hAnsi="Times New Roman" w:cs="Times New Roman"/>
          <w:w w:val="110"/>
          <w:sz w:val="24"/>
          <w:szCs w:val="24"/>
        </w:rPr>
        <w:t xml:space="preserve"> Agar, </w:t>
      </w:r>
      <w:proofErr w:type="spellStart"/>
      <w:r w:rsidRPr="00751CBE">
        <w:rPr>
          <w:rFonts w:ascii="Times New Roman" w:hAnsi="Times New Roman" w:cs="Times New Roman"/>
          <w:w w:val="110"/>
          <w:sz w:val="24"/>
          <w:szCs w:val="24"/>
        </w:rPr>
        <w:t>Brinjal</w:t>
      </w:r>
      <w:proofErr w:type="spellEnd"/>
      <w:r w:rsidRPr="00751CBE">
        <w:rPr>
          <w:rFonts w:ascii="Times New Roman" w:hAnsi="Times New Roman" w:cs="Times New Roman"/>
          <w:w w:val="110"/>
          <w:sz w:val="24"/>
          <w:szCs w:val="24"/>
        </w:rPr>
        <w:t xml:space="preserve"> </w:t>
      </w:r>
      <w:r w:rsidRPr="00751CBE">
        <w:rPr>
          <w:rFonts w:ascii="Times New Roman" w:hAnsi="Times New Roman" w:cs="Times New Roman"/>
          <w:w w:val="110"/>
          <w:sz w:val="24"/>
          <w:szCs w:val="24"/>
        </w:rPr>
        <w:lastRenderedPageBreak/>
        <w:t>Fruit Dextrose Agar and Asthana and Hawker’s medium. Compact colonies were formed on Potato Dextrose Agar, Brinjal Leaf Agar, V8 Juice Agar, Richard’s Agar and Brown’s Agar, whereas fluffy colonies developed on Oatmeal Agar, Potato Leaf Agar, Ashby’s Mannitol Agar, Coon’s Agar and Elliot’s Agar.</w:t>
      </w:r>
      <w:r>
        <w:rPr>
          <w:rFonts w:ascii="Times New Roman" w:hAnsi="Times New Roman" w:cs="Times New Roman"/>
          <w:w w:val="110"/>
          <w:sz w:val="24"/>
          <w:szCs w:val="24"/>
        </w:rPr>
        <w:t xml:space="preserve"> </w:t>
      </w:r>
    </w:p>
    <w:p w14:paraId="528A74D6" w14:textId="5EA0F36B" w:rsidR="005A315F" w:rsidRDefault="005A315F" w:rsidP="005A315F">
      <w:pPr>
        <w:spacing w:line="360" w:lineRule="auto"/>
        <w:ind w:firstLine="720"/>
        <w:jc w:val="both"/>
        <w:rPr>
          <w:rFonts w:ascii="Times New Roman" w:hAnsi="Times New Roman" w:cs="Times New Roman"/>
          <w:w w:val="110"/>
          <w:sz w:val="24"/>
          <w:szCs w:val="24"/>
        </w:rPr>
      </w:pPr>
      <w:r w:rsidRPr="00751CBE">
        <w:rPr>
          <w:rFonts w:ascii="Times New Roman" w:hAnsi="Times New Roman" w:cs="Times New Roman"/>
          <w:w w:val="110"/>
          <w:sz w:val="24"/>
          <w:szCs w:val="24"/>
        </w:rPr>
        <w:t xml:space="preserve">Sporulation intensity also varied among the media. Excellent (++++) sporulation was observed on Potato Dextrose Agar, Oatmeal Agar, Richard’s Agar and Asthana and Hawker’s medium. Good (+++) sporulation occurred on V8 Juice Agar and Ashby’s Mannitol Agar, while moderate (++) sporulation was recorded on Malt Extract Agar, </w:t>
      </w:r>
      <w:proofErr w:type="spellStart"/>
      <w:r w:rsidRPr="00751CBE">
        <w:rPr>
          <w:rFonts w:ascii="Times New Roman" w:hAnsi="Times New Roman" w:cs="Times New Roman"/>
          <w:w w:val="110"/>
          <w:sz w:val="24"/>
          <w:szCs w:val="24"/>
        </w:rPr>
        <w:t>Czapek’s</w:t>
      </w:r>
      <w:proofErr w:type="spellEnd"/>
      <w:r w:rsidRPr="00751CBE">
        <w:rPr>
          <w:rFonts w:ascii="Times New Roman" w:hAnsi="Times New Roman" w:cs="Times New Roman"/>
          <w:w w:val="110"/>
          <w:sz w:val="24"/>
          <w:szCs w:val="24"/>
        </w:rPr>
        <w:t xml:space="preserve"> </w:t>
      </w:r>
      <w:proofErr w:type="spellStart"/>
      <w:r w:rsidRPr="00751CBE">
        <w:rPr>
          <w:rFonts w:ascii="Times New Roman" w:hAnsi="Times New Roman" w:cs="Times New Roman"/>
          <w:w w:val="110"/>
          <w:sz w:val="24"/>
          <w:szCs w:val="24"/>
        </w:rPr>
        <w:t>Dox</w:t>
      </w:r>
      <w:proofErr w:type="spellEnd"/>
      <w:r w:rsidRPr="00751CBE">
        <w:rPr>
          <w:rFonts w:ascii="Times New Roman" w:hAnsi="Times New Roman" w:cs="Times New Roman"/>
          <w:w w:val="110"/>
          <w:sz w:val="24"/>
          <w:szCs w:val="24"/>
        </w:rPr>
        <w:t xml:space="preserve"> Agar, Potato Leaf Agar, Brinjal Fruit Dextrose Agar, Elliot’s Agar and Brown’s Agar. Poor (+) sporulation was noted on Brinjal Leaf Agar and Coon’s Agar.</w:t>
      </w:r>
      <w:r>
        <w:rPr>
          <w:rFonts w:ascii="Times New Roman" w:hAnsi="Times New Roman" w:cs="Times New Roman"/>
          <w:w w:val="110"/>
          <w:sz w:val="24"/>
          <w:szCs w:val="24"/>
        </w:rPr>
        <w:t xml:space="preserve"> </w:t>
      </w:r>
      <w:r w:rsidRPr="00751CBE">
        <w:rPr>
          <w:rFonts w:ascii="Times New Roman" w:hAnsi="Times New Roman" w:cs="Times New Roman"/>
          <w:w w:val="110"/>
          <w:sz w:val="24"/>
          <w:szCs w:val="24"/>
        </w:rPr>
        <w:t xml:space="preserve">Overall, Potato Dextrose Agar consistently supported the most vigorous mycelial growth and highest sporulation of </w:t>
      </w:r>
      <w:r w:rsidRPr="00751CBE">
        <w:rPr>
          <w:rFonts w:ascii="Times New Roman" w:hAnsi="Times New Roman" w:cs="Times New Roman"/>
          <w:i/>
          <w:iCs/>
          <w:w w:val="110"/>
          <w:sz w:val="24"/>
          <w:szCs w:val="24"/>
        </w:rPr>
        <w:t xml:space="preserve">A.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xml:space="preserve">, outperforming all other tested media. Oatmeal Agar, Asthana and Hawker’s and Richard’s Agar also promoted substantial growth and sporulation, whereas natural media derived from brinjal tissues generally showed lower growth and sporulation. These findings demonstrate the significant influence of culture medium composition on the growth dynamics, colony morphology, and reproductive potential of </w:t>
      </w:r>
      <w:r w:rsidRPr="00751CBE">
        <w:rPr>
          <w:rFonts w:ascii="Times New Roman" w:hAnsi="Times New Roman" w:cs="Times New Roman"/>
          <w:i/>
          <w:iCs/>
          <w:w w:val="110"/>
          <w:sz w:val="24"/>
          <w:szCs w:val="24"/>
        </w:rPr>
        <w:t xml:space="preserve">A. </w:t>
      </w:r>
      <w:proofErr w:type="spellStart"/>
      <w:r w:rsidRPr="00751CBE">
        <w:rPr>
          <w:rFonts w:ascii="Times New Roman" w:hAnsi="Times New Roman" w:cs="Times New Roman"/>
          <w:i/>
          <w:iCs/>
          <w:w w:val="110"/>
          <w:sz w:val="24"/>
          <w:szCs w:val="24"/>
        </w:rPr>
        <w:t>alternata</w:t>
      </w:r>
      <w:proofErr w:type="spellEnd"/>
      <w:r w:rsidRPr="00751CBE">
        <w:rPr>
          <w:rFonts w:ascii="Times New Roman" w:hAnsi="Times New Roman" w:cs="Times New Roman"/>
          <w:w w:val="110"/>
          <w:sz w:val="24"/>
          <w:szCs w:val="24"/>
        </w:rPr>
        <w:t>, providing valuable insights for its laboratory cultivation and experimental studies.</w:t>
      </w:r>
    </w:p>
    <w:p w14:paraId="4B007EB0" w14:textId="744D504D" w:rsidR="005A315F" w:rsidRPr="005A315F" w:rsidRDefault="005A315F" w:rsidP="005A315F">
      <w:pPr>
        <w:spacing w:line="360" w:lineRule="auto"/>
        <w:ind w:firstLine="720"/>
        <w:jc w:val="both"/>
        <w:rPr>
          <w:rFonts w:ascii="Times New Roman" w:hAnsi="Times New Roman" w:cs="Times New Roman"/>
          <w:sz w:val="24"/>
        </w:rPr>
      </w:pPr>
      <w:r w:rsidRPr="005A315F">
        <w:rPr>
          <w:rFonts w:ascii="Times New Roman" w:hAnsi="Times New Roman" w:cs="Times New Roman"/>
          <w:sz w:val="24"/>
        </w:rPr>
        <w:t xml:space="preserve">Nutrition plays a crucial role in the growth and sporulation of fungi. To identify a suitable basal medium for the mycelial growth and sporulation of </w:t>
      </w:r>
      <w:commentRangeStart w:id="5"/>
      <w:proofErr w:type="spellStart"/>
      <w:r w:rsidRPr="005A315F">
        <w:rPr>
          <w:rFonts w:ascii="Times New Roman" w:hAnsi="Times New Roman" w:cs="Times New Roman"/>
          <w:i/>
          <w:iCs/>
          <w:sz w:val="24"/>
        </w:rPr>
        <w:t>Alternaria</w:t>
      </w:r>
      <w:proofErr w:type="spellEnd"/>
      <w:r w:rsidRPr="005A315F">
        <w:rPr>
          <w:rFonts w:ascii="Times New Roman" w:hAnsi="Times New Roman" w:cs="Times New Roman"/>
          <w:i/>
          <w:iCs/>
          <w:sz w:val="24"/>
        </w:rPr>
        <w:t xml:space="preserve"> </w:t>
      </w:r>
      <w:proofErr w:type="spellStart"/>
      <w:r w:rsidRPr="005A315F">
        <w:rPr>
          <w:rFonts w:ascii="Times New Roman" w:hAnsi="Times New Roman" w:cs="Times New Roman"/>
          <w:i/>
          <w:iCs/>
          <w:sz w:val="24"/>
        </w:rPr>
        <w:t>alternata</w:t>
      </w:r>
      <w:commentRangeEnd w:id="5"/>
      <w:proofErr w:type="spellEnd"/>
      <w:r w:rsidR="004E42B1">
        <w:rPr>
          <w:rStyle w:val="CommentReference"/>
        </w:rPr>
        <w:commentReference w:id="5"/>
      </w:r>
      <w:r w:rsidRPr="005A315F">
        <w:rPr>
          <w:rFonts w:ascii="Times New Roman" w:hAnsi="Times New Roman" w:cs="Times New Roman"/>
          <w:sz w:val="24"/>
        </w:rPr>
        <w:t xml:space="preserve">, fourteen different culture media were evaluated </w:t>
      </w:r>
      <w:r w:rsidRPr="005A315F">
        <w:rPr>
          <w:rFonts w:ascii="Times New Roman" w:hAnsi="Times New Roman" w:cs="Times New Roman"/>
          <w:i/>
          <w:iCs/>
          <w:sz w:val="24"/>
        </w:rPr>
        <w:t>in vitro</w:t>
      </w:r>
      <w:r w:rsidRPr="005A315F">
        <w:rPr>
          <w:rFonts w:ascii="Times New Roman" w:hAnsi="Times New Roman" w:cs="Times New Roman"/>
          <w:sz w:val="24"/>
        </w:rPr>
        <w:t xml:space="preserve">. Among these, maximum fungal growth was observed on Potato Dextrose Agar, followed in descending order by Richard’s Agar, Asthana and Hawker’s medium, Oatmeal Agar, Malt Extract Agar, Brinjal Fruit Dextrose Agar, </w:t>
      </w:r>
      <w:proofErr w:type="spellStart"/>
      <w:r w:rsidRPr="005A315F">
        <w:rPr>
          <w:rFonts w:ascii="Times New Roman" w:hAnsi="Times New Roman" w:cs="Times New Roman"/>
          <w:sz w:val="24"/>
        </w:rPr>
        <w:t>Czapek’s</w:t>
      </w:r>
      <w:proofErr w:type="spellEnd"/>
      <w:r w:rsidRPr="005A315F">
        <w:rPr>
          <w:rFonts w:ascii="Times New Roman" w:hAnsi="Times New Roman" w:cs="Times New Roman"/>
          <w:sz w:val="24"/>
        </w:rPr>
        <w:t xml:space="preserve"> </w:t>
      </w:r>
      <w:proofErr w:type="spellStart"/>
      <w:r w:rsidRPr="005A315F">
        <w:rPr>
          <w:rFonts w:ascii="Times New Roman" w:hAnsi="Times New Roman" w:cs="Times New Roman"/>
          <w:sz w:val="24"/>
        </w:rPr>
        <w:t>Dox</w:t>
      </w:r>
      <w:proofErr w:type="spellEnd"/>
      <w:r w:rsidRPr="005A315F">
        <w:rPr>
          <w:rFonts w:ascii="Times New Roman" w:hAnsi="Times New Roman" w:cs="Times New Roman"/>
          <w:sz w:val="24"/>
        </w:rPr>
        <w:t xml:space="preserve"> Agar, Brown’s Agar, Elliot’s Agar, Coon’s Agar, V8 Juice Agar, Ashby’s Mannitol Agar and Potato Leaf Agar, with the minimum growth recorded on Brinjal Leaf Agar. Potato Dextrose Agar proved significantly superior to all other tested media. The data indicated a significant variation in fungal growth among the media on the 7th day after inoculation.</w:t>
      </w:r>
      <w:r>
        <w:rPr>
          <w:rFonts w:ascii="Times New Roman" w:hAnsi="Times New Roman" w:cs="Times New Roman"/>
          <w:sz w:val="24"/>
        </w:rPr>
        <w:t xml:space="preserve"> </w:t>
      </w:r>
      <w:r w:rsidRPr="005A315F">
        <w:rPr>
          <w:rFonts w:ascii="Times New Roman" w:hAnsi="Times New Roman" w:cs="Times New Roman"/>
          <w:sz w:val="24"/>
        </w:rPr>
        <w:t xml:space="preserve">These results align with earlier studies reporting Potato Dextrose Agar as the most favorable medium for the growth and sporulation of </w:t>
      </w:r>
      <w:r w:rsidRPr="005A315F">
        <w:rPr>
          <w:rFonts w:ascii="Times New Roman" w:hAnsi="Times New Roman" w:cs="Times New Roman"/>
          <w:i/>
          <w:iCs/>
          <w:sz w:val="24"/>
        </w:rPr>
        <w:t>Alternaria</w:t>
      </w:r>
      <w:r w:rsidRPr="005A315F">
        <w:rPr>
          <w:rFonts w:ascii="Times New Roman" w:hAnsi="Times New Roman" w:cs="Times New Roman"/>
          <w:sz w:val="24"/>
        </w:rPr>
        <w:t xml:space="preserve"> spp. (Yadav and Khan, 2008; Hubballi </w:t>
      </w:r>
      <w:r w:rsidRPr="005A315F">
        <w:rPr>
          <w:rFonts w:ascii="Times New Roman" w:hAnsi="Times New Roman" w:cs="Times New Roman"/>
          <w:i/>
          <w:iCs/>
          <w:sz w:val="24"/>
        </w:rPr>
        <w:t>et al</w:t>
      </w:r>
      <w:r w:rsidRPr="005A315F">
        <w:rPr>
          <w:rFonts w:ascii="Times New Roman" w:hAnsi="Times New Roman" w:cs="Times New Roman"/>
          <w:sz w:val="24"/>
        </w:rPr>
        <w:t xml:space="preserve">., 2010; </w:t>
      </w:r>
      <w:proofErr w:type="spellStart"/>
      <w:r w:rsidRPr="005A315F">
        <w:rPr>
          <w:rFonts w:ascii="Times New Roman" w:hAnsi="Times New Roman" w:cs="Times New Roman"/>
          <w:sz w:val="24"/>
        </w:rPr>
        <w:t>Apet</w:t>
      </w:r>
      <w:proofErr w:type="spellEnd"/>
      <w:r w:rsidRPr="005A315F">
        <w:rPr>
          <w:rFonts w:ascii="Times New Roman" w:hAnsi="Times New Roman" w:cs="Times New Roman"/>
          <w:sz w:val="24"/>
        </w:rPr>
        <w:t xml:space="preserve"> </w:t>
      </w:r>
      <w:r w:rsidRPr="005A315F">
        <w:rPr>
          <w:rFonts w:ascii="Times New Roman" w:hAnsi="Times New Roman" w:cs="Times New Roman"/>
          <w:i/>
          <w:iCs/>
          <w:sz w:val="24"/>
        </w:rPr>
        <w:t>et al.,</w:t>
      </w:r>
      <w:r w:rsidRPr="005A315F">
        <w:rPr>
          <w:rFonts w:ascii="Times New Roman" w:hAnsi="Times New Roman" w:cs="Times New Roman"/>
          <w:sz w:val="24"/>
        </w:rPr>
        <w:t xml:space="preserve"> 2014; </w:t>
      </w:r>
      <w:proofErr w:type="spellStart"/>
      <w:r w:rsidRPr="005A315F">
        <w:rPr>
          <w:rFonts w:ascii="Times New Roman" w:hAnsi="Times New Roman" w:cs="Times New Roman"/>
          <w:sz w:val="24"/>
        </w:rPr>
        <w:t>Shabana</w:t>
      </w:r>
      <w:proofErr w:type="spellEnd"/>
      <w:r w:rsidRPr="005A315F">
        <w:rPr>
          <w:rFonts w:ascii="Times New Roman" w:hAnsi="Times New Roman" w:cs="Times New Roman"/>
          <w:sz w:val="24"/>
        </w:rPr>
        <w:t xml:space="preserve"> </w:t>
      </w:r>
      <w:r w:rsidR="00061E4D">
        <w:rPr>
          <w:rFonts w:ascii="Times New Roman" w:hAnsi="Times New Roman" w:cs="Times New Roman"/>
          <w:sz w:val="24"/>
        </w:rPr>
        <w:t>and</w:t>
      </w:r>
      <w:r w:rsidR="00061E4D" w:rsidRPr="00061E4D">
        <w:rPr>
          <w:rFonts w:ascii="Times New Roman" w:hAnsi="Times New Roman" w:cs="Times New Roman"/>
          <w:color w:val="000000"/>
        </w:rPr>
        <w:t xml:space="preserve"> </w:t>
      </w:r>
      <w:proofErr w:type="spellStart"/>
      <w:r w:rsidR="00061E4D">
        <w:rPr>
          <w:rFonts w:ascii="Times New Roman" w:hAnsi="Times New Roman" w:cs="Times New Roman"/>
          <w:color w:val="000000"/>
        </w:rPr>
        <w:t>AboutbalIiham</w:t>
      </w:r>
      <w:proofErr w:type="spellEnd"/>
      <w:r w:rsidRPr="005A315F">
        <w:rPr>
          <w:rFonts w:ascii="Times New Roman" w:hAnsi="Times New Roman" w:cs="Times New Roman"/>
          <w:sz w:val="24"/>
        </w:rPr>
        <w:t xml:space="preserve">, 2015; </w:t>
      </w:r>
      <w:proofErr w:type="spellStart"/>
      <w:r w:rsidRPr="005A315F">
        <w:rPr>
          <w:rFonts w:ascii="Times New Roman" w:hAnsi="Times New Roman" w:cs="Times New Roman"/>
          <w:sz w:val="24"/>
        </w:rPr>
        <w:t>Koley</w:t>
      </w:r>
      <w:proofErr w:type="spellEnd"/>
      <w:r w:rsidRPr="005A315F">
        <w:rPr>
          <w:rFonts w:ascii="Times New Roman" w:hAnsi="Times New Roman" w:cs="Times New Roman"/>
          <w:sz w:val="24"/>
        </w:rPr>
        <w:t xml:space="preserve"> and Mahapatra, 2015). In contrast, </w:t>
      </w:r>
      <w:proofErr w:type="spellStart"/>
      <w:r w:rsidRPr="005A315F">
        <w:rPr>
          <w:rFonts w:ascii="Times New Roman" w:hAnsi="Times New Roman" w:cs="Times New Roman"/>
          <w:sz w:val="24"/>
        </w:rPr>
        <w:t>Ionnsidis</w:t>
      </w:r>
      <w:proofErr w:type="spellEnd"/>
      <w:r w:rsidRPr="005A315F">
        <w:rPr>
          <w:rFonts w:ascii="Times New Roman" w:hAnsi="Times New Roman" w:cs="Times New Roman"/>
          <w:sz w:val="24"/>
        </w:rPr>
        <w:t xml:space="preserve"> and Main (1973) reported the best growth and sporulation</w:t>
      </w:r>
      <w:r w:rsidR="00061E4D">
        <w:rPr>
          <w:rFonts w:ascii="Times New Roman" w:hAnsi="Times New Roman" w:cs="Times New Roman"/>
          <w:sz w:val="24"/>
        </w:rPr>
        <w:t xml:space="preserve"> </w:t>
      </w:r>
      <w:r w:rsidRPr="005A315F">
        <w:rPr>
          <w:rFonts w:ascii="Times New Roman" w:hAnsi="Times New Roman" w:cs="Times New Roman"/>
          <w:sz w:val="24"/>
        </w:rPr>
        <w:t xml:space="preserve">of </w:t>
      </w:r>
      <w:r w:rsidRPr="005A315F">
        <w:rPr>
          <w:rFonts w:ascii="Times New Roman" w:hAnsi="Times New Roman" w:cs="Times New Roman"/>
          <w:i/>
          <w:iCs/>
          <w:sz w:val="24"/>
        </w:rPr>
        <w:t xml:space="preserve">A. </w:t>
      </w:r>
      <w:proofErr w:type="spellStart"/>
      <w:r w:rsidRPr="005A315F">
        <w:rPr>
          <w:rFonts w:ascii="Times New Roman" w:hAnsi="Times New Roman" w:cs="Times New Roman"/>
          <w:i/>
          <w:iCs/>
          <w:sz w:val="24"/>
        </w:rPr>
        <w:t>alternata</w:t>
      </w:r>
      <w:proofErr w:type="spellEnd"/>
      <w:r w:rsidRPr="005A315F">
        <w:rPr>
          <w:rFonts w:ascii="Times New Roman" w:hAnsi="Times New Roman" w:cs="Times New Roman"/>
          <w:sz w:val="24"/>
        </w:rPr>
        <w:t xml:space="preserve"> on </w:t>
      </w:r>
      <w:commentRangeStart w:id="6"/>
      <w:r w:rsidRPr="005A315F">
        <w:rPr>
          <w:rFonts w:ascii="Times New Roman" w:hAnsi="Times New Roman" w:cs="Times New Roman"/>
          <w:sz w:val="24"/>
        </w:rPr>
        <w:t xml:space="preserve">Potato Dextrose Agar </w:t>
      </w:r>
      <w:commentRangeEnd w:id="6"/>
      <w:r w:rsidR="004E42B1">
        <w:rPr>
          <w:rStyle w:val="CommentReference"/>
        </w:rPr>
        <w:commentReference w:id="6"/>
      </w:r>
      <w:r w:rsidRPr="005A315F">
        <w:rPr>
          <w:rFonts w:ascii="Times New Roman" w:hAnsi="Times New Roman" w:cs="Times New Roman"/>
          <w:sz w:val="24"/>
        </w:rPr>
        <w:t xml:space="preserve">followed by Oatmeal Agar. Singh </w:t>
      </w:r>
      <w:r w:rsidR="00061E4D">
        <w:rPr>
          <w:rFonts w:ascii="Times New Roman" w:hAnsi="Times New Roman" w:cs="Times New Roman"/>
          <w:sz w:val="24"/>
        </w:rPr>
        <w:t>and</w:t>
      </w:r>
      <w:r w:rsidR="00061E4D" w:rsidRPr="00061E4D">
        <w:rPr>
          <w:rFonts w:ascii="Times New Roman" w:hAnsi="Times New Roman" w:cs="Times New Roman"/>
        </w:rPr>
        <w:t xml:space="preserve"> </w:t>
      </w:r>
      <w:r w:rsidR="00061E4D">
        <w:rPr>
          <w:rFonts w:ascii="Times New Roman" w:hAnsi="Times New Roman" w:cs="Times New Roman"/>
        </w:rPr>
        <w:t>Majumdar</w:t>
      </w:r>
      <w:r w:rsidRPr="005A315F">
        <w:rPr>
          <w:rFonts w:ascii="Times New Roman" w:hAnsi="Times New Roman" w:cs="Times New Roman"/>
          <w:sz w:val="24"/>
        </w:rPr>
        <w:t xml:space="preserve"> (2001) also observed that </w:t>
      </w:r>
      <w:commentRangeStart w:id="7"/>
      <w:r w:rsidRPr="005A315F">
        <w:rPr>
          <w:rFonts w:ascii="Times New Roman" w:hAnsi="Times New Roman" w:cs="Times New Roman"/>
          <w:sz w:val="24"/>
        </w:rPr>
        <w:t xml:space="preserve">Potato Dextrose Agar </w:t>
      </w:r>
      <w:commentRangeEnd w:id="7"/>
      <w:r w:rsidR="004E42B1">
        <w:rPr>
          <w:rStyle w:val="CommentReference"/>
        </w:rPr>
        <w:lastRenderedPageBreak/>
        <w:commentReference w:id="7"/>
      </w:r>
      <w:r w:rsidRPr="005A315F">
        <w:rPr>
          <w:rFonts w:ascii="Times New Roman" w:hAnsi="Times New Roman" w:cs="Times New Roman"/>
          <w:sz w:val="24"/>
        </w:rPr>
        <w:t xml:space="preserve">supported superior </w:t>
      </w:r>
      <w:proofErr w:type="spellStart"/>
      <w:r w:rsidRPr="005A315F">
        <w:rPr>
          <w:rFonts w:ascii="Times New Roman" w:hAnsi="Times New Roman" w:cs="Times New Roman"/>
          <w:sz w:val="24"/>
        </w:rPr>
        <w:t>mycelial</w:t>
      </w:r>
      <w:proofErr w:type="spellEnd"/>
      <w:r w:rsidRPr="005A315F">
        <w:rPr>
          <w:rFonts w:ascii="Times New Roman" w:hAnsi="Times New Roman" w:cs="Times New Roman"/>
          <w:sz w:val="24"/>
        </w:rPr>
        <w:t xml:space="preserve"> growth and sporulation of </w:t>
      </w:r>
      <w:r w:rsidRPr="005A315F">
        <w:rPr>
          <w:rFonts w:ascii="Times New Roman" w:hAnsi="Times New Roman" w:cs="Times New Roman"/>
          <w:i/>
          <w:iCs/>
          <w:sz w:val="24"/>
        </w:rPr>
        <w:t xml:space="preserve">A. </w:t>
      </w:r>
      <w:proofErr w:type="spellStart"/>
      <w:r w:rsidRPr="005A315F">
        <w:rPr>
          <w:rFonts w:ascii="Times New Roman" w:hAnsi="Times New Roman" w:cs="Times New Roman"/>
          <w:i/>
          <w:iCs/>
          <w:sz w:val="24"/>
        </w:rPr>
        <w:t>alternata</w:t>
      </w:r>
      <w:proofErr w:type="spellEnd"/>
      <w:r w:rsidRPr="005A315F">
        <w:rPr>
          <w:rFonts w:ascii="Times New Roman" w:hAnsi="Times New Roman" w:cs="Times New Roman"/>
          <w:sz w:val="24"/>
        </w:rPr>
        <w:t xml:space="preserve">, followed by Richard’s Agar, </w:t>
      </w:r>
      <w:proofErr w:type="spellStart"/>
      <w:r w:rsidRPr="005A315F">
        <w:rPr>
          <w:rFonts w:ascii="Times New Roman" w:hAnsi="Times New Roman" w:cs="Times New Roman"/>
          <w:sz w:val="24"/>
        </w:rPr>
        <w:t>Czapek’s</w:t>
      </w:r>
      <w:proofErr w:type="spellEnd"/>
      <w:r w:rsidRPr="005A315F">
        <w:rPr>
          <w:rFonts w:ascii="Times New Roman" w:hAnsi="Times New Roman" w:cs="Times New Roman"/>
          <w:sz w:val="24"/>
        </w:rPr>
        <w:t xml:space="preserve"> </w:t>
      </w:r>
      <w:proofErr w:type="spellStart"/>
      <w:r w:rsidRPr="005A315F">
        <w:rPr>
          <w:rFonts w:ascii="Times New Roman" w:hAnsi="Times New Roman" w:cs="Times New Roman"/>
          <w:sz w:val="24"/>
        </w:rPr>
        <w:t>Dox</w:t>
      </w:r>
      <w:proofErr w:type="spellEnd"/>
      <w:r w:rsidRPr="005A315F">
        <w:rPr>
          <w:rFonts w:ascii="Times New Roman" w:hAnsi="Times New Roman" w:cs="Times New Roman"/>
          <w:sz w:val="24"/>
        </w:rPr>
        <w:t xml:space="preserve"> Agar, and Asthana medium. Similarly, Ram </w:t>
      </w:r>
      <w:r w:rsidRPr="005A315F">
        <w:rPr>
          <w:rFonts w:ascii="Times New Roman" w:hAnsi="Times New Roman" w:cs="Times New Roman"/>
          <w:i/>
          <w:iCs/>
          <w:sz w:val="24"/>
        </w:rPr>
        <w:t>et al.</w:t>
      </w:r>
      <w:r w:rsidRPr="005A315F">
        <w:rPr>
          <w:rFonts w:ascii="Times New Roman" w:hAnsi="Times New Roman" w:cs="Times New Roman"/>
          <w:sz w:val="24"/>
        </w:rPr>
        <w:t xml:space="preserve"> (2007) reported maximum growth and sporulation of </w:t>
      </w:r>
      <w:r w:rsidRPr="005A315F">
        <w:rPr>
          <w:rFonts w:ascii="Times New Roman" w:hAnsi="Times New Roman" w:cs="Times New Roman"/>
          <w:i/>
          <w:iCs/>
          <w:sz w:val="24"/>
        </w:rPr>
        <w:t xml:space="preserve">A. </w:t>
      </w:r>
      <w:proofErr w:type="spellStart"/>
      <w:r w:rsidRPr="005A315F">
        <w:rPr>
          <w:rFonts w:ascii="Times New Roman" w:hAnsi="Times New Roman" w:cs="Times New Roman"/>
          <w:i/>
          <w:iCs/>
          <w:sz w:val="24"/>
        </w:rPr>
        <w:t>alternata</w:t>
      </w:r>
      <w:proofErr w:type="spellEnd"/>
      <w:r w:rsidRPr="005A315F">
        <w:rPr>
          <w:rFonts w:ascii="Times New Roman" w:hAnsi="Times New Roman" w:cs="Times New Roman"/>
          <w:sz w:val="24"/>
        </w:rPr>
        <w:t xml:space="preserve"> causing </w:t>
      </w:r>
      <w:proofErr w:type="spellStart"/>
      <w:r w:rsidRPr="005A315F">
        <w:rPr>
          <w:rFonts w:ascii="Times New Roman" w:hAnsi="Times New Roman" w:cs="Times New Roman"/>
          <w:sz w:val="24"/>
        </w:rPr>
        <w:t>Alternaria</w:t>
      </w:r>
      <w:proofErr w:type="spellEnd"/>
      <w:r w:rsidRPr="005A315F">
        <w:rPr>
          <w:rFonts w:ascii="Times New Roman" w:hAnsi="Times New Roman" w:cs="Times New Roman"/>
          <w:sz w:val="24"/>
        </w:rPr>
        <w:t xml:space="preserve"> fruit rot of </w:t>
      </w:r>
      <w:proofErr w:type="spellStart"/>
      <w:r w:rsidRPr="005A315F">
        <w:rPr>
          <w:rFonts w:ascii="Times New Roman" w:hAnsi="Times New Roman" w:cs="Times New Roman"/>
          <w:sz w:val="24"/>
        </w:rPr>
        <w:t>ber</w:t>
      </w:r>
      <w:proofErr w:type="spellEnd"/>
      <w:r w:rsidRPr="005A315F">
        <w:rPr>
          <w:rFonts w:ascii="Times New Roman" w:hAnsi="Times New Roman" w:cs="Times New Roman"/>
          <w:sz w:val="24"/>
        </w:rPr>
        <w:t xml:space="preserve"> on Potato Dextrose Agar, while Saeed </w:t>
      </w:r>
      <w:r w:rsidRPr="005A315F">
        <w:rPr>
          <w:rFonts w:ascii="Times New Roman" w:hAnsi="Times New Roman" w:cs="Times New Roman"/>
          <w:i/>
          <w:iCs/>
          <w:sz w:val="24"/>
        </w:rPr>
        <w:t>et al</w:t>
      </w:r>
      <w:r w:rsidRPr="005A315F">
        <w:rPr>
          <w:rFonts w:ascii="Times New Roman" w:hAnsi="Times New Roman" w:cs="Times New Roman"/>
          <w:sz w:val="24"/>
        </w:rPr>
        <w:t xml:space="preserve">. (1995) found Richard’s Agar to be the most favorable medium. This variation in growth across media is attributed to differences in their composition and the type of carbon sources available. These observations are further supported by Madhavi </w:t>
      </w:r>
      <w:r w:rsidRPr="005A315F">
        <w:rPr>
          <w:rFonts w:ascii="Times New Roman" w:hAnsi="Times New Roman" w:cs="Times New Roman"/>
          <w:i/>
          <w:iCs/>
          <w:sz w:val="24"/>
        </w:rPr>
        <w:t>et al.</w:t>
      </w:r>
      <w:r w:rsidRPr="005A315F">
        <w:rPr>
          <w:rFonts w:ascii="Times New Roman" w:hAnsi="Times New Roman" w:cs="Times New Roman"/>
          <w:sz w:val="24"/>
        </w:rPr>
        <w:t xml:space="preserve"> (2012), Samuel </w:t>
      </w:r>
      <w:r w:rsidRPr="005A315F">
        <w:rPr>
          <w:rFonts w:ascii="Times New Roman" w:hAnsi="Times New Roman" w:cs="Times New Roman"/>
          <w:i/>
          <w:iCs/>
          <w:sz w:val="24"/>
        </w:rPr>
        <w:t>et al</w:t>
      </w:r>
      <w:r w:rsidRPr="005A315F">
        <w:rPr>
          <w:rFonts w:ascii="Times New Roman" w:hAnsi="Times New Roman" w:cs="Times New Roman"/>
          <w:sz w:val="24"/>
        </w:rPr>
        <w:t xml:space="preserve">. (1972), Jash </w:t>
      </w:r>
      <w:r w:rsidRPr="005A315F">
        <w:rPr>
          <w:rFonts w:ascii="Times New Roman" w:hAnsi="Times New Roman" w:cs="Times New Roman"/>
          <w:i/>
          <w:iCs/>
          <w:sz w:val="24"/>
        </w:rPr>
        <w:t>et al.</w:t>
      </w:r>
      <w:r w:rsidRPr="005A315F">
        <w:rPr>
          <w:rFonts w:ascii="Times New Roman" w:hAnsi="Times New Roman" w:cs="Times New Roman"/>
          <w:sz w:val="24"/>
        </w:rPr>
        <w:t xml:space="preserve"> (2003) and Mohapatra </w:t>
      </w:r>
      <w:r w:rsidRPr="005A315F">
        <w:rPr>
          <w:rFonts w:ascii="Times New Roman" w:hAnsi="Times New Roman" w:cs="Times New Roman"/>
          <w:i/>
          <w:iCs/>
          <w:sz w:val="24"/>
        </w:rPr>
        <w:t>et al.</w:t>
      </w:r>
      <w:r w:rsidRPr="005A315F">
        <w:rPr>
          <w:rFonts w:ascii="Times New Roman" w:hAnsi="Times New Roman" w:cs="Times New Roman"/>
          <w:sz w:val="24"/>
        </w:rPr>
        <w:t xml:space="preserve"> (1978).</w:t>
      </w:r>
      <w:r>
        <w:rPr>
          <w:rFonts w:ascii="Times New Roman" w:hAnsi="Times New Roman" w:cs="Times New Roman"/>
          <w:sz w:val="24"/>
        </w:rPr>
        <w:t xml:space="preserve"> </w:t>
      </w:r>
      <w:r w:rsidRPr="005A315F">
        <w:rPr>
          <w:rFonts w:ascii="Times New Roman" w:hAnsi="Times New Roman" w:cs="Times New Roman"/>
          <w:sz w:val="24"/>
        </w:rPr>
        <w:t xml:space="preserve">Regarding sporulation, </w:t>
      </w:r>
      <w:commentRangeStart w:id="8"/>
      <w:r w:rsidRPr="005A315F">
        <w:rPr>
          <w:rFonts w:ascii="Times New Roman" w:hAnsi="Times New Roman" w:cs="Times New Roman"/>
          <w:sz w:val="24"/>
        </w:rPr>
        <w:t>Potato Dextrose Agar</w:t>
      </w:r>
      <w:commentRangeEnd w:id="8"/>
      <w:r w:rsidR="004E42B1">
        <w:rPr>
          <w:rStyle w:val="CommentReference"/>
        </w:rPr>
        <w:commentReference w:id="8"/>
      </w:r>
      <w:r w:rsidRPr="005A315F">
        <w:rPr>
          <w:rFonts w:ascii="Times New Roman" w:hAnsi="Times New Roman" w:cs="Times New Roman"/>
          <w:sz w:val="24"/>
        </w:rPr>
        <w:t xml:space="preserve">, Oatmeal Agar, Richard’s Agar and Asthana and Hawker’s medium exhibited excellent (++++) sporulation, while V8 Juice Agar and Ashby’s Mannitol Agar showed good (+++) sporulation. These findings are consistent with reports by Khan </w:t>
      </w:r>
      <w:r w:rsidRPr="005A315F">
        <w:rPr>
          <w:rFonts w:ascii="Times New Roman" w:hAnsi="Times New Roman" w:cs="Times New Roman"/>
          <w:i/>
          <w:iCs/>
          <w:sz w:val="24"/>
        </w:rPr>
        <w:t>et al.</w:t>
      </w:r>
      <w:r w:rsidRPr="005A315F">
        <w:rPr>
          <w:rFonts w:ascii="Times New Roman" w:hAnsi="Times New Roman" w:cs="Times New Roman"/>
          <w:sz w:val="24"/>
        </w:rPr>
        <w:t xml:space="preserve"> (2007), </w:t>
      </w:r>
      <w:proofErr w:type="spellStart"/>
      <w:r w:rsidRPr="005A315F">
        <w:rPr>
          <w:rFonts w:ascii="Times New Roman" w:hAnsi="Times New Roman" w:cs="Times New Roman"/>
          <w:sz w:val="24"/>
        </w:rPr>
        <w:t>Ramjegathesh</w:t>
      </w:r>
      <w:proofErr w:type="spellEnd"/>
      <w:r w:rsidRPr="005A315F">
        <w:rPr>
          <w:rFonts w:ascii="Times New Roman" w:hAnsi="Times New Roman" w:cs="Times New Roman"/>
          <w:sz w:val="24"/>
        </w:rPr>
        <w:t xml:space="preserve"> and </w:t>
      </w:r>
      <w:proofErr w:type="spellStart"/>
      <w:r w:rsidRPr="005A315F">
        <w:rPr>
          <w:rFonts w:ascii="Times New Roman" w:hAnsi="Times New Roman" w:cs="Times New Roman"/>
          <w:sz w:val="24"/>
        </w:rPr>
        <w:t>Ebeneazar</w:t>
      </w:r>
      <w:proofErr w:type="spellEnd"/>
      <w:r w:rsidRPr="005A315F">
        <w:rPr>
          <w:rFonts w:ascii="Times New Roman" w:hAnsi="Times New Roman" w:cs="Times New Roman"/>
          <w:sz w:val="24"/>
        </w:rPr>
        <w:t xml:space="preserve"> (2012), </w:t>
      </w:r>
      <w:r w:rsidRPr="00471EF3">
        <w:rPr>
          <w:rFonts w:ascii="Times New Roman" w:hAnsi="Times New Roman" w:cs="Times New Roman"/>
          <w:sz w:val="24"/>
        </w:rPr>
        <w:t xml:space="preserve">Gaikwad </w:t>
      </w:r>
      <w:r w:rsidRPr="00471EF3">
        <w:rPr>
          <w:rFonts w:ascii="Times New Roman" w:hAnsi="Times New Roman" w:cs="Times New Roman"/>
          <w:i/>
          <w:iCs/>
          <w:sz w:val="24"/>
        </w:rPr>
        <w:t>et al.</w:t>
      </w:r>
      <w:r w:rsidRPr="00471EF3">
        <w:rPr>
          <w:rFonts w:ascii="Times New Roman" w:hAnsi="Times New Roman" w:cs="Times New Roman"/>
          <w:sz w:val="24"/>
        </w:rPr>
        <w:t xml:space="preserve"> (2014</w:t>
      </w:r>
      <w:r w:rsidRPr="005A315F">
        <w:rPr>
          <w:rFonts w:ascii="Times New Roman" w:hAnsi="Times New Roman" w:cs="Times New Roman"/>
          <w:sz w:val="24"/>
        </w:rPr>
        <w:t xml:space="preserve">), Koley and Mahapatra (2015) and Krishna </w:t>
      </w:r>
      <w:r w:rsidRPr="005A315F">
        <w:rPr>
          <w:rFonts w:ascii="Times New Roman" w:hAnsi="Times New Roman" w:cs="Times New Roman"/>
          <w:i/>
          <w:iCs/>
          <w:sz w:val="24"/>
        </w:rPr>
        <w:t>et al</w:t>
      </w:r>
      <w:r w:rsidRPr="005A315F">
        <w:rPr>
          <w:rFonts w:ascii="Times New Roman" w:hAnsi="Times New Roman" w:cs="Times New Roman"/>
          <w:sz w:val="24"/>
        </w:rPr>
        <w:t xml:space="preserve">. (2018). Conversely, poor (+) sporulation was observed on Radish Leaf Extract Agar and Richard’s Agar. Overall, Potato Dextrose Agar emerged as the most suitable medium for supporting both robust growth and high sporulation of </w:t>
      </w:r>
      <w:r w:rsidRPr="005A315F">
        <w:rPr>
          <w:rFonts w:ascii="Times New Roman" w:hAnsi="Times New Roman" w:cs="Times New Roman"/>
          <w:i/>
          <w:iCs/>
          <w:sz w:val="24"/>
        </w:rPr>
        <w:t>Alternaria</w:t>
      </w:r>
      <w:r w:rsidRPr="005A315F">
        <w:rPr>
          <w:rFonts w:ascii="Times New Roman" w:hAnsi="Times New Roman" w:cs="Times New Roman"/>
          <w:sz w:val="24"/>
        </w:rPr>
        <w:t xml:space="preserve"> spp.</w:t>
      </w:r>
    </w:p>
    <w:p w14:paraId="03E5C9A0" w14:textId="77777777" w:rsidR="002C4ADA" w:rsidRDefault="002C4ADA">
      <w:pPr>
        <w:spacing w:line="360" w:lineRule="auto"/>
        <w:ind w:firstLine="720"/>
        <w:jc w:val="both"/>
        <w:rPr>
          <w:rFonts w:ascii="Times New Roman" w:hAnsi="Times New Roman" w:cs="Times New Roman"/>
          <w:w w:val="110"/>
          <w:sz w:val="24"/>
          <w:szCs w:val="24"/>
        </w:rPr>
        <w:sectPr w:rsidR="002C4ADA">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170" w:left="1440" w:header="720" w:footer="720" w:gutter="0"/>
          <w:cols w:space="720"/>
          <w:docGrid w:linePitch="360"/>
        </w:sectPr>
      </w:pPr>
    </w:p>
    <w:p w14:paraId="2174ACE9" w14:textId="292FFA9A" w:rsidR="002C4ADA" w:rsidRDefault="00C467A7">
      <w:pPr>
        <w:spacing w:line="360" w:lineRule="auto"/>
        <w:ind w:hanging="540"/>
        <w:rPr>
          <w:rFonts w:ascii="Times New Roman" w:hAnsi="Times New Roman" w:cs="Times New Roman"/>
          <w:b/>
          <w:sz w:val="24"/>
          <w:szCs w:val="24"/>
        </w:rPr>
      </w:pPr>
      <w:r>
        <w:rPr>
          <w:rFonts w:ascii="Times New Roman" w:hAnsi="Times New Roman" w:cs="Times New Roman"/>
          <w:b/>
          <w:sz w:val="24"/>
          <w:szCs w:val="24"/>
        </w:rPr>
        <w:lastRenderedPageBreak/>
        <w:t>Table-</w:t>
      </w:r>
      <w:r w:rsidR="008A234C">
        <w:rPr>
          <w:rFonts w:ascii="Times New Roman" w:hAnsi="Times New Roman" w:cs="Times New Roman"/>
          <w:b/>
          <w:sz w:val="24"/>
          <w:szCs w:val="24"/>
        </w:rPr>
        <w:t>2</w:t>
      </w:r>
      <w:r>
        <w:rPr>
          <w:rFonts w:ascii="Times New Roman" w:hAnsi="Times New Roman" w:cs="Times New Roman"/>
          <w:b/>
          <w:sz w:val="24"/>
          <w:szCs w:val="24"/>
        </w:rPr>
        <w:t xml:space="preserve">: Effect of various culture media on cultural characteristics and sporulation of </w:t>
      </w:r>
      <w:r>
        <w:rPr>
          <w:rFonts w:ascii="Times New Roman" w:hAnsi="Times New Roman" w:cs="Times New Roman"/>
          <w:b/>
          <w:i/>
          <w:iCs/>
          <w:sz w:val="24"/>
          <w:szCs w:val="24"/>
        </w:rPr>
        <w:t xml:space="preserve">A. </w:t>
      </w:r>
      <w:proofErr w:type="spellStart"/>
      <w:r>
        <w:rPr>
          <w:rFonts w:ascii="Times New Roman" w:hAnsi="Times New Roman" w:cs="Times New Roman"/>
          <w:b/>
          <w:i/>
          <w:iCs/>
          <w:sz w:val="24"/>
          <w:szCs w:val="24"/>
        </w:rPr>
        <w:t>alternata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 xml:space="preserve">causing </w:t>
      </w:r>
      <w:proofErr w:type="spellStart"/>
      <w:r>
        <w:rPr>
          <w:rFonts w:ascii="Times New Roman" w:hAnsi="Times New Roman" w:cs="Times New Roman"/>
          <w:b/>
          <w:sz w:val="24"/>
          <w:szCs w:val="24"/>
        </w:rPr>
        <w:t>Alternaria</w:t>
      </w:r>
      <w:proofErr w:type="spellEnd"/>
      <w:r>
        <w:rPr>
          <w:rFonts w:ascii="Times New Roman" w:hAnsi="Times New Roman" w:cs="Times New Roman"/>
          <w:b/>
          <w:sz w:val="24"/>
          <w:szCs w:val="24"/>
        </w:rPr>
        <w:t xml:space="preserve"> leaf spot in Brinjal.</w:t>
      </w:r>
    </w:p>
    <w:tbl>
      <w:tblPr>
        <w:tblStyle w:val="TableGrid"/>
        <w:tblW w:w="14220" w:type="dxa"/>
        <w:tblInd w:w="-432" w:type="dxa"/>
        <w:tblLook w:val="04A0" w:firstRow="1" w:lastRow="0" w:firstColumn="1" w:lastColumn="0" w:noHBand="0" w:noVBand="1"/>
      </w:tblPr>
      <w:tblGrid>
        <w:gridCol w:w="1080"/>
        <w:gridCol w:w="2970"/>
        <w:gridCol w:w="1710"/>
        <w:gridCol w:w="1440"/>
        <w:gridCol w:w="1620"/>
        <w:gridCol w:w="1980"/>
        <w:gridCol w:w="1800"/>
        <w:gridCol w:w="1620"/>
      </w:tblGrid>
      <w:tr w:rsidR="002C4ADA" w14:paraId="667BFC45" w14:textId="77777777">
        <w:trPr>
          <w:trHeight w:val="165"/>
        </w:trPr>
        <w:tc>
          <w:tcPr>
            <w:tcW w:w="1080" w:type="dxa"/>
            <w:vMerge w:val="restart"/>
          </w:tcPr>
          <w:p w14:paraId="141A1973" w14:textId="77777777" w:rsidR="002C4ADA" w:rsidRDefault="00C467A7">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tc>
        <w:tc>
          <w:tcPr>
            <w:tcW w:w="2970" w:type="dxa"/>
            <w:vMerge w:val="restart"/>
          </w:tcPr>
          <w:p w14:paraId="484F0A19" w14:textId="77777777" w:rsidR="002C4ADA" w:rsidRDefault="00C467A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Culture media </w:t>
            </w:r>
          </w:p>
        </w:tc>
        <w:tc>
          <w:tcPr>
            <w:tcW w:w="4770" w:type="dxa"/>
            <w:gridSpan w:val="3"/>
          </w:tcPr>
          <w:p w14:paraId="1B433933"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Radial mycelial growth (in mm)</w:t>
            </w:r>
          </w:p>
        </w:tc>
        <w:tc>
          <w:tcPr>
            <w:tcW w:w="1980" w:type="dxa"/>
            <w:vMerge w:val="restart"/>
          </w:tcPr>
          <w:p w14:paraId="7CF62461" w14:textId="77777777" w:rsidR="002C4ADA" w:rsidRDefault="002C4ADA">
            <w:pPr>
              <w:spacing w:line="360" w:lineRule="auto"/>
              <w:jc w:val="center"/>
              <w:rPr>
                <w:rFonts w:ascii="Times New Roman" w:hAnsi="Times New Roman" w:cs="Times New Roman"/>
                <w:b/>
                <w:sz w:val="24"/>
                <w:szCs w:val="24"/>
              </w:rPr>
            </w:pPr>
          </w:p>
          <w:p w14:paraId="09DE88B0"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Colony </w:t>
            </w:r>
            <w:proofErr w:type="spellStart"/>
            <w:r>
              <w:rPr>
                <w:rFonts w:ascii="Times New Roman" w:hAnsi="Times New Roman" w:cs="Times New Roman"/>
                <w:b/>
                <w:sz w:val="24"/>
                <w:szCs w:val="24"/>
              </w:rPr>
              <w:t>colour</w:t>
            </w:r>
            <w:proofErr w:type="spellEnd"/>
          </w:p>
        </w:tc>
        <w:tc>
          <w:tcPr>
            <w:tcW w:w="1800" w:type="dxa"/>
            <w:vMerge w:val="restart"/>
          </w:tcPr>
          <w:p w14:paraId="392E8DB2" w14:textId="77777777" w:rsidR="002C4ADA" w:rsidRDefault="002C4ADA">
            <w:pPr>
              <w:spacing w:line="360" w:lineRule="auto"/>
              <w:jc w:val="center"/>
              <w:rPr>
                <w:rFonts w:ascii="Times New Roman" w:hAnsi="Times New Roman" w:cs="Times New Roman"/>
                <w:b/>
                <w:sz w:val="24"/>
                <w:szCs w:val="24"/>
              </w:rPr>
            </w:pPr>
          </w:p>
          <w:p w14:paraId="49FEC3A0"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Texture</w:t>
            </w:r>
          </w:p>
        </w:tc>
        <w:tc>
          <w:tcPr>
            <w:tcW w:w="1620" w:type="dxa"/>
            <w:vMerge w:val="restart"/>
          </w:tcPr>
          <w:p w14:paraId="4DA3A26C" w14:textId="77777777" w:rsidR="002C4ADA" w:rsidRDefault="002C4ADA">
            <w:pPr>
              <w:spacing w:line="360" w:lineRule="auto"/>
              <w:jc w:val="center"/>
              <w:rPr>
                <w:rFonts w:ascii="Times New Roman" w:hAnsi="Times New Roman" w:cs="Times New Roman"/>
                <w:b/>
                <w:sz w:val="24"/>
                <w:szCs w:val="24"/>
              </w:rPr>
            </w:pPr>
          </w:p>
          <w:p w14:paraId="199AE62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Sporulation</w:t>
            </w:r>
          </w:p>
        </w:tc>
      </w:tr>
      <w:tr w:rsidR="002C4ADA" w14:paraId="1236B7E2" w14:textId="77777777">
        <w:trPr>
          <w:trHeight w:val="105"/>
        </w:trPr>
        <w:tc>
          <w:tcPr>
            <w:tcW w:w="1080" w:type="dxa"/>
            <w:vMerge/>
          </w:tcPr>
          <w:p w14:paraId="3D89D34F" w14:textId="77777777" w:rsidR="002C4ADA" w:rsidRDefault="002C4ADA">
            <w:pPr>
              <w:spacing w:line="360" w:lineRule="auto"/>
              <w:jc w:val="center"/>
              <w:rPr>
                <w:rFonts w:ascii="Times New Roman" w:hAnsi="Times New Roman" w:cs="Times New Roman"/>
                <w:b/>
                <w:sz w:val="24"/>
                <w:szCs w:val="24"/>
              </w:rPr>
            </w:pPr>
          </w:p>
        </w:tc>
        <w:tc>
          <w:tcPr>
            <w:tcW w:w="2970" w:type="dxa"/>
            <w:vMerge/>
          </w:tcPr>
          <w:p w14:paraId="6B7C5B48" w14:textId="77777777" w:rsidR="002C4ADA" w:rsidRDefault="002C4ADA">
            <w:pPr>
              <w:spacing w:line="360" w:lineRule="auto"/>
              <w:rPr>
                <w:rFonts w:ascii="Times New Roman" w:hAnsi="Times New Roman" w:cs="Times New Roman"/>
                <w:b/>
                <w:sz w:val="24"/>
                <w:szCs w:val="24"/>
              </w:rPr>
            </w:pPr>
          </w:p>
        </w:tc>
        <w:tc>
          <w:tcPr>
            <w:tcW w:w="1710" w:type="dxa"/>
          </w:tcPr>
          <w:p w14:paraId="1CC6D457"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3DAI</w:t>
            </w:r>
          </w:p>
        </w:tc>
        <w:tc>
          <w:tcPr>
            <w:tcW w:w="1440" w:type="dxa"/>
          </w:tcPr>
          <w:p w14:paraId="12CCD8C3"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5DAI</w:t>
            </w:r>
          </w:p>
        </w:tc>
        <w:tc>
          <w:tcPr>
            <w:tcW w:w="1620" w:type="dxa"/>
          </w:tcPr>
          <w:p w14:paraId="57A46B6F"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7DAI</w:t>
            </w:r>
          </w:p>
        </w:tc>
        <w:tc>
          <w:tcPr>
            <w:tcW w:w="1980" w:type="dxa"/>
            <w:vMerge/>
          </w:tcPr>
          <w:p w14:paraId="59BA5CCF" w14:textId="77777777" w:rsidR="002C4ADA" w:rsidRDefault="002C4ADA">
            <w:pPr>
              <w:spacing w:line="360" w:lineRule="auto"/>
              <w:rPr>
                <w:rFonts w:ascii="Times New Roman" w:hAnsi="Times New Roman" w:cs="Times New Roman"/>
                <w:sz w:val="24"/>
                <w:szCs w:val="24"/>
              </w:rPr>
            </w:pPr>
          </w:p>
        </w:tc>
        <w:tc>
          <w:tcPr>
            <w:tcW w:w="1800" w:type="dxa"/>
            <w:vMerge/>
          </w:tcPr>
          <w:p w14:paraId="5D876915" w14:textId="77777777" w:rsidR="002C4ADA" w:rsidRDefault="002C4ADA">
            <w:pPr>
              <w:spacing w:line="360" w:lineRule="auto"/>
              <w:rPr>
                <w:rFonts w:ascii="Times New Roman" w:hAnsi="Times New Roman" w:cs="Times New Roman"/>
                <w:sz w:val="24"/>
                <w:szCs w:val="24"/>
              </w:rPr>
            </w:pPr>
          </w:p>
        </w:tc>
        <w:tc>
          <w:tcPr>
            <w:tcW w:w="1620" w:type="dxa"/>
            <w:vMerge/>
          </w:tcPr>
          <w:p w14:paraId="2ED73C72" w14:textId="77777777" w:rsidR="002C4ADA" w:rsidRDefault="002C4ADA">
            <w:pPr>
              <w:spacing w:line="360" w:lineRule="auto"/>
              <w:rPr>
                <w:rFonts w:ascii="Times New Roman" w:hAnsi="Times New Roman" w:cs="Times New Roman"/>
                <w:sz w:val="24"/>
                <w:szCs w:val="24"/>
              </w:rPr>
            </w:pPr>
          </w:p>
        </w:tc>
      </w:tr>
      <w:tr w:rsidR="002C4ADA" w14:paraId="2B81241E" w14:textId="77777777">
        <w:tc>
          <w:tcPr>
            <w:tcW w:w="1080" w:type="dxa"/>
          </w:tcPr>
          <w:p w14:paraId="5839241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tcPr>
          <w:p w14:paraId="232AF2D5"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Malt Extract  Agar</w:t>
            </w:r>
          </w:p>
        </w:tc>
        <w:tc>
          <w:tcPr>
            <w:tcW w:w="1710" w:type="dxa"/>
          </w:tcPr>
          <w:p w14:paraId="41B292B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31.67</w:t>
            </w:r>
          </w:p>
        </w:tc>
        <w:tc>
          <w:tcPr>
            <w:tcW w:w="1440" w:type="dxa"/>
            <w:vAlign w:val="bottom"/>
          </w:tcPr>
          <w:p w14:paraId="7AB47A28"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47.33</w:t>
            </w:r>
          </w:p>
        </w:tc>
        <w:tc>
          <w:tcPr>
            <w:tcW w:w="1620" w:type="dxa"/>
          </w:tcPr>
          <w:p w14:paraId="78BF496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58.00 </w:t>
            </w:r>
          </w:p>
        </w:tc>
        <w:tc>
          <w:tcPr>
            <w:tcW w:w="1980" w:type="dxa"/>
          </w:tcPr>
          <w:p w14:paraId="5D6F5AB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13F81326"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2F03452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D17E4DB" w14:textId="77777777">
        <w:tc>
          <w:tcPr>
            <w:tcW w:w="1080" w:type="dxa"/>
          </w:tcPr>
          <w:p w14:paraId="14534DC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0" w:type="dxa"/>
          </w:tcPr>
          <w:p w14:paraId="5ADC35BE" w14:textId="77777777" w:rsidR="002C4ADA" w:rsidRDefault="00C467A7">
            <w:pPr>
              <w:spacing w:line="360" w:lineRule="auto"/>
              <w:rPr>
                <w:rFonts w:ascii="Times New Roman" w:hAnsi="Times New Roman" w:cs="Times New Roman"/>
                <w:sz w:val="24"/>
                <w:szCs w:val="24"/>
              </w:rPr>
            </w:pPr>
            <w:proofErr w:type="spellStart"/>
            <w:r>
              <w:rPr>
                <w:rFonts w:ascii="Times New Roman" w:hAnsi="Times New Roman" w:cs="Times New Roman"/>
                <w:w w:val="110"/>
                <w:sz w:val="24"/>
                <w:szCs w:val="24"/>
              </w:rPr>
              <w:t>Czapek’s</w:t>
            </w:r>
            <w:proofErr w:type="spellEnd"/>
            <w:r>
              <w:rPr>
                <w:rFonts w:ascii="Times New Roman" w:hAnsi="Times New Roman" w:cs="Times New Roman"/>
                <w:w w:val="110"/>
                <w:sz w:val="24"/>
                <w:szCs w:val="24"/>
              </w:rPr>
              <w:t xml:space="preserve"> </w:t>
            </w:r>
            <w:proofErr w:type="spellStart"/>
            <w:r>
              <w:rPr>
                <w:rFonts w:ascii="Times New Roman" w:hAnsi="Times New Roman" w:cs="Times New Roman"/>
                <w:w w:val="110"/>
                <w:sz w:val="24"/>
                <w:szCs w:val="24"/>
              </w:rPr>
              <w:t>Dox</w:t>
            </w:r>
            <w:proofErr w:type="spellEnd"/>
            <w:r>
              <w:rPr>
                <w:rFonts w:ascii="Times New Roman" w:hAnsi="Times New Roman" w:cs="Times New Roman"/>
                <w:w w:val="110"/>
                <w:sz w:val="24"/>
                <w:szCs w:val="24"/>
              </w:rPr>
              <w:t xml:space="preserve"> Agar</w:t>
            </w:r>
          </w:p>
        </w:tc>
        <w:tc>
          <w:tcPr>
            <w:tcW w:w="1710" w:type="dxa"/>
          </w:tcPr>
          <w:p w14:paraId="4D06A16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29.00</w:t>
            </w:r>
          </w:p>
        </w:tc>
        <w:tc>
          <w:tcPr>
            <w:tcW w:w="1440" w:type="dxa"/>
            <w:vAlign w:val="bottom"/>
          </w:tcPr>
          <w:p w14:paraId="126B9F8D"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1620" w:type="dxa"/>
          </w:tcPr>
          <w:p w14:paraId="45D4AC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52.00</w:t>
            </w:r>
          </w:p>
        </w:tc>
        <w:tc>
          <w:tcPr>
            <w:tcW w:w="1980" w:type="dxa"/>
          </w:tcPr>
          <w:p w14:paraId="0AEE7B9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7A0936E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4E8C72A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40A1A36B" w14:textId="77777777">
        <w:tc>
          <w:tcPr>
            <w:tcW w:w="1080" w:type="dxa"/>
          </w:tcPr>
          <w:p w14:paraId="18B3A47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0" w:type="dxa"/>
          </w:tcPr>
          <w:p w14:paraId="3EBA1DDC"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Potato Dextrose Agar</w:t>
            </w:r>
          </w:p>
        </w:tc>
        <w:tc>
          <w:tcPr>
            <w:tcW w:w="1710" w:type="dxa"/>
          </w:tcPr>
          <w:p w14:paraId="0518619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48.00</w:t>
            </w:r>
          </w:p>
        </w:tc>
        <w:tc>
          <w:tcPr>
            <w:tcW w:w="1440" w:type="dxa"/>
            <w:vAlign w:val="bottom"/>
          </w:tcPr>
          <w:p w14:paraId="136450BF"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63.67</w:t>
            </w:r>
          </w:p>
        </w:tc>
        <w:tc>
          <w:tcPr>
            <w:tcW w:w="1620" w:type="dxa"/>
          </w:tcPr>
          <w:p w14:paraId="0A7A6B0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86.67</w:t>
            </w:r>
          </w:p>
        </w:tc>
        <w:tc>
          <w:tcPr>
            <w:tcW w:w="1980" w:type="dxa"/>
          </w:tcPr>
          <w:p w14:paraId="1568DBD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72C76B7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6772F804" w14:textId="77777777" w:rsidR="002C4ADA" w:rsidRDefault="00C467A7">
            <w:pPr>
              <w:pStyle w:val="Default"/>
              <w:spacing w:line="360" w:lineRule="auto"/>
              <w:jc w:val="center"/>
            </w:pPr>
            <w:r>
              <w:t>++++</w:t>
            </w:r>
          </w:p>
        </w:tc>
      </w:tr>
      <w:tr w:rsidR="002C4ADA" w14:paraId="7A709730" w14:textId="77777777">
        <w:tc>
          <w:tcPr>
            <w:tcW w:w="1080" w:type="dxa"/>
          </w:tcPr>
          <w:p w14:paraId="1407244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0" w:type="dxa"/>
          </w:tcPr>
          <w:p w14:paraId="71077A8D"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Brinjal</w:t>
            </w:r>
            <w:r>
              <w:rPr>
                <w:rFonts w:ascii="Times New Roman" w:hAnsi="Times New Roman" w:cs="Times New Roman"/>
                <w:sz w:val="24"/>
                <w:szCs w:val="24"/>
                <w:lang w:val="en-IN" w:eastAsia="en-IN"/>
              </w:rPr>
              <w:t xml:space="preserve"> leaf  agar</w:t>
            </w:r>
          </w:p>
        </w:tc>
        <w:tc>
          <w:tcPr>
            <w:tcW w:w="1710" w:type="dxa"/>
          </w:tcPr>
          <w:p w14:paraId="46F56D5B"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1440" w:type="dxa"/>
            <w:vAlign w:val="bottom"/>
          </w:tcPr>
          <w:p w14:paraId="507118E5"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37.00</w:t>
            </w:r>
          </w:p>
        </w:tc>
        <w:tc>
          <w:tcPr>
            <w:tcW w:w="1620" w:type="dxa"/>
          </w:tcPr>
          <w:p w14:paraId="1DD4E50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41.00</w:t>
            </w:r>
          </w:p>
        </w:tc>
        <w:tc>
          <w:tcPr>
            <w:tcW w:w="1980" w:type="dxa"/>
          </w:tcPr>
          <w:p w14:paraId="0B64181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19FCE13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1558603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1BC9A69" w14:textId="77777777">
        <w:tc>
          <w:tcPr>
            <w:tcW w:w="1080" w:type="dxa"/>
          </w:tcPr>
          <w:p w14:paraId="4C6511E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0" w:type="dxa"/>
          </w:tcPr>
          <w:p w14:paraId="5C6BF845"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w w:val="110"/>
                <w:sz w:val="24"/>
                <w:szCs w:val="24"/>
              </w:rPr>
              <w:t>Oat meal Agar</w:t>
            </w:r>
          </w:p>
        </w:tc>
        <w:tc>
          <w:tcPr>
            <w:tcW w:w="1710" w:type="dxa"/>
          </w:tcPr>
          <w:p w14:paraId="352061D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440" w:type="dxa"/>
            <w:vAlign w:val="bottom"/>
          </w:tcPr>
          <w:p w14:paraId="3656F2E3"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57.33</w:t>
            </w:r>
          </w:p>
        </w:tc>
        <w:tc>
          <w:tcPr>
            <w:tcW w:w="1620" w:type="dxa"/>
          </w:tcPr>
          <w:p w14:paraId="40B0D09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71.67</w:t>
            </w:r>
          </w:p>
        </w:tc>
        <w:tc>
          <w:tcPr>
            <w:tcW w:w="1980" w:type="dxa"/>
          </w:tcPr>
          <w:p w14:paraId="5A403BA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6D3D51F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647EDBA1" w14:textId="77777777" w:rsidR="002C4ADA" w:rsidRDefault="00C467A7">
            <w:pPr>
              <w:pStyle w:val="Default"/>
              <w:spacing w:line="360" w:lineRule="auto"/>
              <w:jc w:val="center"/>
            </w:pPr>
            <w:r>
              <w:t>++++</w:t>
            </w:r>
          </w:p>
        </w:tc>
      </w:tr>
      <w:tr w:rsidR="002C4ADA" w14:paraId="434C5908" w14:textId="77777777">
        <w:tc>
          <w:tcPr>
            <w:tcW w:w="1080" w:type="dxa"/>
          </w:tcPr>
          <w:p w14:paraId="6B7C8FB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0" w:type="dxa"/>
          </w:tcPr>
          <w:p w14:paraId="24A1B30D"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color w:val="000000"/>
                <w:sz w:val="24"/>
                <w:szCs w:val="24"/>
              </w:rPr>
              <w:t>V8 juice agar</w:t>
            </w:r>
          </w:p>
        </w:tc>
        <w:tc>
          <w:tcPr>
            <w:tcW w:w="1710" w:type="dxa"/>
          </w:tcPr>
          <w:p w14:paraId="6A5EB84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29.00</w:t>
            </w:r>
          </w:p>
        </w:tc>
        <w:tc>
          <w:tcPr>
            <w:tcW w:w="1440" w:type="dxa"/>
            <w:vAlign w:val="bottom"/>
          </w:tcPr>
          <w:p w14:paraId="4ED0BC0F"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37.67</w:t>
            </w:r>
          </w:p>
        </w:tc>
        <w:tc>
          <w:tcPr>
            <w:tcW w:w="1620" w:type="dxa"/>
          </w:tcPr>
          <w:p w14:paraId="38CB68BC"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1980" w:type="dxa"/>
          </w:tcPr>
          <w:p w14:paraId="6E7DD3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6C2BBCF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64FC6F72" w14:textId="77777777" w:rsidR="002C4ADA" w:rsidRDefault="00C467A7">
            <w:pPr>
              <w:pStyle w:val="Default"/>
              <w:spacing w:line="360" w:lineRule="auto"/>
              <w:jc w:val="center"/>
            </w:pPr>
            <w:r>
              <w:t>+++</w:t>
            </w:r>
          </w:p>
        </w:tc>
      </w:tr>
      <w:tr w:rsidR="002C4ADA" w14:paraId="693F16F0" w14:textId="77777777">
        <w:tc>
          <w:tcPr>
            <w:tcW w:w="1080" w:type="dxa"/>
          </w:tcPr>
          <w:p w14:paraId="630061F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0" w:type="dxa"/>
          </w:tcPr>
          <w:p w14:paraId="20BB4DAC"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Potato leaf agar</w:t>
            </w:r>
          </w:p>
        </w:tc>
        <w:tc>
          <w:tcPr>
            <w:tcW w:w="1710" w:type="dxa"/>
          </w:tcPr>
          <w:p w14:paraId="4C9F8C8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19.67</w:t>
            </w:r>
          </w:p>
        </w:tc>
        <w:tc>
          <w:tcPr>
            <w:tcW w:w="1440" w:type="dxa"/>
            <w:vAlign w:val="bottom"/>
          </w:tcPr>
          <w:p w14:paraId="1FDE4CF1"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25.67</w:t>
            </w:r>
          </w:p>
        </w:tc>
        <w:tc>
          <w:tcPr>
            <w:tcW w:w="1620" w:type="dxa"/>
          </w:tcPr>
          <w:p w14:paraId="2E3A7AB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980" w:type="dxa"/>
          </w:tcPr>
          <w:p w14:paraId="14837F8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13C1045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6ED129D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2C06C3A4" w14:textId="77777777">
        <w:tc>
          <w:tcPr>
            <w:tcW w:w="1080" w:type="dxa"/>
          </w:tcPr>
          <w:p w14:paraId="345FDC84"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0" w:type="dxa"/>
          </w:tcPr>
          <w:p w14:paraId="5C9B79EF"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lang w:val="en-IN" w:eastAsia="en-IN"/>
              </w:rPr>
              <w:t>Richard  Agar</w:t>
            </w:r>
          </w:p>
        </w:tc>
        <w:tc>
          <w:tcPr>
            <w:tcW w:w="1710" w:type="dxa"/>
          </w:tcPr>
          <w:p w14:paraId="53A1B8B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25.33</w:t>
            </w:r>
          </w:p>
        </w:tc>
        <w:tc>
          <w:tcPr>
            <w:tcW w:w="1440" w:type="dxa"/>
            <w:vAlign w:val="bottom"/>
          </w:tcPr>
          <w:p w14:paraId="7E37233B"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43.67</w:t>
            </w:r>
          </w:p>
        </w:tc>
        <w:tc>
          <w:tcPr>
            <w:tcW w:w="1620" w:type="dxa"/>
          </w:tcPr>
          <w:p w14:paraId="244F92D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79.67</w:t>
            </w:r>
          </w:p>
        </w:tc>
        <w:tc>
          <w:tcPr>
            <w:tcW w:w="1980" w:type="dxa"/>
          </w:tcPr>
          <w:p w14:paraId="1BC0CDB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4EA0EB9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0E7B520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207BE7E" w14:textId="77777777">
        <w:tc>
          <w:tcPr>
            <w:tcW w:w="1080" w:type="dxa"/>
          </w:tcPr>
          <w:p w14:paraId="1A8C300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0" w:type="dxa"/>
          </w:tcPr>
          <w:p w14:paraId="0F1BB1B9"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Brinjal fruit dextrose agar</w:t>
            </w:r>
          </w:p>
        </w:tc>
        <w:tc>
          <w:tcPr>
            <w:tcW w:w="1710" w:type="dxa"/>
          </w:tcPr>
          <w:p w14:paraId="347DC1A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21.67</w:t>
            </w:r>
          </w:p>
        </w:tc>
        <w:tc>
          <w:tcPr>
            <w:tcW w:w="1440" w:type="dxa"/>
            <w:vAlign w:val="bottom"/>
          </w:tcPr>
          <w:p w14:paraId="5779F289"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38.00</w:t>
            </w:r>
          </w:p>
        </w:tc>
        <w:tc>
          <w:tcPr>
            <w:tcW w:w="1620" w:type="dxa"/>
          </w:tcPr>
          <w:p w14:paraId="7C5A62A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54.33</w:t>
            </w:r>
          </w:p>
        </w:tc>
        <w:tc>
          <w:tcPr>
            <w:tcW w:w="1980" w:type="dxa"/>
          </w:tcPr>
          <w:p w14:paraId="3288C98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44A77CD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686CD3D7"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14372E2D" w14:textId="77777777">
        <w:tc>
          <w:tcPr>
            <w:tcW w:w="1080" w:type="dxa"/>
          </w:tcPr>
          <w:p w14:paraId="6E23A40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0" w:type="dxa"/>
          </w:tcPr>
          <w:p w14:paraId="685808CA"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Ashby’s mannitol </w:t>
            </w:r>
            <w:r>
              <w:rPr>
                <w:rFonts w:ascii="Times New Roman" w:hAnsi="Times New Roman" w:cs="Times New Roman"/>
                <w:sz w:val="24"/>
                <w:szCs w:val="24"/>
              </w:rPr>
              <w:t>Agar</w:t>
            </w:r>
          </w:p>
        </w:tc>
        <w:tc>
          <w:tcPr>
            <w:tcW w:w="1710" w:type="dxa"/>
          </w:tcPr>
          <w:p w14:paraId="1456176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34.33</w:t>
            </w:r>
          </w:p>
        </w:tc>
        <w:tc>
          <w:tcPr>
            <w:tcW w:w="1440" w:type="dxa"/>
            <w:vAlign w:val="bottom"/>
          </w:tcPr>
          <w:p w14:paraId="45CCCB72"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41.33</w:t>
            </w:r>
          </w:p>
        </w:tc>
        <w:tc>
          <w:tcPr>
            <w:tcW w:w="1620" w:type="dxa"/>
          </w:tcPr>
          <w:p w14:paraId="5CA5A60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45.00</w:t>
            </w:r>
          </w:p>
        </w:tc>
        <w:tc>
          <w:tcPr>
            <w:tcW w:w="1980" w:type="dxa"/>
          </w:tcPr>
          <w:p w14:paraId="59DE938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4ACDDAF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5654F49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6D31399" w14:textId="77777777">
        <w:tc>
          <w:tcPr>
            <w:tcW w:w="1080" w:type="dxa"/>
          </w:tcPr>
          <w:p w14:paraId="23F34379"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0" w:type="dxa"/>
          </w:tcPr>
          <w:p w14:paraId="46704B9A"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Asthana and Hawkers</w:t>
            </w:r>
          </w:p>
        </w:tc>
        <w:tc>
          <w:tcPr>
            <w:tcW w:w="1710" w:type="dxa"/>
          </w:tcPr>
          <w:p w14:paraId="5D113A3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38.00</w:t>
            </w:r>
          </w:p>
        </w:tc>
        <w:tc>
          <w:tcPr>
            <w:tcW w:w="1440" w:type="dxa"/>
            <w:vAlign w:val="bottom"/>
          </w:tcPr>
          <w:p w14:paraId="78F2758A"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55.00</w:t>
            </w:r>
          </w:p>
        </w:tc>
        <w:tc>
          <w:tcPr>
            <w:tcW w:w="1620" w:type="dxa"/>
          </w:tcPr>
          <w:p w14:paraId="0894261F"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74.33  </w:t>
            </w:r>
          </w:p>
        </w:tc>
        <w:tc>
          <w:tcPr>
            <w:tcW w:w="1980" w:type="dxa"/>
          </w:tcPr>
          <w:p w14:paraId="368737D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Grayish-white</w:t>
            </w:r>
          </w:p>
        </w:tc>
        <w:tc>
          <w:tcPr>
            <w:tcW w:w="1800" w:type="dxa"/>
          </w:tcPr>
          <w:p w14:paraId="7C7554D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Smooth</w:t>
            </w:r>
          </w:p>
        </w:tc>
        <w:tc>
          <w:tcPr>
            <w:tcW w:w="1620" w:type="dxa"/>
          </w:tcPr>
          <w:p w14:paraId="3C44CF57" w14:textId="77777777" w:rsidR="002C4ADA" w:rsidRDefault="00C467A7">
            <w:pPr>
              <w:pStyle w:val="Default"/>
              <w:spacing w:line="360" w:lineRule="auto"/>
              <w:jc w:val="center"/>
            </w:pPr>
            <w:r>
              <w:t>++++</w:t>
            </w:r>
          </w:p>
        </w:tc>
      </w:tr>
      <w:tr w:rsidR="002C4ADA" w14:paraId="2449A047" w14:textId="77777777">
        <w:tc>
          <w:tcPr>
            <w:tcW w:w="1080" w:type="dxa"/>
          </w:tcPr>
          <w:p w14:paraId="5AA3AA0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0" w:type="dxa"/>
          </w:tcPr>
          <w:p w14:paraId="53BD9E89"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w w:val="110"/>
                <w:sz w:val="24"/>
                <w:szCs w:val="24"/>
              </w:rPr>
              <w:t>Coon’s Agar</w:t>
            </w:r>
          </w:p>
        </w:tc>
        <w:tc>
          <w:tcPr>
            <w:tcW w:w="1710" w:type="dxa"/>
          </w:tcPr>
          <w:p w14:paraId="2C77D42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31.00</w:t>
            </w:r>
          </w:p>
        </w:tc>
        <w:tc>
          <w:tcPr>
            <w:tcW w:w="1440" w:type="dxa"/>
            <w:vAlign w:val="bottom"/>
          </w:tcPr>
          <w:p w14:paraId="0C1187C0"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40.33</w:t>
            </w:r>
          </w:p>
        </w:tc>
        <w:tc>
          <w:tcPr>
            <w:tcW w:w="1620" w:type="dxa"/>
          </w:tcPr>
          <w:p w14:paraId="1791861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48.67</w:t>
            </w:r>
          </w:p>
        </w:tc>
        <w:tc>
          <w:tcPr>
            <w:tcW w:w="1980" w:type="dxa"/>
          </w:tcPr>
          <w:p w14:paraId="44D2538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53DA87A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0193F5CE"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C7897F8" w14:textId="77777777">
        <w:tc>
          <w:tcPr>
            <w:tcW w:w="1080" w:type="dxa"/>
          </w:tcPr>
          <w:p w14:paraId="37967F5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0" w:type="dxa"/>
          </w:tcPr>
          <w:p w14:paraId="23A0E146"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bCs/>
                <w:sz w:val="24"/>
                <w:szCs w:val="24"/>
              </w:rPr>
              <w:t>Elliot’s agar</w:t>
            </w:r>
          </w:p>
        </w:tc>
        <w:tc>
          <w:tcPr>
            <w:tcW w:w="1710" w:type="dxa"/>
          </w:tcPr>
          <w:p w14:paraId="6DEF0B5A"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34.00</w:t>
            </w:r>
          </w:p>
        </w:tc>
        <w:tc>
          <w:tcPr>
            <w:tcW w:w="1440" w:type="dxa"/>
            <w:vAlign w:val="bottom"/>
          </w:tcPr>
          <w:p w14:paraId="06935C22"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46.67</w:t>
            </w:r>
          </w:p>
        </w:tc>
        <w:tc>
          <w:tcPr>
            <w:tcW w:w="1620" w:type="dxa"/>
          </w:tcPr>
          <w:p w14:paraId="5E422F22"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50.67</w:t>
            </w:r>
          </w:p>
        </w:tc>
        <w:tc>
          <w:tcPr>
            <w:tcW w:w="1980" w:type="dxa"/>
          </w:tcPr>
          <w:p w14:paraId="2C1720B1"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0E4DEB0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Fluffy</w:t>
            </w:r>
          </w:p>
        </w:tc>
        <w:tc>
          <w:tcPr>
            <w:tcW w:w="1620" w:type="dxa"/>
          </w:tcPr>
          <w:p w14:paraId="5E3D9B38"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35D68AEE" w14:textId="77777777">
        <w:tc>
          <w:tcPr>
            <w:tcW w:w="1080" w:type="dxa"/>
          </w:tcPr>
          <w:p w14:paraId="396B032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0" w:type="dxa"/>
          </w:tcPr>
          <w:p w14:paraId="5963AA2E" w14:textId="77777777" w:rsidR="002C4ADA" w:rsidRDefault="00C467A7">
            <w:pPr>
              <w:spacing w:line="360" w:lineRule="auto"/>
              <w:rPr>
                <w:rFonts w:ascii="Times New Roman" w:hAnsi="Times New Roman" w:cs="Times New Roman"/>
                <w:sz w:val="24"/>
                <w:szCs w:val="24"/>
              </w:rPr>
            </w:pPr>
            <w:r>
              <w:rPr>
                <w:rFonts w:ascii="Times New Roman" w:hAnsi="Times New Roman" w:cs="Times New Roman"/>
                <w:sz w:val="24"/>
                <w:szCs w:val="24"/>
              </w:rPr>
              <w:t>Brown's agar</w:t>
            </w:r>
          </w:p>
        </w:tc>
        <w:tc>
          <w:tcPr>
            <w:tcW w:w="1710" w:type="dxa"/>
          </w:tcPr>
          <w:p w14:paraId="5F849275"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26.33</w:t>
            </w:r>
          </w:p>
        </w:tc>
        <w:tc>
          <w:tcPr>
            <w:tcW w:w="1440" w:type="dxa"/>
            <w:vAlign w:val="bottom"/>
          </w:tcPr>
          <w:p w14:paraId="7BF373FB" w14:textId="77777777" w:rsidR="002C4ADA" w:rsidRDefault="00C467A7">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33.33</w:t>
            </w:r>
          </w:p>
        </w:tc>
        <w:tc>
          <w:tcPr>
            <w:tcW w:w="1620" w:type="dxa"/>
          </w:tcPr>
          <w:p w14:paraId="45B57073"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52.00</w:t>
            </w:r>
          </w:p>
        </w:tc>
        <w:tc>
          <w:tcPr>
            <w:tcW w:w="1980" w:type="dxa"/>
          </w:tcPr>
          <w:p w14:paraId="5CA7C6D0"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Black</w:t>
            </w:r>
          </w:p>
        </w:tc>
        <w:tc>
          <w:tcPr>
            <w:tcW w:w="1800" w:type="dxa"/>
          </w:tcPr>
          <w:p w14:paraId="2B830E01"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Compact</w:t>
            </w:r>
          </w:p>
        </w:tc>
        <w:tc>
          <w:tcPr>
            <w:tcW w:w="1620" w:type="dxa"/>
          </w:tcPr>
          <w:p w14:paraId="5DBCFA2D" w14:textId="77777777" w:rsidR="002C4ADA" w:rsidRDefault="00C467A7">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C4ADA" w14:paraId="77A2988B" w14:textId="77777777">
        <w:tc>
          <w:tcPr>
            <w:tcW w:w="4050" w:type="dxa"/>
            <w:gridSpan w:val="2"/>
          </w:tcPr>
          <w:p w14:paraId="029CAC99" w14:textId="77777777" w:rsidR="002C4ADA" w:rsidRDefault="00C467A7">
            <w:pPr>
              <w:spacing w:line="360" w:lineRule="auto"/>
              <w:jc w:val="right"/>
              <w:rPr>
                <w:rFonts w:ascii="Times New Roman" w:hAnsi="Times New Roman" w:cs="Times New Roman"/>
                <w:b/>
                <w:sz w:val="24"/>
                <w:szCs w:val="24"/>
              </w:rPr>
            </w:pPr>
            <w:r>
              <w:rPr>
                <w:rFonts w:ascii="Times New Roman" w:hAnsi="Times New Roman" w:cs="Times New Roman"/>
                <w:b/>
                <w:sz w:val="24"/>
                <w:szCs w:val="24"/>
              </w:rPr>
              <w:t>Sem+_</w:t>
            </w:r>
          </w:p>
        </w:tc>
        <w:tc>
          <w:tcPr>
            <w:tcW w:w="1710" w:type="dxa"/>
          </w:tcPr>
          <w:p w14:paraId="4F961EC8"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0.89</w:t>
            </w:r>
          </w:p>
        </w:tc>
        <w:tc>
          <w:tcPr>
            <w:tcW w:w="1440" w:type="dxa"/>
          </w:tcPr>
          <w:p w14:paraId="4D27B72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0.68</w:t>
            </w:r>
          </w:p>
        </w:tc>
        <w:tc>
          <w:tcPr>
            <w:tcW w:w="1620" w:type="dxa"/>
          </w:tcPr>
          <w:p w14:paraId="07AA0B25"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0.50</w:t>
            </w:r>
          </w:p>
        </w:tc>
        <w:tc>
          <w:tcPr>
            <w:tcW w:w="1980" w:type="dxa"/>
          </w:tcPr>
          <w:p w14:paraId="217A31DB"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14:paraId="67D766DD"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c>
          <w:tcPr>
            <w:tcW w:w="1620" w:type="dxa"/>
          </w:tcPr>
          <w:p w14:paraId="4D9210FD"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r>
      <w:tr w:rsidR="002C4ADA" w14:paraId="0316A38C" w14:textId="77777777">
        <w:tc>
          <w:tcPr>
            <w:tcW w:w="4050" w:type="dxa"/>
            <w:gridSpan w:val="2"/>
          </w:tcPr>
          <w:p w14:paraId="33C2F625" w14:textId="77777777" w:rsidR="002C4ADA" w:rsidRDefault="00C467A7">
            <w:pPr>
              <w:spacing w:line="360" w:lineRule="auto"/>
              <w:jc w:val="right"/>
              <w:rPr>
                <w:rFonts w:ascii="Times New Roman" w:hAnsi="Times New Roman" w:cs="Times New Roman"/>
                <w:b/>
                <w:sz w:val="24"/>
                <w:szCs w:val="24"/>
              </w:rPr>
            </w:pPr>
            <w:r>
              <w:rPr>
                <w:rFonts w:ascii="Times New Roman" w:hAnsi="Times New Roman" w:cs="Times New Roman"/>
                <w:b/>
                <w:sz w:val="24"/>
                <w:szCs w:val="24"/>
              </w:rPr>
              <w:t>CD at 5%</w:t>
            </w:r>
          </w:p>
        </w:tc>
        <w:tc>
          <w:tcPr>
            <w:tcW w:w="1710" w:type="dxa"/>
          </w:tcPr>
          <w:p w14:paraId="5969C7C6"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2.59</w:t>
            </w:r>
          </w:p>
        </w:tc>
        <w:tc>
          <w:tcPr>
            <w:tcW w:w="1440" w:type="dxa"/>
          </w:tcPr>
          <w:p w14:paraId="4A21EB11"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1.97</w:t>
            </w:r>
          </w:p>
        </w:tc>
        <w:tc>
          <w:tcPr>
            <w:tcW w:w="1620" w:type="dxa"/>
          </w:tcPr>
          <w:p w14:paraId="1243D9D9"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1.46</w:t>
            </w:r>
          </w:p>
        </w:tc>
        <w:tc>
          <w:tcPr>
            <w:tcW w:w="1980" w:type="dxa"/>
          </w:tcPr>
          <w:p w14:paraId="5009182C" w14:textId="77777777" w:rsidR="002C4ADA" w:rsidRDefault="00C467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800" w:type="dxa"/>
          </w:tcPr>
          <w:p w14:paraId="07F12E9F"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c>
          <w:tcPr>
            <w:tcW w:w="1620" w:type="dxa"/>
          </w:tcPr>
          <w:p w14:paraId="4A964D0C" w14:textId="77777777" w:rsidR="002C4ADA" w:rsidRDefault="00C467A7">
            <w:pPr>
              <w:jc w:val="center"/>
              <w:rPr>
                <w:rFonts w:ascii="Times New Roman" w:hAnsi="Times New Roman" w:cs="Times New Roman"/>
              </w:rPr>
            </w:pPr>
            <w:r>
              <w:rPr>
                <w:rFonts w:ascii="Times New Roman" w:hAnsi="Times New Roman" w:cs="Times New Roman"/>
                <w:b/>
                <w:sz w:val="24"/>
                <w:szCs w:val="24"/>
              </w:rPr>
              <w:t>-</w:t>
            </w:r>
          </w:p>
        </w:tc>
      </w:tr>
    </w:tbl>
    <w:p w14:paraId="168CF1B3" w14:textId="77777777" w:rsidR="002C4ADA" w:rsidRDefault="00C467A7">
      <w:pPr>
        <w:rPr>
          <w:rFonts w:ascii="Times New Roman" w:hAnsi="Times New Roman" w:cs="Times New Roman"/>
          <w:sz w:val="18"/>
          <w:szCs w:val="18"/>
        </w:rPr>
      </w:pPr>
      <w:r>
        <w:rPr>
          <w:rFonts w:ascii="Times New Roman" w:hAnsi="Times New Roman" w:cs="Times New Roman"/>
          <w:sz w:val="18"/>
          <w:szCs w:val="18"/>
        </w:rPr>
        <w:t>*: Mean of three replications</w:t>
      </w:r>
      <w:proofErr w:type="gramStart"/>
      <w:r>
        <w:rPr>
          <w:rFonts w:ascii="Times New Roman" w:hAnsi="Times New Roman" w:cs="Times New Roman"/>
          <w:sz w:val="18"/>
          <w:szCs w:val="18"/>
        </w:rPr>
        <w:t>,  Sporulation</w:t>
      </w:r>
      <w:proofErr w:type="gramEnd"/>
      <w:r>
        <w:rPr>
          <w:rFonts w:ascii="Times New Roman" w:hAnsi="Times New Roman" w:cs="Times New Roman"/>
          <w:sz w:val="18"/>
          <w:szCs w:val="18"/>
        </w:rPr>
        <w:t>: ++++: Excellent, +++: Good, ++: Fair, +: Poor, -: No</w:t>
      </w:r>
    </w:p>
    <w:p w14:paraId="38213094" w14:textId="77777777" w:rsidR="002C4ADA" w:rsidRDefault="002C4ADA">
      <w:pPr>
        <w:rPr>
          <w:rFonts w:ascii="Times New Roman" w:hAnsi="Times New Roman" w:cs="Times New Roman"/>
          <w:sz w:val="18"/>
          <w:szCs w:val="18"/>
        </w:rPr>
      </w:pPr>
    </w:p>
    <w:p w14:paraId="6C51725B" w14:textId="77777777" w:rsidR="002C4ADA" w:rsidRDefault="002C4ADA">
      <w:pPr>
        <w:rPr>
          <w:rFonts w:ascii="Times New Roman" w:hAnsi="Times New Roman" w:cs="Times New Roman"/>
          <w:sz w:val="18"/>
          <w:szCs w:val="18"/>
        </w:rPr>
      </w:pPr>
    </w:p>
    <w:p w14:paraId="0B9D1009" w14:textId="77777777" w:rsidR="002C4ADA" w:rsidRDefault="002C4ADA">
      <w:pPr>
        <w:rPr>
          <w:rFonts w:ascii="Times New Roman" w:hAnsi="Times New Roman" w:cs="Times New Roman"/>
          <w:sz w:val="18"/>
          <w:szCs w:val="18"/>
        </w:rPr>
      </w:pPr>
    </w:p>
    <w:p w14:paraId="237CF03B" w14:textId="77777777" w:rsidR="002C4ADA" w:rsidRDefault="00C467A7">
      <w:pPr>
        <w:spacing w:after="0"/>
        <w:rPr>
          <w:rFonts w:ascii="Times New Roman" w:hAnsi="Times New Roman" w:cs="Times New Roman"/>
          <w:sz w:val="18"/>
          <w:szCs w:val="18"/>
        </w:rPr>
      </w:pPr>
      <w:r>
        <w:rPr>
          <w:noProof/>
          <w:lang w:bidi="ta-IN"/>
        </w:rPr>
        <w:drawing>
          <wp:inline distT="0" distB="0" distL="114300" distR="114300" wp14:anchorId="57B46EB1" wp14:editId="4007620E">
            <wp:extent cx="8513379" cy="5297214"/>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18BB70" w14:textId="77777777" w:rsidR="002C4ADA" w:rsidRDefault="00C467A7">
      <w:pPr>
        <w:jc w:val="center"/>
        <w:rPr>
          <w:rFonts w:ascii="Times New Roman" w:hAnsi="Times New Roman" w:cs="Times New Roman"/>
          <w:b/>
          <w:bCs/>
          <w:i/>
          <w:iCs/>
          <w:sz w:val="24"/>
        </w:rPr>
      </w:pPr>
      <w:r>
        <w:rPr>
          <w:rFonts w:ascii="Times New Roman" w:hAnsi="Times New Roman" w:cs="Times New Roman"/>
          <w:b/>
          <w:sz w:val="24"/>
        </w:rPr>
        <w:t>Fig-1:</w:t>
      </w:r>
      <w:r>
        <w:rPr>
          <w:rFonts w:ascii="Times New Roman" w:hAnsi="Times New Roman" w:cs="Times New Roman"/>
          <w:sz w:val="24"/>
        </w:rPr>
        <w:t xml:space="preserve"> </w:t>
      </w:r>
      <w:r>
        <w:rPr>
          <w:rFonts w:ascii="Times New Roman" w:hAnsi="Times New Roman" w:cs="Times New Roman"/>
          <w:b/>
          <w:bCs/>
          <w:i/>
          <w:iCs/>
          <w:sz w:val="24"/>
        </w:rPr>
        <w:t xml:space="preserve">In-vitro </w:t>
      </w:r>
      <w:r>
        <w:rPr>
          <w:rFonts w:ascii="Times New Roman" w:hAnsi="Times New Roman" w:cs="Times New Roman"/>
          <w:b/>
          <w:bCs/>
          <w:sz w:val="24"/>
        </w:rPr>
        <w:t xml:space="preserve">evaluation of culture media for the growth of </w:t>
      </w:r>
      <w:proofErr w:type="spellStart"/>
      <w:r>
        <w:rPr>
          <w:rFonts w:ascii="Times New Roman" w:hAnsi="Times New Roman" w:cs="Times New Roman"/>
          <w:b/>
          <w:bCs/>
          <w:i/>
          <w:iCs/>
          <w:sz w:val="24"/>
        </w:rPr>
        <w:t>Alternaria</w:t>
      </w:r>
      <w:proofErr w:type="spellEnd"/>
      <w:r>
        <w:rPr>
          <w:rFonts w:ascii="Times New Roman" w:hAnsi="Times New Roman" w:cs="Times New Roman"/>
          <w:b/>
          <w:bCs/>
          <w:i/>
          <w:iCs/>
          <w:sz w:val="24"/>
        </w:rPr>
        <w:t xml:space="preserve"> </w:t>
      </w:r>
      <w:proofErr w:type="spellStart"/>
      <w:r>
        <w:rPr>
          <w:rFonts w:ascii="Times New Roman" w:hAnsi="Times New Roman" w:cs="Times New Roman"/>
          <w:b/>
          <w:bCs/>
          <w:i/>
          <w:iCs/>
          <w:sz w:val="24"/>
        </w:rPr>
        <w:t>alternata</w:t>
      </w:r>
      <w:proofErr w:type="spellEnd"/>
    </w:p>
    <w:p w14:paraId="4EDB6D69" w14:textId="77777777" w:rsidR="002C4ADA" w:rsidRDefault="002C4ADA">
      <w:pPr>
        <w:rPr>
          <w:rFonts w:ascii="Times New Roman" w:hAnsi="Times New Roman" w:cs="Times New Roman"/>
          <w:sz w:val="18"/>
          <w:szCs w:val="18"/>
        </w:rPr>
        <w:sectPr w:rsidR="002C4ADA">
          <w:pgSz w:w="15840" w:h="12240" w:orient="landscape"/>
          <w:pgMar w:top="1440" w:right="1170" w:bottom="1440" w:left="1080" w:header="720" w:footer="720" w:gutter="0"/>
          <w:cols w:space="720"/>
          <w:docGrid w:linePitch="360"/>
        </w:sectPr>
      </w:pPr>
    </w:p>
    <w:p w14:paraId="5301380D" w14:textId="77777777" w:rsidR="002C4ADA" w:rsidRDefault="00C467A7">
      <w:pPr>
        <w:spacing w:after="0" w:line="360" w:lineRule="auto"/>
        <w:jc w:val="both"/>
        <w:rPr>
          <w:rFonts w:ascii="Times New Roman" w:hAnsi="Times New Roman"/>
          <w:b/>
          <w:sz w:val="24"/>
        </w:rPr>
      </w:pPr>
      <w:r>
        <w:rPr>
          <w:rFonts w:ascii="Times New Roman" w:hAnsi="Times New Roman"/>
          <w:b/>
          <w:sz w:val="24"/>
        </w:rPr>
        <w:lastRenderedPageBreak/>
        <w:t xml:space="preserve">Conclusion: </w:t>
      </w:r>
    </w:p>
    <w:p w14:paraId="1F9C0CAA" w14:textId="77777777" w:rsidR="005A315F" w:rsidRPr="00C03666" w:rsidRDefault="005A315F" w:rsidP="005A315F">
      <w:pPr>
        <w:pStyle w:val="Default"/>
        <w:spacing w:line="360" w:lineRule="auto"/>
        <w:jc w:val="both"/>
        <w:rPr>
          <w:szCs w:val="20"/>
        </w:rPr>
      </w:pPr>
      <w:r w:rsidRPr="00C03666">
        <w:rPr>
          <w:szCs w:val="20"/>
        </w:rPr>
        <w:t xml:space="preserve">The findings of the present study clearly indicate that the growth of </w:t>
      </w:r>
      <w:commentRangeStart w:id="10"/>
      <w:proofErr w:type="spellStart"/>
      <w:r w:rsidRPr="00C03666">
        <w:rPr>
          <w:i/>
          <w:iCs/>
          <w:szCs w:val="20"/>
        </w:rPr>
        <w:t>Alternaria</w:t>
      </w:r>
      <w:proofErr w:type="spellEnd"/>
      <w:r w:rsidRPr="00C03666">
        <w:rPr>
          <w:i/>
          <w:iCs/>
          <w:szCs w:val="20"/>
        </w:rPr>
        <w:t xml:space="preserve"> </w:t>
      </w:r>
      <w:proofErr w:type="spellStart"/>
      <w:r w:rsidRPr="00C03666">
        <w:rPr>
          <w:i/>
          <w:iCs/>
          <w:szCs w:val="20"/>
        </w:rPr>
        <w:t>alternata</w:t>
      </w:r>
      <w:proofErr w:type="spellEnd"/>
      <w:r w:rsidRPr="00C03666">
        <w:rPr>
          <w:szCs w:val="20"/>
        </w:rPr>
        <w:t xml:space="preserve"> </w:t>
      </w:r>
      <w:commentRangeEnd w:id="10"/>
      <w:r w:rsidR="004E42B1">
        <w:rPr>
          <w:rStyle w:val="CommentReference"/>
          <w:rFonts w:ascii="Calibri" w:hAnsi="Calibri" w:cs="Mangal"/>
          <w:color w:val="auto"/>
        </w:rPr>
        <w:commentReference w:id="10"/>
      </w:r>
      <w:r w:rsidRPr="00C03666">
        <w:rPr>
          <w:szCs w:val="20"/>
        </w:rPr>
        <w:t xml:space="preserve">varied considerably across different culture media. Among the fourteen tested media, Potato Dextrose Agar proved to be the most favorable substrate, supporting the highest mycelial growth (86.67 mm), while Brinjal Leaf Agar exhibited the least growth (41.00 mm). These results suggest that Potato Dextrose Agar provides the most suitable nutritional composition for optimal development of </w:t>
      </w:r>
      <w:r w:rsidRPr="00C03666">
        <w:rPr>
          <w:i/>
          <w:iCs/>
          <w:szCs w:val="20"/>
        </w:rPr>
        <w:t xml:space="preserve">A. </w:t>
      </w:r>
      <w:proofErr w:type="spellStart"/>
      <w:r w:rsidRPr="00C03666">
        <w:rPr>
          <w:i/>
          <w:iCs/>
          <w:szCs w:val="20"/>
        </w:rPr>
        <w:t>alternata</w:t>
      </w:r>
      <w:proofErr w:type="spellEnd"/>
      <w:r w:rsidRPr="00C03666">
        <w:rPr>
          <w:szCs w:val="20"/>
        </w:rPr>
        <w:t>, making it the preferred medium for laboratory cultivation and further pathological or biochemical studies on this pathogen.</w:t>
      </w:r>
    </w:p>
    <w:p w14:paraId="260241AA" w14:textId="341A2BA7" w:rsidR="008A234C" w:rsidRPr="00C62B12" w:rsidRDefault="008A234C" w:rsidP="005A315F">
      <w:pPr>
        <w:spacing w:after="0" w:line="360" w:lineRule="auto"/>
        <w:jc w:val="both"/>
        <w:rPr>
          <w:rFonts w:ascii="Times New Roman" w:hAnsi="Times New Roman" w:cs="Times New Roman"/>
          <w:b/>
          <w:bCs/>
          <w:sz w:val="24"/>
          <w:szCs w:val="24"/>
        </w:rPr>
      </w:pPr>
      <w:r w:rsidRPr="00C62B12">
        <w:rPr>
          <w:rFonts w:ascii="Times New Roman" w:hAnsi="Times New Roman" w:cs="Times New Roman"/>
          <w:b/>
          <w:bCs/>
          <w:sz w:val="24"/>
          <w:szCs w:val="24"/>
        </w:rPr>
        <w:t xml:space="preserve">Plate </w:t>
      </w:r>
      <w:proofErr w:type="gramStart"/>
      <w:r w:rsidRPr="00C62B12">
        <w:rPr>
          <w:rFonts w:ascii="Times New Roman" w:hAnsi="Times New Roman" w:cs="Times New Roman"/>
          <w:b/>
          <w:bCs/>
          <w:sz w:val="24"/>
          <w:szCs w:val="24"/>
        </w:rPr>
        <w:t>1 :</w:t>
      </w:r>
      <w:proofErr w:type="gramEnd"/>
      <w:r w:rsidRPr="00C62B12">
        <w:rPr>
          <w:rFonts w:ascii="Times New Roman" w:hAnsi="Times New Roman" w:cs="Times New Roman"/>
          <w:b/>
          <w:bCs/>
          <w:sz w:val="24"/>
          <w:szCs w:val="24"/>
        </w:rPr>
        <w:t xml:space="preserve"> </w:t>
      </w:r>
      <w:r w:rsidR="00B512E7" w:rsidRPr="00C62B12">
        <w:rPr>
          <w:rFonts w:ascii="Times New Roman" w:hAnsi="Times New Roman" w:cs="Times New Roman"/>
          <w:b/>
          <w:bCs/>
          <w:sz w:val="24"/>
          <w:szCs w:val="24"/>
        </w:rPr>
        <w:t>Fungal Culture Growth on Different Selective and Non-Selective Agars</w:t>
      </w:r>
    </w:p>
    <w:p w14:paraId="7ABE8980" w14:textId="77777777" w:rsidR="002C4ADA" w:rsidRDefault="00C467A7">
      <w:pPr>
        <w:spacing w:after="0" w:line="360" w:lineRule="auto"/>
        <w:ind w:firstLine="450"/>
        <w:jc w:val="center"/>
        <w:rPr>
          <w:rFonts w:ascii="Times New Roman" w:hAnsi="Times New Roman" w:cs="Times New Roman"/>
          <w:sz w:val="24"/>
          <w:szCs w:val="24"/>
        </w:rPr>
      </w:pPr>
      <w:r>
        <w:rPr>
          <w:rFonts w:ascii="Times New Roman" w:hAnsi="Times New Roman" w:cs="Times New Roman"/>
          <w:noProof/>
          <w:sz w:val="24"/>
          <w:szCs w:val="24"/>
        </w:rPr>
        <w:object w:dxaOrig="7068" w:dyaOrig="8493" w14:anchorId="76498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227.8pt;height:274.05pt;visibility:visible;mso-wrap-distance-left:0;mso-wrap-distance-right:0" o:ole="">
            <v:imagedata r:id="rId16" o:title="" embosscolor="white"/>
          </v:shape>
          <o:OLEObject Type="Embed" ProgID="Excel.Sheet.8" ShapeID="1028" DrawAspect="Content" ObjectID="_1822889228" r:id="rId17"/>
        </w:object>
      </w:r>
    </w:p>
    <w:p w14:paraId="67BB1FFF" w14:textId="77777777" w:rsidR="00E41B0F" w:rsidRDefault="00E41B0F">
      <w:pPr>
        <w:pStyle w:val="Default"/>
        <w:rPr>
          <w:b/>
          <w:bCs/>
          <w:szCs w:val="20"/>
        </w:rPr>
      </w:pPr>
    </w:p>
    <w:p w14:paraId="5D302291" w14:textId="77777777" w:rsidR="00E41B0F" w:rsidRDefault="00E41B0F">
      <w:pPr>
        <w:pStyle w:val="Default"/>
        <w:rPr>
          <w:b/>
          <w:bCs/>
          <w:szCs w:val="20"/>
        </w:rPr>
      </w:pPr>
    </w:p>
    <w:p w14:paraId="7AADEF34" w14:textId="24C964E3" w:rsidR="002C4ADA" w:rsidRDefault="00C467A7">
      <w:pPr>
        <w:pStyle w:val="Default"/>
        <w:rPr>
          <w:b/>
          <w:bCs/>
          <w:szCs w:val="20"/>
        </w:rPr>
      </w:pPr>
      <w:r>
        <w:rPr>
          <w:b/>
          <w:bCs/>
          <w:szCs w:val="20"/>
        </w:rPr>
        <w:t>Recommendation:</w:t>
      </w:r>
    </w:p>
    <w:p w14:paraId="7DBE99E5" w14:textId="77777777" w:rsidR="002C4ADA" w:rsidRDefault="00C467A7">
      <w:pPr>
        <w:pStyle w:val="Default"/>
        <w:rPr>
          <w:sz w:val="16"/>
          <w:szCs w:val="20"/>
        </w:rPr>
      </w:pPr>
      <w:r>
        <w:rPr>
          <w:b/>
          <w:bCs/>
          <w:szCs w:val="20"/>
        </w:rPr>
        <w:t xml:space="preserve"> </w:t>
      </w:r>
    </w:p>
    <w:p w14:paraId="3B19B36B" w14:textId="77777777" w:rsidR="005A315F" w:rsidRDefault="005A315F">
      <w:pPr>
        <w:spacing w:after="0" w:line="360" w:lineRule="auto"/>
        <w:jc w:val="both"/>
        <w:rPr>
          <w:rFonts w:ascii="Times New Roman" w:hAnsi="Times New Roman" w:cs="Times New Roman"/>
          <w:sz w:val="24"/>
          <w:szCs w:val="24"/>
        </w:rPr>
      </w:pPr>
      <w:r w:rsidRPr="00766B37">
        <w:rPr>
          <w:rFonts w:ascii="Times New Roman" w:hAnsi="Times New Roman" w:cs="Times New Roman"/>
          <w:sz w:val="24"/>
          <w:szCs w:val="24"/>
        </w:rPr>
        <w:t xml:space="preserve">Molecular characterization of </w:t>
      </w:r>
      <w:commentRangeStart w:id="11"/>
      <w:proofErr w:type="spellStart"/>
      <w:r w:rsidRPr="00766B37">
        <w:rPr>
          <w:rFonts w:ascii="Times New Roman" w:hAnsi="Times New Roman" w:cs="Times New Roman"/>
          <w:i/>
          <w:iCs/>
          <w:sz w:val="24"/>
          <w:szCs w:val="24"/>
        </w:rPr>
        <w:t>Alternaria</w:t>
      </w:r>
      <w:proofErr w:type="spellEnd"/>
      <w:r w:rsidRPr="00766B37">
        <w:rPr>
          <w:rFonts w:ascii="Times New Roman" w:hAnsi="Times New Roman" w:cs="Times New Roman"/>
          <w:i/>
          <w:iCs/>
          <w:sz w:val="24"/>
          <w:szCs w:val="24"/>
        </w:rPr>
        <w:t xml:space="preserve"> </w:t>
      </w:r>
      <w:proofErr w:type="spellStart"/>
      <w:r w:rsidRPr="00766B37">
        <w:rPr>
          <w:rFonts w:ascii="Times New Roman" w:hAnsi="Times New Roman" w:cs="Times New Roman"/>
          <w:i/>
          <w:iCs/>
          <w:sz w:val="24"/>
          <w:szCs w:val="24"/>
        </w:rPr>
        <w:t>alternata</w:t>
      </w:r>
      <w:proofErr w:type="spellEnd"/>
      <w:r w:rsidRPr="00766B37">
        <w:rPr>
          <w:rFonts w:ascii="Times New Roman" w:hAnsi="Times New Roman" w:cs="Times New Roman"/>
          <w:sz w:val="24"/>
          <w:szCs w:val="24"/>
        </w:rPr>
        <w:t xml:space="preserve"> </w:t>
      </w:r>
      <w:commentRangeEnd w:id="11"/>
      <w:r w:rsidR="004E42B1">
        <w:rPr>
          <w:rStyle w:val="CommentReference"/>
        </w:rPr>
        <w:commentReference w:id="11"/>
      </w:r>
      <w:r w:rsidRPr="00766B37">
        <w:rPr>
          <w:rFonts w:ascii="Times New Roman" w:hAnsi="Times New Roman" w:cs="Times New Roman"/>
          <w:sz w:val="24"/>
          <w:szCs w:val="24"/>
        </w:rPr>
        <w:t>can provide insights into the genetic variability of this pathogen. Such information is valuable for the identification and selection of brinjal genotypes with enhanced resistance. Resistant sources identified through molecular evaluation can be effectively utilized in breeding programs aimed at developing high-yielding brinjal varieties with improved disease resistance.</w:t>
      </w:r>
    </w:p>
    <w:p w14:paraId="2E654BE1" w14:textId="77777777" w:rsidR="00F85E62" w:rsidRDefault="00F85E62">
      <w:pPr>
        <w:spacing w:after="0" w:line="240" w:lineRule="auto"/>
        <w:jc w:val="both"/>
        <w:rPr>
          <w:rFonts w:ascii="Times New Roman" w:hAnsi="Times New Roman" w:cs="Times New Roman"/>
          <w:b/>
          <w:sz w:val="24"/>
          <w:szCs w:val="20"/>
        </w:rPr>
      </w:pPr>
    </w:p>
    <w:p w14:paraId="0C21F5FB" w14:textId="77777777" w:rsidR="00F85E62" w:rsidRDefault="00F85E62">
      <w:pPr>
        <w:spacing w:after="0" w:line="240" w:lineRule="auto"/>
        <w:jc w:val="both"/>
        <w:rPr>
          <w:rFonts w:ascii="Times New Roman" w:hAnsi="Times New Roman" w:cs="Times New Roman"/>
          <w:b/>
          <w:sz w:val="24"/>
          <w:szCs w:val="20"/>
        </w:rPr>
      </w:pPr>
    </w:p>
    <w:p w14:paraId="57D79211" w14:textId="77777777" w:rsidR="00F85E62" w:rsidRDefault="00F85E62">
      <w:pPr>
        <w:spacing w:after="0" w:line="240" w:lineRule="auto"/>
        <w:jc w:val="both"/>
        <w:rPr>
          <w:rFonts w:ascii="Times New Roman" w:hAnsi="Times New Roman" w:cs="Times New Roman"/>
          <w:b/>
          <w:sz w:val="24"/>
          <w:szCs w:val="20"/>
        </w:rPr>
      </w:pPr>
    </w:p>
    <w:p w14:paraId="45C3DBE7" w14:textId="77777777" w:rsidR="00F85E62" w:rsidRDefault="00F85E62">
      <w:pPr>
        <w:spacing w:after="0" w:line="240" w:lineRule="auto"/>
        <w:jc w:val="both"/>
        <w:rPr>
          <w:rFonts w:ascii="Times New Roman" w:hAnsi="Times New Roman" w:cs="Times New Roman"/>
          <w:b/>
          <w:sz w:val="24"/>
          <w:szCs w:val="20"/>
        </w:rPr>
      </w:pPr>
    </w:p>
    <w:p w14:paraId="78D90A36" w14:textId="040B6F92" w:rsidR="002C4ADA" w:rsidRDefault="00E41B0F">
      <w:pPr>
        <w:spacing w:after="0" w:line="240" w:lineRule="auto"/>
        <w:jc w:val="both"/>
        <w:rPr>
          <w:rFonts w:ascii="Times New Roman" w:hAnsi="Times New Roman" w:cs="Times New Roman"/>
          <w:b/>
          <w:sz w:val="24"/>
          <w:szCs w:val="20"/>
        </w:rPr>
      </w:pPr>
      <w:r>
        <w:rPr>
          <w:rFonts w:ascii="Times New Roman" w:hAnsi="Times New Roman" w:cs="Times New Roman"/>
          <w:b/>
          <w:sz w:val="24"/>
          <w:szCs w:val="20"/>
        </w:rPr>
        <w:lastRenderedPageBreak/>
        <w:t xml:space="preserve">References </w:t>
      </w:r>
    </w:p>
    <w:p w14:paraId="3969BCBF" w14:textId="77777777" w:rsidR="002C4ADA" w:rsidRDefault="00C467A7">
      <w:pPr>
        <w:tabs>
          <w:tab w:val="left" w:pos="0"/>
          <w:tab w:val="left" w:pos="90"/>
          <w:tab w:val="left" w:pos="900"/>
        </w:tabs>
        <w:spacing w:before="240" w:after="0" w:line="240" w:lineRule="auto"/>
        <w:ind w:right="-90"/>
        <w:jc w:val="both"/>
        <w:rPr>
          <w:rStyle w:val="Hyperlink"/>
          <w:rFonts w:ascii="Times New Roman" w:hAnsi="Times New Roman" w:cs="Times New Roman"/>
        </w:rPr>
      </w:pPr>
      <w:r>
        <w:rPr>
          <w:rFonts w:ascii="Times New Roman" w:hAnsi="Times New Roman" w:cs="Times New Roman"/>
        </w:rPr>
        <w:t>Anonymous. (2024).</w:t>
      </w:r>
      <w:hyperlink w:history="1">
        <w:r w:rsidR="002C4ADA">
          <w:rPr>
            <w:rStyle w:val="Hyperlink"/>
            <w:rFonts w:ascii="Times New Roman" w:hAnsi="Times New Roman" w:cs="Times New Roman"/>
          </w:rPr>
          <w:t>https://en.wikipedia.org/wikList_of_countries_by_eggplant_production</w:t>
        </w:r>
      </w:hyperlink>
      <w:r>
        <w:rPr>
          <w:rStyle w:val="Hyperlink"/>
          <w:rFonts w:ascii="Times New Roman" w:hAnsi="Times New Roman" w:cs="Times New Roman"/>
        </w:rPr>
        <w:t xml:space="preserve"> </w:t>
      </w:r>
    </w:p>
    <w:p w14:paraId="287AB0FF"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proofErr w:type="spellStart"/>
      <w:r>
        <w:rPr>
          <w:rFonts w:ascii="Times New Roman" w:hAnsi="Times New Roman" w:cs="Times New Roman"/>
        </w:rPr>
        <w:t>Apet</w:t>
      </w:r>
      <w:proofErr w:type="spellEnd"/>
      <w:r>
        <w:rPr>
          <w:rFonts w:ascii="Times New Roman" w:hAnsi="Times New Roman" w:cs="Times New Roman"/>
        </w:rPr>
        <w:t xml:space="preserve">, K.T.; </w:t>
      </w:r>
      <w:proofErr w:type="spellStart"/>
      <w:r>
        <w:rPr>
          <w:rFonts w:ascii="Times New Roman" w:hAnsi="Times New Roman" w:cs="Times New Roman"/>
        </w:rPr>
        <w:t>Jagdale</w:t>
      </w:r>
      <w:proofErr w:type="spellEnd"/>
      <w:r>
        <w:rPr>
          <w:rFonts w:ascii="Times New Roman" w:hAnsi="Times New Roman" w:cs="Times New Roman"/>
        </w:rPr>
        <w:t xml:space="preserve">, J.S.; Mirza, F.N.; Wagh, S.S. and </w:t>
      </w:r>
      <w:proofErr w:type="spellStart"/>
      <w:r>
        <w:rPr>
          <w:rFonts w:ascii="Times New Roman" w:hAnsi="Times New Roman" w:cs="Times New Roman"/>
        </w:rPr>
        <w:t>Chawan</w:t>
      </w:r>
      <w:proofErr w:type="spellEnd"/>
      <w:r>
        <w:rPr>
          <w:rFonts w:ascii="Times New Roman" w:hAnsi="Times New Roman" w:cs="Times New Roman"/>
        </w:rPr>
        <w:t xml:space="preserve">, P.G. (2014). Effect of various culture media on cultural and morphological characteristics of </w:t>
      </w:r>
      <w:proofErr w:type="spellStart"/>
      <w:r>
        <w:rPr>
          <w:rFonts w:ascii="Times New Roman" w:hAnsi="Times New Roman" w:cs="Times New Roman"/>
          <w:i/>
          <w:iCs/>
        </w:rPr>
        <w:t>Alternaria</w:t>
      </w:r>
      <w:proofErr w:type="spellEnd"/>
      <w:r>
        <w:rPr>
          <w:rFonts w:ascii="Times New Roman" w:hAnsi="Times New Roman" w:cs="Times New Roman"/>
          <w:i/>
          <w:iCs/>
        </w:rPr>
        <w:t xml:space="preserve"> </w:t>
      </w:r>
      <w:proofErr w:type="spellStart"/>
      <w:r>
        <w:rPr>
          <w:rFonts w:ascii="Times New Roman" w:hAnsi="Times New Roman" w:cs="Times New Roman"/>
          <w:i/>
          <w:iCs/>
        </w:rPr>
        <w:t>alternata</w:t>
      </w:r>
      <w:proofErr w:type="spellEnd"/>
      <w:r>
        <w:rPr>
          <w:rFonts w:ascii="Times New Roman" w:hAnsi="Times New Roman" w:cs="Times New Roman"/>
        </w:rPr>
        <w:t xml:space="preserve">. </w:t>
      </w:r>
      <w:r>
        <w:rPr>
          <w:rFonts w:ascii="Times New Roman" w:hAnsi="Times New Roman" w:cs="Times New Roman"/>
          <w:i/>
        </w:rPr>
        <w:t xml:space="preserve">Trends </w:t>
      </w:r>
      <w:proofErr w:type="spellStart"/>
      <w:r>
        <w:rPr>
          <w:rFonts w:ascii="Times New Roman" w:hAnsi="Times New Roman" w:cs="Times New Roman"/>
          <w:i/>
        </w:rPr>
        <w:t>Biosc</w:t>
      </w:r>
      <w:r>
        <w:rPr>
          <w:rFonts w:ascii="Times New Roman" w:hAnsi="Times New Roman" w:cs="Times New Roman"/>
        </w:rPr>
        <w:t>i</w:t>
      </w:r>
      <w:proofErr w:type="spellEnd"/>
      <w:r>
        <w:rPr>
          <w:rFonts w:ascii="Times New Roman" w:hAnsi="Times New Roman" w:cs="Times New Roman"/>
        </w:rPr>
        <w:t xml:space="preserve">. 2014; 7(21):3383-3385. </w:t>
      </w:r>
    </w:p>
    <w:p w14:paraId="05E4F6AA"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sz w:val="24"/>
        </w:rPr>
        <w:t xml:space="preserve">Balai, L.P. and Ahir, R.R. (2013a) Survey, occurrence of leaf spot of Brinjal caused by </w:t>
      </w:r>
      <w:proofErr w:type="spellStart"/>
      <w:r>
        <w:rPr>
          <w:rFonts w:ascii="Times New Roman" w:hAnsi="Times New Roman" w:cs="Times New Roman"/>
          <w:i/>
          <w:iCs/>
          <w:sz w:val="24"/>
        </w:rPr>
        <w:t>Alternaria</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alternata</w:t>
      </w:r>
      <w:proofErr w:type="spellEnd"/>
      <w:r>
        <w:rPr>
          <w:rFonts w:ascii="Times New Roman" w:hAnsi="Times New Roman" w:cs="Times New Roman"/>
          <w:i/>
          <w:iCs/>
          <w:sz w:val="24"/>
        </w:rPr>
        <w:t xml:space="preserve"> </w:t>
      </w:r>
      <w:r>
        <w:rPr>
          <w:rFonts w:ascii="Times New Roman" w:hAnsi="Times New Roman" w:cs="Times New Roman"/>
          <w:sz w:val="24"/>
        </w:rPr>
        <w:t xml:space="preserve">(Fr.) </w:t>
      </w:r>
      <w:proofErr w:type="spellStart"/>
      <w:r>
        <w:rPr>
          <w:rFonts w:ascii="Times New Roman" w:hAnsi="Times New Roman" w:cs="Times New Roman"/>
          <w:sz w:val="24"/>
        </w:rPr>
        <w:t>Keissler</w:t>
      </w:r>
      <w:proofErr w:type="spellEnd"/>
      <w:r>
        <w:rPr>
          <w:rFonts w:ascii="Times New Roman" w:hAnsi="Times New Roman" w:cs="Times New Roman"/>
          <w:sz w:val="24"/>
        </w:rPr>
        <w:t xml:space="preserve"> in Jaipur District. </w:t>
      </w:r>
      <w:r>
        <w:rPr>
          <w:rFonts w:ascii="Times New Roman" w:hAnsi="Times New Roman" w:cs="Times New Roman"/>
          <w:i/>
          <w:iCs/>
          <w:sz w:val="24"/>
        </w:rPr>
        <w:t xml:space="preserve">Adv. Life Sci. </w:t>
      </w:r>
      <w:r>
        <w:rPr>
          <w:rFonts w:ascii="Times New Roman" w:hAnsi="Times New Roman" w:cs="Times New Roman"/>
          <w:sz w:val="24"/>
        </w:rPr>
        <w:t>2(1):71-72.</w:t>
      </w:r>
    </w:p>
    <w:p w14:paraId="3BD78AEF"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sz w:val="24"/>
        </w:rPr>
        <w:t xml:space="preserve">Choudhary, B. and Gaur, K. (2009). The development and regulations of </w:t>
      </w:r>
      <w:proofErr w:type="spellStart"/>
      <w:r>
        <w:rPr>
          <w:rFonts w:ascii="Times New Roman" w:hAnsi="Times New Roman" w:cs="Times New Roman"/>
          <w:i/>
          <w:sz w:val="24"/>
        </w:rPr>
        <w:t>Bt</w:t>
      </w:r>
      <w:proofErr w:type="spellEnd"/>
      <w:r>
        <w:rPr>
          <w:rFonts w:ascii="Times New Roman" w:hAnsi="Times New Roman" w:cs="Times New Roman"/>
          <w:sz w:val="24"/>
        </w:rPr>
        <w:t xml:space="preserve"> </w:t>
      </w:r>
      <w:proofErr w:type="spellStart"/>
      <w:r>
        <w:rPr>
          <w:rFonts w:ascii="Times New Roman" w:hAnsi="Times New Roman" w:cs="Times New Roman"/>
          <w:sz w:val="24"/>
        </w:rPr>
        <w:t>brinjal</w:t>
      </w:r>
      <w:proofErr w:type="spellEnd"/>
      <w:r>
        <w:rPr>
          <w:rFonts w:ascii="Times New Roman" w:hAnsi="Times New Roman" w:cs="Times New Roman"/>
          <w:sz w:val="24"/>
        </w:rPr>
        <w:t xml:space="preserve"> in India. ISAAA Brief, 38.pp. 12.</w:t>
      </w:r>
    </w:p>
    <w:p w14:paraId="56F9CEF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i/>
          <w:iCs/>
          <w:sz w:val="24"/>
        </w:rPr>
      </w:pPr>
      <w:r>
        <w:rPr>
          <w:rFonts w:ascii="Times New Roman" w:hAnsi="Times New Roman" w:cs="Times New Roman"/>
          <w:sz w:val="24"/>
        </w:rPr>
        <w:t xml:space="preserve">Chaudhury, B. and Kalda, T. S. (1968). Brinjal: a vegetable of the masses. </w:t>
      </w:r>
      <w:r>
        <w:rPr>
          <w:rFonts w:ascii="Times New Roman" w:hAnsi="Times New Roman" w:cs="Times New Roman"/>
          <w:i/>
          <w:iCs/>
          <w:sz w:val="24"/>
        </w:rPr>
        <w:t xml:space="preserve">Indian Horti., </w:t>
      </w:r>
      <w:r>
        <w:rPr>
          <w:rFonts w:ascii="Times New Roman" w:hAnsi="Times New Roman" w:cs="Times New Roman"/>
          <w:iCs/>
          <w:sz w:val="24"/>
        </w:rPr>
        <w:t>12: 21</w:t>
      </w:r>
      <w:r>
        <w:rPr>
          <w:rFonts w:ascii="Times New Roman" w:hAnsi="Times New Roman" w:cs="Times New Roman"/>
          <w:sz w:val="24"/>
        </w:rPr>
        <w:t>-</w:t>
      </w:r>
      <w:r>
        <w:rPr>
          <w:rFonts w:ascii="Times New Roman" w:hAnsi="Times New Roman" w:cs="Times New Roman"/>
          <w:iCs/>
          <w:sz w:val="24"/>
        </w:rPr>
        <w:t>22</w:t>
      </w:r>
      <w:r>
        <w:rPr>
          <w:rFonts w:ascii="Times New Roman" w:hAnsi="Times New Roman" w:cs="Times New Roman"/>
          <w:i/>
          <w:iCs/>
          <w:sz w:val="24"/>
        </w:rPr>
        <w:t>.</w:t>
      </w:r>
    </w:p>
    <w:p w14:paraId="485E8098" w14:textId="2E3DE13B" w:rsidR="00C62B12" w:rsidRDefault="00C62B12" w:rsidP="00C62B12">
      <w:pPr>
        <w:tabs>
          <w:tab w:val="left" w:pos="0"/>
          <w:tab w:val="left" w:pos="90"/>
          <w:tab w:val="left" w:pos="900"/>
        </w:tabs>
        <w:spacing w:before="240" w:after="0" w:line="360" w:lineRule="auto"/>
        <w:ind w:left="360" w:right="-90" w:hanging="360"/>
        <w:jc w:val="both"/>
        <w:rPr>
          <w:rFonts w:ascii="Times New Roman" w:hAnsi="Times New Roman" w:cs="Times New Roman"/>
          <w:sz w:val="24"/>
        </w:rPr>
      </w:pPr>
      <w:r>
        <w:rPr>
          <w:rFonts w:ascii="Times New Roman" w:hAnsi="Times New Roman" w:cs="Times New Roman"/>
          <w:sz w:val="24"/>
        </w:rPr>
        <w:t>D</w:t>
      </w:r>
      <w:r w:rsidRPr="00C62B12">
        <w:rPr>
          <w:rFonts w:ascii="Times New Roman" w:hAnsi="Times New Roman" w:cs="Times New Roman"/>
          <w:sz w:val="24"/>
        </w:rPr>
        <w:t>ela</w:t>
      </w:r>
      <w:r>
        <w:rPr>
          <w:rFonts w:ascii="Times New Roman" w:hAnsi="Times New Roman" w:cs="Times New Roman"/>
          <w:sz w:val="24"/>
        </w:rPr>
        <w:t>,</w:t>
      </w:r>
      <w:r w:rsidRPr="00C62B12">
        <w:rPr>
          <w:rFonts w:ascii="Times New Roman" w:hAnsi="Times New Roman" w:cs="Times New Roman"/>
          <w:sz w:val="24"/>
        </w:rPr>
        <w:t xml:space="preserve"> Paz</w:t>
      </w:r>
      <w:r>
        <w:rPr>
          <w:rFonts w:ascii="Times New Roman" w:hAnsi="Times New Roman" w:cs="Times New Roman"/>
          <w:sz w:val="24"/>
        </w:rPr>
        <w:t>,</w:t>
      </w:r>
      <w:r w:rsidRPr="00C62B12">
        <w:rPr>
          <w:rFonts w:ascii="Times New Roman" w:hAnsi="Times New Roman" w:cs="Times New Roman"/>
          <w:sz w:val="24"/>
        </w:rPr>
        <w:t xml:space="preserve"> J</w:t>
      </w:r>
      <w:r>
        <w:rPr>
          <w:rFonts w:ascii="Times New Roman" w:hAnsi="Times New Roman" w:cs="Times New Roman"/>
          <w:sz w:val="24"/>
        </w:rPr>
        <w:t>.;</w:t>
      </w:r>
      <w:r w:rsidRPr="00C62B12">
        <w:rPr>
          <w:rFonts w:ascii="Times New Roman" w:hAnsi="Times New Roman" w:cs="Times New Roman"/>
          <w:sz w:val="24"/>
        </w:rPr>
        <w:t xml:space="preserve"> Larionova</w:t>
      </w:r>
      <w:r>
        <w:rPr>
          <w:rFonts w:ascii="Times New Roman" w:hAnsi="Times New Roman" w:cs="Times New Roman"/>
          <w:sz w:val="24"/>
        </w:rPr>
        <w:t>,</w:t>
      </w:r>
      <w:r w:rsidRPr="00C62B12">
        <w:rPr>
          <w:rFonts w:ascii="Times New Roman" w:hAnsi="Times New Roman" w:cs="Times New Roman"/>
          <w:sz w:val="24"/>
        </w:rPr>
        <w:t xml:space="preserve"> M</w:t>
      </w:r>
      <w:r>
        <w:rPr>
          <w:rFonts w:ascii="Times New Roman" w:hAnsi="Times New Roman" w:cs="Times New Roman"/>
          <w:sz w:val="24"/>
        </w:rPr>
        <w:t>.;</w:t>
      </w:r>
      <w:r w:rsidRPr="00C62B12">
        <w:rPr>
          <w:rFonts w:ascii="Times New Roman" w:hAnsi="Times New Roman" w:cs="Times New Roman"/>
          <w:sz w:val="24"/>
        </w:rPr>
        <w:t xml:space="preserve"> Maceira</w:t>
      </w:r>
      <w:r>
        <w:rPr>
          <w:rFonts w:ascii="Times New Roman" w:hAnsi="Times New Roman" w:cs="Times New Roman"/>
          <w:sz w:val="24"/>
        </w:rPr>
        <w:t>,</w:t>
      </w:r>
      <w:r w:rsidRPr="00C62B12">
        <w:rPr>
          <w:rFonts w:ascii="Times New Roman" w:hAnsi="Times New Roman" w:cs="Times New Roman"/>
          <w:sz w:val="24"/>
        </w:rPr>
        <w:t xml:space="preserve"> M</w:t>
      </w:r>
      <w:r>
        <w:rPr>
          <w:rFonts w:ascii="Times New Roman" w:hAnsi="Times New Roman" w:cs="Times New Roman"/>
          <w:sz w:val="24"/>
        </w:rPr>
        <w:t>.</w:t>
      </w:r>
      <w:r w:rsidRPr="00C62B12">
        <w:rPr>
          <w:rFonts w:ascii="Times New Roman" w:hAnsi="Times New Roman" w:cs="Times New Roman"/>
          <w:sz w:val="24"/>
        </w:rPr>
        <w:t>A</w:t>
      </w:r>
      <w:r>
        <w:rPr>
          <w:rFonts w:ascii="Times New Roman" w:hAnsi="Times New Roman" w:cs="Times New Roman"/>
          <w:sz w:val="24"/>
        </w:rPr>
        <w:t>.;</w:t>
      </w:r>
      <w:r w:rsidRPr="00C62B12">
        <w:rPr>
          <w:rFonts w:ascii="Times New Roman" w:hAnsi="Times New Roman" w:cs="Times New Roman"/>
          <w:sz w:val="24"/>
        </w:rPr>
        <w:t xml:space="preserve"> Borrego</w:t>
      </w:r>
      <w:r>
        <w:rPr>
          <w:rFonts w:ascii="Times New Roman" w:hAnsi="Times New Roman" w:cs="Times New Roman"/>
          <w:sz w:val="24"/>
        </w:rPr>
        <w:t>,</w:t>
      </w:r>
      <w:r w:rsidRPr="00C62B12">
        <w:rPr>
          <w:rFonts w:ascii="Times New Roman" w:hAnsi="Times New Roman" w:cs="Times New Roman"/>
          <w:sz w:val="24"/>
        </w:rPr>
        <w:t xml:space="preserve"> S</w:t>
      </w:r>
      <w:r>
        <w:rPr>
          <w:rFonts w:ascii="Times New Roman" w:hAnsi="Times New Roman" w:cs="Times New Roman"/>
          <w:sz w:val="24"/>
        </w:rPr>
        <w:t>.</w:t>
      </w:r>
      <w:r w:rsidRPr="00C62B12">
        <w:rPr>
          <w:rFonts w:ascii="Times New Roman" w:hAnsi="Times New Roman" w:cs="Times New Roman"/>
          <w:sz w:val="24"/>
        </w:rPr>
        <w:t>F</w:t>
      </w:r>
      <w:r>
        <w:rPr>
          <w:rFonts w:ascii="Times New Roman" w:hAnsi="Times New Roman" w:cs="Times New Roman"/>
          <w:sz w:val="24"/>
        </w:rPr>
        <w:t>. and</w:t>
      </w:r>
      <w:r w:rsidRPr="00C62B12">
        <w:rPr>
          <w:rFonts w:ascii="Times New Roman" w:hAnsi="Times New Roman" w:cs="Times New Roman"/>
          <w:sz w:val="24"/>
        </w:rPr>
        <w:t xml:space="preserve"> Echevarría</w:t>
      </w:r>
      <w:r>
        <w:rPr>
          <w:rFonts w:ascii="Times New Roman" w:hAnsi="Times New Roman" w:cs="Times New Roman"/>
          <w:sz w:val="24"/>
        </w:rPr>
        <w:t>,</w:t>
      </w:r>
      <w:r w:rsidRPr="00C62B12">
        <w:rPr>
          <w:rFonts w:ascii="Times New Roman" w:hAnsi="Times New Roman" w:cs="Times New Roman"/>
          <w:sz w:val="24"/>
        </w:rPr>
        <w:t xml:space="preserve"> E</w:t>
      </w:r>
      <w:r>
        <w:rPr>
          <w:rFonts w:ascii="Times New Roman" w:hAnsi="Times New Roman" w:cs="Times New Roman"/>
          <w:sz w:val="24"/>
        </w:rPr>
        <w:t>.</w:t>
      </w:r>
      <w:r w:rsidRPr="00C62B12">
        <w:rPr>
          <w:rFonts w:ascii="Times New Roman" w:hAnsi="Times New Roman" w:cs="Times New Roman"/>
          <w:sz w:val="24"/>
        </w:rPr>
        <w:t xml:space="preserve"> (2006). Control of biodeterioration using a fraction isolated from leaves of Ricinus communis Linn. </w:t>
      </w:r>
      <w:proofErr w:type="spellStart"/>
      <w:r w:rsidRPr="00C62B12">
        <w:rPr>
          <w:rFonts w:ascii="Times New Roman" w:hAnsi="Times New Roman" w:cs="Times New Roman"/>
          <w:sz w:val="24"/>
        </w:rPr>
        <w:t>Pharmacologyonline</w:t>
      </w:r>
      <w:proofErr w:type="spellEnd"/>
      <w:r w:rsidRPr="00C62B12">
        <w:rPr>
          <w:rFonts w:ascii="Times New Roman" w:hAnsi="Times New Roman" w:cs="Times New Roman"/>
          <w:sz w:val="24"/>
        </w:rPr>
        <w:t>. 3:462–466.</w:t>
      </w:r>
    </w:p>
    <w:p w14:paraId="651EECB6" w14:textId="1180D0DD" w:rsidR="00880DC9" w:rsidRPr="00C62B12" w:rsidRDefault="00880DC9" w:rsidP="00C62B12">
      <w:pPr>
        <w:tabs>
          <w:tab w:val="left" w:pos="0"/>
          <w:tab w:val="left" w:pos="90"/>
          <w:tab w:val="left" w:pos="900"/>
        </w:tabs>
        <w:spacing w:before="240" w:after="0" w:line="360" w:lineRule="auto"/>
        <w:ind w:left="360" w:right="-90" w:hanging="360"/>
        <w:jc w:val="both"/>
        <w:rPr>
          <w:rFonts w:ascii="Times New Roman" w:hAnsi="Times New Roman" w:cs="Times New Roman"/>
          <w:sz w:val="24"/>
        </w:rPr>
      </w:pPr>
      <w:r w:rsidRPr="00880DC9">
        <w:rPr>
          <w:rFonts w:ascii="Times New Roman" w:hAnsi="Times New Roman" w:cs="Times New Roman"/>
          <w:sz w:val="24"/>
        </w:rPr>
        <w:t>Gaikwad</w:t>
      </w:r>
      <w:r>
        <w:rPr>
          <w:rFonts w:ascii="Times New Roman" w:hAnsi="Times New Roman" w:cs="Times New Roman"/>
          <w:sz w:val="24"/>
        </w:rPr>
        <w:t>,</w:t>
      </w:r>
      <w:r w:rsidRPr="00880DC9">
        <w:rPr>
          <w:rFonts w:ascii="Times New Roman" w:hAnsi="Times New Roman" w:cs="Times New Roman"/>
          <w:sz w:val="24"/>
        </w:rPr>
        <w:t xml:space="preserve"> A</w:t>
      </w:r>
      <w:r>
        <w:rPr>
          <w:rFonts w:ascii="Times New Roman" w:hAnsi="Times New Roman" w:cs="Times New Roman"/>
          <w:sz w:val="24"/>
        </w:rPr>
        <w:t>.</w:t>
      </w:r>
      <w:r w:rsidRPr="00880DC9">
        <w:rPr>
          <w:rFonts w:ascii="Times New Roman" w:hAnsi="Times New Roman" w:cs="Times New Roman"/>
          <w:sz w:val="24"/>
        </w:rPr>
        <w:t>P</w:t>
      </w:r>
      <w:r>
        <w:rPr>
          <w:rFonts w:ascii="Times New Roman" w:hAnsi="Times New Roman" w:cs="Times New Roman"/>
          <w:sz w:val="24"/>
        </w:rPr>
        <w:t>.;</w:t>
      </w:r>
      <w:r w:rsidRPr="00880DC9">
        <w:rPr>
          <w:rFonts w:ascii="Times New Roman" w:hAnsi="Times New Roman" w:cs="Times New Roman"/>
          <w:sz w:val="24"/>
        </w:rPr>
        <w:t xml:space="preserve"> Sharma</w:t>
      </w:r>
      <w:r>
        <w:rPr>
          <w:rFonts w:ascii="Times New Roman" w:hAnsi="Times New Roman" w:cs="Times New Roman"/>
          <w:sz w:val="24"/>
        </w:rPr>
        <w:t>,</w:t>
      </w:r>
      <w:r w:rsidRPr="00880DC9">
        <w:rPr>
          <w:rFonts w:ascii="Times New Roman" w:hAnsi="Times New Roman" w:cs="Times New Roman"/>
          <w:sz w:val="24"/>
        </w:rPr>
        <w:t xml:space="preserve"> L</w:t>
      </w:r>
      <w:r>
        <w:rPr>
          <w:rFonts w:ascii="Times New Roman" w:hAnsi="Times New Roman" w:cs="Times New Roman"/>
          <w:sz w:val="24"/>
        </w:rPr>
        <w:t>.;</w:t>
      </w:r>
      <w:r w:rsidRPr="00880DC9">
        <w:rPr>
          <w:rFonts w:ascii="Times New Roman" w:hAnsi="Times New Roman" w:cs="Times New Roman"/>
          <w:sz w:val="24"/>
        </w:rPr>
        <w:t xml:space="preserve"> </w:t>
      </w:r>
      <w:proofErr w:type="spellStart"/>
      <w:r w:rsidRPr="00880DC9">
        <w:rPr>
          <w:rFonts w:ascii="Times New Roman" w:hAnsi="Times New Roman" w:cs="Times New Roman"/>
          <w:sz w:val="24"/>
        </w:rPr>
        <w:t>Nagrale</w:t>
      </w:r>
      <w:proofErr w:type="spellEnd"/>
      <w:r>
        <w:rPr>
          <w:rFonts w:ascii="Times New Roman" w:hAnsi="Times New Roman" w:cs="Times New Roman"/>
          <w:sz w:val="24"/>
        </w:rPr>
        <w:t>,</w:t>
      </w:r>
      <w:r w:rsidRPr="00880DC9">
        <w:rPr>
          <w:rFonts w:ascii="Times New Roman" w:hAnsi="Times New Roman" w:cs="Times New Roman"/>
          <w:sz w:val="24"/>
        </w:rPr>
        <w:t xml:space="preserve"> D</w:t>
      </w:r>
      <w:r>
        <w:rPr>
          <w:rFonts w:ascii="Times New Roman" w:hAnsi="Times New Roman" w:cs="Times New Roman"/>
          <w:sz w:val="24"/>
        </w:rPr>
        <w:t>.</w:t>
      </w:r>
      <w:r w:rsidRPr="00880DC9">
        <w:rPr>
          <w:rFonts w:ascii="Times New Roman" w:hAnsi="Times New Roman" w:cs="Times New Roman"/>
          <w:sz w:val="24"/>
        </w:rPr>
        <w:t>T</w:t>
      </w:r>
      <w:r>
        <w:rPr>
          <w:rFonts w:ascii="Times New Roman" w:hAnsi="Times New Roman" w:cs="Times New Roman"/>
          <w:sz w:val="24"/>
        </w:rPr>
        <w:t>.</w:t>
      </w:r>
      <w:r w:rsidRPr="00880DC9">
        <w:rPr>
          <w:rFonts w:ascii="Times New Roman" w:hAnsi="Times New Roman" w:cs="Times New Roman"/>
          <w:sz w:val="24"/>
        </w:rPr>
        <w:t xml:space="preserve"> </w:t>
      </w:r>
      <w:r>
        <w:rPr>
          <w:rFonts w:ascii="Times New Roman" w:hAnsi="Times New Roman" w:cs="Times New Roman"/>
          <w:sz w:val="24"/>
        </w:rPr>
        <w:t xml:space="preserve"> (2014). </w:t>
      </w:r>
      <w:r w:rsidRPr="00880DC9">
        <w:rPr>
          <w:rFonts w:ascii="Times New Roman" w:hAnsi="Times New Roman" w:cs="Times New Roman"/>
          <w:sz w:val="24"/>
        </w:rPr>
        <w:t xml:space="preserve">Morphological and physiological characters of </w:t>
      </w:r>
      <w:proofErr w:type="spellStart"/>
      <w:r w:rsidRPr="00880DC9">
        <w:rPr>
          <w:rFonts w:ascii="Times New Roman" w:hAnsi="Times New Roman" w:cs="Times New Roman"/>
          <w:i/>
          <w:iCs/>
          <w:sz w:val="24"/>
        </w:rPr>
        <w:t>Alternaria</w:t>
      </w:r>
      <w:proofErr w:type="spellEnd"/>
      <w:r w:rsidRPr="00880DC9">
        <w:rPr>
          <w:rFonts w:ascii="Times New Roman" w:hAnsi="Times New Roman" w:cs="Times New Roman"/>
          <w:i/>
          <w:iCs/>
          <w:sz w:val="24"/>
        </w:rPr>
        <w:t xml:space="preserve"> </w:t>
      </w:r>
      <w:proofErr w:type="spellStart"/>
      <w:r w:rsidRPr="00880DC9">
        <w:rPr>
          <w:rFonts w:ascii="Times New Roman" w:hAnsi="Times New Roman" w:cs="Times New Roman"/>
          <w:i/>
          <w:iCs/>
          <w:sz w:val="24"/>
        </w:rPr>
        <w:t>alternata</w:t>
      </w:r>
      <w:proofErr w:type="spellEnd"/>
      <w:r w:rsidRPr="00880DC9">
        <w:rPr>
          <w:rFonts w:ascii="Times New Roman" w:hAnsi="Times New Roman" w:cs="Times New Roman"/>
          <w:sz w:val="24"/>
        </w:rPr>
        <w:t xml:space="preserve"> causing leaf blight disease of onion. </w:t>
      </w:r>
      <w:proofErr w:type="spellStart"/>
      <w:r w:rsidRPr="00880DC9">
        <w:rPr>
          <w:rFonts w:ascii="Times New Roman" w:hAnsi="Times New Roman" w:cs="Times New Roman"/>
          <w:i/>
          <w:iCs/>
          <w:sz w:val="24"/>
        </w:rPr>
        <w:t>Pharmacologyonline</w:t>
      </w:r>
      <w:proofErr w:type="spellEnd"/>
      <w:r w:rsidRPr="00880DC9">
        <w:rPr>
          <w:rFonts w:ascii="Times New Roman" w:hAnsi="Times New Roman" w:cs="Times New Roman"/>
          <w:sz w:val="24"/>
        </w:rPr>
        <w:t>.</w:t>
      </w:r>
      <w:r>
        <w:rPr>
          <w:rFonts w:ascii="Times New Roman" w:hAnsi="Times New Roman" w:cs="Times New Roman"/>
          <w:sz w:val="24"/>
        </w:rPr>
        <w:t xml:space="preserve"> </w:t>
      </w:r>
      <w:r w:rsidRPr="00880DC9">
        <w:rPr>
          <w:rFonts w:ascii="Times New Roman" w:hAnsi="Times New Roman" w:cs="Times New Roman"/>
          <w:sz w:val="24"/>
        </w:rPr>
        <w:t>3:462–466.</w:t>
      </w:r>
    </w:p>
    <w:p w14:paraId="4886836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sidRPr="00C62B12">
        <w:rPr>
          <w:rFonts w:ascii="Times New Roman" w:hAnsi="Times New Roman" w:cs="Times New Roman"/>
        </w:rPr>
        <w:t>Hubballi, M.; Nakkeeran,</w:t>
      </w:r>
      <w:r>
        <w:rPr>
          <w:rFonts w:ascii="Times New Roman" w:hAnsi="Times New Roman" w:cs="Times New Roman"/>
        </w:rPr>
        <w:t xml:space="preserve"> S.; </w:t>
      </w:r>
      <w:proofErr w:type="spellStart"/>
      <w:r>
        <w:rPr>
          <w:rFonts w:ascii="Times New Roman" w:hAnsi="Times New Roman" w:cs="Times New Roman"/>
        </w:rPr>
        <w:t>Raguchander</w:t>
      </w:r>
      <w:proofErr w:type="spellEnd"/>
      <w:r>
        <w:rPr>
          <w:rFonts w:ascii="Times New Roman" w:hAnsi="Times New Roman" w:cs="Times New Roman"/>
        </w:rPr>
        <w:t xml:space="preserve">, T.; Anand, T. and </w:t>
      </w:r>
      <w:proofErr w:type="spellStart"/>
      <w:r>
        <w:rPr>
          <w:rFonts w:ascii="Times New Roman" w:hAnsi="Times New Roman" w:cs="Times New Roman"/>
        </w:rPr>
        <w:t>Samiyappan</w:t>
      </w:r>
      <w:proofErr w:type="spellEnd"/>
      <w:r>
        <w:rPr>
          <w:rFonts w:ascii="Times New Roman" w:hAnsi="Times New Roman" w:cs="Times New Roman"/>
        </w:rPr>
        <w:t xml:space="preserve">, R. (2010). Effect of environmental conditions on </w:t>
      </w:r>
      <w:r>
        <w:rPr>
          <w:rFonts w:ascii="Times New Roman" w:hAnsi="Times New Roman" w:cs="Times New Roman"/>
          <w:color w:val="000000"/>
        </w:rPr>
        <w:t xml:space="preserve">growth of </w:t>
      </w:r>
      <w:proofErr w:type="spellStart"/>
      <w:r>
        <w:rPr>
          <w:rFonts w:ascii="Times New Roman" w:hAnsi="Times New Roman" w:cs="Times New Roman"/>
          <w:i/>
          <w:iCs/>
          <w:color w:val="000000"/>
        </w:rPr>
        <w:t>Alternaria</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alternata</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causing leaf blight of Noni. </w:t>
      </w:r>
      <w:r>
        <w:rPr>
          <w:rFonts w:ascii="Times New Roman" w:hAnsi="Times New Roman" w:cs="Times New Roman"/>
          <w:i/>
          <w:color w:val="000000"/>
        </w:rPr>
        <w:t>World J Agric. Sci.</w:t>
      </w:r>
      <w:r>
        <w:rPr>
          <w:rFonts w:ascii="Times New Roman" w:hAnsi="Times New Roman" w:cs="Times New Roman"/>
          <w:color w:val="000000"/>
        </w:rPr>
        <w:t xml:space="preserve"> 2010; 6(2):171-177. </w:t>
      </w:r>
    </w:p>
    <w:p w14:paraId="6B6C92F5"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proofErr w:type="spellStart"/>
      <w:r>
        <w:rPr>
          <w:rFonts w:ascii="Times New Roman" w:hAnsi="Times New Roman" w:cs="Times New Roman"/>
        </w:rPr>
        <w:t>Ionnidis</w:t>
      </w:r>
      <w:proofErr w:type="spellEnd"/>
      <w:r>
        <w:rPr>
          <w:rFonts w:ascii="Times New Roman" w:hAnsi="Times New Roman" w:cs="Times New Roman"/>
        </w:rPr>
        <w:t xml:space="preserve">, N.M. and Main, G.C. (1973). Effect of culture medium on production and pathogenicity of </w:t>
      </w:r>
      <w:proofErr w:type="spellStart"/>
      <w:r>
        <w:rPr>
          <w:rFonts w:ascii="Times New Roman" w:hAnsi="Times New Roman" w:cs="Times New Roman"/>
          <w:i/>
        </w:rPr>
        <w:t>Alternaria</w:t>
      </w:r>
      <w:proofErr w:type="spellEnd"/>
      <w:r>
        <w:rPr>
          <w:rFonts w:ascii="Times New Roman" w:hAnsi="Times New Roman" w:cs="Times New Roman"/>
          <w:i/>
        </w:rPr>
        <w:t xml:space="preserve"> </w:t>
      </w:r>
      <w:proofErr w:type="spellStart"/>
      <w:r>
        <w:rPr>
          <w:rFonts w:ascii="Times New Roman" w:hAnsi="Times New Roman" w:cs="Times New Roman"/>
          <w:i/>
        </w:rPr>
        <w:t>alternata</w:t>
      </w:r>
      <w:proofErr w:type="spellEnd"/>
      <w:r>
        <w:rPr>
          <w:rFonts w:ascii="Times New Roman" w:hAnsi="Times New Roman" w:cs="Times New Roman"/>
        </w:rPr>
        <w:t xml:space="preserve">. </w:t>
      </w:r>
      <w:r>
        <w:rPr>
          <w:rFonts w:ascii="Times New Roman" w:hAnsi="Times New Roman" w:cs="Times New Roman"/>
          <w:i/>
        </w:rPr>
        <w:t>Pl. Dis. Rep</w:t>
      </w:r>
      <w:r>
        <w:rPr>
          <w:rFonts w:ascii="Times New Roman" w:hAnsi="Times New Roman" w:cs="Times New Roman"/>
        </w:rPr>
        <w:t>., 57(1): 39-42.</w:t>
      </w:r>
    </w:p>
    <w:p w14:paraId="3F4EC135"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Jash, S.; Dutta, S. and </w:t>
      </w:r>
      <w:proofErr w:type="spellStart"/>
      <w:r>
        <w:rPr>
          <w:rFonts w:ascii="Times New Roman" w:hAnsi="Times New Roman" w:cs="Times New Roman"/>
        </w:rPr>
        <w:t>Bandhopadhyay</w:t>
      </w:r>
      <w:proofErr w:type="spellEnd"/>
      <w:r>
        <w:rPr>
          <w:rFonts w:ascii="Times New Roman" w:hAnsi="Times New Roman" w:cs="Times New Roman"/>
        </w:rPr>
        <w:t xml:space="preserve">, S. (2003). Effect of different culture media, pH and carbon sources on growth and sporulation of </w:t>
      </w:r>
      <w:r>
        <w:rPr>
          <w:rFonts w:ascii="Times New Roman" w:hAnsi="Times New Roman" w:cs="Times New Roman"/>
          <w:i/>
        </w:rPr>
        <w:t>Alternaria zinnia</w:t>
      </w:r>
      <w:r>
        <w:rPr>
          <w:rFonts w:ascii="Times New Roman" w:hAnsi="Times New Roman" w:cs="Times New Roman"/>
        </w:rPr>
        <w:t xml:space="preserve"> using leaf and flower blight of marigold. </w:t>
      </w:r>
      <w:proofErr w:type="spellStart"/>
      <w:r>
        <w:rPr>
          <w:rFonts w:ascii="Times New Roman" w:hAnsi="Times New Roman" w:cs="Times New Roman"/>
          <w:i/>
        </w:rPr>
        <w:t>Envir</w:t>
      </w:r>
      <w:proofErr w:type="spellEnd"/>
      <w:r>
        <w:rPr>
          <w:rFonts w:ascii="Times New Roman" w:hAnsi="Times New Roman" w:cs="Times New Roman"/>
          <w:i/>
        </w:rPr>
        <w:t>.  Eco</w:t>
      </w:r>
      <w:r>
        <w:rPr>
          <w:rFonts w:ascii="Times New Roman" w:hAnsi="Times New Roman" w:cs="Times New Roman"/>
        </w:rPr>
        <w:t>. 2003;21(2):321-325.</w:t>
      </w:r>
    </w:p>
    <w:p w14:paraId="4B56E000"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bCs/>
          <w:color w:val="000000"/>
        </w:rPr>
        <w:t xml:space="preserve">Krishna, V. P.; </w:t>
      </w:r>
      <w:proofErr w:type="spellStart"/>
      <w:r>
        <w:rPr>
          <w:rFonts w:ascii="Times New Roman" w:hAnsi="Times New Roman" w:cs="Times New Roman"/>
          <w:bCs/>
          <w:color w:val="000000"/>
        </w:rPr>
        <w:t>Suryawanshi</w:t>
      </w:r>
      <w:proofErr w:type="spellEnd"/>
      <w:r>
        <w:rPr>
          <w:rFonts w:ascii="Times New Roman" w:hAnsi="Times New Roman" w:cs="Times New Roman"/>
          <w:bCs/>
          <w:color w:val="000000"/>
        </w:rPr>
        <w:t xml:space="preserve">, A.P.; </w:t>
      </w:r>
      <w:proofErr w:type="spellStart"/>
      <w:r>
        <w:rPr>
          <w:rFonts w:ascii="Times New Roman" w:hAnsi="Times New Roman" w:cs="Times New Roman"/>
          <w:bCs/>
          <w:color w:val="000000"/>
        </w:rPr>
        <w:t>Prajapati</w:t>
      </w:r>
      <w:proofErr w:type="spellEnd"/>
      <w:r>
        <w:rPr>
          <w:rFonts w:ascii="Times New Roman" w:hAnsi="Times New Roman" w:cs="Times New Roman"/>
          <w:bCs/>
          <w:color w:val="000000"/>
        </w:rPr>
        <w:t xml:space="preserve">, S. and Surekha, S.; (2018). </w:t>
      </w:r>
      <w:r>
        <w:rPr>
          <w:rFonts w:ascii="Times New Roman" w:hAnsi="Times New Roman" w:cs="Times New Roman"/>
          <w:bCs/>
        </w:rPr>
        <w:t xml:space="preserve"> </w:t>
      </w:r>
      <w:r>
        <w:rPr>
          <w:rFonts w:ascii="Times New Roman" w:hAnsi="Times New Roman" w:cs="Times New Roman"/>
          <w:bCs/>
          <w:color w:val="000000"/>
        </w:rPr>
        <w:t xml:space="preserve">Effect of different culture media on growth and sporulation of </w:t>
      </w:r>
      <w:proofErr w:type="spellStart"/>
      <w:r>
        <w:rPr>
          <w:rFonts w:ascii="Times New Roman" w:hAnsi="Times New Roman" w:cs="Times New Roman"/>
          <w:bCs/>
          <w:i/>
          <w:iCs/>
          <w:color w:val="000000"/>
        </w:rPr>
        <w:t>Alternaria</w:t>
      </w:r>
      <w:proofErr w:type="spellEnd"/>
      <w:r>
        <w:rPr>
          <w:rFonts w:ascii="Times New Roman" w:hAnsi="Times New Roman" w:cs="Times New Roman"/>
          <w:bCs/>
          <w:i/>
          <w:iCs/>
          <w:color w:val="000000"/>
        </w:rPr>
        <w:t xml:space="preserve"> </w:t>
      </w:r>
      <w:proofErr w:type="spellStart"/>
      <w:r>
        <w:rPr>
          <w:rFonts w:ascii="Times New Roman" w:hAnsi="Times New Roman" w:cs="Times New Roman"/>
          <w:bCs/>
          <w:i/>
          <w:iCs/>
          <w:color w:val="000000"/>
        </w:rPr>
        <w:t>dauci</w:t>
      </w:r>
      <w:proofErr w:type="spellEnd"/>
      <w:r>
        <w:rPr>
          <w:rFonts w:ascii="Times New Roman" w:hAnsi="Times New Roman" w:cs="Times New Roman"/>
          <w:bCs/>
          <w:i/>
          <w:iCs/>
          <w:color w:val="000000"/>
        </w:rPr>
        <w:t xml:space="preserve"> </w:t>
      </w:r>
      <w:r>
        <w:rPr>
          <w:rFonts w:ascii="Times New Roman" w:hAnsi="Times New Roman" w:cs="Times New Roman"/>
          <w:bCs/>
          <w:color w:val="000000"/>
        </w:rPr>
        <w:t>causing carrot leaf blight</w:t>
      </w:r>
      <w:r>
        <w:rPr>
          <w:rFonts w:ascii="Times New Roman" w:hAnsi="Times New Roman" w:cs="Times New Roman"/>
          <w:bCs/>
        </w:rPr>
        <w:t xml:space="preserve">. </w:t>
      </w:r>
      <w:r>
        <w:rPr>
          <w:rFonts w:ascii="Times New Roman" w:hAnsi="Times New Roman" w:cs="Times New Roman"/>
          <w:i/>
        </w:rPr>
        <w:t xml:space="preserve"> J. </w:t>
      </w:r>
      <w:proofErr w:type="spellStart"/>
      <w:proofErr w:type="gramStart"/>
      <w:r>
        <w:rPr>
          <w:rFonts w:ascii="Times New Roman" w:hAnsi="Times New Roman" w:cs="Times New Roman"/>
          <w:i/>
        </w:rPr>
        <w:t>Pharma</w:t>
      </w:r>
      <w:proofErr w:type="spellEnd"/>
      <w:r>
        <w:rPr>
          <w:rFonts w:ascii="Times New Roman" w:hAnsi="Times New Roman" w:cs="Times New Roman"/>
          <w:i/>
        </w:rPr>
        <w:t xml:space="preserve">  </w:t>
      </w:r>
      <w:proofErr w:type="spellStart"/>
      <w:r>
        <w:rPr>
          <w:rFonts w:ascii="Times New Roman" w:hAnsi="Times New Roman" w:cs="Times New Roman"/>
          <w:i/>
        </w:rPr>
        <w:t>Phytochemi</w:t>
      </w:r>
      <w:proofErr w:type="spellEnd"/>
      <w:proofErr w:type="gramEnd"/>
      <w:r>
        <w:rPr>
          <w:rFonts w:ascii="Times New Roman" w:hAnsi="Times New Roman" w:cs="Times New Roman"/>
        </w:rPr>
        <w:t xml:space="preserve"> 2018; 7(6): 1789-1792.</w:t>
      </w:r>
    </w:p>
    <w:p w14:paraId="5EDC405B"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lastRenderedPageBreak/>
        <w:t xml:space="preserve">Koley, S. and Mahapatra, S. (2015). Evaluation of culture media for growth characteristics of </w:t>
      </w:r>
      <w:proofErr w:type="spellStart"/>
      <w:r>
        <w:rPr>
          <w:rFonts w:ascii="Times New Roman" w:hAnsi="Times New Roman" w:cs="Times New Roman"/>
          <w:i/>
          <w:iCs/>
          <w:color w:val="000000"/>
        </w:rPr>
        <w:t>Alternaria</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solani</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causing early blight of tomato. </w:t>
      </w:r>
      <w:r>
        <w:rPr>
          <w:rFonts w:ascii="Times New Roman" w:hAnsi="Times New Roman" w:cs="Times New Roman"/>
          <w:i/>
          <w:color w:val="000000"/>
        </w:rPr>
        <w:t>J Pl. Path. Microbiol</w:t>
      </w:r>
      <w:r>
        <w:rPr>
          <w:rFonts w:ascii="Times New Roman" w:hAnsi="Times New Roman" w:cs="Times New Roman"/>
          <w:color w:val="000000"/>
        </w:rPr>
        <w:t xml:space="preserve">.; 2(1):1-5. </w:t>
      </w:r>
    </w:p>
    <w:p w14:paraId="429DD387"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t xml:space="preserve">Khan, M.M.; Khan, R.U. and Mohiddin, F.A. (2007b). </w:t>
      </w:r>
      <w:r>
        <w:rPr>
          <w:rFonts w:ascii="Times New Roman" w:hAnsi="Times New Roman" w:cs="Times New Roman"/>
          <w:i/>
          <w:iCs/>
          <w:color w:val="000000"/>
        </w:rPr>
        <w:t xml:space="preserve">In-vitro </w:t>
      </w:r>
      <w:r>
        <w:rPr>
          <w:rFonts w:ascii="Times New Roman" w:hAnsi="Times New Roman" w:cs="Times New Roman"/>
          <w:color w:val="000000"/>
        </w:rPr>
        <w:t xml:space="preserve">effect of temperature and culture media on the growth of </w:t>
      </w:r>
      <w:r>
        <w:rPr>
          <w:rFonts w:ascii="Times New Roman" w:hAnsi="Times New Roman" w:cs="Times New Roman"/>
          <w:i/>
          <w:iCs/>
          <w:color w:val="000000"/>
        </w:rPr>
        <w:t>Alternaria brassicae</w:t>
      </w:r>
      <w:r>
        <w:rPr>
          <w:rFonts w:ascii="Times New Roman" w:hAnsi="Times New Roman" w:cs="Times New Roman"/>
          <w:color w:val="000000"/>
        </w:rPr>
        <w:t xml:space="preserve">, infecting rapeseed mustard. </w:t>
      </w:r>
      <w:r>
        <w:rPr>
          <w:rFonts w:ascii="Times New Roman" w:hAnsi="Times New Roman" w:cs="Times New Roman"/>
          <w:i/>
          <w:color w:val="000000"/>
        </w:rPr>
        <w:t>Ann. Pl. Prot. Sci.</w:t>
      </w:r>
      <w:r>
        <w:rPr>
          <w:rFonts w:ascii="Times New Roman" w:hAnsi="Times New Roman" w:cs="Times New Roman"/>
          <w:color w:val="000000"/>
        </w:rPr>
        <w:t xml:space="preserve"> 2007b; 15(2):526-527. </w:t>
      </w:r>
    </w:p>
    <w:p w14:paraId="3BC8AE2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rPr>
        <w:t xml:space="preserve">Madhavi, M.; Kavitha, A. and </w:t>
      </w:r>
      <w:proofErr w:type="spellStart"/>
      <w:r>
        <w:rPr>
          <w:rFonts w:ascii="Times New Roman" w:hAnsi="Times New Roman" w:cs="Times New Roman"/>
        </w:rPr>
        <w:t>Vijaylakshmi</w:t>
      </w:r>
      <w:proofErr w:type="spellEnd"/>
      <w:r>
        <w:rPr>
          <w:rFonts w:ascii="Times New Roman" w:hAnsi="Times New Roman" w:cs="Times New Roman"/>
        </w:rPr>
        <w:t xml:space="preserve">, M. (2012). Studies on </w:t>
      </w:r>
      <w:proofErr w:type="spellStart"/>
      <w:r>
        <w:rPr>
          <w:rFonts w:ascii="Times New Roman" w:hAnsi="Times New Roman" w:cs="Times New Roman"/>
          <w:i/>
        </w:rPr>
        <w:t>Alternaria</w:t>
      </w:r>
      <w:proofErr w:type="spellEnd"/>
      <w:r>
        <w:rPr>
          <w:rFonts w:ascii="Times New Roman" w:hAnsi="Times New Roman" w:cs="Times New Roman"/>
          <w:i/>
        </w:rPr>
        <w:t xml:space="preserve"> </w:t>
      </w:r>
      <w:proofErr w:type="spellStart"/>
      <w:r>
        <w:rPr>
          <w:rFonts w:ascii="Times New Roman" w:hAnsi="Times New Roman" w:cs="Times New Roman"/>
          <w:i/>
        </w:rPr>
        <w:t>porri</w:t>
      </w:r>
      <w:proofErr w:type="spellEnd"/>
      <w:r>
        <w:rPr>
          <w:rFonts w:ascii="Times New Roman" w:hAnsi="Times New Roman" w:cs="Times New Roman"/>
        </w:rPr>
        <w:t xml:space="preserve"> (Ellis) </w:t>
      </w:r>
      <w:proofErr w:type="spellStart"/>
      <w:r>
        <w:rPr>
          <w:rFonts w:ascii="Times New Roman" w:hAnsi="Times New Roman" w:cs="Times New Roman"/>
        </w:rPr>
        <w:t>Ciferri</w:t>
      </w:r>
      <w:proofErr w:type="spellEnd"/>
      <w:r>
        <w:rPr>
          <w:rFonts w:ascii="Times New Roman" w:hAnsi="Times New Roman" w:cs="Times New Roman"/>
        </w:rPr>
        <w:t xml:space="preserve"> pathogenic to onion (</w:t>
      </w:r>
      <w:r>
        <w:rPr>
          <w:rFonts w:ascii="Times New Roman" w:hAnsi="Times New Roman" w:cs="Times New Roman"/>
          <w:i/>
        </w:rPr>
        <w:t>Allium cepa</w:t>
      </w:r>
      <w:r>
        <w:rPr>
          <w:rFonts w:ascii="Times New Roman" w:hAnsi="Times New Roman" w:cs="Times New Roman"/>
        </w:rPr>
        <w:t xml:space="preserve"> L.). </w:t>
      </w:r>
      <w:r>
        <w:rPr>
          <w:rFonts w:ascii="Times New Roman" w:hAnsi="Times New Roman" w:cs="Times New Roman"/>
          <w:i/>
        </w:rPr>
        <w:t>Archives. Appl. Sci. Res</w:t>
      </w:r>
      <w:r>
        <w:rPr>
          <w:rFonts w:ascii="Times New Roman" w:hAnsi="Times New Roman" w:cs="Times New Roman"/>
        </w:rPr>
        <w:t>.;4(1):1-9.</w:t>
      </w:r>
    </w:p>
    <w:p w14:paraId="1CCE9671"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Mohapatra, A.; Mohanty, A.K. and Mohanty, N.N. (1978). Studies on the physiology of the sesamum leaf blight pathogen, </w:t>
      </w:r>
      <w:proofErr w:type="spellStart"/>
      <w:r>
        <w:rPr>
          <w:rFonts w:ascii="Times New Roman" w:hAnsi="Times New Roman" w:cs="Times New Roman"/>
          <w:i/>
        </w:rPr>
        <w:t>Alternaria</w:t>
      </w:r>
      <w:proofErr w:type="spellEnd"/>
      <w:r>
        <w:rPr>
          <w:rFonts w:ascii="Times New Roman" w:hAnsi="Times New Roman" w:cs="Times New Roman"/>
          <w:i/>
        </w:rPr>
        <w:t xml:space="preserve"> </w:t>
      </w:r>
      <w:proofErr w:type="spellStart"/>
      <w:r>
        <w:rPr>
          <w:rFonts w:ascii="Times New Roman" w:hAnsi="Times New Roman" w:cs="Times New Roman"/>
          <w:i/>
        </w:rPr>
        <w:t>sesami</w:t>
      </w:r>
      <w:proofErr w:type="spellEnd"/>
      <w:r>
        <w:rPr>
          <w:rFonts w:ascii="Times New Roman" w:hAnsi="Times New Roman" w:cs="Times New Roman"/>
        </w:rPr>
        <w:t xml:space="preserve">. </w:t>
      </w:r>
      <w:r>
        <w:rPr>
          <w:rFonts w:ascii="Times New Roman" w:hAnsi="Times New Roman" w:cs="Times New Roman"/>
          <w:i/>
        </w:rPr>
        <w:t>Indian Phytopathol</w:t>
      </w:r>
      <w:r>
        <w:rPr>
          <w:rFonts w:ascii="Times New Roman" w:hAnsi="Times New Roman" w:cs="Times New Roman"/>
        </w:rPr>
        <w:t>.;33 (3):432-434.</w:t>
      </w:r>
    </w:p>
    <w:p w14:paraId="6B9A21E8"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Ram, I.; Ram, J.; </w:t>
      </w:r>
      <w:proofErr w:type="spellStart"/>
      <w:r>
        <w:rPr>
          <w:rFonts w:ascii="Times New Roman" w:hAnsi="Times New Roman" w:cs="Times New Roman"/>
        </w:rPr>
        <w:t>Chatta</w:t>
      </w:r>
      <w:proofErr w:type="spellEnd"/>
      <w:r>
        <w:rPr>
          <w:rFonts w:ascii="Times New Roman" w:hAnsi="Times New Roman" w:cs="Times New Roman"/>
        </w:rPr>
        <w:t xml:space="preserve">, L.; </w:t>
      </w:r>
      <w:proofErr w:type="spellStart"/>
      <w:r>
        <w:rPr>
          <w:rFonts w:ascii="Times New Roman" w:hAnsi="Times New Roman" w:cs="Times New Roman"/>
        </w:rPr>
        <w:t>Deyal</w:t>
      </w:r>
      <w:proofErr w:type="spellEnd"/>
      <w:r>
        <w:rPr>
          <w:rFonts w:ascii="Times New Roman" w:hAnsi="Times New Roman" w:cs="Times New Roman"/>
        </w:rPr>
        <w:t xml:space="preserve">, R. and Thakore, B.B.L. (2007). Investigation on Alternaria fruit rots and </w:t>
      </w:r>
      <w:proofErr w:type="spellStart"/>
      <w:r>
        <w:rPr>
          <w:rFonts w:ascii="Times New Roman" w:hAnsi="Times New Roman" w:cs="Times New Roman"/>
        </w:rPr>
        <w:t>Ber</w:t>
      </w:r>
      <w:proofErr w:type="spellEnd"/>
      <w:r>
        <w:rPr>
          <w:rFonts w:ascii="Times New Roman" w:hAnsi="Times New Roman" w:cs="Times New Roman"/>
        </w:rPr>
        <w:t xml:space="preserve"> (</w:t>
      </w:r>
      <w:proofErr w:type="spellStart"/>
      <w:r>
        <w:rPr>
          <w:rFonts w:ascii="Times New Roman" w:hAnsi="Times New Roman" w:cs="Times New Roman"/>
          <w:i/>
        </w:rPr>
        <w:t>Ziziphus</w:t>
      </w:r>
      <w:proofErr w:type="spellEnd"/>
      <w:r>
        <w:rPr>
          <w:rFonts w:ascii="Times New Roman" w:hAnsi="Times New Roman" w:cs="Times New Roman"/>
          <w:i/>
        </w:rPr>
        <w:t xml:space="preserve"> </w:t>
      </w:r>
      <w:proofErr w:type="spellStart"/>
      <w:r>
        <w:rPr>
          <w:rFonts w:ascii="Times New Roman" w:hAnsi="Times New Roman" w:cs="Times New Roman"/>
          <w:i/>
        </w:rPr>
        <w:t>mauritiana</w:t>
      </w:r>
      <w:proofErr w:type="spellEnd"/>
      <w:r>
        <w:rPr>
          <w:rFonts w:ascii="Times New Roman" w:hAnsi="Times New Roman" w:cs="Times New Roman"/>
        </w:rPr>
        <w:t xml:space="preserve"> Lam.) and its management by fungicides. </w:t>
      </w:r>
      <w:r>
        <w:rPr>
          <w:rFonts w:ascii="Times New Roman" w:hAnsi="Times New Roman" w:cs="Times New Roman"/>
          <w:i/>
        </w:rPr>
        <w:t>J. Eco. Tax. Bot</w:t>
      </w:r>
      <w:r>
        <w:rPr>
          <w:rFonts w:ascii="Times New Roman" w:hAnsi="Times New Roman" w:cs="Times New Roman"/>
        </w:rPr>
        <w:t>, 2007, 31(3).</w:t>
      </w:r>
    </w:p>
    <w:p w14:paraId="1313ABAF"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00"/>
        </w:rPr>
      </w:pPr>
      <w:r>
        <w:rPr>
          <w:rFonts w:ascii="Times New Roman" w:hAnsi="Times New Roman" w:cs="Times New Roman"/>
          <w:color w:val="000000"/>
        </w:rPr>
        <w:t xml:space="preserve">Shabana, Y.M. and </w:t>
      </w:r>
      <w:proofErr w:type="spellStart"/>
      <w:r>
        <w:rPr>
          <w:rFonts w:ascii="Times New Roman" w:hAnsi="Times New Roman" w:cs="Times New Roman"/>
          <w:color w:val="000000"/>
        </w:rPr>
        <w:t>AboutbalIiham</w:t>
      </w:r>
      <w:proofErr w:type="spellEnd"/>
      <w:r>
        <w:rPr>
          <w:rFonts w:ascii="Times New Roman" w:hAnsi="Times New Roman" w:cs="Times New Roman"/>
          <w:color w:val="000000"/>
        </w:rPr>
        <w:t xml:space="preserve">, M.H. (2015). Effect of culture media on mycelial growth and sporulation of two isolates of </w:t>
      </w:r>
      <w:proofErr w:type="spellStart"/>
      <w:r>
        <w:rPr>
          <w:rFonts w:ascii="Times New Roman" w:hAnsi="Times New Roman" w:cs="Times New Roman"/>
          <w:i/>
          <w:iCs/>
          <w:color w:val="000000"/>
        </w:rPr>
        <w:t>Alternaria</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solani</w:t>
      </w:r>
      <w:proofErr w:type="spellEnd"/>
      <w:r>
        <w:rPr>
          <w:rFonts w:ascii="Times New Roman" w:hAnsi="Times New Roman" w:cs="Times New Roman"/>
          <w:color w:val="000000"/>
        </w:rPr>
        <w:t xml:space="preserve">. the causal agent of early blight disease of tomato. </w:t>
      </w:r>
      <w:r>
        <w:rPr>
          <w:rFonts w:ascii="Times New Roman" w:hAnsi="Times New Roman" w:cs="Times New Roman"/>
          <w:i/>
          <w:color w:val="000000"/>
        </w:rPr>
        <w:t>J Pl. Prot. Path</w:t>
      </w:r>
      <w:r>
        <w:rPr>
          <w:rFonts w:ascii="Times New Roman" w:hAnsi="Times New Roman" w:cs="Times New Roman"/>
          <w:color w:val="000000"/>
        </w:rPr>
        <w:t xml:space="preserve">; 6(7):1135-1141. </w:t>
      </w:r>
    </w:p>
    <w:p w14:paraId="74AE095A" w14:textId="0D2CA89D" w:rsidR="002C4ADA" w:rsidRDefault="00C467A7">
      <w:pPr>
        <w:tabs>
          <w:tab w:val="left" w:pos="0"/>
          <w:tab w:val="left" w:pos="90"/>
          <w:tab w:val="left" w:pos="900"/>
        </w:tabs>
        <w:spacing w:before="240" w:after="0" w:line="360" w:lineRule="auto"/>
        <w:ind w:left="450" w:right="-90" w:hanging="450"/>
        <w:jc w:val="both"/>
        <w:rPr>
          <w:rFonts w:ascii="Times New Roman" w:hAnsi="Times New Roman" w:cs="Times New Roman"/>
          <w:color w:val="0000FF"/>
          <w:sz w:val="24"/>
          <w:u w:val="single"/>
        </w:rPr>
      </w:pPr>
      <w:r>
        <w:rPr>
          <w:rFonts w:ascii="Times New Roman" w:hAnsi="Times New Roman" w:cs="Times New Roman"/>
          <w:color w:val="000000"/>
          <w:sz w:val="24"/>
        </w:rPr>
        <w:t>Singh, B.K.; Singh, S.; Singh, B.K. and Yadav, S.M. (2014).</w:t>
      </w:r>
      <w:r w:rsidR="00C62B12">
        <w:rPr>
          <w:rFonts w:ascii="Times New Roman" w:hAnsi="Times New Roman" w:cs="Times New Roman"/>
          <w:color w:val="000000"/>
          <w:sz w:val="24"/>
        </w:rPr>
        <w:t xml:space="preserve"> </w:t>
      </w:r>
      <w:r>
        <w:rPr>
          <w:rFonts w:ascii="Times New Roman" w:hAnsi="Times New Roman" w:cs="Times New Roman"/>
          <w:color w:val="000000"/>
          <w:sz w:val="24"/>
        </w:rPr>
        <w:t>Some important plant pathogenic disease of brinjal and their management.</w:t>
      </w:r>
      <w:r>
        <w:rPr>
          <w:rFonts w:ascii="Times New Roman" w:hAnsi="Times New Roman" w:cs="Times New Roman"/>
          <w:i/>
          <w:iCs/>
          <w:color w:val="000000"/>
          <w:sz w:val="24"/>
        </w:rPr>
        <w:t xml:space="preserve">Pl. </w:t>
      </w:r>
      <w:proofErr w:type="spellStart"/>
      <w:r>
        <w:rPr>
          <w:rFonts w:ascii="Times New Roman" w:hAnsi="Times New Roman" w:cs="Times New Roman"/>
          <w:i/>
          <w:iCs/>
          <w:color w:val="000000"/>
          <w:sz w:val="24"/>
        </w:rPr>
        <w:t>Pathol</w:t>
      </w:r>
      <w:proofErr w:type="spellEnd"/>
      <w:r>
        <w:rPr>
          <w:rFonts w:ascii="Times New Roman" w:hAnsi="Times New Roman" w:cs="Times New Roman"/>
          <w:i/>
          <w:iCs/>
          <w:color w:val="000000"/>
          <w:sz w:val="24"/>
        </w:rPr>
        <w:t>. J.,</w:t>
      </w:r>
      <w:r>
        <w:rPr>
          <w:rFonts w:ascii="Times New Roman" w:hAnsi="Times New Roman" w:cs="Times New Roman"/>
          <w:b/>
          <w:bCs/>
          <w:color w:val="000000"/>
          <w:sz w:val="24"/>
        </w:rPr>
        <w:t>13</w:t>
      </w:r>
      <w:r>
        <w:rPr>
          <w:rFonts w:ascii="Times New Roman" w:hAnsi="Times New Roman" w:cs="Times New Roman"/>
          <w:color w:val="000000"/>
          <w:sz w:val="24"/>
        </w:rPr>
        <w:t xml:space="preserve">(3):208-213. </w:t>
      </w:r>
    </w:p>
    <w:p w14:paraId="53A9A50D"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Singh, J. and Majumdar, V.L. (2001). Efficacy of Plant extracts against </w:t>
      </w:r>
      <w:proofErr w:type="spellStart"/>
      <w:r>
        <w:rPr>
          <w:rFonts w:ascii="Times New Roman" w:hAnsi="Times New Roman" w:cs="Times New Roman"/>
          <w:i/>
        </w:rPr>
        <w:t>A.alternata</w:t>
      </w:r>
      <w:proofErr w:type="spellEnd"/>
      <w:r>
        <w:rPr>
          <w:rFonts w:ascii="Times New Roman" w:hAnsi="Times New Roman" w:cs="Times New Roman"/>
        </w:rPr>
        <w:t xml:space="preserve"> the </w:t>
      </w:r>
      <w:proofErr w:type="spellStart"/>
      <w:r>
        <w:rPr>
          <w:rFonts w:ascii="Times New Roman" w:hAnsi="Times New Roman" w:cs="Times New Roman"/>
        </w:rPr>
        <w:t>incitant</w:t>
      </w:r>
      <w:proofErr w:type="spellEnd"/>
      <w:r>
        <w:rPr>
          <w:rFonts w:ascii="Times New Roman" w:hAnsi="Times New Roman" w:cs="Times New Roman"/>
        </w:rPr>
        <w:t xml:space="preserve"> of fruit rot of pomegranate (</w:t>
      </w:r>
      <w:r>
        <w:rPr>
          <w:rFonts w:ascii="Times New Roman" w:hAnsi="Times New Roman" w:cs="Times New Roman"/>
          <w:i/>
        </w:rPr>
        <w:t>Punica granatum</w:t>
      </w:r>
      <w:r>
        <w:rPr>
          <w:rFonts w:ascii="Times New Roman" w:hAnsi="Times New Roman" w:cs="Times New Roman"/>
        </w:rPr>
        <w:t xml:space="preserve">). </w:t>
      </w:r>
      <w:proofErr w:type="spellStart"/>
      <w:r>
        <w:rPr>
          <w:rFonts w:ascii="Times New Roman" w:hAnsi="Times New Roman" w:cs="Times New Roman"/>
          <w:i/>
        </w:rPr>
        <w:t>J.Mycol</w:t>
      </w:r>
      <w:proofErr w:type="spellEnd"/>
      <w:r>
        <w:rPr>
          <w:rFonts w:ascii="Times New Roman" w:hAnsi="Times New Roman" w:cs="Times New Roman"/>
          <w:i/>
        </w:rPr>
        <w:t xml:space="preserve">. </w:t>
      </w:r>
      <w:proofErr w:type="spellStart"/>
      <w:r>
        <w:rPr>
          <w:rFonts w:ascii="Times New Roman" w:hAnsi="Times New Roman" w:cs="Times New Roman"/>
          <w:i/>
        </w:rPr>
        <w:t>Pl.Pathol</w:t>
      </w:r>
      <w:proofErr w:type="spellEnd"/>
      <w:r>
        <w:rPr>
          <w:rFonts w:ascii="Times New Roman" w:hAnsi="Times New Roman" w:cs="Times New Roman"/>
        </w:rPr>
        <w:t xml:space="preserve"> 31(3): 346-349. </w:t>
      </w:r>
    </w:p>
    <w:p w14:paraId="2E2DB82B"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Saeed, M.A.; Ahmad, A. and Khan, M.A. (1995). Effect of different media, temperature, pH levels, nitrogen and carbon sources on the growth of </w:t>
      </w:r>
      <w:r>
        <w:rPr>
          <w:rFonts w:ascii="Times New Roman" w:hAnsi="Times New Roman" w:cs="Times New Roman"/>
          <w:i/>
        </w:rPr>
        <w:t>Alternaria spp</w:t>
      </w:r>
      <w:r>
        <w:rPr>
          <w:rFonts w:ascii="Times New Roman" w:hAnsi="Times New Roman" w:cs="Times New Roman"/>
        </w:rPr>
        <w:t xml:space="preserve">. </w:t>
      </w:r>
      <w:r>
        <w:rPr>
          <w:rFonts w:ascii="Times New Roman" w:hAnsi="Times New Roman" w:cs="Times New Roman"/>
          <w:i/>
        </w:rPr>
        <w:t>Pakistan J.  Pl.</w:t>
      </w:r>
      <w:r>
        <w:rPr>
          <w:rFonts w:ascii="Times New Roman" w:hAnsi="Times New Roman" w:cs="Times New Roman"/>
        </w:rPr>
        <w:t xml:space="preserve"> </w:t>
      </w:r>
      <w:r>
        <w:rPr>
          <w:rFonts w:ascii="Times New Roman" w:hAnsi="Times New Roman" w:cs="Times New Roman"/>
          <w:i/>
        </w:rPr>
        <w:t>Pathol.</w:t>
      </w:r>
      <w:r>
        <w:rPr>
          <w:rFonts w:ascii="Times New Roman" w:hAnsi="Times New Roman" w:cs="Times New Roman"/>
        </w:rPr>
        <w:t>;7(2):210-211.</w:t>
      </w:r>
    </w:p>
    <w:p w14:paraId="2AFF184C"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rPr>
      </w:pPr>
      <w:r>
        <w:rPr>
          <w:rFonts w:ascii="Times New Roman" w:hAnsi="Times New Roman" w:cs="Times New Roman"/>
        </w:rPr>
        <w:t xml:space="preserve">Samuel, G.S.; Govinda, and swamy, C.V. (1972). Effect of vitamins and levels of pH on the growth and sporulation of </w:t>
      </w:r>
      <w:proofErr w:type="spellStart"/>
      <w:r>
        <w:rPr>
          <w:rFonts w:ascii="Times New Roman" w:hAnsi="Times New Roman" w:cs="Times New Roman"/>
          <w:i/>
        </w:rPr>
        <w:t>Alternaria</w:t>
      </w:r>
      <w:proofErr w:type="spellEnd"/>
      <w:r>
        <w:rPr>
          <w:rFonts w:ascii="Times New Roman" w:hAnsi="Times New Roman" w:cs="Times New Roman"/>
          <w:i/>
        </w:rPr>
        <w:t xml:space="preserve"> </w:t>
      </w:r>
      <w:proofErr w:type="spellStart"/>
      <w:r>
        <w:rPr>
          <w:rFonts w:ascii="Times New Roman" w:hAnsi="Times New Roman" w:cs="Times New Roman"/>
          <w:i/>
        </w:rPr>
        <w:t>solani</w:t>
      </w:r>
      <w:proofErr w:type="spellEnd"/>
      <w:r>
        <w:rPr>
          <w:rFonts w:ascii="Times New Roman" w:hAnsi="Times New Roman" w:cs="Times New Roman"/>
        </w:rPr>
        <w:t xml:space="preserve">, the causal agent of the leaf blight disease of sesame. </w:t>
      </w:r>
      <w:r>
        <w:rPr>
          <w:rFonts w:ascii="Times New Roman" w:hAnsi="Times New Roman" w:cs="Times New Roman"/>
          <w:i/>
        </w:rPr>
        <w:t>Indian J. Myco. Pl. Pathol</w:t>
      </w:r>
      <w:r>
        <w:rPr>
          <w:rFonts w:ascii="Times New Roman" w:hAnsi="Times New Roman" w:cs="Times New Roman"/>
        </w:rPr>
        <w:t>.;2:185-186</w:t>
      </w:r>
    </w:p>
    <w:p w14:paraId="1753EAD0" w14:textId="77777777" w:rsidR="002C4ADA" w:rsidRDefault="00C467A7">
      <w:pPr>
        <w:tabs>
          <w:tab w:val="left" w:pos="0"/>
          <w:tab w:val="left" w:pos="90"/>
          <w:tab w:val="left" w:pos="900"/>
        </w:tabs>
        <w:spacing w:before="240" w:after="0" w:line="360" w:lineRule="auto"/>
        <w:ind w:left="360" w:right="-90" w:hanging="360"/>
        <w:jc w:val="both"/>
        <w:rPr>
          <w:rFonts w:ascii="Times New Roman" w:hAnsi="Times New Roman" w:cs="Times New Roman"/>
          <w:color w:val="0000FF"/>
          <w:u w:val="single"/>
        </w:rPr>
      </w:pPr>
      <w:r>
        <w:rPr>
          <w:rFonts w:ascii="Times New Roman" w:hAnsi="Times New Roman" w:cs="Times New Roman"/>
        </w:rPr>
        <w:t xml:space="preserve">Yadav, R. and Khan, R.U. (2008). Differential response of </w:t>
      </w:r>
      <w:proofErr w:type="spellStart"/>
      <w:r>
        <w:rPr>
          <w:rFonts w:ascii="Times New Roman" w:hAnsi="Times New Roman" w:cs="Times New Roman"/>
          <w:i/>
          <w:iCs/>
        </w:rPr>
        <w:t>Alternaria</w:t>
      </w:r>
      <w:proofErr w:type="spellEnd"/>
      <w:r>
        <w:rPr>
          <w:rFonts w:ascii="Times New Roman" w:hAnsi="Times New Roman" w:cs="Times New Roman"/>
          <w:i/>
          <w:iCs/>
        </w:rPr>
        <w:t xml:space="preserve"> </w:t>
      </w:r>
      <w:proofErr w:type="spellStart"/>
      <w:r>
        <w:rPr>
          <w:rFonts w:ascii="Times New Roman" w:hAnsi="Times New Roman" w:cs="Times New Roman"/>
          <w:i/>
          <w:iCs/>
        </w:rPr>
        <w:t>brassicicola</w:t>
      </w:r>
      <w:proofErr w:type="spellEnd"/>
      <w:r>
        <w:rPr>
          <w:rFonts w:ascii="Times New Roman" w:hAnsi="Times New Roman" w:cs="Times New Roman"/>
          <w:i/>
          <w:iCs/>
        </w:rPr>
        <w:t xml:space="preserve"> </w:t>
      </w:r>
      <w:r>
        <w:rPr>
          <w:rFonts w:ascii="Times New Roman" w:hAnsi="Times New Roman" w:cs="Times New Roman"/>
        </w:rPr>
        <w:t>(</w:t>
      </w:r>
      <w:proofErr w:type="spellStart"/>
      <w:r>
        <w:rPr>
          <w:rFonts w:ascii="Times New Roman" w:hAnsi="Times New Roman" w:cs="Times New Roman"/>
        </w:rPr>
        <w:t>Schw</w:t>
      </w:r>
      <w:proofErr w:type="spellEnd"/>
      <w:r>
        <w:rPr>
          <w:rFonts w:ascii="Times New Roman" w:hAnsi="Times New Roman" w:cs="Times New Roman"/>
        </w:rPr>
        <w:t xml:space="preserve">) isolates at different temperatures and nutrient media. </w:t>
      </w:r>
      <w:r>
        <w:rPr>
          <w:rFonts w:ascii="Times New Roman" w:hAnsi="Times New Roman" w:cs="Times New Roman"/>
          <w:i/>
        </w:rPr>
        <w:t>J Ecol. Agric</w:t>
      </w:r>
      <w:r>
        <w:rPr>
          <w:rFonts w:ascii="Times New Roman" w:hAnsi="Times New Roman" w:cs="Times New Roman"/>
        </w:rPr>
        <w:t xml:space="preserve">. 2008; 3(1):72-74. </w:t>
      </w:r>
    </w:p>
    <w:p w14:paraId="0963E0D1" w14:textId="77777777" w:rsidR="002C4ADA" w:rsidRDefault="002C4ADA">
      <w:pPr>
        <w:spacing w:line="360" w:lineRule="auto"/>
        <w:rPr>
          <w:rFonts w:ascii="Times New Roman" w:hAnsi="Times New Roman" w:cs="Times New Roman"/>
          <w:b/>
          <w:color w:val="000000"/>
          <w:sz w:val="32"/>
          <w:szCs w:val="24"/>
        </w:rPr>
      </w:pPr>
    </w:p>
    <w:sectPr w:rsidR="002C4ADA">
      <w:pgSz w:w="12240" w:h="15840"/>
      <w:pgMar w:top="1080" w:right="1440" w:bottom="117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CIN" w:date="2025-10-25T09:03:00Z" w:initials="E">
    <w:p w14:paraId="1161B9E1" w14:textId="2DE1E01D" w:rsidR="000C3747" w:rsidRDefault="000C3747">
      <w:pPr>
        <w:pStyle w:val="CommentText"/>
      </w:pPr>
      <w:r>
        <w:rPr>
          <w:rStyle w:val="CommentReference"/>
        </w:rPr>
        <w:annotationRef/>
      </w:r>
      <w:r>
        <w:t>Mention crop name</w:t>
      </w:r>
    </w:p>
  </w:comment>
  <w:comment w:id="1" w:author="ELCIN" w:date="2025-10-25T09:08:00Z" w:initials="E">
    <w:p w14:paraId="7B82CC47" w14:textId="748EFB28" w:rsidR="000C3747" w:rsidRDefault="000C3747">
      <w:pPr>
        <w:pStyle w:val="CommentText"/>
      </w:pPr>
      <w:r>
        <w:rPr>
          <w:rStyle w:val="CommentReference"/>
        </w:rPr>
        <w:annotationRef/>
      </w:r>
      <w:r>
        <w:t xml:space="preserve">Repeated content, </w:t>
      </w:r>
      <w:proofErr w:type="spellStart"/>
      <w:r>
        <w:t>all ready</w:t>
      </w:r>
      <w:proofErr w:type="spellEnd"/>
      <w:r>
        <w:t xml:space="preserve"> included in abstract</w:t>
      </w:r>
    </w:p>
  </w:comment>
  <w:comment w:id="2" w:author="ELCIN" w:date="2025-10-25T09:12:00Z" w:initials="E">
    <w:p w14:paraId="2C462E1C" w14:textId="27DE30A9" w:rsidR="000C3747" w:rsidRDefault="000C3747" w:rsidP="000C3747">
      <w:pPr>
        <w:pStyle w:val="CommentText"/>
        <w:numPr>
          <w:ilvl w:val="0"/>
          <w:numId w:val="5"/>
        </w:numPr>
      </w:pPr>
      <w:r>
        <w:rPr>
          <w:rStyle w:val="CommentReference"/>
        </w:rPr>
        <w:annotationRef/>
      </w:r>
      <w:proofErr w:type="spellStart"/>
      <w:r>
        <w:t>solani</w:t>
      </w:r>
      <w:proofErr w:type="spellEnd"/>
    </w:p>
  </w:comment>
  <w:comment w:id="3" w:author="ELCIN" w:date="2025-10-25T09:14:00Z" w:initials="E">
    <w:p w14:paraId="4E9CAC2E" w14:textId="1ADF5E19" w:rsidR="004E42B1" w:rsidRDefault="004E42B1">
      <w:pPr>
        <w:pStyle w:val="CommentText"/>
      </w:pPr>
      <w:r>
        <w:rPr>
          <w:rStyle w:val="CommentReference"/>
        </w:rPr>
        <w:annotationRef/>
      </w:r>
      <w:proofErr w:type="gramStart"/>
      <w:r>
        <w:t>delete</w:t>
      </w:r>
      <w:proofErr w:type="gramEnd"/>
      <w:r>
        <w:t xml:space="preserve"> Use PDA</w:t>
      </w:r>
    </w:p>
  </w:comment>
  <w:comment w:id="4" w:author="ELCIN" w:date="2025-10-25T09:19:00Z" w:initials="E">
    <w:p w14:paraId="2DA30BAC" w14:textId="1B8E55A4" w:rsidR="004E42B1" w:rsidRDefault="004E42B1">
      <w:pPr>
        <w:pStyle w:val="CommentText"/>
      </w:pPr>
      <w:r>
        <w:rPr>
          <w:rStyle w:val="CommentReference"/>
        </w:rPr>
        <w:annotationRef/>
      </w:r>
      <w:proofErr w:type="spellStart"/>
      <w:r>
        <w:t>A.alternata</w:t>
      </w:r>
      <w:proofErr w:type="spellEnd"/>
    </w:p>
  </w:comment>
  <w:comment w:id="5" w:author="ELCIN" w:date="2025-10-25T09:16:00Z" w:initials="E">
    <w:p w14:paraId="0629B5C9" w14:textId="2E0A75CB" w:rsidR="004E42B1" w:rsidRDefault="004E42B1" w:rsidP="004E42B1">
      <w:pPr>
        <w:pStyle w:val="CommentText"/>
        <w:numPr>
          <w:ilvl w:val="0"/>
          <w:numId w:val="6"/>
        </w:numPr>
      </w:pPr>
      <w:r>
        <w:rPr>
          <w:rStyle w:val="CommentReference"/>
        </w:rPr>
        <w:annotationRef/>
      </w:r>
      <w:proofErr w:type="spellStart"/>
      <w:r>
        <w:t>alternata</w:t>
      </w:r>
      <w:proofErr w:type="spellEnd"/>
    </w:p>
  </w:comment>
  <w:comment w:id="6" w:author="ELCIN" w:date="2025-10-25T09:20:00Z" w:initials="E">
    <w:p w14:paraId="4A336F02" w14:textId="6F9319F3" w:rsidR="004E42B1" w:rsidRDefault="004E42B1">
      <w:pPr>
        <w:pStyle w:val="CommentText"/>
      </w:pPr>
      <w:r>
        <w:rPr>
          <w:rStyle w:val="CommentReference"/>
        </w:rPr>
        <w:annotationRef/>
      </w:r>
      <w:r>
        <w:t>Delete and write PDA</w:t>
      </w:r>
    </w:p>
  </w:comment>
  <w:comment w:id="7" w:author="ELCIN" w:date="2025-10-25T09:20:00Z" w:initials="E">
    <w:p w14:paraId="3E782642" w14:textId="6996687D" w:rsidR="004E42B1" w:rsidRDefault="004E42B1">
      <w:pPr>
        <w:pStyle w:val="CommentText"/>
      </w:pPr>
      <w:r>
        <w:rPr>
          <w:rStyle w:val="CommentReference"/>
        </w:rPr>
        <w:annotationRef/>
      </w:r>
      <w:r>
        <w:t>Delete and write PDA</w:t>
      </w:r>
    </w:p>
  </w:comment>
  <w:comment w:id="8" w:author="ELCIN" w:date="2025-10-25T09:20:00Z" w:initials="E">
    <w:p w14:paraId="795771FD" w14:textId="2EEADF13" w:rsidR="004E42B1" w:rsidRDefault="004E42B1">
      <w:pPr>
        <w:pStyle w:val="CommentText"/>
      </w:pPr>
      <w:r>
        <w:rPr>
          <w:rStyle w:val="CommentReference"/>
        </w:rPr>
        <w:annotationRef/>
      </w:r>
      <w:r>
        <w:t xml:space="preserve">Delete and </w:t>
      </w:r>
      <w:bookmarkStart w:id="9" w:name="_GoBack"/>
      <w:bookmarkEnd w:id="9"/>
      <w:r>
        <w:t>write PDA</w:t>
      </w:r>
    </w:p>
  </w:comment>
  <w:comment w:id="10" w:author="ELCIN" w:date="2025-10-25T09:18:00Z" w:initials="E">
    <w:p w14:paraId="6E00E8C5" w14:textId="6B86CE3E" w:rsidR="004E42B1" w:rsidRDefault="004E42B1">
      <w:pPr>
        <w:pStyle w:val="CommentText"/>
      </w:pPr>
      <w:r>
        <w:rPr>
          <w:rStyle w:val="CommentReference"/>
        </w:rPr>
        <w:annotationRef/>
      </w:r>
      <w:proofErr w:type="spellStart"/>
      <w:r>
        <w:t>A.alternata</w:t>
      </w:r>
      <w:proofErr w:type="spellEnd"/>
    </w:p>
  </w:comment>
  <w:comment w:id="11" w:author="ELCIN" w:date="2025-10-25T09:17:00Z" w:initials="E">
    <w:p w14:paraId="6255AEE8" w14:textId="5D00426B" w:rsidR="004E42B1" w:rsidRDefault="004E42B1" w:rsidP="004E42B1">
      <w:pPr>
        <w:pStyle w:val="CommentText"/>
        <w:numPr>
          <w:ilvl w:val="0"/>
          <w:numId w:val="7"/>
        </w:numPr>
      </w:pPr>
      <w:r>
        <w:rPr>
          <w:rStyle w:val="CommentReference"/>
        </w:rPr>
        <w:annotationRef/>
      </w:r>
      <w:proofErr w:type="spellStart"/>
      <w:r>
        <w:t>alternata</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EF8ED" w14:textId="77777777" w:rsidR="00696D39" w:rsidRDefault="00696D39" w:rsidP="00F85E62">
      <w:pPr>
        <w:spacing w:after="0" w:line="240" w:lineRule="auto"/>
      </w:pPr>
      <w:r>
        <w:separator/>
      </w:r>
    </w:p>
  </w:endnote>
  <w:endnote w:type="continuationSeparator" w:id="0">
    <w:p w14:paraId="5374A83C" w14:textId="77777777" w:rsidR="00696D39" w:rsidRDefault="00696D39" w:rsidP="00F8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MS Mincho"/>
    <w:charset w:val="80"/>
    <w:family w:val="auto"/>
    <w:pitch w:val="default"/>
    <w:sig w:usb0="00000001" w:usb1="08070000" w:usb2="00000010" w:usb3="00000000" w:csb0="00020000" w:csb1="00000000"/>
  </w:font>
  <w:font w:name="ArialMT">
    <w:altName w:val="Arial"/>
    <w:charset w:val="81"/>
    <w:family w:val="auto"/>
    <w:pitch w:val="default"/>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5DF2" w14:textId="77777777" w:rsidR="00F85E62" w:rsidRDefault="00F85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D8AA" w14:textId="77777777" w:rsidR="00F85E62" w:rsidRDefault="00F85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EA126" w14:textId="77777777" w:rsidR="00F85E62" w:rsidRDefault="00F85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8D2C5" w14:textId="77777777" w:rsidR="00696D39" w:rsidRDefault="00696D39" w:rsidP="00F85E62">
      <w:pPr>
        <w:spacing w:after="0" w:line="240" w:lineRule="auto"/>
      </w:pPr>
      <w:r>
        <w:separator/>
      </w:r>
    </w:p>
  </w:footnote>
  <w:footnote w:type="continuationSeparator" w:id="0">
    <w:p w14:paraId="3B0D60D1" w14:textId="77777777" w:rsidR="00696D39" w:rsidRDefault="00696D39" w:rsidP="00F85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2CD5E" w14:textId="0C6C3665" w:rsidR="00F85E62" w:rsidRDefault="00696D39">
    <w:pPr>
      <w:pStyle w:val="Header"/>
    </w:pPr>
    <w:r>
      <w:rPr>
        <w:noProof/>
      </w:rPr>
      <w:pict w14:anchorId="632B3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250D5" w14:textId="10983467" w:rsidR="00F85E62" w:rsidRDefault="00696D39">
    <w:pPr>
      <w:pStyle w:val="Header"/>
    </w:pPr>
    <w:r>
      <w:rPr>
        <w:noProof/>
      </w:rPr>
      <w:pict w14:anchorId="3FDCB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0CF03" w14:textId="4513DEA3" w:rsidR="00F85E62" w:rsidRDefault="00696D39">
    <w:pPr>
      <w:pStyle w:val="Header"/>
    </w:pPr>
    <w:r>
      <w:rPr>
        <w:noProof/>
      </w:rPr>
      <w:pict w14:anchorId="2071B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67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B4CA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0000002"/>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9034BFD6"/>
    <w:lvl w:ilvl="0" w:tplc="F7901C30">
      <w:start w:val="1"/>
      <w:numFmt w:val="decimal"/>
      <w:lvlText w:val="%1."/>
      <w:lvlJc w:val="left"/>
      <w:pPr>
        <w:ind w:left="420" w:hanging="360"/>
      </w:pPr>
      <w:rPr>
        <w:rFonts w:eastAsia="Times New Roman"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26031D6"/>
    <w:multiLevelType w:val="multilevel"/>
    <w:tmpl w:val="F2426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F1369E2"/>
    <w:multiLevelType w:val="hybridMultilevel"/>
    <w:tmpl w:val="C4E8B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A91FB1"/>
    <w:multiLevelType w:val="hybridMultilevel"/>
    <w:tmpl w:val="C1768100"/>
    <w:lvl w:ilvl="0" w:tplc="41E095D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6A771654"/>
    <w:multiLevelType w:val="hybridMultilevel"/>
    <w:tmpl w:val="8E0A7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GxMDMyNbO0MDKzMDNU0lEKTi0uzszPAykwrAUATM9DrCwAAAA="/>
  </w:docVars>
  <w:rsids>
    <w:rsidRoot w:val="002C4ADA"/>
    <w:rsid w:val="00061E4D"/>
    <w:rsid w:val="000B142B"/>
    <w:rsid w:val="000C3747"/>
    <w:rsid w:val="002C4ADA"/>
    <w:rsid w:val="00471EF3"/>
    <w:rsid w:val="004E42B1"/>
    <w:rsid w:val="005221B6"/>
    <w:rsid w:val="005A315F"/>
    <w:rsid w:val="00696D39"/>
    <w:rsid w:val="00795FDD"/>
    <w:rsid w:val="00880DC9"/>
    <w:rsid w:val="008A234C"/>
    <w:rsid w:val="008D7E1D"/>
    <w:rsid w:val="0090651C"/>
    <w:rsid w:val="00B512E7"/>
    <w:rsid w:val="00C467A7"/>
    <w:rsid w:val="00C62B12"/>
    <w:rsid w:val="00C90594"/>
    <w:rsid w:val="00CE23FF"/>
    <w:rsid w:val="00D02799"/>
    <w:rsid w:val="00D83DC7"/>
    <w:rsid w:val="00E41B0F"/>
    <w:rsid w:val="00EB6CDC"/>
    <w:rsid w:val="00F85E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28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paragraph" w:styleId="Heading6">
    <w:name w:val="heading 6"/>
    <w:basedOn w:val="Normal"/>
    <w:next w:val="Normal"/>
    <w:link w:val="Heading6Char"/>
    <w:uiPriority w:val="9"/>
    <w:semiHidden/>
    <w:unhideWhenUsed/>
    <w:qFormat/>
    <w:rsid w:val="00795FD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Style2">
    <w:name w:val="Style2"/>
    <w:basedOn w:val="Normal"/>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uiPriority w:val="99"/>
    <w:rPr>
      <w:color w:val="0000FF"/>
      <w:u w:val="single"/>
    </w:rPr>
  </w:style>
  <w:style w:type="character" w:customStyle="1" w:styleId="FontStyle15">
    <w:name w:val="Font Style15"/>
    <w:uiPriority w:val="99"/>
    <w:rPr>
      <w:rFonts w:ascii="Arial" w:hAnsi="Arial" w:cs="Arial" w:hint="default"/>
      <w:b/>
      <w:bCs/>
      <w:sz w:val="22"/>
      <w:szCs w:val="22"/>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customStyle="1" w:styleId="UnresolvedMention">
    <w:name w:val="Unresolved Mention"/>
    <w:basedOn w:val="DefaultParagraphFont"/>
    <w:uiPriority w:val="99"/>
    <w:semiHidden/>
    <w:unhideWhenUsed/>
    <w:rsid w:val="00EB6CDC"/>
    <w:rPr>
      <w:color w:val="605E5C"/>
      <w:shd w:val="clear" w:color="auto" w:fill="E1DFDD"/>
    </w:rPr>
  </w:style>
  <w:style w:type="character" w:customStyle="1" w:styleId="Heading6Char">
    <w:name w:val="Heading 6 Char"/>
    <w:basedOn w:val="DefaultParagraphFont"/>
    <w:link w:val="Heading6"/>
    <w:uiPriority w:val="9"/>
    <w:semiHidden/>
    <w:rsid w:val="00795FDD"/>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F85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62"/>
  </w:style>
  <w:style w:type="paragraph" w:styleId="Footer">
    <w:name w:val="footer"/>
    <w:basedOn w:val="Normal"/>
    <w:link w:val="FooterChar"/>
    <w:uiPriority w:val="99"/>
    <w:unhideWhenUsed/>
    <w:rsid w:val="00F85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62"/>
  </w:style>
  <w:style w:type="character" w:styleId="CommentReference">
    <w:name w:val="annotation reference"/>
    <w:basedOn w:val="DefaultParagraphFont"/>
    <w:uiPriority w:val="99"/>
    <w:semiHidden/>
    <w:unhideWhenUsed/>
    <w:rsid w:val="000C3747"/>
    <w:rPr>
      <w:sz w:val="16"/>
      <w:szCs w:val="16"/>
    </w:rPr>
  </w:style>
  <w:style w:type="paragraph" w:styleId="CommentText">
    <w:name w:val="annotation text"/>
    <w:basedOn w:val="Normal"/>
    <w:link w:val="CommentTextChar"/>
    <w:uiPriority w:val="99"/>
    <w:semiHidden/>
    <w:unhideWhenUsed/>
    <w:rsid w:val="000C3747"/>
    <w:pPr>
      <w:spacing w:line="240" w:lineRule="auto"/>
    </w:pPr>
    <w:rPr>
      <w:sz w:val="20"/>
      <w:szCs w:val="20"/>
    </w:rPr>
  </w:style>
  <w:style w:type="character" w:customStyle="1" w:styleId="CommentTextChar">
    <w:name w:val="Comment Text Char"/>
    <w:basedOn w:val="DefaultParagraphFont"/>
    <w:link w:val="CommentText"/>
    <w:uiPriority w:val="99"/>
    <w:semiHidden/>
    <w:rsid w:val="000C3747"/>
    <w:rPr>
      <w:sz w:val="20"/>
      <w:szCs w:val="20"/>
    </w:rPr>
  </w:style>
  <w:style w:type="paragraph" w:styleId="CommentSubject">
    <w:name w:val="annotation subject"/>
    <w:basedOn w:val="CommentText"/>
    <w:next w:val="CommentText"/>
    <w:link w:val="CommentSubjectChar"/>
    <w:uiPriority w:val="99"/>
    <w:semiHidden/>
    <w:unhideWhenUsed/>
    <w:rsid w:val="000C3747"/>
    <w:rPr>
      <w:b/>
      <w:bCs/>
    </w:rPr>
  </w:style>
  <w:style w:type="character" w:customStyle="1" w:styleId="CommentSubjectChar">
    <w:name w:val="Comment Subject Char"/>
    <w:basedOn w:val="CommentTextChar"/>
    <w:link w:val="CommentSubject"/>
    <w:uiPriority w:val="99"/>
    <w:semiHidden/>
    <w:rsid w:val="000C37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spacing w:before="320" w:after="0" w:line="360" w:lineRule="auto"/>
      <w:outlineLvl w:val="1"/>
    </w:pPr>
    <w:rPr>
      <w:rFonts w:ascii="Cambria" w:eastAsia="SimSun" w:hAnsi="Cambria"/>
      <w:b/>
      <w:bCs/>
      <w:i/>
      <w:iCs/>
      <w:sz w:val="28"/>
      <w:szCs w:val="28"/>
    </w:rPr>
  </w:style>
  <w:style w:type="paragraph" w:styleId="Heading6">
    <w:name w:val="heading 6"/>
    <w:basedOn w:val="Normal"/>
    <w:next w:val="Normal"/>
    <w:link w:val="Heading6Char"/>
    <w:uiPriority w:val="9"/>
    <w:semiHidden/>
    <w:unhideWhenUsed/>
    <w:qFormat/>
    <w:rsid w:val="00795FD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rPr>
      <w:rFonts w:cs="Times New Roman"/>
      <w:lang w:val="en-IN" w:eastAsia="en-IN"/>
    </w:rPr>
  </w:style>
  <w:style w:type="table" w:styleId="TableGrid">
    <w:name w:val="Table Grid"/>
    <w:basedOn w:val="TableNormal"/>
    <w:uiPriority w:val="59"/>
    <w:qFormat/>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Pr>
      <w:rFonts w:ascii="Cambria" w:eastAsia="SimSun" w:hAnsi="Cambria" w:cs="Mangal"/>
      <w:b/>
      <w:bCs/>
      <w:i/>
      <w:iCs/>
      <w:sz w:val="28"/>
      <w:szCs w:val="28"/>
    </w:rPr>
  </w:style>
  <w:style w:type="paragraph" w:customStyle="1" w:styleId="Style2">
    <w:name w:val="Style2"/>
    <w:basedOn w:val="Normal"/>
    <w:uiPriority w:val="99"/>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uiPriority w:val="99"/>
    <w:rPr>
      <w:color w:val="0000FF"/>
      <w:u w:val="single"/>
    </w:rPr>
  </w:style>
  <w:style w:type="character" w:customStyle="1" w:styleId="FontStyle15">
    <w:name w:val="Font Style15"/>
    <w:uiPriority w:val="99"/>
    <w:rPr>
      <w:rFonts w:ascii="Arial" w:hAnsi="Arial" w:cs="Arial" w:hint="default"/>
      <w:b/>
      <w:bCs/>
      <w:sz w:val="22"/>
      <w:szCs w:val="22"/>
    </w:rPr>
  </w:style>
  <w:style w:type="paragraph" w:customStyle="1" w:styleId="Style7">
    <w:name w:val="Style7"/>
    <w:basedOn w:val="Normal"/>
    <w:pPr>
      <w:widowControl w:val="0"/>
      <w:autoSpaceDE w:val="0"/>
      <w:autoSpaceDN w:val="0"/>
      <w:adjustRightInd w:val="0"/>
      <w:spacing w:after="0" w:line="425" w:lineRule="exact"/>
      <w:ind w:firstLine="864"/>
    </w:pPr>
    <w:rPr>
      <w:rFonts w:ascii="Arial" w:eastAsia="Times New Roman" w:hAnsi="Arial" w:cs="Arial"/>
      <w:sz w:val="24"/>
      <w:szCs w:val="24"/>
    </w:rPr>
  </w:style>
  <w:style w:type="character" w:customStyle="1" w:styleId="UnresolvedMention">
    <w:name w:val="Unresolved Mention"/>
    <w:basedOn w:val="DefaultParagraphFont"/>
    <w:uiPriority w:val="99"/>
    <w:semiHidden/>
    <w:unhideWhenUsed/>
    <w:rsid w:val="00EB6CDC"/>
    <w:rPr>
      <w:color w:val="605E5C"/>
      <w:shd w:val="clear" w:color="auto" w:fill="E1DFDD"/>
    </w:rPr>
  </w:style>
  <w:style w:type="character" w:customStyle="1" w:styleId="Heading6Char">
    <w:name w:val="Heading 6 Char"/>
    <w:basedOn w:val="DefaultParagraphFont"/>
    <w:link w:val="Heading6"/>
    <w:uiPriority w:val="9"/>
    <w:semiHidden/>
    <w:rsid w:val="00795FDD"/>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F85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62"/>
  </w:style>
  <w:style w:type="paragraph" w:styleId="Footer">
    <w:name w:val="footer"/>
    <w:basedOn w:val="Normal"/>
    <w:link w:val="FooterChar"/>
    <w:uiPriority w:val="99"/>
    <w:unhideWhenUsed/>
    <w:rsid w:val="00F85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62"/>
  </w:style>
  <w:style w:type="character" w:styleId="CommentReference">
    <w:name w:val="annotation reference"/>
    <w:basedOn w:val="DefaultParagraphFont"/>
    <w:uiPriority w:val="99"/>
    <w:semiHidden/>
    <w:unhideWhenUsed/>
    <w:rsid w:val="000C3747"/>
    <w:rPr>
      <w:sz w:val="16"/>
      <w:szCs w:val="16"/>
    </w:rPr>
  </w:style>
  <w:style w:type="paragraph" w:styleId="CommentText">
    <w:name w:val="annotation text"/>
    <w:basedOn w:val="Normal"/>
    <w:link w:val="CommentTextChar"/>
    <w:uiPriority w:val="99"/>
    <w:semiHidden/>
    <w:unhideWhenUsed/>
    <w:rsid w:val="000C3747"/>
    <w:pPr>
      <w:spacing w:line="240" w:lineRule="auto"/>
    </w:pPr>
    <w:rPr>
      <w:sz w:val="20"/>
      <w:szCs w:val="20"/>
    </w:rPr>
  </w:style>
  <w:style w:type="character" w:customStyle="1" w:styleId="CommentTextChar">
    <w:name w:val="Comment Text Char"/>
    <w:basedOn w:val="DefaultParagraphFont"/>
    <w:link w:val="CommentText"/>
    <w:uiPriority w:val="99"/>
    <w:semiHidden/>
    <w:rsid w:val="000C3747"/>
    <w:rPr>
      <w:sz w:val="20"/>
      <w:szCs w:val="20"/>
    </w:rPr>
  </w:style>
  <w:style w:type="paragraph" w:styleId="CommentSubject">
    <w:name w:val="annotation subject"/>
    <w:basedOn w:val="CommentText"/>
    <w:next w:val="CommentText"/>
    <w:link w:val="CommentSubjectChar"/>
    <w:uiPriority w:val="99"/>
    <w:semiHidden/>
    <w:unhideWhenUsed/>
    <w:rsid w:val="000C3747"/>
    <w:rPr>
      <w:b/>
      <w:bCs/>
    </w:rPr>
  </w:style>
  <w:style w:type="character" w:customStyle="1" w:styleId="CommentSubjectChar">
    <w:name w:val="Comment Subject Char"/>
    <w:basedOn w:val="CommentTextChar"/>
    <w:link w:val="CommentSubject"/>
    <w:uiPriority w:val="99"/>
    <w:semiHidden/>
    <w:rsid w:val="000C37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Microsoft_Excel_97-2003_Worksheet1.xls"/><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C:/Users/Sony/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7062833999027084E-2"/>
          <c:y val="4.7498192431052806E-2"/>
          <c:w val="0.86726081844812986"/>
          <c:h val="0.66956503720787763"/>
        </c:manualLayout>
      </c:layout>
      <c:bar3DChart>
        <c:barDir val="col"/>
        <c:grouping val="clustered"/>
        <c:varyColors val="0"/>
        <c:ser>
          <c:idx val="0"/>
          <c:order val="0"/>
          <c:tx>
            <c:strRef>
              <c:f>Sheet1!$D$4</c:f>
              <c:strCache>
                <c:ptCount val="1"/>
                <c:pt idx="0">
                  <c:v>3DAI</c:v>
                </c:pt>
              </c:strCache>
            </c:strRef>
          </c:tx>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Sheet1!$D$5:$D$18</c:f>
              <c:numCache>
                <c:formatCode>0.00</c:formatCode>
                <c:ptCount val="14"/>
                <c:pt idx="0">
                  <c:v>31.67</c:v>
                </c:pt>
                <c:pt idx="1">
                  <c:v>29</c:v>
                </c:pt>
                <c:pt idx="2">
                  <c:v>48</c:v>
                </c:pt>
                <c:pt idx="3">
                  <c:v>25.67</c:v>
                </c:pt>
                <c:pt idx="4">
                  <c:v>44</c:v>
                </c:pt>
                <c:pt idx="5">
                  <c:v>29</c:v>
                </c:pt>
                <c:pt idx="6">
                  <c:v>19.670000000000002</c:v>
                </c:pt>
                <c:pt idx="7">
                  <c:v>25.33</c:v>
                </c:pt>
                <c:pt idx="8">
                  <c:v>21.67</c:v>
                </c:pt>
                <c:pt idx="9">
                  <c:v>34.33</c:v>
                </c:pt>
                <c:pt idx="10">
                  <c:v>38</c:v>
                </c:pt>
                <c:pt idx="11">
                  <c:v>31</c:v>
                </c:pt>
                <c:pt idx="12">
                  <c:v>34</c:v>
                </c:pt>
                <c:pt idx="13" formatCode="General">
                  <c:v>26.33</c:v>
                </c:pt>
              </c:numCache>
            </c:numRef>
          </c:val>
          <c:extLst xmlns:c16r2="http://schemas.microsoft.com/office/drawing/2015/06/chart">
            <c:ext xmlns:c16="http://schemas.microsoft.com/office/drawing/2014/chart" uri="{C3380CC4-5D6E-409C-BE32-E72D297353CC}">
              <c16:uniqueId val="{00000000-0FFA-4CBA-B6FA-35EDBA87CA07}"/>
            </c:ext>
          </c:extLst>
        </c:ser>
        <c:ser>
          <c:idx val="1"/>
          <c:order val="1"/>
          <c:tx>
            <c:strRef>
              <c:f>Sheet1!$E$4</c:f>
              <c:strCache>
                <c:ptCount val="1"/>
                <c:pt idx="0">
                  <c:v>5DAI</c:v>
                </c:pt>
              </c:strCache>
            </c:strRef>
          </c:tx>
          <c:spPr>
            <a:solidFill>
              <a:schemeClr val="accent6"/>
            </a:solidFill>
            <a:ln w="25400" cap="flat" cmpd="sng" algn="ctr">
              <a:solidFill>
                <a:schemeClr val="accent6">
                  <a:shade val="50000"/>
                </a:schemeClr>
              </a:solidFill>
              <a:prstDash val="solid"/>
            </a:ln>
            <a:effectLst/>
          </c:spPr>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Sheet1!$E$5:$E$18</c:f>
              <c:numCache>
                <c:formatCode>0.00</c:formatCode>
                <c:ptCount val="14"/>
                <c:pt idx="0">
                  <c:v>47.33</c:v>
                </c:pt>
                <c:pt idx="1">
                  <c:v>38</c:v>
                </c:pt>
                <c:pt idx="2">
                  <c:v>63.67</c:v>
                </c:pt>
                <c:pt idx="3">
                  <c:v>37</c:v>
                </c:pt>
                <c:pt idx="4">
                  <c:v>57.33</c:v>
                </c:pt>
                <c:pt idx="5">
                  <c:v>37.67</c:v>
                </c:pt>
                <c:pt idx="6">
                  <c:v>25.67</c:v>
                </c:pt>
                <c:pt idx="7">
                  <c:v>43.67</c:v>
                </c:pt>
                <c:pt idx="8">
                  <c:v>38</c:v>
                </c:pt>
                <c:pt idx="9">
                  <c:v>41.33</c:v>
                </c:pt>
                <c:pt idx="10">
                  <c:v>55</c:v>
                </c:pt>
                <c:pt idx="11">
                  <c:v>40.33</c:v>
                </c:pt>
                <c:pt idx="12">
                  <c:v>46.67</c:v>
                </c:pt>
                <c:pt idx="13" formatCode="General">
                  <c:v>33.33</c:v>
                </c:pt>
              </c:numCache>
            </c:numRef>
          </c:val>
          <c:extLst xmlns:c16r2="http://schemas.microsoft.com/office/drawing/2015/06/chart">
            <c:ext xmlns:c16="http://schemas.microsoft.com/office/drawing/2014/chart" uri="{C3380CC4-5D6E-409C-BE32-E72D297353CC}">
              <c16:uniqueId val="{00000001-0FFA-4CBA-B6FA-35EDBA87CA07}"/>
            </c:ext>
          </c:extLst>
        </c:ser>
        <c:ser>
          <c:idx val="2"/>
          <c:order val="2"/>
          <c:tx>
            <c:strRef>
              <c:f>Sheet1!$F$4</c:f>
              <c:strCache>
                <c:ptCount val="1"/>
                <c:pt idx="0">
                  <c:v>7DAI</c:v>
                </c:pt>
              </c:strCache>
            </c:strRef>
          </c:tx>
          <c:invertIfNegative val="0"/>
          <c:cat>
            <c:strRef>
              <c:f>Sheet1!$C$5:$C$18</c:f>
              <c:strCache>
                <c:ptCount val="14"/>
                <c:pt idx="0">
                  <c:v>Malt Extract  Agar</c:v>
                </c:pt>
                <c:pt idx="1">
                  <c:v>Czapek’s Dox Agar</c:v>
                </c:pt>
                <c:pt idx="2">
                  <c:v>Potato Dextrose Agar</c:v>
                </c:pt>
                <c:pt idx="3">
                  <c:v>Brinjal leaf  agar</c:v>
                </c:pt>
                <c:pt idx="4">
                  <c:v>Oat meal Agar</c:v>
                </c:pt>
                <c:pt idx="5">
                  <c:v>V8 juice agar</c:v>
                </c:pt>
                <c:pt idx="6">
                  <c:v>Potato leaf agar</c:v>
                </c:pt>
                <c:pt idx="7">
                  <c:v>Richard  Agar</c:v>
                </c:pt>
                <c:pt idx="8">
                  <c:v>Brinjal fruit dextrose agar</c:v>
                </c:pt>
                <c:pt idx="9">
                  <c:v>Ashby’s mannitol Agar</c:v>
                </c:pt>
                <c:pt idx="10">
                  <c:v>Asthana and Hawkers</c:v>
                </c:pt>
                <c:pt idx="11">
                  <c:v>Coon’s Agar</c:v>
                </c:pt>
                <c:pt idx="12">
                  <c:v>Elliot’s agar</c:v>
                </c:pt>
                <c:pt idx="13">
                  <c:v>Brown's agar</c:v>
                </c:pt>
              </c:strCache>
            </c:strRef>
          </c:cat>
          <c:val>
            <c:numRef>
              <c:f>Sheet1!$F$5:$F$18</c:f>
              <c:numCache>
                <c:formatCode>0.00</c:formatCode>
                <c:ptCount val="14"/>
                <c:pt idx="0">
                  <c:v>58</c:v>
                </c:pt>
                <c:pt idx="1">
                  <c:v>52</c:v>
                </c:pt>
                <c:pt idx="2">
                  <c:v>86.67</c:v>
                </c:pt>
                <c:pt idx="3">
                  <c:v>41</c:v>
                </c:pt>
                <c:pt idx="4">
                  <c:v>71.67</c:v>
                </c:pt>
                <c:pt idx="5">
                  <c:v>45.33</c:v>
                </c:pt>
                <c:pt idx="6">
                  <c:v>44</c:v>
                </c:pt>
                <c:pt idx="7">
                  <c:v>79.67</c:v>
                </c:pt>
                <c:pt idx="8">
                  <c:v>54.33</c:v>
                </c:pt>
                <c:pt idx="9">
                  <c:v>45</c:v>
                </c:pt>
                <c:pt idx="10">
                  <c:v>74.33</c:v>
                </c:pt>
                <c:pt idx="11">
                  <c:v>48.67</c:v>
                </c:pt>
                <c:pt idx="12">
                  <c:v>50.67</c:v>
                </c:pt>
                <c:pt idx="13" formatCode="General">
                  <c:v>52</c:v>
                </c:pt>
              </c:numCache>
            </c:numRef>
          </c:val>
          <c:extLst xmlns:c16r2="http://schemas.microsoft.com/office/drawing/2015/06/chart">
            <c:ext xmlns:c16="http://schemas.microsoft.com/office/drawing/2014/chart" uri="{C3380CC4-5D6E-409C-BE32-E72D297353CC}">
              <c16:uniqueId val="{00000002-0FFA-4CBA-B6FA-35EDBA87CA07}"/>
            </c:ext>
          </c:extLst>
        </c:ser>
        <c:dLbls>
          <c:showLegendKey val="0"/>
          <c:showVal val="0"/>
          <c:showCatName val="0"/>
          <c:showSerName val="0"/>
          <c:showPercent val="0"/>
          <c:showBubbleSize val="0"/>
        </c:dLbls>
        <c:gapWidth val="150"/>
        <c:shape val="cylinder"/>
        <c:axId val="76191616"/>
        <c:axId val="76193152"/>
        <c:axId val="0"/>
      </c:bar3DChart>
      <c:catAx>
        <c:axId val="76191616"/>
        <c:scaling>
          <c:orientation val="minMax"/>
        </c:scaling>
        <c:delete val="0"/>
        <c:axPos val="b"/>
        <c:numFmt formatCode="General" sourceLinked="0"/>
        <c:majorTickMark val="out"/>
        <c:minorTickMark val="none"/>
        <c:tickLblPos val="nextTo"/>
        <c:txPr>
          <a:bodyPr/>
          <a:lstStyle/>
          <a:p>
            <a:pPr>
              <a:defRPr b="1"/>
            </a:pPr>
            <a:endParaRPr lang="en-US"/>
          </a:p>
        </c:txPr>
        <c:crossAx val="76193152"/>
        <c:crosses val="autoZero"/>
        <c:auto val="1"/>
        <c:lblAlgn val="ctr"/>
        <c:lblOffset val="100"/>
        <c:noMultiLvlLbl val="0"/>
      </c:catAx>
      <c:valAx>
        <c:axId val="76193152"/>
        <c:scaling>
          <c:orientation val="minMax"/>
        </c:scaling>
        <c:delete val="0"/>
        <c:axPos val="l"/>
        <c:majorGridlines/>
        <c:title>
          <c:tx>
            <c:rich>
              <a:bodyPr rot="-5400000" vert="horz"/>
              <a:lstStyle/>
              <a:p>
                <a:pPr>
                  <a:defRPr sz="1100" b="1"/>
                </a:pPr>
                <a:r>
                  <a:rPr lang="en-US" sz="1100" b="1"/>
                  <a:t>Radial</a:t>
                </a:r>
                <a:r>
                  <a:rPr lang="en-US" sz="1100" b="1" baseline="0"/>
                  <a:t> growth of mycelium</a:t>
                </a:r>
                <a:endParaRPr lang="en-US" sz="1100" b="1"/>
              </a:p>
            </c:rich>
          </c:tx>
          <c:layout>
            <c:manualLayout>
              <c:xMode val="edge"/>
              <c:yMode val="edge"/>
              <c:x val="1.1777993772584715E-2"/>
              <c:y val="0.28167304428591117"/>
            </c:manualLayout>
          </c:layout>
          <c:overlay val="0"/>
        </c:title>
        <c:numFmt formatCode="0.00" sourceLinked="1"/>
        <c:majorTickMark val="out"/>
        <c:minorTickMark val="none"/>
        <c:tickLblPos val="nextTo"/>
        <c:txPr>
          <a:bodyPr/>
          <a:lstStyle/>
          <a:p>
            <a:pPr>
              <a:defRPr b="1"/>
            </a:pPr>
            <a:endParaRPr lang="en-US"/>
          </a:p>
        </c:txPr>
        <c:crossAx val="76191616"/>
        <c:crosses val="autoZero"/>
        <c:crossBetween val="between"/>
      </c:valAx>
    </c:plotArea>
    <c:legend>
      <c:legendPos val="r"/>
      <c:layout>
        <c:manualLayout>
          <c:xMode val="edge"/>
          <c:yMode val="edge"/>
          <c:x val="0.11746030902966809"/>
          <c:y val="0.92946534460970154"/>
          <c:w val="0.73414171457910093"/>
          <c:h val="6.648067139755679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11</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ELCIN</cp:lastModifiedBy>
  <cp:revision>32</cp:revision>
  <cp:lastPrinted>2025-05-22T06:39:00Z</cp:lastPrinted>
  <dcterms:created xsi:type="dcterms:W3CDTF">2025-04-24T07:14:00Z</dcterms:created>
  <dcterms:modified xsi:type="dcterms:W3CDTF">2025-10-25T03:51:00Z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925c9fb84e444f2ba5a587a9528cdf52</vt:lpwstr>
  </property>
  <property fmtid="{D5CDD505-2E9C-101B-9397-08002B2CF9AE}" pid="3" name="GrammarlyDocumentId">
    <vt:lpwstr>7b138be7-cad7-41e9-afde-67fbc20c8636</vt:lpwstr>
  </property>
</Properties>
</file>