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3696" w14:textId="77777777" w:rsidR="00A03260" w:rsidRDefault="00A03260" w:rsidP="00910207">
      <w:pPr>
        <w:spacing w:line="360" w:lineRule="auto"/>
        <w:jc w:val="center"/>
        <w:rPr>
          <w:rFonts w:ascii="Times New Roman" w:hAnsi="Times New Roman" w:cs="Times New Roman"/>
          <w:b/>
          <w:bCs/>
          <w:sz w:val="28"/>
          <w:szCs w:val="28"/>
        </w:rPr>
      </w:pPr>
      <w:r w:rsidRPr="00A03260">
        <w:rPr>
          <w:rFonts w:ascii="Times New Roman" w:hAnsi="Times New Roman" w:cs="Times New Roman"/>
          <w:b/>
          <w:bCs/>
          <w:sz w:val="28"/>
          <w:szCs w:val="28"/>
        </w:rPr>
        <w:t>Original Research Article</w:t>
      </w:r>
    </w:p>
    <w:p w14:paraId="14CAEC8B" w14:textId="76F61D26" w:rsidR="00E86EE8" w:rsidRDefault="00E86EE8" w:rsidP="00910207">
      <w:pPr>
        <w:spacing w:line="360" w:lineRule="auto"/>
        <w:jc w:val="center"/>
        <w:rPr>
          <w:rFonts w:ascii="Times New Roman" w:hAnsi="Times New Roman" w:cs="Times New Roman"/>
          <w:b/>
          <w:bCs/>
          <w:sz w:val="28"/>
          <w:szCs w:val="28"/>
        </w:rPr>
      </w:pPr>
      <w:r w:rsidRPr="00E86EE8">
        <w:rPr>
          <w:rFonts w:ascii="Times New Roman" w:hAnsi="Times New Roman" w:cs="Times New Roman"/>
          <w:b/>
          <w:bCs/>
          <w:sz w:val="28"/>
          <w:szCs w:val="28"/>
        </w:rPr>
        <w:t xml:space="preserve">Prevalence and possible risk factors of Helicobacter pylori infection among adults in Aba, Nigeria. </w:t>
      </w:r>
    </w:p>
    <w:p w14:paraId="7A994436" w14:textId="77777777" w:rsidR="00983B69" w:rsidRDefault="00983B69" w:rsidP="00910207">
      <w:pPr>
        <w:spacing w:line="360" w:lineRule="auto"/>
        <w:jc w:val="center"/>
        <w:rPr>
          <w:rFonts w:ascii="Times New Roman" w:hAnsi="Times New Roman" w:cs="Times New Roman"/>
          <w:b/>
          <w:bCs/>
          <w:sz w:val="28"/>
          <w:szCs w:val="28"/>
        </w:rPr>
      </w:pPr>
    </w:p>
    <w:p w14:paraId="08A86823" w14:textId="47E13F2D" w:rsidR="00910207" w:rsidRDefault="00910207" w:rsidP="0091020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FAFAF1A" w14:textId="77777777" w:rsidR="00910207" w:rsidRDefault="00B91C31" w:rsidP="00910207">
      <w:pPr>
        <w:jc w:val="both"/>
        <w:rPr>
          <w:rFonts w:ascii="Times New Roman" w:hAnsi="Times New Roman" w:cs="Times New Roman"/>
          <w:bCs/>
          <w:sz w:val="28"/>
          <w:szCs w:val="28"/>
        </w:rPr>
      </w:pPr>
      <w:r w:rsidRPr="00E16CF5">
        <w:rPr>
          <w:rFonts w:ascii="Times New Roman" w:hAnsi="Times New Roman" w:cs="Times New Roman"/>
          <w:b/>
          <w:bCs/>
          <w:iCs/>
          <w:sz w:val="28"/>
          <w:szCs w:val="28"/>
        </w:rPr>
        <w:t>Background</w:t>
      </w:r>
      <w:r w:rsidR="00910207">
        <w:rPr>
          <w:rFonts w:ascii="Times New Roman" w:hAnsi="Times New Roman" w:cs="Times New Roman"/>
          <w:bCs/>
          <w:iCs/>
          <w:sz w:val="28"/>
          <w:szCs w:val="28"/>
        </w:rPr>
        <w:t xml:space="preserve">: </w:t>
      </w:r>
      <w:r w:rsidR="00910207" w:rsidRPr="00910207">
        <w:rPr>
          <w:rFonts w:ascii="Times New Roman" w:hAnsi="Times New Roman" w:cs="Times New Roman"/>
          <w:bCs/>
          <w:iCs/>
          <w:sz w:val="28"/>
          <w:szCs w:val="28"/>
        </w:rPr>
        <w:t>Helicobacter</w:t>
      </w:r>
      <w:r w:rsidR="00910207">
        <w:rPr>
          <w:rFonts w:ascii="Times New Roman" w:hAnsi="Times New Roman" w:cs="Times New Roman"/>
          <w:bCs/>
          <w:i/>
          <w:iCs/>
          <w:sz w:val="28"/>
          <w:szCs w:val="28"/>
        </w:rPr>
        <w:t xml:space="preserve"> pylori</w:t>
      </w:r>
      <w:r w:rsidR="00910207">
        <w:rPr>
          <w:rFonts w:ascii="Times New Roman" w:hAnsi="Times New Roman" w:cs="Times New Roman"/>
          <w:bCs/>
          <w:sz w:val="28"/>
          <w:szCs w:val="28"/>
        </w:rPr>
        <w:t xml:space="preserve">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 xml:space="preserve">) infection is a major public health concern and is strongly associated with various gastrointestinal (GI) disorders, including gastritis, peptic ulcer disease, and gastric cancer. </w:t>
      </w:r>
    </w:p>
    <w:p w14:paraId="51DD4E9D" w14:textId="77777777"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Aim:</w:t>
      </w:r>
      <w:r>
        <w:rPr>
          <w:rFonts w:ascii="Times New Roman" w:hAnsi="Times New Roman" w:cs="Times New Roman"/>
          <w:bCs/>
          <w:sz w:val="28"/>
          <w:szCs w:val="28"/>
        </w:rPr>
        <w:t xml:space="preserve"> This study aimed to determine the prevalence of </w:t>
      </w:r>
      <w:r>
        <w:rPr>
          <w:rFonts w:ascii="Times New Roman" w:hAnsi="Times New Roman" w:cs="Times New Roman"/>
          <w:bCs/>
          <w:i/>
          <w:iCs/>
          <w:sz w:val="28"/>
          <w:szCs w:val="28"/>
        </w:rPr>
        <w:t>H. pylori</w:t>
      </w:r>
      <w:r>
        <w:rPr>
          <w:rFonts w:ascii="Times New Roman" w:hAnsi="Times New Roman" w:cs="Times New Roman"/>
          <w:bCs/>
          <w:sz w:val="28"/>
          <w:szCs w:val="28"/>
        </w:rPr>
        <w:t xml:space="preserve"> infection among adults in Aba, Nigeria.</w:t>
      </w:r>
    </w:p>
    <w:p w14:paraId="321DB288" w14:textId="77777777"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Study design:</w:t>
      </w:r>
      <w:r>
        <w:rPr>
          <w:rFonts w:ascii="Times New Roman" w:hAnsi="Times New Roman" w:cs="Times New Roman"/>
          <w:bCs/>
          <w:sz w:val="28"/>
          <w:szCs w:val="28"/>
        </w:rPr>
        <w:t xml:space="preserve"> Cross sectional study design. </w:t>
      </w:r>
    </w:p>
    <w:p w14:paraId="3856C88C" w14:textId="77777777"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Methodology:</w:t>
      </w:r>
      <w:r>
        <w:rPr>
          <w:rFonts w:ascii="Times New Roman" w:hAnsi="Times New Roman" w:cs="Times New Roman"/>
          <w:bCs/>
          <w:sz w:val="28"/>
          <w:szCs w:val="28"/>
        </w:rPr>
        <w:t xml:space="preserve"> A total of 140 subjects aged 20-75 years (mean age: 43.4 ± 15.7 years) were analyzed. Participants were categorized based on age, gender, occupation, and the presence or absence of GI symptoms. Blood samples were tested for </w:t>
      </w:r>
      <w:r>
        <w:rPr>
          <w:rFonts w:ascii="Times New Roman" w:hAnsi="Times New Roman" w:cs="Times New Roman"/>
          <w:bCs/>
          <w:i/>
          <w:iCs/>
          <w:sz w:val="28"/>
          <w:szCs w:val="28"/>
        </w:rPr>
        <w:t>H. pylori</w:t>
      </w:r>
      <w:r>
        <w:rPr>
          <w:rFonts w:ascii="Times New Roman" w:hAnsi="Times New Roman" w:cs="Times New Roman"/>
          <w:bCs/>
          <w:sz w:val="28"/>
          <w:szCs w:val="28"/>
        </w:rPr>
        <w:t xml:space="preserve"> antibodies to determine infection status. The prevalence of </w:t>
      </w:r>
      <w:r>
        <w:rPr>
          <w:rFonts w:ascii="Times New Roman" w:hAnsi="Times New Roman" w:cs="Times New Roman"/>
          <w:bCs/>
          <w:i/>
          <w:iCs/>
          <w:sz w:val="28"/>
          <w:szCs w:val="28"/>
        </w:rPr>
        <w:t>H. pylori</w:t>
      </w:r>
      <w:r>
        <w:rPr>
          <w:rFonts w:ascii="Times New Roman" w:hAnsi="Times New Roman" w:cs="Times New Roman"/>
          <w:bCs/>
          <w:sz w:val="28"/>
          <w:szCs w:val="28"/>
        </w:rPr>
        <w:t xml:space="preserve"> was assessed and compared across different demographic and occupational groups. </w:t>
      </w:r>
    </w:p>
    <w:p w14:paraId="74588516" w14:textId="03678910" w:rsidR="001D5060" w:rsidRDefault="00910207" w:rsidP="01F72ADF">
      <w:pPr>
        <w:jc w:val="both"/>
        <w:rPr>
          <w:rFonts w:ascii="Times New Roman" w:hAnsi="Times New Roman" w:cs="Times New Roman"/>
          <w:sz w:val="28"/>
          <w:szCs w:val="28"/>
        </w:rPr>
      </w:pPr>
      <w:r w:rsidRPr="01F72ADF">
        <w:rPr>
          <w:rFonts w:ascii="Times New Roman" w:hAnsi="Times New Roman" w:cs="Times New Roman"/>
          <w:b/>
          <w:bCs/>
          <w:sz w:val="28"/>
          <w:szCs w:val="28"/>
        </w:rPr>
        <w:t>Results</w:t>
      </w:r>
      <w:r w:rsidRPr="01F72ADF">
        <w:rPr>
          <w:rFonts w:ascii="Times New Roman" w:hAnsi="Times New Roman" w:cs="Times New Roman"/>
          <w:sz w:val="28"/>
          <w:szCs w:val="28"/>
        </w:rPr>
        <w:t xml:space="preserve">: The overall prevalence of </w:t>
      </w:r>
      <w:r w:rsidRPr="01F72ADF">
        <w:rPr>
          <w:rFonts w:ascii="Times New Roman" w:hAnsi="Times New Roman" w:cs="Times New Roman"/>
          <w:i/>
          <w:iCs/>
          <w:sz w:val="28"/>
          <w:szCs w:val="28"/>
        </w:rPr>
        <w:t>H. pylori</w:t>
      </w:r>
      <w:r w:rsidRPr="01F72ADF">
        <w:rPr>
          <w:rFonts w:ascii="Times New Roman" w:hAnsi="Times New Roman" w:cs="Times New Roman"/>
          <w:sz w:val="28"/>
          <w:szCs w:val="28"/>
        </w:rPr>
        <w:t xml:space="preserve"> infection was 51.4%. Age-specific distribution showed the highest prevalence in individuals aged 38-43 years (75.0%), while the lowest was in the 20-25 age group (27.3%). Males had a slightly higher prevalence (53.3%) than females (50.0%). Occupation-based analysis revealed the highest prevalence among drivers (58.3%) and traders (54.2%), while students had the lowest prevalence (45.5%). Among subjects with GI symptoms, </w:t>
      </w:r>
      <w:r w:rsidRPr="01F72ADF">
        <w:rPr>
          <w:rFonts w:ascii="Times New Roman" w:hAnsi="Times New Roman" w:cs="Times New Roman"/>
          <w:i/>
          <w:iCs/>
          <w:sz w:val="28"/>
          <w:szCs w:val="28"/>
        </w:rPr>
        <w:t>H. pylori</w:t>
      </w:r>
      <w:r w:rsidRPr="01F72ADF">
        <w:rPr>
          <w:rFonts w:ascii="Times New Roman" w:hAnsi="Times New Roman" w:cs="Times New Roman"/>
          <w:sz w:val="28"/>
          <w:szCs w:val="28"/>
        </w:rPr>
        <w:t xml:space="preserve"> </w:t>
      </w:r>
      <w:r w:rsidR="18E1C203" w:rsidRPr="01F72ADF">
        <w:rPr>
          <w:rFonts w:ascii="Times New Roman" w:hAnsi="Times New Roman" w:cs="Times New Roman"/>
          <w:color w:val="FF0000"/>
          <w:sz w:val="28"/>
          <w:szCs w:val="28"/>
        </w:rPr>
        <w:t>were</w:t>
      </w:r>
      <w:r w:rsidRPr="01F72ADF">
        <w:rPr>
          <w:rFonts w:ascii="Times New Roman" w:hAnsi="Times New Roman" w:cs="Times New Roman"/>
          <w:sz w:val="28"/>
          <w:szCs w:val="28"/>
        </w:rPr>
        <w:t xml:space="preserve"> most prevalent in those experiencing gastric pain (57.1%) and diarrhea (53.3%), while asymptomatic individuals had </w:t>
      </w:r>
      <w:r w:rsidR="749647B2" w:rsidRPr="01F72ADF">
        <w:rPr>
          <w:rFonts w:ascii="Times New Roman" w:hAnsi="Times New Roman" w:cs="Times New Roman"/>
          <w:color w:val="FF0000"/>
          <w:sz w:val="28"/>
          <w:szCs w:val="28"/>
        </w:rPr>
        <w:t>a prevalence</w:t>
      </w:r>
      <w:r w:rsidRPr="01F72ADF">
        <w:rPr>
          <w:rFonts w:ascii="Times New Roman" w:hAnsi="Times New Roman" w:cs="Times New Roman"/>
          <w:color w:val="FF0000"/>
          <w:sz w:val="28"/>
          <w:szCs w:val="28"/>
        </w:rPr>
        <w:t xml:space="preserve"> of </w:t>
      </w:r>
      <w:r w:rsidRPr="01F72ADF">
        <w:rPr>
          <w:rFonts w:ascii="Times New Roman" w:hAnsi="Times New Roman" w:cs="Times New Roman"/>
          <w:sz w:val="28"/>
          <w:szCs w:val="28"/>
        </w:rPr>
        <w:t xml:space="preserve">40.0%. </w:t>
      </w:r>
    </w:p>
    <w:p w14:paraId="02F6A238" w14:textId="77777777" w:rsidR="00910207" w:rsidRDefault="001D5060"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Conclusion:</w:t>
      </w:r>
      <w:r>
        <w:rPr>
          <w:rFonts w:ascii="Times New Roman" w:hAnsi="Times New Roman" w:cs="Times New Roman"/>
          <w:bCs/>
          <w:sz w:val="28"/>
          <w:szCs w:val="28"/>
        </w:rPr>
        <w:t xml:space="preserve"> </w:t>
      </w:r>
      <w:r w:rsidR="00910207">
        <w:rPr>
          <w:rFonts w:ascii="Times New Roman" w:hAnsi="Times New Roman" w:cs="Times New Roman"/>
          <w:bCs/>
          <w:sz w:val="28"/>
          <w:szCs w:val="28"/>
        </w:rPr>
        <w:t xml:space="preserve">The findings suggest that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 xml:space="preserve"> infection is significantly associated with GI disorders, with higher prevalence among symptomatic individuals, middle-aged adults, and high-risk occupational groups. Given the asymptomatic carriage of the bacterium in a substantial proportion of individuals, routine screening, early treatment, and preventive measures such as </w:t>
      </w:r>
      <w:r w:rsidR="00910207">
        <w:rPr>
          <w:rFonts w:ascii="Times New Roman" w:hAnsi="Times New Roman" w:cs="Times New Roman"/>
          <w:bCs/>
          <w:sz w:val="28"/>
          <w:szCs w:val="28"/>
        </w:rPr>
        <w:lastRenderedPageBreak/>
        <w:t xml:space="preserve">improved hygiene and safe food handling are essential for reducing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-related complications.</w:t>
      </w:r>
    </w:p>
    <w:p w14:paraId="4AB9F052" w14:textId="77777777" w:rsidR="00910207" w:rsidRDefault="00910207" w:rsidP="00910207">
      <w:pPr>
        <w:jc w:val="both"/>
        <w:rPr>
          <w:rFonts w:ascii="Times New Roman" w:hAnsi="Times New Roman" w:cs="Times New Roman"/>
          <w:bCs/>
          <w:sz w:val="28"/>
          <w:szCs w:val="28"/>
        </w:rPr>
      </w:pPr>
      <w:r>
        <w:rPr>
          <w:rFonts w:ascii="Times New Roman" w:hAnsi="Times New Roman" w:cs="Times New Roman"/>
          <w:b/>
          <w:bCs/>
          <w:sz w:val="28"/>
          <w:szCs w:val="28"/>
        </w:rPr>
        <w:t>Keywords:</w:t>
      </w:r>
      <w:r w:rsidR="001D5060">
        <w:rPr>
          <w:rFonts w:ascii="Times New Roman" w:hAnsi="Times New Roman" w:cs="Times New Roman"/>
          <w:b/>
          <w:bCs/>
          <w:sz w:val="28"/>
          <w:szCs w:val="28"/>
        </w:rPr>
        <w:t xml:space="preserve"> </w:t>
      </w:r>
      <w:r>
        <w:rPr>
          <w:rFonts w:ascii="Times New Roman" w:hAnsi="Times New Roman" w:cs="Times New Roman"/>
          <w:bCs/>
          <w:i/>
          <w:iCs/>
          <w:sz w:val="28"/>
          <w:szCs w:val="28"/>
        </w:rPr>
        <w:t>Helicobacter pylori</w:t>
      </w:r>
      <w:r w:rsidR="00E21DB3">
        <w:rPr>
          <w:rFonts w:ascii="Times New Roman" w:hAnsi="Times New Roman" w:cs="Times New Roman"/>
          <w:bCs/>
          <w:sz w:val="28"/>
          <w:szCs w:val="28"/>
        </w:rPr>
        <w:t>, prevalence, adults, risk factors</w:t>
      </w:r>
      <w:r>
        <w:rPr>
          <w:rFonts w:ascii="Times New Roman" w:hAnsi="Times New Roman" w:cs="Times New Roman"/>
          <w:bCs/>
          <w:sz w:val="28"/>
          <w:szCs w:val="28"/>
        </w:rPr>
        <w:t>.</w:t>
      </w:r>
    </w:p>
    <w:p w14:paraId="5A45598C" w14:textId="77777777" w:rsidR="00910207" w:rsidRDefault="00910207" w:rsidP="00910207">
      <w:pPr>
        <w:pStyle w:val="Default"/>
        <w:spacing w:line="360" w:lineRule="auto"/>
        <w:rPr>
          <w:sz w:val="28"/>
          <w:szCs w:val="28"/>
        </w:rPr>
      </w:pPr>
    </w:p>
    <w:p w14:paraId="318945F3" w14:textId="77777777" w:rsidR="00E16CF5" w:rsidRDefault="00E16CF5" w:rsidP="00910207">
      <w:pPr>
        <w:pStyle w:val="Default"/>
        <w:spacing w:line="360" w:lineRule="auto"/>
        <w:rPr>
          <w:sz w:val="28"/>
          <w:szCs w:val="28"/>
        </w:rPr>
      </w:pPr>
    </w:p>
    <w:p w14:paraId="7A4D38F1" w14:textId="77777777" w:rsidR="00910207" w:rsidRDefault="00910207" w:rsidP="00910207">
      <w:pPr>
        <w:pStyle w:val="Default"/>
        <w:numPr>
          <w:ilvl w:val="0"/>
          <w:numId w:val="1"/>
        </w:numPr>
        <w:spacing w:line="360" w:lineRule="auto"/>
        <w:rPr>
          <w:b/>
          <w:bCs/>
          <w:sz w:val="28"/>
          <w:szCs w:val="28"/>
        </w:rPr>
      </w:pPr>
      <w:r>
        <w:rPr>
          <w:b/>
          <w:bCs/>
          <w:sz w:val="28"/>
          <w:szCs w:val="28"/>
        </w:rPr>
        <w:t>INTRODUCTION</w:t>
      </w:r>
    </w:p>
    <w:p w14:paraId="7F8E6231" w14:textId="77777777" w:rsidR="00910207" w:rsidRDefault="00910207" w:rsidP="00910207">
      <w:pPr>
        <w:pStyle w:val="Default"/>
        <w:spacing w:line="360" w:lineRule="auto"/>
        <w:jc w:val="both"/>
        <w:rPr>
          <w:sz w:val="28"/>
          <w:szCs w:val="28"/>
        </w:rPr>
      </w:pPr>
      <w:r>
        <w:rPr>
          <w:i/>
          <w:sz w:val="28"/>
          <w:szCs w:val="28"/>
        </w:rPr>
        <w:t>Helicobacter pylori (H. pylori)</w:t>
      </w:r>
      <w:r>
        <w:rPr>
          <w:sz w:val="28"/>
          <w:szCs w:val="28"/>
        </w:rPr>
        <w:t xml:space="preserve">, formerly referred to as </w:t>
      </w:r>
      <w:r>
        <w:rPr>
          <w:i/>
          <w:sz w:val="28"/>
          <w:szCs w:val="28"/>
        </w:rPr>
        <w:t>Campylobacter pylori</w:t>
      </w:r>
      <w:r>
        <w:rPr>
          <w:sz w:val="28"/>
          <w:szCs w:val="28"/>
        </w:rPr>
        <w:t xml:space="preserve">, is a gram-negative, microaerophilic, spiral-shaped bacterium that typically inhabits the stomach. (Alfarouk </w:t>
      </w:r>
      <w:r>
        <w:rPr>
          <w:i/>
          <w:sz w:val="28"/>
          <w:szCs w:val="28"/>
        </w:rPr>
        <w:t>et al</w:t>
      </w:r>
      <w:r>
        <w:rPr>
          <w:sz w:val="28"/>
          <w:szCs w:val="28"/>
        </w:rPr>
        <w:t xml:space="preserve">., 2019). The genus </w:t>
      </w:r>
      <w:r>
        <w:rPr>
          <w:i/>
          <w:iCs/>
          <w:sz w:val="28"/>
          <w:szCs w:val="28"/>
        </w:rPr>
        <w:t>Helicobacter</w:t>
      </w:r>
      <w:r>
        <w:rPr>
          <w:sz w:val="28"/>
          <w:szCs w:val="28"/>
        </w:rPr>
        <w:t xml:space="preserve"> belongs to the Proteobacteria phylum, order </w:t>
      </w:r>
      <w:r>
        <w:rPr>
          <w:i/>
          <w:iCs/>
          <w:sz w:val="28"/>
          <w:szCs w:val="28"/>
        </w:rPr>
        <w:t>Campylobacterales</w:t>
      </w:r>
      <w:r>
        <w:rPr>
          <w:sz w:val="28"/>
          <w:szCs w:val="28"/>
        </w:rPr>
        <w:t xml:space="preserve">, and family </w:t>
      </w:r>
      <w:r>
        <w:rPr>
          <w:i/>
          <w:iCs/>
          <w:sz w:val="28"/>
          <w:szCs w:val="28"/>
        </w:rPr>
        <w:t>Helicobacteriaceae</w:t>
      </w:r>
      <w:r>
        <w:rPr>
          <w:sz w:val="28"/>
          <w:szCs w:val="28"/>
        </w:rPr>
        <w:t>. Its cells typically measure 2–4 μm in length and 0.5–1 μm in width. Although generally spiral-shaped, the organism may appear rod-like, while coccoid forms develop after extended in-vitro culture or exposure to antibiotics. These coccoid forms cannot be cultivated in vitro and are believed to represent dead cells (</w:t>
      </w:r>
      <w:r w:rsidR="00BA0A1B">
        <w:rPr>
          <w:sz w:val="28"/>
          <w:szCs w:val="28"/>
        </w:rPr>
        <w:t xml:space="preserve">Gide </w:t>
      </w:r>
      <w:r w:rsidR="00BA0A1B">
        <w:rPr>
          <w:i/>
          <w:sz w:val="28"/>
          <w:szCs w:val="28"/>
        </w:rPr>
        <w:t>et al</w:t>
      </w:r>
      <w:r w:rsidR="00BA0A1B">
        <w:rPr>
          <w:sz w:val="28"/>
          <w:szCs w:val="28"/>
        </w:rPr>
        <w:t>., 2019</w:t>
      </w:r>
      <w:r>
        <w:rPr>
          <w:sz w:val="28"/>
          <w:szCs w:val="28"/>
        </w:rPr>
        <w:t>). The bacterium inhabits the mucous layer of the human stomach and duodenum and can persist for decades if untreated, causing chronic inflammation of the underlying mucosa. It is usually contacted in the first few years of life and tends to persist indefinitely unless treated (</w:t>
      </w:r>
      <w:r w:rsidR="00BA0A1B">
        <w:rPr>
          <w:sz w:val="28"/>
          <w:szCs w:val="28"/>
        </w:rPr>
        <w:t>Abioye</w:t>
      </w:r>
      <w:r w:rsidR="00DE31E5">
        <w:rPr>
          <w:sz w:val="28"/>
          <w:szCs w:val="28"/>
        </w:rPr>
        <w:t xml:space="preserve"> </w:t>
      </w:r>
      <w:r w:rsidR="00BA0A1B">
        <w:rPr>
          <w:i/>
          <w:sz w:val="28"/>
          <w:szCs w:val="28"/>
        </w:rPr>
        <w:t>et al</w:t>
      </w:r>
      <w:r w:rsidR="00BA0A1B">
        <w:rPr>
          <w:sz w:val="28"/>
          <w:szCs w:val="28"/>
        </w:rPr>
        <w:t>., 2021</w:t>
      </w:r>
      <w:r>
        <w:rPr>
          <w:sz w:val="28"/>
          <w:szCs w:val="28"/>
        </w:rPr>
        <w:t>).</w:t>
      </w:r>
    </w:p>
    <w:p w14:paraId="145A00B1" w14:textId="4EB867CA" w:rsidR="00910207" w:rsidRDefault="00910207" w:rsidP="00910207">
      <w:pPr>
        <w:pStyle w:val="Default"/>
        <w:spacing w:line="360" w:lineRule="auto"/>
        <w:jc w:val="both"/>
        <w:rPr>
          <w:sz w:val="28"/>
          <w:szCs w:val="28"/>
        </w:rPr>
      </w:pPr>
      <w:r w:rsidRPr="01F72ADF">
        <w:rPr>
          <w:sz w:val="28"/>
          <w:szCs w:val="28"/>
        </w:rPr>
        <w:t xml:space="preserve">Numerous elements have been implicated as contributing </w:t>
      </w:r>
      <w:r w:rsidR="764B4FAA" w:rsidRPr="01F72ADF">
        <w:rPr>
          <w:color w:val="FF0000"/>
          <w:sz w:val="28"/>
          <w:szCs w:val="28"/>
        </w:rPr>
        <w:t>factors</w:t>
      </w:r>
      <w:r w:rsidRPr="01F72ADF">
        <w:rPr>
          <w:sz w:val="28"/>
          <w:szCs w:val="28"/>
        </w:rPr>
        <w:t xml:space="preserve"> for </w:t>
      </w:r>
      <w:r w:rsidRPr="01F72ADF">
        <w:rPr>
          <w:i/>
          <w:iCs/>
          <w:sz w:val="28"/>
          <w:szCs w:val="28"/>
        </w:rPr>
        <w:t>H. pylori</w:t>
      </w:r>
      <w:r w:rsidRPr="01F72ADF">
        <w:rPr>
          <w:sz w:val="28"/>
          <w:szCs w:val="28"/>
        </w:rPr>
        <w:t xml:space="preserve">’s </w:t>
      </w:r>
      <w:r w:rsidR="00BB33B6" w:rsidRPr="01F72ADF">
        <w:rPr>
          <w:sz w:val="28"/>
          <w:szCs w:val="28"/>
        </w:rPr>
        <w:t xml:space="preserve">ability to </w:t>
      </w:r>
      <w:r w:rsidRPr="01F72ADF">
        <w:rPr>
          <w:sz w:val="28"/>
          <w:szCs w:val="28"/>
        </w:rPr>
        <w:t>coloniz</w:t>
      </w:r>
      <w:r w:rsidR="00BB33B6" w:rsidRPr="01F72ADF">
        <w:rPr>
          <w:sz w:val="28"/>
          <w:szCs w:val="28"/>
        </w:rPr>
        <w:t>e</w:t>
      </w:r>
      <w:r w:rsidRPr="01F72ADF">
        <w:rPr>
          <w:sz w:val="28"/>
          <w:szCs w:val="28"/>
        </w:rPr>
        <w:t xml:space="preserve"> and surviv</w:t>
      </w:r>
      <w:r w:rsidR="00BB33B6" w:rsidRPr="01F72ADF">
        <w:rPr>
          <w:sz w:val="28"/>
          <w:szCs w:val="28"/>
        </w:rPr>
        <w:t>e</w:t>
      </w:r>
      <w:r w:rsidRPr="01F72ADF">
        <w:rPr>
          <w:sz w:val="28"/>
          <w:szCs w:val="28"/>
        </w:rPr>
        <w:t xml:space="preserve"> in </w:t>
      </w:r>
      <w:bookmarkStart w:id="0" w:name="_Int_mamxZx9X"/>
      <w:r w:rsidRPr="01F72ADF">
        <w:rPr>
          <w:sz w:val="28"/>
          <w:szCs w:val="28"/>
        </w:rPr>
        <w:t>the host’s</w:t>
      </w:r>
      <w:bookmarkEnd w:id="0"/>
      <w:r w:rsidRPr="01F72ADF">
        <w:rPr>
          <w:sz w:val="28"/>
          <w:szCs w:val="28"/>
        </w:rPr>
        <w:t xml:space="preserve"> hostile stomach e</w:t>
      </w:r>
      <w:r w:rsidR="00BB33B6" w:rsidRPr="01F72ADF">
        <w:rPr>
          <w:sz w:val="28"/>
          <w:szCs w:val="28"/>
        </w:rPr>
        <w:t xml:space="preserve">nvironment. Among these factors, </w:t>
      </w:r>
      <w:r w:rsidRPr="01F72ADF">
        <w:rPr>
          <w:sz w:val="28"/>
          <w:szCs w:val="28"/>
        </w:rPr>
        <w:t>though not limited to them</w:t>
      </w:r>
      <w:r w:rsidR="00BB33B6" w:rsidRPr="01F72ADF">
        <w:rPr>
          <w:sz w:val="28"/>
          <w:szCs w:val="28"/>
          <w:lang w:val="en-GB"/>
        </w:rPr>
        <w:t xml:space="preserve"> </w:t>
      </w:r>
      <w:r w:rsidRPr="01F72ADF">
        <w:rPr>
          <w:sz w:val="28"/>
          <w:szCs w:val="28"/>
        </w:rPr>
        <w:t xml:space="preserve">is (a) the presence of flagella, which </w:t>
      </w:r>
      <w:r w:rsidR="00BB33B6" w:rsidRPr="01F72ADF">
        <w:rPr>
          <w:sz w:val="28"/>
          <w:szCs w:val="28"/>
        </w:rPr>
        <w:t xml:space="preserve">enable </w:t>
      </w:r>
      <w:r w:rsidRPr="01F72ADF">
        <w:rPr>
          <w:sz w:val="28"/>
          <w:szCs w:val="28"/>
        </w:rPr>
        <w:t xml:space="preserve">the bacterium to move through and </w:t>
      </w:r>
      <w:r w:rsidR="00BB33B6" w:rsidRPr="01F72ADF">
        <w:rPr>
          <w:sz w:val="28"/>
          <w:szCs w:val="28"/>
        </w:rPr>
        <w:t>penetrate the gastric mucus layer;</w:t>
      </w:r>
      <w:r w:rsidRPr="01F72ADF">
        <w:rPr>
          <w:sz w:val="28"/>
          <w:szCs w:val="28"/>
        </w:rPr>
        <w:t xml:space="preserve"> (b) the </w:t>
      </w:r>
      <w:r w:rsidR="00BB33B6" w:rsidRPr="01F72ADF">
        <w:rPr>
          <w:sz w:val="28"/>
          <w:szCs w:val="28"/>
        </w:rPr>
        <w:t xml:space="preserve">production of enzymes that break down the protective surfactant coating of the </w:t>
      </w:r>
      <w:r w:rsidRPr="01F72ADF">
        <w:rPr>
          <w:sz w:val="28"/>
          <w:szCs w:val="28"/>
        </w:rPr>
        <w:t>gastric epithelium</w:t>
      </w:r>
      <w:r w:rsidR="00BB33B6" w:rsidRPr="01F72ADF">
        <w:rPr>
          <w:sz w:val="28"/>
          <w:szCs w:val="28"/>
        </w:rPr>
        <w:t>;</w:t>
      </w:r>
      <w:r w:rsidRPr="01F72ADF">
        <w:rPr>
          <w:sz w:val="28"/>
          <w:szCs w:val="28"/>
        </w:rPr>
        <w:t xml:space="preserve"> and (c) the </w:t>
      </w:r>
      <w:r w:rsidR="00BB33B6" w:rsidRPr="01F72ADF">
        <w:rPr>
          <w:sz w:val="28"/>
          <w:szCs w:val="28"/>
        </w:rPr>
        <w:t xml:space="preserve">bacterium’s </w:t>
      </w:r>
      <w:r w:rsidRPr="01F72ADF">
        <w:rPr>
          <w:sz w:val="28"/>
          <w:szCs w:val="28"/>
        </w:rPr>
        <w:t xml:space="preserve">ability to </w:t>
      </w:r>
      <w:r w:rsidR="00BB33B6" w:rsidRPr="01F72ADF">
        <w:rPr>
          <w:sz w:val="28"/>
          <w:szCs w:val="28"/>
        </w:rPr>
        <w:t xml:space="preserve">generate </w:t>
      </w:r>
      <w:r w:rsidRPr="01F72ADF">
        <w:rPr>
          <w:sz w:val="28"/>
          <w:szCs w:val="28"/>
        </w:rPr>
        <w:t>large amount of urease, which neutralize</w:t>
      </w:r>
      <w:r w:rsidR="00BB33B6" w:rsidRPr="01F72ADF">
        <w:rPr>
          <w:sz w:val="28"/>
          <w:szCs w:val="28"/>
        </w:rPr>
        <w:t>s the hig</w:t>
      </w:r>
      <w:r w:rsidRPr="01F72ADF">
        <w:rPr>
          <w:sz w:val="28"/>
          <w:szCs w:val="28"/>
        </w:rPr>
        <w:t>h</w:t>
      </w:r>
      <w:r w:rsidR="00BB33B6" w:rsidRPr="01F72ADF">
        <w:rPr>
          <w:sz w:val="28"/>
          <w:szCs w:val="28"/>
        </w:rPr>
        <w:t>ly</w:t>
      </w:r>
      <w:r w:rsidRPr="01F72ADF">
        <w:rPr>
          <w:sz w:val="28"/>
          <w:szCs w:val="28"/>
        </w:rPr>
        <w:t xml:space="preserve"> acidic </w:t>
      </w:r>
      <w:r w:rsidR="00BB33B6" w:rsidRPr="01F72ADF">
        <w:rPr>
          <w:sz w:val="28"/>
          <w:szCs w:val="28"/>
        </w:rPr>
        <w:t>conductions of the stomach</w:t>
      </w:r>
      <w:r w:rsidRPr="01F72ADF">
        <w:rPr>
          <w:sz w:val="28"/>
          <w:szCs w:val="28"/>
        </w:rPr>
        <w:t xml:space="preserve">. </w:t>
      </w:r>
      <w:r w:rsidRPr="01F72ADF">
        <w:rPr>
          <w:i/>
          <w:iCs/>
          <w:sz w:val="28"/>
          <w:szCs w:val="28"/>
        </w:rPr>
        <w:t>Helicobacter pylori</w:t>
      </w:r>
      <w:r w:rsidRPr="01F72ADF">
        <w:rPr>
          <w:sz w:val="28"/>
          <w:szCs w:val="28"/>
        </w:rPr>
        <w:t xml:space="preserve"> </w:t>
      </w:r>
      <w:bookmarkStart w:id="1" w:name="_Int_95n06Z85"/>
      <w:r w:rsidRPr="01F72ADF">
        <w:rPr>
          <w:sz w:val="28"/>
          <w:szCs w:val="28"/>
        </w:rPr>
        <w:t>are</w:t>
      </w:r>
      <w:bookmarkEnd w:id="1"/>
      <w:r w:rsidRPr="01F72ADF">
        <w:rPr>
          <w:sz w:val="28"/>
          <w:szCs w:val="28"/>
        </w:rPr>
        <w:t xml:space="preserve"> an important pathogen which is linked to a heavy burden of malignant and non-malignant disorders. The bacterium is classified as a human carcinogen and is</w:t>
      </w:r>
      <w:r w:rsidR="001E16BA" w:rsidRPr="01F72ADF">
        <w:rPr>
          <w:sz w:val="28"/>
          <w:szCs w:val="28"/>
        </w:rPr>
        <w:t xml:space="preserve"> strongly associated with gastric </w:t>
      </w:r>
      <w:r w:rsidRPr="01F72ADF">
        <w:rPr>
          <w:sz w:val="28"/>
          <w:szCs w:val="28"/>
        </w:rPr>
        <w:t xml:space="preserve">cancer, </w:t>
      </w:r>
      <w:r w:rsidRPr="01F72ADF">
        <w:rPr>
          <w:sz w:val="28"/>
          <w:szCs w:val="28"/>
        </w:rPr>
        <w:lastRenderedPageBreak/>
        <w:t>w</w:t>
      </w:r>
      <w:r w:rsidR="001E16BA" w:rsidRPr="01F72ADF">
        <w:rPr>
          <w:sz w:val="28"/>
          <w:szCs w:val="28"/>
        </w:rPr>
        <w:t>hich is the third leading cause of</w:t>
      </w:r>
      <w:r w:rsidRPr="01F72ADF">
        <w:rPr>
          <w:sz w:val="28"/>
          <w:szCs w:val="28"/>
        </w:rPr>
        <w:t xml:space="preserve"> cancer-related </w:t>
      </w:r>
      <w:r w:rsidR="001E16BA" w:rsidRPr="01F72ADF">
        <w:rPr>
          <w:sz w:val="28"/>
          <w:szCs w:val="28"/>
        </w:rPr>
        <w:t>mortality globally</w:t>
      </w:r>
      <w:r w:rsidRPr="01F72ADF">
        <w:rPr>
          <w:sz w:val="28"/>
          <w:szCs w:val="28"/>
        </w:rPr>
        <w:t xml:space="preserve"> (O’Connor </w:t>
      </w:r>
      <w:r w:rsidRPr="01F72ADF">
        <w:rPr>
          <w:i/>
          <w:iCs/>
          <w:sz w:val="28"/>
          <w:szCs w:val="28"/>
        </w:rPr>
        <w:t>et al</w:t>
      </w:r>
      <w:r w:rsidRPr="01F72ADF">
        <w:rPr>
          <w:sz w:val="28"/>
          <w:szCs w:val="28"/>
        </w:rPr>
        <w:t>., 2017).</w:t>
      </w:r>
    </w:p>
    <w:p w14:paraId="5BD948C3" w14:textId="7197B3BA" w:rsidR="00910207" w:rsidRDefault="00910207" w:rsidP="00910207">
      <w:pPr>
        <w:pStyle w:val="Default"/>
        <w:spacing w:line="360" w:lineRule="auto"/>
        <w:jc w:val="both"/>
        <w:rPr>
          <w:sz w:val="28"/>
          <w:szCs w:val="28"/>
        </w:rPr>
      </w:pPr>
      <w:r w:rsidRPr="01F72ADF">
        <w:rPr>
          <w:sz w:val="28"/>
          <w:szCs w:val="28"/>
        </w:rPr>
        <w:t xml:space="preserve">Globally, infections with </w:t>
      </w:r>
      <w:r w:rsidRPr="01F72ADF">
        <w:rPr>
          <w:i/>
          <w:iCs/>
          <w:sz w:val="28"/>
          <w:szCs w:val="28"/>
        </w:rPr>
        <w:t>H. pylori</w:t>
      </w:r>
      <w:r w:rsidRPr="01F72ADF">
        <w:rPr>
          <w:sz w:val="28"/>
          <w:szCs w:val="28"/>
        </w:rPr>
        <w:t xml:space="preserve"> </w:t>
      </w:r>
      <w:r w:rsidR="7124CD54" w:rsidRPr="01F72ADF">
        <w:rPr>
          <w:color w:val="FF0000"/>
          <w:sz w:val="28"/>
          <w:szCs w:val="28"/>
        </w:rPr>
        <w:t>are</w:t>
      </w:r>
      <w:r w:rsidRPr="01F72ADF">
        <w:rPr>
          <w:sz w:val="28"/>
          <w:szCs w:val="28"/>
        </w:rPr>
        <w:t xml:space="preserve"> associated with several upper gastrointestinal diseases including gastritis, dyspepsia, peptic ulcer, duodenal ulcers, and gastric cancers such as mucosa-associated lymphoid tissue (MALT), lymphoma and gastric adenocarcinoma (Najafi</w:t>
      </w:r>
      <w:r w:rsidR="00BA0A1B" w:rsidRPr="01F72ADF">
        <w:rPr>
          <w:sz w:val="28"/>
          <w:szCs w:val="28"/>
        </w:rPr>
        <w:t xml:space="preserve"> </w:t>
      </w:r>
      <w:r w:rsidRPr="01F72ADF">
        <w:rPr>
          <w:i/>
          <w:iCs/>
          <w:sz w:val="28"/>
          <w:szCs w:val="28"/>
        </w:rPr>
        <w:t>et al</w:t>
      </w:r>
      <w:r w:rsidRPr="01F72ADF">
        <w:rPr>
          <w:sz w:val="28"/>
          <w:szCs w:val="28"/>
        </w:rPr>
        <w:t xml:space="preserve">., 2010). </w:t>
      </w:r>
    </w:p>
    <w:p w14:paraId="39C93F1A" w14:textId="48C7220B" w:rsidR="00910207" w:rsidRDefault="00910207" w:rsidP="00910207">
      <w:pPr>
        <w:pStyle w:val="Default"/>
        <w:spacing w:line="360" w:lineRule="auto"/>
        <w:jc w:val="both"/>
        <w:rPr>
          <w:sz w:val="28"/>
          <w:szCs w:val="28"/>
        </w:rPr>
      </w:pPr>
      <w:r w:rsidRPr="01F72ADF">
        <w:rPr>
          <w:sz w:val="28"/>
          <w:szCs w:val="28"/>
        </w:rPr>
        <w:t xml:space="preserve">In 2015, it was estimated that over 50% of the world's population had </w:t>
      </w:r>
      <w:r w:rsidRPr="01F72ADF">
        <w:rPr>
          <w:i/>
          <w:iCs/>
          <w:sz w:val="28"/>
          <w:szCs w:val="28"/>
        </w:rPr>
        <w:t>H. pylori</w:t>
      </w:r>
      <w:r w:rsidRPr="01F72ADF">
        <w:rPr>
          <w:sz w:val="28"/>
          <w:szCs w:val="28"/>
        </w:rPr>
        <w:t xml:space="preserve"> in their upper gastrointestinal tracts (Hooi </w:t>
      </w:r>
      <w:r w:rsidRPr="01F72ADF">
        <w:rPr>
          <w:i/>
          <w:iCs/>
          <w:sz w:val="28"/>
          <w:szCs w:val="28"/>
        </w:rPr>
        <w:t>et al</w:t>
      </w:r>
      <w:r w:rsidRPr="01F72ADF">
        <w:rPr>
          <w:sz w:val="28"/>
          <w:szCs w:val="28"/>
        </w:rPr>
        <w:t xml:space="preserve">., 2017). Its prevalence shows significant geographical variation. In many developing countries, more than 80% of the population tests positive for </w:t>
      </w:r>
      <w:r w:rsidRPr="01F72ADF">
        <w:rPr>
          <w:i/>
          <w:iCs/>
          <w:sz w:val="28"/>
          <w:szCs w:val="28"/>
        </w:rPr>
        <w:t>Helicobacter pylori</w:t>
      </w:r>
      <w:r w:rsidRPr="01F72ADF">
        <w:rPr>
          <w:sz w:val="28"/>
          <w:szCs w:val="28"/>
        </w:rPr>
        <w:t xml:space="preserve"> even at a youthful age (</w:t>
      </w:r>
      <w:r w:rsidR="00BA0A1B" w:rsidRPr="01F72ADF">
        <w:rPr>
          <w:sz w:val="28"/>
          <w:szCs w:val="28"/>
        </w:rPr>
        <w:t xml:space="preserve">Gide </w:t>
      </w:r>
      <w:r w:rsidR="00BA0A1B" w:rsidRPr="01F72ADF">
        <w:rPr>
          <w:i/>
          <w:iCs/>
          <w:sz w:val="28"/>
          <w:szCs w:val="28"/>
        </w:rPr>
        <w:t>et al</w:t>
      </w:r>
      <w:r w:rsidR="00BA0A1B" w:rsidRPr="01F72ADF">
        <w:rPr>
          <w:sz w:val="28"/>
          <w:szCs w:val="28"/>
        </w:rPr>
        <w:t>., 2019</w:t>
      </w:r>
      <w:r w:rsidRPr="01F72ADF">
        <w:rPr>
          <w:sz w:val="28"/>
          <w:szCs w:val="28"/>
        </w:rPr>
        <w:t>). In contrast, prevalence rates in industrialized nations generally remain below 40%, and are notably lower among children and adolescents compared to adults (</w:t>
      </w:r>
      <w:r w:rsidR="00BA0A1B" w:rsidRPr="01F72ADF">
        <w:rPr>
          <w:sz w:val="28"/>
          <w:szCs w:val="28"/>
        </w:rPr>
        <w:t xml:space="preserve">Gide </w:t>
      </w:r>
      <w:r w:rsidR="00BA0A1B" w:rsidRPr="01F72ADF">
        <w:rPr>
          <w:i/>
          <w:iCs/>
          <w:sz w:val="28"/>
          <w:szCs w:val="28"/>
        </w:rPr>
        <w:t>et al</w:t>
      </w:r>
      <w:r w:rsidR="00BA0A1B" w:rsidRPr="01F72ADF">
        <w:rPr>
          <w:sz w:val="28"/>
          <w:szCs w:val="28"/>
        </w:rPr>
        <w:t>., 2019</w:t>
      </w:r>
      <w:r w:rsidRPr="01F72ADF">
        <w:rPr>
          <w:sz w:val="28"/>
          <w:szCs w:val="28"/>
        </w:rPr>
        <w:t>).</w:t>
      </w:r>
      <w:r w:rsidR="00BA0A1B" w:rsidRPr="01F72ADF">
        <w:rPr>
          <w:sz w:val="28"/>
          <w:szCs w:val="28"/>
        </w:rPr>
        <w:t xml:space="preserve"> </w:t>
      </w:r>
      <w:r w:rsidRPr="01F72ADF">
        <w:rPr>
          <w:sz w:val="28"/>
          <w:szCs w:val="28"/>
        </w:rPr>
        <w:t xml:space="preserve">In developing </w:t>
      </w:r>
      <w:r w:rsidR="39599F9C" w:rsidRPr="01F72ADF">
        <w:rPr>
          <w:color w:val="FF0000"/>
          <w:sz w:val="28"/>
          <w:szCs w:val="28"/>
        </w:rPr>
        <w:t>countries,</w:t>
      </w:r>
      <w:r w:rsidRPr="01F72ADF">
        <w:rPr>
          <w:sz w:val="28"/>
          <w:szCs w:val="28"/>
        </w:rPr>
        <w:t xml:space="preserve"> the prevalence of </w:t>
      </w:r>
      <w:r w:rsidRPr="01F72ADF">
        <w:rPr>
          <w:i/>
          <w:iCs/>
          <w:sz w:val="28"/>
          <w:szCs w:val="28"/>
        </w:rPr>
        <w:t>H. pylori</w:t>
      </w:r>
      <w:r w:rsidRPr="01F72ADF">
        <w:rPr>
          <w:sz w:val="28"/>
          <w:szCs w:val="28"/>
        </w:rPr>
        <w:t xml:space="preserve"> is higher in children, due to lower socioeconomic status, poor hygiene, overpopulation and lack of safe drinking water, and in an older patient, the clinical manifestation of </w:t>
      </w:r>
      <w:r w:rsidRPr="01F72ADF">
        <w:rPr>
          <w:i/>
          <w:iCs/>
          <w:sz w:val="28"/>
          <w:szCs w:val="28"/>
        </w:rPr>
        <w:t>H. pylori</w:t>
      </w:r>
      <w:r w:rsidRPr="01F72ADF">
        <w:rPr>
          <w:sz w:val="28"/>
          <w:szCs w:val="28"/>
        </w:rPr>
        <w:t xml:space="preserve"> infection may be mild or unusual, potentially delaying its diagnosis. In older adults, the presence of multiple coexisting illnesses and</w:t>
      </w:r>
      <w:r w:rsidR="00E21DB3" w:rsidRPr="01F72ADF">
        <w:rPr>
          <w:sz w:val="28"/>
          <w:szCs w:val="28"/>
        </w:rPr>
        <w:t xml:space="preserve"> the use of various </w:t>
      </w:r>
      <w:r w:rsidR="60DC7F27" w:rsidRPr="01F72ADF">
        <w:rPr>
          <w:color w:val="FF0000"/>
          <w:sz w:val="28"/>
          <w:szCs w:val="28"/>
        </w:rPr>
        <w:t>medications,</w:t>
      </w:r>
      <w:r w:rsidR="00E21DB3" w:rsidRPr="01F72ADF">
        <w:rPr>
          <w:sz w:val="28"/>
          <w:szCs w:val="28"/>
        </w:rPr>
        <w:t xml:space="preserve"> </w:t>
      </w:r>
      <w:r w:rsidRPr="01F72ADF">
        <w:rPr>
          <w:sz w:val="28"/>
          <w:szCs w:val="28"/>
        </w:rPr>
        <w:t>particularly those that damage the g</w:t>
      </w:r>
      <w:r w:rsidR="00E21DB3" w:rsidRPr="01F72ADF">
        <w:rPr>
          <w:sz w:val="28"/>
          <w:szCs w:val="28"/>
        </w:rPr>
        <w:t xml:space="preserve">astric mucosa or cause </w:t>
      </w:r>
      <w:r w:rsidR="429D2A9F" w:rsidRPr="01F72ADF">
        <w:rPr>
          <w:color w:val="FF0000"/>
          <w:sz w:val="28"/>
          <w:szCs w:val="28"/>
        </w:rPr>
        <w:t>bleeding,</w:t>
      </w:r>
      <w:r w:rsidR="00E21DB3" w:rsidRPr="01F72ADF">
        <w:rPr>
          <w:color w:val="FF0000"/>
          <w:sz w:val="28"/>
          <w:szCs w:val="28"/>
        </w:rPr>
        <w:t xml:space="preserve"> </w:t>
      </w:r>
      <w:r w:rsidRPr="01F72ADF">
        <w:rPr>
          <w:sz w:val="28"/>
          <w:szCs w:val="28"/>
        </w:rPr>
        <w:t xml:space="preserve">can increase the risk and severity of complications associated with </w:t>
      </w:r>
      <w:r w:rsidRPr="01F72ADF">
        <w:rPr>
          <w:i/>
          <w:iCs/>
          <w:sz w:val="28"/>
          <w:szCs w:val="28"/>
        </w:rPr>
        <w:t>H. pylori</w:t>
      </w:r>
      <w:r w:rsidRPr="01F72ADF">
        <w:rPr>
          <w:sz w:val="28"/>
          <w:szCs w:val="28"/>
        </w:rPr>
        <w:t xml:space="preserve"> infection. (Rugge</w:t>
      </w:r>
      <w:r w:rsidR="00DE31E5" w:rsidRPr="01F72ADF">
        <w:rPr>
          <w:sz w:val="28"/>
          <w:szCs w:val="28"/>
        </w:rPr>
        <w:t xml:space="preserve"> </w:t>
      </w:r>
      <w:r w:rsidRPr="01F72ADF">
        <w:rPr>
          <w:i/>
          <w:iCs/>
          <w:sz w:val="28"/>
          <w:szCs w:val="28"/>
        </w:rPr>
        <w:t>et al</w:t>
      </w:r>
      <w:r w:rsidRPr="01F72ADF">
        <w:rPr>
          <w:sz w:val="28"/>
          <w:szCs w:val="28"/>
        </w:rPr>
        <w:t>., 2008). Transmission most likely occurs from one person to another through oral–oral or fecal–oral pathways. Although the initial infection is often without symptoms, clinical manifestations and pathological changes typically develop later in life (</w:t>
      </w:r>
      <w:r w:rsidR="00972B8D" w:rsidRPr="01F72ADF">
        <w:rPr>
          <w:sz w:val="28"/>
          <w:szCs w:val="28"/>
        </w:rPr>
        <w:t>Owowo</w:t>
      </w:r>
      <w:r w:rsidR="00BA0A1B" w:rsidRPr="01F72ADF">
        <w:rPr>
          <w:sz w:val="28"/>
          <w:szCs w:val="28"/>
        </w:rPr>
        <w:t xml:space="preserve"> </w:t>
      </w:r>
      <w:r w:rsidR="00BA0A1B" w:rsidRPr="01F72ADF">
        <w:rPr>
          <w:i/>
          <w:iCs/>
          <w:sz w:val="28"/>
          <w:szCs w:val="28"/>
        </w:rPr>
        <w:t>et al.</w:t>
      </w:r>
      <w:r w:rsidR="00BA0A1B" w:rsidRPr="01F72ADF">
        <w:rPr>
          <w:sz w:val="28"/>
          <w:szCs w:val="28"/>
        </w:rPr>
        <w:t>, 2019</w:t>
      </w:r>
      <w:r w:rsidRPr="01F72ADF">
        <w:rPr>
          <w:sz w:val="28"/>
          <w:szCs w:val="28"/>
        </w:rPr>
        <w:t>).</w:t>
      </w:r>
    </w:p>
    <w:p w14:paraId="78868F40" w14:textId="7E50BF5B" w:rsidR="00910207" w:rsidRDefault="00910207" w:rsidP="00910207">
      <w:pPr>
        <w:pStyle w:val="Default"/>
        <w:spacing w:line="360" w:lineRule="auto"/>
        <w:jc w:val="both"/>
        <w:rPr>
          <w:sz w:val="28"/>
          <w:szCs w:val="28"/>
        </w:rPr>
      </w:pPr>
      <w:r w:rsidRPr="01F72ADF">
        <w:rPr>
          <w:sz w:val="28"/>
          <w:szCs w:val="28"/>
        </w:rPr>
        <w:t xml:space="preserve">Early detection and eradication of the organism can lead to long term healing of all H. pylori related infections (Cardaropoli </w:t>
      </w:r>
      <w:r w:rsidRPr="01F72ADF">
        <w:rPr>
          <w:i/>
          <w:iCs/>
          <w:sz w:val="28"/>
          <w:szCs w:val="28"/>
        </w:rPr>
        <w:t>et al</w:t>
      </w:r>
      <w:r w:rsidRPr="01F72ADF">
        <w:rPr>
          <w:sz w:val="28"/>
          <w:szCs w:val="28"/>
        </w:rPr>
        <w:t xml:space="preserve">., 2014). Hence, it is essential to assess the prevalence of </w:t>
      </w:r>
      <w:r w:rsidRPr="01F72ADF">
        <w:rPr>
          <w:i/>
          <w:iCs/>
          <w:sz w:val="28"/>
          <w:szCs w:val="28"/>
        </w:rPr>
        <w:t>H. pylori</w:t>
      </w:r>
      <w:r w:rsidRPr="01F72ADF">
        <w:rPr>
          <w:sz w:val="28"/>
          <w:szCs w:val="28"/>
        </w:rPr>
        <w:t xml:space="preserve"> infection among adults in Aba,</w:t>
      </w:r>
      <w:r w:rsidR="00BA0A1B" w:rsidRPr="01F72ADF">
        <w:rPr>
          <w:sz w:val="28"/>
          <w:szCs w:val="28"/>
        </w:rPr>
        <w:t xml:space="preserve"> </w:t>
      </w:r>
      <w:r w:rsidRPr="01F72ADF">
        <w:rPr>
          <w:sz w:val="28"/>
          <w:szCs w:val="28"/>
        </w:rPr>
        <w:t xml:space="preserve">Nigeria, </w:t>
      </w:r>
      <w:r w:rsidR="7BB86779" w:rsidRPr="01F72ADF">
        <w:rPr>
          <w:color w:val="FF0000"/>
          <w:sz w:val="28"/>
          <w:szCs w:val="28"/>
        </w:rPr>
        <w:t>to</w:t>
      </w:r>
      <w:r w:rsidRPr="01F72ADF">
        <w:rPr>
          <w:sz w:val="28"/>
          <w:szCs w:val="28"/>
        </w:rPr>
        <w:t xml:space="preserve"> help reduce the prevalence and impact of diseases associated with the infection.</w:t>
      </w:r>
    </w:p>
    <w:p w14:paraId="5D327D0A" w14:textId="77777777" w:rsidR="00910207" w:rsidRDefault="00910207" w:rsidP="00910207">
      <w:pPr>
        <w:pStyle w:val="Default"/>
        <w:spacing w:line="360" w:lineRule="auto"/>
        <w:rPr>
          <w:sz w:val="28"/>
          <w:szCs w:val="28"/>
        </w:rPr>
      </w:pPr>
    </w:p>
    <w:p w14:paraId="74F3CCF5" w14:textId="77777777" w:rsidR="006679A9" w:rsidRDefault="006679A9" w:rsidP="00910207">
      <w:pPr>
        <w:pStyle w:val="Default"/>
        <w:spacing w:line="360" w:lineRule="auto"/>
        <w:rPr>
          <w:b/>
          <w:bCs/>
          <w:sz w:val="28"/>
          <w:szCs w:val="28"/>
        </w:rPr>
      </w:pPr>
    </w:p>
    <w:p w14:paraId="480ADB86" w14:textId="77777777" w:rsidR="006679A9" w:rsidRDefault="006679A9" w:rsidP="00910207">
      <w:pPr>
        <w:pStyle w:val="Default"/>
        <w:spacing w:line="360" w:lineRule="auto"/>
        <w:rPr>
          <w:b/>
          <w:bCs/>
          <w:sz w:val="28"/>
          <w:szCs w:val="28"/>
        </w:rPr>
      </w:pPr>
    </w:p>
    <w:p w14:paraId="63947BB8" w14:textId="77777777" w:rsidR="006679A9" w:rsidRDefault="006679A9" w:rsidP="00910207">
      <w:pPr>
        <w:pStyle w:val="Default"/>
        <w:spacing w:line="360" w:lineRule="auto"/>
        <w:rPr>
          <w:b/>
          <w:bCs/>
          <w:sz w:val="28"/>
          <w:szCs w:val="28"/>
        </w:rPr>
      </w:pPr>
    </w:p>
    <w:p w14:paraId="525B2C17" w14:textId="77777777" w:rsidR="00910207" w:rsidRDefault="00910207" w:rsidP="00910207">
      <w:pPr>
        <w:pStyle w:val="Default"/>
        <w:spacing w:line="360" w:lineRule="auto"/>
        <w:rPr>
          <w:b/>
          <w:bCs/>
          <w:sz w:val="28"/>
          <w:szCs w:val="28"/>
        </w:rPr>
      </w:pPr>
      <w:r>
        <w:rPr>
          <w:b/>
          <w:bCs/>
          <w:sz w:val="28"/>
          <w:szCs w:val="28"/>
        </w:rPr>
        <w:t>2. MATERIALS AND METHOD</w:t>
      </w:r>
    </w:p>
    <w:p w14:paraId="0EB75DED" w14:textId="77777777" w:rsidR="00910207" w:rsidRDefault="00910207" w:rsidP="00910207">
      <w:pPr>
        <w:pStyle w:val="Default"/>
        <w:spacing w:line="360" w:lineRule="auto"/>
        <w:jc w:val="both"/>
        <w:rPr>
          <w:sz w:val="28"/>
          <w:szCs w:val="28"/>
        </w:rPr>
      </w:pPr>
      <w:r>
        <w:rPr>
          <w:b/>
          <w:bCs/>
          <w:sz w:val="28"/>
          <w:szCs w:val="28"/>
        </w:rPr>
        <w:t xml:space="preserve">2.1. STUDY DESIGN </w:t>
      </w:r>
    </w:p>
    <w:p w14:paraId="2B9B1255" w14:textId="77777777" w:rsidR="00910207" w:rsidRDefault="00910207" w:rsidP="00910207">
      <w:pPr>
        <w:pStyle w:val="Default"/>
        <w:spacing w:line="360" w:lineRule="auto"/>
        <w:jc w:val="both"/>
        <w:rPr>
          <w:sz w:val="28"/>
          <w:szCs w:val="28"/>
        </w:rPr>
      </w:pPr>
      <w:r>
        <w:rPr>
          <w:sz w:val="28"/>
          <w:szCs w:val="28"/>
        </w:rPr>
        <w:t xml:space="preserve">This is a cross-sectional study designed to evaluate the prevalence of </w:t>
      </w:r>
      <w:r>
        <w:rPr>
          <w:i/>
          <w:iCs/>
          <w:sz w:val="28"/>
          <w:szCs w:val="28"/>
        </w:rPr>
        <w:t xml:space="preserve">H. pylori </w:t>
      </w:r>
      <w:r>
        <w:rPr>
          <w:sz w:val="28"/>
          <w:szCs w:val="28"/>
        </w:rPr>
        <w:t>infection</w:t>
      </w:r>
      <w:r w:rsidR="00BB33B6">
        <w:rPr>
          <w:sz w:val="28"/>
          <w:szCs w:val="28"/>
        </w:rPr>
        <w:t xml:space="preserve"> </w:t>
      </w:r>
      <w:r>
        <w:rPr>
          <w:sz w:val="28"/>
          <w:szCs w:val="28"/>
        </w:rPr>
        <w:t>among adults</w:t>
      </w:r>
      <w:r w:rsidR="00BB33B6">
        <w:rPr>
          <w:sz w:val="28"/>
          <w:szCs w:val="28"/>
        </w:rPr>
        <w:t xml:space="preserve"> </w:t>
      </w:r>
      <w:r>
        <w:rPr>
          <w:sz w:val="28"/>
          <w:szCs w:val="28"/>
        </w:rPr>
        <w:t>in Aba, Nigeria.</w:t>
      </w:r>
    </w:p>
    <w:p w14:paraId="771B1A6C" w14:textId="77777777" w:rsidR="00910207" w:rsidRDefault="00910207" w:rsidP="00910207">
      <w:pPr>
        <w:pStyle w:val="Default"/>
        <w:spacing w:line="360" w:lineRule="auto"/>
        <w:jc w:val="both"/>
        <w:rPr>
          <w:b/>
          <w:sz w:val="28"/>
          <w:szCs w:val="28"/>
        </w:rPr>
      </w:pPr>
      <w:r>
        <w:rPr>
          <w:b/>
          <w:sz w:val="28"/>
          <w:szCs w:val="28"/>
        </w:rPr>
        <w:t>2.2. STUDY AREA</w:t>
      </w:r>
    </w:p>
    <w:p w14:paraId="65D18F61" w14:textId="731AFA58" w:rsidR="00910207" w:rsidRDefault="00910207" w:rsidP="00910207">
      <w:pPr>
        <w:pStyle w:val="Default"/>
        <w:spacing w:line="360" w:lineRule="auto"/>
        <w:jc w:val="both"/>
        <w:rPr>
          <w:sz w:val="28"/>
          <w:szCs w:val="28"/>
        </w:rPr>
      </w:pPr>
      <w:r w:rsidRPr="01F72ADF">
        <w:rPr>
          <w:sz w:val="28"/>
          <w:szCs w:val="28"/>
        </w:rPr>
        <w:t xml:space="preserve">This study was carried out in Aba, a major urban settlement and commercial hub in Abia State, Southeast Nigeria. Geographically, the city lies on approximately 5°07’ N latitude and 7°22’ E </w:t>
      </w:r>
      <w:r w:rsidR="3F202A4A" w:rsidRPr="01F72ADF">
        <w:rPr>
          <w:color w:val="FF0000"/>
          <w:sz w:val="28"/>
          <w:szCs w:val="28"/>
        </w:rPr>
        <w:t>longitude and</w:t>
      </w:r>
      <w:r w:rsidRPr="01F72ADF">
        <w:rPr>
          <w:sz w:val="28"/>
          <w:szCs w:val="28"/>
        </w:rPr>
        <w:t xml:space="preserve"> stands about 205 m above sea level. Aba comprises Aba North and Aba South Local Government Areas, forming a densely populated metropolis surrounded by small towns and villages. The city has an estimated population of about 1,189,000 (2023) and is recognized as the second-largest commercial city in Abia State, ranking 9</w:t>
      </w:r>
      <w:r w:rsidRPr="01F72ADF">
        <w:rPr>
          <w:sz w:val="28"/>
          <w:szCs w:val="28"/>
          <w:vertAlign w:val="superscript"/>
        </w:rPr>
        <w:t>th</w:t>
      </w:r>
      <w:r w:rsidRPr="01F72ADF">
        <w:rPr>
          <w:sz w:val="28"/>
          <w:szCs w:val="28"/>
        </w:rPr>
        <w:t xml:space="preserve"> nationally by population. The inhabitants are predominantly traders, artisans, farmers, and public or civil servants, reflecting its strong socio-economic and industrial activity. </w:t>
      </w:r>
    </w:p>
    <w:p w14:paraId="337656AE" w14:textId="77777777" w:rsidR="00910207" w:rsidRDefault="00910207" w:rsidP="00910207">
      <w:pPr>
        <w:pStyle w:val="Default"/>
        <w:spacing w:line="360" w:lineRule="auto"/>
        <w:jc w:val="both"/>
        <w:rPr>
          <w:sz w:val="28"/>
          <w:szCs w:val="28"/>
        </w:rPr>
      </w:pPr>
      <w:r>
        <w:rPr>
          <w:b/>
          <w:bCs/>
          <w:sz w:val="28"/>
          <w:szCs w:val="28"/>
        </w:rPr>
        <w:t xml:space="preserve">2.3. STUDY PUPOLATION </w:t>
      </w:r>
    </w:p>
    <w:p w14:paraId="5DE80DE7" w14:textId="4B488CBB" w:rsidR="00910207" w:rsidRDefault="00910207" w:rsidP="00910207">
      <w:pPr>
        <w:pStyle w:val="Default"/>
        <w:spacing w:line="360" w:lineRule="auto"/>
        <w:jc w:val="both"/>
        <w:rPr>
          <w:sz w:val="28"/>
          <w:szCs w:val="28"/>
        </w:rPr>
      </w:pPr>
      <w:r w:rsidRPr="01F72ADF">
        <w:rPr>
          <w:sz w:val="28"/>
          <w:szCs w:val="28"/>
        </w:rPr>
        <w:t>A total of one hundred and forty (140) blood samples were randomly collected from patients</w:t>
      </w:r>
      <w:r w:rsidR="006679A9" w:rsidRPr="01F72ADF">
        <w:rPr>
          <w:sz w:val="28"/>
          <w:szCs w:val="28"/>
        </w:rPr>
        <w:t xml:space="preserve"> </w:t>
      </w:r>
      <w:r w:rsidRPr="01F72ADF">
        <w:rPr>
          <w:sz w:val="28"/>
          <w:szCs w:val="28"/>
        </w:rPr>
        <w:t>attending</w:t>
      </w:r>
      <w:r w:rsidR="006679A9" w:rsidRPr="01F72ADF">
        <w:rPr>
          <w:sz w:val="28"/>
          <w:szCs w:val="28"/>
        </w:rPr>
        <w:t xml:space="preserve"> </w:t>
      </w:r>
      <w:r w:rsidRPr="01F72ADF">
        <w:rPr>
          <w:sz w:val="28"/>
          <w:szCs w:val="28"/>
        </w:rPr>
        <w:t xml:space="preserve">Abia </w:t>
      </w:r>
      <w:r w:rsidR="596D3564" w:rsidRPr="01F72ADF">
        <w:rPr>
          <w:color w:val="FF0000"/>
          <w:sz w:val="28"/>
          <w:szCs w:val="28"/>
        </w:rPr>
        <w:t>State</w:t>
      </w:r>
      <w:r w:rsidRPr="01F72ADF">
        <w:rPr>
          <w:sz w:val="28"/>
          <w:szCs w:val="28"/>
        </w:rPr>
        <w:t xml:space="preserve"> University Teaching Hospital, Aba. Verbal consent was obtained from each patient prior collection.</w:t>
      </w:r>
    </w:p>
    <w:p w14:paraId="2A6A35B4" w14:textId="77777777" w:rsidR="00910207" w:rsidRDefault="00910207" w:rsidP="00910207">
      <w:pPr>
        <w:pStyle w:val="Default"/>
        <w:spacing w:line="360" w:lineRule="auto"/>
        <w:jc w:val="both"/>
        <w:rPr>
          <w:sz w:val="28"/>
          <w:szCs w:val="28"/>
        </w:rPr>
      </w:pPr>
      <w:r>
        <w:rPr>
          <w:b/>
          <w:bCs/>
          <w:sz w:val="28"/>
          <w:szCs w:val="28"/>
        </w:rPr>
        <w:t xml:space="preserve">2.4. SAMPLE COLLECTION </w:t>
      </w:r>
    </w:p>
    <w:p w14:paraId="479B0B9D" w14:textId="7CCDEAAE" w:rsidR="00910207" w:rsidRDefault="00910207" w:rsidP="00910207">
      <w:pPr>
        <w:pStyle w:val="Default"/>
        <w:spacing w:line="360" w:lineRule="auto"/>
        <w:jc w:val="both"/>
        <w:rPr>
          <w:sz w:val="28"/>
          <w:szCs w:val="28"/>
        </w:rPr>
      </w:pPr>
      <w:r w:rsidRPr="01F72ADF">
        <w:rPr>
          <w:sz w:val="28"/>
          <w:szCs w:val="28"/>
        </w:rPr>
        <w:t xml:space="preserve">Two milliliters (2ml) of venous blood </w:t>
      </w:r>
      <w:r w:rsidR="54F1C3DA" w:rsidRPr="01F72ADF">
        <w:rPr>
          <w:color w:val="FF0000"/>
          <w:sz w:val="28"/>
          <w:szCs w:val="28"/>
        </w:rPr>
        <w:t>were</w:t>
      </w:r>
      <w:r w:rsidRPr="01F72ADF">
        <w:rPr>
          <w:color w:val="FF0000"/>
          <w:sz w:val="28"/>
          <w:szCs w:val="28"/>
        </w:rPr>
        <w:t xml:space="preserve"> </w:t>
      </w:r>
      <w:r w:rsidR="45013E0E" w:rsidRPr="01F72ADF">
        <w:rPr>
          <w:color w:val="FF0000"/>
          <w:sz w:val="28"/>
          <w:szCs w:val="28"/>
        </w:rPr>
        <w:t>aseptically</w:t>
      </w:r>
      <w:r w:rsidRPr="01F72ADF">
        <w:rPr>
          <w:sz w:val="28"/>
          <w:szCs w:val="28"/>
        </w:rPr>
        <w:t xml:space="preserve"> collected from each patient using a sterile syringe and needle into a clean, dry test tube without anticoagulant. Each sample collected was properly labeled with patients’ </w:t>
      </w:r>
      <w:r w:rsidR="265744A7" w:rsidRPr="01F72ADF">
        <w:rPr>
          <w:color w:val="FF0000"/>
          <w:sz w:val="28"/>
          <w:szCs w:val="28"/>
        </w:rPr>
        <w:t>names</w:t>
      </w:r>
      <w:r w:rsidRPr="01F72ADF">
        <w:rPr>
          <w:sz w:val="28"/>
          <w:szCs w:val="28"/>
        </w:rPr>
        <w:t xml:space="preserve"> and identification </w:t>
      </w:r>
      <w:r w:rsidR="45D1C997" w:rsidRPr="01F72ADF">
        <w:rPr>
          <w:color w:val="FF0000"/>
          <w:sz w:val="28"/>
          <w:szCs w:val="28"/>
        </w:rPr>
        <w:t>numbers</w:t>
      </w:r>
      <w:r w:rsidRPr="01F72ADF">
        <w:rPr>
          <w:sz w:val="28"/>
          <w:szCs w:val="28"/>
        </w:rPr>
        <w:t xml:space="preserve">. A questionnaire for their data (age, gender, symptoms, and occupation) was given to them to </w:t>
      </w:r>
      <w:r w:rsidR="4513DBEC" w:rsidRPr="01F72ADF">
        <w:rPr>
          <w:color w:val="FF0000"/>
          <w:sz w:val="28"/>
          <w:szCs w:val="28"/>
        </w:rPr>
        <w:t>fill,</w:t>
      </w:r>
      <w:r w:rsidRPr="01F72ADF">
        <w:rPr>
          <w:sz w:val="28"/>
          <w:szCs w:val="28"/>
        </w:rPr>
        <w:t xml:space="preserve"> and each sample was taken to the laboratory and used within an hour.</w:t>
      </w:r>
    </w:p>
    <w:p w14:paraId="22195BFB" w14:textId="77777777" w:rsidR="00910207" w:rsidRDefault="00910207" w:rsidP="00910207">
      <w:pPr>
        <w:pStyle w:val="Default"/>
        <w:spacing w:line="360" w:lineRule="auto"/>
        <w:jc w:val="both"/>
        <w:rPr>
          <w:b/>
          <w:bCs/>
          <w:sz w:val="28"/>
          <w:szCs w:val="28"/>
        </w:rPr>
      </w:pPr>
      <w:r>
        <w:rPr>
          <w:b/>
          <w:bCs/>
          <w:sz w:val="28"/>
          <w:szCs w:val="28"/>
        </w:rPr>
        <w:lastRenderedPageBreak/>
        <w:t xml:space="preserve">2.5. PROCESSION OF SAMPLES </w:t>
      </w:r>
    </w:p>
    <w:p w14:paraId="41EA6CC6" w14:textId="77F15CD8" w:rsidR="00910207" w:rsidRDefault="00910207" w:rsidP="00910207">
      <w:pPr>
        <w:pStyle w:val="Default"/>
        <w:spacing w:line="360" w:lineRule="auto"/>
        <w:jc w:val="both"/>
        <w:rPr>
          <w:sz w:val="28"/>
          <w:szCs w:val="28"/>
        </w:rPr>
      </w:pPr>
      <w:r w:rsidRPr="01F72ADF">
        <w:rPr>
          <w:sz w:val="28"/>
          <w:szCs w:val="28"/>
        </w:rPr>
        <w:t>After clotting and retraction, the blood sample was centrifuged at 3000rpm for 5 minutes. The resulting serum was removed. The detection of</w:t>
      </w:r>
      <w:r w:rsidRPr="01F72ADF">
        <w:rPr>
          <w:i/>
          <w:iCs/>
          <w:sz w:val="28"/>
          <w:szCs w:val="28"/>
        </w:rPr>
        <w:t xml:space="preserve"> Helicobacter pylori </w:t>
      </w:r>
      <w:r w:rsidRPr="01F72ADF">
        <w:rPr>
          <w:sz w:val="28"/>
          <w:szCs w:val="28"/>
        </w:rPr>
        <w:t xml:space="preserve">antibody was carried out using </w:t>
      </w:r>
      <w:r w:rsidRPr="01F72ADF">
        <w:rPr>
          <w:i/>
          <w:iCs/>
          <w:sz w:val="28"/>
          <w:szCs w:val="28"/>
        </w:rPr>
        <w:t>H. pylori</w:t>
      </w:r>
      <w:r w:rsidRPr="01F72ADF">
        <w:rPr>
          <w:sz w:val="28"/>
          <w:szCs w:val="28"/>
        </w:rPr>
        <w:t xml:space="preserve"> antibody Rapid Test Kits produced by </w:t>
      </w:r>
      <w:r w:rsidRPr="01F72ADF">
        <w:rPr>
          <w:b/>
          <w:bCs/>
          <w:sz w:val="28"/>
          <w:szCs w:val="28"/>
        </w:rPr>
        <w:t>Narrow-Care</w:t>
      </w:r>
      <w:r w:rsidRPr="01F72ADF">
        <w:rPr>
          <w:sz w:val="28"/>
          <w:szCs w:val="28"/>
        </w:rPr>
        <w:t xml:space="preserve">, LOT: 20241030. The material and specimens were brought to room temperature. The foil wrapped pouch was </w:t>
      </w:r>
      <w:r w:rsidR="003C1F73" w:rsidRPr="01F72ADF">
        <w:rPr>
          <w:color w:val="FF0000"/>
          <w:sz w:val="28"/>
          <w:szCs w:val="28"/>
        </w:rPr>
        <w:t>opened,</w:t>
      </w:r>
      <w:r w:rsidRPr="01F72ADF">
        <w:rPr>
          <w:sz w:val="28"/>
          <w:szCs w:val="28"/>
        </w:rPr>
        <w:t xml:space="preserve"> and the cassette removed and placed a flat clean surface. Holding the plastic pipette vertically, a drop of the serum sample was drawn into the specimen well. The result was read in fifteen (15) minutes. Cassettes was disposed safely after </w:t>
      </w:r>
      <w:r w:rsidR="1C854D20" w:rsidRPr="01F72ADF">
        <w:rPr>
          <w:color w:val="FF0000"/>
          <w:sz w:val="28"/>
          <w:szCs w:val="28"/>
        </w:rPr>
        <w:t>testing,</w:t>
      </w:r>
      <w:r w:rsidRPr="01F72ADF">
        <w:rPr>
          <w:sz w:val="28"/>
          <w:szCs w:val="28"/>
        </w:rPr>
        <w:t xml:space="preserve"> and this was done for one hundred and forty (140) subjects.</w:t>
      </w:r>
    </w:p>
    <w:p w14:paraId="595BB16F" w14:textId="7E419FF2" w:rsidR="00910207" w:rsidRDefault="00910207" w:rsidP="00910207">
      <w:pPr>
        <w:pStyle w:val="Default"/>
        <w:spacing w:line="360" w:lineRule="auto"/>
        <w:jc w:val="both"/>
        <w:rPr>
          <w:sz w:val="28"/>
          <w:szCs w:val="28"/>
        </w:rPr>
      </w:pPr>
      <w:r w:rsidRPr="01F72ADF">
        <w:rPr>
          <w:b/>
          <w:bCs/>
          <w:sz w:val="28"/>
          <w:szCs w:val="28"/>
        </w:rPr>
        <w:t xml:space="preserve">Principle and interpretation of results: </w:t>
      </w:r>
      <w:r w:rsidRPr="01F72ADF">
        <w:rPr>
          <w:sz w:val="28"/>
          <w:szCs w:val="28"/>
        </w:rPr>
        <w:t xml:space="preserve">The </w:t>
      </w:r>
      <w:r w:rsidRPr="01F72ADF">
        <w:rPr>
          <w:i/>
          <w:iCs/>
          <w:sz w:val="28"/>
          <w:szCs w:val="28"/>
        </w:rPr>
        <w:t>H. pylori</w:t>
      </w:r>
      <w:r w:rsidRPr="01F72ADF">
        <w:rPr>
          <w:sz w:val="28"/>
          <w:szCs w:val="28"/>
        </w:rPr>
        <w:t xml:space="preserve"> rapid test is a lateral flow, qualitative membrane </w:t>
      </w:r>
      <w:r w:rsidR="6433CF83" w:rsidRPr="01F72ADF">
        <w:rPr>
          <w:color w:val="FF0000"/>
          <w:sz w:val="28"/>
          <w:szCs w:val="28"/>
        </w:rPr>
        <w:t>strip-based</w:t>
      </w:r>
      <w:r w:rsidRPr="01F72ADF">
        <w:rPr>
          <w:sz w:val="28"/>
          <w:szCs w:val="28"/>
        </w:rPr>
        <w:t xml:space="preserve"> immunoassay for the detection of </w:t>
      </w:r>
      <w:r w:rsidRPr="01F72ADF">
        <w:rPr>
          <w:i/>
          <w:iCs/>
          <w:sz w:val="28"/>
          <w:szCs w:val="28"/>
        </w:rPr>
        <w:t xml:space="preserve">H. pylori </w:t>
      </w:r>
      <w:r w:rsidRPr="01F72ADF">
        <w:rPr>
          <w:sz w:val="28"/>
          <w:szCs w:val="28"/>
        </w:rPr>
        <w:t xml:space="preserve">antibodies in whole blood, serum or plasma. After sample is placed in the specimen well, it reacts with the </w:t>
      </w:r>
      <w:r w:rsidRPr="01F72ADF">
        <w:rPr>
          <w:i/>
          <w:iCs/>
          <w:sz w:val="28"/>
          <w:szCs w:val="28"/>
        </w:rPr>
        <w:t xml:space="preserve">H. pylori </w:t>
      </w:r>
      <w:r w:rsidRPr="01F72ADF">
        <w:rPr>
          <w:sz w:val="28"/>
          <w:szCs w:val="28"/>
        </w:rPr>
        <w:t xml:space="preserve">antigen coated particles in the test kit. If the specimen does not contain </w:t>
      </w:r>
      <w:r w:rsidRPr="01F72ADF">
        <w:rPr>
          <w:i/>
          <w:iCs/>
          <w:sz w:val="28"/>
          <w:szCs w:val="28"/>
        </w:rPr>
        <w:t xml:space="preserve">H. pylori </w:t>
      </w:r>
      <w:r w:rsidRPr="01F72ADF">
        <w:rPr>
          <w:sz w:val="28"/>
          <w:szCs w:val="28"/>
        </w:rPr>
        <w:t xml:space="preserve">antibodies, only one colored band will appear on the control region of the cassette, indicating a negative result. If the specimen contains </w:t>
      </w:r>
      <w:r w:rsidR="76B07559" w:rsidRPr="01F72ADF">
        <w:rPr>
          <w:color w:val="FF0000"/>
          <w:sz w:val="28"/>
          <w:szCs w:val="28"/>
        </w:rPr>
        <w:t>a detectable</w:t>
      </w:r>
      <w:r w:rsidRPr="01F72ADF">
        <w:rPr>
          <w:color w:val="FF0000"/>
          <w:sz w:val="28"/>
          <w:szCs w:val="28"/>
        </w:rPr>
        <w:t xml:space="preserve"> </w:t>
      </w:r>
      <w:r w:rsidRPr="01F72ADF">
        <w:rPr>
          <w:sz w:val="28"/>
          <w:szCs w:val="28"/>
        </w:rPr>
        <w:t xml:space="preserve">amount of </w:t>
      </w:r>
      <w:r w:rsidRPr="01F72ADF">
        <w:rPr>
          <w:i/>
          <w:iCs/>
          <w:sz w:val="28"/>
          <w:szCs w:val="28"/>
        </w:rPr>
        <w:t xml:space="preserve">H. pylori </w:t>
      </w:r>
      <w:r w:rsidRPr="01F72ADF">
        <w:rPr>
          <w:sz w:val="28"/>
          <w:szCs w:val="28"/>
        </w:rPr>
        <w:t xml:space="preserve">antibodies, one colored band will appear on the control region and another on the test region of the cassette, indicating a positive result. To serve as a practical </w:t>
      </w:r>
      <w:r w:rsidR="288CC004" w:rsidRPr="01F72ADF">
        <w:rPr>
          <w:color w:val="FF0000"/>
          <w:sz w:val="28"/>
          <w:szCs w:val="28"/>
        </w:rPr>
        <w:t>procedure of</w:t>
      </w:r>
      <w:r w:rsidRPr="01F72ADF">
        <w:rPr>
          <w:sz w:val="28"/>
          <w:szCs w:val="28"/>
        </w:rPr>
        <w:t xml:space="preserve"> control, a colored line will appear in the control (C) region. If there is no appearance of any colored band on the control region of the cassette, this is an indication of possible error in performing the test. The test was repeated using a new device. The color intensity will depend on the concentration of </w:t>
      </w:r>
      <w:r w:rsidRPr="01F72ADF">
        <w:rPr>
          <w:i/>
          <w:iCs/>
          <w:sz w:val="28"/>
          <w:szCs w:val="28"/>
        </w:rPr>
        <w:t>H. pylori</w:t>
      </w:r>
      <w:r w:rsidRPr="01F72ADF">
        <w:rPr>
          <w:sz w:val="28"/>
          <w:szCs w:val="28"/>
        </w:rPr>
        <w:t xml:space="preserve"> antibody present in the sample.</w:t>
      </w:r>
    </w:p>
    <w:p w14:paraId="2DB2D06F" w14:textId="77777777" w:rsidR="00910207" w:rsidRDefault="00910207" w:rsidP="00910207">
      <w:pPr>
        <w:pStyle w:val="Default"/>
        <w:spacing w:line="360" w:lineRule="auto"/>
        <w:jc w:val="both"/>
        <w:rPr>
          <w:sz w:val="28"/>
          <w:szCs w:val="28"/>
        </w:rPr>
      </w:pPr>
      <w:r>
        <w:rPr>
          <w:b/>
          <w:bCs/>
          <w:sz w:val="28"/>
          <w:szCs w:val="28"/>
        </w:rPr>
        <w:t xml:space="preserve">2.6. STATISTICAL ANALYSIS </w:t>
      </w:r>
    </w:p>
    <w:p w14:paraId="3FF2F563" w14:textId="4BADE7B9" w:rsidR="00910207" w:rsidRDefault="00910207" w:rsidP="00396633">
      <w:pPr>
        <w:spacing w:line="360" w:lineRule="auto"/>
        <w:jc w:val="both"/>
        <w:rPr>
          <w:rFonts w:ascii="Times New Roman" w:hAnsi="Times New Roman" w:cs="Times New Roman"/>
          <w:sz w:val="28"/>
          <w:szCs w:val="28"/>
        </w:rPr>
      </w:pPr>
      <w:r w:rsidRPr="01F72ADF">
        <w:rPr>
          <w:rFonts w:ascii="Times New Roman" w:hAnsi="Times New Roman" w:cs="Times New Roman"/>
          <w:sz w:val="28"/>
          <w:szCs w:val="28"/>
        </w:rPr>
        <w:t xml:space="preserve">Descriptive statistics (percentages) </w:t>
      </w:r>
      <w:r w:rsidR="5A1FF5C7" w:rsidRPr="01F72ADF">
        <w:rPr>
          <w:rFonts w:ascii="Times New Roman" w:hAnsi="Times New Roman" w:cs="Times New Roman"/>
          <w:color w:val="FF0000"/>
          <w:sz w:val="28"/>
          <w:szCs w:val="28"/>
        </w:rPr>
        <w:t>were</w:t>
      </w:r>
      <w:r w:rsidRPr="01F72ADF">
        <w:rPr>
          <w:rFonts w:ascii="Times New Roman" w:hAnsi="Times New Roman" w:cs="Times New Roman"/>
          <w:sz w:val="28"/>
          <w:szCs w:val="28"/>
        </w:rPr>
        <w:t xml:space="preserve"> used to summarize the data and presented in </w:t>
      </w:r>
      <w:r w:rsidR="00972B8D" w:rsidRPr="01F72ADF">
        <w:rPr>
          <w:rFonts w:ascii="Times New Roman" w:hAnsi="Times New Roman" w:cs="Times New Roman"/>
          <w:sz w:val="28"/>
          <w:szCs w:val="28"/>
        </w:rPr>
        <w:t xml:space="preserve">tables. </w:t>
      </w:r>
      <w:r w:rsidR="5AFFB1B9" w:rsidRPr="01F72ADF">
        <w:rPr>
          <w:rFonts w:ascii="Times New Roman" w:hAnsi="Times New Roman" w:cs="Times New Roman"/>
          <w:color w:val="FF0000"/>
          <w:sz w:val="28"/>
          <w:szCs w:val="28"/>
        </w:rPr>
        <w:t>The chi</w:t>
      </w:r>
      <w:r w:rsidR="00972B8D" w:rsidRPr="01F72ADF">
        <w:rPr>
          <w:rFonts w:ascii="Times New Roman" w:hAnsi="Times New Roman" w:cs="Times New Roman"/>
          <w:color w:val="FF0000"/>
          <w:sz w:val="28"/>
          <w:szCs w:val="28"/>
        </w:rPr>
        <w:t>-square</w:t>
      </w:r>
      <w:r w:rsidR="00972B8D" w:rsidRPr="01F72ADF">
        <w:rPr>
          <w:rFonts w:ascii="Times New Roman" w:hAnsi="Times New Roman" w:cs="Times New Roman"/>
          <w:sz w:val="28"/>
          <w:szCs w:val="28"/>
        </w:rPr>
        <w:t xml:space="preserve"> test was</w:t>
      </w:r>
      <w:r w:rsidRPr="01F72ADF">
        <w:rPr>
          <w:rFonts w:ascii="Times New Roman" w:hAnsi="Times New Roman" w:cs="Times New Roman"/>
          <w:sz w:val="28"/>
          <w:szCs w:val="28"/>
        </w:rPr>
        <w:t xml:space="preserve"> used to assess associations between categorical variables. The level of statistical significance was taken as p≤ 0.05.</w:t>
      </w:r>
    </w:p>
    <w:p w14:paraId="66BCA03E" w14:textId="77777777" w:rsidR="00910207" w:rsidRDefault="00910207" w:rsidP="00910207">
      <w:pPr>
        <w:pStyle w:val="Default"/>
        <w:spacing w:line="360" w:lineRule="auto"/>
        <w:rPr>
          <w:b/>
          <w:sz w:val="28"/>
          <w:szCs w:val="28"/>
        </w:rPr>
      </w:pPr>
    </w:p>
    <w:p w14:paraId="6D5C5D16" w14:textId="77777777" w:rsidR="00396633" w:rsidRDefault="00396633" w:rsidP="00910207">
      <w:pPr>
        <w:pStyle w:val="Default"/>
        <w:spacing w:line="360" w:lineRule="auto"/>
        <w:rPr>
          <w:b/>
          <w:sz w:val="28"/>
          <w:szCs w:val="28"/>
        </w:rPr>
      </w:pPr>
    </w:p>
    <w:p w14:paraId="0B6C0AC8" w14:textId="77777777" w:rsidR="00396633" w:rsidRDefault="00396633" w:rsidP="00910207">
      <w:pPr>
        <w:pStyle w:val="Default"/>
        <w:spacing w:line="360" w:lineRule="auto"/>
        <w:rPr>
          <w:b/>
          <w:sz w:val="28"/>
          <w:szCs w:val="28"/>
        </w:rPr>
      </w:pPr>
    </w:p>
    <w:p w14:paraId="4AE662D0" w14:textId="77777777" w:rsidR="00910207" w:rsidRDefault="00910207" w:rsidP="00910207">
      <w:pPr>
        <w:pStyle w:val="Default"/>
        <w:numPr>
          <w:ilvl w:val="0"/>
          <w:numId w:val="2"/>
        </w:numPr>
        <w:spacing w:line="360" w:lineRule="auto"/>
        <w:rPr>
          <w:b/>
          <w:sz w:val="28"/>
          <w:szCs w:val="28"/>
        </w:rPr>
      </w:pPr>
      <w:r>
        <w:rPr>
          <w:b/>
          <w:sz w:val="28"/>
          <w:szCs w:val="28"/>
        </w:rPr>
        <w:t>RESULTS</w:t>
      </w:r>
    </w:p>
    <w:p w14:paraId="03699C55" w14:textId="77777777" w:rsidR="00910207" w:rsidRDefault="00910207" w:rsidP="00BB33B6">
      <w:pPr>
        <w:pStyle w:val="Default"/>
        <w:numPr>
          <w:ilvl w:val="1"/>
          <w:numId w:val="2"/>
        </w:numPr>
        <w:spacing w:line="360" w:lineRule="auto"/>
        <w:ind w:left="0" w:firstLine="0"/>
        <w:jc w:val="both"/>
        <w:rPr>
          <w:b/>
          <w:sz w:val="28"/>
          <w:szCs w:val="28"/>
        </w:rPr>
      </w:pPr>
      <w:r>
        <w:rPr>
          <w:b/>
          <w:sz w:val="28"/>
          <w:szCs w:val="28"/>
        </w:rPr>
        <w:t xml:space="preserve">AGE SPECIFIC DISTRIBUTION OF </w:t>
      </w:r>
      <w:r>
        <w:rPr>
          <w:b/>
          <w:i/>
          <w:sz w:val="28"/>
          <w:szCs w:val="28"/>
        </w:rPr>
        <w:t>HELICOBACTER PYLORI</w:t>
      </w:r>
      <w:r>
        <w:rPr>
          <w:b/>
          <w:sz w:val="28"/>
          <w:szCs w:val="28"/>
        </w:rPr>
        <w:t xml:space="preserve"> AMONG SUBJECTS ANALYZED.</w:t>
      </w:r>
    </w:p>
    <w:p w14:paraId="059F2965" w14:textId="77777777" w:rsidR="00910207" w:rsidRDefault="00910207" w:rsidP="00BB33B6">
      <w:pPr>
        <w:pStyle w:val="Default"/>
        <w:spacing w:line="360" w:lineRule="auto"/>
        <w:jc w:val="both"/>
        <w:rPr>
          <w:sz w:val="28"/>
          <w:szCs w:val="28"/>
        </w:rPr>
      </w:pPr>
      <w:r>
        <w:rPr>
          <w:sz w:val="28"/>
          <w:szCs w:val="28"/>
        </w:rPr>
        <w:t xml:space="preserve">The number of subjects whose blood samples were analyzed for </w:t>
      </w:r>
      <w:r>
        <w:rPr>
          <w:i/>
          <w:sz w:val="28"/>
          <w:szCs w:val="28"/>
        </w:rPr>
        <w:t>Helicobacter pylori</w:t>
      </w:r>
      <w:r>
        <w:rPr>
          <w:sz w:val="28"/>
          <w:szCs w:val="28"/>
        </w:rPr>
        <w:t xml:space="preserve"> antibodies was one hundred and forty (140). Their age ranged from 20-75years, with an average age of 43.4years and a standard deviation (SD) of 43.4±15.7years. Table 1 shows that the highest rate of </w:t>
      </w:r>
      <w:r>
        <w:rPr>
          <w:i/>
          <w:sz w:val="28"/>
          <w:szCs w:val="28"/>
        </w:rPr>
        <w:t>H. pylori</w:t>
      </w:r>
      <w:r>
        <w:rPr>
          <w:sz w:val="28"/>
          <w:szCs w:val="28"/>
        </w:rPr>
        <w:t xml:space="preserve"> infection was among the age group 38-43 years (75.0%) followed by the age group 50-55 years (66.7%). Age group 20-25 years recorded the least prevalence (27.3%).</w:t>
      </w:r>
    </w:p>
    <w:p w14:paraId="4603CA3A" w14:textId="77777777" w:rsidR="00DE31E5" w:rsidRDefault="00DE31E5" w:rsidP="00DE31E5">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1: AGE SPECIFIC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ANALYZED</w:t>
      </w:r>
    </w:p>
    <w:p w14:paraId="1A71F84D" w14:textId="77777777" w:rsidR="00DE31E5" w:rsidRDefault="00DE31E5" w:rsidP="00DE31E5">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9498" w:type="dxa"/>
        <w:tblInd w:w="-176" w:type="dxa"/>
        <w:tblLook w:val="04A0" w:firstRow="1" w:lastRow="0" w:firstColumn="1" w:lastColumn="0" w:noHBand="0" w:noVBand="1"/>
      </w:tblPr>
      <w:tblGrid>
        <w:gridCol w:w="9498"/>
      </w:tblGrid>
      <w:tr w:rsidR="00DE31E5" w14:paraId="00D782FA" w14:textId="77777777" w:rsidTr="01F72ADF">
        <w:tc>
          <w:tcPr>
            <w:tcW w:w="9498" w:type="dxa"/>
            <w:tcBorders>
              <w:top w:val="single" w:sz="4" w:space="0" w:color="auto"/>
              <w:left w:val="nil"/>
              <w:bottom w:val="single" w:sz="4" w:space="0" w:color="auto"/>
              <w:right w:val="nil"/>
            </w:tcBorders>
            <w:hideMark/>
          </w:tcPr>
          <w:p w14:paraId="214F64A9" w14:textId="77777777" w:rsidR="00DE31E5" w:rsidRDefault="00DE31E5" w:rsidP="01F72ADF">
            <w:pPr>
              <w:tabs>
                <w:tab w:val="left" w:pos="2019"/>
              </w:tabs>
              <w:ind w:left="176"/>
              <w:rPr>
                <w:rFonts w:ascii="Times New Roman" w:hAnsi="Times New Roman" w:cs="Times New Roman"/>
                <w:b/>
                <w:bCs/>
                <w:sz w:val="28"/>
                <w:szCs w:val="28"/>
              </w:rPr>
            </w:pPr>
            <w:r w:rsidRPr="01F72ADF">
              <w:rPr>
                <w:rFonts w:ascii="Times New Roman" w:hAnsi="Times New Roman" w:cs="Times New Roman"/>
                <w:b/>
                <w:bCs/>
                <w:sz w:val="28"/>
                <w:szCs w:val="28"/>
              </w:rPr>
              <w:t xml:space="preserve">Age groups    No. examined   No. (%) Positive for      No. (%) </w:t>
            </w:r>
            <w:bookmarkStart w:id="2" w:name="_Int_tDArnqAo"/>
            <w:r w:rsidRPr="01F72ADF">
              <w:rPr>
                <w:rFonts w:ascii="Times New Roman" w:hAnsi="Times New Roman" w:cs="Times New Roman"/>
                <w:b/>
                <w:bCs/>
                <w:sz w:val="28"/>
                <w:szCs w:val="28"/>
              </w:rPr>
              <w:t>Negative  for</w:t>
            </w:r>
            <w:bookmarkEnd w:id="2"/>
          </w:p>
          <w:p w14:paraId="7DD57431" w14:textId="77777777" w:rsidR="00DE31E5" w:rsidRDefault="00DE31E5" w:rsidP="00DE31E5">
            <w:pPr>
              <w:tabs>
                <w:tab w:val="left" w:pos="2019"/>
              </w:tabs>
              <w:ind w:left="176"/>
              <w:rPr>
                <w:rFonts w:ascii="Times New Roman" w:hAnsi="Times New Roman" w:cs="Times New Roman"/>
                <w:b/>
                <w:sz w:val="28"/>
                <w:szCs w:val="28"/>
              </w:rPr>
            </w:pPr>
            <w:r>
              <w:rPr>
                <w:rFonts w:ascii="Times New Roman" w:hAnsi="Times New Roman" w:cs="Times New Roman"/>
                <w:b/>
                <w:i/>
                <w:sz w:val="28"/>
                <w:szCs w:val="28"/>
              </w:rPr>
              <w:t xml:space="preserve">                                                  H. pylori                         H. pylori</w:t>
            </w:r>
            <w:r>
              <w:rPr>
                <w:rFonts w:ascii="Times New Roman" w:hAnsi="Times New Roman" w:cs="Times New Roman"/>
                <w:b/>
                <w:sz w:val="28"/>
                <w:szCs w:val="28"/>
              </w:rPr>
              <w:t xml:space="preserve">       </w:t>
            </w:r>
            <w:r>
              <w:rPr>
                <w:rFonts w:ascii="Times New Roman" w:hAnsi="Times New Roman" w:cs="Times New Roman"/>
                <w:b/>
                <w:i/>
                <w:sz w:val="28"/>
                <w:szCs w:val="28"/>
              </w:rPr>
              <w:t xml:space="preserve">                                                                     </w:t>
            </w:r>
          </w:p>
        </w:tc>
      </w:tr>
      <w:tr w:rsidR="00DE31E5" w14:paraId="206710F0" w14:textId="77777777" w:rsidTr="01F72ADF">
        <w:trPr>
          <w:trHeight w:val="1941"/>
        </w:trPr>
        <w:tc>
          <w:tcPr>
            <w:tcW w:w="9498" w:type="dxa"/>
            <w:tcBorders>
              <w:top w:val="single" w:sz="4" w:space="0" w:color="auto"/>
              <w:left w:val="nil"/>
              <w:bottom w:val="single" w:sz="4" w:space="0" w:color="auto"/>
              <w:right w:val="nil"/>
            </w:tcBorders>
            <w:hideMark/>
          </w:tcPr>
          <w:p w14:paraId="66C8580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20-25                   22                    6(27.3)                           16(72.7)</w:t>
            </w:r>
          </w:p>
          <w:p w14:paraId="2EE51E7E"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26-31                   18                   10(55.6)                            8(44.4)</w:t>
            </w:r>
          </w:p>
          <w:p w14:paraId="26CF9DF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32-37                   24                   12(50.0)                          12(50.0)</w:t>
            </w:r>
          </w:p>
          <w:p w14:paraId="05EAFC0C"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38-43                    8                     6(75.0)                             2(25.0)</w:t>
            </w:r>
          </w:p>
          <w:p w14:paraId="22D4158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44-49                   10                    4(40.0)                             6(60.0)</w:t>
            </w:r>
          </w:p>
          <w:p w14:paraId="3D49B1BB"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50-55                   24                   16(66.7)                            8(33.3)</w:t>
            </w:r>
          </w:p>
          <w:p w14:paraId="4F3431CB" w14:textId="77777777" w:rsidR="00DE31E5" w:rsidRDefault="00DE31E5" w:rsidP="00DE31E5">
            <w:pPr>
              <w:tabs>
                <w:tab w:val="left" w:pos="2552"/>
              </w:tabs>
              <w:autoSpaceDE w:val="0"/>
              <w:autoSpaceDN w:val="0"/>
              <w:adjustRightInd w:val="0"/>
              <w:spacing w:after="200" w:line="400" w:lineRule="atLeast"/>
              <w:ind w:left="176"/>
              <w:rPr>
                <w:rFonts w:ascii="Times New Roman" w:hAnsi="Times New Roman" w:cs="Times New Roman"/>
                <w:sz w:val="28"/>
                <w:szCs w:val="28"/>
              </w:rPr>
            </w:pPr>
            <w:r>
              <w:rPr>
                <w:rFonts w:ascii="Times New Roman" w:hAnsi="Times New Roman" w:cs="Times New Roman"/>
                <w:color w:val="000000"/>
                <w:sz w:val="28"/>
                <w:szCs w:val="28"/>
              </w:rPr>
              <w:t>≥56                      34                   18</w:t>
            </w:r>
            <w:r>
              <w:rPr>
                <w:rFonts w:ascii="Times New Roman" w:hAnsi="Times New Roman" w:cs="Times New Roman"/>
                <w:sz w:val="28"/>
                <w:szCs w:val="28"/>
              </w:rPr>
              <w:t>(52.9)                           16(47.1)</w:t>
            </w:r>
          </w:p>
        </w:tc>
      </w:tr>
      <w:tr w:rsidR="00DE31E5" w14:paraId="3157C90E" w14:textId="77777777" w:rsidTr="01F72ADF">
        <w:tc>
          <w:tcPr>
            <w:tcW w:w="9498" w:type="dxa"/>
            <w:tcBorders>
              <w:top w:val="single" w:sz="4" w:space="0" w:color="auto"/>
              <w:left w:val="nil"/>
              <w:bottom w:val="nil"/>
              <w:right w:val="nil"/>
            </w:tcBorders>
            <w:hideMark/>
          </w:tcPr>
          <w:p w14:paraId="2D019903" w14:textId="77777777" w:rsidR="00DE31E5" w:rsidRDefault="00DE31E5" w:rsidP="00DE31E5">
            <w:pPr>
              <w:tabs>
                <w:tab w:val="left" w:pos="2552"/>
              </w:tabs>
              <w:spacing w:after="200" w:line="276" w:lineRule="auto"/>
              <w:ind w:left="176"/>
              <w:rPr>
                <w:rFonts w:ascii="Times New Roman" w:hAnsi="Times New Roman" w:cs="Times New Roman"/>
                <w:sz w:val="28"/>
                <w:szCs w:val="28"/>
              </w:rPr>
            </w:pPr>
            <w:r>
              <w:rPr>
                <w:rFonts w:ascii="Times New Roman" w:hAnsi="Times New Roman" w:cs="Times New Roman"/>
                <w:sz w:val="28"/>
                <w:szCs w:val="28"/>
              </w:rPr>
              <w:t>Total                  140                   72(51.4)                          68(48.6)</w:t>
            </w:r>
          </w:p>
        </w:tc>
      </w:tr>
    </w:tbl>
    <w:p w14:paraId="0FC8E412" w14:textId="77777777" w:rsidR="00DE31E5" w:rsidRDefault="00DE31E5" w:rsidP="00BB33B6">
      <w:pPr>
        <w:pStyle w:val="Default"/>
        <w:spacing w:line="360" w:lineRule="auto"/>
        <w:jc w:val="both"/>
        <w:rPr>
          <w:sz w:val="28"/>
          <w:szCs w:val="28"/>
        </w:rPr>
      </w:pPr>
    </w:p>
    <w:p w14:paraId="28E2530B" w14:textId="77777777" w:rsidR="00910207" w:rsidRDefault="00910207" w:rsidP="00910207">
      <w:pPr>
        <w:pStyle w:val="Default"/>
        <w:numPr>
          <w:ilvl w:val="1"/>
          <w:numId w:val="2"/>
        </w:numPr>
        <w:spacing w:line="360" w:lineRule="auto"/>
        <w:jc w:val="both"/>
        <w:rPr>
          <w:b/>
          <w:sz w:val="28"/>
          <w:szCs w:val="28"/>
        </w:rPr>
      </w:pPr>
      <w:r>
        <w:rPr>
          <w:b/>
          <w:sz w:val="28"/>
          <w:szCs w:val="28"/>
        </w:rPr>
        <w:t xml:space="preserve">GENDER DISTRIBUTION OF </w:t>
      </w:r>
      <w:r>
        <w:rPr>
          <w:b/>
          <w:i/>
          <w:sz w:val="28"/>
          <w:szCs w:val="28"/>
        </w:rPr>
        <w:t xml:space="preserve">HELICOBACTER PYLORI </w:t>
      </w:r>
      <w:r>
        <w:rPr>
          <w:b/>
          <w:sz w:val="28"/>
          <w:szCs w:val="28"/>
        </w:rPr>
        <w:t>SUBJECTS ANAYZED.</w:t>
      </w:r>
    </w:p>
    <w:p w14:paraId="0D9891EF" w14:textId="77777777" w:rsidR="00910207" w:rsidRDefault="00910207" w:rsidP="00BB33B6">
      <w:pPr>
        <w:pStyle w:val="Default"/>
        <w:spacing w:line="360" w:lineRule="auto"/>
        <w:jc w:val="both"/>
        <w:rPr>
          <w:sz w:val="28"/>
          <w:szCs w:val="28"/>
        </w:rPr>
      </w:pPr>
      <w:r>
        <w:rPr>
          <w:sz w:val="28"/>
          <w:szCs w:val="28"/>
        </w:rPr>
        <w:t xml:space="preserve">Out of one hundred and forty (140) subjects whose samples were analyzed, eighty (80) were females and sixty (60) were males. </w:t>
      </w:r>
      <w:r>
        <w:rPr>
          <w:i/>
          <w:sz w:val="28"/>
          <w:szCs w:val="28"/>
        </w:rPr>
        <w:t xml:space="preserve">H. pylori </w:t>
      </w:r>
      <w:r>
        <w:rPr>
          <w:sz w:val="28"/>
          <w:szCs w:val="28"/>
        </w:rPr>
        <w:t>infection was higher in males (53.3%) than in females (50%) as shown in table 2.</w:t>
      </w:r>
    </w:p>
    <w:p w14:paraId="3123357F"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2EC82167"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4EB64535"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4189E576"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6234A639"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2: GENDER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ANALYZED</w:t>
      </w:r>
    </w:p>
    <w:p w14:paraId="18D9C80E"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242"/>
      </w:tblGrid>
      <w:tr w:rsidR="00396633" w14:paraId="24F7CF6B" w14:textId="77777777" w:rsidTr="004B3DAA">
        <w:tc>
          <w:tcPr>
            <w:tcW w:w="9242" w:type="dxa"/>
            <w:tcBorders>
              <w:top w:val="single" w:sz="4" w:space="0" w:color="auto"/>
              <w:left w:val="nil"/>
              <w:bottom w:val="single" w:sz="4" w:space="0" w:color="auto"/>
              <w:right w:val="nil"/>
            </w:tcBorders>
            <w:hideMark/>
          </w:tcPr>
          <w:p w14:paraId="75DC7169" w14:textId="77777777" w:rsidR="00396633" w:rsidRDefault="00396633" w:rsidP="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Gender     No.  Examined     No. (%) Positive for       No. (%) Negative for     </w:t>
            </w:r>
            <w:r>
              <w:rPr>
                <w:rFonts w:ascii="Times New Roman" w:hAnsi="Times New Roman" w:cs="Times New Roman"/>
                <w:b/>
                <w:color w:val="FFFFFF"/>
                <w:sz w:val="28"/>
                <w:szCs w:val="28"/>
              </w:rPr>
              <w:t>.</w:t>
            </w:r>
            <w:r>
              <w:rPr>
                <w:rFonts w:ascii="Times New Roman" w:hAnsi="Times New Roman" w:cs="Times New Roman"/>
                <w:b/>
                <w:sz w:val="28"/>
                <w:szCs w:val="28"/>
              </w:rPr>
              <w:t xml:space="preserve">                                                </w:t>
            </w:r>
            <w:r>
              <w:rPr>
                <w:rFonts w:ascii="Times New Roman" w:hAnsi="Times New Roman" w:cs="Times New Roman"/>
                <w:b/>
                <w:i/>
                <w:sz w:val="28"/>
                <w:szCs w:val="28"/>
              </w:rPr>
              <w:t>H. pylori                        H. Pylori</w:t>
            </w:r>
          </w:p>
        </w:tc>
      </w:tr>
      <w:tr w:rsidR="00396633" w14:paraId="6A77E3D2" w14:textId="77777777" w:rsidTr="00396633">
        <w:trPr>
          <w:trHeight w:val="1005"/>
        </w:trPr>
        <w:tc>
          <w:tcPr>
            <w:tcW w:w="9242" w:type="dxa"/>
            <w:tcBorders>
              <w:top w:val="single" w:sz="4" w:space="0" w:color="auto"/>
              <w:left w:val="nil"/>
              <w:bottom w:val="single" w:sz="4" w:space="0" w:color="auto"/>
              <w:right w:val="nil"/>
            </w:tcBorders>
          </w:tcPr>
          <w:p w14:paraId="51DD0287" w14:textId="77777777" w:rsidR="00396633" w:rsidRDefault="00396633" w:rsidP="004B3DAA">
            <w:pPr>
              <w:tabs>
                <w:tab w:val="left" w:pos="2552"/>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Male                  60                    32(53.3)                           28(46.7)</w:t>
            </w:r>
          </w:p>
          <w:p w14:paraId="26B6D9E6" w14:textId="77777777" w:rsidR="00396633" w:rsidRDefault="00396633" w:rsidP="004B3DAA">
            <w:pPr>
              <w:tabs>
                <w:tab w:val="left" w:pos="2552"/>
              </w:tabs>
              <w:rPr>
                <w:rFonts w:ascii="Times New Roman" w:hAnsi="Times New Roman" w:cs="Times New Roman"/>
                <w:sz w:val="28"/>
                <w:szCs w:val="28"/>
              </w:rPr>
            </w:pPr>
          </w:p>
          <w:p w14:paraId="4FD212C3"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Female              80                    40(50.0)                          40(50.0)</w:t>
            </w:r>
          </w:p>
          <w:p w14:paraId="4926A43F" w14:textId="77777777" w:rsidR="00396633" w:rsidRDefault="00396633" w:rsidP="004B3DAA">
            <w:pPr>
              <w:tabs>
                <w:tab w:val="left" w:pos="2552"/>
              </w:tabs>
              <w:spacing w:after="200" w:line="276" w:lineRule="auto"/>
              <w:rPr>
                <w:rFonts w:ascii="Times New Roman" w:hAnsi="Times New Roman" w:cs="Times New Roman"/>
                <w:sz w:val="28"/>
                <w:szCs w:val="28"/>
              </w:rPr>
            </w:pPr>
          </w:p>
        </w:tc>
      </w:tr>
      <w:tr w:rsidR="00396633" w14:paraId="06DBDF7B" w14:textId="77777777" w:rsidTr="00396633">
        <w:trPr>
          <w:trHeight w:val="381"/>
        </w:trPr>
        <w:tc>
          <w:tcPr>
            <w:tcW w:w="9242" w:type="dxa"/>
            <w:tcBorders>
              <w:top w:val="single" w:sz="4" w:space="0" w:color="auto"/>
              <w:left w:val="nil"/>
              <w:bottom w:val="nil"/>
              <w:right w:val="nil"/>
            </w:tcBorders>
            <w:hideMark/>
          </w:tcPr>
          <w:p w14:paraId="146BCE73" w14:textId="77777777" w:rsidR="00396633" w:rsidRDefault="00396633" w:rsidP="004B3DAA">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t>Total                 140                   72(51.4)                           68(48.6)</w:t>
            </w:r>
          </w:p>
        </w:tc>
      </w:tr>
    </w:tbl>
    <w:p w14:paraId="3C193306"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2DC72FA4" w14:textId="77777777" w:rsidR="00396633" w:rsidRDefault="00396633" w:rsidP="00BB33B6">
      <w:pPr>
        <w:pStyle w:val="Default"/>
        <w:spacing w:line="360" w:lineRule="auto"/>
        <w:jc w:val="both"/>
        <w:rPr>
          <w:sz w:val="28"/>
          <w:szCs w:val="28"/>
        </w:rPr>
      </w:pPr>
    </w:p>
    <w:p w14:paraId="4D7B84D6" w14:textId="77777777" w:rsidR="00910207" w:rsidRDefault="00910207" w:rsidP="00BB33B6">
      <w:pPr>
        <w:pStyle w:val="Default"/>
        <w:numPr>
          <w:ilvl w:val="1"/>
          <w:numId w:val="2"/>
        </w:numPr>
        <w:spacing w:line="360" w:lineRule="auto"/>
        <w:ind w:left="0" w:firstLine="0"/>
        <w:jc w:val="both"/>
        <w:rPr>
          <w:b/>
          <w:sz w:val="28"/>
          <w:szCs w:val="28"/>
        </w:rPr>
      </w:pPr>
      <w:r>
        <w:rPr>
          <w:b/>
          <w:sz w:val="28"/>
          <w:szCs w:val="28"/>
        </w:rPr>
        <w:t xml:space="preserve">DISTRIBUTION OF </w:t>
      </w:r>
      <w:r>
        <w:rPr>
          <w:b/>
          <w:i/>
          <w:sz w:val="28"/>
          <w:szCs w:val="28"/>
        </w:rPr>
        <w:t>HELICOBACTER PYLORI</w:t>
      </w:r>
      <w:r>
        <w:rPr>
          <w:b/>
          <w:sz w:val="28"/>
          <w:szCs w:val="28"/>
        </w:rPr>
        <w:t xml:space="preserve"> BASED ON THEIR OCCUPATION.</w:t>
      </w:r>
    </w:p>
    <w:p w14:paraId="16A3F2EA" w14:textId="1831C339" w:rsidR="00910207" w:rsidRDefault="00910207" w:rsidP="00E16CF5">
      <w:pPr>
        <w:pStyle w:val="Default"/>
        <w:spacing w:line="360" w:lineRule="auto"/>
        <w:jc w:val="both"/>
        <w:rPr>
          <w:sz w:val="28"/>
          <w:szCs w:val="28"/>
        </w:rPr>
      </w:pPr>
      <w:r w:rsidRPr="01F72ADF">
        <w:rPr>
          <w:sz w:val="28"/>
          <w:szCs w:val="28"/>
        </w:rPr>
        <w:t xml:space="preserve">Table 3 shows that amongst the subjects, drivers </w:t>
      </w:r>
      <w:r w:rsidR="6CEB706A" w:rsidRPr="01F72ADF">
        <w:rPr>
          <w:color w:val="FF0000"/>
          <w:sz w:val="28"/>
          <w:szCs w:val="28"/>
        </w:rPr>
        <w:t>have</w:t>
      </w:r>
      <w:r w:rsidRPr="01F72ADF">
        <w:rPr>
          <w:color w:val="FF0000"/>
          <w:sz w:val="28"/>
          <w:szCs w:val="28"/>
        </w:rPr>
        <w:t xml:space="preserve"> </w:t>
      </w:r>
      <w:r w:rsidRPr="01F72ADF">
        <w:rPr>
          <w:sz w:val="28"/>
          <w:szCs w:val="28"/>
        </w:rPr>
        <w:t>the highest infection rate (58.3%), followed by traders (54.2%). Farmers and fashion designers had the same prevalence rate (50.0%) and students (45.5%), while teachers recorded the least prevalence (44.4%).</w:t>
      </w:r>
    </w:p>
    <w:p w14:paraId="2AAAC770"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3: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BASED ON THEIR OCCUPATION</w:t>
      </w:r>
    </w:p>
    <w:p w14:paraId="74B1D1A6" w14:textId="77777777" w:rsidR="00396633" w:rsidRDefault="00396633" w:rsidP="00396633">
      <w:pPr>
        <w:tabs>
          <w:tab w:val="left" w:pos="2552"/>
        </w:tabs>
        <w:autoSpaceDE w:val="0"/>
        <w:autoSpaceDN w:val="0"/>
        <w:adjustRightInd w:val="0"/>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242"/>
      </w:tblGrid>
      <w:tr w:rsidR="00396633" w14:paraId="6E9E8B8C" w14:textId="77777777" w:rsidTr="004B3DAA">
        <w:tc>
          <w:tcPr>
            <w:tcW w:w="9242" w:type="dxa"/>
            <w:tcBorders>
              <w:top w:val="single" w:sz="4" w:space="0" w:color="auto"/>
              <w:left w:val="nil"/>
              <w:bottom w:val="single" w:sz="4" w:space="0" w:color="auto"/>
              <w:right w:val="nil"/>
            </w:tcBorders>
            <w:hideMark/>
          </w:tcPr>
          <w:p w14:paraId="64C4D5D2" w14:textId="77777777" w:rsidR="00396633" w:rsidRDefault="00396633" w:rsidP="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Occupation       No. examined    No. (%) Positive for     No. (%) Negative for</w:t>
            </w:r>
          </w:p>
          <w:p w14:paraId="6E4BD7B1" w14:textId="77777777" w:rsidR="00396633" w:rsidRPr="00396633" w:rsidRDefault="00396633" w:rsidP="00396633">
            <w:pPr>
              <w:tabs>
                <w:tab w:val="left" w:pos="2552"/>
              </w:tabs>
              <w:spacing w:after="200" w:line="276" w:lineRule="auto"/>
              <w:rPr>
                <w:rFonts w:ascii="Times New Roman" w:hAnsi="Times New Roman" w:cs="Times New Roman"/>
                <w:b/>
                <w:color w:val="FFFFFF"/>
                <w:sz w:val="28"/>
                <w:szCs w:val="28"/>
              </w:rPr>
            </w:pPr>
            <w:r>
              <w:rPr>
                <w:rFonts w:ascii="Times New Roman" w:hAnsi="Times New Roman" w:cs="Times New Roman"/>
                <w:b/>
                <w:i/>
                <w:sz w:val="28"/>
                <w:szCs w:val="28"/>
              </w:rPr>
              <w:t xml:space="preserve">                                                      H. pylori                         H. pylori</w:t>
            </w:r>
            <w:r>
              <w:rPr>
                <w:rFonts w:ascii="Times New Roman" w:hAnsi="Times New Roman" w:cs="Times New Roman"/>
                <w:b/>
                <w:sz w:val="28"/>
                <w:szCs w:val="28"/>
              </w:rPr>
              <w:t xml:space="preserve">    </w:t>
            </w:r>
          </w:p>
        </w:tc>
      </w:tr>
      <w:tr w:rsidR="00396633" w14:paraId="4BD025A9" w14:textId="77777777" w:rsidTr="00396633">
        <w:trPr>
          <w:trHeight w:val="1005"/>
        </w:trPr>
        <w:tc>
          <w:tcPr>
            <w:tcW w:w="9242" w:type="dxa"/>
            <w:tcBorders>
              <w:top w:val="single" w:sz="4" w:space="0" w:color="auto"/>
              <w:left w:val="nil"/>
              <w:bottom w:val="single" w:sz="4" w:space="0" w:color="auto"/>
              <w:right w:val="nil"/>
            </w:tcBorders>
          </w:tcPr>
          <w:p w14:paraId="535C6994"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 xml:space="preserve">Trader                         48                  26(54.2)                             22(45.8) </w:t>
            </w:r>
          </w:p>
          <w:p w14:paraId="1B4B2603"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 xml:space="preserve">Teacher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18                    8(44.4)                             10(55.6)</w:t>
            </w:r>
          </w:p>
          <w:p w14:paraId="2CFE135D"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Driver                          24                  14(58.3)                             10(41.7)</w:t>
            </w:r>
          </w:p>
          <w:p w14:paraId="2A399B32"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Farmer                        16                    8(50.0)                              8(50.0)</w:t>
            </w:r>
          </w:p>
          <w:p w14:paraId="7F03A0C8"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 xml:space="preserve">Fashion designer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12              </w:t>
            </w:r>
            <w:r w:rsidR="00B91C31">
              <w:rPr>
                <w:rFonts w:ascii="Times New Roman" w:hAnsi="Times New Roman" w:cs="Times New Roman"/>
                <w:sz w:val="28"/>
                <w:szCs w:val="28"/>
              </w:rPr>
              <w:t xml:space="preserve">       6(50.0)        </w:t>
            </w:r>
            <w:r>
              <w:rPr>
                <w:rFonts w:ascii="Times New Roman" w:hAnsi="Times New Roman" w:cs="Times New Roman"/>
                <w:sz w:val="28"/>
                <w:szCs w:val="28"/>
              </w:rPr>
              <w:t xml:space="preserve">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6(50.0)</w:t>
            </w:r>
          </w:p>
          <w:p w14:paraId="493C0DC5" w14:textId="77777777" w:rsidR="00396633" w:rsidRDefault="00396633" w:rsidP="004B3DAA">
            <w:pPr>
              <w:tabs>
                <w:tab w:val="left" w:pos="2552"/>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Student                       22                  10(45.5)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12(54.4)      </w:t>
            </w:r>
          </w:p>
          <w:p w14:paraId="1FE914D0" w14:textId="77777777" w:rsidR="00396633" w:rsidRDefault="00396633" w:rsidP="004B3DAA">
            <w:pPr>
              <w:tabs>
                <w:tab w:val="left" w:pos="2552"/>
              </w:tabs>
              <w:autoSpaceDE w:val="0"/>
              <w:autoSpaceDN w:val="0"/>
              <w:adjustRightInd w:val="0"/>
              <w:spacing w:after="200" w:line="276" w:lineRule="auto"/>
              <w:rPr>
                <w:rFonts w:ascii="Times New Roman" w:hAnsi="Times New Roman" w:cs="Times New Roman"/>
                <w:sz w:val="28"/>
                <w:szCs w:val="28"/>
              </w:rPr>
            </w:pPr>
          </w:p>
        </w:tc>
      </w:tr>
      <w:tr w:rsidR="00396633" w14:paraId="7034EBE5" w14:textId="77777777" w:rsidTr="00396633">
        <w:trPr>
          <w:trHeight w:val="381"/>
        </w:trPr>
        <w:tc>
          <w:tcPr>
            <w:tcW w:w="9242" w:type="dxa"/>
            <w:tcBorders>
              <w:top w:val="single" w:sz="4" w:space="0" w:color="auto"/>
              <w:left w:val="nil"/>
              <w:bottom w:val="nil"/>
              <w:right w:val="nil"/>
            </w:tcBorders>
            <w:hideMark/>
          </w:tcPr>
          <w:p w14:paraId="0B41A3C8" w14:textId="77777777" w:rsidR="00396633" w:rsidRDefault="00396633" w:rsidP="004B3DAA">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Total                          140                 72(51.4)                           68(48.6)</w:t>
            </w:r>
          </w:p>
        </w:tc>
      </w:tr>
    </w:tbl>
    <w:p w14:paraId="394AB1E5" w14:textId="77777777" w:rsidR="00396633" w:rsidRDefault="00396633" w:rsidP="00E16CF5">
      <w:pPr>
        <w:pStyle w:val="Default"/>
        <w:spacing w:line="360" w:lineRule="auto"/>
        <w:jc w:val="both"/>
        <w:rPr>
          <w:sz w:val="28"/>
          <w:szCs w:val="28"/>
        </w:rPr>
      </w:pPr>
    </w:p>
    <w:p w14:paraId="019761DB" w14:textId="77777777" w:rsidR="00910207" w:rsidRDefault="00910207" w:rsidP="00E16CF5">
      <w:pPr>
        <w:pStyle w:val="Default"/>
        <w:numPr>
          <w:ilvl w:val="1"/>
          <w:numId w:val="2"/>
        </w:numPr>
        <w:spacing w:line="360" w:lineRule="auto"/>
        <w:ind w:left="0" w:firstLine="0"/>
        <w:jc w:val="both"/>
        <w:rPr>
          <w:b/>
          <w:sz w:val="28"/>
          <w:szCs w:val="28"/>
        </w:rPr>
      </w:pPr>
      <w:r>
        <w:rPr>
          <w:b/>
          <w:sz w:val="28"/>
          <w:szCs w:val="28"/>
        </w:rPr>
        <w:t xml:space="preserve">DISTRIBUTION OF </w:t>
      </w:r>
      <w:r>
        <w:rPr>
          <w:b/>
          <w:i/>
          <w:sz w:val="28"/>
          <w:szCs w:val="28"/>
        </w:rPr>
        <w:t xml:space="preserve">HELICOBACTER PYLORI </w:t>
      </w:r>
      <w:r>
        <w:rPr>
          <w:b/>
          <w:sz w:val="28"/>
          <w:szCs w:val="28"/>
        </w:rPr>
        <w:t>AMONG SUBJECTS WITH OR WITHOUT GASTROINTESTINAL SYMPTOMS.</w:t>
      </w:r>
    </w:p>
    <w:p w14:paraId="2791C2DC" w14:textId="52A1BC3F" w:rsidR="00910207" w:rsidRDefault="00910207" w:rsidP="00E16CF5">
      <w:pPr>
        <w:pStyle w:val="Default"/>
        <w:spacing w:line="360" w:lineRule="auto"/>
        <w:jc w:val="both"/>
        <w:rPr>
          <w:sz w:val="28"/>
          <w:szCs w:val="28"/>
        </w:rPr>
      </w:pPr>
      <w:r w:rsidRPr="01F72ADF">
        <w:rPr>
          <w:sz w:val="28"/>
          <w:szCs w:val="28"/>
        </w:rPr>
        <w:t xml:space="preserve">Table 4 shows that the prevalence of </w:t>
      </w:r>
      <w:r w:rsidRPr="01F72ADF">
        <w:rPr>
          <w:i/>
          <w:iCs/>
          <w:sz w:val="28"/>
          <w:szCs w:val="28"/>
        </w:rPr>
        <w:t>H. pylori</w:t>
      </w:r>
      <w:r w:rsidRPr="01F72ADF">
        <w:rPr>
          <w:sz w:val="28"/>
          <w:szCs w:val="28"/>
        </w:rPr>
        <w:t xml:space="preserve"> among subjects presenting with gastric pain is highest (57.1%) followed by subjects presenting with diarrhoea and vomiting (56.02%) then subjects presenting with diarrhea only (53.3%) and those with no symptoms (40.0%). Those </w:t>
      </w:r>
      <w:r w:rsidR="43BAD1F7" w:rsidRPr="01F72ADF">
        <w:rPr>
          <w:sz w:val="28"/>
          <w:szCs w:val="28"/>
        </w:rPr>
        <w:t>presenting</w:t>
      </w:r>
      <w:r w:rsidRPr="01F72ADF">
        <w:rPr>
          <w:sz w:val="28"/>
          <w:szCs w:val="28"/>
        </w:rPr>
        <w:t xml:space="preserve"> </w:t>
      </w:r>
      <w:r w:rsidR="7883CAF2" w:rsidRPr="01F72ADF">
        <w:rPr>
          <w:sz w:val="28"/>
          <w:szCs w:val="28"/>
        </w:rPr>
        <w:t xml:space="preserve">with </w:t>
      </w:r>
      <w:r w:rsidRPr="01F72ADF">
        <w:rPr>
          <w:sz w:val="28"/>
          <w:szCs w:val="28"/>
        </w:rPr>
        <w:t>vomiting only had the least prevalence (37.5%).</w:t>
      </w:r>
    </w:p>
    <w:p w14:paraId="1DED4386" w14:textId="77777777" w:rsidR="00910207" w:rsidRDefault="00910207" w:rsidP="00910207">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4: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WITH OR WITHOUT GASTROINTESTINAL SYMPTOMS</w:t>
      </w:r>
    </w:p>
    <w:p w14:paraId="3244233D" w14:textId="77777777" w:rsidR="00910207" w:rsidRDefault="00910207" w:rsidP="00910207">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242"/>
      </w:tblGrid>
      <w:tr w:rsidR="00910207" w14:paraId="19271653" w14:textId="77777777" w:rsidTr="00910207">
        <w:tc>
          <w:tcPr>
            <w:tcW w:w="9242" w:type="dxa"/>
            <w:tcBorders>
              <w:top w:val="single" w:sz="4" w:space="0" w:color="auto"/>
              <w:left w:val="nil"/>
              <w:bottom w:val="single" w:sz="4" w:space="0" w:color="auto"/>
              <w:right w:val="nil"/>
            </w:tcBorders>
            <w:hideMark/>
          </w:tcPr>
          <w:p w14:paraId="7B08BC27" w14:textId="77777777" w:rsidR="00910207" w:rsidRDefault="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Symptoms       </w:t>
            </w:r>
            <w:r w:rsidR="00910207">
              <w:rPr>
                <w:rFonts w:ascii="Times New Roman" w:hAnsi="Times New Roman" w:cs="Times New Roman"/>
                <w:b/>
                <w:sz w:val="28"/>
                <w:szCs w:val="28"/>
              </w:rPr>
              <w:t xml:space="preserve">No.                  No. (%) Positive for      </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No. (%) Negative     </w:t>
            </w:r>
            <w:r w:rsidR="00910207">
              <w:rPr>
                <w:rFonts w:ascii="Times New Roman" w:hAnsi="Times New Roman" w:cs="Times New Roman"/>
                <w:b/>
                <w:color w:val="FFFFFF"/>
                <w:sz w:val="28"/>
                <w:szCs w:val="28"/>
              </w:rPr>
              <w:t>.</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72B8D">
              <w:rPr>
                <w:rFonts w:ascii="Times New Roman" w:hAnsi="Times New Roman" w:cs="Times New Roman"/>
                <w:b/>
                <w:sz w:val="28"/>
                <w:szCs w:val="28"/>
              </w:rPr>
              <w:t xml:space="preserve"> </w:t>
            </w:r>
            <w:r w:rsidR="00972B8D" w:rsidRPr="00972B8D">
              <w:rPr>
                <w:rFonts w:ascii="Times New Roman" w:hAnsi="Times New Roman" w:cs="Times New Roman"/>
                <w:b/>
                <w:color w:val="FFFFFF" w:themeColor="background1"/>
                <w:sz w:val="28"/>
                <w:szCs w:val="28"/>
              </w:rPr>
              <w:t xml:space="preserve">s </w:t>
            </w:r>
            <w:r w:rsidR="00972B8D">
              <w:rPr>
                <w:rFonts w:ascii="Times New Roman" w:hAnsi="Times New Roman" w:cs="Times New Roman"/>
                <w:b/>
                <w:sz w:val="28"/>
                <w:szCs w:val="28"/>
              </w:rPr>
              <w:t xml:space="preserve">                 examined                    </w:t>
            </w:r>
            <w:r w:rsidR="00910207">
              <w:rPr>
                <w:rFonts w:ascii="Times New Roman" w:hAnsi="Times New Roman" w:cs="Times New Roman"/>
                <w:b/>
                <w:i/>
                <w:sz w:val="28"/>
                <w:szCs w:val="28"/>
              </w:rPr>
              <w:t>H. pylori</w:t>
            </w:r>
            <w:r w:rsidR="00910207">
              <w:rPr>
                <w:rFonts w:ascii="Times New Roman" w:hAnsi="Times New Roman" w:cs="Times New Roman"/>
                <w:b/>
                <w:sz w:val="28"/>
                <w:szCs w:val="28"/>
              </w:rPr>
              <w:t xml:space="preserve">                         for</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10207">
              <w:rPr>
                <w:rFonts w:ascii="Times New Roman" w:hAnsi="Times New Roman" w:cs="Times New Roman"/>
                <w:b/>
                <w:i/>
                <w:sz w:val="28"/>
                <w:szCs w:val="28"/>
              </w:rPr>
              <w:t>H. pylori</w:t>
            </w:r>
          </w:p>
        </w:tc>
      </w:tr>
      <w:tr w:rsidR="00910207" w14:paraId="68719310" w14:textId="77777777" w:rsidTr="00396633">
        <w:trPr>
          <w:trHeight w:val="1005"/>
        </w:trPr>
        <w:tc>
          <w:tcPr>
            <w:tcW w:w="9242" w:type="dxa"/>
            <w:tcBorders>
              <w:top w:val="single" w:sz="4" w:space="0" w:color="auto"/>
              <w:left w:val="nil"/>
              <w:bottom w:val="single" w:sz="4" w:space="0" w:color="auto"/>
              <w:right w:val="nil"/>
            </w:tcBorders>
          </w:tcPr>
          <w:p w14:paraId="0B902A79"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Diarrhoea</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only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30                     16(53.3)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14(46.7) </w:t>
            </w:r>
          </w:p>
          <w:p w14:paraId="34BA1FE7"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 xml:space="preserve">Gastric pain only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42                     24(57.1)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18(42.9)</w:t>
            </w:r>
          </w:p>
          <w:p w14:paraId="6366A061"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 xml:space="preserve">Vomiting  only   </w:t>
            </w:r>
            <w:r w:rsidR="00972B8D">
              <w:rPr>
                <w:rFonts w:ascii="Times New Roman" w:hAnsi="Times New Roman" w:cs="Times New Roman"/>
                <w:sz w:val="28"/>
                <w:szCs w:val="28"/>
              </w:rPr>
              <w:t xml:space="preserve">             16          </w:t>
            </w:r>
            <w:r>
              <w:rPr>
                <w:rFonts w:ascii="Times New Roman" w:hAnsi="Times New Roman" w:cs="Times New Roman"/>
                <w:sz w:val="28"/>
                <w:szCs w:val="28"/>
              </w:rPr>
              <w:t xml:space="preserve">             6(37.5)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10(62.5)</w:t>
            </w:r>
          </w:p>
          <w:p w14:paraId="7323A3AB"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Diarrhoea</w:t>
            </w:r>
            <w:r w:rsidR="00972B8D">
              <w:rPr>
                <w:rFonts w:ascii="Times New Roman" w:hAnsi="Times New Roman" w:cs="Times New Roman"/>
                <w:sz w:val="28"/>
                <w:szCs w:val="28"/>
              </w:rPr>
              <w:t xml:space="preserve"> </w:t>
            </w:r>
            <w:r>
              <w:rPr>
                <w:rFonts w:ascii="Times New Roman" w:hAnsi="Times New Roman" w:cs="Times New Roman"/>
                <w:sz w:val="28"/>
                <w:szCs w:val="28"/>
              </w:rPr>
              <w:t>&amp; vomiting</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32                     18(56.02)                           14(43.8)                   </w:t>
            </w:r>
          </w:p>
          <w:p w14:paraId="394ACFAE"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 xml:space="preserve">No symptoms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20          </w:t>
            </w:r>
            <w:r w:rsidR="00972B8D">
              <w:rPr>
                <w:rFonts w:ascii="Times New Roman" w:hAnsi="Times New Roman" w:cs="Times New Roman"/>
                <w:sz w:val="28"/>
                <w:szCs w:val="28"/>
              </w:rPr>
              <w:t xml:space="preserve">             8(40.0)     </w:t>
            </w:r>
            <w:r>
              <w:rPr>
                <w:rFonts w:ascii="Times New Roman" w:hAnsi="Times New Roman" w:cs="Times New Roman"/>
                <w:sz w:val="28"/>
                <w:szCs w:val="28"/>
              </w:rPr>
              <w:t xml:space="preserve">                       12(60.0)                                  </w:t>
            </w:r>
          </w:p>
          <w:p w14:paraId="060E2A18" w14:textId="77777777" w:rsidR="00910207" w:rsidRDefault="00910207">
            <w:pPr>
              <w:tabs>
                <w:tab w:val="left" w:pos="2552"/>
              </w:tabs>
              <w:spacing w:after="200" w:line="276" w:lineRule="auto"/>
              <w:rPr>
                <w:rFonts w:ascii="Times New Roman" w:hAnsi="Times New Roman" w:cs="Times New Roman"/>
                <w:sz w:val="28"/>
                <w:szCs w:val="28"/>
              </w:rPr>
            </w:pPr>
          </w:p>
        </w:tc>
      </w:tr>
      <w:tr w:rsidR="00910207" w14:paraId="3E26FF06" w14:textId="77777777" w:rsidTr="00396633">
        <w:trPr>
          <w:trHeight w:val="381"/>
        </w:trPr>
        <w:tc>
          <w:tcPr>
            <w:tcW w:w="9242" w:type="dxa"/>
            <w:tcBorders>
              <w:top w:val="single" w:sz="4" w:space="0" w:color="auto"/>
              <w:left w:val="nil"/>
              <w:bottom w:val="nil"/>
              <w:right w:val="nil"/>
            </w:tcBorders>
            <w:hideMark/>
          </w:tcPr>
          <w:p w14:paraId="6823BD6D" w14:textId="77777777" w:rsidR="00910207" w:rsidRDefault="00910207">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Total </w:t>
            </w:r>
            <w:r w:rsidR="005A6744">
              <w:rPr>
                <w:rFonts w:ascii="Times New Roman" w:hAnsi="Times New Roman" w:cs="Times New Roman"/>
                <w:sz w:val="28"/>
                <w:szCs w:val="28"/>
              </w:rPr>
              <w:t xml:space="preserve">        </w:t>
            </w:r>
            <w:r>
              <w:rPr>
                <w:rFonts w:ascii="Times New Roman" w:hAnsi="Times New Roman" w:cs="Times New Roman"/>
                <w:sz w:val="28"/>
                <w:szCs w:val="28"/>
              </w:rPr>
              <w:t xml:space="preserve">                       140                     72(51.4)                           68(48.6)</w:t>
            </w:r>
          </w:p>
        </w:tc>
      </w:tr>
    </w:tbl>
    <w:p w14:paraId="79126FC1" w14:textId="77777777" w:rsidR="00910207" w:rsidRDefault="00910207" w:rsidP="00910207">
      <w:pPr>
        <w:pStyle w:val="Default"/>
        <w:spacing w:line="360" w:lineRule="auto"/>
        <w:rPr>
          <w:b/>
          <w:sz w:val="28"/>
          <w:szCs w:val="28"/>
        </w:rPr>
      </w:pPr>
    </w:p>
    <w:p w14:paraId="53563281" w14:textId="77777777" w:rsidR="00910207" w:rsidRDefault="00910207" w:rsidP="00910207">
      <w:pPr>
        <w:pStyle w:val="Default"/>
        <w:spacing w:line="360" w:lineRule="auto"/>
        <w:rPr>
          <w:b/>
          <w:sz w:val="28"/>
          <w:szCs w:val="28"/>
        </w:rPr>
      </w:pPr>
    </w:p>
    <w:p w14:paraId="2CDC4E37" w14:textId="77777777" w:rsidR="00910207" w:rsidRDefault="00910207" w:rsidP="00910207">
      <w:pPr>
        <w:pStyle w:val="Default"/>
        <w:spacing w:line="360" w:lineRule="auto"/>
        <w:rPr>
          <w:b/>
          <w:sz w:val="28"/>
          <w:szCs w:val="28"/>
        </w:rPr>
      </w:pPr>
      <w:r>
        <w:rPr>
          <w:b/>
          <w:sz w:val="28"/>
          <w:szCs w:val="28"/>
        </w:rPr>
        <w:t>4. DISCUSSION</w:t>
      </w:r>
    </w:p>
    <w:p w14:paraId="1AB1552C" w14:textId="77777777" w:rsidR="00910207" w:rsidRDefault="00910207" w:rsidP="00910207">
      <w:pPr>
        <w:pStyle w:val="Default"/>
        <w:spacing w:line="360" w:lineRule="auto"/>
        <w:jc w:val="both"/>
        <w:rPr>
          <w:b/>
          <w:bCs/>
          <w:sz w:val="28"/>
          <w:szCs w:val="28"/>
        </w:rPr>
      </w:pPr>
      <w:r>
        <w:rPr>
          <w:b/>
          <w:bCs/>
          <w:sz w:val="28"/>
          <w:szCs w:val="28"/>
        </w:rPr>
        <w:t>4.1.</w:t>
      </w:r>
      <w:r>
        <w:rPr>
          <w:b/>
          <w:bCs/>
          <w:sz w:val="28"/>
          <w:szCs w:val="28"/>
        </w:rPr>
        <w:tab/>
        <w:t xml:space="preserve">AGE-SPECIFIC DISTRIBUTION OF </w:t>
      </w:r>
      <w:r>
        <w:rPr>
          <w:b/>
          <w:bCs/>
          <w:i/>
          <w:iCs/>
          <w:sz w:val="28"/>
          <w:szCs w:val="28"/>
        </w:rPr>
        <w:t>H. PYLORI</w:t>
      </w:r>
      <w:r>
        <w:rPr>
          <w:b/>
          <w:bCs/>
          <w:sz w:val="28"/>
          <w:szCs w:val="28"/>
        </w:rPr>
        <w:t xml:space="preserve"> AMONG SUBJECTS ANALYZED</w:t>
      </w:r>
    </w:p>
    <w:p w14:paraId="201D2D83" w14:textId="77777777" w:rsidR="00910207" w:rsidRDefault="00910207" w:rsidP="00910207">
      <w:pPr>
        <w:pStyle w:val="Default"/>
        <w:spacing w:line="360" w:lineRule="auto"/>
        <w:jc w:val="both"/>
        <w:rPr>
          <w:b/>
          <w:bCs/>
          <w:sz w:val="28"/>
          <w:szCs w:val="28"/>
        </w:rPr>
      </w:pPr>
      <w:r>
        <w:rPr>
          <w:i/>
          <w:sz w:val="28"/>
          <w:szCs w:val="28"/>
        </w:rPr>
        <w:t>Helicobacter pylori</w:t>
      </w:r>
      <w:r>
        <w:rPr>
          <w:sz w:val="28"/>
          <w:szCs w:val="28"/>
        </w:rPr>
        <w:t xml:space="preserve"> are human associated bacteria which cause chronic infection in the stomach and duodenum, including peptic ulcer. The prevalence </w:t>
      </w:r>
      <w:r>
        <w:rPr>
          <w:sz w:val="28"/>
          <w:szCs w:val="28"/>
        </w:rPr>
        <w:lastRenderedPageBreak/>
        <w:t xml:space="preserve">of </w:t>
      </w:r>
      <w:r>
        <w:rPr>
          <w:i/>
          <w:iCs/>
          <w:sz w:val="28"/>
          <w:szCs w:val="28"/>
        </w:rPr>
        <w:t>Helicobacter pylori</w:t>
      </w:r>
      <w:r>
        <w:rPr>
          <w:sz w:val="28"/>
          <w:szCs w:val="28"/>
        </w:rPr>
        <w:t xml:space="preserve"> infection in this study is 51.4%. This rate aligns with findings from a study in Nnewi, Nigeria, which also reported a prevalence of 51.4% among peptic ulcerative individuals (Chukwuma </w:t>
      </w:r>
      <w:r>
        <w:rPr>
          <w:i/>
          <w:sz w:val="28"/>
          <w:szCs w:val="28"/>
        </w:rPr>
        <w:t>et al</w:t>
      </w:r>
      <w:r>
        <w:rPr>
          <w:sz w:val="28"/>
          <w:szCs w:val="28"/>
        </w:rPr>
        <w:t xml:space="preserve">., 2021). However, a global systematic review and meta-analysis indicated that Africa had the highest pooled prevalence of </w:t>
      </w:r>
      <w:r>
        <w:rPr>
          <w:i/>
          <w:iCs/>
          <w:sz w:val="28"/>
          <w:szCs w:val="28"/>
        </w:rPr>
        <w:t>H. pylori</w:t>
      </w:r>
      <w:r>
        <w:rPr>
          <w:sz w:val="28"/>
          <w:szCs w:val="28"/>
        </w:rPr>
        <w:t xml:space="preserve"> infection at 70.1%, with individual countries like Nigeria reporting prevalence as high as 87.7% (Hooi </w:t>
      </w:r>
      <w:r>
        <w:rPr>
          <w:i/>
          <w:sz w:val="28"/>
          <w:szCs w:val="28"/>
        </w:rPr>
        <w:t>et al</w:t>
      </w:r>
      <w:r>
        <w:rPr>
          <w:sz w:val="28"/>
          <w:szCs w:val="28"/>
        </w:rPr>
        <w:t>., 2017). This suggests that while the prevalence in the current study is significant, it is lower than some regional estimates.</w:t>
      </w:r>
    </w:p>
    <w:p w14:paraId="1A67BABB" w14:textId="77777777" w:rsidR="00910207" w:rsidRDefault="00910207" w:rsidP="00910207">
      <w:pPr>
        <w:pStyle w:val="Default"/>
        <w:spacing w:line="360" w:lineRule="auto"/>
        <w:jc w:val="both"/>
        <w:rPr>
          <w:sz w:val="28"/>
          <w:szCs w:val="28"/>
        </w:rPr>
      </w:pPr>
      <w:r>
        <w:rPr>
          <w:sz w:val="28"/>
          <w:szCs w:val="28"/>
        </w:rPr>
        <w:t xml:space="preserve">In this study, </w:t>
      </w:r>
      <w:r>
        <w:rPr>
          <w:i/>
          <w:iCs/>
          <w:sz w:val="28"/>
          <w:szCs w:val="28"/>
        </w:rPr>
        <w:t>H. pylori</w:t>
      </w:r>
      <w:r w:rsidR="006679A9">
        <w:rPr>
          <w:i/>
          <w:iCs/>
          <w:sz w:val="28"/>
          <w:szCs w:val="28"/>
        </w:rPr>
        <w:t xml:space="preserve"> </w:t>
      </w:r>
      <w:r>
        <w:rPr>
          <w:sz w:val="28"/>
          <w:szCs w:val="28"/>
        </w:rPr>
        <w:t xml:space="preserve">prevalence varied across different age groups, with the highest infection rate observed in individuals aged 38-43 years (75.0%), followed by those in the 50-55 age group (66.7%) and ≥56 years (52.9%). The lowest prevalence was recorded in the 20-25 age group (27.3%). This pattern suggests a potential increase in </w:t>
      </w:r>
      <w:r>
        <w:rPr>
          <w:i/>
          <w:iCs/>
          <w:sz w:val="28"/>
          <w:szCs w:val="28"/>
        </w:rPr>
        <w:t>H. pylori</w:t>
      </w:r>
      <w:r>
        <w:rPr>
          <w:sz w:val="28"/>
          <w:szCs w:val="28"/>
        </w:rPr>
        <w:t xml:space="preserve"> colonization with age, which is consistent with several epidemiological studies indicating that older individuals tend to have higher prevalence rates due to prolonged exposure and persistent colonization (Hooi </w:t>
      </w:r>
      <w:r>
        <w:rPr>
          <w:i/>
          <w:sz w:val="28"/>
          <w:szCs w:val="28"/>
        </w:rPr>
        <w:t>et al</w:t>
      </w:r>
      <w:r>
        <w:rPr>
          <w:sz w:val="28"/>
          <w:szCs w:val="28"/>
        </w:rPr>
        <w:t xml:space="preserve">., 2017). </w:t>
      </w:r>
    </w:p>
    <w:p w14:paraId="18735DFF" w14:textId="3846CCD0" w:rsidR="00910207" w:rsidRDefault="00910207" w:rsidP="00910207">
      <w:pPr>
        <w:pStyle w:val="Default"/>
        <w:spacing w:line="360" w:lineRule="auto"/>
        <w:jc w:val="both"/>
        <w:rPr>
          <w:sz w:val="28"/>
          <w:szCs w:val="28"/>
        </w:rPr>
      </w:pPr>
      <w:r w:rsidRPr="01F72ADF">
        <w:rPr>
          <w:sz w:val="28"/>
          <w:szCs w:val="28"/>
        </w:rPr>
        <w:t xml:space="preserve">The findings of this study align with research from different regions. A study in Nigeria found that </w:t>
      </w:r>
      <w:r w:rsidRPr="01F72ADF">
        <w:rPr>
          <w:i/>
          <w:iCs/>
          <w:sz w:val="28"/>
          <w:szCs w:val="28"/>
        </w:rPr>
        <w:t>H. pylori</w:t>
      </w:r>
      <w:r w:rsidRPr="01F72ADF">
        <w:rPr>
          <w:sz w:val="28"/>
          <w:szCs w:val="28"/>
        </w:rPr>
        <w:t xml:space="preserve"> prevalence increased with age, with the highest rates observed in individuals above 40 years (Chukwuma </w:t>
      </w:r>
      <w:r w:rsidRPr="01F72ADF">
        <w:rPr>
          <w:i/>
          <w:iCs/>
          <w:sz w:val="28"/>
          <w:szCs w:val="28"/>
        </w:rPr>
        <w:t>et al</w:t>
      </w:r>
      <w:r w:rsidRPr="01F72ADF">
        <w:rPr>
          <w:sz w:val="28"/>
          <w:szCs w:val="28"/>
        </w:rPr>
        <w:t xml:space="preserve">., 2021). This trend has been attributed to cumulative exposure to risk factors such as poor sanitation, contaminated water, and long-term bacterial persistence in </w:t>
      </w:r>
      <w:r w:rsidR="6B09D2C5" w:rsidRPr="01F72ADF">
        <w:rPr>
          <w:color w:val="FF0000"/>
          <w:sz w:val="28"/>
          <w:szCs w:val="28"/>
        </w:rPr>
        <w:t>gastric</w:t>
      </w:r>
      <w:r w:rsidRPr="01F72ADF">
        <w:rPr>
          <w:sz w:val="28"/>
          <w:szCs w:val="28"/>
        </w:rPr>
        <w:t xml:space="preserve"> mucosa.</w:t>
      </w:r>
    </w:p>
    <w:p w14:paraId="1CE9ACBF" w14:textId="5F497B71" w:rsidR="00910207" w:rsidRDefault="00910207" w:rsidP="00910207">
      <w:pPr>
        <w:pStyle w:val="Default"/>
        <w:spacing w:line="360" w:lineRule="auto"/>
        <w:jc w:val="both"/>
        <w:rPr>
          <w:sz w:val="28"/>
          <w:szCs w:val="28"/>
        </w:rPr>
      </w:pPr>
      <w:r w:rsidRPr="01F72ADF">
        <w:rPr>
          <w:sz w:val="28"/>
          <w:szCs w:val="28"/>
        </w:rPr>
        <w:t xml:space="preserve">However, other studies suggest that </w:t>
      </w:r>
      <w:r w:rsidRPr="01F72ADF">
        <w:rPr>
          <w:i/>
          <w:iCs/>
          <w:sz w:val="28"/>
          <w:szCs w:val="28"/>
        </w:rPr>
        <w:t>H. pylori</w:t>
      </w:r>
      <w:r w:rsidRPr="01F72ADF">
        <w:rPr>
          <w:sz w:val="28"/>
          <w:szCs w:val="28"/>
        </w:rPr>
        <w:t xml:space="preserve"> infection is more common in younger age groups. For instance, research in South Africa reported the highest prevalence in individuals aged 20-29 years, indicating early-life transmission, possibly due to close family contact, poor hygiene, and shared living spaces (Smith </w:t>
      </w:r>
      <w:r w:rsidRPr="01F72ADF">
        <w:rPr>
          <w:i/>
          <w:iCs/>
          <w:sz w:val="28"/>
          <w:szCs w:val="28"/>
        </w:rPr>
        <w:t>et al</w:t>
      </w:r>
      <w:r w:rsidRPr="01F72ADF">
        <w:rPr>
          <w:sz w:val="28"/>
          <w:szCs w:val="28"/>
        </w:rPr>
        <w:t xml:space="preserve">., 2018). This discrepancy highlights the role of geographical and socioeconomic </w:t>
      </w:r>
      <w:r w:rsidR="7FF2ACF5" w:rsidRPr="01F72ADF">
        <w:rPr>
          <w:sz w:val="28"/>
          <w:szCs w:val="28"/>
        </w:rPr>
        <w:t>factors</w:t>
      </w:r>
      <w:r w:rsidRPr="01F72ADF">
        <w:rPr>
          <w:sz w:val="28"/>
          <w:szCs w:val="28"/>
        </w:rPr>
        <w:t xml:space="preserve"> </w:t>
      </w:r>
      <w:r w:rsidR="7DB53ECF" w:rsidRPr="01F72ADF">
        <w:rPr>
          <w:sz w:val="28"/>
          <w:szCs w:val="28"/>
        </w:rPr>
        <w:t xml:space="preserve">in </w:t>
      </w:r>
      <w:r w:rsidRPr="01F72ADF">
        <w:rPr>
          <w:sz w:val="28"/>
          <w:szCs w:val="28"/>
        </w:rPr>
        <w:t xml:space="preserve">influencing </w:t>
      </w:r>
      <w:r w:rsidRPr="01F72ADF">
        <w:rPr>
          <w:i/>
          <w:iCs/>
          <w:sz w:val="28"/>
          <w:szCs w:val="28"/>
        </w:rPr>
        <w:t>H. pylori</w:t>
      </w:r>
      <w:r w:rsidRPr="01F72ADF">
        <w:rPr>
          <w:sz w:val="28"/>
          <w:szCs w:val="28"/>
        </w:rPr>
        <w:t xml:space="preserve"> transmission dynamics.</w:t>
      </w:r>
    </w:p>
    <w:p w14:paraId="4B94DC33" w14:textId="77777777" w:rsidR="00910207" w:rsidRDefault="00910207" w:rsidP="00910207">
      <w:pPr>
        <w:pStyle w:val="Default"/>
        <w:spacing w:line="360" w:lineRule="auto"/>
        <w:jc w:val="both"/>
        <w:rPr>
          <w:sz w:val="28"/>
          <w:szCs w:val="28"/>
        </w:rPr>
      </w:pPr>
    </w:p>
    <w:p w14:paraId="28D06EF0" w14:textId="77777777" w:rsidR="00910207" w:rsidRDefault="00910207" w:rsidP="00910207">
      <w:pPr>
        <w:pStyle w:val="Default"/>
        <w:spacing w:line="360" w:lineRule="auto"/>
        <w:jc w:val="both"/>
        <w:rPr>
          <w:b/>
          <w:bCs/>
          <w:sz w:val="28"/>
          <w:szCs w:val="28"/>
        </w:rPr>
      </w:pPr>
      <w:r>
        <w:rPr>
          <w:b/>
          <w:bCs/>
          <w:sz w:val="28"/>
          <w:szCs w:val="28"/>
        </w:rPr>
        <w:lastRenderedPageBreak/>
        <w:t>4.2.</w:t>
      </w:r>
      <w:r>
        <w:rPr>
          <w:b/>
          <w:bCs/>
          <w:sz w:val="28"/>
          <w:szCs w:val="28"/>
        </w:rPr>
        <w:tab/>
        <w:t xml:space="preserve">GENDER DISTRIBUTION OF </w:t>
      </w:r>
      <w:r>
        <w:rPr>
          <w:b/>
          <w:bCs/>
          <w:i/>
          <w:iCs/>
          <w:sz w:val="28"/>
          <w:szCs w:val="28"/>
        </w:rPr>
        <w:t>H. PYLORI</w:t>
      </w:r>
      <w:r>
        <w:rPr>
          <w:b/>
          <w:bCs/>
          <w:sz w:val="28"/>
          <w:szCs w:val="28"/>
        </w:rPr>
        <w:t xml:space="preserve"> AMONG SUBJECTS ANALYZED</w:t>
      </w:r>
    </w:p>
    <w:p w14:paraId="5F3CC1EE" w14:textId="77777777" w:rsidR="00910207" w:rsidRDefault="00910207" w:rsidP="00910207">
      <w:pPr>
        <w:pStyle w:val="Default"/>
        <w:spacing w:line="360" w:lineRule="auto"/>
        <w:jc w:val="both"/>
        <w:rPr>
          <w:sz w:val="28"/>
          <w:szCs w:val="28"/>
        </w:rPr>
      </w:pPr>
      <w:r>
        <w:rPr>
          <w:sz w:val="28"/>
          <w:szCs w:val="28"/>
        </w:rPr>
        <w:t xml:space="preserve">The prevalence of </w:t>
      </w:r>
      <w:r>
        <w:rPr>
          <w:i/>
          <w:iCs/>
          <w:sz w:val="28"/>
          <w:szCs w:val="28"/>
        </w:rPr>
        <w:t>H. pylori</w:t>
      </w:r>
      <w:r>
        <w:rPr>
          <w:sz w:val="28"/>
          <w:szCs w:val="28"/>
        </w:rPr>
        <w:t xml:space="preserve"> infection in this study was slightly higher among males (53.3%) than females (50.0%). While this difference is minor and statistically insignificant, it aligns with global trends where </w:t>
      </w:r>
      <w:r>
        <w:rPr>
          <w:i/>
          <w:iCs/>
          <w:sz w:val="28"/>
          <w:szCs w:val="28"/>
        </w:rPr>
        <w:t>H. pylori</w:t>
      </w:r>
      <w:r>
        <w:rPr>
          <w:sz w:val="28"/>
          <w:szCs w:val="28"/>
        </w:rPr>
        <w:t xml:space="preserve"> prevalence varies slightly between genders but does not show a consistent pattern of significant disparity (Hooi </w:t>
      </w:r>
      <w:r>
        <w:rPr>
          <w:i/>
          <w:sz w:val="28"/>
          <w:szCs w:val="28"/>
        </w:rPr>
        <w:t>et al</w:t>
      </w:r>
      <w:r>
        <w:rPr>
          <w:sz w:val="28"/>
          <w:szCs w:val="28"/>
        </w:rPr>
        <w:t>., 2017).</w:t>
      </w:r>
    </w:p>
    <w:p w14:paraId="38E8B202" w14:textId="03458E10" w:rsidR="00910207" w:rsidRDefault="00910207" w:rsidP="00910207">
      <w:pPr>
        <w:pStyle w:val="Default"/>
        <w:spacing w:line="360" w:lineRule="auto"/>
        <w:jc w:val="both"/>
        <w:rPr>
          <w:sz w:val="28"/>
          <w:szCs w:val="28"/>
        </w:rPr>
      </w:pPr>
      <w:r w:rsidRPr="01F72ADF">
        <w:rPr>
          <w:sz w:val="28"/>
          <w:szCs w:val="28"/>
        </w:rPr>
        <w:t xml:space="preserve">Several studies have investigated gender differences in </w:t>
      </w:r>
      <w:r w:rsidRPr="01F72ADF">
        <w:rPr>
          <w:i/>
          <w:iCs/>
          <w:sz w:val="28"/>
          <w:szCs w:val="28"/>
        </w:rPr>
        <w:t>H. pylori</w:t>
      </w:r>
      <w:r w:rsidRPr="01F72ADF">
        <w:rPr>
          <w:sz w:val="28"/>
          <w:szCs w:val="28"/>
        </w:rPr>
        <w:t xml:space="preserve"> prevalence, yielding mixed results. A study in Nnewi Nigeria by Chukwuma </w:t>
      </w:r>
      <w:r w:rsidRPr="01F72ADF">
        <w:rPr>
          <w:i/>
          <w:iCs/>
          <w:sz w:val="28"/>
          <w:szCs w:val="28"/>
        </w:rPr>
        <w:t>et al</w:t>
      </w:r>
      <w:r w:rsidRPr="01F72ADF">
        <w:rPr>
          <w:sz w:val="28"/>
          <w:szCs w:val="28"/>
        </w:rPr>
        <w:t xml:space="preserve">. (2021) found a similar trend, with a marginally higher prevalence in males. Conversely, a meta-analysis of global </w:t>
      </w:r>
      <w:r w:rsidRPr="01F72ADF">
        <w:rPr>
          <w:i/>
          <w:iCs/>
          <w:sz w:val="28"/>
          <w:szCs w:val="28"/>
        </w:rPr>
        <w:t>H. pylori</w:t>
      </w:r>
      <w:r w:rsidRPr="01F72ADF">
        <w:rPr>
          <w:sz w:val="28"/>
          <w:szCs w:val="28"/>
        </w:rPr>
        <w:t xml:space="preserve"> prevalence found slightly higher infection rates in males, particularly in regions with higher overall prevalence (Hooi </w:t>
      </w:r>
      <w:r w:rsidRPr="01F72ADF">
        <w:rPr>
          <w:i/>
          <w:iCs/>
          <w:sz w:val="28"/>
          <w:szCs w:val="28"/>
        </w:rPr>
        <w:t>et al</w:t>
      </w:r>
      <w:r w:rsidRPr="01F72ADF">
        <w:rPr>
          <w:sz w:val="28"/>
          <w:szCs w:val="28"/>
        </w:rPr>
        <w:t xml:space="preserve">., 2017). A study in Iran, however, found that females had a slightly higher prevalence, attributing it to potential differences in health-seeking behavior and hormonal factors (Eshraghian, 2014). </w:t>
      </w:r>
      <w:r w:rsidR="3B5338E1" w:rsidRPr="01F72ADF">
        <w:rPr>
          <w:color w:val="FF0000"/>
          <w:sz w:val="28"/>
          <w:szCs w:val="28"/>
        </w:rPr>
        <w:t>There are</w:t>
      </w:r>
      <w:r w:rsidRPr="01F72ADF">
        <w:rPr>
          <w:color w:val="FF0000"/>
          <w:sz w:val="28"/>
          <w:szCs w:val="28"/>
        </w:rPr>
        <w:t xml:space="preserve"> </w:t>
      </w:r>
      <w:r w:rsidRPr="01F72ADF">
        <w:rPr>
          <w:sz w:val="28"/>
          <w:szCs w:val="28"/>
        </w:rPr>
        <w:t xml:space="preserve">habits that may contribute to slightly higher prevalence of </w:t>
      </w:r>
      <w:r w:rsidRPr="01F72ADF">
        <w:rPr>
          <w:i/>
          <w:iCs/>
          <w:sz w:val="28"/>
          <w:szCs w:val="28"/>
        </w:rPr>
        <w:t>H. pylori</w:t>
      </w:r>
      <w:r w:rsidRPr="01F72ADF">
        <w:rPr>
          <w:sz w:val="28"/>
          <w:szCs w:val="28"/>
        </w:rPr>
        <w:t xml:space="preserve"> in men. Males often engage in behaviors that may increase their exposure to </w:t>
      </w:r>
      <w:r w:rsidRPr="01F72ADF">
        <w:rPr>
          <w:i/>
          <w:iCs/>
          <w:sz w:val="28"/>
          <w:szCs w:val="28"/>
        </w:rPr>
        <w:t>H. pylori</w:t>
      </w:r>
      <w:r w:rsidRPr="01F72ADF">
        <w:rPr>
          <w:sz w:val="28"/>
          <w:szCs w:val="28"/>
        </w:rPr>
        <w:t xml:space="preserve">, such as eating outside the home more frequently, consuming street food, and having poorer hand hygiene compared to females (Smith </w:t>
      </w:r>
      <w:r w:rsidRPr="01F72ADF">
        <w:rPr>
          <w:i/>
          <w:iCs/>
          <w:sz w:val="28"/>
          <w:szCs w:val="28"/>
        </w:rPr>
        <w:t>et al</w:t>
      </w:r>
      <w:r w:rsidRPr="01F72ADF">
        <w:rPr>
          <w:sz w:val="28"/>
          <w:szCs w:val="28"/>
        </w:rPr>
        <w:t>., 2018).</w:t>
      </w:r>
    </w:p>
    <w:p w14:paraId="5201DBCE" w14:textId="77777777" w:rsidR="00910207" w:rsidRDefault="00910207" w:rsidP="00910207">
      <w:pPr>
        <w:pStyle w:val="Default"/>
        <w:spacing w:line="360" w:lineRule="auto"/>
        <w:jc w:val="both"/>
        <w:rPr>
          <w:sz w:val="28"/>
          <w:szCs w:val="28"/>
        </w:rPr>
      </w:pPr>
      <w:r>
        <w:rPr>
          <w:sz w:val="28"/>
          <w:szCs w:val="28"/>
        </w:rPr>
        <w:t xml:space="preserve">Some studies suggest that estrogen may have a protective effect against </w:t>
      </w:r>
      <w:r>
        <w:rPr>
          <w:i/>
          <w:iCs/>
          <w:sz w:val="28"/>
          <w:szCs w:val="28"/>
        </w:rPr>
        <w:t>H. pylori</w:t>
      </w:r>
      <w:r>
        <w:rPr>
          <w:sz w:val="28"/>
          <w:szCs w:val="28"/>
        </w:rPr>
        <w:t xml:space="preserve"> infection in females by modulating immune responses and gastric acid secretion (Eshraghian, 2014). This may explain why some studies report lower </w:t>
      </w:r>
      <w:r>
        <w:rPr>
          <w:i/>
          <w:iCs/>
          <w:sz w:val="28"/>
          <w:szCs w:val="28"/>
        </w:rPr>
        <w:t>H. pylori</w:t>
      </w:r>
      <w:r>
        <w:rPr>
          <w:sz w:val="28"/>
          <w:szCs w:val="28"/>
        </w:rPr>
        <w:t xml:space="preserve"> prevalence in women. Women are generally more likely to seek medical attention and undergo diagnostic testing for gastrointestinal symptoms than men. This could result in earlier detection and treatment of </w:t>
      </w:r>
      <w:r>
        <w:rPr>
          <w:i/>
          <w:iCs/>
          <w:sz w:val="28"/>
          <w:szCs w:val="28"/>
        </w:rPr>
        <w:t>H. pylori</w:t>
      </w:r>
      <w:r>
        <w:rPr>
          <w:sz w:val="28"/>
          <w:szCs w:val="28"/>
        </w:rPr>
        <w:t xml:space="preserve"> infection in females, potentially lowering their prevalence rates compared to males. Certain occupations, particularly those involving frequent travel, irregular eating habits, and high-stress environments, may contribute to increased </w:t>
      </w:r>
      <w:r>
        <w:rPr>
          <w:i/>
          <w:iCs/>
          <w:sz w:val="28"/>
          <w:szCs w:val="28"/>
        </w:rPr>
        <w:t>H. pylori</w:t>
      </w:r>
      <w:r>
        <w:rPr>
          <w:sz w:val="28"/>
          <w:szCs w:val="28"/>
        </w:rPr>
        <w:t xml:space="preserve"> prevalence in men. </w:t>
      </w:r>
    </w:p>
    <w:p w14:paraId="2C5A48F3" w14:textId="77777777" w:rsidR="00910207" w:rsidRDefault="00910207" w:rsidP="00910207">
      <w:pPr>
        <w:pStyle w:val="Default"/>
        <w:spacing w:line="360" w:lineRule="auto"/>
        <w:jc w:val="both"/>
        <w:rPr>
          <w:sz w:val="28"/>
          <w:szCs w:val="28"/>
        </w:rPr>
      </w:pPr>
    </w:p>
    <w:p w14:paraId="1EAD6753" w14:textId="77777777" w:rsidR="00910207" w:rsidRDefault="00910207" w:rsidP="00910207">
      <w:pPr>
        <w:pStyle w:val="Default"/>
        <w:spacing w:line="360" w:lineRule="auto"/>
        <w:jc w:val="both"/>
        <w:rPr>
          <w:b/>
          <w:bCs/>
          <w:sz w:val="28"/>
          <w:szCs w:val="28"/>
        </w:rPr>
      </w:pPr>
      <w:r>
        <w:rPr>
          <w:b/>
          <w:bCs/>
          <w:sz w:val="28"/>
          <w:szCs w:val="28"/>
        </w:rPr>
        <w:t>4.3.</w:t>
      </w:r>
      <w:r>
        <w:rPr>
          <w:b/>
          <w:bCs/>
          <w:sz w:val="28"/>
          <w:szCs w:val="28"/>
        </w:rPr>
        <w:tab/>
        <w:t xml:space="preserve">DISTRIBUTION OF </w:t>
      </w:r>
      <w:r>
        <w:rPr>
          <w:b/>
          <w:bCs/>
          <w:i/>
          <w:iCs/>
          <w:sz w:val="28"/>
          <w:szCs w:val="28"/>
        </w:rPr>
        <w:t>H. PYLORI</w:t>
      </w:r>
      <w:r>
        <w:rPr>
          <w:b/>
          <w:bCs/>
          <w:sz w:val="28"/>
          <w:szCs w:val="28"/>
        </w:rPr>
        <w:t xml:space="preserve"> BASED ON OCCUPATION</w:t>
      </w:r>
    </w:p>
    <w:p w14:paraId="7D6194D8" w14:textId="77777777" w:rsidR="00910207" w:rsidRDefault="00910207" w:rsidP="00910207">
      <w:pPr>
        <w:pStyle w:val="Default"/>
        <w:spacing w:line="360" w:lineRule="auto"/>
        <w:jc w:val="both"/>
        <w:rPr>
          <w:sz w:val="28"/>
          <w:szCs w:val="28"/>
        </w:rPr>
      </w:pPr>
      <w:r>
        <w:rPr>
          <w:sz w:val="28"/>
          <w:szCs w:val="28"/>
        </w:rPr>
        <w:t xml:space="preserve">Understanding occupational differences in </w:t>
      </w:r>
      <w:r>
        <w:rPr>
          <w:i/>
          <w:iCs/>
          <w:sz w:val="28"/>
          <w:szCs w:val="28"/>
        </w:rPr>
        <w:t>H. pylori</w:t>
      </w:r>
      <w:r>
        <w:rPr>
          <w:sz w:val="28"/>
          <w:szCs w:val="28"/>
        </w:rPr>
        <w:t xml:space="preserve"> prevalence is essential for designing targeted public health interventions. The prevalence of </w:t>
      </w:r>
      <w:r>
        <w:rPr>
          <w:i/>
          <w:iCs/>
          <w:sz w:val="28"/>
          <w:szCs w:val="28"/>
        </w:rPr>
        <w:t>Helicobacter pylori</w:t>
      </w:r>
      <w:r>
        <w:rPr>
          <w:sz w:val="28"/>
          <w:szCs w:val="28"/>
        </w:rPr>
        <w:t xml:space="preserve"> in this study varied across different occupational groups, with drivers having the highest infection rate (58.3%), followed by traders (54.2%), teachers (44.4%), farmers (50.0%), fashion designers (50.0%), and students (45.5%). These variations suggest that occupational factors, including work environment, lifestyle, hygiene practices, and access to healthcare, may influence </w:t>
      </w:r>
      <w:r>
        <w:rPr>
          <w:i/>
          <w:iCs/>
          <w:sz w:val="28"/>
          <w:szCs w:val="28"/>
        </w:rPr>
        <w:t>H. pylori</w:t>
      </w:r>
      <w:r>
        <w:rPr>
          <w:sz w:val="28"/>
          <w:szCs w:val="28"/>
        </w:rPr>
        <w:t xml:space="preserve"> transmission and persistence. Research from different regions has shown that occupation plays a role in </w:t>
      </w:r>
      <w:r>
        <w:rPr>
          <w:i/>
          <w:iCs/>
          <w:sz w:val="28"/>
          <w:szCs w:val="28"/>
        </w:rPr>
        <w:t>H. pylori</w:t>
      </w:r>
      <w:r>
        <w:rPr>
          <w:sz w:val="28"/>
          <w:szCs w:val="28"/>
        </w:rPr>
        <w:t xml:space="preserve"> prevalence, particularly in jobs associated with poor sanitation, irregular eating habits, and increased stress. Similarly, a Nigerian study reported a higher prevalence among food vendors and traders, linking it to frequent consumption of street food and inadequate hygiene practices (Chukwuma </w:t>
      </w:r>
      <w:r>
        <w:rPr>
          <w:i/>
          <w:sz w:val="28"/>
          <w:szCs w:val="28"/>
        </w:rPr>
        <w:t>et al</w:t>
      </w:r>
      <w:r>
        <w:rPr>
          <w:sz w:val="28"/>
          <w:szCs w:val="28"/>
        </w:rPr>
        <w:t>., 2021).</w:t>
      </w:r>
    </w:p>
    <w:p w14:paraId="23981D6E" w14:textId="77777777" w:rsidR="00910207" w:rsidRDefault="00910207" w:rsidP="00910207">
      <w:pPr>
        <w:pStyle w:val="Default"/>
        <w:spacing w:line="360" w:lineRule="auto"/>
        <w:jc w:val="both"/>
        <w:rPr>
          <w:sz w:val="28"/>
          <w:szCs w:val="28"/>
        </w:rPr>
      </w:pPr>
      <w:r>
        <w:rPr>
          <w:sz w:val="28"/>
          <w:szCs w:val="28"/>
        </w:rPr>
        <w:t xml:space="preserve">In contrast, some studies have found minimal occupational differences in </w:t>
      </w:r>
      <w:r>
        <w:rPr>
          <w:i/>
          <w:iCs/>
          <w:sz w:val="28"/>
          <w:szCs w:val="28"/>
        </w:rPr>
        <w:t>H. pylori</w:t>
      </w:r>
      <w:r>
        <w:rPr>
          <w:sz w:val="28"/>
          <w:szCs w:val="28"/>
        </w:rPr>
        <w:t xml:space="preserve"> prevalence. A study in Iran showed that professionals and manual laborers had similar infection rates, suggesting that environmental factors and socioeconomic status might be more critical determinants than occupation alone (Eshraghian, 2014). Public health campaigns should target high-risk occupations, such as traders and drivers, promoting proper hand hygiene, safe food handling, and access to clean drinking water. Workers in high-risk occupations should undergo periodic screening for </w:t>
      </w:r>
      <w:r>
        <w:rPr>
          <w:i/>
          <w:iCs/>
          <w:sz w:val="28"/>
          <w:szCs w:val="28"/>
        </w:rPr>
        <w:t>H. pylori</w:t>
      </w:r>
      <w:r>
        <w:rPr>
          <w:sz w:val="28"/>
          <w:szCs w:val="28"/>
        </w:rPr>
        <w:t xml:space="preserve"> to prevent complications such as gastritis and peptic ulcers. Employers, especially in industries with high infection risks, should provide hygiene facilities, encourage regular medical checkups, and educate workers on preventive measures.</w:t>
      </w:r>
    </w:p>
    <w:p w14:paraId="1DADBB49" w14:textId="77777777" w:rsidR="00910207" w:rsidRDefault="00910207" w:rsidP="00910207">
      <w:pPr>
        <w:pStyle w:val="Default"/>
        <w:spacing w:line="360" w:lineRule="auto"/>
        <w:jc w:val="both"/>
        <w:rPr>
          <w:sz w:val="28"/>
          <w:szCs w:val="28"/>
        </w:rPr>
      </w:pPr>
    </w:p>
    <w:p w14:paraId="2CF6AD72" w14:textId="77777777" w:rsidR="00910207" w:rsidRDefault="00910207" w:rsidP="00910207">
      <w:pPr>
        <w:pStyle w:val="Default"/>
        <w:spacing w:line="360" w:lineRule="auto"/>
        <w:jc w:val="both"/>
        <w:rPr>
          <w:b/>
          <w:bCs/>
          <w:sz w:val="28"/>
          <w:szCs w:val="28"/>
        </w:rPr>
      </w:pPr>
      <w:r>
        <w:rPr>
          <w:b/>
          <w:bCs/>
          <w:sz w:val="28"/>
          <w:szCs w:val="28"/>
        </w:rPr>
        <w:t>4.4.</w:t>
      </w:r>
      <w:r>
        <w:rPr>
          <w:b/>
          <w:bCs/>
          <w:sz w:val="28"/>
          <w:szCs w:val="28"/>
        </w:rPr>
        <w:tab/>
        <w:t xml:space="preserve">DISTRIBUTION OF </w:t>
      </w:r>
      <w:r>
        <w:rPr>
          <w:b/>
          <w:bCs/>
          <w:i/>
          <w:iCs/>
          <w:sz w:val="28"/>
          <w:szCs w:val="28"/>
        </w:rPr>
        <w:t>H. PYLORI</w:t>
      </w:r>
      <w:r>
        <w:rPr>
          <w:b/>
          <w:bCs/>
          <w:sz w:val="28"/>
          <w:szCs w:val="28"/>
        </w:rPr>
        <w:t xml:space="preserve"> AMONG SUBJECTS WITH OR WITHOUT GASTROINTESTINAL SYMPTOMS</w:t>
      </w:r>
    </w:p>
    <w:p w14:paraId="0E68C4A9" w14:textId="77777777" w:rsidR="00910207" w:rsidRDefault="00910207" w:rsidP="00910207">
      <w:pPr>
        <w:pStyle w:val="Default"/>
        <w:spacing w:line="360" w:lineRule="auto"/>
        <w:jc w:val="both"/>
        <w:rPr>
          <w:sz w:val="28"/>
          <w:szCs w:val="28"/>
        </w:rPr>
      </w:pPr>
      <w:r>
        <w:rPr>
          <w:sz w:val="28"/>
          <w:szCs w:val="28"/>
        </w:rPr>
        <w:lastRenderedPageBreak/>
        <w:t xml:space="preserve">The distribution of </w:t>
      </w:r>
      <w:r>
        <w:rPr>
          <w:i/>
          <w:iCs/>
          <w:sz w:val="28"/>
          <w:szCs w:val="28"/>
        </w:rPr>
        <w:t>Helicobacter pylori</w:t>
      </w:r>
      <w:r>
        <w:rPr>
          <w:sz w:val="28"/>
          <w:szCs w:val="28"/>
        </w:rPr>
        <w:t xml:space="preserve"> (</w:t>
      </w:r>
      <w:r>
        <w:rPr>
          <w:i/>
          <w:iCs/>
          <w:sz w:val="28"/>
          <w:szCs w:val="28"/>
        </w:rPr>
        <w:t>H. pylori</w:t>
      </w:r>
      <w:r>
        <w:rPr>
          <w:sz w:val="28"/>
          <w:szCs w:val="28"/>
        </w:rPr>
        <w:t xml:space="preserve">) infection among individuals with and without gastrointestinal (GI) symptoms provides insight into the role of the bacterium in gastric diseases. In this study, </w:t>
      </w:r>
      <w:r>
        <w:rPr>
          <w:i/>
          <w:iCs/>
          <w:sz w:val="28"/>
          <w:szCs w:val="28"/>
        </w:rPr>
        <w:t>H. pylori</w:t>
      </w:r>
      <w:r>
        <w:rPr>
          <w:sz w:val="28"/>
          <w:szCs w:val="28"/>
        </w:rPr>
        <w:t xml:space="preserve"> was detected in 57.1% of individuals with gastric pain, 56.0% of those with both diarrhea and vomiting, 53.3% of those with diarrhea alone, and 37.5% of those experiencing vomiting. Among asymptomatic individuals, the prevalence was 40.0%. These findings suggest that </w:t>
      </w:r>
      <w:r>
        <w:rPr>
          <w:i/>
          <w:iCs/>
          <w:sz w:val="28"/>
          <w:szCs w:val="28"/>
        </w:rPr>
        <w:t>H. pylori</w:t>
      </w:r>
      <w:r>
        <w:rPr>
          <w:sz w:val="28"/>
          <w:szCs w:val="28"/>
        </w:rPr>
        <w:t xml:space="preserve"> infection is more common in individuals experiencing GI symptoms, particularly gastric pain, than in those without symptoms. Several recent studies have reported similar trends in the distribution of </w:t>
      </w:r>
      <w:r>
        <w:rPr>
          <w:i/>
          <w:iCs/>
          <w:sz w:val="28"/>
          <w:szCs w:val="28"/>
        </w:rPr>
        <w:t>H. pylori</w:t>
      </w:r>
      <w:r>
        <w:rPr>
          <w:sz w:val="28"/>
          <w:szCs w:val="28"/>
        </w:rPr>
        <w:t xml:space="preserve"> among symptomatic and asymptomatic individuals. A study conducted in a tertiary hospital in Southwestern Nigeria found that </w:t>
      </w:r>
      <w:r>
        <w:rPr>
          <w:i/>
          <w:iCs/>
          <w:sz w:val="28"/>
          <w:szCs w:val="28"/>
        </w:rPr>
        <w:t>H. pylori</w:t>
      </w:r>
      <w:r>
        <w:rPr>
          <w:sz w:val="28"/>
          <w:szCs w:val="28"/>
        </w:rPr>
        <w:t xml:space="preserve"> infection was more prevalent among dyspeptic patients (73.3%) than among asymptomatic individuals (52.3%), supporting the association between the bacterium and GI symptoms (Oluwole </w:t>
      </w:r>
      <w:r>
        <w:rPr>
          <w:i/>
          <w:sz w:val="28"/>
          <w:szCs w:val="28"/>
        </w:rPr>
        <w:t>et al</w:t>
      </w:r>
      <w:r>
        <w:rPr>
          <w:sz w:val="28"/>
          <w:szCs w:val="28"/>
        </w:rPr>
        <w:t xml:space="preserve">., 2024). Likewise, a study in Ethiopia revealed a prevalence of 65.4% among dyspeptic patients and 48.1% among asymptomatic individuals (Abozaid, 2023). These findings align with the current study, where individuals with GI symptoms exhibited a higher prevalence of </w:t>
      </w:r>
      <w:r>
        <w:rPr>
          <w:i/>
          <w:iCs/>
          <w:sz w:val="28"/>
          <w:szCs w:val="28"/>
        </w:rPr>
        <w:t>H. pylori</w:t>
      </w:r>
      <w:r>
        <w:rPr>
          <w:sz w:val="28"/>
          <w:szCs w:val="28"/>
        </w:rPr>
        <w:t xml:space="preserve"> than those without symptoms.</w:t>
      </w:r>
    </w:p>
    <w:p w14:paraId="644D3D7E" w14:textId="77777777" w:rsidR="00910207" w:rsidRDefault="00910207" w:rsidP="00910207">
      <w:pPr>
        <w:pStyle w:val="Default"/>
        <w:spacing w:line="360" w:lineRule="auto"/>
        <w:jc w:val="both"/>
        <w:rPr>
          <w:sz w:val="28"/>
          <w:szCs w:val="28"/>
        </w:rPr>
      </w:pPr>
      <w:r>
        <w:rPr>
          <w:sz w:val="28"/>
          <w:szCs w:val="28"/>
        </w:rPr>
        <w:t xml:space="preserve">However, some studies have reported high </w:t>
      </w:r>
      <w:r>
        <w:rPr>
          <w:i/>
          <w:iCs/>
          <w:sz w:val="28"/>
          <w:szCs w:val="28"/>
        </w:rPr>
        <w:t>H. pylori</w:t>
      </w:r>
      <w:r>
        <w:rPr>
          <w:sz w:val="28"/>
          <w:szCs w:val="28"/>
        </w:rPr>
        <w:t xml:space="preserve"> prevalence even among asymptomatic individuals. A cross-sectional study in China found that 35.0% of asymptomatic individuals tested positive for </w:t>
      </w:r>
      <w:r>
        <w:rPr>
          <w:i/>
          <w:iCs/>
          <w:sz w:val="28"/>
          <w:szCs w:val="28"/>
        </w:rPr>
        <w:t>H. pylori</w:t>
      </w:r>
      <w:r>
        <w:rPr>
          <w:sz w:val="28"/>
          <w:szCs w:val="28"/>
        </w:rPr>
        <w:t xml:space="preserve">, with no significant difference between men (35.5%) and women (34.2%) (Li </w:t>
      </w:r>
      <w:r>
        <w:rPr>
          <w:i/>
          <w:sz w:val="28"/>
          <w:szCs w:val="28"/>
        </w:rPr>
        <w:t>et al</w:t>
      </w:r>
      <w:r>
        <w:rPr>
          <w:sz w:val="28"/>
          <w:szCs w:val="28"/>
        </w:rPr>
        <w:t xml:space="preserve">., 2022). Similarly, a study in Zimbabwe reported a prevalence of 67.7% among asymptomatic individuals, highlighting the silent nature of the infection in some populations (Mungazi </w:t>
      </w:r>
      <w:r>
        <w:rPr>
          <w:i/>
          <w:sz w:val="28"/>
          <w:szCs w:val="28"/>
        </w:rPr>
        <w:t>et al</w:t>
      </w:r>
      <w:r>
        <w:rPr>
          <w:sz w:val="28"/>
          <w:szCs w:val="28"/>
        </w:rPr>
        <w:t xml:space="preserve">., 2018). These findings suggest that while </w:t>
      </w:r>
      <w:r>
        <w:rPr>
          <w:i/>
          <w:iCs/>
          <w:sz w:val="28"/>
          <w:szCs w:val="28"/>
        </w:rPr>
        <w:t>H. pylori</w:t>
      </w:r>
      <w:r>
        <w:rPr>
          <w:sz w:val="28"/>
          <w:szCs w:val="28"/>
        </w:rPr>
        <w:t xml:space="preserve"> is commonly associated with GI symptoms, it can persist in a substantial proportion of individuals without causing clinical manifestations.</w:t>
      </w:r>
    </w:p>
    <w:p w14:paraId="023CEA29" w14:textId="77777777" w:rsidR="00910207" w:rsidRDefault="00910207" w:rsidP="00910207">
      <w:pPr>
        <w:pStyle w:val="Default"/>
        <w:spacing w:line="360" w:lineRule="auto"/>
        <w:jc w:val="both"/>
        <w:rPr>
          <w:sz w:val="28"/>
          <w:szCs w:val="28"/>
        </w:rPr>
      </w:pPr>
      <w:r w:rsidRPr="01F72ADF">
        <w:rPr>
          <w:sz w:val="28"/>
          <w:szCs w:val="28"/>
        </w:rPr>
        <w:t xml:space="preserve">Some </w:t>
      </w:r>
      <w:r w:rsidRPr="01F72ADF">
        <w:rPr>
          <w:i/>
          <w:iCs/>
          <w:sz w:val="28"/>
          <w:szCs w:val="28"/>
        </w:rPr>
        <w:t>H. pylori</w:t>
      </w:r>
      <w:r w:rsidRPr="01F72ADF">
        <w:rPr>
          <w:sz w:val="28"/>
          <w:szCs w:val="28"/>
        </w:rPr>
        <w:t xml:space="preserve"> strains, particularly those expressing cytotoxin-associated gene A (CagA) and vacuolating cytotoxin A (VacA), are more virulent and more </w:t>
      </w:r>
      <w:r w:rsidRPr="01F72ADF">
        <w:rPr>
          <w:sz w:val="28"/>
          <w:szCs w:val="28"/>
        </w:rPr>
        <w:lastRenderedPageBreak/>
        <w:t xml:space="preserve">likely to cause symptomatic infections such as gastritis and ulcers (Oluwole </w:t>
      </w:r>
      <w:r w:rsidRPr="01F72ADF">
        <w:rPr>
          <w:i/>
          <w:iCs/>
          <w:sz w:val="28"/>
          <w:szCs w:val="28"/>
        </w:rPr>
        <w:t>et al</w:t>
      </w:r>
      <w:r w:rsidRPr="01F72ADF">
        <w:rPr>
          <w:sz w:val="28"/>
          <w:szCs w:val="28"/>
        </w:rPr>
        <w:t xml:space="preserve">., 2024). Individuals infected with less virulent strains may remain asymptomatic despite harboring the bacterium. Differences in immune response play a significant role in whether </w:t>
      </w:r>
      <w:r w:rsidRPr="01F72ADF">
        <w:rPr>
          <w:i/>
          <w:iCs/>
          <w:sz w:val="28"/>
          <w:szCs w:val="28"/>
        </w:rPr>
        <w:t>H. pylori</w:t>
      </w:r>
      <w:r w:rsidRPr="01F72ADF">
        <w:rPr>
          <w:sz w:val="28"/>
          <w:szCs w:val="28"/>
        </w:rPr>
        <w:t xml:space="preserve"> causes symptoms. Some individuals develop chronic inflammation leading to symptoms like gastric pain and diarrhea, while others maintain a balance between the bacterium and their immune system, remaining asymptomatic (Abozaid, 2023). Poor sanitation, contaminated water, and dietary habits influence </w:t>
      </w:r>
      <w:r w:rsidRPr="01F72ADF">
        <w:rPr>
          <w:i/>
          <w:iCs/>
          <w:sz w:val="28"/>
          <w:szCs w:val="28"/>
        </w:rPr>
        <w:t>H. pylori</w:t>
      </w:r>
      <w:r w:rsidRPr="01F72ADF">
        <w:rPr>
          <w:sz w:val="28"/>
          <w:szCs w:val="28"/>
        </w:rPr>
        <w:t xml:space="preserve"> infection outcomes. In regions with high prevalence, such as Zimbabwe and Nigeria, infection often occurs early in life, and individuals may develop tolerance to the bacterium, leading to asymptomatic cases (Mungazi </w:t>
      </w:r>
      <w:r w:rsidRPr="01F72ADF">
        <w:rPr>
          <w:i/>
          <w:iCs/>
          <w:sz w:val="28"/>
          <w:szCs w:val="28"/>
        </w:rPr>
        <w:t>et al</w:t>
      </w:r>
      <w:r w:rsidRPr="01F72ADF">
        <w:rPr>
          <w:sz w:val="28"/>
          <w:szCs w:val="28"/>
        </w:rPr>
        <w:t xml:space="preserve">., 2018). The presence of other gastrointestinal infections, malnutrition, or underlying conditions like acid reflux and peptic ulcer disease can exacerbate symptoms in </w:t>
      </w:r>
      <w:r w:rsidRPr="01F72ADF">
        <w:rPr>
          <w:i/>
          <w:iCs/>
          <w:sz w:val="28"/>
          <w:szCs w:val="28"/>
        </w:rPr>
        <w:t>H. pylori</w:t>
      </w:r>
      <w:r w:rsidRPr="01F72ADF">
        <w:rPr>
          <w:sz w:val="28"/>
          <w:szCs w:val="28"/>
        </w:rPr>
        <w:t xml:space="preserve">-infected individuals (Li </w:t>
      </w:r>
      <w:r w:rsidRPr="01F72ADF">
        <w:rPr>
          <w:i/>
          <w:iCs/>
          <w:sz w:val="28"/>
          <w:szCs w:val="28"/>
        </w:rPr>
        <w:t>et al</w:t>
      </w:r>
      <w:r w:rsidRPr="01F72ADF">
        <w:rPr>
          <w:sz w:val="28"/>
          <w:szCs w:val="28"/>
        </w:rPr>
        <w:t xml:space="preserve">., 2022). This may explain why some individuals in this study </w:t>
      </w:r>
      <w:bookmarkStart w:id="3" w:name="_Int_40Uch8MJ"/>
      <w:r w:rsidRPr="01F72ADF">
        <w:rPr>
          <w:sz w:val="28"/>
          <w:szCs w:val="28"/>
        </w:rPr>
        <w:t>presented with</w:t>
      </w:r>
      <w:bookmarkEnd w:id="3"/>
      <w:r w:rsidRPr="01F72ADF">
        <w:rPr>
          <w:sz w:val="28"/>
          <w:szCs w:val="28"/>
        </w:rPr>
        <w:t xml:space="preserve"> symptoms while others did not. The high prevalence of </w:t>
      </w:r>
      <w:r w:rsidRPr="01F72ADF">
        <w:rPr>
          <w:i/>
          <w:iCs/>
          <w:sz w:val="28"/>
          <w:szCs w:val="28"/>
        </w:rPr>
        <w:t>H. pylori</w:t>
      </w:r>
      <w:r w:rsidRPr="01F72ADF">
        <w:rPr>
          <w:sz w:val="28"/>
          <w:szCs w:val="28"/>
        </w:rPr>
        <w:t xml:space="preserve"> among symptomatic individuals reinforces the need for routine screening in patients with persistent GI symptoms, particularly gastric pain and diarrhea. However, the significant proportion of asymptomatic individuals with </w:t>
      </w:r>
      <w:r w:rsidRPr="01F72ADF">
        <w:rPr>
          <w:i/>
          <w:iCs/>
          <w:sz w:val="28"/>
          <w:szCs w:val="28"/>
        </w:rPr>
        <w:t>H. pylori</w:t>
      </w:r>
      <w:r w:rsidRPr="01F72ADF">
        <w:rPr>
          <w:sz w:val="28"/>
          <w:szCs w:val="28"/>
        </w:rPr>
        <w:t xml:space="preserve"> infection underscores the importance of broader screening strategies, as these individuals may still be at risk for long-term complications such as peptic ulcers and gastric cancer.</w:t>
      </w:r>
    </w:p>
    <w:p w14:paraId="75EFE322" w14:textId="77777777" w:rsidR="00910207" w:rsidRDefault="00910207" w:rsidP="00910207">
      <w:pPr>
        <w:pStyle w:val="Default"/>
        <w:spacing w:line="360" w:lineRule="auto"/>
        <w:jc w:val="both"/>
        <w:rPr>
          <w:sz w:val="28"/>
          <w:szCs w:val="28"/>
        </w:rPr>
      </w:pPr>
    </w:p>
    <w:p w14:paraId="0EE9910F" w14:textId="77777777" w:rsidR="00910207" w:rsidRDefault="00910207" w:rsidP="00910207">
      <w:pPr>
        <w:pStyle w:val="Default"/>
        <w:spacing w:line="360" w:lineRule="auto"/>
        <w:jc w:val="both"/>
        <w:rPr>
          <w:b/>
          <w:sz w:val="28"/>
          <w:szCs w:val="28"/>
        </w:rPr>
      </w:pPr>
      <w:r>
        <w:rPr>
          <w:b/>
          <w:sz w:val="28"/>
          <w:szCs w:val="28"/>
        </w:rPr>
        <w:t>5.</w:t>
      </w:r>
      <w:r>
        <w:rPr>
          <w:b/>
          <w:sz w:val="28"/>
          <w:szCs w:val="28"/>
        </w:rPr>
        <w:tab/>
        <w:t>CONCLUSION AND RECOMMENDATIONS</w:t>
      </w:r>
    </w:p>
    <w:p w14:paraId="316EA0AD" w14:textId="7BAA126D" w:rsidR="00910207" w:rsidRDefault="00910207" w:rsidP="00910207">
      <w:pPr>
        <w:pStyle w:val="Default"/>
        <w:spacing w:line="360" w:lineRule="auto"/>
        <w:jc w:val="both"/>
        <w:rPr>
          <w:sz w:val="28"/>
          <w:szCs w:val="28"/>
        </w:rPr>
      </w:pPr>
      <w:r w:rsidRPr="01F72ADF">
        <w:rPr>
          <w:sz w:val="28"/>
          <w:szCs w:val="28"/>
        </w:rPr>
        <w:t xml:space="preserve">This study investigated the prevalence of </w:t>
      </w:r>
      <w:r w:rsidRPr="01F72ADF">
        <w:rPr>
          <w:i/>
          <w:iCs/>
          <w:sz w:val="28"/>
          <w:szCs w:val="28"/>
        </w:rPr>
        <w:t>Helicobacter pylori</w:t>
      </w:r>
      <w:r w:rsidR="00F913A4" w:rsidRPr="01F72ADF">
        <w:rPr>
          <w:i/>
          <w:iCs/>
          <w:sz w:val="28"/>
          <w:szCs w:val="28"/>
        </w:rPr>
        <w:t xml:space="preserve"> </w:t>
      </w:r>
      <w:r w:rsidR="00F913A4" w:rsidRPr="01F72ADF">
        <w:rPr>
          <w:sz w:val="28"/>
          <w:szCs w:val="28"/>
        </w:rPr>
        <w:t>among adults in Aba</w:t>
      </w:r>
      <w:r w:rsidRPr="01F72ADF">
        <w:rPr>
          <w:sz w:val="28"/>
          <w:szCs w:val="28"/>
        </w:rPr>
        <w:t xml:space="preserve">, with an overall prevalence of 51.4%. The findings revealed variations in </w:t>
      </w:r>
      <w:r w:rsidRPr="01F72ADF">
        <w:rPr>
          <w:i/>
          <w:iCs/>
          <w:sz w:val="28"/>
          <w:szCs w:val="28"/>
        </w:rPr>
        <w:t>H. pylori</w:t>
      </w:r>
      <w:r w:rsidRPr="01F72ADF">
        <w:rPr>
          <w:sz w:val="28"/>
          <w:szCs w:val="28"/>
        </w:rPr>
        <w:t xml:space="preserve"> infection rates based on age, gender, occupation, and the presence or absence of GI symptoms. The highest prevalence was observed among individuals aged 38-43 years and those in high-risk occupations such as drivers and traders. Additionally, </w:t>
      </w:r>
      <w:r w:rsidRPr="01F72ADF">
        <w:rPr>
          <w:i/>
          <w:iCs/>
          <w:sz w:val="28"/>
          <w:szCs w:val="28"/>
        </w:rPr>
        <w:t>H. pylori</w:t>
      </w:r>
      <w:r w:rsidRPr="01F72ADF">
        <w:rPr>
          <w:sz w:val="28"/>
          <w:szCs w:val="28"/>
        </w:rPr>
        <w:t xml:space="preserve"> </w:t>
      </w:r>
      <w:r w:rsidR="1C371B5A" w:rsidRPr="01F72ADF">
        <w:rPr>
          <w:color w:val="FF0000"/>
          <w:sz w:val="28"/>
          <w:szCs w:val="28"/>
        </w:rPr>
        <w:t>were</w:t>
      </w:r>
      <w:r w:rsidRPr="01F72ADF">
        <w:rPr>
          <w:sz w:val="28"/>
          <w:szCs w:val="28"/>
        </w:rPr>
        <w:t xml:space="preserve"> more frequently detected in </w:t>
      </w:r>
      <w:r w:rsidRPr="01F72ADF">
        <w:rPr>
          <w:sz w:val="28"/>
          <w:szCs w:val="28"/>
        </w:rPr>
        <w:lastRenderedPageBreak/>
        <w:t xml:space="preserve">individuals with GI symptoms, particularly those experiencing gastric pain and diarrhea, compared to asymptomatic individuals. These results align with previous studies indicating a strong association between </w:t>
      </w:r>
      <w:r w:rsidRPr="01F72ADF">
        <w:rPr>
          <w:i/>
          <w:iCs/>
          <w:sz w:val="28"/>
          <w:szCs w:val="28"/>
        </w:rPr>
        <w:t>H. pylori</w:t>
      </w:r>
      <w:r w:rsidRPr="01F72ADF">
        <w:rPr>
          <w:sz w:val="28"/>
          <w:szCs w:val="28"/>
        </w:rPr>
        <w:t xml:space="preserve"> infection and GI disorders, particularly in regions with suboptimal hygiene and sanitation conditions. While </w:t>
      </w:r>
      <w:r w:rsidRPr="01F72ADF">
        <w:rPr>
          <w:i/>
          <w:iCs/>
          <w:sz w:val="28"/>
          <w:szCs w:val="28"/>
        </w:rPr>
        <w:t>H. pylori</w:t>
      </w:r>
      <w:r w:rsidR="00F913A4" w:rsidRPr="01F72ADF">
        <w:rPr>
          <w:sz w:val="28"/>
          <w:szCs w:val="28"/>
        </w:rPr>
        <w:t xml:space="preserve"> </w:t>
      </w:r>
      <w:r w:rsidRPr="01F72ADF">
        <w:rPr>
          <w:sz w:val="28"/>
          <w:szCs w:val="28"/>
        </w:rPr>
        <w:t xml:space="preserve">is a major contributor to GI diseases, effective preventive and therapeutic measures can significantly reduce its impact. Improved hygiene, early screening, and adherence to standard eradication protocols are crucial in managing </w:t>
      </w:r>
      <w:r w:rsidRPr="01F72ADF">
        <w:rPr>
          <w:i/>
          <w:iCs/>
          <w:sz w:val="28"/>
          <w:szCs w:val="28"/>
        </w:rPr>
        <w:t>H. pylori</w:t>
      </w:r>
      <w:r w:rsidRPr="01F72ADF">
        <w:rPr>
          <w:sz w:val="28"/>
          <w:szCs w:val="28"/>
        </w:rPr>
        <w:t xml:space="preserve"> infections. Public health initiatives should focus on increasing awareness, promoting safe sanitation practices, and ensuring access to effective treatment to reduce the incidence of </w:t>
      </w:r>
      <w:r w:rsidRPr="01F72ADF">
        <w:rPr>
          <w:i/>
          <w:iCs/>
          <w:sz w:val="28"/>
          <w:szCs w:val="28"/>
        </w:rPr>
        <w:t>H. pylori</w:t>
      </w:r>
      <w:r w:rsidRPr="01F72ADF">
        <w:rPr>
          <w:sz w:val="28"/>
          <w:szCs w:val="28"/>
        </w:rPr>
        <w:t>-related complications.</w:t>
      </w:r>
    </w:p>
    <w:p w14:paraId="7C16D779" w14:textId="77777777" w:rsidR="00910207" w:rsidRDefault="00910207" w:rsidP="00910207">
      <w:pPr>
        <w:pStyle w:val="Default"/>
        <w:spacing w:line="360" w:lineRule="auto"/>
        <w:jc w:val="both"/>
        <w:rPr>
          <w:sz w:val="28"/>
          <w:szCs w:val="28"/>
        </w:rPr>
      </w:pPr>
    </w:p>
    <w:p w14:paraId="135539DE" w14:textId="77777777" w:rsidR="00910207" w:rsidRDefault="00910207" w:rsidP="00910207">
      <w:pPr>
        <w:pStyle w:val="Default"/>
        <w:spacing w:line="360" w:lineRule="auto"/>
        <w:jc w:val="both"/>
        <w:rPr>
          <w:b/>
          <w:sz w:val="28"/>
          <w:szCs w:val="28"/>
        </w:rPr>
      </w:pPr>
      <w:r>
        <w:rPr>
          <w:b/>
          <w:sz w:val="28"/>
          <w:szCs w:val="28"/>
        </w:rPr>
        <w:t xml:space="preserve">CONSENT </w:t>
      </w:r>
    </w:p>
    <w:p w14:paraId="4799A555" w14:textId="77777777" w:rsidR="00910207" w:rsidRDefault="00910207" w:rsidP="00910207">
      <w:pPr>
        <w:pStyle w:val="Default"/>
        <w:spacing w:line="360" w:lineRule="auto"/>
        <w:jc w:val="both"/>
        <w:rPr>
          <w:sz w:val="28"/>
          <w:szCs w:val="28"/>
        </w:rPr>
      </w:pPr>
      <w:r>
        <w:rPr>
          <w:sz w:val="28"/>
          <w:szCs w:val="28"/>
        </w:rPr>
        <w:t>Written informed consent was obtained from all subjects before the study.</w:t>
      </w:r>
    </w:p>
    <w:p w14:paraId="6C6883BF" w14:textId="77777777" w:rsidR="00910207" w:rsidRDefault="00910207" w:rsidP="00910207">
      <w:pPr>
        <w:pStyle w:val="Default"/>
        <w:spacing w:line="360" w:lineRule="auto"/>
        <w:jc w:val="both"/>
        <w:rPr>
          <w:sz w:val="28"/>
          <w:szCs w:val="28"/>
        </w:rPr>
      </w:pPr>
    </w:p>
    <w:p w14:paraId="00931660" w14:textId="77777777" w:rsidR="00910207" w:rsidRDefault="00910207" w:rsidP="00910207">
      <w:pPr>
        <w:pStyle w:val="Default"/>
        <w:spacing w:line="360" w:lineRule="auto"/>
        <w:jc w:val="both"/>
        <w:rPr>
          <w:b/>
          <w:sz w:val="28"/>
          <w:szCs w:val="28"/>
        </w:rPr>
      </w:pPr>
      <w:r>
        <w:rPr>
          <w:b/>
          <w:sz w:val="28"/>
          <w:szCs w:val="28"/>
        </w:rPr>
        <w:t xml:space="preserve">ETHICAL APPROVAL </w:t>
      </w:r>
    </w:p>
    <w:p w14:paraId="25CE0837" w14:textId="77777777" w:rsidR="00910207" w:rsidRDefault="00910207" w:rsidP="00910207">
      <w:pPr>
        <w:pStyle w:val="Default"/>
        <w:spacing w:line="360" w:lineRule="auto"/>
        <w:jc w:val="both"/>
      </w:pPr>
      <w:r>
        <w:rPr>
          <w:sz w:val="28"/>
          <w:szCs w:val="28"/>
        </w:rPr>
        <w:t>This was obtained from the Research Ethical Committee of the Abia State University Teaching Hospital (ABSUTH), Aba</w:t>
      </w:r>
      <w:r>
        <w:t>.</w:t>
      </w:r>
    </w:p>
    <w:p w14:paraId="6C1DE751" w14:textId="77777777" w:rsidR="00910207" w:rsidRDefault="00910207" w:rsidP="00910207">
      <w:pPr>
        <w:pStyle w:val="Default"/>
        <w:spacing w:line="360" w:lineRule="auto"/>
        <w:jc w:val="both"/>
        <w:rPr>
          <w:sz w:val="28"/>
          <w:szCs w:val="28"/>
        </w:rPr>
      </w:pPr>
    </w:p>
    <w:p w14:paraId="524002C0" w14:textId="77777777" w:rsidR="00910207" w:rsidRDefault="00910207" w:rsidP="00910207">
      <w:pPr>
        <w:pStyle w:val="Default"/>
        <w:spacing w:line="360" w:lineRule="auto"/>
        <w:jc w:val="both"/>
        <w:rPr>
          <w:b/>
          <w:sz w:val="28"/>
          <w:szCs w:val="28"/>
        </w:rPr>
      </w:pPr>
      <w:r>
        <w:rPr>
          <w:b/>
          <w:sz w:val="28"/>
          <w:szCs w:val="28"/>
        </w:rPr>
        <w:t xml:space="preserve">DISCLAIMER (ARTIFICIAL INTELLIGENCE) </w:t>
      </w:r>
    </w:p>
    <w:p w14:paraId="7CB66CC4" w14:textId="23654E77" w:rsidR="00910207" w:rsidRDefault="00910207" w:rsidP="00910207">
      <w:pPr>
        <w:pStyle w:val="Default"/>
        <w:spacing w:line="360" w:lineRule="auto"/>
        <w:jc w:val="both"/>
      </w:pPr>
      <w:r w:rsidRPr="01F72ADF">
        <w:rPr>
          <w:sz w:val="28"/>
          <w:szCs w:val="28"/>
        </w:rPr>
        <w:t xml:space="preserve">Author(s) hereby </w:t>
      </w:r>
      <w:r w:rsidR="7495792C" w:rsidRPr="01F72ADF">
        <w:rPr>
          <w:color w:val="FF0000"/>
          <w:sz w:val="28"/>
          <w:szCs w:val="28"/>
        </w:rPr>
        <w:t>declares</w:t>
      </w:r>
      <w:r w:rsidRPr="01F72ADF">
        <w:rPr>
          <w:sz w:val="28"/>
          <w:szCs w:val="28"/>
        </w:rPr>
        <w:t xml:space="preserve"> that NO generative AI technologies such as Large Language Models (ChatGPT, COPILOT, etc) and text-to-image generators have been used during writing or editing of this manuscript</w:t>
      </w:r>
      <w:r>
        <w:t>.</w:t>
      </w:r>
    </w:p>
    <w:p w14:paraId="7D77A66B" w14:textId="77777777" w:rsidR="00910207" w:rsidRDefault="00910207" w:rsidP="00910207">
      <w:pPr>
        <w:pStyle w:val="Default"/>
        <w:spacing w:line="360" w:lineRule="auto"/>
        <w:jc w:val="both"/>
        <w:rPr>
          <w:sz w:val="28"/>
          <w:szCs w:val="28"/>
        </w:rPr>
      </w:pPr>
    </w:p>
    <w:p w14:paraId="72384397" w14:textId="77777777" w:rsidR="00910207" w:rsidRDefault="00910207" w:rsidP="00910207">
      <w:pPr>
        <w:rPr>
          <w:rFonts w:ascii="Times New Roman" w:hAnsi="Times New Roman" w:cs="Times New Roman"/>
          <w:b/>
          <w:sz w:val="28"/>
          <w:szCs w:val="28"/>
        </w:rPr>
      </w:pPr>
      <w:r>
        <w:rPr>
          <w:rFonts w:ascii="Times New Roman" w:hAnsi="Times New Roman" w:cs="Times New Roman"/>
          <w:b/>
          <w:sz w:val="28"/>
          <w:szCs w:val="28"/>
        </w:rPr>
        <w:t>COMPETING INTERESTS</w:t>
      </w:r>
    </w:p>
    <w:p w14:paraId="7385E745" w14:textId="77777777" w:rsidR="00910207" w:rsidRDefault="00910207" w:rsidP="00910207">
      <w:pPr>
        <w:rPr>
          <w:rFonts w:ascii="Times New Roman" w:hAnsi="Times New Roman" w:cs="Times New Roman"/>
          <w:sz w:val="28"/>
          <w:szCs w:val="28"/>
        </w:rPr>
      </w:pPr>
      <w:r>
        <w:rPr>
          <w:rFonts w:ascii="Times New Roman" w:hAnsi="Times New Roman" w:cs="Times New Roman"/>
          <w:sz w:val="28"/>
          <w:szCs w:val="28"/>
        </w:rPr>
        <w:t>Authors have declared that no competing interests exist.</w:t>
      </w:r>
    </w:p>
    <w:p w14:paraId="12EE66F2" w14:textId="77777777" w:rsidR="00910207" w:rsidRDefault="00910207" w:rsidP="00910207"/>
    <w:p w14:paraId="5EF0156C" w14:textId="77777777" w:rsidR="00910207" w:rsidRDefault="00910207" w:rsidP="00E16CF5">
      <w:pPr>
        <w:jc w:val="both"/>
        <w:rPr>
          <w:rFonts w:ascii="Times New Roman" w:hAnsi="Times New Roman" w:cs="Times New Roman"/>
          <w:b/>
          <w:sz w:val="28"/>
          <w:szCs w:val="28"/>
        </w:rPr>
      </w:pPr>
      <w:r>
        <w:rPr>
          <w:rFonts w:ascii="Times New Roman" w:hAnsi="Times New Roman" w:cs="Times New Roman"/>
          <w:b/>
          <w:sz w:val="28"/>
          <w:szCs w:val="28"/>
        </w:rPr>
        <w:t>REFERENCES</w:t>
      </w:r>
    </w:p>
    <w:p w14:paraId="3B72C353" w14:textId="1D075491" w:rsidR="00DE31E5" w:rsidRPr="004854A7" w:rsidRDefault="00B335C2" w:rsidP="004854A7">
      <w:pPr>
        <w:jc w:val="both"/>
        <w:rPr>
          <w:rFonts w:ascii="Times New Roman" w:hAnsi="Times New Roman" w:cs="Times New Roman"/>
          <w:sz w:val="28"/>
          <w:szCs w:val="28"/>
        </w:rPr>
      </w:pPr>
      <w:r w:rsidRPr="004854A7">
        <w:rPr>
          <w:rFonts w:ascii="Times New Roman" w:hAnsi="Times New Roman" w:cs="Times New Roman"/>
          <w:sz w:val="28"/>
          <w:szCs w:val="28"/>
        </w:rPr>
        <w:lastRenderedPageBreak/>
        <w:t xml:space="preserve">Abioye, J. O. K., Anarado, K. S., &amp; Babatunde, S. (2021). Seroprevelance of Helicobacter pylori Infection among Students of Bingham University, Karu in North-Central Nigeria. International Journal of Pathogen Research, 7(4), 38–47. </w:t>
      </w:r>
      <w:hyperlink r:id="rId7" w:history="1">
        <w:r w:rsidRPr="004854A7">
          <w:rPr>
            <w:rStyle w:val="Hyperlink"/>
            <w:rFonts w:ascii="Times New Roman" w:hAnsi="Times New Roman" w:cs="Times New Roman"/>
            <w:sz w:val="28"/>
            <w:szCs w:val="28"/>
          </w:rPr>
          <w:t>https://doi.org/10.9734/ijpr/2021/v7i430190</w:t>
        </w:r>
      </w:hyperlink>
      <w:r w:rsidRPr="004854A7">
        <w:rPr>
          <w:rFonts w:ascii="Times New Roman" w:hAnsi="Times New Roman" w:cs="Times New Roman"/>
          <w:sz w:val="28"/>
          <w:szCs w:val="28"/>
        </w:rPr>
        <w:t xml:space="preserve"> </w:t>
      </w:r>
    </w:p>
    <w:p w14:paraId="3CBC20FE" w14:textId="43885575" w:rsidR="00DE31E5" w:rsidRPr="004854A7" w:rsidRDefault="000E118F" w:rsidP="004854A7">
      <w:pPr>
        <w:jc w:val="both"/>
        <w:rPr>
          <w:rFonts w:ascii="Times New Roman" w:hAnsi="Times New Roman" w:cs="Times New Roman"/>
          <w:sz w:val="28"/>
          <w:szCs w:val="28"/>
        </w:rPr>
      </w:pPr>
      <w:r w:rsidRPr="004854A7">
        <w:rPr>
          <w:rFonts w:ascii="Times New Roman" w:hAnsi="Times New Roman" w:cs="Times New Roman"/>
          <w:sz w:val="28"/>
          <w:szCs w:val="28"/>
        </w:rPr>
        <w:t xml:space="preserve">Abozaid, L. M. (2020). Prevalence and Risk Factors of Helicobacter Pylori Infection in Asymptomatic Sudanese Population: A Cross-sectional Study. Epidemiology, Biostatistics, and Public Health, 17(2), 29-34. </w:t>
      </w:r>
      <w:hyperlink r:id="rId8" w:history="1">
        <w:r w:rsidRPr="004854A7">
          <w:rPr>
            <w:rStyle w:val="Hyperlink"/>
            <w:rFonts w:ascii="Times New Roman" w:hAnsi="Times New Roman" w:cs="Times New Roman"/>
            <w:sz w:val="28"/>
            <w:szCs w:val="28"/>
          </w:rPr>
          <w:t>https://doi.org/10.2427/13233</w:t>
        </w:r>
      </w:hyperlink>
      <w:r w:rsidRPr="004854A7">
        <w:rPr>
          <w:rFonts w:ascii="Times New Roman" w:hAnsi="Times New Roman" w:cs="Times New Roman"/>
          <w:sz w:val="28"/>
          <w:szCs w:val="28"/>
        </w:rPr>
        <w:t xml:space="preserve"> </w:t>
      </w:r>
    </w:p>
    <w:p w14:paraId="184A81F3" w14:textId="0C6307D1" w:rsidR="00DE31E5" w:rsidRPr="004854A7" w:rsidRDefault="00A5795E"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Alfarouk, K. O., Bashir, A. H. H., Aljarbou, A. N., Ramadan, A. M., Muddathir, A. K., AlHoufie, S. T. S., Hifny, A., Elhassan, G. O., Ibrahim, M. E., Alqahtani, S. S., AlSharari, S. D., Supuran, C. T., Rauch, C., Cardone, R. A., Reshkin, S. J., Fais, S., &amp; Harguindey, S. (2019). The Possible Role of Helicobacter pylori in Gastric Cancer and Its Management. Frontiers in oncology, 9, 75. </w:t>
      </w:r>
      <w:hyperlink r:id="rId9" w:history="1">
        <w:r w:rsidRPr="004854A7">
          <w:rPr>
            <w:rStyle w:val="Hyperlink"/>
            <w:rFonts w:ascii="Times New Roman" w:hAnsi="Times New Roman" w:cs="Times New Roman"/>
            <w:sz w:val="28"/>
            <w:szCs w:val="28"/>
            <w:shd w:val="clear" w:color="auto" w:fill="FFFFFF"/>
          </w:rPr>
          <w:t>https://doi.org/10.3389/fonc.2019.00075</w:t>
        </w:r>
      </w:hyperlink>
      <w:r w:rsidRPr="004854A7">
        <w:rPr>
          <w:rFonts w:ascii="Times New Roman" w:hAnsi="Times New Roman" w:cs="Times New Roman"/>
          <w:color w:val="212121"/>
          <w:sz w:val="28"/>
          <w:szCs w:val="28"/>
          <w:shd w:val="clear" w:color="auto" w:fill="FFFFFF"/>
        </w:rPr>
        <w:t xml:space="preserve"> </w:t>
      </w:r>
    </w:p>
    <w:p w14:paraId="7D67FA4D" w14:textId="4DF31C22" w:rsidR="00DE31E5" w:rsidRPr="004854A7" w:rsidRDefault="00A5795E"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Cardaropoli, S., Rolfo, A., &amp; Todros, T. (2014). Helicobacter pylori and pregnancy-related disorders. World Journal of Gastroenterology, 20(3), 654–664. </w:t>
      </w:r>
      <w:hyperlink r:id="rId10" w:history="1">
        <w:r w:rsidRPr="004854A7">
          <w:rPr>
            <w:rStyle w:val="Hyperlink"/>
            <w:rFonts w:ascii="Times New Roman" w:hAnsi="Times New Roman" w:cs="Times New Roman"/>
            <w:sz w:val="28"/>
            <w:szCs w:val="28"/>
            <w:shd w:val="clear" w:color="auto" w:fill="FFFFFF"/>
          </w:rPr>
          <w:t>https://doi.org/10.3748/wjg.v20.i3.654</w:t>
        </w:r>
      </w:hyperlink>
      <w:r w:rsidRPr="004854A7">
        <w:rPr>
          <w:rFonts w:ascii="Times New Roman" w:hAnsi="Times New Roman" w:cs="Times New Roman"/>
          <w:color w:val="212121"/>
          <w:sz w:val="28"/>
          <w:szCs w:val="28"/>
          <w:shd w:val="clear" w:color="auto" w:fill="FFFFFF"/>
        </w:rPr>
        <w:t xml:space="preserve"> </w:t>
      </w:r>
    </w:p>
    <w:p w14:paraId="18FA5090" w14:textId="1B4544D5" w:rsidR="00DE31E5" w:rsidRDefault="00A5795E" w:rsidP="004854A7">
      <w:pPr>
        <w:pStyle w:val="Default"/>
        <w:spacing w:line="360" w:lineRule="auto"/>
        <w:jc w:val="both"/>
        <w:rPr>
          <w:sz w:val="28"/>
          <w:szCs w:val="28"/>
        </w:rPr>
      </w:pPr>
      <w:r w:rsidRPr="00A5795E">
        <w:rPr>
          <w:sz w:val="28"/>
          <w:szCs w:val="28"/>
        </w:rPr>
        <w:t xml:space="preserve">Chukwuma, O. M., Chukwuma, G. O., Manafa, P. O., Akulue, J. C., &amp; Jeremiah, Z. A. (2020). Prevalence and possible risk factors for Helicobacter pylori seropositivity among peptic ulcerative individuals in Nnewi, Nigeria. BioMed Research Journal, 4(1), 165-171. </w:t>
      </w:r>
      <w:hyperlink r:id="rId11" w:history="1">
        <w:r w:rsidRPr="00446FE1">
          <w:rPr>
            <w:rStyle w:val="Hyperlink"/>
            <w:sz w:val="28"/>
            <w:szCs w:val="28"/>
          </w:rPr>
          <w:t>https://doi.org/10.37273/BMRJ.2020.4.1.165-171</w:t>
        </w:r>
      </w:hyperlink>
      <w:r>
        <w:rPr>
          <w:sz w:val="28"/>
          <w:szCs w:val="28"/>
        </w:rPr>
        <w:t xml:space="preserve"> </w:t>
      </w:r>
    </w:p>
    <w:p w14:paraId="55F17010" w14:textId="3C4E5B0C" w:rsidR="00DE31E5" w:rsidRPr="004854A7" w:rsidRDefault="00AA00E0"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Eshraghian, A. (2014). Epidemiology of Helicobacter pylori infection among the healthy population in Iran and countries of the Eastern Mediterranean Region: A systematic review of prevalence and risk factors. World Journal of Gastroenterology, 20(46), 17618–17625. </w:t>
      </w:r>
      <w:hyperlink r:id="rId12" w:history="1">
        <w:r w:rsidRPr="004854A7">
          <w:rPr>
            <w:rStyle w:val="Hyperlink"/>
            <w:rFonts w:ascii="Times New Roman" w:hAnsi="Times New Roman" w:cs="Times New Roman"/>
            <w:sz w:val="28"/>
            <w:szCs w:val="28"/>
            <w:shd w:val="clear" w:color="auto" w:fill="FFFFFF"/>
          </w:rPr>
          <w:t>https://doi.org/10.3748/wjg.v20.i46.17618</w:t>
        </w:r>
      </w:hyperlink>
      <w:r w:rsidRPr="004854A7">
        <w:rPr>
          <w:rFonts w:ascii="Times New Roman" w:hAnsi="Times New Roman" w:cs="Times New Roman"/>
          <w:color w:val="212121"/>
          <w:sz w:val="28"/>
          <w:szCs w:val="28"/>
          <w:shd w:val="clear" w:color="auto" w:fill="FFFFFF"/>
        </w:rPr>
        <w:t xml:space="preserve"> </w:t>
      </w:r>
    </w:p>
    <w:p w14:paraId="2A650828" w14:textId="359757B2" w:rsidR="00DE31E5" w:rsidRPr="004854A7" w:rsidRDefault="00AA00E0" w:rsidP="004854A7">
      <w:pPr>
        <w:jc w:val="both"/>
        <w:rPr>
          <w:rFonts w:ascii="Times New Roman" w:hAnsi="Times New Roman" w:cs="Times New Roman"/>
          <w:sz w:val="28"/>
          <w:szCs w:val="28"/>
        </w:rPr>
      </w:pPr>
      <w:r w:rsidRPr="004854A7">
        <w:rPr>
          <w:rFonts w:ascii="Times New Roman" w:hAnsi="Times New Roman" w:cs="Times New Roman"/>
          <w:sz w:val="28"/>
          <w:szCs w:val="28"/>
        </w:rPr>
        <w:t xml:space="preserve">Gide, S., Ibrahim, Y., Anas, G., &amp; Alegbe, S. D. (2019). Prevalence of Helicobacter pylori Infection in Patients with Dyspeptic Symptoms in Damaturu Metropolitan. Journal of Advances in Microbiology, 18(2), 1–8. </w:t>
      </w:r>
      <w:hyperlink r:id="rId13" w:history="1">
        <w:r w:rsidRPr="004854A7">
          <w:rPr>
            <w:rStyle w:val="Hyperlink"/>
            <w:rFonts w:ascii="Times New Roman" w:hAnsi="Times New Roman" w:cs="Times New Roman"/>
            <w:sz w:val="28"/>
            <w:szCs w:val="28"/>
          </w:rPr>
          <w:t>https://doi.org/10.9734/jamb/2019/v18i230159</w:t>
        </w:r>
      </w:hyperlink>
      <w:r w:rsidRPr="004854A7">
        <w:rPr>
          <w:rFonts w:ascii="Times New Roman" w:hAnsi="Times New Roman" w:cs="Times New Roman"/>
          <w:sz w:val="28"/>
          <w:szCs w:val="28"/>
        </w:rPr>
        <w:t xml:space="preserve"> </w:t>
      </w:r>
    </w:p>
    <w:p w14:paraId="00F6A10E" w14:textId="3FA6E873" w:rsidR="00DE31E5" w:rsidRPr="004854A7" w:rsidRDefault="00AA00E0"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Hooi, J. K. Y., Lai, W. Y., Ng, W. K., Suen, M. M. Y., Underwood, F. E., Tanyingoh, D., Malfertheiner, P., Graham, D. Y., Wong, V. W. S., Wu, J. C. Y., </w:t>
      </w:r>
      <w:r w:rsidRPr="004854A7">
        <w:rPr>
          <w:rFonts w:ascii="Times New Roman" w:hAnsi="Times New Roman" w:cs="Times New Roman"/>
          <w:color w:val="212121"/>
          <w:sz w:val="28"/>
          <w:szCs w:val="28"/>
          <w:shd w:val="clear" w:color="auto" w:fill="FFFFFF"/>
        </w:rPr>
        <w:lastRenderedPageBreak/>
        <w:t xml:space="preserve">Chan, F. K. L., Sung, J. J. Y., Kaplan, G. G., &amp; Ng, S. C. (2017). Global Prevalence of Helicobacter pylori Infection: Systematic Review and Meta-Analysis. Gastroenterology, 153(2), 420–429. </w:t>
      </w:r>
      <w:hyperlink r:id="rId14" w:history="1">
        <w:r w:rsidRPr="004854A7">
          <w:rPr>
            <w:rStyle w:val="Hyperlink"/>
            <w:rFonts w:ascii="Times New Roman" w:hAnsi="Times New Roman" w:cs="Times New Roman"/>
            <w:sz w:val="28"/>
            <w:szCs w:val="28"/>
            <w:shd w:val="clear" w:color="auto" w:fill="FFFFFF"/>
          </w:rPr>
          <w:t>https://doi.org/10.1053/j.gastro.2017.04.022</w:t>
        </w:r>
      </w:hyperlink>
      <w:r w:rsidRPr="004854A7">
        <w:rPr>
          <w:rFonts w:ascii="Times New Roman" w:hAnsi="Times New Roman" w:cs="Times New Roman"/>
          <w:color w:val="212121"/>
          <w:sz w:val="28"/>
          <w:szCs w:val="28"/>
          <w:shd w:val="clear" w:color="auto" w:fill="FFFFFF"/>
        </w:rPr>
        <w:t xml:space="preserve"> </w:t>
      </w:r>
    </w:p>
    <w:p w14:paraId="108D443F" w14:textId="2059E065" w:rsidR="00DE31E5" w:rsidRDefault="00AA00E0" w:rsidP="004854A7">
      <w:pPr>
        <w:pStyle w:val="Default"/>
        <w:spacing w:line="360" w:lineRule="auto"/>
        <w:jc w:val="both"/>
        <w:rPr>
          <w:color w:val="212121"/>
          <w:sz w:val="28"/>
          <w:szCs w:val="28"/>
          <w:shd w:val="clear" w:color="auto" w:fill="FFFFFF"/>
        </w:rPr>
      </w:pPr>
      <w:r w:rsidRPr="00AA00E0">
        <w:rPr>
          <w:color w:val="212121"/>
          <w:sz w:val="28"/>
          <w:szCs w:val="28"/>
          <w:shd w:val="clear" w:color="auto" w:fill="FFFFFF"/>
        </w:rPr>
        <w:t xml:space="preserve">Li, C., Yue, J., Ding, Z., Zhang, Q., Xu, Y., Wei, Q., Wang, J., Ning, X., Zeng, H., &amp; Cao, J. (2022). Prevalence and predictors of Helicobacter pylori infection in asymptomatic individuals: a hospital-based cross-sectional study in Shenzhen, China. Postgraduate medicine, 134(7), 686–692. </w:t>
      </w:r>
      <w:hyperlink r:id="rId15" w:history="1">
        <w:r w:rsidRPr="00446FE1">
          <w:rPr>
            <w:rStyle w:val="Hyperlink"/>
            <w:sz w:val="28"/>
            <w:szCs w:val="28"/>
            <w:shd w:val="clear" w:color="auto" w:fill="FFFFFF"/>
          </w:rPr>
          <w:t>https://doi.org/10.1080/00325481.2022.2085950</w:t>
        </w:r>
      </w:hyperlink>
      <w:r>
        <w:rPr>
          <w:color w:val="212121"/>
          <w:sz w:val="28"/>
          <w:szCs w:val="28"/>
          <w:shd w:val="clear" w:color="auto" w:fill="FFFFFF"/>
        </w:rPr>
        <w:t xml:space="preserve"> </w:t>
      </w:r>
    </w:p>
    <w:p w14:paraId="167FD42C" w14:textId="2F2319C8" w:rsidR="00DE31E5" w:rsidRPr="004854A7" w:rsidRDefault="00AA00E0"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Mungazi, S. G., Chihaka, O. B., &amp; Muguti, G. I. (2018). Prevalence of Helicobacter pylori in asymptomatic patients at surgical outpatient department: Harare hospitals. Annals of medicine and surgery (2012), 35, 153–157. </w:t>
      </w:r>
      <w:hyperlink r:id="rId16" w:history="1">
        <w:r w:rsidRPr="004854A7">
          <w:rPr>
            <w:rStyle w:val="Hyperlink"/>
            <w:rFonts w:ascii="Times New Roman" w:hAnsi="Times New Roman" w:cs="Times New Roman"/>
            <w:sz w:val="28"/>
            <w:szCs w:val="28"/>
            <w:shd w:val="clear" w:color="auto" w:fill="FFFFFF"/>
          </w:rPr>
          <w:t>https://doi.org/10.1016/j.amsu.2018.09.040</w:t>
        </w:r>
      </w:hyperlink>
      <w:r w:rsidRPr="004854A7">
        <w:rPr>
          <w:rFonts w:ascii="Times New Roman" w:hAnsi="Times New Roman" w:cs="Times New Roman"/>
          <w:color w:val="212121"/>
          <w:sz w:val="28"/>
          <w:szCs w:val="28"/>
          <w:shd w:val="clear" w:color="auto" w:fill="FFFFFF"/>
        </w:rPr>
        <w:t xml:space="preserve"> </w:t>
      </w:r>
    </w:p>
    <w:p w14:paraId="40FB4C33" w14:textId="50FC16ED" w:rsidR="00DE31E5" w:rsidRPr="004854A7" w:rsidRDefault="00AA00E0"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Najafi, M., Sobhani, M., Khodadad, A., Farahmand, F., &amp; Motamed, F. (2010). Reinfection Rate after Successful Helicobacter pylori Eradication in Children. Iranian Journal of Pediatrics, 20(1), 58–62. </w:t>
      </w:r>
      <w:hyperlink r:id="rId17" w:history="1">
        <w:r w:rsidRPr="004854A7">
          <w:rPr>
            <w:rStyle w:val="Hyperlink"/>
            <w:rFonts w:ascii="Times New Roman" w:hAnsi="Times New Roman" w:cs="Times New Roman"/>
            <w:sz w:val="28"/>
            <w:szCs w:val="28"/>
            <w:shd w:val="clear" w:color="auto" w:fill="FFFFFF"/>
          </w:rPr>
          <w:t>https://doi.org/10.22038/ijp.2010.5000</w:t>
        </w:r>
      </w:hyperlink>
      <w:r w:rsidRPr="004854A7">
        <w:rPr>
          <w:rFonts w:ascii="Times New Roman" w:hAnsi="Times New Roman" w:cs="Times New Roman"/>
          <w:color w:val="212121"/>
          <w:sz w:val="28"/>
          <w:szCs w:val="28"/>
          <w:shd w:val="clear" w:color="auto" w:fill="FFFFFF"/>
        </w:rPr>
        <w:t xml:space="preserve"> </w:t>
      </w:r>
    </w:p>
    <w:p w14:paraId="03A7292B" w14:textId="051FB695" w:rsidR="00DE31E5" w:rsidRPr="004854A7" w:rsidRDefault="0049010C"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O'Connor, A., O'Morain, C. A., &amp; Ford, A. C. (2017). Population screening and treatment of Helicobacter pylori infection. Nature reviews. Gastroenterology &amp; hepatology, 14(4), 230–240. </w:t>
      </w:r>
      <w:hyperlink r:id="rId18" w:history="1">
        <w:r w:rsidRPr="004854A7">
          <w:rPr>
            <w:rStyle w:val="Hyperlink"/>
            <w:rFonts w:ascii="Times New Roman" w:hAnsi="Times New Roman" w:cs="Times New Roman"/>
            <w:sz w:val="28"/>
            <w:szCs w:val="28"/>
            <w:shd w:val="clear" w:color="auto" w:fill="FFFFFF"/>
          </w:rPr>
          <w:t>https://doi.org/10.1038/nrgastro.2016.195</w:t>
        </w:r>
      </w:hyperlink>
      <w:r w:rsidRPr="004854A7">
        <w:rPr>
          <w:rFonts w:ascii="Times New Roman" w:hAnsi="Times New Roman" w:cs="Times New Roman"/>
          <w:color w:val="212121"/>
          <w:sz w:val="28"/>
          <w:szCs w:val="28"/>
          <w:shd w:val="clear" w:color="auto" w:fill="FFFFFF"/>
        </w:rPr>
        <w:t xml:space="preserve"> </w:t>
      </w:r>
    </w:p>
    <w:p w14:paraId="3EE31051" w14:textId="058D7D8D" w:rsidR="00DE31E5" w:rsidRDefault="0049010C" w:rsidP="004854A7">
      <w:pPr>
        <w:pStyle w:val="Default"/>
        <w:spacing w:line="360" w:lineRule="auto"/>
        <w:jc w:val="both"/>
        <w:rPr>
          <w:sz w:val="28"/>
          <w:szCs w:val="28"/>
        </w:rPr>
      </w:pPr>
      <w:r w:rsidRPr="0049010C">
        <w:rPr>
          <w:sz w:val="28"/>
          <w:szCs w:val="28"/>
        </w:rPr>
        <w:t xml:space="preserve">Oluwole, T. O., Okunbor, H. N., Otaigbe, I. I., Nwadiokwu, J. I., Sadare, O. A., &amp; Elikwu, C. J. (2024). Helicobacter pylori Infection among Symptomatic Adults in a Tertiary Hospital in Southwestern Nigeria: A Retrospective Study. Asian Journal of Research in Infectious Diseases, 15(10), 16–25. </w:t>
      </w:r>
      <w:hyperlink r:id="rId19" w:history="1">
        <w:r w:rsidRPr="00446FE1">
          <w:rPr>
            <w:rStyle w:val="Hyperlink"/>
            <w:sz w:val="28"/>
            <w:szCs w:val="28"/>
          </w:rPr>
          <w:t>https://doi.org/10.9734/ajrid/2024/v15i10378</w:t>
        </w:r>
      </w:hyperlink>
      <w:r>
        <w:rPr>
          <w:sz w:val="28"/>
          <w:szCs w:val="28"/>
        </w:rPr>
        <w:t xml:space="preserve"> </w:t>
      </w:r>
    </w:p>
    <w:p w14:paraId="27F5C806" w14:textId="78088C89" w:rsidR="00DE31E5" w:rsidRPr="004854A7" w:rsidRDefault="0049010C" w:rsidP="004854A7">
      <w:pPr>
        <w:jc w:val="both"/>
        <w:rPr>
          <w:rFonts w:ascii="Times New Roman" w:hAnsi="Times New Roman" w:cs="Times New Roman"/>
          <w:sz w:val="28"/>
          <w:szCs w:val="28"/>
        </w:rPr>
      </w:pPr>
      <w:r w:rsidRPr="004854A7">
        <w:rPr>
          <w:rFonts w:ascii="Times New Roman" w:hAnsi="Times New Roman" w:cs="Times New Roman"/>
          <w:sz w:val="28"/>
          <w:szCs w:val="28"/>
        </w:rPr>
        <w:t xml:space="preserve">Owowo, E. E., Christopher, M. A., Okon, I. E., Antia, U. E., &amp; Umoh, V. (2019). Prevalence of Helicobacter pylori Infection among Internally Displaced Persons from Bakassi Peninsular and Etim Ekpo in South Southern, Nigeria. Journal of Biosciences and Medicines, 7, 28-37. </w:t>
      </w:r>
      <w:hyperlink r:id="rId20" w:history="1">
        <w:r w:rsidRPr="004854A7">
          <w:rPr>
            <w:rStyle w:val="Hyperlink"/>
            <w:rFonts w:ascii="Times New Roman" w:hAnsi="Times New Roman" w:cs="Times New Roman"/>
            <w:sz w:val="28"/>
            <w:szCs w:val="28"/>
          </w:rPr>
          <w:t>https://doi.org/10.4236/jbm.2019.79004</w:t>
        </w:r>
      </w:hyperlink>
      <w:r w:rsidRPr="004854A7">
        <w:rPr>
          <w:rFonts w:ascii="Times New Roman" w:hAnsi="Times New Roman" w:cs="Times New Roman"/>
          <w:sz w:val="28"/>
          <w:szCs w:val="28"/>
        </w:rPr>
        <w:t xml:space="preserve"> </w:t>
      </w:r>
    </w:p>
    <w:p w14:paraId="1B07446E" w14:textId="268FB433" w:rsidR="00DE31E5" w:rsidRPr="004854A7" w:rsidRDefault="0049010C"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Rugge, M., Correa, P., Di Mario, F., El-Omar, E., Fiocca, R., Geboes, K., Genta, R. M., Graham, D. Y., Hattori, T., Malfertheiner, P., Nakajima, S., </w:t>
      </w:r>
      <w:r w:rsidRPr="004854A7">
        <w:rPr>
          <w:rFonts w:ascii="Times New Roman" w:hAnsi="Times New Roman" w:cs="Times New Roman"/>
          <w:color w:val="212121"/>
          <w:sz w:val="28"/>
          <w:szCs w:val="28"/>
          <w:shd w:val="clear" w:color="auto" w:fill="FFFFFF"/>
        </w:rPr>
        <w:lastRenderedPageBreak/>
        <w:t xml:space="preserve">Sipponen, P., Sung, J., Weinstein, W., &amp; Vieth, M. (2008). OLGA staging for gastritis: a tutorial. Digestive and liver disease, 40(8), 650–658. </w:t>
      </w:r>
      <w:hyperlink r:id="rId21" w:history="1">
        <w:r w:rsidRPr="004854A7">
          <w:rPr>
            <w:rStyle w:val="Hyperlink"/>
            <w:rFonts w:ascii="Times New Roman" w:hAnsi="Times New Roman" w:cs="Times New Roman"/>
            <w:sz w:val="28"/>
            <w:szCs w:val="28"/>
            <w:shd w:val="clear" w:color="auto" w:fill="FFFFFF"/>
          </w:rPr>
          <w:t>https://doi.org/10.1016/j.dld.2008.02.030</w:t>
        </w:r>
      </w:hyperlink>
      <w:r w:rsidRPr="004854A7">
        <w:rPr>
          <w:rFonts w:ascii="Times New Roman" w:hAnsi="Times New Roman" w:cs="Times New Roman"/>
          <w:color w:val="212121"/>
          <w:sz w:val="28"/>
          <w:szCs w:val="28"/>
          <w:shd w:val="clear" w:color="auto" w:fill="FFFFFF"/>
        </w:rPr>
        <w:t xml:space="preserve"> </w:t>
      </w:r>
    </w:p>
    <w:p w14:paraId="00D8F6EC" w14:textId="0D6CBF90" w:rsidR="00DE31E5" w:rsidRPr="004854A7" w:rsidRDefault="005C3F33"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Smith, S. I., Jolaiya, T., Onyekwere, C., Fowora, M., Ugiagbe, R., Agbo, I., Cookey, C., Lesi, O., Ndububa, D., Adekanle, O., Palamides, P., Adeleye, I., Njom, H., Idowu, A., Clarke, A., &amp; Pellicano, R. (2019). Prevalence of Helicobacter pylori infection among dyspeptic patients with and without type 2 diabetes mellitus in Nigeria. Minerva gastroenterologica e dietologica, 65(1), 36–41. </w:t>
      </w:r>
      <w:hyperlink r:id="rId22" w:history="1">
        <w:r w:rsidRPr="004854A7">
          <w:rPr>
            <w:rStyle w:val="Hyperlink"/>
            <w:rFonts w:ascii="Times New Roman" w:hAnsi="Times New Roman" w:cs="Times New Roman"/>
            <w:sz w:val="28"/>
            <w:szCs w:val="28"/>
            <w:shd w:val="clear" w:color="auto" w:fill="FFFFFF"/>
          </w:rPr>
          <w:t>https://doi.org/10.23736/S1121-421X.18.02528-X</w:t>
        </w:r>
      </w:hyperlink>
      <w:r w:rsidRPr="004854A7">
        <w:rPr>
          <w:rFonts w:ascii="Times New Roman" w:hAnsi="Times New Roman" w:cs="Times New Roman"/>
          <w:color w:val="212121"/>
          <w:sz w:val="28"/>
          <w:szCs w:val="28"/>
          <w:shd w:val="clear" w:color="auto" w:fill="FFFFFF"/>
        </w:rPr>
        <w:t xml:space="preserve"> </w:t>
      </w:r>
    </w:p>
    <w:p w14:paraId="1E856FBD" w14:textId="77777777" w:rsidR="005606D6" w:rsidRDefault="005606D6" w:rsidP="00E16CF5">
      <w:pPr>
        <w:ind w:left="720" w:hanging="720"/>
        <w:jc w:val="both"/>
      </w:pPr>
    </w:p>
    <w:sectPr w:rsidR="005606D6" w:rsidSect="005606D6">
      <w:footerReference w:type="even" r:id="rId23"/>
      <w:footerReference w:type="defaul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C2DB" w14:textId="77777777" w:rsidR="00E05C5D" w:rsidRDefault="00E05C5D" w:rsidP="00E4703C">
      <w:pPr>
        <w:spacing w:after="0" w:line="240" w:lineRule="auto"/>
      </w:pPr>
      <w:r>
        <w:separator/>
      </w:r>
    </w:p>
  </w:endnote>
  <w:endnote w:type="continuationSeparator" w:id="0">
    <w:p w14:paraId="31581AC9" w14:textId="77777777" w:rsidR="00E05C5D" w:rsidRDefault="00E05C5D" w:rsidP="00E4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4FCF" w14:textId="77777777" w:rsidR="00E4703C" w:rsidRDefault="00E47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D258" w14:textId="77777777" w:rsidR="00E4703C" w:rsidRDefault="00E47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9C3A" w14:textId="77777777" w:rsidR="00E4703C" w:rsidRDefault="00E4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CEE2" w14:textId="77777777" w:rsidR="00E05C5D" w:rsidRDefault="00E05C5D" w:rsidP="00E4703C">
      <w:pPr>
        <w:spacing w:after="0" w:line="240" w:lineRule="auto"/>
      </w:pPr>
      <w:r>
        <w:separator/>
      </w:r>
    </w:p>
  </w:footnote>
  <w:footnote w:type="continuationSeparator" w:id="0">
    <w:p w14:paraId="7BAD00CB" w14:textId="77777777" w:rsidR="00E05C5D" w:rsidRDefault="00E05C5D" w:rsidP="00E4703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0Uch8MJ" int2:invalidationBookmarkName="" int2:hashCode="YeYFNzRzeiDQp7" int2:id="BurBNcsR">
      <int2:state int2:value="Rejected" int2:type="gram"/>
    </int2:bookmark>
    <int2:bookmark int2:bookmarkName="_Int_tDArnqAo" int2:invalidationBookmarkName="" int2:hashCode="OE5DfsNl9sNxBw" int2:id="gwFFBiek">
      <int2:state int2:value="Rejected" int2:type="gram"/>
    </int2:bookmark>
    <int2:bookmark int2:bookmarkName="_Int_95n06Z85" int2:invalidationBookmarkName="" int2:hashCode="X55YArurxx+Sdf" int2:id="GJLAVULa">
      <int2:state int2:value="Rejected" int2:type="gram"/>
    </int2:bookmark>
    <int2:bookmark int2:bookmarkName="_Int_mamxZx9X" int2:invalidationBookmarkName="" int2:hashCode="/PvofiObd9VM/T" int2:id="T8J6SBm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07E32A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F7052E2"/>
    <w:multiLevelType w:val="multilevel"/>
    <w:tmpl w:val="F6F23EEE"/>
    <w:lvl w:ilvl="0">
      <w:start w:val="3"/>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15:restartNumberingAfterBreak="0">
    <w:nsid w:val="6D7C7D1E"/>
    <w:multiLevelType w:val="hybridMultilevel"/>
    <w:tmpl w:val="8FAEAA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7371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62417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71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0207"/>
    <w:rsid w:val="000E118F"/>
    <w:rsid w:val="001D5060"/>
    <w:rsid w:val="001E16BA"/>
    <w:rsid w:val="00396633"/>
    <w:rsid w:val="003C1F73"/>
    <w:rsid w:val="004854A7"/>
    <w:rsid w:val="0049010C"/>
    <w:rsid w:val="005606D6"/>
    <w:rsid w:val="005A6744"/>
    <w:rsid w:val="005C3F33"/>
    <w:rsid w:val="00600C9A"/>
    <w:rsid w:val="006600E6"/>
    <w:rsid w:val="006679A9"/>
    <w:rsid w:val="00795694"/>
    <w:rsid w:val="008949B5"/>
    <w:rsid w:val="00910207"/>
    <w:rsid w:val="00972B8D"/>
    <w:rsid w:val="00983B69"/>
    <w:rsid w:val="00A03260"/>
    <w:rsid w:val="00A22733"/>
    <w:rsid w:val="00A5795E"/>
    <w:rsid w:val="00AA00E0"/>
    <w:rsid w:val="00B335C2"/>
    <w:rsid w:val="00B91C31"/>
    <w:rsid w:val="00B931DB"/>
    <w:rsid w:val="00BA0A1B"/>
    <w:rsid w:val="00BB33B6"/>
    <w:rsid w:val="00BF3883"/>
    <w:rsid w:val="00C16231"/>
    <w:rsid w:val="00CF0F64"/>
    <w:rsid w:val="00D4079A"/>
    <w:rsid w:val="00DE31E5"/>
    <w:rsid w:val="00E05C5D"/>
    <w:rsid w:val="00E16CF5"/>
    <w:rsid w:val="00E21DB3"/>
    <w:rsid w:val="00E4703C"/>
    <w:rsid w:val="00E6737C"/>
    <w:rsid w:val="00E86EE8"/>
    <w:rsid w:val="00F913A4"/>
    <w:rsid w:val="01F72ADF"/>
    <w:rsid w:val="03E9D357"/>
    <w:rsid w:val="112C9E03"/>
    <w:rsid w:val="18E1C203"/>
    <w:rsid w:val="1C371B5A"/>
    <w:rsid w:val="1C854D20"/>
    <w:rsid w:val="265744A7"/>
    <w:rsid w:val="274DB0AA"/>
    <w:rsid w:val="288CC004"/>
    <w:rsid w:val="30FE1932"/>
    <w:rsid w:val="3361CEF0"/>
    <w:rsid w:val="3401FFCE"/>
    <w:rsid w:val="39599F9C"/>
    <w:rsid w:val="3B5338E1"/>
    <w:rsid w:val="3E6FEE34"/>
    <w:rsid w:val="3EAC29DE"/>
    <w:rsid w:val="3F202A4A"/>
    <w:rsid w:val="41E01F70"/>
    <w:rsid w:val="429D2A9F"/>
    <w:rsid w:val="43A0CDB6"/>
    <w:rsid w:val="43BAD1F7"/>
    <w:rsid w:val="45013E0E"/>
    <w:rsid w:val="4513DBEC"/>
    <w:rsid w:val="45D1C997"/>
    <w:rsid w:val="54F1C3DA"/>
    <w:rsid w:val="596D3564"/>
    <w:rsid w:val="59B00921"/>
    <w:rsid w:val="5A1FF5C7"/>
    <w:rsid w:val="5AFFB1B9"/>
    <w:rsid w:val="5B0B6889"/>
    <w:rsid w:val="5BF39731"/>
    <w:rsid w:val="5C3BB158"/>
    <w:rsid w:val="5CB18AD1"/>
    <w:rsid w:val="5FDA3D52"/>
    <w:rsid w:val="60DC7F27"/>
    <w:rsid w:val="6433CF83"/>
    <w:rsid w:val="6B09D2C5"/>
    <w:rsid w:val="6CEB706A"/>
    <w:rsid w:val="7124CD54"/>
    <w:rsid w:val="7495792C"/>
    <w:rsid w:val="749647B2"/>
    <w:rsid w:val="764B4FAA"/>
    <w:rsid w:val="76B07559"/>
    <w:rsid w:val="7883CAF2"/>
    <w:rsid w:val="79A89C47"/>
    <w:rsid w:val="7BB86779"/>
    <w:rsid w:val="7D9E85CC"/>
    <w:rsid w:val="7DB53ECF"/>
    <w:rsid w:val="7FF2AC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143EF"/>
  <w15:docId w15:val="{84ACA25D-27BA-4077-A491-7E6C0FA0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07"/>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207"/>
    <w:rPr>
      <w:color w:val="0563C1"/>
      <w:u w:val="single"/>
    </w:rPr>
  </w:style>
  <w:style w:type="paragraph" w:customStyle="1" w:styleId="Default">
    <w:name w:val="Default"/>
    <w:rsid w:val="0091020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910207"/>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B69"/>
    <w:rPr>
      <w:color w:val="605E5C"/>
      <w:shd w:val="clear" w:color="auto" w:fill="E1DFDD"/>
    </w:rPr>
  </w:style>
  <w:style w:type="paragraph" w:styleId="ListParagraph">
    <w:name w:val="List Paragraph"/>
    <w:basedOn w:val="Normal"/>
    <w:uiPriority w:val="34"/>
    <w:qFormat/>
    <w:rsid w:val="00B335C2"/>
    <w:pPr>
      <w:ind w:left="720"/>
      <w:contextualSpacing/>
    </w:pPr>
  </w:style>
  <w:style w:type="paragraph" w:styleId="Header">
    <w:name w:val="header"/>
    <w:basedOn w:val="Normal"/>
    <w:link w:val="HeaderChar"/>
    <w:uiPriority w:val="99"/>
    <w:unhideWhenUsed/>
    <w:rsid w:val="00E47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03C"/>
    <w:rPr>
      <w:rFonts w:ascii="Calibri" w:eastAsia="Calibri" w:hAnsi="Calibri" w:cs="SimSun"/>
      <w:lang w:val="en-US"/>
    </w:rPr>
  </w:style>
  <w:style w:type="paragraph" w:styleId="Footer">
    <w:name w:val="footer"/>
    <w:basedOn w:val="Normal"/>
    <w:link w:val="FooterChar"/>
    <w:uiPriority w:val="99"/>
    <w:unhideWhenUsed/>
    <w:rsid w:val="00E47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03C"/>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013">
      <w:bodyDiv w:val="1"/>
      <w:marLeft w:val="0"/>
      <w:marRight w:val="0"/>
      <w:marTop w:val="0"/>
      <w:marBottom w:val="0"/>
      <w:divBdr>
        <w:top w:val="none" w:sz="0" w:space="0" w:color="auto"/>
        <w:left w:val="none" w:sz="0" w:space="0" w:color="auto"/>
        <w:bottom w:val="none" w:sz="0" w:space="0" w:color="auto"/>
        <w:right w:val="none" w:sz="0" w:space="0" w:color="auto"/>
      </w:divBdr>
    </w:div>
    <w:div w:id="1635670453">
      <w:bodyDiv w:val="1"/>
      <w:marLeft w:val="0"/>
      <w:marRight w:val="0"/>
      <w:marTop w:val="0"/>
      <w:marBottom w:val="0"/>
      <w:divBdr>
        <w:top w:val="none" w:sz="0" w:space="0" w:color="auto"/>
        <w:left w:val="none" w:sz="0" w:space="0" w:color="auto"/>
        <w:bottom w:val="none" w:sz="0" w:space="0" w:color="auto"/>
        <w:right w:val="none" w:sz="0" w:space="0" w:color="auto"/>
      </w:divBdr>
    </w:div>
    <w:div w:id="1854300556">
      <w:bodyDiv w:val="1"/>
      <w:marLeft w:val="0"/>
      <w:marRight w:val="0"/>
      <w:marTop w:val="0"/>
      <w:marBottom w:val="0"/>
      <w:divBdr>
        <w:top w:val="none" w:sz="0" w:space="0" w:color="auto"/>
        <w:left w:val="none" w:sz="0" w:space="0" w:color="auto"/>
        <w:bottom w:val="none" w:sz="0" w:space="0" w:color="auto"/>
        <w:right w:val="none" w:sz="0" w:space="0" w:color="auto"/>
      </w:divBdr>
    </w:div>
    <w:div w:id="19284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27/13233" TargetMode="External"/><Relationship Id="rId13" Type="http://schemas.openxmlformats.org/officeDocument/2006/relationships/hyperlink" Target="https://doi.org/10.9734/jamb/2019/v18i230159" TargetMode="External"/><Relationship Id="rId18" Type="http://schemas.openxmlformats.org/officeDocument/2006/relationships/hyperlink" Target="https://doi.org/10.1038/nrgastro.2016.19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dld.2008.02.030" TargetMode="External"/><Relationship Id="rId7" Type="http://schemas.openxmlformats.org/officeDocument/2006/relationships/hyperlink" Target="https://doi.org/10.9734/ijpr/2021/v7i430190" TargetMode="External"/><Relationship Id="rId12" Type="http://schemas.openxmlformats.org/officeDocument/2006/relationships/hyperlink" Target="https://doi.org/10.3748/wjg.v20.i46.17618" TargetMode="External"/><Relationship Id="rId17" Type="http://schemas.openxmlformats.org/officeDocument/2006/relationships/hyperlink" Target="https://doi.org/10.22038/ijp.2010.500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amsu.2018.09.040" TargetMode="External"/><Relationship Id="rId20" Type="http://schemas.openxmlformats.org/officeDocument/2006/relationships/hyperlink" Target="https://doi.org/10.4236/jbm.2019.79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273/BMRJ.2020.4.1.165-17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00325481.2022.2085950"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hyperlink" Target="https://doi.org/10.3748/wjg.v20.i3.654" TargetMode="External"/><Relationship Id="rId19" Type="http://schemas.openxmlformats.org/officeDocument/2006/relationships/hyperlink" Target="https://doi.org/10.9734/ajrid/2024/v15i10378" TargetMode="External"/><Relationship Id="rId4" Type="http://schemas.openxmlformats.org/officeDocument/2006/relationships/webSettings" Target="webSettings.xml"/><Relationship Id="rId9" Type="http://schemas.openxmlformats.org/officeDocument/2006/relationships/hyperlink" Target="https://doi.org/10.3389/fonc.2019.00075" TargetMode="External"/><Relationship Id="rId14" Type="http://schemas.openxmlformats.org/officeDocument/2006/relationships/hyperlink" Target="https://doi.org/10.1053/j.gastro.2017.04.022" TargetMode="External"/><Relationship Id="rId22" Type="http://schemas.openxmlformats.org/officeDocument/2006/relationships/hyperlink" Target="https://doi.org/10.23736/S1121-421X.18.02528-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4798</Words>
  <Characters>27350</Characters>
  <Application>Microsoft Office Word</Application>
  <DocSecurity>0</DocSecurity>
  <Lines>227</Lines>
  <Paragraphs>64</Paragraphs>
  <ScaleCrop>false</ScaleCrop>
  <Company>Hewlett-Packard</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IMMACULATA</dc:creator>
  <cp:lastModifiedBy>abdelrazak ali</cp:lastModifiedBy>
  <cp:revision>20</cp:revision>
  <dcterms:created xsi:type="dcterms:W3CDTF">2025-11-30T23:19:00Z</dcterms:created>
  <dcterms:modified xsi:type="dcterms:W3CDTF">2025-12-08T15:09:00Z</dcterms:modified>
</cp:coreProperties>
</file>