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580" w:rsidRDefault="00303580">
      <w:pPr>
        <w:pStyle w:val="BodyText"/>
        <w:spacing w:before="101"/>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303580">
        <w:trPr>
          <w:trHeight w:val="290"/>
        </w:trPr>
        <w:tc>
          <w:tcPr>
            <w:tcW w:w="5168" w:type="dxa"/>
          </w:tcPr>
          <w:p w:rsidR="00303580" w:rsidRDefault="0057437C">
            <w:pPr>
              <w:pStyle w:val="TableParagraph"/>
              <w:spacing w:line="229" w:lineRule="exact"/>
              <w:ind w:left="95"/>
              <w:rPr>
                <w:rFonts w:ascii="Arial"/>
                <w:sz w:val="20"/>
              </w:rPr>
            </w:pPr>
            <w:r>
              <w:rPr>
                <w:rFonts w:ascii="Arial"/>
                <w:sz w:val="20"/>
              </w:rPr>
              <w:t>Journal</w:t>
            </w:r>
            <w:r>
              <w:rPr>
                <w:rFonts w:ascii="Arial"/>
                <w:spacing w:val="-10"/>
                <w:sz w:val="20"/>
              </w:rPr>
              <w:t xml:space="preserve"> </w:t>
            </w:r>
            <w:r>
              <w:rPr>
                <w:rFonts w:ascii="Arial"/>
                <w:spacing w:val="-2"/>
                <w:sz w:val="20"/>
              </w:rPr>
              <w:t>Name:</w:t>
            </w:r>
          </w:p>
        </w:tc>
        <w:tc>
          <w:tcPr>
            <w:tcW w:w="15770" w:type="dxa"/>
          </w:tcPr>
          <w:p w:rsidR="00303580" w:rsidRDefault="006017A9">
            <w:pPr>
              <w:pStyle w:val="TableParagraph"/>
              <w:spacing w:before="30"/>
              <w:ind w:left="108"/>
              <w:rPr>
                <w:rFonts w:ascii="Arial"/>
                <w:b/>
                <w:sz w:val="20"/>
              </w:rPr>
            </w:pPr>
            <w:hyperlink r:id="rId6">
              <w:r w:rsidR="0057437C">
                <w:rPr>
                  <w:rFonts w:ascii="Arial"/>
                  <w:b/>
                  <w:color w:val="0000FF"/>
                  <w:sz w:val="20"/>
                  <w:u w:val="single" w:color="0000FF"/>
                </w:rPr>
                <w:t>International</w:t>
              </w:r>
              <w:r w:rsidR="0057437C">
                <w:rPr>
                  <w:rFonts w:ascii="Arial"/>
                  <w:b/>
                  <w:color w:val="0000FF"/>
                  <w:spacing w:val="-8"/>
                  <w:sz w:val="20"/>
                  <w:u w:val="single" w:color="0000FF"/>
                </w:rPr>
                <w:t xml:space="preserve"> </w:t>
              </w:r>
              <w:r w:rsidR="0057437C">
                <w:rPr>
                  <w:rFonts w:ascii="Arial"/>
                  <w:b/>
                  <w:color w:val="0000FF"/>
                  <w:sz w:val="20"/>
                  <w:u w:val="single" w:color="0000FF"/>
                </w:rPr>
                <w:t>Journal</w:t>
              </w:r>
              <w:r w:rsidR="0057437C">
                <w:rPr>
                  <w:rFonts w:ascii="Arial"/>
                  <w:b/>
                  <w:color w:val="0000FF"/>
                  <w:spacing w:val="-8"/>
                  <w:sz w:val="20"/>
                  <w:u w:val="single" w:color="0000FF"/>
                </w:rPr>
                <w:t xml:space="preserve"> </w:t>
              </w:r>
              <w:r w:rsidR="0057437C">
                <w:rPr>
                  <w:rFonts w:ascii="Arial"/>
                  <w:b/>
                  <w:color w:val="0000FF"/>
                  <w:sz w:val="20"/>
                  <w:u w:val="single" w:color="0000FF"/>
                </w:rPr>
                <w:t>of</w:t>
              </w:r>
              <w:r w:rsidR="0057437C">
                <w:rPr>
                  <w:rFonts w:ascii="Arial"/>
                  <w:b/>
                  <w:color w:val="0000FF"/>
                  <w:spacing w:val="-7"/>
                  <w:sz w:val="20"/>
                  <w:u w:val="single" w:color="0000FF"/>
                </w:rPr>
                <w:t xml:space="preserve"> </w:t>
              </w:r>
              <w:r w:rsidR="0057437C">
                <w:rPr>
                  <w:rFonts w:ascii="Arial"/>
                  <w:b/>
                  <w:color w:val="0000FF"/>
                  <w:sz w:val="20"/>
                  <w:u w:val="single" w:color="0000FF"/>
                </w:rPr>
                <w:t>Research</w:t>
              </w:r>
              <w:r w:rsidR="0057437C">
                <w:rPr>
                  <w:rFonts w:ascii="Arial"/>
                  <w:b/>
                  <w:color w:val="0000FF"/>
                  <w:spacing w:val="-5"/>
                  <w:sz w:val="20"/>
                  <w:u w:val="single" w:color="0000FF"/>
                </w:rPr>
                <w:t xml:space="preserve"> </w:t>
              </w:r>
              <w:r w:rsidR="0057437C">
                <w:rPr>
                  <w:rFonts w:ascii="Arial"/>
                  <w:b/>
                  <w:color w:val="0000FF"/>
                  <w:sz w:val="20"/>
                  <w:u w:val="single" w:color="0000FF"/>
                </w:rPr>
                <w:t>and</w:t>
              </w:r>
              <w:r w:rsidR="0057437C">
                <w:rPr>
                  <w:rFonts w:ascii="Arial"/>
                  <w:b/>
                  <w:color w:val="0000FF"/>
                  <w:spacing w:val="-7"/>
                  <w:sz w:val="20"/>
                  <w:u w:val="single" w:color="0000FF"/>
                </w:rPr>
                <w:t xml:space="preserve"> </w:t>
              </w:r>
              <w:r w:rsidR="0057437C">
                <w:rPr>
                  <w:rFonts w:ascii="Arial"/>
                  <w:b/>
                  <w:color w:val="0000FF"/>
                  <w:sz w:val="20"/>
                  <w:u w:val="single" w:color="0000FF"/>
                </w:rPr>
                <w:t>Reports</w:t>
              </w:r>
              <w:r w:rsidR="0057437C">
                <w:rPr>
                  <w:rFonts w:ascii="Arial"/>
                  <w:b/>
                  <w:color w:val="0000FF"/>
                  <w:spacing w:val="-6"/>
                  <w:sz w:val="20"/>
                  <w:u w:val="single" w:color="0000FF"/>
                </w:rPr>
                <w:t xml:space="preserve"> </w:t>
              </w:r>
              <w:r w:rsidR="0057437C">
                <w:rPr>
                  <w:rFonts w:ascii="Arial"/>
                  <w:b/>
                  <w:color w:val="0000FF"/>
                  <w:sz w:val="20"/>
                  <w:u w:val="single" w:color="0000FF"/>
                </w:rPr>
                <w:t>in</w:t>
              </w:r>
              <w:r w:rsidR="0057437C">
                <w:rPr>
                  <w:rFonts w:ascii="Arial"/>
                  <w:b/>
                  <w:color w:val="0000FF"/>
                  <w:spacing w:val="-7"/>
                  <w:sz w:val="20"/>
                  <w:u w:val="single" w:color="0000FF"/>
                </w:rPr>
                <w:t xml:space="preserve"> </w:t>
              </w:r>
              <w:r w:rsidR="0057437C">
                <w:rPr>
                  <w:rFonts w:ascii="Arial"/>
                  <w:b/>
                  <w:color w:val="0000FF"/>
                  <w:spacing w:val="-2"/>
                  <w:sz w:val="20"/>
                  <w:u w:val="single" w:color="0000FF"/>
                </w:rPr>
                <w:t>Dentistry</w:t>
              </w:r>
            </w:hyperlink>
          </w:p>
        </w:tc>
      </w:tr>
      <w:tr w:rsidR="00303580">
        <w:trPr>
          <w:trHeight w:val="290"/>
        </w:trPr>
        <w:tc>
          <w:tcPr>
            <w:tcW w:w="5168" w:type="dxa"/>
          </w:tcPr>
          <w:p w:rsidR="00303580" w:rsidRDefault="0057437C">
            <w:pPr>
              <w:pStyle w:val="TableParagraph"/>
              <w:spacing w:line="229" w:lineRule="exact"/>
              <w:ind w:left="95"/>
              <w:rPr>
                <w:rFonts w:ascii="Arial"/>
                <w:sz w:val="20"/>
              </w:rPr>
            </w:pPr>
            <w:r>
              <w:rPr>
                <w:rFonts w:ascii="Arial"/>
                <w:sz w:val="20"/>
              </w:rPr>
              <w:t>Manuscript</w:t>
            </w:r>
            <w:r>
              <w:rPr>
                <w:rFonts w:ascii="Arial"/>
                <w:spacing w:val="-14"/>
                <w:sz w:val="20"/>
              </w:rPr>
              <w:t xml:space="preserve"> </w:t>
            </w:r>
            <w:r>
              <w:rPr>
                <w:rFonts w:ascii="Arial"/>
                <w:spacing w:val="-2"/>
                <w:sz w:val="20"/>
              </w:rPr>
              <w:t>Number:</w:t>
            </w:r>
          </w:p>
        </w:tc>
        <w:tc>
          <w:tcPr>
            <w:tcW w:w="15770" w:type="dxa"/>
          </w:tcPr>
          <w:p w:rsidR="00303580" w:rsidRDefault="0057437C">
            <w:pPr>
              <w:pStyle w:val="TableParagraph"/>
              <w:spacing w:before="30"/>
              <w:ind w:left="108"/>
              <w:rPr>
                <w:rFonts w:ascii="Arial"/>
                <w:b/>
                <w:sz w:val="20"/>
              </w:rPr>
            </w:pPr>
            <w:r>
              <w:rPr>
                <w:rFonts w:ascii="Arial"/>
                <w:b/>
                <w:spacing w:val="-2"/>
                <w:sz w:val="20"/>
              </w:rPr>
              <w:t>Ms_IJRRD_150233</w:t>
            </w:r>
          </w:p>
        </w:tc>
      </w:tr>
      <w:tr w:rsidR="00303580">
        <w:trPr>
          <w:trHeight w:val="650"/>
        </w:trPr>
        <w:tc>
          <w:tcPr>
            <w:tcW w:w="5168" w:type="dxa"/>
          </w:tcPr>
          <w:p w:rsidR="00303580" w:rsidRDefault="0057437C">
            <w:pPr>
              <w:pStyle w:val="TableParagraph"/>
              <w:spacing w:line="229" w:lineRule="exact"/>
              <w:ind w:left="95"/>
              <w:rPr>
                <w:rFonts w:ascii="Arial"/>
                <w:sz w:val="20"/>
              </w:rPr>
            </w:pPr>
            <w:r>
              <w:rPr>
                <w:rFonts w:ascii="Arial"/>
                <w:sz w:val="20"/>
              </w:rPr>
              <w:t>Title</w:t>
            </w:r>
            <w:r>
              <w:rPr>
                <w:rFonts w:ascii="Arial"/>
                <w:spacing w:val="-4"/>
                <w:sz w:val="20"/>
              </w:rPr>
              <w:t xml:space="preserve"> </w:t>
            </w:r>
            <w:r>
              <w:rPr>
                <w:rFonts w:ascii="Arial"/>
                <w:sz w:val="20"/>
              </w:rPr>
              <w:t>of</w:t>
            </w:r>
            <w:r>
              <w:rPr>
                <w:rFonts w:ascii="Arial"/>
                <w:spacing w:val="-5"/>
                <w:sz w:val="20"/>
              </w:rPr>
              <w:t xml:space="preserve"> </w:t>
            </w:r>
            <w:r>
              <w:rPr>
                <w:rFonts w:ascii="Arial"/>
                <w:sz w:val="20"/>
              </w:rPr>
              <w:t>the</w:t>
            </w:r>
            <w:r>
              <w:rPr>
                <w:rFonts w:ascii="Arial"/>
                <w:spacing w:val="-5"/>
                <w:sz w:val="20"/>
              </w:rPr>
              <w:t xml:space="preserve"> </w:t>
            </w:r>
            <w:r>
              <w:rPr>
                <w:rFonts w:ascii="Arial"/>
                <w:spacing w:val="-2"/>
                <w:sz w:val="20"/>
              </w:rPr>
              <w:t>Manuscript:</w:t>
            </w:r>
          </w:p>
        </w:tc>
        <w:tc>
          <w:tcPr>
            <w:tcW w:w="15770" w:type="dxa"/>
          </w:tcPr>
          <w:p w:rsidR="00303580" w:rsidRDefault="0057437C">
            <w:pPr>
              <w:pStyle w:val="TableParagraph"/>
              <w:spacing w:before="210"/>
              <w:ind w:left="108"/>
              <w:rPr>
                <w:rFonts w:ascii="Arial" w:hAnsi="Arial"/>
                <w:b/>
                <w:sz w:val="20"/>
              </w:rPr>
            </w:pPr>
            <w:r>
              <w:rPr>
                <w:rFonts w:ascii="Arial" w:hAnsi="Arial"/>
                <w:b/>
                <w:sz w:val="20"/>
              </w:rPr>
              <w:t>Informed</w:t>
            </w:r>
            <w:r>
              <w:rPr>
                <w:rFonts w:ascii="Arial" w:hAnsi="Arial"/>
                <w:b/>
                <w:spacing w:val="-7"/>
                <w:sz w:val="20"/>
              </w:rPr>
              <w:t xml:space="preserve"> </w:t>
            </w:r>
            <w:r>
              <w:rPr>
                <w:rFonts w:ascii="Arial" w:hAnsi="Arial"/>
                <w:b/>
                <w:sz w:val="20"/>
              </w:rPr>
              <w:t>consent</w:t>
            </w:r>
            <w:r>
              <w:rPr>
                <w:rFonts w:ascii="Arial" w:hAnsi="Arial"/>
                <w:b/>
                <w:spacing w:val="-6"/>
                <w:sz w:val="20"/>
              </w:rPr>
              <w:t xml:space="preserve"> </w:t>
            </w:r>
            <w:r>
              <w:rPr>
                <w:rFonts w:ascii="Arial" w:hAnsi="Arial"/>
                <w:b/>
                <w:sz w:val="20"/>
              </w:rPr>
              <w:t>in</w:t>
            </w:r>
            <w:r>
              <w:rPr>
                <w:rFonts w:ascii="Arial" w:hAnsi="Arial"/>
                <w:b/>
                <w:spacing w:val="-7"/>
                <w:sz w:val="20"/>
              </w:rPr>
              <w:t xml:space="preserve"> </w:t>
            </w:r>
            <w:r>
              <w:rPr>
                <w:rFonts w:ascii="Arial" w:hAnsi="Arial"/>
                <w:b/>
                <w:sz w:val="20"/>
              </w:rPr>
              <w:t>Dentistry</w:t>
            </w:r>
            <w:r>
              <w:rPr>
                <w:rFonts w:ascii="Arial" w:hAnsi="Arial"/>
                <w:b/>
                <w:spacing w:val="-3"/>
                <w:sz w:val="20"/>
              </w:rPr>
              <w:t xml:space="preserve"> </w:t>
            </w:r>
            <w:r>
              <w:rPr>
                <w:rFonts w:ascii="Arial" w:hAnsi="Arial"/>
                <w:b/>
                <w:sz w:val="20"/>
              </w:rPr>
              <w:t>–</w:t>
            </w:r>
            <w:r>
              <w:rPr>
                <w:rFonts w:ascii="Arial" w:hAnsi="Arial"/>
                <w:b/>
                <w:spacing w:val="-7"/>
                <w:sz w:val="20"/>
              </w:rPr>
              <w:t xml:space="preserve"> </w:t>
            </w:r>
            <w:r>
              <w:rPr>
                <w:rFonts w:ascii="Arial" w:hAnsi="Arial"/>
                <w:b/>
                <w:sz w:val="20"/>
              </w:rPr>
              <w:t>A</w:t>
            </w:r>
            <w:r>
              <w:rPr>
                <w:rFonts w:ascii="Arial" w:hAnsi="Arial"/>
                <w:b/>
                <w:spacing w:val="-7"/>
                <w:sz w:val="20"/>
              </w:rPr>
              <w:t xml:space="preserve"> </w:t>
            </w:r>
            <w:r>
              <w:rPr>
                <w:rFonts w:ascii="Arial" w:hAnsi="Arial"/>
                <w:b/>
                <w:sz w:val="20"/>
              </w:rPr>
              <w:t>qualitative</w:t>
            </w:r>
            <w:r>
              <w:rPr>
                <w:rFonts w:ascii="Arial" w:hAnsi="Arial"/>
                <w:b/>
                <w:spacing w:val="-6"/>
                <w:sz w:val="20"/>
              </w:rPr>
              <w:t xml:space="preserve"> </w:t>
            </w:r>
            <w:r>
              <w:rPr>
                <w:rFonts w:ascii="Arial" w:hAnsi="Arial"/>
                <w:b/>
                <w:spacing w:val="-4"/>
                <w:sz w:val="20"/>
              </w:rPr>
              <w:t>study</w:t>
            </w:r>
          </w:p>
        </w:tc>
      </w:tr>
      <w:tr w:rsidR="00303580">
        <w:trPr>
          <w:trHeight w:val="333"/>
        </w:trPr>
        <w:tc>
          <w:tcPr>
            <w:tcW w:w="5168" w:type="dxa"/>
          </w:tcPr>
          <w:p w:rsidR="00303580" w:rsidRDefault="0057437C">
            <w:pPr>
              <w:pStyle w:val="TableParagraph"/>
              <w:spacing w:line="229" w:lineRule="exact"/>
              <w:ind w:left="95"/>
              <w:rPr>
                <w:rFonts w:ascii="Arial"/>
                <w:sz w:val="20"/>
              </w:rPr>
            </w:pPr>
            <w:r>
              <w:rPr>
                <w:rFonts w:ascii="Arial"/>
                <w:sz w:val="20"/>
              </w:rPr>
              <w:t>Type</w:t>
            </w:r>
            <w:r>
              <w:rPr>
                <w:rFonts w:ascii="Arial"/>
                <w:spacing w:val="-5"/>
                <w:sz w:val="20"/>
              </w:rPr>
              <w:t xml:space="preserve"> </w:t>
            </w:r>
            <w:r>
              <w:rPr>
                <w:rFonts w:ascii="Arial"/>
                <w:sz w:val="20"/>
              </w:rPr>
              <w:t>of</w:t>
            </w:r>
            <w:r>
              <w:rPr>
                <w:rFonts w:ascii="Arial"/>
                <w:spacing w:val="-4"/>
                <w:sz w:val="20"/>
              </w:rPr>
              <w:t xml:space="preserve"> </w:t>
            </w:r>
            <w:r>
              <w:rPr>
                <w:rFonts w:ascii="Arial"/>
                <w:sz w:val="20"/>
              </w:rPr>
              <w:t>the</w:t>
            </w:r>
            <w:r>
              <w:rPr>
                <w:rFonts w:ascii="Arial"/>
                <w:spacing w:val="-3"/>
                <w:sz w:val="20"/>
              </w:rPr>
              <w:t xml:space="preserve"> </w:t>
            </w:r>
            <w:r>
              <w:rPr>
                <w:rFonts w:ascii="Arial"/>
                <w:spacing w:val="-2"/>
                <w:sz w:val="20"/>
              </w:rPr>
              <w:t>Article</w:t>
            </w:r>
          </w:p>
        </w:tc>
        <w:tc>
          <w:tcPr>
            <w:tcW w:w="15770" w:type="dxa"/>
          </w:tcPr>
          <w:p w:rsidR="00303580" w:rsidRDefault="00303580">
            <w:pPr>
              <w:pStyle w:val="TableParagraph"/>
              <w:rPr>
                <w:sz w:val="18"/>
              </w:rPr>
            </w:pPr>
          </w:p>
        </w:tc>
      </w:tr>
    </w:tbl>
    <w:p w:rsidR="00303580" w:rsidRDefault="00303580">
      <w:pPr>
        <w:pStyle w:val="BodyText"/>
      </w:pPr>
    </w:p>
    <w:p w:rsidR="00303580" w:rsidRDefault="00303580">
      <w:pPr>
        <w:pStyle w:val="BodyText"/>
        <w:spacing w:before="15"/>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303580">
        <w:trPr>
          <w:trHeight w:val="450"/>
        </w:trPr>
        <w:tc>
          <w:tcPr>
            <w:tcW w:w="21153" w:type="dxa"/>
            <w:gridSpan w:val="3"/>
            <w:tcBorders>
              <w:top w:val="nil"/>
              <w:left w:val="nil"/>
              <w:right w:val="nil"/>
            </w:tcBorders>
          </w:tcPr>
          <w:p w:rsidR="00303580" w:rsidRDefault="0057437C">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303580">
        <w:trPr>
          <w:trHeight w:val="964"/>
        </w:trPr>
        <w:tc>
          <w:tcPr>
            <w:tcW w:w="5353" w:type="dxa"/>
          </w:tcPr>
          <w:p w:rsidR="00303580" w:rsidRDefault="00303580">
            <w:pPr>
              <w:pStyle w:val="TableParagraph"/>
              <w:rPr>
                <w:sz w:val="18"/>
              </w:rPr>
            </w:pPr>
          </w:p>
        </w:tc>
        <w:tc>
          <w:tcPr>
            <w:tcW w:w="9356" w:type="dxa"/>
          </w:tcPr>
          <w:p w:rsidR="00303580" w:rsidRDefault="0057437C">
            <w:pPr>
              <w:pStyle w:val="TableParagraph"/>
              <w:ind w:left="107"/>
              <w:rPr>
                <w:b/>
                <w:sz w:val="20"/>
              </w:rPr>
            </w:pPr>
            <w:r>
              <w:rPr>
                <w:b/>
                <w:sz w:val="20"/>
              </w:rPr>
              <w:t>Reviewer’s</w:t>
            </w:r>
            <w:r>
              <w:rPr>
                <w:b/>
                <w:spacing w:val="-9"/>
                <w:sz w:val="20"/>
              </w:rPr>
              <w:t xml:space="preserve"> </w:t>
            </w:r>
            <w:r>
              <w:rPr>
                <w:b/>
                <w:spacing w:val="-2"/>
                <w:sz w:val="20"/>
              </w:rPr>
              <w:t>comment</w:t>
            </w:r>
          </w:p>
          <w:p w:rsidR="00303580" w:rsidRDefault="0057437C">
            <w:pPr>
              <w:pStyle w:val="TableParagraph"/>
              <w:ind w:left="107" w:right="132"/>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5"/>
                <w:sz w:val="20"/>
                <w:highlight w:val="yellow"/>
              </w:rPr>
              <w:t xml:space="preserve"> </w:t>
            </w:r>
            <w:r>
              <w:rPr>
                <w:b/>
                <w:color w:val="000000"/>
                <w:sz w:val="20"/>
                <w:highlight w:val="yellow"/>
              </w:rPr>
              <w:t>are</w:t>
            </w:r>
            <w:r>
              <w:rPr>
                <w:b/>
                <w:color w:val="000000"/>
                <w:spacing w:val="-6"/>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4" w:type="dxa"/>
          </w:tcPr>
          <w:p w:rsidR="00303580" w:rsidRDefault="0057437C">
            <w:pPr>
              <w:pStyle w:val="TableParagraph"/>
              <w:spacing w:line="254" w:lineRule="auto"/>
              <w:ind w:left="108" w:right="738"/>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303580">
        <w:trPr>
          <w:trHeight w:val="1480"/>
        </w:trPr>
        <w:tc>
          <w:tcPr>
            <w:tcW w:w="5353" w:type="dxa"/>
          </w:tcPr>
          <w:p w:rsidR="00303580" w:rsidRDefault="0057437C">
            <w:pPr>
              <w:pStyle w:val="TableParagraph"/>
              <w:ind w:left="467" w:right="200"/>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303580" w:rsidRDefault="0057437C">
            <w:pPr>
              <w:pStyle w:val="TableParagraph"/>
              <w:ind w:left="107" w:right="132"/>
              <w:rPr>
                <w:sz w:val="20"/>
              </w:rPr>
            </w:pPr>
            <w:r>
              <w:rPr>
                <w:sz w:val="20"/>
              </w:rPr>
              <w:t>This manuscript highlights a critical gap between the ethical intent and actual practice of informed consent in dentistry.</w:t>
            </w:r>
            <w:r>
              <w:rPr>
                <w:spacing w:val="-3"/>
                <w:sz w:val="20"/>
              </w:rPr>
              <w:t xml:space="preserve"> </w:t>
            </w:r>
            <w:r>
              <w:rPr>
                <w:sz w:val="20"/>
              </w:rPr>
              <w:t>By</w:t>
            </w:r>
            <w:r>
              <w:rPr>
                <w:spacing w:val="-2"/>
                <w:sz w:val="20"/>
              </w:rPr>
              <w:t xml:space="preserve"> </w:t>
            </w:r>
            <w:r>
              <w:rPr>
                <w:sz w:val="20"/>
              </w:rPr>
              <w:t>using</w:t>
            </w:r>
            <w:r>
              <w:rPr>
                <w:spacing w:val="-2"/>
                <w:sz w:val="20"/>
              </w:rPr>
              <w:t xml:space="preserve"> </w:t>
            </w:r>
            <w:r>
              <w:rPr>
                <w:sz w:val="20"/>
              </w:rPr>
              <w:t>a</w:t>
            </w:r>
            <w:r>
              <w:rPr>
                <w:spacing w:val="-5"/>
                <w:sz w:val="20"/>
              </w:rPr>
              <w:t xml:space="preserve"> </w:t>
            </w:r>
            <w:r>
              <w:rPr>
                <w:sz w:val="20"/>
              </w:rPr>
              <w:t>qualitative,</w:t>
            </w:r>
            <w:r>
              <w:rPr>
                <w:spacing w:val="-2"/>
                <w:sz w:val="20"/>
              </w:rPr>
              <w:t xml:space="preserve"> </w:t>
            </w:r>
            <w:r>
              <w:rPr>
                <w:sz w:val="20"/>
              </w:rPr>
              <w:t>practitioner-centered</w:t>
            </w:r>
            <w:r>
              <w:rPr>
                <w:spacing w:val="-2"/>
                <w:sz w:val="20"/>
              </w:rPr>
              <w:t xml:space="preserve"> </w:t>
            </w:r>
            <w:r>
              <w:rPr>
                <w:sz w:val="20"/>
              </w:rPr>
              <w:t>approach,</w:t>
            </w:r>
            <w:r>
              <w:rPr>
                <w:spacing w:val="-3"/>
                <w:sz w:val="20"/>
              </w:rPr>
              <w:t xml:space="preserve"> </w:t>
            </w:r>
            <w:r>
              <w:rPr>
                <w:sz w:val="20"/>
              </w:rPr>
              <w:t>it</w:t>
            </w:r>
            <w:r>
              <w:rPr>
                <w:spacing w:val="-4"/>
                <w:sz w:val="20"/>
              </w:rPr>
              <w:t xml:space="preserve"> </w:t>
            </w:r>
            <w:r>
              <w:rPr>
                <w:sz w:val="20"/>
              </w:rPr>
              <w:t>sheds</w:t>
            </w:r>
            <w:r>
              <w:rPr>
                <w:spacing w:val="-4"/>
                <w:sz w:val="20"/>
              </w:rPr>
              <w:t xml:space="preserve"> </w:t>
            </w:r>
            <w:r>
              <w:rPr>
                <w:sz w:val="20"/>
              </w:rPr>
              <w:t>light</w:t>
            </w:r>
            <w:r>
              <w:rPr>
                <w:spacing w:val="-6"/>
                <w:sz w:val="20"/>
              </w:rPr>
              <w:t xml:space="preserve"> </w:t>
            </w:r>
            <w:r>
              <w:rPr>
                <w:sz w:val="20"/>
              </w:rPr>
              <w:t>on</w:t>
            </w:r>
            <w:r>
              <w:rPr>
                <w:spacing w:val="-2"/>
                <w:sz w:val="20"/>
              </w:rPr>
              <w:t xml:space="preserve"> </w:t>
            </w:r>
            <w:r>
              <w:rPr>
                <w:sz w:val="20"/>
              </w:rPr>
              <w:t>real-world</w:t>
            </w:r>
            <w:r>
              <w:rPr>
                <w:spacing w:val="-2"/>
                <w:sz w:val="20"/>
              </w:rPr>
              <w:t xml:space="preserve"> </w:t>
            </w:r>
            <w:r>
              <w:rPr>
                <w:sz w:val="20"/>
              </w:rPr>
              <w:t>barriers</w:t>
            </w:r>
            <w:r>
              <w:rPr>
                <w:spacing w:val="-4"/>
                <w:sz w:val="20"/>
              </w:rPr>
              <w:t xml:space="preserve"> </w:t>
            </w:r>
            <w:r>
              <w:rPr>
                <w:sz w:val="20"/>
              </w:rPr>
              <w:t>such</w:t>
            </w:r>
            <w:r>
              <w:rPr>
                <w:spacing w:val="-2"/>
                <w:sz w:val="20"/>
              </w:rPr>
              <w:t xml:space="preserve"> </w:t>
            </w:r>
            <w:r>
              <w:rPr>
                <w:sz w:val="20"/>
              </w:rPr>
              <w:t>as</w:t>
            </w:r>
            <w:r>
              <w:rPr>
                <w:spacing w:val="-4"/>
                <w:sz w:val="20"/>
              </w:rPr>
              <w:t xml:space="preserve"> </w:t>
            </w:r>
            <w:r>
              <w:rPr>
                <w:sz w:val="20"/>
              </w:rPr>
              <w:t xml:space="preserve">lack of standardized protocols, communication challenges, and time constraints. These insights are particularly relevant in regions with diverse populations and evolving legal awareness. The study has the potential to inform dental policy, education, and ethics training programs, making it a valuable addition to the field of dental public </w:t>
            </w:r>
            <w:r>
              <w:rPr>
                <w:spacing w:val="-2"/>
                <w:sz w:val="20"/>
              </w:rPr>
              <w:t>health.</w:t>
            </w:r>
          </w:p>
        </w:tc>
        <w:tc>
          <w:tcPr>
            <w:tcW w:w="6444" w:type="dxa"/>
          </w:tcPr>
          <w:p w:rsidR="00303580" w:rsidRDefault="00303580">
            <w:pPr>
              <w:pStyle w:val="TableParagraph"/>
              <w:rPr>
                <w:sz w:val="18"/>
              </w:rPr>
            </w:pPr>
          </w:p>
        </w:tc>
      </w:tr>
      <w:tr w:rsidR="00303580">
        <w:trPr>
          <w:trHeight w:val="1262"/>
        </w:trPr>
        <w:tc>
          <w:tcPr>
            <w:tcW w:w="5353" w:type="dxa"/>
          </w:tcPr>
          <w:p w:rsidR="00303580" w:rsidRDefault="0057437C">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303580" w:rsidRDefault="0057437C">
            <w:pPr>
              <w:pStyle w:val="TableParagraph"/>
              <w:spacing w:before="1"/>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303580" w:rsidRDefault="0057437C">
            <w:pPr>
              <w:pStyle w:val="TableParagraph"/>
              <w:ind w:left="467"/>
              <w:rPr>
                <w:sz w:val="20"/>
              </w:rPr>
            </w:pPr>
            <w:r>
              <w:rPr>
                <w:spacing w:val="-5"/>
                <w:sz w:val="20"/>
              </w:rPr>
              <w:t>Yes</w:t>
            </w:r>
          </w:p>
        </w:tc>
        <w:tc>
          <w:tcPr>
            <w:tcW w:w="6444" w:type="dxa"/>
          </w:tcPr>
          <w:p w:rsidR="00303580" w:rsidRDefault="00303580">
            <w:pPr>
              <w:pStyle w:val="TableParagraph"/>
              <w:rPr>
                <w:sz w:val="18"/>
              </w:rPr>
            </w:pPr>
          </w:p>
        </w:tc>
      </w:tr>
      <w:tr w:rsidR="00303580">
        <w:trPr>
          <w:trHeight w:val="1261"/>
        </w:trPr>
        <w:tc>
          <w:tcPr>
            <w:tcW w:w="5353" w:type="dxa"/>
          </w:tcPr>
          <w:p w:rsidR="00303580" w:rsidRDefault="0057437C">
            <w:pPr>
              <w:pStyle w:val="TableParagraph"/>
              <w:ind w:left="467" w:right="200"/>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303580" w:rsidRDefault="0057437C">
            <w:pPr>
              <w:pStyle w:val="TableParagraph"/>
              <w:ind w:left="467"/>
              <w:rPr>
                <w:sz w:val="20"/>
              </w:rPr>
            </w:pPr>
            <w:r>
              <w:rPr>
                <w:sz w:val="20"/>
              </w:rPr>
              <w:t>Yes,</w:t>
            </w:r>
            <w:r>
              <w:rPr>
                <w:spacing w:val="-3"/>
                <w:sz w:val="20"/>
              </w:rPr>
              <w:t xml:space="preserve"> </w:t>
            </w:r>
            <w:r>
              <w:rPr>
                <w:sz w:val="20"/>
              </w:rPr>
              <w:t>the</w:t>
            </w:r>
            <w:r>
              <w:rPr>
                <w:spacing w:val="-3"/>
                <w:sz w:val="20"/>
              </w:rPr>
              <w:t xml:space="preserve"> </w:t>
            </w:r>
            <w:r>
              <w:rPr>
                <w:sz w:val="20"/>
              </w:rPr>
              <w:t>abstract</w:t>
            </w:r>
            <w:r>
              <w:rPr>
                <w:spacing w:val="-4"/>
                <w:sz w:val="20"/>
              </w:rPr>
              <w:t xml:space="preserve"> </w:t>
            </w:r>
            <w:r>
              <w:rPr>
                <w:sz w:val="20"/>
              </w:rPr>
              <w:t>is</w:t>
            </w:r>
            <w:r>
              <w:rPr>
                <w:spacing w:val="-4"/>
                <w:sz w:val="20"/>
              </w:rPr>
              <w:t xml:space="preserve"> </w:t>
            </w:r>
            <w:r>
              <w:rPr>
                <w:sz w:val="20"/>
              </w:rPr>
              <w:t>comprehensive</w:t>
            </w:r>
            <w:r>
              <w:rPr>
                <w:spacing w:val="-3"/>
                <w:sz w:val="20"/>
              </w:rPr>
              <w:t xml:space="preserve"> </w:t>
            </w:r>
            <w:r>
              <w:rPr>
                <w:sz w:val="20"/>
              </w:rPr>
              <w:t>and</w:t>
            </w:r>
            <w:r>
              <w:rPr>
                <w:spacing w:val="-3"/>
                <w:sz w:val="20"/>
              </w:rPr>
              <w:t xml:space="preserve"> </w:t>
            </w:r>
            <w:r>
              <w:rPr>
                <w:sz w:val="20"/>
              </w:rPr>
              <w:t>covers</w:t>
            </w:r>
            <w:r>
              <w:rPr>
                <w:spacing w:val="-4"/>
                <w:sz w:val="20"/>
              </w:rPr>
              <w:t xml:space="preserve"> </w:t>
            </w:r>
            <w:r>
              <w:rPr>
                <w:sz w:val="20"/>
              </w:rPr>
              <w:t>the</w:t>
            </w:r>
            <w:r>
              <w:rPr>
                <w:spacing w:val="-3"/>
                <w:sz w:val="20"/>
              </w:rPr>
              <w:t xml:space="preserve"> </w:t>
            </w:r>
            <w:r>
              <w:rPr>
                <w:sz w:val="20"/>
              </w:rPr>
              <w:t>background,</w:t>
            </w:r>
            <w:r>
              <w:rPr>
                <w:spacing w:val="-3"/>
                <w:sz w:val="20"/>
              </w:rPr>
              <w:t xml:space="preserve"> </w:t>
            </w:r>
            <w:r>
              <w:rPr>
                <w:sz w:val="20"/>
              </w:rPr>
              <w:t>objective,</w:t>
            </w:r>
            <w:r>
              <w:rPr>
                <w:spacing w:val="-5"/>
                <w:sz w:val="20"/>
              </w:rPr>
              <w:t xml:space="preserve"> </w:t>
            </w:r>
            <w:r>
              <w:rPr>
                <w:sz w:val="20"/>
              </w:rPr>
              <w:t>methods,</w:t>
            </w:r>
            <w:r>
              <w:rPr>
                <w:spacing w:val="-3"/>
                <w:sz w:val="20"/>
              </w:rPr>
              <w:t xml:space="preserve"> </w:t>
            </w:r>
            <w:r>
              <w:rPr>
                <w:sz w:val="20"/>
              </w:rPr>
              <w:t>key</w:t>
            </w:r>
            <w:r>
              <w:rPr>
                <w:spacing w:val="-4"/>
                <w:sz w:val="20"/>
              </w:rPr>
              <w:t xml:space="preserve"> </w:t>
            </w:r>
            <w:r>
              <w:rPr>
                <w:sz w:val="20"/>
              </w:rPr>
              <w:t>findings,</w:t>
            </w:r>
            <w:r>
              <w:rPr>
                <w:spacing w:val="-3"/>
                <w:sz w:val="20"/>
              </w:rPr>
              <w:t xml:space="preserve"> </w:t>
            </w:r>
            <w:r>
              <w:rPr>
                <w:sz w:val="20"/>
              </w:rPr>
              <w:t xml:space="preserve">and </w:t>
            </w:r>
            <w:r>
              <w:rPr>
                <w:spacing w:val="-2"/>
                <w:sz w:val="20"/>
              </w:rPr>
              <w:t>conclusion.</w:t>
            </w:r>
          </w:p>
        </w:tc>
        <w:tc>
          <w:tcPr>
            <w:tcW w:w="6444" w:type="dxa"/>
          </w:tcPr>
          <w:p w:rsidR="00303580" w:rsidRDefault="00303580">
            <w:pPr>
              <w:pStyle w:val="TableParagraph"/>
              <w:rPr>
                <w:sz w:val="18"/>
              </w:rPr>
            </w:pPr>
          </w:p>
        </w:tc>
      </w:tr>
      <w:tr w:rsidR="00303580">
        <w:trPr>
          <w:trHeight w:val="702"/>
        </w:trPr>
        <w:tc>
          <w:tcPr>
            <w:tcW w:w="5353" w:type="dxa"/>
          </w:tcPr>
          <w:p w:rsidR="00303580" w:rsidRDefault="0057437C">
            <w:pPr>
              <w:pStyle w:val="TableParagraph"/>
              <w:ind w:left="467" w:right="200"/>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303580" w:rsidRDefault="0057437C">
            <w:pPr>
              <w:pStyle w:val="TableParagraph"/>
              <w:ind w:left="107"/>
              <w:rPr>
                <w:sz w:val="20"/>
              </w:rPr>
            </w:pPr>
            <w:r>
              <w:rPr>
                <w:spacing w:val="-5"/>
                <w:sz w:val="20"/>
              </w:rPr>
              <w:t>Yes</w:t>
            </w:r>
          </w:p>
        </w:tc>
        <w:tc>
          <w:tcPr>
            <w:tcW w:w="6444" w:type="dxa"/>
          </w:tcPr>
          <w:p w:rsidR="00303580" w:rsidRDefault="00303580">
            <w:pPr>
              <w:pStyle w:val="TableParagraph"/>
              <w:rPr>
                <w:sz w:val="18"/>
              </w:rPr>
            </w:pPr>
          </w:p>
        </w:tc>
      </w:tr>
      <w:tr w:rsidR="00303580">
        <w:trPr>
          <w:trHeight w:val="703"/>
        </w:trPr>
        <w:tc>
          <w:tcPr>
            <w:tcW w:w="5353" w:type="dxa"/>
          </w:tcPr>
          <w:p w:rsidR="00303580" w:rsidRDefault="0057437C">
            <w:pPr>
              <w:pStyle w:val="TableParagraph"/>
              <w:ind w:left="467" w:right="200"/>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w:t>
            </w:r>
          </w:p>
          <w:p w:rsidR="00303580" w:rsidRDefault="0057437C">
            <w:pPr>
              <w:pStyle w:val="TableParagraph"/>
              <w:spacing w:before="1" w:line="222" w:lineRule="exact"/>
              <w:ind w:left="467"/>
              <w:rPr>
                <w:b/>
                <w:sz w:val="20"/>
              </w:rPr>
            </w:pPr>
            <w:r>
              <w:rPr>
                <w:b/>
                <w:sz w:val="20"/>
              </w:rPr>
              <w:t>them</w:t>
            </w:r>
            <w:r>
              <w:rPr>
                <w:b/>
                <w:spacing w:val="-2"/>
                <w:sz w:val="20"/>
              </w:rPr>
              <w:t xml:space="preserve"> </w:t>
            </w:r>
            <w:r>
              <w:rPr>
                <w:b/>
                <w:sz w:val="20"/>
              </w:rPr>
              <w:t>in</w:t>
            </w:r>
            <w:r>
              <w:rPr>
                <w:b/>
                <w:spacing w:val="-5"/>
                <w:sz w:val="20"/>
              </w:rPr>
              <w:t xml:space="preserve"> </w:t>
            </w:r>
            <w:r>
              <w:rPr>
                <w:b/>
                <w:sz w:val="20"/>
              </w:rPr>
              <w:t>the</w:t>
            </w:r>
            <w:r>
              <w:rPr>
                <w:b/>
                <w:spacing w:val="-4"/>
                <w:sz w:val="20"/>
              </w:rPr>
              <w:t xml:space="preserve"> </w:t>
            </w:r>
            <w:r>
              <w:rPr>
                <w:b/>
                <w:sz w:val="20"/>
              </w:rPr>
              <w:t>review</w:t>
            </w:r>
            <w:r>
              <w:rPr>
                <w:b/>
                <w:spacing w:val="-4"/>
                <w:sz w:val="20"/>
              </w:rPr>
              <w:t xml:space="preserve"> form.</w:t>
            </w:r>
          </w:p>
        </w:tc>
        <w:tc>
          <w:tcPr>
            <w:tcW w:w="9356" w:type="dxa"/>
          </w:tcPr>
          <w:p w:rsidR="00303580" w:rsidRDefault="0057437C">
            <w:pPr>
              <w:pStyle w:val="TableParagraph"/>
              <w:ind w:left="107"/>
              <w:rPr>
                <w:sz w:val="20"/>
              </w:rPr>
            </w:pPr>
            <w:r>
              <w:rPr>
                <w:sz w:val="20"/>
              </w:rPr>
              <w:t>Yes,</w:t>
            </w:r>
            <w:r>
              <w:rPr>
                <w:spacing w:val="-4"/>
                <w:sz w:val="20"/>
              </w:rPr>
              <w:t xml:space="preserve"> </w:t>
            </w:r>
            <w:r>
              <w:rPr>
                <w:sz w:val="20"/>
              </w:rPr>
              <w:t>the</w:t>
            </w:r>
            <w:r>
              <w:rPr>
                <w:spacing w:val="-4"/>
                <w:sz w:val="20"/>
              </w:rPr>
              <w:t xml:space="preserve"> </w:t>
            </w:r>
            <w:r>
              <w:rPr>
                <w:sz w:val="20"/>
              </w:rPr>
              <w:t>references</w:t>
            </w:r>
            <w:r>
              <w:rPr>
                <w:spacing w:val="-5"/>
                <w:sz w:val="20"/>
              </w:rPr>
              <w:t xml:space="preserve"> </w:t>
            </w:r>
            <w:r>
              <w:rPr>
                <w:sz w:val="20"/>
              </w:rPr>
              <w:t>are</w:t>
            </w:r>
            <w:r>
              <w:rPr>
                <w:spacing w:val="-6"/>
                <w:sz w:val="20"/>
              </w:rPr>
              <w:t xml:space="preserve"> </w:t>
            </w:r>
            <w:r>
              <w:rPr>
                <w:sz w:val="20"/>
              </w:rPr>
              <w:t>relevant,</w:t>
            </w:r>
            <w:r>
              <w:rPr>
                <w:spacing w:val="-4"/>
                <w:sz w:val="20"/>
              </w:rPr>
              <w:t xml:space="preserve"> </w:t>
            </w:r>
            <w:r>
              <w:rPr>
                <w:sz w:val="20"/>
              </w:rPr>
              <w:t>recent</w:t>
            </w:r>
            <w:r>
              <w:rPr>
                <w:spacing w:val="-5"/>
                <w:sz w:val="20"/>
              </w:rPr>
              <w:t xml:space="preserve"> </w:t>
            </w:r>
            <w:r>
              <w:rPr>
                <w:sz w:val="20"/>
              </w:rPr>
              <w:t>(many</w:t>
            </w:r>
            <w:r>
              <w:rPr>
                <w:spacing w:val="-4"/>
                <w:sz w:val="20"/>
              </w:rPr>
              <w:t xml:space="preserve"> </w:t>
            </w:r>
            <w:r>
              <w:rPr>
                <w:sz w:val="20"/>
              </w:rPr>
              <w:t>from</w:t>
            </w:r>
            <w:r>
              <w:rPr>
                <w:spacing w:val="-6"/>
                <w:sz w:val="20"/>
              </w:rPr>
              <w:t xml:space="preserve"> </w:t>
            </w:r>
            <w:r>
              <w:rPr>
                <w:sz w:val="20"/>
              </w:rPr>
              <w:t>2021–2024),</w:t>
            </w:r>
            <w:r>
              <w:rPr>
                <w:spacing w:val="-6"/>
                <w:sz w:val="20"/>
              </w:rPr>
              <w:t xml:space="preserve"> </w:t>
            </w:r>
            <w:r>
              <w:rPr>
                <w:sz w:val="20"/>
              </w:rPr>
              <w:t>and</w:t>
            </w:r>
            <w:r>
              <w:rPr>
                <w:spacing w:val="-3"/>
                <w:sz w:val="20"/>
              </w:rPr>
              <w:t xml:space="preserve"> </w:t>
            </w:r>
            <w:r>
              <w:rPr>
                <w:sz w:val="20"/>
              </w:rPr>
              <w:t>include</w:t>
            </w:r>
            <w:r>
              <w:rPr>
                <w:spacing w:val="-6"/>
                <w:sz w:val="20"/>
              </w:rPr>
              <w:t xml:space="preserve"> </w:t>
            </w:r>
            <w:r>
              <w:rPr>
                <w:sz w:val="20"/>
              </w:rPr>
              <w:t>both</w:t>
            </w:r>
            <w:r>
              <w:rPr>
                <w:spacing w:val="-5"/>
                <w:sz w:val="20"/>
              </w:rPr>
              <w:t xml:space="preserve"> </w:t>
            </w:r>
            <w:r>
              <w:rPr>
                <w:sz w:val="20"/>
              </w:rPr>
              <w:t>global</w:t>
            </w:r>
            <w:r>
              <w:rPr>
                <w:spacing w:val="-6"/>
                <w:sz w:val="20"/>
              </w:rPr>
              <w:t xml:space="preserve"> </w:t>
            </w:r>
            <w:r>
              <w:rPr>
                <w:sz w:val="20"/>
              </w:rPr>
              <w:t>and</w:t>
            </w:r>
            <w:r>
              <w:rPr>
                <w:spacing w:val="-3"/>
                <w:sz w:val="20"/>
              </w:rPr>
              <w:t xml:space="preserve"> </w:t>
            </w:r>
            <w:r>
              <w:rPr>
                <w:sz w:val="20"/>
              </w:rPr>
              <w:t>regional</w:t>
            </w:r>
            <w:r>
              <w:rPr>
                <w:spacing w:val="-4"/>
                <w:sz w:val="20"/>
              </w:rPr>
              <w:t xml:space="preserve"> </w:t>
            </w:r>
            <w:r>
              <w:rPr>
                <w:spacing w:val="-2"/>
                <w:sz w:val="20"/>
              </w:rPr>
              <w:t>studies.</w:t>
            </w:r>
          </w:p>
        </w:tc>
        <w:tc>
          <w:tcPr>
            <w:tcW w:w="6444" w:type="dxa"/>
          </w:tcPr>
          <w:p w:rsidR="00303580" w:rsidRDefault="00303580">
            <w:pPr>
              <w:pStyle w:val="TableParagraph"/>
              <w:rPr>
                <w:sz w:val="18"/>
              </w:rPr>
            </w:pPr>
          </w:p>
        </w:tc>
      </w:tr>
      <w:tr w:rsidR="00303580">
        <w:trPr>
          <w:trHeight w:val="690"/>
        </w:trPr>
        <w:tc>
          <w:tcPr>
            <w:tcW w:w="5353" w:type="dxa"/>
          </w:tcPr>
          <w:p w:rsidR="00303580" w:rsidRDefault="0057437C">
            <w:pPr>
              <w:pStyle w:val="TableParagraph"/>
              <w:ind w:left="467" w:right="200"/>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303580" w:rsidRDefault="0057437C">
            <w:pPr>
              <w:pStyle w:val="TableParagraph"/>
              <w:ind w:left="107"/>
              <w:rPr>
                <w:sz w:val="20"/>
              </w:rPr>
            </w:pPr>
            <w:r>
              <w:rPr>
                <w:sz w:val="20"/>
              </w:rPr>
              <w:t>Yes,</w:t>
            </w:r>
            <w:r>
              <w:rPr>
                <w:spacing w:val="-3"/>
                <w:sz w:val="20"/>
              </w:rPr>
              <w:t xml:space="preserve"> </w:t>
            </w:r>
            <w:r>
              <w:rPr>
                <w:sz w:val="20"/>
              </w:rPr>
              <w:t>it</w:t>
            </w:r>
            <w:r>
              <w:rPr>
                <w:spacing w:val="-3"/>
                <w:sz w:val="20"/>
              </w:rPr>
              <w:t xml:space="preserve"> </w:t>
            </w:r>
            <w:r>
              <w:rPr>
                <w:sz w:val="20"/>
              </w:rPr>
              <w:t>is</w:t>
            </w:r>
            <w:r>
              <w:rPr>
                <w:spacing w:val="-4"/>
                <w:sz w:val="20"/>
              </w:rPr>
              <w:t xml:space="preserve"> </w:t>
            </w:r>
            <w:r>
              <w:rPr>
                <w:spacing w:val="-2"/>
                <w:sz w:val="20"/>
              </w:rPr>
              <w:t>suitable.</w:t>
            </w:r>
          </w:p>
        </w:tc>
        <w:tc>
          <w:tcPr>
            <w:tcW w:w="6444" w:type="dxa"/>
          </w:tcPr>
          <w:p w:rsidR="00303580" w:rsidRDefault="00303580">
            <w:pPr>
              <w:pStyle w:val="TableParagraph"/>
              <w:rPr>
                <w:sz w:val="18"/>
              </w:rPr>
            </w:pPr>
          </w:p>
        </w:tc>
      </w:tr>
      <w:tr w:rsidR="00303580">
        <w:trPr>
          <w:trHeight w:val="1177"/>
        </w:trPr>
        <w:tc>
          <w:tcPr>
            <w:tcW w:w="5353" w:type="dxa"/>
          </w:tcPr>
          <w:p w:rsidR="00303580" w:rsidRDefault="0057437C">
            <w:pPr>
              <w:pStyle w:val="TableParagraph"/>
              <w:ind w:left="107"/>
              <w:rPr>
                <w:sz w:val="20"/>
              </w:rPr>
            </w:pPr>
            <w:r>
              <w:rPr>
                <w:b/>
                <w:sz w:val="20"/>
                <w:u w:val="single"/>
              </w:rPr>
              <w:t>Optional/General</w:t>
            </w:r>
            <w:r>
              <w:rPr>
                <w:b/>
                <w:spacing w:val="-12"/>
                <w:sz w:val="20"/>
              </w:rPr>
              <w:t xml:space="preserve"> </w:t>
            </w:r>
            <w:r>
              <w:rPr>
                <w:spacing w:val="-2"/>
                <w:sz w:val="20"/>
              </w:rPr>
              <w:t>comments</w:t>
            </w:r>
          </w:p>
        </w:tc>
        <w:tc>
          <w:tcPr>
            <w:tcW w:w="9356" w:type="dxa"/>
          </w:tcPr>
          <w:p w:rsidR="00303580" w:rsidRDefault="00303580">
            <w:pPr>
              <w:pStyle w:val="TableParagraph"/>
              <w:rPr>
                <w:sz w:val="18"/>
              </w:rPr>
            </w:pPr>
          </w:p>
        </w:tc>
        <w:tc>
          <w:tcPr>
            <w:tcW w:w="6444" w:type="dxa"/>
          </w:tcPr>
          <w:p w:rsidR="00303580" w:rsidRDefault="00303580">
            <w:pPr>
              <w:pStyle w:val="TableParagraph"/>
              <w:rPr>
                <w:sz w:val="18"/>
              </w:rPr>
            </w:pPr>
          </w:p>
        </w:tc>
      </w:tr>
    </w:tbl>
    <w:p w:rsidR="00303580" w:rsidRDefault="00303580">
      <w:pPr>
        <w:pStyle w:val="BodyText"/>
      </w:pPr>
    </w:p>
    <w:p w:rsidR="00303580" w:rsidRDefault="00303580">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6537EE" w:rsidRPr="006537EE" w:rsidTr="006537EE">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6537EE" w:rsidRPr="006537EE" w:rsidRDefault="006537EE" w:rsidP="006537EE">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6537EE">
              <w:rPr>
                <w:rFonts w:ascii="Arial" w:eastAsia="Arial Unicode MS" w:hAnsi="Arial" w:cs="Arial"/>
                <w:b/>
                <w:sz w:val="20"/>
                <w:szCs w:val="20"/>
                <w:highlight w:val="yellow"/>
                <w:u w:val="single"/>
                <w:lang w:val="en-GB"/>
              </w:rPr>
              <w:t>PART  2:</w:t>
            </w:r>
            <w:r w:rsidRPr="006537EE">
              <w:rPr>
                <w:rFonts w:ascii="Arial" w:eastAsia="Arial Unicode MS" w:hAnsi="Arial" w:cs="Arial"/>
                <w:b/>
                <w:sz w:val="20"/>
                <w:szCs w:val="20"/>
                <w:u w:val="single"/>
                <w:lang w:val="en-GB"/>
              </w:rPr>
              <w:t xml:space="preserve"> </w:t>
            </w:r>
          </w:p>
          <w:p w:rsidR="006537EE" w:rsidRPr="006537EE" w:rsidRDefault="006537EE" w:rsidP="006537EE">
            <w:pPr>
              <w:widowControl/>
              <w:autoSpaceDE/>
              <w:autoSpaceDN/>
              <w:spacing w:line="276" w:lineRule="auto"/>
              <w:rPr>
                <w:rFonts w:ascii="Arial" w:eastAsia="Arial Unicode MS" w:hAnsi="Arial" w:cs="Arial"/>
                <w:b/>
                <w:sz w:val="20"/>
                <w:szCs w:val="20"/>
                <w:u w:val="single"/>
                <w:lang w:val="en-GB"/>
              </w:rPr>
            </w:pPr>
          </w:p>
        </w:tc>
      </w:tr>
      <w:tr w:rsidR="006537EE" w:rsidRPr="006537EE" w:rsidTr="006537EE">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6537EE" w:rsidRPr="006537EE" w:rsidRDefault="006537EE" w:rsidP="006537EE">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537EE" w:rsidRPr="006537EE" w:rsidRDefault="006537EE" w:rsidP="006537EE">
            <w:pPr>
              <w:keepNext/>
              <w:widowControl/>
              <w:autoSpaceDE/>
              <w:autoSpaceDN/>
              <w:spacing w:line="276" w:lineRule="auto"/>
              <w:outlineLvl w:val="1"/>
              <w:rPr>
                <w:rFonts w:ascii="Arial" w:eastAsia="MS Mincho" w:hAnsi="Arial" w:cs="Arial"/>
                <w:b/>
                <w:bCs/>
                <w:sz w:val="20"/>
                <w:szCs w:val="20"/>
                <w:lang w:val="en-GB"/>
              </w:rPr>
            </w:pPr>
            <w:r w:rsidRPr="006537EE">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6537EE" w:rsidRPr="006537EE" w:rsidRDefault="006537EE" w:rsidP="006537EE">
            <w:pPr>
              <w:widowControl/>
              <w:autoSpaceDE/>
              <w:autoSpaceDN/>
              <w:spacing w:after="160" w:line="252" w:lineRule="auto"/>
              <w:rPr>
                <w:rFonts w:ascii="Arial" w:eastAsia="Calibri" w:hAnsi="Arial" w:cs="Arial"/>
                <w:kern w:val="2"/>
                <w:sz w:val="20"/>
                <w:szCs w:val="20"/>
                <w:lang w:val="en-IN"/>
              </w:rPr>
            </w:pPr>
            <w:r w:rsidRPr="006537EE">
              <w:rPr>
                <w:rFonts w:ascii="Arial" w:eastAsia="Calibri" w:hAnsi="Arial" w:cs="Arial"/>
                <w:b/>
                <w:kern w:val="2"/>
                <w:sz w:val="20"/>
                <w:szCs w:val="20"/>
                <w:lang w:val="en-IN"/>
              </w:rPr>
              <w:t>Author’s Feedback</w:t>
            </w:r>
            <w:r w:rsidRPr="006537EE">
              <w:rPr>
                <w:rFonts w:ascii="Arial" w:eastAsia="Calibri" w:hAnsi="Arial" w:cs="Arial"/>
                <w:kern w:val="2"/>
                <w:sz w:val="20"/>
                <w:szCs w:val="20"/>
                <w:lang w:val="en-IN"/>
              </w:rPr>
              <w:t xml:space="preserve"> (It is mandatory that authors should write his/her feedback here)</w:t>
            </w:r>
          </w:p>
          <w:p w:rsidR="006537EE" w:rsidRPr="006537EE" w:rsidRDefault="006537EE" w:rsidP="006537EE">
            <w:pPr>
              <w:keepNext/>
              <w:widowControl/>
              <w:autoSpaceDE/>
              <w:autoSpaceDN/>
              <w:spacing w:line="276" w:lineRule="auto"/>
              <w:outlineLvl w:val="1"/>
              <w:rPr>
                <w:rFonts w:ascii="Arial" w:eastAsia="MS Mincho" w:hAnsi="Arial" w:cs="Arial"/>
                <w:bCs/>
                <w:sz w:val="20"/>
                <w:szCs w:val="20"/>
                <w:lang w:val="en-GB"/>
              </w:rPr>
            </w:pPr>
          </w:p>
        </w:tc>
      </w:tr>
      <w:tr w:rsidR="006537EE" w:rsidRPr="006537EE" w:rsidTr="006537EE">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6537EE" w:rsidRPr="006537EE" w:rsidRDefault="006537EE" w:rsidP="006537EE">
            <w:pPr>
              <w:widowControl/>
              <w:autoSpaceDE/>
              <w:autoSpaceDN/>
              <w:spacing w:line="276" w:lineRule="auto"/>
              <w:rPr>
                <w:rFonts w:ascii="Arial" w:eastAsia="Arial Unicode MS" w:hAnsi="Arial" w:cs="Arial"/>
                <w:b/>
                <w:sz w:val="20"/>
                <w:szCs w:val="20"/>
                <w:lang w:val="en-GB"/>
              </w:rPr>
            </w:pPr>
            <w:r w:rsidRPr="006537EE">
              <w:rPr>
                <w:rFonts w:ascii="Arial" w:eastAsia="Arial Unicode MS" w:hAnsi="Arial" w:cs="Arial"/>
                <w:b/>
                <w:sz w:val="20"/>
                <w:szCs w:val="20"/>
                <w:lang w:val="en-GB"/>
              </w:rPr>
              <w:t xml:space="preserve">Are there ethical issues in this manuscript? </w:t>
            </w:r>
          </w:p>
          <w:p w:rsidR="006537EE" w:rsidRPr="006537EE" w:rsidRDefault="006537EE" w:rsidP="006537EE">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537EE" w:rsidRPr="006537EE" w:rsidRDefault="006537EE" w:rsidP="006537EE">
            <w:pPr>
              <w:widowControl/>
              <w:autoSpaceDE/>
              <w:autoSpaceDN/>
              <w:spacing w:line="276" w:lineRule="auto"/>
              <w:rPr>
                <w:rFonts w:ascii="Arial" w:eastAsia="Arial Unicode MS" w:hAnsi="Arial" w:cs="Arial"/>
                <w:i/>
                <w:iCs/>
                <w:sz w:val="20"/>
                <w:szCs w:val="20"/>
                <w:u w:val="single"/>
                <w:lang w:val="en-GB"/>
              </w:rPr>
            </w:pPr>
            <w:r w:rsidRPr="006537EE">
              <w:rPr>
                <w:rFonts w:ascii="Arial" w:eastAsia="Arial Unicode MS" w:hAnsi="Arial" w:cs="Arial"/>
                <w:i/>
                <w:iCs/>
                <w:sz w:val="20"/>
                <w:szCs w:val="20"/>
                <w:u w:val="single"/>
                <w:lang w:val="en-GB"/>
              </w:rPr>
              <w:t>(If yes, Kindly please write down the ethical issues here in details)</w:t>
            </w:r>
          </w:p>
          <w:p w:rsidR="006537EE" w:rsidRPr="006537EE" w:rsidRDefault="006537EE" w:rsidP="006537EE">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6537EE" w:rsidRPr="006537EE" w:rsidRDefault="006537EE" w:rsidP="006537EE">
            <w:pPr>
              <w:widowControl/>
              <w:autoSpaceDE/>
              <w:autoSpaceDN/>
              <w:spacing w:line="276" w:lineRule="auto"/>
              <w:rPr>
                <w:rFonts w:ascii="Arial" w:eastAsia="Arial Unicode MS" w:hAnsi="Arial" w:cs="Arial"/>
                <w:sz w:val="20"/>
                <w:szCs w:val="20"/>
                <w:lang w:val="en-GB"/>
              </w:rPr>
            </w:pPr>
          </w:p>
          <w:p w:rsidR="006537EE" w:rsidRPr="006537EE" w:rsidRDefault="006537EE" w:rsidP="006537EE">
            <w:pPr>
              <w:widowControl/>
              <w:autoSpaceDE/>
              <w:autoSpaceDN/>
              <w:spacing w:line="276" w:lineRule="auto"/>
              <w:rPr>
                <w:rFonts w:ascii="Arial" w:eastAsia="Arial Unicode MS" w:hAnsi="Arial" w:cs="Arial"/>
                <w:sz w:val="20"/>
                <w:szCs w:val="20"/>
                <w:lang w:val="en-GB"/>
              </w:rPr>
            </w:pPr>
          </w:p>
          <w:p w:rsidR="006537EE" w:rsidRPr="006537EE" w:rsidRDefault="006537EE" w:rsidP="006537EE">
            <w:pPr>
              <w:widowControl/>
              <w:autoSpaceDE/>
              <w:autoSpaceDN/>
              <w:spacing w:line="276" w:lineRule="auto"/>
              <w:rPr>
                <w:rFonts w:ascii="Arial" w:eastAsia="Arial Unicode MS" w:hAnsi="Arial" w:cs="Arial"/>
                <w:sz w:val="20"/>
                <w:szCs w:val="20"/>
                <w:lang w:val="en-GB"/>
              </w:rPr>
            </w:pPr>
          </w:p>
        </w:tc>
      </w:tr>
      <w:bookmarkEnd w:id="0"/>
    </w:tbl>
    <w:p w:rsidR="006537EE" w:rsidRPr="006537EE" w:rsidRDefault="006537EE" w:rsidP="006537EE">
      <w:pPr>
        <w:widowControl/>
        <w:autoSpaceDE/>
        <w:autoSpaceDN/>
        <w:rPr>
          <w:sz w:val="24"/>
          <w:szCs w:val="24"/>
        </w:rPr>
      </w:pPr>
    </w:p>
    <w:p w:rsidR="006537EE" w:rsidRPr="006537EE" w:rsidRDefault="006537EE" w:rsidP="006537EE">
      <w:pPr>
        <w:widowControl/>
        <w:autoSpaceDE/>
        <w:autoSpaceDN/>
        <w:rPr>
          <w:sz w:val="24"/>
          <w:szCs w:val="24"/>
        </w:rPr>
      </w:pPr>
    </w:p>
    <w:p w:rsidR="006537EE" w:rsidRPr="006537EE" w:rsidRDefault="006537EE" w:rsidP="006537EE">
      <w:pPr>
        <w:widowControl/>
        <w:autoSpaceDE/>
        <w:autoSpaceDN/>
        <w:rPr>
          <w:bCs/>
          <w:sz w:val="24"/>
          <w:szCs w:val="24"/>
          <w:u w:val="single"/>
          <w:lang w:val="en-GB"/>
        </w:rPr>
      </w:pPr>
    </w:p>
    <w:bookmarkEnd w:id="1"/>
    <w:p w:rsidR="006537EE" w:rsidRPr="006537EE" w:rsidRDefault="006537EE" w:rsidP="006537EE">
      <w:pPr>
        <w:widowControl/>
        <w:autoSpaceDE/>
        <w:autoSpaceDN/>
        <w:rPr>
          <w:sz w:val="24"/>
          <w:szCs w:val="24"/>
        </w:rPr>
      </w:pPr>
    </w:p>
    <w:p w:rsidR="00303580" w:rsidRDefault="00303580">
      <w:pPr>
        <w:pStyle w:val="BodyText"/>
      </w:pPr>
      <w:bookmarkStart w:id="2" w:name="_GoBack"/>
      <w:bookmarkEnd w:id="2"/>
    </w:p>
    <w:sectPr w:rsidR="00303580">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7A9" w:rsidRDefault="006017A9">
      <w:r>
        <w:separator/>
      </w:r>
    </w:p>
  </w:endnote>
  <w:endnote w:type="continuationSeparator" w:id="0">
    <w:p w:rsidR="006017A9" w:rsidRDefault="0060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7A9" w:rsidRDefault="006017A9">
      <w:r>
        <w:separator/>
      </w:r>
    </w:p>
  </w:footnote>
  <w:footnote w:type="continuationSeparator" w:id="0">
    <w:p w:rsidR="006017A9" w:rsidRDefault="00601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03580"/>
    <w:rsid w:val="00303580"/>
    <w:rsid w:val="0057437C"/>
    <w:rsid w:val="006017A9"/>
    <w:rsid w:val="006537EE"/>
    <w:rsid w:val="00716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AEFE"/>
  <w15:docId w15:val="{9F6CBCCA-AED9-4E3F-B758-D5CC84D9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18376">
      <w:bodyDiv w:val="1"/>
      <w:marLeft w:val="0"/>
      <w:marRight w:val="0"/>
      <w:marTop w:val="0"/>
      <w:marBottom w:val="0"/>
      <w:divBdr>
        <w:top w:val="none" w:sz="0" w:space="0" w:color="auto"/>
        <w:left w:val="none" w:sz="0" w:space="0" w:color="auto"/>
        <w:bottom w:val="none" w:sz="0" w:space="0" w:color="auto"/>
        <w:right w:val="none" w:sz="0" w:space="0" w:color="auto"/>
      </w:divBdr>
    </w:div>
    <w:div w:id="2106345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rrd.com/index.php/IJRR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3</cp:revision>
  <dcterms:created xsi:type="dcterms:W3CDTF">2025-12-20T08:25:00Z</dcterms:created>
  <dcterms:modified xsi:type="dcterms:W3CDTF">2025-12-22T12:36:00Z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Microsoft® Word for Microsoft 365</vt:lpwstr>
  </property>
  <property fmtid="{D5CDD505-2E9C-101B-9397-08002B2CF9AE}" pid="4" name="LastSaved">
    <vt:filetime>2025-12-20T00:00:00Z</vt:filetime>
  </property>
  <property fmtid="{D5CDD505-2E9C-101B-9397-08002B2CF9AE}" pid="5" name="Producer">
    <vt:lpwstr>3-Heights(TM) PDF Security Shell 4.8.25.2 (http://www.pdf-tools.com)</vt:lpwstr>
  </property>
</Properties>
</file>