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7C16" w14:textId="770FB422" w:rsidR="00CA3E46" w:rsidRPr="00CA3E46" w:rsidRDefault="00CA3E46" w:rsidP="004B249C">
      <w:pPr>
        <w:pStyle w:val="NormalWeb"/>
        <w:spacing w:before="0" w:beforeAutospacing="0" w:after="0" w:afterAutospacing="0"/>
        <w:jc w:val="center"/>
        <w:rPr>
          <w:b/>
          <w:bCs/>
          <w:lang w:val="en-GB"/>
        </w:rPr>
      </w:pPr>
      <w:bookmarkStart w:id="0" w:name="_Toc22066"/>
      <w:r w:rsidRPr="00CA3E46">
        <w:rPr>
          <w:b/>
          <w:bCs/>
          <w:lang w:val="en-GB"/>
        </w:rPr>
        <w:t>Effect of Diets Containing Graded levels of Balsam Apple (</w:t>
      </w:r>
      <w:proofErr w:type="spellStart"/>
      <w:r w:rsidRPr="00CA3E46">
        <w:rPr>
          <w:b/>
          <w:bCs/>
          <w:i/>
          <w:iCs/>
          <w:lang w:val="en-GB"/>
        </w:rPr>
        <w:t>Mormodica</w:t>
      </w:r>
      <w:proofErr w:type="spellEnd"/>
      <w:r w:rsidRPr="00CA3E46">
        <w:rPr>
          <w:b/>
          <w:bCs/>
          <w:i/>
          <w:iCs/>
          <w:lang w:val="en-GB"/>
        </w:rPr>
        <w:t xml:space="preserve"> </w:t>
      </w:r>
      <w:proofErr w:type="spellStart"/>
      <w:r w:rsidRPr="00CA3E46">
        <w:rPr>
          <w:b/>
          <w:bCs/>
          <w:i/>
          <w:iCs/>
          <w:lang w:val="en-GB"/>
        </w:rPr>
        <w:t>balsamina</w:t>
      </w:r>
      <w:proofErr w:type="spellEnd"/>
      <w:r w:rsidRPr="00CA3E46">
        <w:rPr>
          <w:b/>
          <w:bCs/>
          <w:lang w:val="en-GB"/>
        </w:rPr>
        <w:t>) on Haematological parameters of Uda Rams in Semi-Arid Region</w:t>
      </w:r>
    </w:p>
    <w:p w14:paraId="7A59AFF0" w14:textId="77777777" w:rsidR="00FD116E" w:rsidRDefault="00FD116E" w:rsidP="004B249C">
      <w:pPr>
        <w:pStyle w:val="NormalWeb"/>
        <w:spacing w:before="0" w:beforeAutospacing="0" w:after="0" w:afterAutospacing="0"/>
        <w:jc w:val="both"/>
        <w:rPr>
          <w:lang w:val="en-GB"/>
        </w:rPr>
      </w:pPr>
    </w:p>
    <w:p w14:paraId="02BD86FC" w14:textId="7054A563" w:rsidR="005D5BDA" w:rsidRPr="005D5BDA" w:rsidRDefault="005D5BDA" w:rsidP="004B249C">
      <w:pPr>
        <w:pStyle w:val="NormalWeb"/>
        <w:spacing w:before="0" w:beforeAutospacing="0" w:after="0" w:afterAutospacing="0"/>
        <w:jc w:val="both"/>
        <w:rPr>
          <w:lang w:val="en-GB"/>
        </w:rPr>
      </w:pPr>
      <w:r w:rsidRPr="005D5BDA">
        <w:rPr>
          <w:lang w:val="en-GB"/>
        </w:rPr>
        <w:t>ABSTRACT</w:t>
      </w:r>
    </w:p>
    <w:p w14:paraId="3BF02074"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This study evaluated the effects of graded dietary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L. (Balsam apple) on haematological and serum biochemical indices of Uda ram lambs. Sixteen Uda ewes and four Uda rams were assigned to four treatment groups in a Completely Randomized Design, receiving diets containing 0%, 2.5%, 5%, and 7.5% </w:t>
      </w:r>
      <w:r w:rsidRPr="005D5BDA">
        <w:rPr>
          <w:i/>
          <w:iCs/>
          <w:lang w:val="en-GB"/>
        </w:rPr>
        <w:t xml:space="preserve">M. </w:t>
      </w:r>
      <w:proofErr w:type="spellStart"/>
      <w:r w:rsidRPr="005D5BDA">
        <w:rPr>
          <w:i/>
          <w:iCs/>
          <w:lang w:val="en-GB"/>
        </w:rPr>
        <w:t>balsamina</w:t>
      </w:r>
      <w:proofErr w:type="spellEnd"/>
      <w:r w:rsidRPr="005D5BDA">
        <w:rPr>
          <w:lang w:val="en-GB"/>
        </w:rPr>
        <w:t xml:space="preserve"> for 24 weeks. Haematological parameters including packed cell volume (PCV), haemoglobin (Hb), red and white blood cell counts (RBC, WBC), and erythrocyte indices were measured. Serum biochemical analyses comprised total protein, albumin, globulin, urea, creatinine, cholesterol, glucose, triglycerides, HDL, LDL, electrolytes, and liver enzymes (AST, ALT, ALP). Results indicated significant (P&lt;0.05) differences among treatments in Hb, PCV, RBC, MCV, MCHC, WBC, monocytes, and eosinophils, while MCH remained similar across groups. Serum parameters such as albumin, HDL, triglycerides, urea, glucose, AST, ALP, potassium, sodium, and bicarbonate also showed significant variation (P&lt;0.05). Despite these differences, most values were within normal reference ranges, suggesting no adverse health effects. Elevated PCV, Hb, and RBC in the highest inclusion group (7.5%) reflected improved oxygen-carrying capacity, while normal serum biochemical values indicated proper liver and kidney function. The study concludes that </w:t>
      </w:r>
      <w:r w:rsidRPr="005D5BDA">
        <w:rPr>
          <w:i/>
          <w:iCs/>
          <w:lang w:val="en-GB"/>
        </w:rPr>
        <w:t xml:space="preserve">M. </w:t>
      </w:r>
      <w:proofErr w:type="spellStart"/>
      <w:r w:rsidRPr="005D5BDA">
        <w:rPr>
          <w:i/>
          <w:iCs/>
          <w:lang w:val="en-GB"/>
        </w:rPr>
        <w:t>balsamina</w:t>
      </w:r>
      <w:proofErr w:type="spellEnd"/>
      <w:r w:rsidRPr="005D5BDA">
        <w:rPr>
          <w:lang w:val="en-GB"/>
        </w:rPr>
        <w:t xml:space="preserve"> can be safely included in ram diets up to 7.5% without compromising haematological health or metabolic function, supporting its potential as a local feed additive to enhance nutritional quality.</w:t>
      </w:r>
    </w:p>
    <w:p w14:paraId="2769E842" w14:textId="27B48000" w:rsidR="005D5BDA" w:rsidRPr="005D5BDA" w:rsidRDefault="005D5BDA" w:rsidP="004B249C">
      <w:pPr>
        <w:pStyle w:val="NormalWeb"/>
        <w:spacing w:before="0" w:beforeAutospacing="0" w:after="0" w:afterAutospacing="0"/>
        <w:jc w:val="both"/>
        <w:rPr>
          <w:lang w:val="en-GB"/>
        </w:rPr>
      </w:pPr>
      <w:r w:rsidRPr="005D5BDA">
        <w:rPr>
          <w:lang w:val="en-GB"/>
        </w:rPr>
        <w:t>INTRODUCTION</w:t>
      </w:r>
    </w:p>
    <w:p w14:paraId="1F75DDE6" w14:textId="5F3BCA48" w:rsidR="00D6482E" w:rsidRDefault="00D6482E" w:rsidP="004B249C">
      <w:pPr>
        <w:spacing w:after="0" w:line="240" w:lineRule="auto"/>
        <w:jc w:val="both"/>
        <w:rPr>
          <w:rFonts w:ascii="Times New Roman" w:hAnsi="Times New Roman"/>
          <w:sz w:val="24"/>
          <w:szCs w:val="24"/>
        </w:rPr>
      </w:pPr>
      <w:r>
        <w:rPr>
          <w:rFonts w:ascii="Times New Roman" w:hAnsi="Times New Roman"/>
          <w:sz w:val="24"/>
          <w:szCs w:val="24"/>
        </w:rPr>
        <w:t xml:space="preserve">Small </w:t>
      </w:r>
      <w:r w:rsidR="00030B03">
        <w:rPr>
          <w:rFonts w:ascii="Times New Roman" w:hAnsi="Times New Roman"/>
          <w:sz w:val="24"/>
          <w:szCs w:val="24"/>
        </w:rPr>
        <w:t>ruminants’</w:t>
      </w:r>
      <w:r>
        <w:rPr>
          <w:rFonts w:ascii="Times New Roman" w:hAnsi="Times New Roman"/>
          <w:sz w:val="24"/>
          <w:szCs w:val="24"/>
        </w:rPr>
        <w:t xml:space="preserve"> </w:t>
      </w:r>
      <w:commentRangeStart w:id="1"/>
      <w:commentRangeStart w:id="2"/>
      <w:r>
        <w:rPr>
          <w:rFonts w:ascii="Times New Roman" w:hAnsi="Times New Roman"/>
          <w:sz w:val="24"/>
          <w:szCs w:val="24"/>
        </w:rPr>
        <w:t>animals</w:t>
      </w:r>
      <w:commentRangeEnd w:id="1"/>
      <w:r w:rsidR="00030B03">
        <w:rPr>
          <w:rStyle w:val="CommentReference"/>
          <w:rFonts w:asciiTheme="minorHAnsi" w:eastAsiaTheme="minorEastAsia" w:hAnsiTheme="minorHAnsi" w:cstheme="minorBidi"/>
          <w:lang w:val="en-ZA"/>
        </w:rPr>
        <w:commentReference w:id="1"/>
      </w:r>
      <w:commentRangeEnd w:id="2"/>
      <w:r w:rsidR="00030B03">
        <w:rPr>
          <w:rStyle w:val="CommentReference"/>
          <w:rFonts w:asciiTheme="minorHAnsi" w:eastAsiaTheme="minorEastAsia" w:hAnsiTheme="minorHAnsi" w:cstheme="minorBidi"/>
          <w:lang w:val="en-ZA"/>
        </w:rPr>
        <w:commentReference w:id="2"/>
      </w:r>
      <w:r>
        <w:rPr>
          <w:rFonts w:ascii="Times New Roman" w:hAnsi="Times New Roman"/>
          <w:sz w:val="24"/>
          <w:szCs w:val="24"/>
        </w:rPr>
        <w:t xml:space="preserve"> have the ability to utilize poor quality foodstuffs, such as grasses, forages, farm wastes and crop residues that are unsuitable for direct human consumption (</w:t>
      </w:r>
      <w:proofErr w:type="spellStart"/>
      <w:r>
        <w:rPr>
          <w:rFonts w:ascii="Times New Roman" w:hAnsi="Times New Roman"/>
          <w:sz w:val="24"/>
          <w:szCs w:val="24"/>
        </w:rPr>
        <w:t>Fajemisin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2010). They are able to convert low quality feeds into food of high biological value for human beings. This is because they are adapted to utilize plant cell walls as major component of nourishment (McDonald </w:t>
      </w:r>
      <w:r>
        <w:rPr>
          <w:rFonts w:ascii="Times New Roman" w:hAnsi="Times New Roman"/>
          <w:i/>
          <w:iCs/>
          <w:sz w:val="24"/>
          <w:szCs w:val="24"/>
        </w:rPr>
        <w:t>et al</w:t>
      </w:r>
      <w:r>
        <w:rPr>
          <w:rFonts w:ascii="Times New Roman" w:hAnsi="Times New Roman"/>
          <w:sz w:val="24"/>
          <w:szCs w:val="24"/>
        </w:rPr>
        <w:t xml:space="preserve">., 2002). Ruminants, feed mainly on forages and crop residues and are affected by seasonality and experience seasonal weight fluctuation between the wet and dry periods of the year (Dayo </w:t>
      </w:r>
      <w:r>
        <w:rPr>
          <w:rFonts w:ascii="Times New Roman" w:hAnsi="Times New Roman"/>
          <w:i/>
          <w:iCs/>
          <w:sz w:val="24"/>
          <w:szCs w:val="24"/>
        </w:rPr>
        <w:t>et al</w:t>
      </w:r>
      <w:r>
        <w:rPr>
          <w:rFonts w:ascii="Times New Roman" w:hAnsi="Times New Roman"/>
          <w:sz w:val="24"/>
          <w:szCs w:val="24"/>
        </w:rPr>
        <w:t xml:space="preserve">., 2009). Seasonal availability of production inputs such as feed, water and quality pasture constitutes constraint to livestock production (PCOL, 2003).  </w:t>
      </w:r>
    </w:p>
    <w:p w14:paraId="73764BD7" w14:textId="70FE2F18" w:rsidR="00D6482E" w:rsidRDefault="005D5BDA" w:rsidP="004B249C">
      <w:pPr>
        <w:pStyle w:val="NormalWeb"/>
        <w:spacing w:before="0" w:beforeAutospacing="0" w:after="0" w:afterAutospacing="0"/>
        <w:jc w:val="both"/>
        <w:rPr>
          <w:i/>
        </w:rPr>
      </w:pPr>
      <w:r w:rsidRPr="005D5BDA">
        <w:rPr>
          <w:lang w:val="en-GB"/>
        </w:rPr>
        <w:t>Reproductive performance and general health of farm animals are strongly influenced by nutritional status, which directly affects physiological, haematological, and metabolic functions. In ruminants, optimal nutrition ensures adequate erythropoiesis, proper serum protein synthesis, and efficient metabolic processes, which are critical for growth, reproduction, and disease resistance (</w:t>
      </w:r>
      <w:proofErr w:type="spellStart"/>
      <w:r w:rsidRPr="005D5BDA">
        <w:rPr>
          <w:lang w:val="en-GB"/>
        </w:rPr>
        <w:t>Ala</w:t>
      </w:r>
      <w:r w:rsidR="000F6DA8">
        <w:rPr>
          <w:lang w:val="en-GB"/>
        </w:rPr>
        <w:t>la</w:t>
      </w:r>
      <w:r w:rsidRPr="005D5BDA">
        <w:rPr>
          <w:lang w:val="en-GB"/>
        </w:rPr>
        <w:t>de</w:t>
      </w:r>
      <w:proofErr w:type="spellEnd"/>
      <w:r w:rsidRPr="005D5BDA">
        <w:rPr>
          <w:lang w:val="en-GB"/>
        </w:rPr>
        <w:t xml:space="preserve"> et al., 2009). In sheep, haematological parameters such as packed cell volume (PCV), haemoglobin concentration (Hb), red blood cells (RBC), and white blood cells (WBC) serve as indicators of physiological status, oxygen transport capacity, and immune function (Jain, 1986).</w:t>
      </w:r>
      <w:r w:rsidR="00D6482E" w:rsidRPr="00D6482E">
        <w:rPr>
          <w:i/>
        </w:rPr>
        <w:t xml:space="preserve"> </w:t>
      </w:r>
    </w:p>
    <w:p w14:paraId="250000A6" w14:textId="13A04067" w:rsidR="005D5BDA" w:rsidRPr="005D5BDA" w:rsidRDefault="00D6482E" w:rsidP="004B249C">
      <w:pPr>
        <w:pStyle w:val="NormalWeb"/>
        <w:spacing w:before="0" w:beforeAutospacing="0" w:after="0" w:afterAutospacing="0"/>
        <w:jc w:val="both"/>
        <w:rPr>
          <w:lang w:val="en-GB"/>
        </w:rPr>
      </w:pPr>
      <w:commentRangeStart w:id="3"/>
      <w:proofErr w:type="spellStart"/>
      <w:r>
        <w:rPr>
          <w:i/>
        </w:rPr>
        <w:t>Mormodica</w:t>
      </w:r>
      <w:proofErr w:type="spellEnd"/>
      <w:r>
        <w:rPr>
          <w:i/>
        </w:rPr>
        <w:t xml:space="preserve"> </w:t>
      </w:r>
      <w:proofErr w:type="spellStart"/>
      <w:r>
        <w:rPr>
          <w:i/>
        </w:rPr>
        <w:t>balsamina</w:t>
      </w:r>
      <w:proofErr w:type="spellEnd"/>
      <w:r>
        <w:rPr>
          <w:i/>
        </w:rPr>
        <w:t xml:space="preserve"> L </w:t>
      </w:r>
      <w:r>
        <w:t>is</w:t>
      </w:r>
      <w:r>
        <w:rPr>
          <w:i/>
        </w:rPr>
        <w:t xml:space="preserve"> </w:t>
      </w:r>
      <w:r>
        <w:t>commonly known as African pumpkin (or African cucumber), Balsam apple (or balsam pear) and locally called “</w:t>
      </w:r>
      <w:proofErr w:type="spellStart"/>
      <w:r>
        <w:t>Garahuni</w:t>
      </w:r>
      <w:proofErr w:type="spellEnd"/>
      <w:r>
        <w:t xml:space="preserve">” (Hausa language), (Roger, 2007). It is a very good source of seventeen essential amino acids (Hassan </w:t>
      </w:r>
      <w:r w:rsidR="000B3B94">
        <w:t>&amp;</w:t>
      </w:r>
      <w:r>
        <w:t xml:space="preserve"> Umar, 2006). The plant is a perennial herb with soft stems and tendrils that climbs up shrubs, boundary fields and fences. </w:t>
      </w:r>
      <w:commentRangeEnd w:id="3"/>
      <w:r w:rsidR="00E74251">
        <w:rPr>
          <w:rStyle w:val="CommentReference"/>
          <w:rFonts w:asciiTheme="minorHAnsi" w:hAnsiTheme="minorHAnsi" w:cstheme="minorBidi"/>
          <w:lang w:eastAsia="en-US"/>
        </w:rPr>
        <w:commentReference w:id="3"/>
      </w:r>
    </w:p>
    <w:p w14:paraId="7EC69B71" w14:textId="77777777" w:rsidR="00D6482E" w:rsidRDefault="00D6482E" w:rsidP="004B249C">
      <w:pPr>
        <w:pStyle w:val="NormalWeb"/>
        <w:spacing w:before="0" w:beforeAutospacing="0" w:after="0" w:afterAutospacing="0"/>
        <w:jc w:val="both"/>
        <w:rPr>
          <w:b/>
          <w:bCs/>
        </w:rPr>
      </w:pPr>
    </w:p>
    <w:p w14:paraId="4EDD989C" w14:textId="01CF0A31" w:rsidR="002D2CFE" w:rsidRDefault="002D2CFE" w:rsidP="004B249C">
      <w:pPr>
        <w:pStyle w:val="NormalWeb"/>
        <w:spacing w:before="0" w:beforeAutospacing="0" w:after="0" w:afterAutospacing="0"/>
        <w:jc w:val="both"/>
        <w:rPr>
          <w:b/>
          <w:bCs/>
        </w:rPr>
      </w:pPr>
      <w:r>
        <w:rPr>
          <w:b/>
          <w:bCs/>
        </w:rPr>
        <w:t>Materials and Methods</w:t>
      </w:r>
      <w:bookmarkEnd w:id="0"/>
    </w:p>
    <w:p w14:paraId="2634888B" w14:textId="56DAA14E" w:rsidR="002D2CFE" w:rsidRDefault="002D2CFE" w:rsidP="004B249C">
      <w:pPr>
        <w:pStyle w:val="NormalWeb"/>
        <w:spacing w:before="0" w:beforeAutospacing="0" w:after="0" w:afterAutospacing="0"/>
        <w:jc w:val="both"/>
        <w:rPr>
          <w:b/>
          <w:bCs/>
        </w:rPr>
      </w:pPr>
      <w:bookmarkStart w:id="4" w:name="_Toc23329"/>
      <w:r>
        <w:rPr>
          <w:b/>
          <w:bCs/>
        </w:rPr>
        <w:t>Experimental Site</w:t>
      </w:r>
      <w:bookmarkEnd w:id="4"/>
    </w:p>
    <w:p w14:paraId="4866F73D" w14:textId="05D379D3" w:rsidR="002D2CFE" w:rsidRDefault="002D2CFE" w:rsidP="004B249C">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w:t>
      </w:r>
      <w:r>
        <w:rPr>
          <w:rFonts w:ascii="Times New Roman" w:hAnsi="Times New Roman"/>
          <w:sz w:val="24"/>
          <w:szCs w:val="24"/>
        </w:rPr>
        <w:lastRenderedPageBreak/>
        <w:t xml:space="preserve">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 xml:space="preserve">58’ N and at altitude of 350m above sea level (Mamman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are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commentRangeStart w:id="5"/>
      <w:r>
        <w:rPr>
          <w:rFonts w:ascii="Times New Roman" w:hAnsi="Times New Roman"/>
          <w:sz w:val="24"/>
          <w:szCs w:val="24"/>
          <w:vertAlign w:val="superscript"/>
        </w:rPr>
        <w:t>o</w:t>
      </w:r>
      <w:r>
        <w:rPr>
          <w:rFonts w:ascii="Times New Roman" w:hAnsi="Times New Roman"/>
          <w:sz w:val="24"/>
          <w:szCs w:val="24"/>
        </w:rPr>
        <w:t>c</w:t>
      </w:r>
      <w:commentRangeEnd w:id="5"/>
      <w:r w:rsidR="00E74251">
        <w:rPr>
          <w:rStyle w:val="CommentReference"/>
          <w:rFonts w:asciiTheme="minorHAnsi" w:eastAsiaTheme="minorEastAsia" w:hAnsiTheme="minorHAnsi" w:cstheme="minorBidi"/>
          <w:lang w:val="en-ZA"/>
        </w:rPr>
        <w:commentReference w:id="5"/>
      </w:r>
      <w:r>
        <w:rPr>
          <w:rFonts w:ascii="Times New Roman" w:hAnsi="Times New Roman"/>
          <w:sz w:val="24"/>
          <w:szCs w:val="24"/>
        </w:rPr>
        <w:t xml:space="preserve"> (107.6</w:t>
      </w:r>
      <w:r>
        <w:rPr>
          <w:rFonts w:ascii="Times New Roman" w:hAnsi="Times New Roman"/>
          <w:sz w:val="24"/>
          <w:szCs w:val="24"/>
          <w:vertAlign w:val="superscript"/>
        </w:rPr>
        <w:t>o</w:t>
      </w:r>
      <w:r>
        <w:rPr>
          <w:rFonts w:ascii="Times New Roman" w:hAnsi="Times New Roman"/>
          <w:sz w:val="24"/>
          <w:szCs w:val="24"/>
        </w:rPr>
        <w:t>F).</w:t>
      </w:r>
      <w:r w:rsidR="000B3B94">
        <w:rPr>
          <w:rFonts w:ascii="Times New Roman" w:hAnsi="Times New Roman"/>
          <w:sz w:val="24"/>
          <w:szCs w:val="24"/>
        </w:rPr>
        <w:t xml:space="preserve"> </w:t>
      </w:r>
      <w:r>
        <w:rPr>
          <w:rFonts w:ascii="Times New Roman" w:hAnsi="Times New Roman"/>
          <w:sz w:val="24"/>
          <w:szCs w:val="24"/>
        </w:rPr>
        <w:t>The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w:t>
      </w:r>
      <w:commentRangeStart w:id="6"/>
      <w:r>
        <w:rPr>
          <w:rFonts w:ascii="Times New Roman" w:eastAsia="Times New Roman" w:hAnsi="Times New Roman"/>
          <w:sz w:val="24"/>
          <w:szCs w:val="24"/>
        </w:rPr>
        <w:t>State</w:t>
      </w:r>
      <w:commentRangeEnd w:id="6"/>
      <w:r w:rsidR="00E74251">
        <w:rPr>
          <w:rStyle w:val="CommentReference"/>
          <w:rFonts w:asciiTheme="minorHAnsi" w:eastAsiaTheme="minorEastAsia" w:hAnsiTheme="minorHAnsi" w:cstheme="minorBidi"/>
          <w:lang w:val="en-ZA"/>
        </w:rPr>
        <w:commentReference w:id="6"/>
      </w:r>
      <w:r>
        <w:rPr>
          <w:rFonts w:ascii="Times New Roman" w:eastAsia="Times New Roman" w:hAnsi="Times New Roman"/>
          <w:sz w:val="24"/>
          <w:szCs w:val="24"/>
        </w:rPr>
        <w:t xml:space="preserve"> in May and lasts up to September or October (SSMIYSC, 2010).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w:t>
      </w:r>
      <w:commentRangeStart w:id="7"/>
      <w:r>
        <w:rPr>
          <w:rFonts w:ascii="Times New Roman" w:eastAsia="Times New Roman" w:hAnsi="Times New Roman"/>
          <w:sz w:val="24"/>
          <w:szCs w:val="24"/>
        </w:rPr>
        <w:t>State</w:t>
      </w:r>
      <w:commentRangeEnd w:id="7"/>
      <w:r w:rsidR="00E74251">
        <w:rPr>
          <w:rStyle w:val="CommentReference"/>
          <w:rFonts w:asciiTheme="minorHAnsi" w:eastAsiaTheme="minorEastAsia" w:hAnsiTheme="minorHAnsi" w:cstheme="minorBidi"/>
          <w:lang w:val="en-ZA"/>
        </w:rPr>
        <w:commentReference w:id="7"/>
      </w:r>
      <w:r>
        <w:rPr>
          <w:rFonts w:ascii="Times New Roman" w:eastAsia="Times New Roman" w:hAnsi="Times New Roman"/>
          <w:sz w:val="24"/>
          <w:szCs w:val="24"/>
        </w:rPr>
        <w:t xml:space="preserv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 (SSMIYSC, 2010).</w:t>
      </w:r>
    </w:p>
    <w:p w14:paraId="5E46EBC5" w14:textId="6DF7338E" w:rsidR="002D2CFE" w:rsidRDefault="002D2CFE" w:rsidP="004B249C">
      <w:pPr>
        <w:pStyle w:val="NormalWeb"/>
        <w:spacing w:before="0" w:beforeAutospacing="0" w:after="0" w:afterAutospacing="0"/>
        <w:jc w:val="both"/>
        <w:rPr>
          <w:b/>
          <w:bCs/>
        </w:rPr>
      </w:pPr>
      <w:bookmarkStart w:id="8" w:name="_Toc25778"/>
      <w:r>
        <w:rPr>
          <w:b/>
          <w:bCs/>
        </w:rPr>
        <w:t>Sources and Processing of Experimental Feeds</w:t>
      </w:r>
      <w:bookmarkEnd w:id="8"/>
    </w:p>
    <w:p w14:paraId="61CFD721" w14:textId="3F69F847" w:rsidR="002D2CFE" w:rsidRDefault="002D2CFE" w:rsidP="004B249C">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L.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to reduce their particle size, cotton seed cake, cowpea husk, rice milling waste, premix, and salt was obtained directly from market</w:t>
      </w:r>
      <w:r>
        <w:rPr>
          <w:bCs/>
        </w:rPr>
        <w:t xml:space="preserve"> </w:t>
      </w:r>
    </w:p>
    <w:p w14:paraId="7D7D02C6" w14:textId="3023935E" w:rsidR="002D2CFE" w:rsidRDefault="002D2CFE" w:rsidP="004B249C">
      <w:pPr>
        <w:pStyle w:val="NormalWeb"/>
        <w:spacing w:before="0" w:beforeAutospacing="0" w:after="0" w:afterAutospacing="0"/>
        <w:jc w:val="both"/>
        <w:rPr>
          <w:b/>
          <w:bCs/>
        </w:rPr>
      </w:pPr>
      <w:bookmarkStart w:id="9" w:name="_Toc5608"/>
      <w:r>
        <w:rPr>
          <w:b/>
          <w:bCs/>
        </w:rPr>
        <w:t>Experimental Design and Diet Formulation</w:t>
      </w:r>
      <w:bookmarkEnd w:id="9"/>
    </w:p>
    <w:p w14:paraId="3FE05473" w14:textId="2E24CE04"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w:t>
      </w:r>
      <w:commentRangeStart w:id="10"/>
      <w:r>
        <w:rPr>
          <w:rFonts w:ascii="Times New Roman" w:hAnsi="Times New Roman"/>
          <w:sz w:val="24"/>
          <w:szCs w:val="24"/>
        </w:rPr>
        <w:t>Experiment</w:t>
      </w:r>
      <w:commentRangeEnd w:id="10"/>
      <w:r w:rsidR="00E74251">
        <w:rPr>
          <w:rStyle w:val="CommentReference"/>
          <w:rFonts w:asciiTheme="minorHAnsi" w:eastAsiaTheme="minorEastAsia" w:hAnsiTheme="minorHAnsi" w:cstheme="minorBidi"/>
          <w:lang w:val="en-ZA"/>
        </w:rPr>
        <w:commentReference w:id="10"/>
      </w:r>
      <w:r>
        <w:rPr>
          <w:rFonts w:ascii="Times New Roman" w:hAnsi="Times New Roman"/>
          <w:sz w:val="24"/>
          <w:szCs w:val="24"/>
        </w:rPr>
        <w: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i/>
          <w:sz w:val="24"/>
          <w:szCs w:val="24"/>
        </w:rPr>
        <w:t xml:space="preserve"> L.</w:t>
      </w:r>
      <w:r>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was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37531915" w14:textId="06CF1682"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2D2CFE" w14:paraId="1D3C9FB4" w14:textId="77777777" w:rsidTr="00784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09F60B2E" w14:textId="77777777" w:rsidR="002D2CFE" w:rsidRDefault="002D2CFE" w:rsidP="004B249C">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14:paraId="3F17A14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0893ECA7"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2DEA88C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198EFAEA"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2D2CFE" w14:paraId="6266CD5A"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9C774D0" w14:textId="77777777" w:rsidR="002D2CFE" w:rsidRDefault="002D2CFE" w:rsidP="004B249C">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3D920C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2BCB94F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C1E885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7A607B4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2D2CFE" w14:paraId="4B5F7944"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CE0DF1F"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79DC718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18FCADB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30A07B8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17AFB92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2D2CFE" w14:paraId="3E0C651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28BC0CF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5149D20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180ADA7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736AE59B"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66F773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2D2CFE" w14:paraId="0FADCFB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C8F08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163AC5D4"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67C4112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7D22B4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04D237A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2D2CFE" w14:paraId="1CFCFF6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A0790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2F33EF1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7668E54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3131BCE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5C289C3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2D2CFE" w14:paraId="205C72EC"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0E013ED"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1F69335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21E2FB4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1BCDA90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3BD974A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2D2CFE" w14:paraId="2D9DACD5"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5B19C2E"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59C15F6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6A75282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2B92ACE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34FECA2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02F107C3"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4FC347C"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2A76290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20FC86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288FF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5CB410B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41AD92C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3C3637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29CB725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7CEF827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0B6C4AC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547C5AA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2D2CFE" w14:paraId="251391AC" w14:textId="77777777" w:rsidTr="0078473B">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AE4B04A"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724BD21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61C8641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5FB4EA8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3A95EF8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7AC835B8"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6DC1C3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3D783E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4904C64C"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57381CFC" w14:textId="77777777" w:rsidR="002D2CFE" w:rsidRPr="00844985" w:rsidRDefault="002D2CFE" w:rsidP="004B249C">
      <w:pPr>
        <w:spacing w:after="0" w:line="240" w:lineRule="auto"/>
        <w:jc w:val="both"/>
        <w:rPr>
          <w:rFonts w:ascii="Times New Roman" w:hAnsi="Times New Roman"/>
          <w:bCs/>
          <w:sz w:val="24"/>
          <w:szCs w:val="24"/>
        </w:rPr>
      </w:pPr>
      <w:r w:rsidRPr="00844985">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B5931E7" wp14:editId="47DC2CEE">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C1D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EBCE569" w14:textId="34E092EA"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11" w:name="_Toc6322"/>
      <w:r w:rsidRPr="00844985">
        <w:rPr>
          <w:rFonts w:ascii="Times New Roman" w:hAnsi="Times New Roman" w:cs="Times New Roman"/>
          <w:b/>
          <w:color w:val="auto"/>
          <w:sz w:val="24"/>
          <w:szCs w:val="24"/>
        </w:rPr>
        <w:t>Experimental Animals and Their Management</w:t>
      </w:r>
      <w:bookmarkEnd w:id="11"/>
      <w:r w:rsidRPr="00844985">
        <w:rPr>
          <w:rFonts w:ascii="Times New Roman" w:hAnsi="Times New Roman" w:cs="Times New Roman"/>
          <w:b/>
          <w:color w:val="auto"/>
          <w:sz w:val="24"/>
          <w:szCs w:val="24"/>
        </w:rPr>
        <w:t xml:space="preserve"> </w:t>
      </w:r>
    </w:p>
    <w:p w14:paraId="4FB9BC45" w14:textId="77777777" w:rsidR="002D2CFE" w:rsidRPr="00844985" w:rsidRDefault="002D2CFE" w:rsidP="004B249C">
      <w:pPr>
        <w:pStyle w:val="Default"/>
        <w:jc w:val="both"/>
        <w:rPr>
          <w:color w:val="auto"/>
        </w:rPr>
      </w:pPr>
      <w:r w:rsidRPr="00844985">
        <w:rPr>
          <w:color w:val="auto"/>
        </w:rPr>
        <w:t xml:space="preserve">Sixteen Uda ewes (first parity) of 1-2 years age range and average live weight of 30-35 kg and four Uda rams (2 years) were used in a randomized complete block design to evaluate the effect of </w:t>
      </w:r>
      <w:proofErr w:type="spellStart"/>
      <w:r w:rsidRPr="00844985">
        <w:rPr>
          <w:i/>
          <w:color w:val="auto"/>
        </w:rPr>
        <w:t>Mormodica</w:t>
      </w:r>
      <w:proofErr w:type="spellEnd"/>
      <w:r w:rsidRPr="00844985">
        <w:rPr>
          <w:i/>
          <w:color w:val="auto"/>
        </w:rPr>
        <w:t xml:space="preserve"> </w:t>
      </w:r>
      <w:proofErr w:type="spellStart"/>
      <w:r w:rsidRPr="00844985">
        <w:rPr>
          <w:i/>
          <w:color w:val="auto"/>
        </w:rPr>
        <w:t>balsamina</w:t>
      </w:r>
      <w:proofErr w:type="spellEnd"/>
      <w:r w:rsidRPr="00844985">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844985">
        <w:rPr>
          <w:color w:val="auto"/>
          <w:lang w:val="en-US"/>
        </w:rPr>
        <w:t>ewes</w:t>
      </w:r>
      <w:r w:rsidRPr="00844985">
        <w:rPr>
          <w:color w:val="auto"/>
        </w:rPr>
        <w:t xml:space="preserve"> and one ram per treatment. </w:t>
      </w:r>
    </w:p>
    <w:p w14:paraId="237875B7"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animals were quarantined at the Livestock Teaching and Research Farm, </w:t>
      </w:r>
      <w:proofErr w:type="spellStart"/>
      <w:r w:rsidRPr="00844985">
        <w:rPr>
          <w:rFonts w:ascii="Times New Roman" w:hAnsi="Times New Roman"/>
          <w:sz w:val="24"/>
          <w:szCs w:val="24"/>
        </w:rPr>
        <w:t>Usmanu</w:t>
      </w:r>
      <w:proofErr w:type="spellEnd"/>
      <w:r w:rsidRPr="00844985">
        <w:rPr>
          <w:rFonts w:ascii="Times New Roman" w:hAnsi="Times New Roman"/>
          <w:sz w:val="24"/>
          <w:szCs w:val="24"/>
        </w:rPr>
        <w:t xml:space="preserve"> </w:t>
      </w:r>
      <w:proofErr w:type="spellStart"/>
      <w:r w:rsidRPr="00844985">
        <w:rPr>
          <w:rFonts w:ascii="Times New Roman" w:hAnsi="Times New Roman"/>
          <w:sz w:val="24"/>
          <w:szCs w:val="24"/>
        </w:rPr>
        <w:t>Danfodiyo</w:t>
      </w:r>
      <w:proofErr w:type="spellEnd"/>
      <w:r w:rsidRPr="00844985">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844985">
        <w:rPr>
          <w:rFonts w:ascii="Times New Roman" w:hAnsi="Times New Roman"/>
          <w:sz w:val="24"/>
          <w:szCs w:val="24"/>
        </w:rPr>
        <w:t>Faeces</w:t>
      </w:r>
      <w:proofErr w:type="spellEnd"/>
      <w:r w:rsidRPr="00844985">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p>
    <w:p w14:paraId="5F48AE5E" w14:textId="193B32A2"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12" w:name="_Toc6595"/>
      <w:r w:rsidRPr="00844985">
        <w:rPr>
          <w:rFonts w:ascii="Times New Roman" w:hAnsi="Times New Roman" w:cs="Times New Roman"/>
          <w:b/>
          <w:color w:val="auto"/>
          <w:sz w:val="24"/>
          <w:szCs w:val="24"/>
        </w:rPr>
        <w:t>Data Collection</w:t>
      </w:r>
      <w:bookmarkEnd w:id="12"/>
    </w:p>
    <w:p w14:paraId="294A9E8B" w14:textId="2FEF10CA" w:rsidR="002D2CFE" w:rsidRPr="00844985" w:rsidRDefault="002D2CFE" w:rsidP="004B249C">
      <w:pPr>
        <w:pStyle w:val="NormalWeb"/>
        <w:spacing w:before="0" w:beforeAutospacing="0" w:after="0" w:afterAutospacing="0"/>
        <w:jc w:val="both"/>
        <w:rPr>
          <w:b/>
          <w:bCs/>
        </w:rPr>
      </w:pPr>
      <w:bookmarkStart w:id="13" w:name="_Toc24500"/>
      <w:r w:rsidRPr="00844985">
        <w:rPr>
          <w:b/>
          <w:bCs/>
        </w:rPr>
        <w:t>Blood Sample Collection and Hormones Assay</w:t>
      </w:r>
      <w:bookmarkEnd w:id="13"/>
    </w:p>
    <w:p w14:paraId="2EB101C1"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Blood samples were collected three (3) times (before, during and after pregnancy) on the ewes. The blood sample were collected via the jugular venipuncture before the morning feeding into in to EDTA and plain tubes. Samples in plain bottles were centrifuged at 500g for 20 min at 4</w:t>
      </w:r>
      <w:commentRangeStart w:id="14"/>
      <w:r w:rsidRPr="00844985">
        <w:rPr>
          <w:rFonts w:ascii="Times New Roman" w:hAnsi="Times New Roman"/>
          <w:sz w:val="24"/>
          <w:szCs w:val="24"/>
        </w:rPr>
        <w:t>◦C</w:t>
      </w:r>
      <w:commentRangeEnd w:id="14"/>
      <w:r w:rsidR="00E74251">
        <w:rPr>
          <w:rStyle w:val="CommentReference"/>
          <w:rFonts w:asciiTheme="minorHAnsi" w:eastAsiaTheme="minorEastAsia" w:hAnsiTheme="minorHAnsi" w:cstheme="minorBidi"/>
          <w:lang w:val="en-ZA"/>
        </w:rPr>
        <w:commentReference w:id="14"/>
      </w:r>
      <w:r w:rsidRPr="00844985">
        <w:rPr>
          <w:rFonts w:ascii="Times New Roman" w:hAnsi="Times New Roman"/>
          <w:sz w:val="24"/>
          <w:szCs w:val="24"/>
        </w:rPr>
        <w:t xml:space="preserve"> and serum were collected and stored at −20</w:t>
      </w:r>
      <w:commentRangeStart w:id="15"/>
      <w:r w:rsidRPr="00844985">
        <w:rPr>
          <w:rFonts w:ascii="Times New Roman" w:hAnsi="Times New Roman"/>
          <w:sz w:val="24"/>
          <w:szCs w:val="24"/>
        </w:rPr>
        <w:t>◦C</w:t>
      </w:r>
      <w:commentRangeEnd w:id="15"/>
      <w:r w:rsidR="00E74251">
        <w:rPr>
          <w:rStyle w:val="CommentReference"/>
          <w:rFonts w:asciiTheme="minorHAnsi" w:eastAsiaTheme="minorEastAsia" w:hAnsiTheme="minorHAnsi" w:cstheme="minorBidi"/>
          <w:lang w:val="en-ZA"/>
        </w:rPr>
        <w:commentReference w:id="15"/>
      </w:r>
      <w:r w:rsidRPr="00844985">
        <w:rPr>
          <w:rFonts w:ascii="Times New Roman" w:hAnsi="Times New Roman"/>
          <w:sz w:val="24"/>
          <w:szCs w:val="24"/>
        </w:rPr>
        <w:t xml:space="preserve"> for analysis for Cortisol (Cooper </w:t>
      </w:r>
      <w:r w:rsidRPr="00844985">
        <w:rPr>
          <w:rFonts w:ascii="Times New Roman" w:hAnsi="Times New Roman"/>
          <w:i/>
          <w:sz w:val="24"/>
          <w:szCs w:val="24"/>
        </w:rPr>
        <w:t>et al</w:t>
      </w:r>
      <w:r w:rsidRPr="00844985">
        <w:rPr>
          <w:rFonts w:ascii="Times New Roman" w:hAnsi="Times New Roman"/>
          <w:sz w:val="24"/>
          <w:szCs w:val="24"/>
        </w:rPr>
        <w:t xml:space="preserve">., 1995), progesterone, prolactin and estrogen (Rosado </w:t>
      </w:r>
      <w:r w:rsidRPr="00844985">
        <w:rPr>
          <w:rFonts w:ascii="Times New Roman" w:hAnsi="Times New Roman"/>
          <w:i/>
          <w:sz w:val="24"/>
          <w:szCs w:val="24"/>
        </w:rPr>
        <w:t>et al</w:t>
      </w:r>
      <w:r w:rsidRPr="00844985">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320B58" w14:textId="2DC31450"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16" w:name="_Toc30338"/>
      <w:proofErr w:type="spellStart"/>
      <w:r w:rsidRPr="00844985">
        <w:rPr>
          <w:rFonts w:ascii="Times New Roman" w:hAnsi="Times New Roman" w:cs="Times New Roman"/>
          <w:b/>
          <w:color w:val="auto"/>
          <w:sz w:val="24"/>
          <w:szCs w:val="24"/>
        </w:rPr>
        <w:t>Haematological</w:t>
      </w:r>
      <w:proofErr w:type="spellEnd"/>
      <w:r w:rsidRPr="00844985">
        <w:rPr>
          <w:rFonts w:ascii="Times New Roman" w:hAnsi="Times New Roman" w:cs="Times New Roman"/>
          <w:b/>
          <w:color w:val="auto"/>
          <w:sz w:val="24"/>
          <w:szCs w:val="24"/>
        </w:rPr>
        <w:t xml:space="preserve"> Indices Determination for Experiment I and II</w:t>
      </w:r>
      <w:bookmarkEnd w:id="16"/>
    </w:p>
    <w:p w14:paraId="48E9E19F"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w:t>
      </w:r>
      <w:proofErr w:type="spellStart"/>
      <w:r w:rsidRPr="00844985">
        <w:rPr>
          <w:rFonts w:ascii="Times New Roman" w:hAnsi="Times New Roman"/>
          <w:sz w:val="24"/>
          <w:szCs w:val="24"/>
        </w:rPr>
        <w:t>haematological</w:t>
      </w:r>
      <w:proofErr w:type="spellEnd"/>
      <w:r w:rsidRPr="00844985">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(Hb) were measured in accordance with the methods outlined by Bush (1991).</w:t>
      </w:r>
    </w:p>
    <w:p w14:paraId="4F816282"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Erythrocyte indices which included the mean corpuscular volume (MCV) and mean corpuscular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(MCHC) were computed in accordance with the standard formulae of (</w:t>
      </w:r>
      <w:proofErr w:type="spellStart"/>
      <w:r w:rsidRPr="00844985">
        <w:rPr>
          <w:rFonts w:ascii="Times New Roman" w:hAnsi="Times New Roman"/>
          <w:sz w:val="24"/>
          <w:szCs w:val="24"/>
        </w:rPr>
        <w:t>schalm</w:t>
      </w:r>
      <w:proofErr w:type="spellEnd"/>
      <w:r w:rsidRPr="00844985">
        <w:rPr>
          <w:rFonts w:ascii="Times New Roman" w:hAnsi="Times New Roman"/>
          <w:sz w:val="24"/>
          <w:szCs w:val="24"/>
        </w:rPr>
        <w:t xml:space="preserve"> </w:t>
      </w:r>
      <w:r w:rsidRPr="00844985">
        <w:rPr>
          <w:rFonts w:ascii="Times New Roman" w:hAnsi="Times New Roman"/>
          <w:i/>
          <w:sz w:val="24"/>
          <w:szCs w:val="24"/>
        </w:rPr>
        <w:t>et al.</w:t>
      </w:r>
      <w:r w:rsidRPr="00844985">
        <w:rPr>
          <w:rFonts w:ascii="Times New Roman" w:hAnsi="Times New Roman"/>
          <w:sz w:val="24"/>
          <w:szCs w:val="24"/>
        </w:rPr>
        <w:t>, 1975; Jain, 1986) as follows:</w:t>
      </w:r>
    </w:p>
    <w:p w14:paraId="31ACF596"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MCV</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PCV</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53564598"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Count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ab/>
        <w:t xml:space="preserve">             1</w:t>
      </w:r>
    </w:p>
    <w:p w14:paraId="2FB8CAB6" w14:textId="77777777" w:rsidR="002D2CFE" w:rsidRPr="00844985" w:rsidRDefault="002D2CFE" w:rsidP="004B249C">
      <w:pPr>
        <w:spacing w:after="0" w:line="240" w:lineRule="auto"/>
        <w:ind w:left="1440"/>
        <w:jc w:val="both"/>
        <w:rPr>
          <w:rFonts w:ascii="Times New Roman" w:hAnsi="Times New Roman"/>
          <w:sz w:val="24"/>
          <w:szCs w:val="24"/>
        </w:rPr>
      </w:pPr>
    </w:p>
    <w:p w14:paraId="5F457092"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 xml:space="preserve">MCH </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05FC83AF"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4354809A" w14:textId="77777777" w:rsidR="002D2CFE" w:rsidRPr="00844985" w:rsidRDefault="002D2CFE" w:rsidP="004B249C">
      <w:pPr>
        <w:spacing w:after="0" w:line="240" w:lineRule="auto"/>
        <w:ind w:left="1440"/>
        <w:jc w:val="both"/>
        <w:rPr>
          <w:rFonts w:ascii="Times New Roman" w:hAnsi="Times New Roman"/>
          <w:sz w:val="24"/>
          <w:szCs w:val="24"/>
        </w:rPr>
      </w:pPr>
    </w:p>
    <w:p w14:paraId="1BD67E59"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MCHC</w:t>
      </w:r>
      <w:r w:rsidRPr="00844985">
        <w:rPr>
          <w:rFonts w:ascii="Times New Roman" w:hAnsi="Times New Roman"/>
          <w:sz w:val="24"/>
          <w:szCs w:val="24"/>
        </w:rPr>
        <w:tab/>
        <w:t xml:space="preserve"> </w:t>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100</w:t>
      </w:r>
    </w:p>
    <w:p w14:paraId="0EB9CD1D"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PCV (%)</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08FE8E88" w14:textId="77777777" w:rsidR="002D2CFE" w:rsidRPr="00844985" w:rsidRDefault="002D2CFE" w:rsidP="004B249C">
      <w:pPr>
        <w:spacing w:after="0" w:line="240" w:lineRule="auto"/>
        <w:ind w:left="1440"/>
        <w:jc w:val="both"/>
        <w:rPr>
          <w:rFonts w:ascii="Times New Roman" w:hAnsi="Times New Roman"/>
          <w:sz w:val="24"/>
          <w:szCs w:val="24"/>
        </w:rPr>
      </w:pPr>
    </w:p>
    <w:p w14:paraId="28AEA557" w14:textId="77777777" w:rsidR="002D2CFE" w:rsidRPr="00844985" w:rsidRDefault="002D2CFE" w:rsidP="004B249C">
      <w:pPr>
        <w:spacing w:after="0" w:line="240" w:lineRule="auto"/>
        <w:ind w:left="1440"/>
        <w:jc w:val="both"/>
        <w:rPr>
          <w:rFonts w:ascii="Times New Roman" w:hAnsi="Times New Roman"/>
          <w:sz w:val="24"/>
          <w:szCs w:val="24"/>
        </w:rPr>
      </w:pPr>
    </w:p>
    <w:p w14:paraId="4364F669" w14:textId="381C8C63"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17" w:name="_Toc18112"/>
      <w:r w:rsidRPr="00844985">
        <w:rPr>
          <w:rFonts w:ascii="Times New Roman" w:hAnsi="Times New Roman" w:cs="Times New Roman"/>
          <w:b/>
          <w:color w:val="auto"/>
          <w:sz w:val="24"/>
          <w:szCs w:val="24"/>
        </w:rPr>
        <w:t>Serum Biochemical Analysis for Experiment I and II</w:t>
      </w:r>
      <w:bookmarkEnd w:id="17"/>
    </w:p>
    <w:p w14:paraId="134DF303" w14:textId="1F184AFA" w:rsidR="002D2CFE" w:rsidRPr="00844985" w:rsidRDefault="002D2CFE" w:rsidP="004B249C">
      <w:pPr>
        <w:spacing w:after="0" w:line="240" w:lineRule="auto"/>
        <w:jc w:val="both"/>
        <w:rPr>
          <w:rFonts w:ascii="Times New Roman" w:hAnsi="Times New Roman"/>
          <w:b/>
          <w:sz w:val="24"/>
          <w:szCs w:val="24"/>
        </w:rPr>
      </w:pPr>
      <w:r w:rsidRPr="00844985">
        <w:rPr>
          <w:rFonts w:ascii="Times New Roman" w:hAnsi="Times New Roman"/>
          <w:b/>
          <w:sz w:val="24"/>
          <w:szCs w:val="24"/>
        </w:rPr>
        <w:t>Total Protein, Albumin and Globulin</w:t>
      </w:r>
    </w:p>
    <w:p w14:paraId="30707DE7" w14:textId="77777777" w:rsidR="002D2CFE"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serum protein and albumin were determined by the method of Baker and Silverston (1985); globulin was also estimated by subtracting albumin value from total protein value (Baker and Silverston, 1985). The total protein, albumin and globulin in the serum were analyzed with sigma assay kits (Sigma chemical Co. St. Louis, Missouri, USA).  The total serum protein and serum </w:t>
      </w:r>
      <w:r>
        <w:rPr>
          <w:rFonts w:ascii="Times New Roman" w:hAnsi="Times New Roman"/>
          <w:sz w:val="24"/>
          <w:szCs w:val="24"/>
        </w:rPr>
        <w:t>albumin were determined by biuret method (Bush, 1991). The total serum protein was first estimated and then performing fractionation on further volume of the sample to precipitate and remove globulins; this leaves only albumin in solution (Bush, 1991).</w:t>
      </w:r>
    </w:p>
    <w:p w14:paraId="669AC927"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lastRenderedPageBreak/>
        <w:t>Liver Function Test</w:t>
      </w:r>
    </w:p>
    <w:p w14:paraId="4F0A5020" w14:textId="77777777" w:rsidR="00844985" w:rsidRDefault="002D2CFE" w:rsidP="004B249C">
      <w:pPr>
        <w:spacing w:after="0" w:line="240" w:lineRule="auto"/>
        <w:jc w:val="both"/>
        <w:rPr>
          <w:rFonts w:ascii="Times New Roman" w:hAnsi="Times New Roman"/>
          <w:b/>
          <w:sz w:val="24"/>
          <w:szCs w:val="24"/>
        </w:rPr>
      </w:pPr>
      <w:r>
        <w:rPr>
          <w:rFonts w:ascii="Times New Roman" w:hAnsi="Times New Roman"/>
          <w:sz w:val="24"/>
          <w:szCs w:val="24"/>
        </w:rPr>
        <w:t xml:space="preserve">The serum enzyme that depict the health of the liver, </w:t>
      </w:r>
      <w:proofErr w:type="spellStart"/>
      <w:r>
        <w:rPr>
          <w:rFonts w:ascii="Times New Roman" w:hAnsi="Times New Roman"/>
          <w:sz w:val="24"/>
          <w:szCs w:val="24"/>
        </w:rPr>
        <w:t>aspertate</w:t>
      </w:r>
      <w:proofErr w:type="spellEnd"/>
      <w:r>
        <w:rPr>
          <w:rFonts w:ascii="Times New Roman" w:hAnsi="Times New Roman"/>
          <w:sz w:val="24"/>
          <w:szCs w:val="24"/>
        </w:rPr>
        <w:t xml:space="preserve"> aminotransferase (AST), </w:t>
      </w:r>
      <w:proofErr w:type="spellStart"/>
      <w:r>
        <w:rPr>
          <w:rFonts w:ascii="Times New Roman" w:hAnsi="Times New Roman"/>
          <w:sz w:val="24"/>
          <w:szCs w:val="24"/>
        </w:rPr>
        <w:t>alanin</w:t>
      </w:r>
      <w:proofErr w:type="spellEnd"/>
      <w:r>
        <w:rPr>
          <w:rFonts w:ascii="Times New Roman" w:hAnsi="Times New Roman"/>
          <w:sz w:val="24"/>
          <w:szCs w:val="24"/>
        </w:rPr>
        <w:t xml:space="preserve"> aminotransferase (ALT) and alkaline phosphatase (ALP) were determined using a photoelectric colorimeter as described by Duncan </w:t>
      </w:r>
      <w:r>
        <w:rPr>
          <w:rFonts w:ascii="Times New Roman" w:hAnsi="Times New Roman"/>
          <w:i/>
          <w:sz w:val="24"/>
          <w:szCs w:val="24"/>
        </w:rPr>
        <w:t>et al</w:t>
      </w:r>
      <w:r>
        <w:rPr>
          <w:rFonts w:ascii="Times New Roman" w:hAnsi="Times New Roman"/>
          <w:sz w:val="24"/>
          <w:szCs w:val="24"/>
        </w:rPr>
        <w:t xml:space="preserve">. (1994). Blood urea, nitrogen and creatinine levels will also be determined using photoelectric colorimeter, as described by Gbore </w:t>
      </w:r>
      <w:r>
        <w:rPr>
          <w:rFonts w:ascii="Times New Roman" w:hAnsi="Times New Roman"/>
          <w:i/>
          <w:sz w:val="24"/>
          <w:szCs w:val="24"/>
        </w:rPr>
        <w:t>et al</w:t>
      </w:r>
      <w:r>
        <w:rPr>
          <w:rFonts w:ascii="Times New Roman" w:hAnsi="Times New Roman"/>
          <w:sz w:val="24"/>
          <w:szCs w:val="24"/>
        </w:rPr>
        <w:t xml:space="preserve">. (2006). Total cholesterol was also evaluated, as described by Baker </w:t>
      </w:r>
      <w:r>
        <w:rPr>
          <w:rFonts w:ascii="Times New Roman" w:hAnsi="Times New Roman"/>
          <w:i/>
          <w:sz w:val="24"/>
          <w:szCs w:val="24"/>
        </w:rPr>
        <w:t>et al.</w:t>
      </w:r>
      <w:r>
        <w:rPr>
          <w:rFonts w:ascii="Times New Roman" w:hAnsi="Times New Roman"/>
          <w:sz w:val="24"/>
          <w:szCs w:val="24"/>
        </w:rPr>
        <w:t xml:space="preserve"> (2007).</w:t>
      </w:r>
    </w:p>
    <w:p w14:paraId="0777F3A4" w14:textId="70141F86"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Urea</w:t>
      </w:r>
    </w:p>
    <w:p w14:paraId="1FCA7F8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The serum urea estimation was carried out by the diacetyl </w:t>
      </w:r>
      <w:proofErr w:type="spellStart"/>
      <w:r>
        <w:rPr>
          <w:rFonts w:ascii="Times New Roman" w:hAnsi="Times New Roman"/>
          <w:sz w:val="24"/>
          <w:szCs w:val="24"/>
        </w:rPr>
        <w:t>monoxim</w:t>
      </w:r>
      <w:proofErr w:type="spellEnd"/>
      <w:r>
        <w:rPr>
          <w:rFonts w:ascii="Times New Roman" w:hAnsi="Times New Roman"/>
          <w:sz w:val="24"/>
          <w:szCs w:val="24"/>
        </w:rPr>
        <w:t xml:space="preserve"> (Bush, 1991). Here the protein was first precipitated by trichloroacetic acid. The urea in the filtrate was then react with diacetyl monoxime in the presence of acid, oxidizing reagent and </w:t>
      </w:r>
      <w:proofErr w:type="spellStart"/>
      <w:r>
        <w:rPr>
          <w:rFonts w:ascii="Times New Roman" w:hAnsi="Times New Roman"/>
          <w:sz w:val="24"/>
          <w:szCs w:val="24"/>
        </w:rPr>
        <w:t>thiosemicarbazide</w:t>
      </w:r>
      <w:proofErr w:type="spellEnd"/>
      <w:r>
        <w:rPr>
          <w:rFonts w:ascii="Times New Roman" w:hAnsi="Times New Roman"/>
          <w:sz w:val="24"/>
          <w:szCs w:val="24"/>
        </w:rPr>
        <w:t xml:space="preserve"> to give a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This was then measured in a photoelectric colorimeter at a wave length of 520 nm (Bush, 1991).</w:t>
      </w:r>
    </w:p>
    <w:p w14:paraId="368AD9D9" w14:textId="77777777" w:rsidR="002D2CFE" w:rsidRDefault="002D2CFE" w:rsidP="004B249C">
      <w:pPr>
        <w:spacing w:after="0" w:line="240" w:lineRule="auto"/>
        <w:jc w:val="center"/>
        <w:rPr>
          <w:rFonts w:ascii="Times New Roman" w:hAnsi="Times New Roman"/>
          <w:sz w:val="24"/>
          <w:szCs w:val="24"/>
        </w:rPr>
      </w:pPr>
      <w:r>
        <w:rPr>
          <w:rFonts w:ascii="Times New Roman" w:hAnsi="Times New Roman"/>
          <w:sz w:val="24"/>
          <w:szCs w:val="24"/>
        </w:rPr>
        <w:t>Urea concentration (mmol/l) = At/</w:t>
      </w:r>
      <w:proofErr w:type="spellStart"/>
      <w:r>
        <w:rPr>
          <w:rFonts w:ascii="Times New Roman" w:hAnsi="Times New Roman"/>
          <w:sz w:val="24"/>
          <w:szCs w:val="24"/>
        </w:rPr>
        <w:t>Ar</w:t>
      </w:r>
      <w:proofErr w:type="spellEnd"/>
      <w:r>
        <w:rPr>
          <w:rFonts w:ascii="Times New Roman" w:hAnsi="Times New Roman"/>
          <w:sz w:val="24"/>
          <w:szCs w:val="24"/>
        </w:rPr>
        <w:t xml:space="preserve"> x 100 (Bush, 1991).</w:t>
      </w:r>
    </w:p>
    <w:p w14:paraId="07D42D1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Where:</w:t>
      </w:r>
    </w:p>
    <w:p w14:paraId="71D22A89" w14:textId="77777777" w:rsidR="002D2CFE" w:rsidRDefault="002D2CFE" w:rsidP="004B249C">
      <w:pPr>
        <w:spacing w:after="0" w:line="240" w:lineRule="auto"/>
        <w:ind w:firstLine="720"/>
        <w:jc w:val="both"/>
        <w:rPr>
          <w:rFonts w:ascii="Times New Roman" w:hAnsi="Times New Roman"/>
          <w:sz w:val="24"/>
          <w:szCs w:val="24"/>
        </w:rPr>
      </w:pPr>
      <w:r>
        <w:rPr>
          <w:rFonts w:ascii="Times New Roman" w:hAnsi="Times New Roman"/>
          <w:sz w:val="24"/>
          <w:szCs w:val="24"/>
        </w:rPr>
        <w:t>At = Absorbance of the test sample</w:t>
      </w:r>
    </w:p>
    <w:p w14:paraId="26B6B48B" w14:textId="77777777" w:rsidR="002D2CFE" w:rsidRDefault="002D2CFE" w:rsidP="004B249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Ar</w:t>
      </w:r>
      <w:proofErr w:type="spellEnd"/>
      <w:r>
        <w:rPr>
          <w:rFonts w:ascii="Times New Roman" w:hAnsi="Times New Roman"/>
          <w:sz w:val="24"/>
          <w:szCs w:val="24"/>
        </w:rPr>
        <w:t xml:space="preserve"> = Absorbance of the reference sample</w:t>
      </w:r>
    </w:p>
    <w:p w14:paraId="4A390C31" w14:textId="77777777" w:rsidR="002D2CFE" w:rsidRDefault="002D2CFE" w:rsidP="004B249C">
      <w:pPr>
        <w:spacing w:after="0" w:line="240" w:lineRule="auto"/>
        <w:jc w:val="both"/>
        <w:rPr>
          <w:rFonts w:ascii="Times New Roman" w:hAnsi="Times New Roman"/>
          <w:b/>
          <w:sz w:val="24"/>
          <w:szCs w:val="24"/>
        </w:rPr>
      </w:pPr>
    </w:p>
    <w:p w14:paraId="09958986"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Cholesterol</w:t>
      </w:r>
    </w:p>
    <w:p w14:paraId="48C9855D" w14:textId="321889D6"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colorimetric enzyme method as outlined by Bush (1991). The method </w:t>
      </w:r>
      <w:r w:rsidR="000B6C53">
        <w:rPr>
          <w:rFonts w:ascii="Times New Roman" w:hAnsi="Times New Roman"/>
          <w:sz w:val="24"/>
          <w:szCs w:val="24"/>
        </w:rPr>
        <w:t>involves</w:t>
      </w:r>
      <w:r>
        <w:rPr>
          <w:rFonts w:ascii="Times New Roman" w:hAnsi="Times New Roman"/>
          <w:sz w:val="24"/>
          <w:szCs w:val="24"/>
        </w:rPr>
        <w:t xml:space="preserve"> enzymatic hydrolysis and oxidation which terminates in the production of a red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The concentration was determined after reading the colorimeter at 546 nm.</w:t>
      </w:r>
    </w:p>
    <w:p w14:paraId="760E16A6" w14:textId="48BCC0BB" w:rsidR="002D2CFE" w:rsidRDefault="002D2CFE" w:rsidP="004B249C">
      <w:pPr>
        <w:pStyle w:val="Default"/>
        <w:jc w:val="both"/>
        <w:rPr>
          <w:b/>
          <w:bCs/>
          <w:color w:val="auto"/>
        </w:rPr>
      </w:pPr>
      <w:bookmarkStart w:id="18" w:name="_Toc20780"/>
      <w:r>
        <w:rPr>
          <w:b/>
          <w:bCs/>
          <w:color w:val="auto"/>
        </w:rPr>
        <w:t xml:space="preserve">Data </w:t>
      </w:r>
      <w:r>
        <w:rPr>
          <w:b/>
          <w:bCs/>
          <w:color w:val="auto"/>
          <w:lang w:val="en-US"/>
        </w:rPr>
        <w:t>A</w:t>
      </w:r>
      <w:proofErr w:type="spellStart"/>
      <w:r>
        <w:rPr>
          <w:b/>
          <w:bCs/>
          <w:color w:val="auto"/>
        </w:rPr>
        <w:t>nalyses</w:t>
      </w:r>
      <w:bookmarkEnd w:id="18"/>
      <w:proofErr w:type="spellEnd"/>
      <w:r>
        <w:rPr>
          <w:b/>
          <w:bCs/>
          <w:color w:val="auto"/>
        </w:rPr>
        <w:t xml:space="preserve"> </w:t>
      </w:r>
    </w:p>
    <w:p w14:paraId="1587E4A7" w14:textId="557F23E8"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0C473D">
        <w:rPr>
          <w:rFonts w:ascii="Times New Roman" w:hAnsi="Times New Roman"/>
          <w:sz w:val="24"/>
          <w:szCs w:val="24"/>
        </w:rPr>
        <w:t>.</w:t>
      </w:r>
    </w:p>
    <w:p w14:paraId="7FBD9C66" w14:textId="46174020" w:rsidR="002D2CFE" w:rsidRPr="00844985" w:rsidRDefault="002D2CFE" w:rsidP="004B249C">
      <w:pPr>
        <w:pStyle w:val="Heading2"/>
        <w:spacing w:before="0" w:after="0" w:line="240" w:lineRule="auto"/>
        <w:rPr>
          <w:rFonts w:ascii="Times New Roman" w:hAnsi="Times New Roman"/>
          <w:b/>
          <w:bCs/>
          <w:color w:val="auto"/>
          <w:sz w:val="24"/>
          <w:szCs w:val="24"/>
        </w:rPr>
      </w:pPr>
      <w:bookmarkStart w:id="19" w:name="_Toc23419"/>
      <w:r w:rsidRPr="00844985">
        <w:rPr>
          <w:rFonts w:ascii="Times New Roman" w:hAnsi="Times New Roman"/>
          <w:b/>
          <w:bCs/>
          <w:color w:val="auto"/>
          <w:sz w:val="24"/>
          <w:szCs w:val="24"/>
        </w:rPr>
        <w:t>Results</w:t>
      </w:r>
      <w:bookmarkEnd w:id="19"/>
    </w:p>
    <w:p w14:paraId="390CF01B" w14:textId="345A7E8F" w:rsidR="002D2CFE" w:rsidRPr="00844985" w:rsidRDefault="002D2CFE" w:rsidP="004B249C">
      <w:pPr>
        <w:pStyle w:val="Heading2"/>
        <w:spacing w:before="0" w:after="0" w:line="240" w:lineRule="auto"/>
        <w:rPr>
          <w:rFonts w:ascii="Times New Roman" w:hAnsi="Times New Roman"/>
          <w:b/>
          <w:bCs/>
          <w:i/>
          <w:color w:val="auto"/>
          <w:sz w:val="24"/>
          <w:szCs w:val="24"/>
        </w:rPr>
      </w:pPr>
      <w:bookmarkStart w:id="20" w:name="_Toc21002"/>
      <w:proofErr w:type="spellStart"/>
      <w:r w:rsidRPr="00844985">
        <w:rPr>
          <w:rFonts w:ascii="Times New Roman" w:hAnsi="Times New Roman"/>
          <w:b/>
          <w:bCs/>
          <w:color w:val="auto"/>
          <w:sz w:val="24"/>
          <w:szCs w:val="24"/>
        </w:rPr>
        <w:t>Haematology</w:t>
      </w:r>
      <w:proofErr w:type="spellEnd"/>
      <w:r w:rsidRPr="00844985">
        <w:rPr>
          <w:rFonts w:ascii="Times New Roman" w:hAnsi="Times New Roman"/>
          <w:b/>
          <w:bCs/>
          <w:color w:val="auto"/>
          <w:sz w:val="24"/>
          <w:szCs w:val="24"/>
        </w:rPr>
        <w:t xml:space="preserve"> of Uda Ram Lambs Fed Diet Containing Graded Levels of </w:t>
      </w:r>
      <w:proofErr w:type="spellStart"/>
      <w:r w:rsidRPr="00844985">
        <w:rPr>
          <w:rFonts w:ascii="Times New Roman" w:hAnsi="Times New Roman"/>
          <w:b/>
          <w:bCs/>
          <w:i/>
          <w:color w:val="auto"/>
          <w:sz w:val="24"/>
          <w:szCs w:val="24"/>
        </w:rPr>
        <w:t>Mormodica</w:t>
      </w:r>
      <w:proofErr w:type="spellEnd"/>
      <w:r w:rsidRPr="00844985">
        <w:rPr>
          <w:rFonts w:ascii="Times New Roman" w:hAnsi="Times New Roman"/>
          <w:b/>
          <w:bCs/>
          <w:i/>
          <w:color w:val="auto"/>
          <w:sz w:val="24"/>
          <w:szCs w:val="24"/>
        </w:rPr>
        <w:t xml:space="preserve"> </w:t>
      </w:r>
      <w:proofErr w:type="spellStart"/>
      <w:r w:rsidRPr="00844985">
        <w:rPr>
          <w:rFonts w:ascii="Times New Roman" w:hAnsi="Times New Roman"/>
          <w:b/>
          <w:bCs/>
          <w:i/>
          <w:color w:val="auto"/>
          <w:sz w:val="24"/>
          <w:szCs w:val="24"/>
        </w:rPr>
        <w:t>balsamina</w:t>
      </w:r>
      <w:bookmarkEnd w:id="20"/>
      <w:proofErr w:type="spellEnd"/>
    </w:p>
    <w:p w14:paraId="40640D7B" w14:textId="77777777" w:rsidR="002D2CFE" w:rsidRDefault="002D2CFE" w:rsidP="004B249C">
      <w:pPr>
        <w:spacing w:after="0" w:line="240" w:lineRule="auto"/>
      </w:pPr>
    </w:p>
    <w:p w14:paraId="59660112" w14:textId="2FB33AAE"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The results of </w:t>
      </w:r>
      <w:proofErr w:type="spellStart"/>
      <w:r>
        <w:rPr>
          <w:rFonts w:ascii="Times New Roman" w:hAnsi="Times New Roman"/>
          <w:bCs/>
          <w:sz w:val="24"/>
          <w:szCs w:val="24"/>
        </w:rPr>
        <w:t>haematological</w:t>
      </w:r>
      <w:proofErr w:type="spellEnd"/>
      <w:r>
        <w:rPr>
          <w:rFonts w:ascii="Times New Roman" w:hAnsi="Times New Roman"/>
          <w:bCs/>
          <w:sz w:val="24"/>
          <w:szCs w:val="24"/>
        </w:rPr>
        <w:t xml:space="preserve"> profile of Uda lambs fed graded levels of Balsam apple is shown in Table </w:t>
      </w:r>
      <w:r w:rsidR="00844985">
        <w:rPr>
          <w:rFonts w:ascii="Times New Roman" w:hAnsi="Times New Roman"/>
          <w:bCs/>
          <w:sz w:val="24"/>
          <w:szCs w:val="24"/>
        </w:rPr>
        <w:t>2</w:t>
      </w:r>
      <w:r>
        <w:rPr>
          <w:rFonts w:ascii="Times New Roman" w:hAnsi="Times New Roman"/>
          <w:bCs/>
          <w:sz w:val="24"/>
          <w:szCs w:val="24"/>
        </w:rPr>
        <w:t xml:space="preserve">. The results showed significant (P&lt;0.05) difference in all the parameters except MCH. Treatment 4 had significantly (P&lt;0.05) higher values in terms of </w:t>
      </w:r>
      <w:proofErr w:type="spellStart"/>
      <w:r>
        <w:rPr>
          <w:rFonts w:ascii="Times New Roman" w:hAnsi="Times New Roman"/>
          <w:bCs/>
          <w:sz w:val="24"/>
          <w:szCs w:val="24"/>
        </w:rPr>
        <w:t>haemoglobin</w:t>
      </w:r>
      <w:proofErr w:type="spellEnd"/>
      <w:r>
        <w:rPr>
          <w:rFonts w:ascii="Times New Roman" w:hAnsi="Times New Roman"/>
          <w:bCs/>
          <w:sz w:val="24"/>
          <w:szCs w:val="24"/>
        </w:rPr>
        <w:t xml:space="preserve">, PCV, RBC, MCV and MCH compared to other treatments. Similarly, T1 had significantly higher (P&lt;0.05) monocytes compared to other treatments. Eosinophils </w:t>
      </w:r>
      <w:r w:rsidR="000C473D">
        <w:rPr>
          <w:rFonts w:ascii="Times New Roman" w:hAnsi="Times New Roman"/>
          <w:bCs/>
          <w:sz w:val="24"/>
          <w:szCs w:val="24"/>
        </w:rPr>
        <w:t>were</w:t>
      </w:r>
      <w:r>
        <w:rPr>
          <w:rFonts w:ascii="Times New Roman" w:hAnsi="Times New Roman"/>
          <w:bCs/>
          <w:sz w:val="24"/>
          <w:szCs w:val="24"/>
        </w:rPr>
        <w:t xml:space="preserve"> significantly (P&lt;0.05) higher in T3 compared to other treatments.</w:t>
      </w:r>
    </w:p>
    <w:p w14:paraId="39440421" w14:textId="099C0708"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From the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results (Table </w:t>
      </w:r>
      <w:r w:rsidR="000C473D">
        <w:rPr>
          <w:rFonts w:ascii="Times New Roman" w:hAnsi="Times New Roman"/>
          <w:bCs/>
          <w:sz w:val="24"/>
          <w:szCs w:val="24"/>
        </w:rPr>
        <w:t>2</w:t>
      </w:r>
      <w:r>
        <w:rPr>
          <w:rFonts w:ascii="Times New Roman" w:hAnsi="Times New Roman"/>
          <w:bCs/>
          <w:sz w:val="24"/>
          <w:szCs w:val="24"/>
        </w:rPr>
        <w:t xml:space="preserve">) all parameters were within the normal reference values except MCH, monocytes and lymphocytes. MCH value for T4 was higher than the normal reference value while all other treatments fall within the normal reference value. Monocytes for T1 was higher than the normal reference value while T2, T3 and T4 were within the normal reference value. Lymphocytes value for T2 was lower than the normal reference value while all other treatments fall with the normal reference value.  </w:t>
      </w:r>
    </w:p>
    <w:p w14:paraId="41CED148" w14:textId="76A07358" w:rsidR="000B6C53" w:rsidRDefault="000B6C53"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Table 2: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Uda Ram Lambs Fed Graded Levels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Y="12"/>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42"/>
        <w:gridCol w:w="1225"/>
        <w:gridCol w:w="1225"/>
        <w:gridCol w:w="1232"/>
        <w:gridCol w:w="847"/>
        <w:gridCol w:w="1620"/>
      </w:tblGrid>
      <w:tr w:rsidR="000B6C53" w14:paraId="489BD2FD" w14:textId="77777777" w:rsidTr="000B6C53">
        <w:trPr>
          <w:trHeight w:val="186"/>
        </w:trPr>
        <w:tc>
          <w:tcPr>
            <w:tcW w:w="2096" w:type="dxa"/>
            <w:tcBorders>
              <w:top w:val="single" w:sz="4" w:space="0" w:color="auto"/>
            </w:tcBorders>
          </w:tcPr>
          <w:p w14:paraId="268B29A2" w14:textId="77777777" w:rsidR="000B6C53" w:rsidRDefault="000B6C53" w:rsidP="004B249C">
            <w:pPr>
              <w:spacing w:after="0" w:line="240" w:lineRule="auto"/>
              <w:rPr>
                <w:rFonts w:ascii="Times New Roman" w:hAnsi="Times New Roman"/>
                <w:b/>
                <w:sz w:val="24"/>
                <w:szCs w:val="24"/>
                <w:lang w:val="en-ZA"/>
              </w:rPr>
            </w:pPr>
          </w:p>
        </w:tc>
        <w:tc>
          <w:tcPr>
            <w:tcW w:w="5024" w:type="dxa"/>
            <w:gridSpan w:val="4"/>
            <w:tcBorders>
              <w:top w:val="single" w:sz="4" w:space="0" w:color="auto"/>
            </w:tcBorders>
          </w:tcPr>
          <w:p w14:paraId="43C8E34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7" w:type="dxa"/>
            <w:tcBorders>
              <w:top w:val="single" w:sz="4" w:space="0" w:color="auto"/>
            </w:tcBorders>
          </w:tcPr>
          <w:p w14:paraId="0CC4C456" w14:textId="77777777" w:rsidR="000B6C53" w:rsidRDefault="000B6C53" w:rsidP="004B249C">
            <w:pPr>
              <w:spacing w:after="0" w:line="240" w:lineRule="auto"/>
              <w:jc w:val="center"/>
              <w:rPr>
                <w:rFonts w:ascii="Times New Roman" w:hAnsi="Times New Roman"/>
                <w:b/>
                <w:sz w:val="24"/>
                <w:szCs w:val="24"/>
                <w:lang w:val="en-ZA"/>
              </w:rPr>
            </w:pPr>
          </w:p>
        </w:tc>
        <w:tc>
          <w:tcPr>
            <w:tcW w:w="1620" w:type="dxa"/>
            <w:vMerge w:val="restart"/>
            <w:tcBorders>
              <w:top w:val="single" w:sz="4" w:space="0" w:color="auto"/>
            </w:tcBorders>
          </w:tcPr>
          <w:p w14:paraId="73ACD60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B6C53" w14:paraId="6B77D93A" w14:textId="77777777" w:rsidTr="000B6C53">
        <w:trPr>
          <w:trHeight w:val="191"/>
        </w:trPr>
        <w:tc>
          <w:tcPr>
            <w:tcW w:w="2096" w:type="dxa"/>
            <w:tcBorders>
              <w:bottom w:val="single" w:sz="4" w:space="0" w:color="auto"/>
            </w:tcBorders>
          </w:tcPr>
          <w:p w14:paraId="1CFA04E9" w14:textId="77777777" w:rsidR="000B6C53" w:rsidRDefault="000B6C53"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342" w:type="dxa"/>
            <w:tcBorders>
              <w:bottom w:val="single" w:sz="4" w:space="0" w:color="auto"/>
            </w:tcBorders>
          </w:tcPr>
          <w:p w14:paraId="3E9B1FAF"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225" w:type="dxa"/>
            <w:tcBorders>
              <w:bottom w:val="single" w:sz="4" w:space="0" w:color="auto"/>
            </w:tcBorders>
          </w:tcPr>
          <w:p w14:paraId="601B4986"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25" w:type="dxa"/>
            <w:tcBorders>
              <w:bottom w:val="single" w:sz="4" w:space="0" w:color="auto"/>
            </w:tcBorders>
          </w:tcPr>
          <w:p w14:paraId="11E0886D"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31" w:type="dxa"/>
            <w:tcBorders>
              <w:bottom w:val="single" w:sz="4" w:space="0" w:color="auto"/>
            </w:tcBorders>
          </w:tcPr>
          <w:p w14:paraId="6DDE82E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7" w:type="dxa"/>
            <w:tcBorders>
              <w:bottom w:val="single" w:sz="4" w:space="0" w:color="auto"/>
            </w:tcBorders>
          </w:tcPr>
          <w:p w14:paraId="0C50D8C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620" w:type="dxa"/>
            <w:vMerge/>
            <w:tcBorders>
              <w:bottom w:val="single" w:sz="4" w:space="0" w:color="auto"/>
            </w:tcBorders>
          </w:tcPr>
          <w:p w14:paraId="1499CDC6" w14:textId="77777777" w:rsidR="000B6C53" w:rsidRDefault="000B6C53" w:rsidP="004B249C">
            <w:pPr>
              <w:spacing w:after="0" w:line="240" w:lineRule="auto"/>
              <w:jc w:val="center"/>
              <w:rPr>
                <w:rFonts w:ascii="Times New Roman" w:hAnsi="Times New Roman"/>
                <w:b/>
                <w:sz w:val="24"/>
                <w:szCs w:val="24"/>
                <w:lang w:val="en-ZA"/>
              </w:rPr>
            </w:pPr>
          </w:p>
        </w:tc>
      </w:tr>
      <w:tr w:rsidR="000B6C53" w14:paraId="508FA83D" w14:textId="77777777" w:rsidTr="000B6C53">
        <w:trPr>
          <w:trHeight w:val="186"/>
        </w:trPr>
        <w:tc>
          <w:tcPr>
            <w:tcW w:w="2096" w:type="dxa"/>
            <w:tcBorders>
              <w:top w:val="single" w:sz="4" w:space="0" w:color="auto"/>
            </w:tcBorders>
          </w:tcPr>
          <w:p w14:paraId="6FD57E07" w14:textId="77777777" w:rsidR="000B6C53" w:rsidRDefault="000B6C53" w:rsidP="004B249C">
            <w:pPr>
              <w:spacing w:after="0" w:line="240" w:lineRule="auto"/>
              <w:rPr>
                <w:rFonts w:ascii="Times New Roman" w:hAnsi="Times New Roman"/>
                <w:sz w:val="24"/>
                <w:szCs w:val="24"/>
                <w:lang w:val="en-ZA"/>
              </w:rPr>
            </w:pPr>
            <w:proofErr w:type="spellStart"/>
            <w:r>
              <w:rPr>
                <w:rFonts w:ascii="Times New Roman" w:hAnsi="Times New Roman"/>
                <w:sz w:val="24"/>
                <w:szCs w:val="24"/>
                <w:lang w:val="en-ZA"/>
              </w:rPr>
              <w:t>Hemoglobin</w:t>
            </w:r>
            <w:proofErr w:type="spellEnd"/>
            <w:r>
              <w:rPr>
                <w:rFonts w:ascii="Times New Roman" w:hAnsi="Times New Roman"/>
                <w:sz w:val="24"/>
                <w:szCs w:val="24"/>
                <w:lang w:val="en-ZA"/>
              </w:rPr>
              <w:t xml:space="preserve"> (g/dl)</w:t>
            </w:r>
          </w:p>
        </w:tc>
        <w:tc>
          <w:tcPr>
            <w:tcW w:w="1342" w:type="dxa"/>
            <w:tcBorders>
              <w:top w:val="single" w:sz="4" w:space="0" w:color="auto"/>
            </w:tcBorders>
          </w:tcPr>
          <w:p w14:paraId="6C50CB6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8.95</w:t>
            </w:r>
            <w:r>
              <w:rPr>
                <w:rFonts w:ascii="Times New Roman" w:hAnsi="Times New Roman"/>
                <w:sz w:val="24"/>
                <w:szCs w:val="24"/>
                <w:vertAlign w:val="superscript"/>
                <w:lang w:val="en-ZA"/>
              </w:rPr>
              <w:t>c</w:t>
            </w:r>
          </w:p>
        </w:tc>
        <w:tc>
          <w:tcPr>
            <w:tcW w:w="1225" w:type="dxa"/>
            <w:tcBorders>
              <w:top w:val="single" w:sz="4" w:space="0" w:color="auto"/>
            </w:tcBorders>
          </w:tcPr>
          <w:p w14:paraId="729807C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9.89</w:t>
            </w:r>
            <w:r>
              <w:rPr>
                <w:rFonts w:ascii="Times New Roman" w:hAnsi="Times New Roman"/>
                <w:sz w:val="24"/>
                <w:szCs w:val="24"/>
                <w:vertAlign w:val="superscript"/>
                <w:lang w:val="en-ZA"/>
              </w:rPr>
              <w:t>b</w:t>
            </w:r>
          </w:p>
        </w:tc>
        <w:tc>
          <w:tcPr>
            <w:tcW w:w="1225" w:type="dxa"/>
            <w:tcBorders>
              <w:top w:val="single" w:sz="4" w:space="0" w:color="auto"/>
            </w:tcBorders>
          </w:tcPr>
          <w:p w14:paraId="4D705E8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10.33</w:t>
            </w:r>
            <w:r>
              <w:rPr>
                <w:rFonts w:ascii="Times New Roman" w:hAnsi="Times New Roman"/>
                <w:sz w:val="24"/>
                <w:szCs w:val="24"/>
                <w:vertAlign w:val="superscript"/>
                <w:lang w:val="en-ZA"/>
              </w:rPr>
              <w:t>ab</w:t>
            </w:r>
          </w:p>
        </w:tc>
        <w:tc>
          <w:tcPr>
            <w:tcW w:w="1231" w:type="dxa"/>
            <w:tcBorders>
              <w:top w:val="single" w:sz="4" w:space="0" w:color="auto"/>
            </w:tcBorders>
          </w:tcPr>
          <w:p w14:paraId="6AE6274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10.58</w:t>
            </w:r>
            <w:r>
              <w:rPr>
                <w:rFonts w:ascii="Times New Roman" w:hAnsi="Times New Roman"/>
                <w:sz w:val="24"/>
                <w:szCs w:val="24"/>
                <w:vertAlign w:val="superscript"/>
                <w:lang w:val="en-ZA"/>
              </w:rPr>
              <w:t>a</w:t>
            </w:r>
          </w:p>
        </w:tc>
        <w:tc>
          <w:tcPr>
            <w:tcW w:w="847" w:type="dxa"/>
            <w:tcBorders>
              <w:top w:val="single" w:sz="4" w:space="0" w:color="auto"/>
            </w:tcBorders>
          </w:tcPr>
          <w:p w14:paraId="1A7E5D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620" w:type="dxa"/>
            <w:tcBorders>
              <w:top w:val="single" w:sz="4" w:space="0" w:color="auto"/>
            </w:tcBorders>
          </w:tcPr>
          <w:p w14:paraId="7CD3487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048C88F4" w14:textId="77777777" w:rsidTr="000B6C53">
        <w:trPr>
          <w:trHeight w:val="186"/>
        </w:trPr>
        <w:tc>
          <w:tcPr>
            <w:tcW w:w="2096" w:type="dxa"/>
          </w:tcPr>
          <w:p w14:paraId="32361031"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PCV (%)</w:t>
            </w:r>
          </w:p>
        </w:tc>
        <w:tc>
          <w:tcPr>
            <w:tcW w:w="1342" w:type="dxa"/>
          </w:tcPr>
          <w:p w14:paraId="5F17EE1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25.33</w:t>
            </w:r>
            <w:r>
              <w:rPr>
                <w:rFonts w:ascii="Times New Roman" w:hAnsi="Times New Roman"/>
                <w:sz w:val="24"/>
                <w:szCs w:val="24"/>
                <w:vertAlign w:val="superscript"/>
                <w:lang w:val="en-ZA"/>
              </w:rPr>
              <w:t>c</w:t>
            </w:r>
          </w:p>
        </w:tc>
        <w:tc>
          <w:tcPr>
            <w:tcW w:w="1225" w:type="dxa"/>
          </w:tcPr>
          <w:p w14:paraId="3415840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28.67</w:t>
            </w:r>
            <w:r>
              <w:rPr>
                <w:rFonts w:ascii="Times New Roman" w:hAnsi="Times New Roman"/>
                <w:sz w:val="24"/>
                <w:szCs w:val="24"/>
                <w:vertAlign w:val="superscript"/>
                <w:lang w:val="en-ZA"/>
              </w:rPr>
              <w:t>bc</w:t>
            </w:r>
          </w:p>
        </w:tc>
        <w:tc>
          <w:tcPr>
            <w:tcW w:w="1225" w:type="dxa"/>
          </w:tcPr>
          <w:p w14:paraId="3875F52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33.29</w:t>
            </w:r>
            <w:r>
              <w:rPr>
                <w:rFonts w:ascii="Times New Roman" w:hAnsi="Times New Roman"/>
                <w:sz w:val="24"/>
                <w:szCs w:val="24"/>
                <w:vertAlign w:val="superscript"/>
                <w:lang w:val="en-ZA"/>
              </w:rPr>
              <w:t>ab</w:t>
            </w:r>
          </w:p>
        </w:tc>
        <w:tc>
          <w:tcPr>
            <w:tcW w:w="1231" w:type="dxa"/>
          </w:tcPr>
          <w:p w14:paraId="204B9EE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36.48</w:t>
            </w:r>
            <w:r>
              <w:rPr>
                <w:rFonts w:ascii="Times New Roman" w:hAnsi="Times New Roman"/>
                <w:sz w:val="24"/>
                <w:szCs w:val="24"/>
                <w:vertAlign w:val="superscript"/>
                <w:lang w:val="en-ZA"/>
              </w:rPr>
              <w:t>a</w:t>
            </w:r>
          </w:p>
        </w:tc>
        <w:tc>
          <w:tcPr>
            <w:tcW w:w="847" w:type="dxa"/>
          </w:tcPr>
          <w:p w14:paraId="101B0E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2.82</w:t>
            </w:r>
          </w:p>
        </w:tc>
        <w:tc>
          <w:tcPr>
            <w:tcW w:w="1620" w:type="dxa"/>
          </w:tcPr>
          <w:p w14:paraId="78FFB34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B6C53" w14:paraId="425AAB67" w14:textId="77777777" w:rsidTr="000B6C53">
        <w:trPr>
          <w:trHeight w:val="186"/>
        </w:trPr>
        <w:tc>
          <w:tcPr>
            <w:tcW w:w="2096" w:type="dxa"/>
          </w:tcPr>
          <w:p w14:paraId="1E6E9EEE"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342" w:type="dxa"/>
          </w:tcPr>
          <w:p w14:paraId="14D3E35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10.45</w:t>
            </w:r>
            <w:r>
              <w:rPr>
                <w:rFonts w:ascii="Times New Roman" w:hAnsi="Times New Roman"/>
                <w:sz w:val="24"/>
                <w:szCs w:val="24"/>
                <w:vertAlign w:val="superscript"/>
                <w:lang w:val="en-ZA"/>
              </w:rPr>
              <w:t>c</w:t>
            </w:r>
          </w:p>
        </w:tc>
        <w:tc>
          <w:tcPr>
            <w:tcW w:w="1225" w:type="dxa"/>
          </w:tcPr>
          <w:p w14:paraId="1FC509A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r>
              <w:rPr>
                <w:rFonts w:ascii="Times New Roman" w:hAnsi="Times New Roman"/>
                <w:sz w:val="24"/>
                <w:szCs w:val="24"/>
                <w:vertAlign w:val="superscript"/>
                <w:lang w:val="en-ZA"/>
              </w:rPr>
              <w:t>bc</w:t>
            </w:r>
          </w:p>
        </w:tc>
        <w:tc>
          <w:tcPr>
            <w:tcW w:w="1225" w:type="dxa"/>
          </w:tcPr>
          <w:p w14:paraId="6510E47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13.49</w:t>
            </w:r>
            <w:r>
              <w:rPr>
                <w:rFonts w:ascii="Times New Roman" w:hAnsi="Times New Roman"/>
                <w:sz w:val="24"/>
                <w:szCs w:val="24"/>
                <w:vertAlign w:val="superscript"/>
                <w:lang w:val="en-ZA"/>
              </w:rPr>
              <w:t>ab</w:t>
            </w:r>
          </w:p>
        </w:tc>
        <w:tc>
          <w:tcPr>
            <w:tcW w:w="1231" w:type="dxa"/>
          </w:tcPr>
          <w:p w14:paraId="541AD4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14.22</w:t>
            </w:r>
            <w:r>
              <w:rPr>
                <w:rFonts w:ascii="Times New Roman" w:hAnsi="Times New Roman"/>
                <w:sz w:val="24"/>
                <w:szCs w:val="24"/>
                <w:vertAlign w:val="superscript"/>
                <w:lang w:val="en-ZA"/>
              </w:rPr>
              <w:t>a</w:t>
            </w:r>
          </w:p>
        </w:tc>
        <w:tc>
          <w:tcPr>
            <w:tcW w:w="847" w:type="dxa"/>
          </w:tcPr>
          <w:p w14:paraId="244D55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0.96</w:t>
            </w:r>
          </w:p>
        </w:tc>
        <w:tc>
          <w:tcPr>
            <w:tcW w:w="1620" w:type="dxa"/>
          </w:tcPr>
          <w:p w14:paraId="45CC1BF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173CCC8E" w14:textId="77777777" w:rsidTr="000B6C53">
        <w:trPr>
          <w:trHeight w:val="191"/>
        </w:trPr>
        <w:tc>
          <w:tcPr>
            <w:tcW w:w="2096" w:type="dxa"/>
          </w:tcPr>
          <w:p w14:paraId="2B6E56E0"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342" w:type="dxa"/>
          </w:tcPr>
          <w:p w14:paraId="43079BA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8.22</w:t>
            </w:r>
          </w:p>
        </w:tc>
        <w:tc>
          <w:tcPr>
            <w:tcW w:w="1225" w:type="dxa"/>
          </w:tcPr>
          <w:p w14:paraId="15EB2C1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8.83</w:t>
            </w:r>
          </w:p>
        </w:tc>
        <w:tc>
          <w:tcPr>
            <w:tcW w:w="1225" w:type="dxa"/>
          </w:tcPr>
          <w:p w14:paraId="7A0625D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231" w:type="dxa"/>
          </w:tcPr>
          <w:p w14:paraId="58E6CCF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9.07</w:t>
            </w:r>
          </w:p>
        </w:tc>
        <w:tc>
          <w:tcPr>
            <w:tcW w:w="847" w:type="dxa"/>
          </w:tcPr>
          <w:p w14:paraId="29524FE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0.31</w:t>
            </w:r>
          </w:p>
        </w:tc>
        <w:tc>
          <w:tcPr>
            <w:tcW w:w="1620" w:type="dxa"/>
          </w:tcPr>
          <w:p w14:paraId="55CF92B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B6C53" w14:paraId="12EBA4AB" w14:textId="77777777" w:rsidTr="000B6C53">
        <w:trPr>
          <w:trHeight w:val="186"/>
        </w:trPr>
        <w:tc>
          <w:tcPr>
            <w:tcW w:w="2096" w:type="dxa"/>
          </w:tcPr>
          <w:p w14:paraId="1280150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342" w:type="dxa"/>
          </w:tcPr>
          <w:p w14:paraId="56B3F5F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30.49</w:t>
            </w:r>
            <w:r>
              <w:rPr>
                <w:rFonts w:ascii="Times New Roman" w:hAnsi="Times New Roman"/>
                <w:sz w:val="24"/>
                <w:szCs w:val="24"/>
                <w:vertAlign w:val="superscript"/>
                <w:lang w:val="en-ZA"/>
              </w:rPr>
              <w:t>b</w:t>
            </w:r>
          </w:p>
        </w:tc>
        <w:tc>
          <w:tcPr>
            <w:tcW w:w="1225" w:type="dxa"/>
          </w:tcPr>
          <w:p w14:paraId="50F04D6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31.88</w:t>
            </w:r>
            <w:r>
              <w:rPr>
                <w:rFonts w:ascii="Times New Roman" w:hAnsi="Times New Roman"/>
                <w:sz w:val="24"/>
                <w:szCs w:val="24"/>
                <w:vertAlign w:val="superscript"/>
                <w:lang w:val="en-ZA"/>
              </w:rPr>
              <w:t>b</w:t>
            </w:r>
          </w:p>
        </w:tc>
        <w:tc>
          <w:tcPr>
            <w:tcW w:w="1225" w:type="dxa"/>
          </w:tcPr>
          <w:p w14:paraId="2DD5B9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35.50</w:t>
            </w:r>
            <w:r>
              <w:rPr>
                <w:rFonts w:ascii="Times New Roman" w:hAnsi="Times New Roman"/>
                <w:sz w:val="24"/>
                <w:szCs w:val="24"/>
                <w:vertAlign w:val="superscript"/>
                <w:lang w:val="en-ZA"/>
              </w:rPr>
              <w:t>a</w:t>
            </w:r>
          </w:p>
        </w:tc>
        <w:tc>
          <w:tcPr>
            <w:tcW w:w="1231" w:type="dxa"/>
          </w:tcPr>
          <w:p w14:paraId="7B37DB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35.38</w:t>
            </w:r>
            <w:r>
              <w:rPr>
                <w:rFonts w:ascii="Times New Roman" w:hAnsi="Times New Roman"/>
                <w:sz w:val="24"/>
                <w:szCs w:val="24"/>
                <w:vertAlign w:val="superscript"/>
                <w:lang w:val="en-ZA"/>
              </w:rPr>
              <w:t>a</w:t>
            </w:r>
          </w:p>
        </w:tc>
        <w:tc>
          <w:tcPr>
            <w:tcW w:w="847" w:type="dxa"/>
          </w:tcPr>
          <w:p w14:paraId="28F8005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0.36</w:t>
            </w:r>
          </w:p>
        </w:tc>
        <w:tc>
          <w:tcPr>
            <w:tcW w:w="1620" w:type="dxa"/>
          </w:tcPr>
          <w:p w14:paraId="4D3204B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B6C53" w14:paraId="6D22B66B" w14:textId="77777777" w:rsidTr="000B6C53">
        <w:trPr>
          <w:trHeight w:val="186"/>
        </w:trPr>
        <w:tc>
          <w:tcPr>
            <w:tcW w:w="2096" w:type="dxa"/>
          </w:tcPr>
          <w:p w14:paraId="7518F2D5"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lastRenderedPageBreak/>
              <w:t>MCHC (g/dL)</w:t>
            </w:r>
          </w:p>
        </w:tc>
        <w:tc>
          <w:tcPr>
            <w:tcW w:w="1342" w:type="dxa"/>
          </w:tcPr>
          <w:p w14:paraId="5928D6D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33.00</w:t>
            </w:r>
            <w:r>
              <w:rPr>
                <w:rFonts w:ascii="Times New Roman" w:hAnsi="Times New Roman"/>
                <w:sz w:val="24"/>
                <w:szCs w:val="24"/>
                <w:vertAlign w:val="superscript"/>
                <w:lang w:val="en-ZA"/>
              </w:rPr>
              <w:t>b</w:t>
            </w:r>
          </w:p>
        </w:tc>
        <w:tc>
          <w:tcPr>
            <w:tcW w:w="1225" w:type="dxa"/>
          </w:tcPr>
          <w:p w14:paraId="0EC7649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34.29</w:t>
            </w:r>
            <w:r>
              <w:rPr>
                <w:rFonts w:ascii="Times New Roman" w:hAnsi="Times New Roman"/>
                <w:sz w:val="24"/>
                <w:szCs w:val="24"/>
                <w:vertAlign w:val="superscript"/>
                <w:lang w:val="en-ZA"/>
              </w:rPr>
              <w:t>a</w:t>
            </w:r>
          </w:p>
        </w:tc>
        <w:tc>
          <w:tcPr>
            <w:tcW w:w="1225" w:type="dxa"/>
          </w:tcPr>
          <w:p w14:paraId="126B480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33.78</w:t>
            </w:r>
            <w:r>
              <w:rPr>
                <w:rFonts w:ascii="Times New Roman" w:hAnsi="Times New Roman"/>
                <w:sz w:val="24"/>
                <w:szCs w:val="24"/>
                <w:vertAlign w:val="superscript"/>
                <w:lang w:val="en-ZA"/>
              </w:rPr>
              <w:t>a</w:t>
            </w:r>
          </w:p>
        </w:tc>
        <w:tc>
          <w:tcPr>
            <w:tcW w:w="1231" w:type="dxa"/>
          </w:tcPr>
          <w:p w14:paraId="38B622F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33.69</w:t>
            </w:r>
            <w:r>
              <w:rPr>
                <w:rFonts w:ascii="Times New Roman" w:hAnsi="Times New Roman"/>
                <w:sz w:val="24"/>
                <w:szCs w:val="24"/>
                <w:vertAlign w:val="superscript"/>
                <w:lang w:val="en-ZA"/>
              </w:rPr>
              <w:t>a</w:t>
            </w:r>
          </w:p>
        </w:tc>
        <w:tc>
          <w:tcPr>
            <w:tcW w:w="847" w:type="dxa"/>
          </w:tcPr>
          <w:p w14:paraId="3E67ED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620" w:type="dxa"/>
          </w:tcPr>
          <w:p w14:paraId="34138D5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B6C53" w14:paraId="16EE42D1" w14:textId="77777777" w:rsidTr="000B6C53">
        <w:trPr>
          <w:trHeight w:val="191"/>
        </w:trPr>
        <w:tc>
          <w:tcPr>
            <w:tcW w:w="2096" w:type="dxa"/>
          </w:tcPr>
          <w:p w14:paraId="67BD2952"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5EE711C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6.86</w:t>
            </w:r>
            <w:r>
              <w:rPr>
                <w:rFonts w:ascii="Times New Roman" w:hAnsi="Times New Roman"/>
                <w:sz w:val="24"/>
                <w:szCs w:val="24"/>
                <w:vertAlign w:val="superscript"/>
                <w:lang w:val="en-ZA"/>
              </w:rPr>
              <w:t>b</w:t>
            </w:r>
          </w:p>
        </w:tc>
        <w:tc>
          <w:tcPr>
            <w:tcW w:w="1225" w:type="dxa"/>
          </w:tcPr>
          <w:p w14:paraId="61A18A6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w:t>
            </w:r>
            <w:r>
              <w:rPr>
                <w:rFonts w:ascii="Times New Roman" w:hAnsi="Times New Roman"/>
                <w:sz w:val="24"/>
                <w:szCs w:val="24"/>
                <w:vertAlign w:val="superscript"/>
                <w:lang w:val="en-ZA"/>
              </w:rPr>
              <w:t>b</w:t>
            </w:r>
          </w:p>
        </w:tc>
        <w:tc>
          <w:tcPr>
            <w:tcW w:w="1225" w:type="dxa"/>
          </w:tcPr>
          <w:p w14:paraId="0D46A6F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r>
              <w:rPr>
                <w:rFonts w:ascii="Times New Roman" w:hAnsi="Times New Roman"/>
                <w:sz w:val="24"/>
                <w:szCs w:val="24"/>
                <w:vertAlign w:val="superscript"/>
                <w:lang w:val="en-ZA"/>
              </w:rPr>
              <w:t>a</w:t>
            </w:r>
          </w:p>
        </w:tc>
        <w:tc>
          <w:tcPr>
            <w:tcW w:w="1231" w:type="dxa"/>
          </w:tcPr>
          <w:p w14:paraId="6A7F677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8.98</w:t>
            </w:r>
            <w:r>
              <w:rPr>
                <w:rFonts w:ascii="Times New Roman" w:hAnsi="Times New Roman"/>
                <w:sz w:val="24"/>
                <w:szCs w:val="24"/>
                <w:vertAlign w:val="superscript"/>
                <w:lang w:val="en-ZA"/>
              </w:rPr>
              <w:t>ab</w:t>
            </w:r>
          </w:p>
        </w:tc>
        <w:tc>
          <w:tcPr>
            <w:tcW w:w="847" w:type="dxa"/>
          </w:tcPr>
          <w:p w14:paraId="34B1C42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620" w:type="dxa"/>
          </w:tcPr>
          <w:p w14:paraId="22BF10A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B6C53" w14:paraId="78980840" w14:textId="77777777" w:rsidTr="000B6C53">
        <w:trPr>
          <w:trHeight w:val="186"/>
        </w:trPr>
        <w:tc>
          <w:tcPr>
            <w:tcW w:w="2096" w:type="dxa"/>
          </w:tcPr>
          <w:p w14:paraId="4D85FA3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27DD8D04"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r>
              <w:rPr>
                <w:rFonts w:ascii="Times New Roman" w:hAnsi="Times New Roman"/>
                <w:sz w:val="24"/>
                <w:szCs w:val="24"/>
                <w:vertAlign w:val="superscript"/>
                <w:lang w:val="en-ZA"/>
              </w:rPr>
              <w:t>a</w:t>
            </w:r>
          </w:p>
        </w:tc>
        <w:tc>
          <w:tcPr>
            <w:tcW w:w="1225" w:type="dxa"/>
          </w:tcPr>
          <w:p w14:paraId="797795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0.65</w:t>
            </w:r>
            <w:r>
              <w:rPr>
                <w:rFonts w:ascii="Times New Roman" w:hAnsi="Times New Roman"/>
                <w:sz w:val="24"/>
                <w:szCs w:val="24"/>
                <w:vertAlign w:val="superscript"/>
                <w:lang w:val="en-ZA"/>
              </w:rPr>
              <w:t>b</w:t>
            </w:r>
          </w:p>
        </w:tc>
        <w:tc>
          <w:tcPr>
            <w:tcW w:w="1225" w:type="dxa"/>
          </w:tcPr>
          <w:p w14:paraId="7BA712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0.66</w:t>
            </w:r>
            <w:r>
              <w:rPr>
                <w:rFonts w:ascii="Times New Roman" w:hAnsi="Times New Roman"/>
                <w:sz w:val="24"/>
                <w:szCs w:val="24"/>
                <w:vertAlign w:val="superscript"/>
                <w:lang w:val="en-ZA"/>
              </w:rPr>
              <w:t>b</w:t>
            </w:r>
          </w:p>
        </w:tc>
        <w:tc>
          <w:tcPr>
            <w:tcW w:w="1231" w:type="dxa"/>
          </w:tcPr>
          <w:p w14:paraId="5382366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0.72</w:t>
            </w:r>
            <w:r>
              <w:rPr>
                <w:rFonts w:ascii="Times New Roman" w:hAnsi="Times New Roman"/>
                <w:sz w:val="24"/>
                <w:szCs w:val="24"/>
                <w:vertAlign w:val="superscript"/>
                <w:lang w:val="en-ZA"/>
              </w:rPr>
              <w:t>ab</w:t>
            </w:r>
          </w:p>
        </w:tc>
        <w:tc>
          <w:tcPr>
            <w:tcW w:w="847" w:type="dxa"/>
          </w:tcPr>
          <w:p w14:paraId="456DE2C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620" w:type="dxa"/>
          </w:tcPr>
          <w:p w14:paraId="23A1286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B6C53" w14:paraId="3EC83172" w14:textId="77777777" w:rsidTr="000B6C53">
        <w:trPr>
          <w:trHeight w:val="55"/>
        </w:trPr>
        <w:tc>
          <w:tcPr>
            <w:tcW w:w="2096" w:type="dxa"/>
          </w:tcPr>
          <w:p w14:paraId="7B8183B8"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Eosinophils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32A72F7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r>
              <w:rPr>
                <w:rFonts w:ascii="Times New Roman" w:hAnsi="Times New Roman"/>
                <w:sz w:val="24"/>
                <w:szCs w:val="24"/>
                <w:vertAlign w:val="superscript"/>
                <w:lang w:val="en-ZA"/>
              </w:rPr>
              <w:t>c</w:t>
            </w:r>
          </w:p>
        </w:tc>
        <w:tc>
          <w:tcPr>
            <w:tcW w:w="1225" w:type="dxa"/>
          </w:tcPr>
          <w:p w14:paraId="52D3D6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b</w:t>
            </w:r>
          </w:p>
        </w:tc>
        <w:tc>
          <w:tcPr>
            <w:tcW w:w="1225" w:type="dxa"/>
          </w:tcPr>
          <w:p w14:paraId="23E4144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0.90</w:t>
            </w:r>
            <w:r>
              <w:rPr>
                <w:rFonts w:ascii="Times New Roman" w:hAnsi="Times New Roman"/>
                <w:sz w:val="24"/>
                <w:szCs w:val="24"/>
                <w:vertAlign w:val="superscript"/>
                <w:lang w:val="en-ZA"/>
              </w:rPr>
              <w:t>a</w:t>
            </w:r>
          </w:p>
        </w:tc>
        <w:tc>
          <w:tcPr>
            <w:tcW w:w="1231" w:type="dxa"/>
          </w:tcPr>
          <w:p w14:paraId="7FEB665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r>
              <w:rPr>
                <w:rFonts w:ascii="Times New Roman" w:hAnsi="Times New Roman"/>
                <w:sz w:val="24"/>
                <w:szCs w:val="24"/>
                <w:vertAlign w:val="superscript"/>
                <w:lang w:val="en-ZA"/>
              </w:rPr>
              <w:t>c</w:t>
            </w:r>
          </w:p>
        </w:tc>
        <w:tc>
          <w:tcPr>
            <w:tcW w:w="847" w:type="dxa"/>
          </w:tcPr>
          <w:p w14:paraId="04C1594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620" w:type="dxa"/>
          </w:tcPr>
          <w:p w14:paraId="088A5AC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0B6C53" w14:paraId="41AF651F" w14:textId="77777777" w:rsidTr="000B6C53">
        <w:trPr>
          <w:trHeight w:val="296"/>
        </w:trPr>
        <w:tc>
          <w:tcPr>
            <w:tcW w:w="2096" w:type="dxa"/>
            <w:tcBorders>
              <w:bottom w:val="single" w:sz="4" w:space="0" w:color="auto"/>
            </w:tcBorders>
          </w:tcPr>
          <w:p w14:paraId="211DB703"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Borders>
              <w:bottom w:val="single" w:sz="4" w:space="0" w:color="auto"/>
            </w:tcBorders>
          </w:tcPr>
          <w:p w14:paraId="0C02A45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1225" w:type="dxa"/>
            <w:tcBorders>
              <w:bottom w:val="single" w:sz="4" w:space="0" w:color="auto"/>
            </w:tcBorders>
          </w:tcPr>
          <w:p w14:paraId="5C67649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1.69</w:t>
            </w:r>
            <w:r>
              <w:rPr>
                <w:rFonts w:ascii="Times New Roman" w:hAnsi="Times New Roman"/>
                <w:sz w:val="24"/>
                <w:szCs w:val="24"/>
                <w:vertAlign w:val="superscript"/>
                <w:lang w:val="en-ZA"/>
              </w:rPr>
              <w:t>b</w:t>
            </w:r>
          </w:p>
        </w:tc>
        <w:tc>
          <w:tcPr>
            <w:tcW w:w="1225" w:type="dxa"/>
            <w:tcBorders>
              <w:bottom w:val="single" w:sz="4" w:space="0" w:color="auto"/>
            </w:tcBorders>
          </w:tcPr>
          <w:p w14:paraId="0589C2A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2.22</w:t>
            </w:r>
            <w:r>
              <w:rPr>
                <w:rFonts w:ascii="Times New Roman" w:hAnsi="Times New Roman"/>
                <w:sz w:val="24"/>
                <w:szCs w:val="24"/>
                <w:vertAlign w:val="superscript"/>
                <w:lang w:val="en-ZA"/>
              </w:rPr>
              <w:t>ab</w:t>
            </w:r>
          </w:p>
        </w:tc>
        <w:tc>
          <w:tcPr>
            <w:tcW w:w="1231" w:type="dxa"/>
            <w:tcBorders>
              <w:bottom w:val="single" w:sz="4" w:space="0" w:color="auto"/>
            </w:tcBorders>
          </w:tcPr>
          <w:p w14:paraId="10FE42F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847" w:type="dxa"/>
            <w:tcBorders>
              <w:bottom w:val="single" w:sz="4" w:space="0" w:color="auto"/>
            </w:tcBorders>
          </w:tcPr>
          <w:p w14:paraId="055AADB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620" w:type="dxa"/>
            <w:tcBorders>
              <w:bottom w:val="single" w:sz="4" w:space="0" w:color="auto"/>
            </w:tcBorders>
          </w:tcPr>
          <w:p w14:paraId="02C7AFC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w:t>
            </w:r>
          </w:p>
        </w:tc>
      </w:tr>
    </w:tbl>
    <w:p w14:paraId="42D7BB61" w14:textId="76D898AC" w:rsidR="000B6C53" w:rsidRDefault="000B6C53" w:rsidP="004B249C">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r w:rsidR="000C473D">
        <w:rPr>
          <w:rFonts w:ascii="Times New Roman" w:hAnsi="Times New Roman"/>
          <w:sz w:val="20"/>
          <w:szCs w:val="20"/>
        </w:rPr>
        <w:t>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bookmarkStart w:id="21" w:name="_Toc831"/>
      <w:bookmarkStart w:id="22" w:name="_Toc29766"/>
    </w:p>
    <w:p w14:paraId="46BE3ACE" w14:textId="47091782" w:rsidR="000B6C53" w:rsidRPr="000B6C53" w:rsidRDefault="000B6C53" w:rsidP="004B249C">
      <w:pPr>
        <w:spacing w:after="0" w:line="240" w:lineRule="auto"/>
        <w:ind w:left="-5"/>
        <w:jc w:val="both"/>
        <w:rPr>
          <w:rFonts w:ascii="Times New Roman" w:hAnsi="Times New Roman"/>
          <w:b/>
          <w:bCs/>
          <w:sz w:val="24"/>
          <w:szCs w:val="24"/>
        </w:rPr>
      </w:pPr>
      <w:r w:rsidRPr="000B6C53">
        <w:rPr>
          <w:rFonts w:ascii="Times New Roman" w:hAnsi="Times New Roman"/>
          <w:b/>
          <w:bCs/>
          <w:sz w:val="24"/>
          <w:szCs w:val="24"/>
        </w:rPr>
        <w:t xml:space="preserve">Serum Biochemistry of Uda Ram Lambs Fed Diet Containing Graded Levels of </w:t>
      </w:r>
      <w:proofErr w:type="spellStart"/>
      <w:r w:rsidRPr="000B6C53">
        <w:rPr>
          <w:rFonts w:ascii="Times New Roman" w:hAnsi="Times New Roman"/>
          <w:b/>
          <w:bCs/>
          <w:i/>
          <w:sz w:val="24"/>
          <w:szCs w:val="24"/>
        </w:rPr>
        <w:t>Mormodica</w:t>
      </w:r>
      <w:proofErr w:type="spellEnd"/>
      <w:r w:rsidRPr="000B6C53">
        <w:rPr>
          <w:rFonts w:ascii="Times New Roman" w:hAnsi="Times New Roman"/>
          <w:b/>
          <w:bCs/>
          <w:i/>
          <w:sz w:val="24"/>
          <w:szCs w:val="24"/>
        </w:rPr>
        <w:t xml:space="preserve"> </w:t>
      </w:r>
      <w:proofErr w:type="spellStart"/>
      <w:r w:rsidRPr="000B6C53">
        <w:rPr>
          <w:rFonts w:ascii="Times New Roman" w:hAnsi="Times New Roman"/>
          <w:b/>
          <w:bCs/>
          <w:i/>
          <w:sz w:val="24"/>
          <w:szCs w:val="24"/>
        </w:rPr>
        <w:t>balsamina</w:t>
      </w:r>
      <w:bookmarkEnd w:id="21"/>
      <w:proofErr w:type="spellEnd"/>
    </w:p>
    <w:p w14:paraId="478AE7AF" w14:textId="7DF7ED75" w:rsidR="002D2CFE" w:rsidRPr="000B6C53" w:rsidRDefault="000B6C53" w:rsidP="004B249C">
      <w:pPr>
        <w:spacing w:after="0"/>
        <w:jc w:val="both"/>
        <w:rPr>
          <w:rFonts w:ascii="Times New Roman" w:hAnsi="Times New Roman"/>
          <w:sz w:val="24"/>
          <w:szCs w:val="24"/>
        </w:rPr>
      </w:pPr>
      <w:r>
        <w:rPr>
          <w:rFonts w:ascii="Times New Roman" w:hAnsi="Times New Roman"/>
          <w:sz w:val="24"/>
          <w:szCs w:val="24"/>
        </w:rPr>
        <w:t>The result of serum chemistry of Uda lambs fed graded level of Balsam apple is presented in Table 3: The result show no significant variation (P&gt;0.05) between the treatment means in terms of globulin, total protein, LDL, creatinine and cholesterol. However, albumin, HDL, triglycerides, urea and glucose show significant variation (P&lt;0.05) between the treatment means. Albumin, globulin, total protein, cholesterol and glucose values were all within the normal range. LDL values showed a decreasing trend with increasing level of Balsam apple. Albumin, triglycerides and urea values were significantly higher (P&lt;0.05) in T4 compared to other treatments. HDL and glucose values were significantly higher (P&lt;0.05) in T3 compared to other treatments while globulin, total protein and creatinine values were significantly higher (P&lt;0.05) in T2 compared to other treatments.</w:t>
      </w:r>
      <w:bookmarkEnd w:id="22"/>
    </w:p>
    <w:p w14:paraId="36E6EF0E" w14:textId="29B68A81"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w:t>
      </w:r>
      <w:r w:rsidR="000B6C53">
        <w:rPr>
          <w:rFonts w:ascii="Times New Roman" w:hAnsi="Times New Roman"/>
          <w:bCs/>
          <w:sz w:val="24"/>
          <w:szCs w:val="24"/>
        </w:rPr>
        <w:t>3</w:t>
      </w:r>
      <w:r>
        <w:rPr>
          <w:rFonts w:ascii="Times New Roman" w:hAnsi="Times New Roman"/>
          <w:bCs/>
          <w:sz w:val="24"/>
          <w:szCs w:val="24"/>
        </w:rPr>
        <w:t xml:space="preserve"> Serum Biochemistry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XSpec="center" w:tblpY="166"/>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1465"/>
        <w:gridCol w:w="1373"/>
        <w:gridCol w:w="1282"/>
        <w:gridCol w:w="1304"/>
        <w:gridCol w:w="898"/>
        <w:gridCol w:w="1373"/>
      </w:tblGrid>
      <w:tr w:rsidR="002D2CFE" w14:paraId="3033C152" w14:textId="77777777" w:rsidTr="000B6C53">
        <w:trPr>
          <w:trHeight w:val="262"/>
        </w:trPr>
        <w:tc>
          <w:tcPr>
            <w:tcW w:w="2382" w:type="dxa"/>
            <w:tcBorders>
              <w:top w:val="single" w:sz="4" w:space="0" w:color="auto"/>
            </w:tcBorders>
          </w:tcPr>
          <w:p w14:paraId="546DB4B1" w14:textId="77777777" w:rsidR="002D2CFE" w:rsidRDefault="002D2CFE" w:rsidP="004B249C">
            <w:pPr>
              <w:spacing w:after="0" w:line="240" w:lineRule="auto"/>
              <w:rPr>
                <w:rFonts w:ascii="Times New Roman" w:hAnsi="Times New Roman"/>
                <w:b/>
                <w:sz w:val="24"/>
                <w:szCs w:val="24"/>
                <w:lang w:val="en-ZA"/>
              </w:rPr>
            </w:pPr>
          </w:p>
        </w:tc>
        <w:tc>
          <w:tcPr>
            <w:tcW w:w="5424" w:type="dxa"/>
            <w:gridSpan w:val="4"/>
            <w:tcBorders>
              <w:top w:val="single" w:sz="4" w:space="0" w:color="auto"/>
            </w:tcBorders>
          </w:tcPr>
          <w:p w14:paraId="0FB9C48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98" w:type="dxa"/>
            <w:tcBorders>
              <w:top w:val="single" w:sz="4" w:space="0" w:color="auto"/>
            </w:tcBorders>
          </w:tcPr>
          <w:p w14:paraId="64B4CA1A" w14:textId="77777777" w:rsidR="002D2CFE" w:rsidRDefault="002D2CFE" w:rsidP="004B249C">
            <w:pPr>
              <w:spacing w:after="0" w:line="240" w:lineRule="auto"/>
              <w:jc w:val="center"/>
              <w:rPr>
                <w:rFonts w:ascii="Times New Roman" w:hAnsi="Times New Roman"/>
                <w:b/>
                <w:sz w:val="24"/>
                <w:szCs w:val="24"/>
                <w:lang w:val="en-ZA"/>
              </w:rPr>
            </w:pPr>
          </w:p>
        </w:tc>
        <w:tc>
          <w:tcPr>
            <w:tcW w:w="1373" w:type="dxa"/>
            <w:vMerge w:val="restart"/>
            <w:tcBorders>
              <w:top w:val="single" w:sz="4" w:space="0" w:color="auto"/>
            </w:tcBorders>
          </w:tcPr>
          <w:p w14:paraId="06BA329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7BFC6F23" w14:textId="77777777" w:rsidTr="000B6C53">
        <w:trPr>
          <w:trHeight w:val="262"/>
        </w:trPr>
        <w:tc>
          <w:tcPr>
            <w:tcW w:w="2382" w:type="dxa"/>
            <w:tcBorders>
              <w:bottom w:val="single" w:sz="4" w:space="0" w:color="auto"/>
            </w:tcBorders>
          </w:tcPr>
          <w:p w14:paraId="4C8C20EF"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65" w:type="dxa"/>
            <w:tcBorders>
              <w:bottom w:val="single" w:sz="4" w:space="0" w:color="auto"/>
            </w:tcBorders>
          </w:tcPr>
          <w:p w14:paraId="36D848D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73" w:type="dxa"/>
            <w:tcBorders>
              <w:bottom w:val="single" w:sz="4" w:space="0" w:color="auto"/>
            </w:tcBorders>
          </w:tcPr>
          <w:p w14:paraId="2270308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82" w:type="dxa"/>
            <w:tcBorders>
              <w:bottom w:val="single" w:sz="4" w:space="0" w:color="auto"/>
            </w:tcBorders>
          </w:tcPr>
          <w:p w14:paraId="4502C0F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02" w:type="dxa"/>
            <w:tcBorders>
              <w:bottom w:val="single" w:sz="4" w:space="0" w:color="auto"/>
            </w:tcBorders>
          </w:tcPr>
          <w:p w14:paraId="15B1FC0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98" w:type="dxa"/>
            <w:tcBorders>
              <w:bottom w:val="single" w:sz="4" w:space="0" w:color="auto"/>
            </w:tcBorders>
          </w:tcPr>
          <w:p w14:paraId="681F78A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73" w:type="dxa"/>
            <w:vMerge/>
            <w:tcBorders>
              <w:bottom w:val="single" w:sz="4" w:space="0" w:color="auto"/>
            </w:tcBorders>
          </w:tcPr>
          <w:p w14:paraId="1A63A6A3"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1E81C87" w14:textId="77777777" w:rsidTr="000B6C53">
        <w:trPr>
          <w:trHeight w:val="271"/>
        </w:trPr>
        <w:tc>
          <w:tcPr>
            <w:tcW w:w="2382" w:type="dxa"/>
            <w:tcBorders>
              <w:top w:val="single" w:sz="4" w:space="0" w:color="auto"/>
            </w:tcBorders>
          </w:tcPr>
          <w:p w14:paraId="1E408D3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Albumin (g/dl)</w:t>
            </w:r>
          </w:p>
        </w:tc>
        <w:tc>
          <w:tcPr>
            <w:tcW w:w="1465" w:type="dxa"/>
            <w:tcBorders>
              <w:top w:val="single" w:sz="4" w:space="0" w:color="auto"/>
            </w:tcBorders>
          </w:tcPr>
          <w:p w14:paraId="2D759E3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2.00</w:t>
            </w:r>
            <w:r>
              <w:rPr>
                <w:rFonts w:ascii="Times New Roman" w:hAnsi="Times New Roman"/>
                <w:sz w:val="24"/>
                <w:szCs w:val="24"/>
                <w:vertAlign w:val="superscript"/>
                <w:lang w:val="en-ZA"/>
              </w:rPr>
              <w:t>c</w:t>
            </w:r>
          </w:p>
        </w:tc>
        <w:tc>
          <w:tcPr>
            <w:tcW w:w="1373" w:type="dxa"/>
            <w:tcBorders>
              <w:top w:val="single" w:sz="4" w:space="0" w:color="auto"/>
            </w:tcBorders>
          </w:tcPr>
          <w:p w14:paraId="14428E4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2.38</w:t>
            </w:r>
            <w:r>
              <w:rPr>
                <w:rFonts w:ascii="Times New Roman" w:hAnsi="Times New Roman"/>
                <w:sz w:val="24"/>
                <w:szCs w:val="24"/>
                <w:vertAlign w:val="superscript"/>
                <w:lang w:val="en-ZA"/>
              </w:rPr>
              <w:t>b</w:t>
            </w:r>
          </w:p>
        </w:tc>
        <w:tc>
          <w:tcPr>
            <w:tcW w:w="1282" w:type="dxa"/>
            <w:tcBorders>
              <w:top w:val="single" w:sz="4" w:space="0" w:color="auto"/>
            </w:tcBorders>
          </w:tcPr>
          <w:p w14:paraId="5858F06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1302" w:type="dxa"/>
            <w:tcBorders>
              <w:top w:val="single" w:sz="4" w:space="0" w:color="auto"/>
            </w:tcBorders>
          </w:tcPr>
          <w:p w14:paraId="670BFC4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2.70</w:t>
            </w:r>
            <w:r>
              <w:rPr>
                <w:rFonts w:ascii="Times New Roman" w:hAnsi="Times New Roman"/>
                <w:sz w:val="24"/>
                <w:szCs w:val="24"/>
                <w:vertAlign w:val="superscript"/>
                <w:lang w:val="en-ZA"/>
              </w:rPr>
              <w:t>a</w:t>
            </w:r>
          </w:p>
        </w:tc>
        <w:tc>
          <w:tcPr>
            <w:tcW w:w="898" w:type="dxa"/>
            <w:tcBorders>
              <w:top w:val="single" w:sz="4" w:space="0" w:color="auto"/>
            </w:tcBorders>
          </w:tcPr>
          <w:p w14:paraId="51DB287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373" w:type="dxa"/>
            <w:tcBorders>
              <w:top w:val="single" w:sz="4" w:space="0" w:color="auto"/>
            </w:tcBorders>
          </w:tcPr>
          <w:p w14:paraId="5FABEE7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 – 3</w:t>
            </w:r>
          </w:p>
        </w:tc>
      </w:tr>
      <w:tr w:rsidR="002D2CFE" w14:paraId="2576B587" w14:textId="77777777" w:rsidTr="000B6C53">
        <w:trPr>
          <w:trHeight w:val="280"/>
        </w:trPr>
        <w:tc>
          <w:tcPr>
            <w:tcW w:w="2382" w:type="dxa"/>
          </w:tcPr>
          <w:p w14:paraId="209B43F5"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Globulin (g/dl)</w:t>
            </w:r>
          </w:p>
        </w:tc>
        <w:tc>
          <w:tcPr>
            <w:tcW w:w="1465" w:type="dxa"/>
          </w:tcPr>
          <w:p w14:paraId="7F8ACA7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3.90</w:t>
            </w:r>
          </w:p>
        </w:tc>
        <w:tc>
          <w:tcPr>
            <w:tcW w:w="1373" w:type="dxa"/>
          </w:tcPr>
          <w:p w14:paraId="0A864D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p>
        </w:tc>
        <w:tc>
          <w:tcPr>
            <w:tcW w:w="1282" w:type="dxa"/>
          </w:tcPr>
          <w:p w14:paraId="5D64E87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3.50</w:t>
            </w:r>
          </w:p>
        </w:tc>
        <w:tc>
          <w:tcPr>
            <w:tcW w:w="1302" w:type="dxa"/>
          </w:tcPr>
          <w:p w14:paraId="0337731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w:t>
            </w:r>
          </w:p>
        </w:tc>
        <w:tc>
          <w:tcPr>
            <w:tcW w:w="898" w:type="dxa"/>
          </w:tcPr>
          <w:p w14:paraId="0146892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373" w:type="dxa"/>
          </w:tcPr>
          <w:p w14:paraId="0A0965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 – 4.9</w:t>
            </w:r>
          </w:p>
        </w:tc>
      </w:tr>
      <w:tr w:rsidR="002D2CFE" w14:paraId="5C641464" w14:textId="77777777" w:rsidTr="000B6C53">
        <w:trPr>
          <w:trHeight w:val="280"/>
        </w:trPr>
        <w:tc>
          <w:tcPr>
            <w:tcW w:w="2382" w:type="dxa"/>
          </w:tcPr>
          <w:p w14:paraId="561ED4E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protein (g/dl)</w:t>
            </w:r>
          </w:p>
        </w:tc>
        <w:tc>
          <w:tcPr>
            <w:tcW w:w="1465" w:type="dxa"/>
          </w:tcPr>
          <w:p w14:paraId="77D9FA8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5.90</w:t>
            </w:r>
          </w:p>
        </w:tc>
        <w:tc>
          <w:tcPr>
            <w:tcW w:w="1373" w:type="dxa"/>
          </w:tcPr>
          <w:p w14:paraId="006C123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6.38</w:t>
            </w:r>
          </w:p>
        </w:tc>
        <w:tc>
          <w:tcPr>
            <w:tcW w:w="1282" w:type="dxa"/>
          </w:tcPr>
          <w:p w14:paraId="4D046CE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5.95</w:t>
            </w:r>
          </w:p>
        </w:tc>
        <w:tc>
          <w:tcPr>
            <w:tcW w:w="1302" w:type="dxa"/>
          </w:tcPr>
          <w:p w14:paraId="3DD1A87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6.00</w:t>
            </w:r>
          </w:p>
        </w:tc>
        <w:tc>
          <w:tcPr>
            <w:tcW w:w="898" w:type="dxa"/>
          </w:tcPr>
          <w:p w14:paraId="2F39A3E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Pr>
          <w:p w14:paraId="5152466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 – 9</w:t>
            </w:r>
          </w:p>
        </w:tc>
      </w:tr>
      <w:tr w:rsidR="002D2CFE" w14:paraId="310632E0" w14:textId="77777777" w:rsidTr="000B6C53">
        <w:trPr>
          <w:trHeight w:val="280"/>
        </w:trPr>
        <w:tc>
          <w:tcPr>
            <w:tcW w:w="2382" w:type="dxa"/>
          </w:tcPr>
          <w:p w14:paraId="066F2FE6"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HDL (mmol/L)</w:t>
            </w:r>
          </w:p>
        </w:tc>
        <w:tc>
          <w:tcPr>
            <w:tcW w:w="1465" w:type="dxa"/>
          </w:tcPr>
          <w:p w14:paraId="728D4FC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79.35</w:t>
            </w:r>
            <w:r>
              <w:rPr>
                <w:rFonts w:ascii="Times New Roman" w:hAnsi="Times New Roman"/>
                <w:sz w:val="24"/>
                <w:szCs w:val="24"/>
                <w:vertAlign w:val="superscript"/>
                <w:lang w:val="en-ZA"/>
              </w:rPr>
              <w:t>c</w:t>
            </w:r>
          </w:p>
        </w:tc>
        <w:tc>
          <w:tcPr>
            <w:tcW w:w="1373" w:type="dxa"/>
          </w:tcPr>
          <w:p w14:paraId="323ACBE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100.18</w:t>
            </w:r>
            <w:r>
              <w:rPr>
                <w:rFonts w:ascii="Times New Roman" w:hAnsi="Times New Roman"/>
                <w:sz w:val="24"/>
                <w:szCs w:val="24"/>
                <w:vertAlign w:val="superscript"/>
                <w:lang w:val="en-ZA"/>
              </w:rPr>
              <w:t>b</w:t>
            </w:r>
          </w:p>
        </w:tc>
        <w:tc>
          <w:tcPr>
            <w:tcW w:w="1282" w:type="dxa"/>
          </w:tcPr>
          <w:p w14:paraId="14AE3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121.76</w:t>
            </w:r>
            <w:r>
              <w:rPr>
                <w:rFonts w:ascii="Times New Roman" w:hAnsi="Times New Roman"/>
                <w:sz w:val="24"/>
                <w:szCs w:val="24"/>
                <w:vertAlign w:val="superscript"/>
                <w:lang w:val="en-ZA"/>
              </w:rPr>
              <w:t>a</w:t>
            </w:r>
          </w:p>
        </w:tc>
        <w:tc>
          <w:tcPr>
            <w:tcW w:w="1302" w:type="dxa"/>
          </w:tcPr>
          <w:p w14:paraId="79A6D1A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95.22</w:t>
            </w:r>
            <w:r>
              <w:rPr>
                <w:rFonts w:ascii="Times New Roman" w:hAnsi="Times New Roman"/>
                <w:sz w:val="24"/>
                <w:szCs w:val="24"/>
                <w:vertAlign w:val="superscript"/>
                <w:lang w:val="en-ZA"/>
              </w:rPr>
              <w:t>b</w:t>
            </w:r>
          </w:p>
        </w:tc>
        <w:tc>
          <w:tcPr>
            <w:tcW w:w="898" w:type="dxa"/>
          </w:tcPr>
          <w:p w14:paraId="0FC6F79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5.11</w:t>
            </w:r>
          </w:p>
        </w:tc>
        <w:tc>
          <w:tcPr>
            <w:tcW w:w="1373" w:type="dxa"/>
          </w:tcPr>
          <w:p w14:paraId="5F14838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51C7DA10" w14:textId="77777777" w:rsidTr="000B6C53">
        <w:trPr>
          <w:trHeight w:val="271"/>
        </w:trPr>
        <w:tc>
          <w:tcPr>
            <w:tcW w:w="2382" w:type="dxa"/>
          </w:tcPr>
          <w:p w14:paraId="55DA7FA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LDL (Mmol/L)</w:t>
            </w:r>
          </w:p>
        </w:tc>
        <w:tc>
          <w:tcPr>
            <w:tcW w:w="1465" w:type="dxa"/>
          </w:tcPr>
          <w:p w14:paraId="3A5F55E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21.50</w:t>
            </w:r>
          </w:p>
        </w:tc>
        <w:tc>
          <w:tcPr>
            <w:tcW w:w="1373" w:type="dxa"/>
          </w:tcPr>
          <w:p w14:paraId="766F2F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17.55</w:t>
            </w:r>
          </w:p>
        </w:tc>
        <w:tc>
          <w:tcPr>
            <w:tcW w:w="1282" w:type="dxa"/>
          </w:tcPr>
          <w:p w14:paraId="227FE34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16.25</w:t>
            </w:r>
          </w:p>
        </w:tc>
        <w:tc>
          <w:tcPr>
            <w:tcW w:w="1302" w:type="dxa"/>
          </w:tcPr>
          <w:p w14:paraId="1F3EF75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13.39</w:t>
            </w:r>
          </w:p>
        </w:tc>
        <w:tc>
          <w:tcPr>
            <w:tcW w:w="898" w:type="dxa"/>
          </w:tcPr>
          <w:p w14:paraId="4DA337D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3.05</w:t>
            </w:r>
          </w:p>
        </w:tc>
        <w:tc>
          <w:tcPr>
            <w:tcW w:w="1373" w:type="dxa"/>
          </w:tcPr>
          <w:p w14:paraId="09A31E2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050B0A14" w14:textId="77777777" w:rsidTr="000B6C53">
        <w:trPr>
          <w:trHeight w:val="447"/>
        </w:trPr>
        <w:tc>
          <w:tcPr>
            <w:tcW w:w="2382" w:type="dxa"/>
          </w:tcPr>
          <w:p w14:paraId="7B057E3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Triglycerides (Mmol/L)</w:t>
            </w:r>
          </w:p>
        </w:tc>
        <w:tc>
          <w:tcPr>
            <w:tcW w:w="1465" w:type="dxa"/>
          </w:tcPr>
          <w:p w14:paraId="1CC8CF9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37.50</w:t>
            </w:r>
            <w:r>
              <w:rPr>
                <w:rFonts w:ascii="Times New Roman" w:hAnsi="Times New Roman"/>
                <w:sz w:val="24"/>
                <w:szCs w:val="24"/>
                <w:vertAlign w:val="superscript"/>
                <w:lang w:val="en-ZA"/>
              </w:rPr>
              <w:t>ab</w:t>
            </w:r>
          </w:p>
        </w:tc>
        <w:tc>
          <w:tcPr>
            <w:tcW w:w="1373" w:type="dxa"/>
          </w:tcPr>
          <w:p w14:paraId="5ED191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34.50</w:t>
            </w:r>
            <w:r>
              <w:rPr>
                <w:rFonts w:ascii="Times New Roman" w:hAnsi="Times New Roman"/>
                <w:sz w:val="24"/>
                <w:szCs w:val="24"/>
                <w:vertAlign w:val="superscript"/>
                <w:lang w:val="en-ZA"/>
              </w:rPr>
              <w:t>b</w:t>
            </w:r>
          </w:p>
        </w:tc>
        <w:tc>
          <w:tcPr>
            <w:tcW w:w="1282" w:type="dxa"/>
          </w:tcPr>
          <w:p w14:paraId="28D24D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30.00</w:t>
            </w:r>
            <w:r>
              <w:rPr>
                <w:rFonts w:ascii="Times New Roman" w:hAnsi="Times New Roman"/>
                <w:sz w:val="24"/>
                <w:szCs w:val="24"/>
                <w:vertAlign w:val="superscript"/>
                <w:lang w:val="en-ZA"/>
              </w:rPr>
              <w:t>b</w:t>
            </w:r>
          </w:p>
        </w:tc>
        <w:tc>
          <w:tcPr>
            <w:tcW w:w="1302" w:type="dxa"/>
          </w:tcPr>
          <w:p w14:paraId="26FA72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45.50</w:t>
            </w:r>
            <w:r>
              <w:rPr>
                <w:rFonts w:ascii="Times New Roman" w:hAnsi="Times New Roman"/>
                <w:sz w:val="24"/>
                <w:szCs w:val="24"/>
                <w:vertAlign w:val="superscript"/>
                <w:lang w:val="en-ZA"/>
              </w:rPr>
              <w:t>a</w:t>
            </w:r>
          </w:p>
        </w:tc>
        <w:tc>
          <w:tcPr>
            <w:tcW w:w="898" w:type="dxa"/>
          </w:tcPr>
          <w:p w14:paraId="711359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2.36</w:t>
            </w:r>
          </w:p>
        </w:tc>
        <w:tc>
          <w:tcPr>
            <w:tcW w:w="1373" w:type="dxa"/>
          </w:tcPr>
          <w:p w14:paraId="0E559A3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62B41611" w14:textId="77777777" w:rsidTr="000B6C53">
        <w:trPr>
          <w:trHeight w:val="271"/>
        </w:trPr>
        <w:tc>
          <w:tcPr>
            <w:tcW w:w="2382" w:type="dxa"/>
          </w:tcPr>
          <w:p w14:paraId="138E54AB"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Creatinine (Mmol/L)</w:t>
            </w:r>
          </w:p>
        </w:tc>
        <w:tc>
          <w:tcPr>
            <w:tcW w:w="1465" w:type="dxa"/>
          </w:tcPr>
          <w:p w14:paraId="5652EED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85.00</w:t>
            </w:r>
          </w:p>
        </w:tc>
        <w:tc>
          <w:tcPr>
            <w:tcW w:w="1373" w:type="dxa"/>
          </w:tcPr>
          <w:p w14:paraId="46A0F22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94.00</w:t>
            </w:r>
          </w:p>
        </w:tc>
        <w:tc>
          <w:tcPr>
            <w:tcW w:w="1282" w:type="dxa"/>
          </w:tcPr>
          <w:p w14:paraId="2777031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89.67</w:t>
            </w:r>
          </w:p>
        </w:tc>
        <w:tc>
          <w:tcPr>
            <w:tcW w:w="1302" w:type="dxa"/>
          </w:tcPr>
          <w:p w14:paraId="1BBF187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84.00</w:t>
            </w:r>
          </w:p>
        </w:tc>
        <w:tc>
          <w:tcPr>
            <w:tcW w:w="898" w:type="dxa"/>
          </w:tcPr>
          <w:p w14:paraId="0D19AE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4.85</w:t>
            </w:r>
          </w:p>
        </w:tc>
        <w:tc>
          <w:tcPr>
            <w:tcW w:w="1373" w:type="dxa"/>
          </w:tcPr>
          <w:p w14:paraId="2D34EEA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26DD3241" w14:textId="77777777" w:rsidTr="000B6C53">
        <w:trPr>
          <w:trHeight w:val="438"/>
        </w:trPr>
        <w:tc>
          <w:tcPr>
            <w:tcW w:w="2382" w:type="dxa"/>
          </w:tcPr>
          <w:p w14:paraId="31BF7A1F"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Cholesterol (Mmol/L)</w:t>
            </w:r>
          </w:p>
        </w:tc>
        <w:tc>
          <w:tcPr>
            <w:tcW w:w="1465" w:type="dxa"/>
          </w:tcPr>
          <w:p w14:paraId="19BCB8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1.50</w:t>
            </w:r>
          </w:p>
        </w:tc>
        <w:tc>
          <w:tcPr>
            <w:tcW w:w="1373" w:type="dxa"/>
          </w:tcPr>
          <w:p w14:paraId="78110DC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0.89</w:t>
            </w:r>
          </w:p>
        </w:tc>
        <w:tc>
          <w:tcPr>
            <w:tcW w:w="1282" w:type="dxa"/>
          </w:tcPr>
          <w:p w14:paraId="4149BB7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0.95</w:t>
            </w:r>
          </w:p>
        </w:tc>
        <w:tc>
          <w:tcPr>
            <w:tcW w:w="1302" w:type="dxa"/>
          </w:tcPr>
          <w:p w14:paraId="44AABFE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1.07</w:t>
            </w:r>
          </w:p>
        </w:tc>
        <w:tc>
          <w:tcPr>
            <w:tcW w:w="898" w:type="dxa"/>
          </w:tcPr>
          <w:p w14:paraId="659075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0.71</w:t>
            </w:r>
          </w:p>
        </w:tc>
        <w:tc>
          <w:tcPr>
            <w:tcW w:w="1373" w:type="dxa"/>
          </w:tcPr>
          <w:p w14:paraId="720AE4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 – 1.97</w:t>
            </w:r>
          </w:p>
        </w:tc>
      </w:tr>
      <w:tr w:rsidR="002D2CFE" w14:paraId="212248E4" w14:textId="77777777" w:rsidTr="000B6C53">
        <w:trPr>
          <w:trHeight w:val="83"/>
        </w:trPr>
        <w:tc>
          <w:tcPr>
            <w:tcW w:w="2382" w:type="dxa"/>
          </w:tcPr>
          <w:p w14:paraId="0EDDB0A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Urea (Mmol/L)</w:t>
            </w:r>
          </w:p>
        </w:tc>
        <w:tc>
          <w:tcPr>
            <w:tcW w:w="1465" w:type="dxa"/>
          </w:tcPr>
          <w:p w14:paraId="69CF6DC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5.81</w:t>
            </w:r>
            <w:r>
              <w:rPr>
                <w:rFonts w:ascii="Times New Roman" w:hAnsi="Times New Roman"/>
                <w:sz w:val="24"/>
                <w:szCs w:val="24"/>
                <w:vertAlign w:val="superscript"/>
                <w:lang w:val="en-ZA"/>
              </w:rPr>
              <w:t>ab</w:t>
            </w:r>
          </w:p>
        </w:tc>
        <w:tc>
          <w:tcPr>
            <w:tcW w:w="1373" w:type="dxa"/>
          </w:tcPr>
          <w:p w14:paraId="55B36D7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b</w:t>
            </w:r>
          </w:p>
        </w:tc>
        <w:tc>
          <w:tcPr>
            <w:tcW w:w="1282" w:type="dxa"/>
          </w:tcPr>
          <w:p w14:paraId="5F7A757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5.50</w:t>
            </w:r>
            <w:r>
              <w:rPr>
                <w:rFonts w:ascii="Times New Roman" w:hAnsi="Times New Roman"/>
                <w:sz w:val="24"/>
                <w:szCs w:val="24"/>
                <w:vertAlign w:val="superscript"/>
                <w:lang w:val="en-ZA"/>
              </w:rPr>
              <w:t>ab</w:t>
            </w:r>
          </w:p>
        </w:tc>
        <w:tc>
          <w:tcPr>
            <w:tcW w:w="1302" w:type="dxa"/>
          </w:tcPr>
          <w:p w14:paraId="77F877B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6.25</w:t>
            </w:r>
            <w:r>
              <w:rPr>
                <w:rFonts w:ascii="Times New Roman" w:hAnsi="Times New Roman"/>
                <w:sz w:val="24"/>
                <w:szCs w:val="24"/>
                <w:vertAlign w:val="superscript"/>
                <w:lang w:val="en-ZA"/>
              </w:rPr>
              <w:t>a</w:t>
            </w:r>
          </w:p>
        </w:tc>
        <w:tc>
          <w:tcPr>
            <w:tcW w:w="898" w:type="dxa"/>
          </w:tcPr>
          <w:p w14:paraId="1216B25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3" w:type="dxa"/>
          </w:tcPr>
          <w:p w14:paraId="0BC50A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4B1753FF" w14:textId="77777777" w:rsidTr="000B6C53">
        <w:trPr>
          <w:trHeight w:val="280"/>
        </w:trPr>
        <w:tc>
          <w:tcPr>
            <w:tcW w:w="2382" w:type="dxa"/>
            <w:tcBorders>
              <w:bottom w:val="single" w:sz="4" w:space="0" w:color="auto"/>
            </w:tcBorders>
          </w:tcPr>
          <w:p w14:paraId="3B530F7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Glucose (Mmol/L)</w:t>
            </w:r>
          </w:p>
        </w:tc>
        <w:tc>
          <w:tcPr>
            <w:tcW w:w="1465" w:type="dxa"/>
            <w:tcBorders>
              <w:bottom w:val="single" w:sz="4" w:space="0" w:color="auto"/>
            </w:tcBorders>
          </w:tcPr>
          <w:p w14:paraId="7C84603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2.98</w:t>
            </w:r>
            <w:r>
              <w:rPr>
                <w:rFonts w:ascii="Times New Roman" w:hAnsi="Times New Roman"/>
                <w:sz w:val="24"/>
                <w:szCs w:val="24"/>
                <w:vertAlign w:val="superscript"/>
                <w:lang w:val="en-ZA"/>
              </w:rPr>
              <w:t>ab</w:t>
            </w:r>
          </w:p>
        </w:tc>
        <w:tc>
          <w:tcPr>
            <w:tcW w:w="1373" w:type="dxa"/>
            <w:tcBorders>
              <w:bottom w:val="single" w:sz="4" w:space="0" w:color="auto"/>
            </w:tcBorders>
          </w:tcPr>
          <w:p w14:paraId="7D6C8C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w:t>
            </w:r>
            <w:r>
              <w:rPr>
                <w:rFonts w:ascii="Times New Roman" w:hAnsi="Times New Roman"/>
                <w:sz w:val="24"/>
                <w:szCs w:val="24"/>
                <w:vertAlign w:val="superscript"/>
                <w:lang w:val="en-ZA"/>
              </w:rPr>
              <w:t>ab</w:t>
            </w:r>
          </w:p>
        </w:tc>
        <w:tc>
          <w:tcPr>
            <w:tcW w:w="1282" w:type="dxa"/>
            <w:tcBorders>
              <w:bottom w:val="single" w:sz="4" w:space="0" w:color="auto"/>
            </w:tcBorders>
          </w:tcPr>
          <w:p w14:paraId="486183F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3.16</w:t>
            </w:r>
            <w:r>
              <w:rPr>
                <w:rFonts w:ascii="Times New Roman" w:hAnsi="Times New Roman"/>
                <w:sz w:val="24"/>
                <w:szCs w:val="24"/>
                <w:vertAlign w:val="superscript"/>
                <w:lang w:val="en-ZA"/>
              </w:rPr>
              <w:t>a</w:t>
            </w:r>
          </w:p>
        </w:tc>
        <w:tc>
          <w:tcPr>
            <w:tcW w:w="1302" w:type="dxa"/>
            <w:tcBorders>
              <w:bottom w:val="single" w:sz="4" w:space="0" w:color="auto"/>
            </w:tcBorders>
          </w:tcPr>
          <w:p w14:paraId="600F59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898" w:type="dxa"/>
            <w:tcBorders>
              <w:bottom w:val="single" w:sz="4" w:space="0" w:color="auto"/>
            </w:tcBorders>
          </w:tcPr>
          <w:p w14:paraId="47E33F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Borders>
              <w:bottom w:val="single" w:sz="4" w:space="0" w:color="auto"/>
            </w:tcBorders>
          </w:tcPr>
          <w:p w14:paraId="740A52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 – 80</w:t>
            </w:r>
          </w:p>
        </w:tc>
      </w:tr>
    </w:tbl>
    <w:p w14:paraId="58FE2917" w14:textId="77777777"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w:t>
      </w:r>
      <w:proofErr w:type="gramStart"/>
      <w:r>
        <w:rPr>
          <w:rFonts w:ascii="Times New Roman" w:hAnsi="Times New Roman"/>
          <w:sz w:val="20"/>
          <w:szCs w:val="20"/>
        </w:rPr>
        <w:t>different  (</w:t>
      </w:r>
      <w:proofErr w:type="gramEnd"/>
      <w:r>
        <w:rPr>
          <w:rFonts w:ascii="Times New Roman" w:hAnsi="Times New Roman"/>
          <w:sz w:val="20"/>
          <w:szCs w:val="20"/>
        </w:rPr>
        <w:t xml:space="preserve">P&lt;0.05) HDL- High density lipoprotein, LDL- Low density lipoprotein, *source = (Elmhurst </w:t>
      </w:r>
      <w:r>
        <w:rPr>
          <w:rFonts w:ascii="Times New Roman" w:hAnsi="Times New Roman"/>
          <w:i/>
          <w:sz w:val="20"/>
          <w:szCs w:val="20"/>
        </w:rPr>
        <w:t>et al</w:t>
      </w:r>
      <w:r>
        <w:rPr>
          <w:rFonts w:ascii="Times New Roman" w:hAnsi="Times New Roman"/>
          <w:sz w:val="20"/>
          <w:szCs w:val="20"/>
        </w:rPr>
        <w:t>., 2002)</w:t>
      </w:r>
    </w:p>
    <w:p w14:paraId="297B2DD3" w14:textId="77777777" w:rsidR="002D2CFE" w:rsidRDefault="002D2CFE" w:rsidP="004B249C">
      <w:pPr>
        <w:spacing w:after="0" w:line="240" w:lineRule="auto"/>
        <w:ind w:left="-5"/>
        <w:jc w:val="both"/>
        <w:rPr>
          <w:rFonts w:ascii="Times New Roman" w:hAnsi="Times New Roman"/>
          <w:sz w:val="24"/>
          <w:szCs w:val="24"/>
        </w:rPr>
      </w:pPr>
    </w:p>
    <w:p w14:paraId="2D768CFF" w14:textId="31F962D3" w:rsidR="000B6C53" w:rsidRPr="000B6C53" w:rsidRDefault="000B6C53" w:rsidP="004B249C">
      <w:pPr>
        <w:pStyle w:val="Heading2"/>
        <w:spacing w:before="0" w:after="0" w:line="240" w:lineRule="auto"/>
        <w:jc w:val="both"/>
        <w:rPr>
          <w:rFonts w:ascii="Times New Roman" w:hAnsi="Times New Roman"/>
          <w:b/>
          <w:bCs/>
          <w:color w:val="auto"/>
          <w:sz w:val="24"/>
          <w:szCs w:val="24"/>
        </w:rPr>
      </w:pPr>
      <w:r w:rsidRPr="000B6C53">
        <w:rPr>
          <w:rFonts w:ascii="Times New Roman" w:hAnsi="Times New Roman"/>
          <w:b/>
          <w:bCs/>
          <w:color w:val="auto"/>
          <w:sz w:val="24"/>
          <w:szCs w:val="24"/>
        </w:rPr>
        <w:t xml:space="preserve">Serum Electrolytes and Enzymes of Uda Ram Lambs Fed Diet Containing Graded Levels of </w:t>
      </w:r>
      <w:proofErr w:type="spellStart"/>
      <w:r w:rsidRPr="000B6C53">
        <w:rPr>
          <w:rFonts w:ascii="Times New Roman" w:hAnsi="Times New Roman"/>
          <w:b/>
          <w:bCs/>
          <w:i/>
          <w:color w:val="auto"/>
          <w:sz w:val="24"/>
          <w:szCs w:val="24"/>
        </w:rPr>
        <w:t>Mormodica</w:t>
      </w:r>
      <w:proofErr w:type="spellEnd"/>
      <w:r w:rsidRPr="000B6C53">
        <w:rPr>
          <w:rFonts w:ascii="Times New Roman" w:hAnsi="Times New Roman"/>
          <w:b/>
          <w:bCs/>
          <w:i/>
          <w:color w:val="auto"/>
          <w:sz w:val="24"/>
          <w:szCs w:val="24"/>
        </w:rPr>
        <w:t xml:space="preserve"> </w:t>
      </w:r>
      <w:proofErr w:type="spellStart"/>
      <w:r w:rsidRPr="000B6C53">
        <w:rPr>
          <w:rFonts w:ascii="Times New Roman" w:hAnsi="Times New Roman"/>
          <w:b/>
          <w:bCs/>
          <w:i/>
          <w:color w:val="auto"/>
          <w:sz w:val="24"/>
          <w:szCs w:val="24"/>
        </w:rPr>
        <w:t>balsamina</w:t>
      </w:r>
      <w:proofErr w:type="spellEnd"/>
    </w:p>
    <w:p w14:paraId="380BE356" w14:textId="0CADF941" w:rsidR="000B6C53" w:rsidRDefault="000B6C53" w:rsidP="004B249C">
      <w:pPr>
        <w:spacing w:after="0" w:line="240" w:lineRule="auto"/>
        <w:jc w:val="both"/>
        <w:rPr>
          <w:rFonts w:ascii="Times New Roman" w:hAnsi="Times New Roman"/>
          <w:sz w:val="24"/>
          <w:szCs w:val="24"/>
        </w:rPr>
      </w:pPr>
      <w:r>
        <w:rPr>
          <w:rFonts w:ascii="Times New Roman" w:hAnsi="Times New Roman"/>
          <w:sz w:val="24"/>
          <w:szCs w:val="24"/>
        </w:rPr>
        <w:t xml:space="preserve">The result of serum electrolytes and enzymes of Uda lambs fed graded level of Balsam apple is presented in Table 4. The result show no significant variation (P&gt;0.05) between the treatment means in terms of ALT, direct bilirubin and total bilirubin while all other parameters (AST, ALP, chlorine, bicarbonate, potassium and sodium) show significant variation (P&lt;0.05) between the treatment means. All parameters </w:t>
      </w:r>
      <w:proofErr w:type="spellStart"/>
      <w:r>
        <w:rPr>
          <w:rFonts w:ascii="Times New Roman" w:hAnsi="Times New Roman"/>
          <w:sz w:val="24"/>
          <w:szCs w:val="24"/>
        </w:rPr>
        <w:t>analysed</w:t>
      </w:r>
      <w:proofErr w:type="spellEnd"/>
      <w:r>
        <w:rPr>
          <w:rFonts w:ascii="Times New Roman" w:hAnsi="Times New Roman"/>
          <w:sz w:val="24"/>
          <w:szCs w:val="24"/>
        </w:rPr>
        <w:t xml:space="preserve"> were within the normal range. Chlorine </w:t>
      </w:r>
      <w:r>
        <w:rPr>
          <w:rFonts w:ascii="Times New Roman" w:hAnsi="Times New Roman"/>
          <w:sz w:val="24"/>
          <w:szCs w:val="24"/>
        </w:rPr>
        <w:lastRenderedPageBreak/>
        <w:t xml:space="preserve">and sodium values were higher (P&lt;0.05) in T2 compared to other treatments while AST, ALP and potassium values were significantly higher in T3 compared to other treatments. Similarly, bicarbonate values were significantly higher (P&lt;0.05) in T1 compared to other treatments while sodium was significantly higher (P&lt;0.05) in T4 compared to other treatments.  </w:t>
      </w:r>
    </w:p>
    <w:p w14:paraId="7599C2A7" w14:textId="77777777" w:rsidR="002D2CFE" w:rsidRDefault="002D2CFE" w:rsidP="004B249C">
      <w:pPr>
        <w:spacing w:after="0" w:line="240" w:lineRule="auto"/>
        <w:ind w:left="-5"/>
        <w:jc w:val="both"/>
        <w:rPr>
          <w:rFonts w:ascii="Times New Roman" w:hAnsi="Times New Roman"/>
          <w:bCs/>
          <w:sz w:val="24"/>
          <w:szCs w:val="24"/>
        </w:rPr>
      </w:pPr>
    </w:p>
    <w:p w14:paraId="3DADFA4D" w14:textId="4687EA1E"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4: Serum Electrolytes and Enzymes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W w:w="9764"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8"/>
        <w:gridCol w:w="1419"/>
        <w:gridCol w:w="1330"/>
        <w:gridCol w:w="1242"/>
        <w:gridCol w:w="1372"/>
        <w:gridCol w:w="763"/>
        <w:gridCol w:w="1330"/>
      </w:tblGrid>
      <w:tr w:rsidR="002D2CFE" w14:paraId="222AC8B3" w14:textId="77777777" w:rsidTr="000B6C53">
        <w:trPr>
          <w:trHeight w:val="201"/>
        </w:trPr>
        <w:tc>
          <w:tcPr>
            <w:tcW w:w="2308" w:type="dxa"/>
            <w:tcBorders>
              <w:top w:val="single" w:sz="4" w:space="0" w:color="auto"/>
            </w:tcBorders>
          </w:tcPr>
          <w:p w14:paraId="56682FBE" w14:textId="77777777" w:rsidR="002D2CFE" w:rsidRDefault="002D2CFE" w:rsidP="004B249C">
            <w:pPr>
              <w:spacing w:after="0" w:line="240" w:lineRule="auto"/>
              <w:rPr>
                <w:rFonts w:ascii="Times New Roman" w:hAnsi="Times New Roman"/>
                <w:b/>
                <w:sz w:val="24"/>
                <w:szCs w:val="24"/>
                <w:lang w:val="en-ZA"/>
              </w:rPr>
            </w:pPr>
          </w:p>
        </w:tc>
        <w:tc>
          <w:tcPr>
            <w:tcW w:w="5363" w:type="dxa"/>
            <w:gridSpan w:val="4"/>
            <w:tcBorders>
              <w:top w:val="single" w:sz="4" w:space="0" w:color="auto"/>
            </w:tcBorders>
          </w:tcPr>
          <w:p w14:paraId="75FC68B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763" w:type="dxa"/>
            <w:tcBorders>
              <w:top w:val="single" w:sz="4" w:space="0" w:color="auto"/>
            </w:tcBorders>
          </w:tcPr>
          <w:p w14:paraId="6F49DC0A" w14:textId="77777777" w:rsidR="002D2CFE" w:rsidRDefault="002D2CFE" w:rsidP="004B249C">
            <w:pPr>
              <w:spacing w:after="0" w:line="240" w:lineRule="auto"/>
              <w:jc w:val="center"/>
              <w:rPr>
                <w:rFonts w:ascii="Times New Roman" w:hAnsi="Times New Roman"/>
                <w:b/>
                <w:sz w:val="24"/>
                <w:szCs w:val="24"/>
                <w:lang w:val="en-ZA"/>
              </w:rPr>
            </w:pPr>
          </w:p>
        </w:tc>
        <w:tc>
          <w:tcPr>
            <w:tcW w:w="1330" w:type="dxa"/>
            <w:vMerge w:val="restart"/>
            <w:tcBorders>
              <w:top w:val="single" w:sz="4" w:space="0" w:color="auto"/>
            </w:tcBorders>
          </w:tcPr>
          <w:p w14:paraId="7F8B683C"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437985C3" w14:textId="77777777" w:rsidTr="000B6C53">
        <w:trPr>
          <w:trHeight w:val="201"/>
        </w:trPr>
        <w:tc>
          <w:tcPr>
            <w:tcW w:w="2308" w:type="dxa"/>
            <w:tcBorders>
              <w:bottom w:val="single" w:sz="4" w:space="0" w:color="auto"/>
            </w:tcBorders>
          </w:tcPr>
          <w:p w14:paraId="5E623B17"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19" w:type="dxa"/>
            <w:tcBorders>
              <w:bottom w:val="single" w:sz="4" w:space="0" w:color="auto"/>
            </w:tcBorders>
          </w:tcPr>
          <w:p w14:paraId="7981C6C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30" w:type="dxa"/>
            <w:tcBorders>
              <w:bottom w:val="single" w:sz="4" w:space="0" w:color="auto"/>
            </w:tcBorders>
          </w:tcPr>
          <w:p w14:paraId="02B4CACB"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42" w:type="dxa"/>
            <w:tcBorders>
              <w:bottom w:val="single" w:sz="4" w:space="0" w:color="auto"/>
            </w:tcBorders>
          </w:tcPr>
          <w:p w14:paraId="6CD48E42"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70" w:type="dxa"/>
            <w:tcBorders>
              <w:bottom w:val="single" w:sz="4" w:space="0" w:color="auto"/>
            </w:tcBorders>
          </w:tcPr>
          <w:p w14:paraId="316262E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763" w:type="dxa"/>
            <w:tcBorders>
              <w:bottom w:val="single" w:sz="4" w:space="0" w:color="auto"/>
            </w:tcBorders>
          </w:tcPr>
          <w:p w14:paraId="267827A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30" w:type="dxa"/>
            <w:vMerge/>
            <w:tcBorders>
              <w:bottom w:val="single" w:sz="4" w:space="0" w:color="auto"/>
            </w:tcBorders>
          </w:tcPr>
          <w:p w14:paraId="6A972529"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ABC9238" w14:textId="77777777" w:rsidTr="000B6C53">
        <w:trPr>
          <w:trHeight w:val="208"/>
        </w:trPr>
        <w:tc>
          <w:tcPr>
            <w:tcW w:w="2308" w:type="dxa"/>
            <w:tcBorders>
              <w:top w:val="single" w:sz="4" w:space="0" w:color="auto"/>
            </w:tcBorders>
          </w:tcPr>
          <w:p w14:paraId="280D6AF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AST (u/L)</w:t>
            </w:r>
          </w:p>
        </w:tc>
        <w:tc>
          <w:tcPr>
            <w:tcW w:w="1419" w:type="dxa"/>
            <w:tcBorders>
              <w:top w:val="single" w:sz="4" w:space="0" w:color="auto"/>
            </w:tcBorders>
          </w:tcPr>
          <w:p w14:paraId="25CCAF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56.00</w:t>
            </w:r>
            <w:r>
              <w:rPr>
                <w:rFonts w:ascii="Times New Roman" w:hAnsi="Times New Roman"/>
                <w:sz w:val="24"/>
                <w:szCs w:val="24"/>
                <w:vertAlign w:val="superscript"/>
                <w:lang w:val="en-ZA"/>
              </w:rPr>
              <w:t>b</w:t>
            </w:r>
          </w:p>
        </w:tc>
        <w:tc>
          <w:tcPr>
            <w:tcW w:w="1330" w:type="dxa"/>
            <w:tcBorders>
              <w:top w:val="single" w:sz="4" w:space="0" w:color="auto"/>
            </w:tcBorders>
          </w:tcPr>
          <w:p w14:paraId="386F65E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68.77</w:t>
            </w:r>
            <w:r>
              <w:rPr>
                <w:rFonts w:ascii="Times New Roman" w:hAnsi="Times New Roman"/>
                <w:sz w:val="24"/>
                <w:szCs w:val="24"/>
                <w:vertAlign w:val="superscript"/>
                <w:lang w:val="en-ZA"/>
              </w:rPr>
              <w:t>b</w:t>
            </w:r>
          </w:p>
        </w:tc>
        <w:tc>
          <w:tcPr>
            <w:tcW w:w="1242" w:type="dxa"/>
            <w:tcBorders>
              <w:top w:val="single" w:sz="4" w:space="0" w:color="auto"/>
            </w:tcBorders>
          </w:tcPr>
          <w:p w14:paraId="24A481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85.33</w:t>
            </w:r>
            <w:r>
              <w:rPr>
                <w:rFonts w:ascii="Times New Roman" w:hAnsi="Times New Roman"/>
                <w:sz w:val="24"/>
                <w:szCs w:val="24"/>
                <w:vertAlign w:val="superscript"/>
                <w:lang w:val="en-ZA"/>
              </w:rPr>
              <w:t>a</w:t>
            </w:r>
          </w:p>
        </w:tc>
        <w:tc>
          <w:tcPr>
            <w:tcW w:w="1370" w:type="dxa"/>
            <w:tcBorders>
              <w:top w:val="single" w:sz="4" w:space="0" w:color="auto"/>
            </w:tcBorders>
          </w:tcPr>
          <w:p w14:paraId="560F4C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67.73</w:t>
            </w:r>
            <w:r>
              <w:rPr>
                <w:rFonts w:ascii="Times New Roman" w:hAnsi="Times New Roman"/>
                <w:sz w:val="24"/>
                <w:szCs w:val="24"/>
                <w:vertAlign w:val="superscript"/>
                <w:lang w:val="en-ZA"/>
              </w:rPr>
              <w:t>b</w:t>
            </w:r>
          </w:p>
        </w:tc>
        <w:tc>
          <w:tcPr>
            <w:tcW w:w="763" w:type="dxa"/>
            <w:tcBorders>
              <w:top w:val="single" w:sz="4" w:space="0" w:color="auto"/>
            </w:tcBorders>
          </w:tcPr>
          <w:p w14:paraId="23F85F0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4.98</w:t>
            </w:r>
          </w:p>
        </w:tc>
        <w:tc>
          <w:tcPr>
            <w:tcW w:w="1330" w:type="dxa"/>
            <w:tcBorders>
              <w:top w:val="single" w:sz="4" w:space="0" w:color="auto"/>
            </w:tcBorders>
          </w:tcPr>
          <w:p w14:paraId="0A61F3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 – 280</w:t>
            </w:r>
          </w:p>
        </w:tc>
      </w:tr>
      <w:tr w:rsidR="002D2CFE" w14:paraId="2FC1B002" w14:textId="77777777" w:rsidTr="000B6C53">
        <w:trPr>
          <w:trHeight w:val="215"/>
        </w:trPr>
        <w:tc>
          <w:tcPr>
            <w:tcW w:w="2308" w:type="dxa"/>
          </w:tcPr>
          <w:p w14:paraId="5F42573E"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ALT (u/L)</w:t>
            </w:r>
          </w:p>
        </w:tc>
        <w:tc>
          <w:tcPr>
            <w:tcW w:w="1419" w:type="dxa"/>
          </w:tcPr>
          <w:p w14:paraId="0F19CAC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15.18</w:t>
            </w:r>
          </w:p>
        </w:tc>
        <w:tc>
          <w:tcPr>
            <w:tcW w:w="1330" w:type="dxa"/>
          </w:tcPr>
          <w:p w14:paraId="6B8410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16.32</w:t>
            </w:r>
          </w:p>
        </w:tc>
        <w:tc>
          <w:tcPr>
            <w:tcW w:w="1242" w:type="dxa"/>
          </w:tcPr>
          <w:p w14:paraId="4485554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13.88</w:t>
            </w:r>
          </w:p>
        </w:tc>
        <w:tc>
          <w:tcPr>
            <w:tcW w:w="1370" w:type="dxa"/>
          </w:tcPr>
          <w:p w14:paraId="4A253F5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14.00</w:t>
            </w:r>
          </w:p>
        </w:tc>
        <w:tc>
          <w:tcPr>
            <w:tcW w:w="763" w:type="dxa"/>
          </w:tcPr>
          <w:p w14:paraId="11FAB49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2.09</w:t>
            </w:r>
          </w:p>
        </w:tc>
        <w:tc>
          <w:tcPr>
            <w:tcW w:w="1330" w:type="dxa"/>
          </w:tcPr>
          <w:p w14:paraId="59EE8DC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 – 38</w:t>
            </w:r>
          </w:p>
        </w:tc>
      </w:tr>
      <w:tr w:rsidR="002D2CFE" w14:paraId="5DDA2025" w14:textId="77777777" w:rsidTr="000B6C53">
        <w:trPr>
          <w:trHeight w:val="215"/>
        </w:trPr>
        <w:tc>
          <w:tcPr>
            <w:tcW w:w="2308" w:type="dxa"/>
          </w:tcPr>
          <w:p w14:paraId="348A16B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ALP (u/L)</w:t>
            </w:r>
          </w:p>
        </w:tc>
        <w:tc>
          <w:tcPr>
            <w:tcW w:w="1419" w:type="dxa"/>
          </w:tcPr>
          <w:p w14:paraId="30964A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265.15</w:t>
            </w:r>
            <w:r>
              <w:rPr>
                <w:rFonts w:ascii="Times New Roman" w:hAnsi="Times New Roman"/>
                <w:sz w:val="24"/>
                <w:szCs w:val="24"/>
                <w:vertAlign w:val="superscript"/>
                <w:lang w:val="en-ZA"/>
              </w:rPr>
              <w:t>ab</w:t>
            </w:r>
          </w:p>
        </w:tc>
        <w:tc>
          <w:tcPr>
            <w:tcW w:w="1330" w:type="dxa"/>
          </w:tcPr>
          <w:p w14:paraId="10A5258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218.50</w:t>
            </w:r>
            <w:r>
              <w:rPr>
                <w:rFonts w:ascii="Times New Roman" w:hAnsi="Times New Roman"/>
                <w:sz w:val="24"/>
                <w:szCs w:val="24"/>
                <w:vertAlign w:val="superscript"/>
                <w:lang w:val="en-ZA"/>
              </w:rPr>
              <w:t>b</w:t>
            </w:r>
          </w:p>
        </w:tc>
        <w:tc>
          <w:tcPr>
            <w:tcW w:w="1242" w:type="dxa"/>
          </w:tcPr>
          <w:p w14:paraId="2A9C94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295.32</w:t>
            </w:r>
            <w:r>
              <w:rPr>
                <w:rFonts w:ascii="Times New Roman" w:hAnsi="Times New Roman"/>
                <w:sz w:val="24"/>
                <w:szCs w:val="24"/>
                <w:vertAlign w:val="superscript"/>
                <w:lang w:val="en-ZA"/>
              </w:rPr>
              <w:t>a</w:t>
            </w:r>
          </w:p>
        </w:tc>
        <w:tc>
          <w:tcPr>
            <w:tcW w:w="1370" w:type="dxa"/>
          </w:tcPr>
          <w:p w14:paraId="5406C0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220.00</w:t>
            </w:r>
            <w:r>
              <w:rPr>
                <w:rFonts w:ascii="Times New Roman" w:hAnsi="Times New Roman"/>
                <w:sz w:val="24"/>
                <w:szCs w:val="24"/>
                <w:vertAlign w:val="superscript"/>
                <w:lang w:val="en-ZA"/>
              </w:rPr>
              <w:t>b</w:t>
            </w:r>
          </w:p>
        </w:tc>
        <w:tc>
          <w:tcPr>
            <w:tcW w:w="763" w:type="dxa"/>
          </w:tcPr>
          <w:p w14:paraId="221FDB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18.58</w:t>
            </w:r>
          </w:p>
        </w:tc>
        <w:tc>
          <w:tcPr>
            <w:tcW w:w="1330" w:type="dxa"/>
          </w:tcPr>
          <w:p w14:paraId="3B238CB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1B2B81DC" w14:textId="77777777" w:rsidTr="000B6C53">
        <w:trPr>
          <w:trHeight w:val="337"/>
        </w:trPr>
        <w:tc>
          <w:tcPr>
            <w:tcW w:w="2308" w:type="dxa"/>
          </w:tcPr>
          <w:p w14:paraId="1410193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Direct bilirubin (Mmol/L)</w:t>
            </w:r>
          </w:p>
        </w:tc>
        <w:tc>
          <w:tcPr>
            <w:tcW w:w="1419" w:type="dxa"/>
          </w:tcPr>
          <w:p w14:paraId="48A40A6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1330" w:type="dxa"/>
          </w:tcPr>
          <w:p w14:paraId="5830E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0.12</w:t>
            </w:r>
          </w:p>
        </w:tc>
        <w:tc>
          <w:tcPr>
            <w:tcW w:w="1242" w:type="dxa"/>
          </w:tcPr>
          <w:p w14:paraId="6640EBF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370" w:type="dxa"/>
          </w:tcPr>
          <w:p w14:paraId="63A85EA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763" w:type="dxa"/>
          </w:tcPr>
          <w:p w14:paraId="4D433D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0.01</w:t>
            </w:r>
          </w:p>
        </w:tc>
        <w:tc>
          <w:tcPr>
            <w:tcW w:w="1330" w:type="dxa"/>
          </w:tcPr>
          <w:p w14:paraId="27A5B55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0 -  4.6</w:t>
            </w:r>
          </w:p>
        </w:tc>
      </w:tr>
      <w:tr w:rsidR="002D2CFE" w14:paraId="13BC97DB" w14:textId="77777777" w:rsidTr="000B6C53">
        <w:trPr>
          <w:trHeight w:val="337"/>
        </w:trPr>
        <w:tc>
          <w:tcPr>
            <w:tcW w:w="2308" w:type="dxa"/>
          </w:tcPr>
          <w:p w14:paraId="6F219CE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bilirubin (Mmol/L)</w:t>
            </w:r>
          </w:p>
        </w:tc>
        <w:tc>
          <w:tcPr>
            <w:tcW w:w="1419" w:type="dxa"/>
          </w:tcPr>
          <w:p w14:paraId="778E1F4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330" w:type="dxa"/>
          </w:tcPr>
          <w:p w14:paraId="2253490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242" w:type="dxa"/>
          </w:tcPr>
          <w:p w14:paraId="70246D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0" w:type="dxa"/>
          </w:tcPr>
          <w:p w14:paraId="407F16F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0.43</w:t>
            </w:r>
          </w:p>
        </w:tc>
        <w:tc>
          <w:tcPr>
            <w:tcW w:w="763" w:type="dxa"/>
          </w:tcPr>
          <w:p w14:paraId="66A029D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330" w:type="dxa"/>
          </w:tcPr>
          <w:p w14:paraId="2971F47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1.71 - 8.65</w:t>
            </w:r>
          </w:p>
        </w:tc>
      </w:tr>
      <w:tr w:rsidR="002D2CFE" w14:paraId="2D408D6E" w14:textId="77777777" w:rsidTr="000B6C53">
        <w:trPr>
          <w:trHeight w:val="215"/>
        </w:trPr>
        <w:tc>
          <w:tcPr>
            <w:tcW w:w="2308" w:type="dxa"/>
          </w:tcPr>
          <w:p w14:paraId="451A747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Chlorine (Mmol/L)</w:t>
            </w:r>
          </w:p>
        </w:tc>
        <w:tc>
          <w:tcPr>
            <w:tcW w:w="1419" w:type="dxa"/>
          </w:tcPr>
          <w:p w14:paraId="22F3C7A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89.17</w:t>
            </w:r>
            <w:r>
              <w:rPr>
                <w:rFonts w:ascii="Times New Roman" w:hAnsi="Times New Roman"/>
                <w:sz w:val="24"/>
                <w:szCs w:val="24"/>
                <w:vertAlign w:val="superscript"/>
                <w:lang w:val="en-ZA"/>
              </w:rPr>
              <w:t>c</w:t>
            </w:r>
          </w:p>
        </w:tc>
        <w:tc>
          <w:tcPr>
            <w:tcW w:w="1330" w:type="dxa"/>
          </w:tcPr>
          <w:p w14:paraId="7D3E851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92.55</w:t>
            </w:r>
            <w:r>
              <w:rPr>
                <w:rFonts w:ascii="Times New Roman" w:hAnsi="Times New Roman"/>
                <w:sz w:val="24"/>
                <w:szCs w:val="24"/>
                <w:vertAlign w:val="superscript"/>
                <w:lang w:val="en-ZA"/>
              </w:rPr>
              <w:t>a</w:t>
            </w:r>
          </w:p>
        </w:tc>
        <w:tc>
          <w:tcPr>
            <w:tcW w:w="1242" w:type="dxa"/>
          </w:tcPr>
          <w:p w14:paraId="6284AB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90.67</w:t>
            </w:r>
            <w:r>
              <w:rPr>
                <w:rFonts w:ascii="Times New Roman" w:hAnsi="Times New Roman"/>
                <w:sz w:val="24"/>
                <w:szCs w:val="24"/>
                <w:vertAlign w:val="superscript"/>
                <w:lang w:val="en-ZA"/>
              </w:rPr>
              <w:t>b</w:t>
            </w:r>
          </w:p>
        </w:tc>
        <w:tc>
          <w:tcPr>
            <w:tcW w:w="1370" w:type="dxa"/>
          </w:tcPr>
          <w:p w14:paraId="16A600D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90.22</w:t>
            </w:r>
            <w:r>
              <w:rPr>
                <w:rFonts w:ascii="Times New Roman" w:hAnsi="Times New Roman"/>
                <w:sz w:val="24"/>
                <w:szCs w:val="24"/>
                <w:vertAlign w:val="superscript"/>
                <w:lang w:val="en-ZA"/>
              </w:rPr>
              <w:t>b</w:t>
            </w:r>
          </w:p>
        </w:tc>
        <w:tc>
          <w:tcPr>
            <w:tcW w:w="763" w:type="dxa"/>
          </w:tcPr>
          <w:p w14:paraId="797BB2A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330" w:type="dxa"/>
          </w:tcPr>
          <w:p w14:paraId="19820D2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 – 103</w:t>
            </w:r>
          </w:p>
        </w:tc>
      </w:tr>
      <w:tr w:rsidR="002D2CFE" w14:paraId="3A74257C" w14:textId="77777777" w:rsidTr="000B6C53">
        <w:trPr>
          <w:trHeight w:val="337"/>
        </w:trPr>
        <w:tc>
          <w:tcPr>
            <w:tcW w:w="2308" w:type="dxa"/>
          </w:tcPr>
          <w:p w14:paraId="207E882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Bicarbonate (Mmol/L)</w:t>
            </w:r>
          </w:p>
        </w:tc>
        <w:tc>
          <w:tcPr>
            <w:tcW w:w="1419" w:type="dxa"/>
          </w:tcPr>
          <w:p w14:paraId="31394BA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28.19</w:t>
            </w:r>
            <w:r>
              <w:rPr>
                <w:rFonts w:ascii="Times New Roman" w:hAnsi="Times New Roman"/>
                <w:sz w:val="24"/>
                <w:szCs w:val="24"/>
                <w:vertAlign w:val="superscript"/>
                <w:lang w:val="en-ZA"/>
              </w:rPr>
              <w:t>a</w:t>
            </w:r>
          </w:p>
        </w:tc>
        <w:tc>
          <w:tcPr>
            <w:tcW w:w="1330" w:type="dxa"/>
          </w:tcPr>
          <w:p w14:paraId="7E18348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25.35</w:t>
            </w:r>
            <w:r>
              <w:rPr>
                <w:rFonts w:ascii="Times New Roman" w:hAnsi="Times New Roman"/>
                <w:sz w:val="24"/>
                <w:szCs w:val="24"/>
                <w:vertAlign w:val="superscript"/>
                <w:lang w:val="en-ZA"/>
              </w:rPr>
              <w:t>b</w:t>
            </w:r>
          </w:p>
        </w:tc>
        <w:tc>
          <w:tcPr>
            <w:tcW w:w="1242" w:type="dxa"/>
          </w:tcPr>
          <w:p w14:paraId="01A54B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25.50</w:t>
            </w:r>
            <w:r>
              <w:rPr>
                <w:rFonts w:ascii="Times New Roman" w:hAnsi="Times New Roman"/>
                <w:sz w:val="24"/>
                <w:szCs w:val="24"/>
                <w:vertAlign w:val="superscript"/>
                <w:lang w:val="en-ZA"/>
              </w:rPr>
              <w:t>b</w:t>
            </w:r>
          </w:p>
        </w:tc>
        <w:tc>
          <w:tcPr>
            <w:tcW w:w="1370" w:type="dxa"/>
          </w:tcPr>
          <w:p w14:paraId="3D507F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24.68</w:t>
            </w:r>
            <w:r>
              <w:rPr>
                <w:rFonts w:ascii="Times New Roman" w:hAnsi="Times New Roman"/>
                <w:sz w:val="24"/>
                <w:szCs w:val="24"/>
                <w:vertAlign w:val="superscript"/>
                <w:lang w:val="en-ZA"/>
              </w:rPr>
              <w:t>b</w:t>
            </w:r>
          </w:p>
        </w:tc>
        <w:tc>
          <w:tcPr>
            <w:tcW w:w="763" w:type="dxa"/>
          </w:tcPr>
          <w:p w14:paraId="543051F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330" w:type="dxa"/>
          </w:tcPr>
          <w:p w14:paraId="5CC631D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 – 25</w:t>
            </w:r>
          </w:p>
        </w:tc>
      </w:tr>
      <w:tr w:rsidR="002D2CFE" w14:paraId="1B89D7A7" w14:textId="77777777" w:rsidTr="000B6C53">
        <w:trPr>
          <w:trHeight w:val="215"/>
        </w:trPr>
        <w:tc>
          <w:tcPr>
            <w:tcW w:w="2308" w:type="dxa"/>
          </w:tcPr>
          <w:p w14:paraId="14CEC7F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Potassium (Mmol/L)</w:t>
            </w:r>
          </w:p>
        </w:tc>
        <w:tc>
          <w:tcPr>
            <w:tcW w:w="1419" w:type="dxa"/>
          </w:tcPr>
          <w:p w14:paraId="5BDAE26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r>
              <w:rPr>
                <w:rFonts w:ascii="Times New Roman" w:hAnsi="Times New Roman"/>
                <w:sz w:val="24"/>
                <w:szCs w:val="24"/>
                <w:vertAlign w:val="superscript"/>
                <w:lang w:val="en-ZA"/>
              </w:rPr>
              <w:t>ab</w:t>
            </w:r>
          </w:p>
        </w:tc>
        <w:tc>
          <w:tcPr>
            <w:tcW w:w="1330" w:type="dxa"/>
          </w:tcPr>
          <w:p w14:paraId="772BF9F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r>
              <w:rPr>
                <w:rFonts w:ascii="Times New Roman" w:hAnsi="Times New Roman"/>
                <w:sz w:val="24"/>
                <w:szCs w:val="24"/>
                <w:vertAlign w:val="superscript"/>
                <w:lang w:val="en-ZA"/>
              </w:rPr>
              <w:t>b</w:t>
            </w:r>
          </w:p>
        </w:tc>
        <w:tc>
          <w:tcPr>
            <w:tcW w:w="1242" w:type="dxa"/>
          </w:tcPr>
          <w:p w14:paraId="6D22025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r>
              <w:rPr>
                <w:rFonts w:ascii="Times New Roman" w:hAnsi="Times New Roman"/>
                <w:sz w:val="24"/>
                <w:szCs w:val="24"/>
                <w:vertAlign w:val="superscript"/>
                <w:lang w:val="en-ZA"/>
              </w:rPr>
              <w:t>a</w:t>
            </w:r>
          </w:p>
        </w:tc>
        <w:tc>
          <w:tcPr>
            <w:tcW w:w="1370" w:type="dxa"/>
          </w:tcPr>
          <w:p w14:paraId="4CC10D6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3.68</w:t>
            </w:r>
            <w:r>
              <w:rPr>
                <w:rFonts w:ascii="Times New Roman" w:hAnsi="Times New Roman"/>
                <w:sz w:val="24"/>
                <w:szCs w:val="24"/>
                <w:vertAlign w:val="superscript"/>
                <w:lang w:val="en-ZA"/>
              </w:rPr>
              <w:t>ab</w:t>
            </w:r>
          </w:p>
        </w:tc>
        <w:tc>
          <w:tcPr>
            <w:tcW w:w="763" w:type="dxa"/>
          </w:tcPr>
          <w:p w14:paraId="252B6EF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0.29</w:t>
            </w:r>
          </w:p>
        </w:tc>
        <w:tc>
          <w:tcPr>
            <w:tcW w:w="1330" w:type="dxa"/>
          </w:tcPr>
          <w:p w14:paraId="0E4C2DE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3.9 - 5.4</w:t>
            </w:r>
          </w:p>
        </w:tc>
      </w:tr>
      <w:tr w:rsidR="002D2CFE" w14:paraId="5AAF53D5" w14:textId="77777777" w:rsidTr="000B6C53">
        <w:trPr>
          <w:trHeight w:val="63"/>
        </w:trPr>
        <w:tc>
          <w:tcPr>
            <w:tcW w:w="2308" w:type="dxa"/>
            <w:tcBorders>
              <w:bottom w:val="single" w:sz="4" w:space="0" w:color="auto"/>
            </w:tcBorders>
          </w:tcPr>
          <w:p w14:paraId="1222E841"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Sodium (Mmol/L)</w:t>
            </w:r>
          </w:p>
        </w:tc>
        <w:tc>
          <w:tcPr>
            <w:tcW w:w="1419" w:type="dxa"/>
            <w:tcBorders>
              <w:bottom w:val="single" w:sz="4" w:space="0" w:color="auto"/>
            </w:tcBorders>
          </w:tcPr>
          <w:p w14:paraId="6034BD2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125.19</w:t>
            </w:r>
            <w:r>
              <w:rPr>
                <w:rFonts w:ascii="Times New Roman" w:hAnsi="Times New Roman"/>
                <w:sz w:val="24"/>
                <w:szCs w:val="24"/>
                <w:vertAlign w:val="superscript"/>
                <w:lang w:val="en-ZA"/>
              </w:rPr>
              <w:t>b</w:t>
            </w:r>
          </w:p>
        </w:tc>
        <w:tc>
          <w:tcPr>
            <w:tcW w:w="1330" w:type="dxa"/>
            <w:tcBorders>
              <w:bottom w:val="single" w:sz="4" w:space="0" w:color="auto"/>
            </w:tcBorders>
          </w:tcPr>
          <w:p w14:paraId="6248B20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140.56</w:t>
            </w:r>
            <w:r>
              <w:rPr>
                <w:rFonts w:ascii="Times New Roman" w:hAnsi="Times New Roman"/>
                <w:sz w:val="24"/>
                <w:szCs w:val="24"/>
                <w:vertAlign w:val="superscript"/>
                <w:lang w:val="en-ZA"/>
              </w:rPr>
              <w:t>a</w:t>
            </w:r>
          </w:p>
        </w:tc>
        <w:tc>
          <w:tcPr>
            <w:tcW w:w="1242" w:type="dxa"/>
            <w:tcBorders>
              <w:bottom w:val="single" w:sz="4" w:space="0" w:color="auto"/>
            </w:tcBorders>
          </w:tcPr>
          <w:p w14:paraId="19E3310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132.49</w:t>
            </w:r>
            <w:r>
              <w:rPr>
                <w:rFonts w:ascii="Times New Roman" w:hAnsi="Times New Roman"/>
                <w:sz w:val="24"/>
                <w:szCs w:val="24"/>
                <w:vertAlign w:val="superscript"/>
                <w:lang w:val="en-ZA"/>
              </w:rPr>
              <w:t>ab</w:t>
            </w:r>
          </w:p>
        </w:tc>
        <w:tc>
          <w:tcPr>
            <w:tcW w:w="1370" w:type="dxa"/>
            <w:tcBorders>
              <w:bottom w:val="single" w:sz="4" w:space="0" w:color="auto"/>
            </w:tcBorders>
          </w:tcPr>
          <w:p w14:paraId="3BDCBC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140.65</w:t>
            </w:r>
            <w:r>
              <w:rPr>
                <w:rFonts w:ascii="Times New Roman" w:hAnsi="Times New Roman"/>
                <w:sz w:val="24"/>
                <w:szCs w:val="24"/>
                <w:vertAlign w:val="superscript"/>
                <w:lang w:val="en-ZA"/>
              </w:rPr>
              <w:t>a</w:t>
            </w:r>
          </w:p>
        </w:tc>
        <w:tc>
          <w:tcPr>
            <w:tcW w:w="763" w:type="dxa"/>
            <w:tcBorders>
              <w:bottom w:val="single" w:sz="4" w:space="0" w:color="auto"/>
            </w:tcBorders>
          </w:tcPr>
          <w:p w14:paraId="1E25196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p>
        </w:tc>
        <w:tc>
          <w:tcPr>
            <w:tcW w:w="1330" w:type="dxa"/>
            <w:tcBorders>
              <w:bottom w:val="single" w:sz="4" w:space="0" w:color="auto"/>
            </w:tcBorders>
          </w:tcPr>
          <w:p w14:paraId="104C504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 – 152</w:t>
            </w:r>
          </w:p>
        </w:tc>
      </w:tr>
    </w:tbl>
    <w:p w14:paraId="132FEF25" w14:textId="77777777"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different (P&lt;0.05), ALP- Alkaline phosphate, ALT- Alanine aminotransferase, AST- Aspartate aminotransferase *source = (Elmhurst </w:t>
      </w:r>
      <w:r>
        <w:rPr>
          <w:rFonts w:ascii="Times New Roman" w:hAnsi="Times New Roman"/>
          <w:i/>
          <w:sz w:val="20"/>
          <w:szCs w:val="20"/>
        </w:rPr>
        <w:t>et al.</w:t>
      </w:r>
      <w:r>
        <w:rPr>
          <w:rFonts w:ascii="Times New Roman" w:hAnsi="Times New Roman"/>
          <w:sz w:val="20"/>
          <w:szCs w:val="20"/>
        </w:rPr>
        <w:t>, 2002).</w:t>
      </w:r>
    </w:p>
    <w:p w14:paraId="09EF67B3" w14:textId="7D5FB6E2" w:rsidR="002D2CFE" w:rsidRDefault="002D2CFE" w:rsidP="004B249C">
      <w:pPr>
        <w:pStyle w:val="Heading2"/>
        <w:spacing w:before="0" w:after="0" w:line="240" w:lineRule="auto"/>
        <w:rPr>
          <w:rFonts w:ascii="Times New Roman" w:hAnsi="Times New Roman"/>
          <w:color w:val="auto"/>
          <w:sz w:val="24"/>
          <w:szCs w:val="24"/>
        </w:rPr>
      </w:pPr>
      <w:bookmarkStart w:id="23" w:name="_Toc2252"/>
      <w:r>
        <w:rPr>
          <w:rFonts w:ascii="Times New Roman" w:hAnsi="Times New Roman"/>
          <w:color w:val="auto"/>
          <w:sz w:val="24"/>
          <w:szCs w:val="24"/>
        </w:rPr>
        <w:t>DISCUSSION</w:t>
      </w:r>
      <w:bookmarkEnd w:id="23"/>
    </w:p>
    <w:p w14:paraId="33E73C31" w14:textId="77777777" w:rsidR="002D2CFE" w:rsidRDefault="002D2CFE" w:rsidP="004B249C">
      <w:pPr>
        <w:pStyle w:val="Default"/>
        <w:jc w:val="both"/>
        <w:rPr>
          <w:color w:val="auto"/>
        </w:rPr>
      </w:pPr>
      <w:r>
        <w:rPr>
          <w:color w:val="auto"/>
        </w:rPr>
        <w:t xml:space="preserve">The haematological characteristics of rams </w:t>
      </w:r>
      <w:commentRangeStart w:id="24"/>
      <w:r>
        <w:rPr>
          <w:color w:val="auto"/>
        </w:rPr>
        <w:t xml:space="preserve">fed graded levels </w:t>
      </w:r>
      <w:commentRangeEnd w:id="24"/>
      <w:r w:rsidR="00915DB3">
        <w:rPr>
          <w:rStyle w:val="CommentReference"/>
          <w:rFonts w:asciiTheme="minorHAnsi" w:eastAsiaTheme="minorEastAsia" w:hAnsiTheme="minorHAnsi" w:cstheme="minorBidi"/>
          <w:color w:val="auto"/>
          <w:lang w:eastAsia="en-US"/>
        </w:rPr>
        <w:commentReference w:id="24"/>
      </w:r>
      <w:r>
        <w:rPr>
          <w:i/>
          <w:color w:val="auto"/>
        </w:rPr>
        <w:t xml:space="preserve">M. </w:t>
      </w:r>
      <w:proofErr w:type="spellStart"/>
      <w:r>
        <w:rPr>
          <w:i/>
          <w:color w:val="auto"/>
        </w:rPr>
        <w:t>balsamina</w:t>
      </w:r>
      <w:proofErr w:type="spellEnd"/>
      <w:r>
        <w:rPr>
          <w:color w:val="auto"/>
        </w:rPr>
        <w:t xml:space="preserve"> reveals the PCV values obtained were lower than the finding of Egbe- </w:t>
      </w:r>
      <w:proofErr w:type="spellStart"/>
      <w:r>
        <w:rPr>
          <w:color w:val="auto"/>
        </w:rPr>
        <w:t>Nwiyi</w:t>
      </w:r>
      <w:proofErr w:type="spellEnd"/>
      <w:r>
        <w:rPr>
          <w:color w:val="auto"/>
        </w:rPr>
        <w:t xml:space="preserve"> </w:t>
      </w:r>
      <w:r>
        <w:rPr>
          <w:i/>
          <w:iCs/>
          <w:color w:val="auto"/>
          <w:lang w:val="en-US"/>
        </w:rPr>
        <w:t>et al</w:t>
      </w:r>
      <w:r>
        <w:rPr>
          <w:i/>
          <w:iCs/>
          <w:color w:val="auto"/>
        </w:rPr>
        <w:t>.</w:t>
      </w:r>
      <w:r>
        <w:rPr>
          <w:color w:val="auto"/>
        </w:rPr>
        <w:t xml:space="preserve"> (2000) who reported value of 43.8-60% and 38-45% respectively, and within the range reported by Jain (1986). It further showed that in all the treatments, animals did not suffer from anaemia or dehydration. This confirms the report of </w:t>
      </w:r>
      <w:proofErr w:type="spellStart"/>
      <w:r>
        <w:rPr>
          <w:color w:val="auto"/>
        </w:rPr>
        <w:t>Elmhust</w:t>
      </w:r>
      <w:proofErr w:type="spellEnd"/>
      <w:r>
        <w:rPr>
          <w:color w:val="auto"/>
        </w:rPr>
        <w:t xml:space="preserve"> </w:t>
      </w:r>
      <w:r>
        <w:rPr>
          <w:i/>
          <w:color w:val="auto"/>
          <w:lang w:val="en-US"/>
        </w:rPr>
        <w:t>et al</w:t>
      </w:r>
      <w:r>
        <w:rPr>
          <w:color w:val="auto"/>
        </w:rPr>
        <w:t xml:space="preserve">. (2002) that a low PCV value was an indication of anaemia while sharp increase in PCV is most often caused by dehydration. </w:t>
      </w:r>
    </w:p>
    <w:p w14:paraId="48FCF972" w14:textId="77777777" w:rsidR="002D2CFE" w:rsidRDefault="002D2CFE" w:rsidP="004B249C">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w:t>
      </w:r>
      <w:commentRangeStart w:id="25"/>
      <w:r>
        <w:rPr>
          <w:color w:val="auto"/>
        </w:rPr>
        <w:t>my</w:t>
      </w:r>
      <w:commentRangeEnd w:id="25"/>
      <w:r w:rsidR="00346E6A">
        <w:rPr>
          <w:rStyle w:val="CommentReference"/>
          <w:rFonts w:asciiTheme="minorHAnsi" w:eastAsiaTheme="minorEastAsia" w:hAnsiTheme="minorHAnsi" w:cstheme="minorBidi"/>
          <w:color w:val="auto"/>
          <w:lang w:eastAsia="en-US"/>
        </w:rPr>
        <w:commentReference w:id="25"/>
      </w:r>
      <w:r>
        <w:rPr>
          <w:color w:val="auto"/>
        </w:rPr>
        <w:t xml:space="preserve">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w:t>
      </w:r>
      <w:commentRangeStart w:id="26"/>
      <w:commentRangeStart w:id="27"/>
      <w:r>
        <w:rPr>
          <w:color w:val="auto"/>
        </w:rPr>
        <w:t xml:space="preserve">some types of </w:t>
      </w:r>
      <w:proofErr w:type="spellStart"/>
      <w:r>
        <w:rPr>
          <w:color w:val="auto"/>
        </w:rPr>
        <w:t>anemia</w:t>
      </w:r>
      <w:proofErr w:type="spellEnd"/>
      <w:r>
        <w:rPr>
          <w:color w:val="auto"/>
        </w:rPr>
        <w:t xml:space="preserve"> </w:t>
      </w:r>
      <w:commentRangeEnd w:id="26"/>
      <w:r w:rsidR="00346E6A">
        <w:rPr>
          <w:rStyle w:val="CommentReference"/>
          <w:rFonts w:asciiTheme="minorHAnsi" w:eastAsiaTheme="minorEastAsia" w:hAnsiTheme="minorHAnsi" w:cstheme="minorBidi"/>
          <w:color w:val="auto"/>
          <w:lang w:eastAsia="en-US"/>
        </w:rPr>
        <w:commentReference w:id="26"/>
      </w:r>
      <w:commentRangeEnd w:id="27"/>
      <w:r w:rsidR="00346E6A">
        <w:rPr>
          <w:rStyle w:val="CommentReference"/>
          <w:rFonts w:asciiTheme="minorHAnsi" w:eastAsiaTheme="minorEastAsia" w:hAnsiTheme="minorHAnsi" w:cstheme="minorBidi"/>
          <w:color w:val="auto"/>
          <w:lang w:eastAsia="en-US"/>
        </w:rPr>
        <w:commentReference w:id="27"/>
      </w:r>
      <w:r>
        <w:rPr>
          <w:color w:val="auto"/>
        </w:rPr>
        <w:t>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2014).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2BFA557E" w14:textId="77777777" w:rsidR="002D2CFE" w:rsidRDefault="002D2CFE" w:rsidP="004B249C">
      <w:pPr>
        <w:pStyle w:val="Default"/>
        <w:jc w:val="both"/>
        <w:rPr>
          <w:color w:val="auto"/>
        </w:rPr>
      </w:pPr>
      <w:r>
        <w:rPr>
          <w:color w:val="auto"/>
        </w:rPr>
        <w:t>The white blood cells (WBC) were within the normal range values of sheep 4 to 12 x 10</w:t>
      </w:r>
      <w:r>
        <w:rPr>
          <w:color w:val="auto"/>
          <w:vertAlign w:val="superscript"/>
        </w:rPr>
        <w:t>9</w:t>
      </w:r>
      <w:r>
        <w:rPr>
          <w:color w:val="auto"/>
        </w:rPr>
        <w:t xml:space="preserve">/L as reported by Elmhurst </w:t>
      </w:r>
      <w:r>
        <w:rPr>
          <w:i/>
          <w:color w:val="auto"/>
          <w:lang w:val="en-US"/>
        </w:rPr>
        <w:t>et al</w:t>
      </w:r>
      <w:r>
        <w:rPr>
          <w:i/>
          <w:color w:val="auto"/>
        </w:rPr>
        <w:t>.</w:t>
      </w:r>
      <w:r>
        <w:rPr>
          <w:color w:val="auto"/>
        </w:rPr>
        <w:t xml:space="preserve"> (2002) respectively. This trial showed that the rams </w:t>
      </w:r>
      <w:r>
        <w:rPr>
          <w:i/>
          <w:color w:val="auto"/>
        </w:rPr>
        <w:t xml:space="preserve">M. </w:t>
      </w:r>
      <w:proofErr w:type="spellStart"/>
      <w:r>
        <w:rPr>
          <w:i/>
          <w:color w:val="auto"/>
        </w:rPr>
        <w:t>balsamina</w:t>
      </w:r>
      <w:proofErr w:type="spellEnd"/>
      <w:r>
        <w:rPr>
          <w:color w:val="auto"/>
        </w:rPr>
        <w:t xml:space="preserve"> were healthy because decrease in number of WBC below the normal range is an indication of allergic conditions, while elevated values (leucocytosis) indicate the existence of a recent infection, usually with bacteria (Ahamefule </w:t>
      </w:r>
      <w:r>
        <w:rPr>
          <w:i/>
          <w:iCs/>
          <w:color w:val="auto"/>
          <w:lang w:val="en-US"/>
        </w:rPr>
        <w:t>et al</w:t>
      </w:r>
      <w:r>
        <w:rPr>
          <w:i/>
          <w:iCs/>
          <w:color w:val="auto"/>
        </w:rPr>
        <w:t xml:space="preserve">., </w:t>
      </w:r>
      <w:r>
        <w:rPr>
          <w:color w:val="auto"/>
        </w:rPr>
        <w:t xml:space="preserve">2008). </w:t>
      </w:r>
    </w:p>
    <w:p w14:paraId="3DAE9CC3" w14:textId="77777777" w:rsidR="002D2CFE" w:rsidRDefault="002D2CFE" w:rsidP="004B249C">
      <w:pPr>
        <w:pStyle w:val="Default"/>
        <w:jc w:val="both"/>
        <w:rPr>
          <w:color w:val="auto"/>
        </w:rPr>
      </w:pPr>
      <w:r>
        <w:rPr>
          <w:color w:val="auto"/>
        </w:rPr>
        <w:t xml:space="preserve">The lymphocytes and monocyte recorded in the study are comparably similar with the normal range observed by Elmhurst </w:t>
      </w:r>
      <w:r>
        <w:rPr>
          <w:i/>
          <w:iCs/>
          <w:color w:val="auto"/>
          <w:lang w:val="en-US"/>
        </w:rPr>
        <w:t>et al</w:t>
      </w:r>
      <w:r>
        <w:rPr>
          <w:i/>
          <w:iCs/>
          <w:color w:val="auto"/>
        </w:rPr>
        <w:t>.</w:t>
      </w:r>
      <w:r>
        <w:rPr>
          <w:color w:val="auto"/>
        </w:rPr>
        <w:t xml:space="preserve"> (2002). The significant variations in the WBC differentials </w:t>
      </w:r>
      <w:r>
        <w:rPr>
          <w:color w:val="auto"/>
        </w:rPr>
        <w:lastRenderedPageBreak/>
        <w:t xml:space="preserve">values recorded in this study could be compared with the report of </w:t>
      </w:r>
      <w:proofErr w:type="spellStart"/>
      <w:r>
        <w:rPr>
          <w:color w:val="auto"/>
        </w:rPr>
        <w:t>Aljameel</w:t>
      </w:r>
      <w:proofErr w:type="spellEnd"/>
      <w:r>
        <w:rPr>
          <w:color w:val="auto"/>
        </w:rPr>
        <w:t xml:space="preserve"> (2016). Therefore, the differential count values obtained showed that the animals were in good health. The MCV, MCH and study were within the normal reference range with the report of Elmhurst </w:t>
      </w:r>
      <w:r>
        <w:rPr>
          <w:i/>
          <w:iCs/>
          <w:color w:val="auto"/>
          <w:lang w:val="en-US"/>
        </w:rPr>
        <w:t>et al</w:t>
      </w:r>
      <w:r>
        <w:rPr>
          <w:i/>
          <w:iCs/>
          <w:color w:val="auto"/>
        </w:rPr>
        <w:t>.</w:t>
      </w:r>
      <w:r>
        <w:rPr>
          <w:color w:val="auto"/>
        </w:rPr>
        <w:t xml:space="preserve"> (2002), respectively the findings were also comparable to those obtained by </w:t>
      </w:r>
      <w:proofErr w:type="spellStart"/>
      <w:r>
        <w:rPr>
          <w:color w:val="auto"/>
        </w:rPr>
        <w:t>Aljameel</w:t>
      </w:r>
      <w:proofErr w:type="spellEnd"/>
      <w:r>
        <w:rPr>
          <w:color w:val="auto"/>
        </w:rPr>
        <w:t xml:space="preserve"> (2016). These parameters were used to measure the size and </w:t>
      </w:r>
      <w:proofErr w:type="spellStart"/>
      <w:r>
        <w:rPr>
          <w:color w:val="auto"/>
        </w:rPr>
        <w:t>hemoglobin</w:t>
      </w:r>
      <w:proofErr w:type="spellEnd"/>
      <w:r>
        <w:rPr>
          <w:color w:val="auto"/>
        </w:rPr>
        <w:t xml:space="preserve"> content of erythrocytes and the values are useful in diagnosing various forms of </w:t>
      </w:r>
      <w:proofErr w:type="spellStart"/>
      <w:r>
        <w:rPr>
          <w:color w:val="auto"/>
        </w:rPr>
        <w:t>anemia</w:t>
      </w:r>
      <w:proofErr w:type="spellEnd"/>
      <w:r>
        <w:rPr>
          <w:color w:val="auto"/>
        </w:rPr>
        <w:t>. The higher MCH and MCV values may be due to age (Egbe-</w:t>
      </w:r>
      <w:proofErr w:type="spellStart"/>
      <w:r>
        <w:rPr>
          <w:color w:val="auto"/>
        </w:rPr>
        <w:t>Nwiyi</w:t>
      </w:r>
      <w:proofErr w:type="spellEnd"/>
      <w:r>
        <w:rPr>
          <w:color w:val="auto"/>
        </w:rPr>
        <w:t xml:space="preserve">, 2000). The values of MCV and MCH are very important in the diagnosis of </w:t>
      </w:r>
      <w:proofErr w:type="spellStart"/>
      <w:r>
        <w:rPr>
          <w:color w:val="auto"/>
        </w:rPr>
        <w:t>anemia</w:t>
      </w:r>
      <w:proofErr w:type="spellEnd"/>
      <w:r>
        <w:rPr>
          <w:color w:val="auto"/>
        </w:rPr>
        <w:t xml:space="preserve"> and also serve a useful index of the capacity of the bone marrow to produce red blood cells. </w:t>
      </w:r>
    </w:p>
    <w:p w14:paraId="743D40EC" w14:textId="0B21CC68" w:rsidR="002D2CFE" w:rsidRDefault="002D2CFE" w:rsidP="004B24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HDL and LDL obtained in the present study are higher than the those obtained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"Garba", "given" : "Y.", "non-dropping-particle" : "", "parse-names" : false, "suffix" : "" } ], "id" : "ITEM-1", "issued" : { "date-parts" : [ [ "2014" ] ] }, "number-of-pages" : "39", "publisher" : "Bayero University Kano", "title" : "post-partum performance of small ruminants fed native browses in semi-arid, Nigeria", "type" : "thesis" }, "uris" : [ "http://www.mendeley.com/documents/?uuid=6672dcdb-cc8e-44c2-bb02-7b257c1a4e0b" ] } ], "mendeley" : { "formattedCitation" : "(Garba, 2014)", "manualFormatting" : "Garba (2014)", "plainTextFormattedCitation" : "(Garba, 2014)", "previouslyFormattedCitation" : "(Garba, 2014)"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Garba  and Abubakar (2012)</w:t>
      </w:r>
      <w:r>
        <w:rPr>
          <w:rFonts w:ascii="Times New Roman" w:hAnsi="Times New Roman"/>
          <w:sz w:val="24"/>
          <w:szCs w:val="24"/>
        </w:rPr>
        <w:fldChar w:fldCharType="end"/>
      </w:r>
      <w:r>
        <w:rPr>
          <w:rFonts w:ascii="Times New Roman" w:hAnsi="Times New Roman"/>
          <w:sz w:val="24"/>
          <w:szCs w:val="24"/>
        </w:rPr>
        <w:t xml:space="preserve"> but were within the range reported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"Antunovic", "given" : "Z.", "non-dropping-particle" : "", "parse-names" : false, "suffix" : "" }, { "dropping-particle" : "", "family" : "Spernda", "given" : "M.", "non-dropping-particle" : "", "parse-names" : false, "suffix" : "" }, { "dropping-particle" : "", "family" : "Sencic", "given" : "D.", "non-dropping-particle" : "", "parse-names" : false, "suffix" : "" }, { "dropping-particle" : "", "family" : "Novoselec", "given" : "J.", "non-dropping-particle" : "", "parse-names" : false, "suffix" : "" }, { "dropping-particle" : "", "family" : "Steiner", "given" : "Z.", "non-dropping-particle" : "", "parse-names" : false, "suffix" : "" }, { "dropping-particle" : "", "family" : "Djidara", "given" : "M.", "non-dropping-particle" : "", "parse-names" : false, "suffix" : "" } ], "container-title" : "Macedonian Journal of Animal Science", "id" : "ITEM-1", "issue" : "2", "issued" : { "date-parts" : [ [ "2012" ] ] }, "page" : "11-15", "title" : "Influence of age on some blood parameters of lambs in organic production", "type" : "article-journal", "volume" : "1" }, "uris" : [ "http://www.mendeley.com/documents/?uuid=e86fa39e-95a8-4d34-8213-6ffa8be80dee" ] } ], "mendeley" : { "formattedCitation" : "(Antunovic et al., 2012)", "manualFormatting" : "Antunovic et al. (2012)", "plainTextFormattedCitation" : "(Antunovic et al., 2012)", "previouslyFormattedCitation" : "(Antunovic et al., 2012)"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Antunovic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sz w:val="24"/>
          <w:szCs w:val="24"/>
        </w:rPr>
        <w:fldChar w:fldCharType="end"/>
      </w:r>
      <w:r>
        <w:rPr>
          <w:rFonts w:ascii="Times New Roman" w:hAnsi="Times New Roman"/>
          <w:sz w:val="24"/>
          <w:szCs w:val="24"/>
        </w:rPr>
        <w:t xml:space="preserve">. The urea, Albumin, Globulin, total protein and creatinine were within the normal reference values as reported by Duncan </w:t>
      </w:r>
      <w:r>
        <w:rPr>
          <w:rFonts w:ascii="Times New Roman" w:hAnsi="Times New Roman"/>
          <w:i/>
          <w:sz w:val="24"/>
          <w:szCs w:val="24"/>
        </w:rPr>
        <w:t>et al.</w:t>
      </w:r>
      <w:r>
        <w:rPr>
          <w:rFonts w:ascii="Times New Roman" w:hAnsi="Times New Roman"/>
          <w:sz w:val="24"/>
          <w:szCs w:val="24"/>
        </w:rPr>
        <w:t xml:space="preserve"> (1994) and Khan and Scott (2012). The cholesterol levels of treatment 1 and 3 falls below the normal reference range, low cholesterol is </w:t>
      </w:r>
      <w:proofErr w:type="spellStart"/>
      <w:r>
        <w:rPr>
          <w:rFonts w:ascii="Times New Roman" w:hAnsi="Times New Roman"/>
          <w:sz w:val="24"/>
          <w:szCs w:val="24"/>
        </w:rPr>
        <w:t>recognised</w:t>
      </w:r>
      <w:proofErr w:type="spellEnd"/>
      <w:r>
        <w:rPr>
          <w:rFonts w:ascii="Times New Roman" w:hAnsi="Times New Roman"/>
          <w:sz w:val="24"/>
          <w:szCs w:val="24"/>
        </w:rPr>
        <w:t xml:space="preserve"> inherent deficiencies, intestinal mal-absorption/mal-digestion of lipo-protein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"Waziri", "given" : "A. M.", "non-dropping-particle" : "", "parse-names" : false, "suffix" : "" }, { "dropping-particle" : "", "family" : "Ribadu", "given" : "A. Y.", "non-dropping-particle" : "", "parse-names" : false, "suffix" : "" }, { "dropping-particle" : "", "family" : "Sivachevian", "given" : "N", "non-dropping-particle" : "", "parse-names" : false, "suffix" : "" } ], "container-title" : "Veterinary Archiver", "id" : "ITEM-1", "issue" : "2", "issued" : { "date-parts" : [ [ "2010" ] ] }, "page" : "215-224", "title" : "Changes in teh serum proteins, haematological and some serum biochemical profiles in the gestation profiles in the sahel goats", "type" : "article-journal", "volume" : "80" }, "uris" : [ "http://www.mendeley.com/documents/?uuid=812c4198-99a4-4d36-bbf3-db864ff09681" ] } ], "mendeley" : { "formattedCitation" : "(Waziri et al., 2010)", "plainTextFormattedCitation" : "(Waziri et al., 2010)", "previouslyFormattedCitation" : "(Waziri et al.,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(Waziri </w:t>
      </w:r>
      <w:r>
        <w:rPr>
          <w:rFonts w:ascii="Times New Roman" w:hAnsi="Times New Roman"/>
          <w:i/>
          <w:sz w:val="24"/>
          <w:szCs w:val="24"/>
        </w:rPr>
        <w:t>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xml:space="preserve">.  The urea levels of the ewes being within the normal reference range infers that the work rate of the liver and kidney is normal and the likelihood of the anti-nutritive or the feed being toxic can be discarded thus the test material could be termed safe for sheep. </w:t>
      </w:r>
      <w:r w:rsidR="000C473D">
        <w:rPr>
          <w:rFonts w:ascii="Times New Roman" w:hAnsi="Times New Roman"/>
          <w:sz w:val="24"/>
          <w:szCs w:val="24"/>
        </w:rPr>
        <w:t>Also,</w:t>
      </w:r>
      <w:r>
        <w:rPr>
          <w:rFonts w:ascii="Times New Roman" w:hAnsi="Times New Roman"/>
          <w:sz w:val="24"/>
          <w:szCs w:val="24"/>
        </w:rPr>
        <w:t xml:space="preserve"> total protein being within the normal reference range is an indication that protein synthesis is adequate (Garba &amp; Abubakar, 2012). The creatinine values were within the normal reference range although not on the higher side. This could  be attributed to the fact that the experimental animals are in growing stage because creatinine concentration tend to increase progressively with age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"Myer", "given" : "D. J.", "non-dropping-particle" : "", "parse-names" : false, "suffix" : "" }, { "dropping-particle" : "", "family" : "Enrich", "given" : "D. J.", "non-dropping-particle" : "", "parse-names" : false, "suffix" : "" } ], "id" : "ITEM-1", "issued" : { "date-parts" : [ [ "1992" ] ] }, "publisher" : "WB Saunders co., USA", "publisher-place" : "Philadelpia", "title" : "Veterinary laboratory medicine interpratation and diagnosis", "type" : "book" }, "uris" : [ "http://www.mendeley.com/documents/?uuid=98fde11c-226a-4f8c-9897-5765fd832de8" ] } ], "mendeley" : { "formattedCitation" : "(Myer &amp; Enrich, 1992)", "manualFormatting" : "(Myer and Enrich, 1992)", "plainTextFormattedCitation" : "(Myer &amp; Enrich, 1992)", "previouslyFormattedCitation" : "(Myer &amp; Enrich, 1992)"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(Myer &amp; Enrich, 1992)</w:t>
      </w:r>
      <w:r>
        <w:rPr>
          <w:rFonts w:ascii="Times New Roman" w:hAnsi="Times New Roman"/>
          <w:sz w:val="24"/>
          <w:szCs w:val="24"/>
        </w:rPr>
        <w:fldChar w:fldCharType="end"/>
      </w:r>
      <w:r>
        <w:rPr>
          <w:rFonts w:ascii="Times New Roman" w:hAnsi="Times New Roman"/>
          <w:sz w:val="24"/>
          <w:szCs w:val="24"/>
        </w:rPr>
        <w:t>.</w:t>
      </w:r>
    </w:p>
    <w:p w14:paraId="6449E48E" w14:textId="77777777" w:rsidR="002D2CFE" w:rsidRDefault="002D2CFE" w:rsidP="004B249C">
      <w:pPr>
        <w:pStyle w:val="Default"/>
        <w:jc w:val="both"/>
        <w:rPr>
          <w:color w:val="auto"/>
          <w:lang w:val="en-US"/>
        </w:rPr>
      </w:pPr>
      <w:r>
        <w:rPr>
          <w:color w:val="auto"/>
        </w:rPr>
        <w:t xml:space="preserve">Serum biochemical indices of is used to determine the level of heart functions, liver functions and to evaluate protein quality and amino acid requirements in animals as reported by Harper </w:t>
      </w:r>
      <w:r>
        <w:rPr>
          <w:i/>
          <w:iCs/>
          <w:color w:val="auto"/>
          <w:lang w:val="en-US"/>
        </w:rPr>
        <w:t>et al</w:t>
      </w:r>
      <w:r>
        <w:rPr>
          <w:i/>
          <w:iCs/>
          <w:color w:val="auto"/>
        </w:rPr>
        <w:t>.</w:t>
      </w:r>
      <w:r>
        <w:rPr>
          <w:color w:val="auto"/>
        </w:rPr>
        <w:t xml:space="preserve"> (1999). The values for total protein obtained in this study for ram lambs 5.90-6.38 g/dl were below the normal range reported for normal healthy rams, while the albumin which increases with increasing levels of </w:t>
      </w:r>
      <w:r>
        <w:rPr>
          <w:i/>
          <w:color w:val="auto"/>
        </w:rPr>
        <w:t xml:space="preserve">M. </w:t>
      </w:r>
      <w:proofErr w:type="spellStart"/>
      <w:r>
        <w:rPr>
          <w:i/>
          <w:color w:val="auto"/>
        </w:rPr>
        <w:t>balsamina</w:t>
      </w:r>
      <w:proofErr w:type="spellEnd"/>
      <w:r>
        <w:rPr>
          <w:color w:val="auto"/>
        </w:rPr>
        <w:t xml:space="preserve"> were within the normal reference range in treatment 3 and 4 while slightly below in case of treatment 1 and 2 (Elmhurst </w:t>
      </w:r>
      <w:r>
        <w:rPr>
          <w:i/>
          <w:color w:val="auto"/>
          <w:lang w:val="en-US"/>
        </w:rPr>
        <w:t>et al</w:t>
      </w:r>
      <w:r>
        <w:rPr>
          <w:i/>
          <w:color w:val="auto"/>
        </w:rPr>
        <w:t>.,</w:t>
      </w:r>
      <w:r>
        <w:rPr>
          <w:color w:val="auto"/>
        </w:rPr>
        <w:t xml:space="preserve"> 2002). Serum total protein and albumin of animals are indirect indices to assess the nutritional protein adequacy in farm animals. Alade </w:t>
      </w:r>
      <w:r>
        <w:rPr>
          <w:i/>
          <w:iCs/>
          <w:color w:val="auto"/>
          <w:lang w:val="en-US"/>
        </w:rPr>
        <w:t>et al</w:t>
      </w:r>
      <w:r>
        <w:rPr>
          <w:i/>
          <w:iCs/>
          <w:color w:val="auto"/>
        </w:rPr>
        <w:t xml:space="preserve">. </w:t>
      </w:r>
      <w:r>
        <w:rPr>
          <w:color w:val="auto"/>
        </w:rPr>
        <w:t xml:space="preserve">(2009) reported that total protein and albumin is an important blood clotting factor due to its ability to prevent haemorrhage, therefore the higher the value the better for the animals. The globulin and albumin were also within the normal reference range. </w:t>
      </w:r>
      <w:r>
        <w:rPr>
          <w:color w:val="auto"/>
          <w:lang w:val="en-US"/>
        </w:rPr>
        <w:t xml:space="preserve">The urea values obtained in the present study were; below reference range (8-26 mg/dl) as reported by Babeker </w:t>
      </w:r>
      <w:r>
        <w:rPr>
          <w:lang w:val="en-US"/>
        </w:rPr>
        <w:t>&amp;</w:t>
      </w:r>
      <w:r>
        <w:rPr>
          <w:color w:val="auto"/>
          <w:lang w:val="en-US"/>
        </w:rPr>
        <w:t xml:space="preserve"> </w:t>
      </w:r>
      <w:proofErr w:type="spellStart"/>
      <w:r>
        <w:rPr>
          <w:color w:val="auto"/>
          <w:lang w:val="en-US"/>
        </w:rPr>
        <w:t>Elmansoury</w:t>
      </w:r>
      <w:proofErr w:type="spellEnd"/>
      <w:r>
        <w:rPr>
          <w:color w:val="auto"/>
          <w:lang w:val="en-US"/>
        </w:rPr>
        <w:t xml:space="preserve"> (2013), but within the 4.30–5.60 mg/dl range reported by (</w:t>
      </w:r>
      <w:proofErr w:type="spellStart"/>
      <w:r>
        <w:rPr>
          <w:color w:val="auto"/>
          <w:lang w:val="en-US"/>
        </w:rPr>
        <w:t>Antunovic</w:t>
      </w:r>
      <w:proofErr w:type="spellEnd"/>
      <w:r>
        <w:rPr>
          <w:color w:val="auto"/>
          <w:lang w:val="en-US"/>
        </w:rPr>
        <w:t xml:space="preserve"> </w:t>
      </w:r>
      <w:r>
        <w:rPr>
          <w:i/>
          <w:iCs/>
          <w:color w:val="auto"/>
          <w:lang w:val="en-US"/>
        </w:rPr>
        <w:t xml:space="preserve">et al., </w:t>
      </w:r>
      <w:r>
        <w:rPr>
          <w:color w:val="auto"/>
          <w:lang w:val="en-US"/>
        </w:rPr>
        <w:t xml:space="preserve">2011) for urea concentration as in sheep. Kolo </w:t>
      </w:r>
      <w:r>
        <w:rPr>
          <w:i/>
          <w:iCs/>
          <w:color w:val="auto"/>
          <w:lang w:val="en-US"/>
        </w:rPr>
        <w:t>et al</w:t>
      </w:r>
      <w:r>
        <w:rPr>
          <w:color w:val="auto"/>
          <w:lang w:val="en-US"/>
        </w:rPr>
        <w:t>. (2017) reported that the blood urea levels in the study falls within the recommended limits and this suggests that the kidneys and liver of the animals were normal. The lower value obtained in serum urea for animals might suggest poor or inefficiency in use of nitrogen and urea recycling and might affect the amino acid balance.</w:t>
      </w:r>
    </w:p>
    <w:p w14:paraId="01D20E01" w14:textId="77777777" w:rsidR="002D2CFE" w:rsidRDefault="002D2CFE" w:rsidP="004B249C">
      <w:pPr>
        <w:pStyle w:val="Default"/>
        <w:jc w:val="both"/>
        <w:rPr>
          <w:color w:val="auto"/>
          <w:lang w:val="en-US"/>
        </w:rPr>
      </w:pPr>
      <w:r>
        <w:rPr>
          <w:color w:val="auto"/>
          <w:lang w:val="en-US"/>
        </w:rPr>
        <w:t xml:space="preserve">The creatinine levels obtained in the study were lower than normal range reported by Boyd (1984). High creatinine is pointer to poor protein and amino acid metabolism that can cause impaired renal function and cardiac infarction (Gray </w:t>
      </w:r>
      <w:r>
        <w:rPr>
          <w:lang w:val="en-US"/>
        </w:rPr>
        <w:t>&amp;</w:t>
      </w:r>
      <w:r>
        <w:rPr>
          <w:color w:val="auto"/>
          <w:lang w:val="en-US"/>
        </w:rPr>
        <w:t xml:space="preserve"> Howarth, 1980). The urea levels in conjunction with creatinine levels indicate normal liver.</w:t>
      </w:r>
    </w:p>
    <w:p w14:paraId="05A2083E" w14:textId="2AAB69FB" w:rsidR="002D2CFE" w:rsidRDefault="002D2CFE" w:rsidP="004B249C">
      <w:pPr>
        <w:pStyle w:val="Default"/>
        <w:jc w:val="both"/>
        <w:rPr>
          <w:color w:val="auto"/>
        </w:rPr>
      </w:pPr>
      <w:r>
        <w:rPr>
          <w:color w:val="auto"/>
        </w:rPr>
        <w:t xml:space="preserve">Bilirubin tests measure the amount of the bilirubin in the blood sample and it is considered the true test for the liver function (Singh, 2004). The total bilirubin values in the study were lower with the finding of Elmhurst </w:t>
      </w:r>
      <w:r>
        <w:rPr>
          <w:i/>
          <w:color w:val="auto"/>
          <w:lang w:val="en-US"/>
        </w:rPr>
        <w:t>et al</w:t>
      </w:r>
      <w:r>
        <w:rPr>
          <w:i/>
          <w:color w:val="auto"/>
        </w:rPr>
        <w:t>.</w:t>
      </w:r>
      <w:r>
        <w:rPr>
          <w:color w:val="auto"/>
        </w:rPr>
        <w:t xml:space="preserve"> (2002). The direct bilirubin is within the normal reference range (Elmhurst </w:t>
      </w:r>
      <w:r>
        <w:rPr>
          <w:i/>
          <w:color w:val="auto"/>
          <w:lang w:val="en-US"/>
        </w:rPr>
        <w:t>et al</w:t>
      </w:r>
      <w:r>
        <w:rPr>
          <w:i/>
          <w:color w:val="auto"/>
        </w:rPr>
        <w:t>.,</w:t>
      </w:r>
      <w:r>
        <w:rPr>
          <w:color w:val="auto"/>
        </w:rPr>
        <w:t xml:space="preserve"> 2002). Serum alanine amino transferase (ALT) is lower for all the rams, the values obtained in this study is also lower than values recorded by </w:t>
      </w:r>
      <w:proofErr w:type="spellStart"/>
      <w:r>
        <w:rPr>
          <w:color w:val="auto"/>
        </w:rPr>
        <w:t>Aljameel</w:t>
      </w:r>
      <w:proofErr w:type="spellEnd"/>
      <w:r>
        <w:rPr>
          <w:color w:val="auto"/>
        </w:rPr>
        <w:t xml:space="preserve"> </w:t>
      </w:r>
      <w:r>
        <w:rPr>
          <w:i/>
          <w:color w:val="auto"/>
          <w:lang w:val="en-US"/>
        </w:rPr>
        <w:t>et al</w:t>
      </w:r>
      <w:r>
        <w:rPr>
          <w:i/>
          <w:color w:val="auto"/>
        </w:rPr>
        <w:t>.</w:t>
      </w:r>
      <w:r>
        <w:rPr>
          <w:color w:val="auto"/>
        </w:rPr>
        <w:t xml:space="preserve"> (2017) for Uda rams. AST level is helpful for the diagnosis and following of cases of myocardial </w:t>
      </w:r>
      <w:r>
        <w:rPr>
          <w:color w:val="auto"/>
        </w:rPr>
        <w:lastRenderedPageBreak/>
        <w:t xml:space="preserve">infarction, hepatocellular disease and skeletal muscle disorders, in trauma or in diseases affecting skeletal muscle, after a renal infarct and in various haemolytic conditions. ALT is a liver-specific hepatocellular enzyme that is used to assess liver damage (Mahgoub </w:t>
      </w:r>
      <w:r>
        <w:rPr>
          <w:i/>
          <w:iCs/>
          <w:color w:val="auto"/>
          <w:lang w:val="en-US"/>
        </w:rPr>
        <w:t>et al</w:t>
      </w:r>
      <w:r>
        <w:rPr>
          <w:i/>
          <w:iCs/>
          <w:color w:val="auto"/>
        </w:rPr>
        <w:t>.,</w:t>
      </w:r>
      <w:r>
        <w:rPr>
          <w:color w:val="auto"/>
        </w:rPr>
        <w:t xml:space="preserve"> 2008). High ALP could indicate liver flukes and pyrrolizidine alkaloid toxicity. However, high levels of ALP can be normal in growing animals due growth of bones </w:t>
      </w:r>
      <w:r>
        <w:rPr>
          <w:color w:val="auto"/>
        </w:rPr>
        <w:fldChar w:fldCharType="begin" w:fldLock="1"/>
      </w:r>
      <w:r>
        <w:rPr>
          <w:color w:val="auto"/>
        </w:rPr>
        <w:instrText>ADDIN CSL_CITATION { "citationItems" : [ { "id" : "ITEM-1", "itemData" : { "URL" : "infovets.com/books/smrm/D/D080.htm", "author" : [ { "dropping-particle" : "", "family" : "Infovets", "given" : "", "non-dropping-particle" : "", "parse-names" : false, "suffix" : "" } ], "id" : "ITEM-1", "issued" : { "date-parts" : [ [ "2015" ] ] }, "title" : "ALP reference values", "type" : "webpage" }, "uris" : [ "http://www.mendeley.com/documents/?uuid=54b08f60-0151-43bb-a37e-cc34776f96a6" ] } ], "mendeley" : { "formattedCitation" : "(Infovets, 2015)", "plainTextFormattedCitation" : "(Infovets, 2015)", "previouslyFormattedCitation" : "(Infovets, 2015)" }, "properties" : { "noteIndex" : 0 }, "schema" : "https://github.com/citation-style-language/schema/raw/master/csl-citation.json" }</w:instrText>
      </w:r>
      <w:r>
        <w:rPr>
          <w:color w:val="auto"/>
        </w:rPr>
        <w:fldChar w:fldCharType="separate"/>
      </w:r>
      <w:r>
        <w:rPr>
          <w:color w:val="auto"/>
        </w:rPr>
        <w:t>(Infovets, 2015)</w:t>
      </w:r>
      <w:r>
        <w:rPr>
          <w:color w:val="auto"/>
        </w:rPr>
        <w:fldChar w:fldCharType="end"/>
      </w:r>
      <w:r>
        <w:rPr>
          <w:color w:val="auto"/>
        </w:rPr>
        <w:t xml:space="preserve">. The ALP values being high is an indicative of </w:t>
      </w:r>
      <w:r w:rsidR="000B6C53">
        <w:rPr>
          <w:color w:val="auto"/>
        </w:rPr>
        <w:t>high-quality</w:t>
      </w:r>
      <w:r>
        <w:rPr>
          <w:color w:val="auto"/>
        </w:rPr>
        <w:t xml:space="preserve"> protein in the diet. The bilirubin and AST are within the normal values. This indicate that the animals may not have any liver disorder and the test ingredient as well did not interfere with liver dysfunction.</w:t>
      </w:r>
    </w:p>
    <w:p w14:paraId="31106CBD" w14:textId="3CA5FDE2" w:rsidR="002D2CFE" w:rsidRDefault="002D2CFE" w:rsidP="004B249C">
      <w:pPr>
        <w:spacing w:after="0" w:line="240" w:lineRule="auto"/>
        <w:jc w:val="both"/>
        <w:rPr>
          <w:sz w:val="24"/>
          <w:szCs w:val="24"/>
        </w:rPr>
      </w:pPr>
      <w:r>
        <w:rPr>
          <w:rFonts w:ascii="Times New Roman" w:hAnsi="Times New Roman"/>
          <w:sz w:val="24"/>
          <w:szCs w:val="24"/>
        </w:rPr>
        <w:t xml:space="preserve">The values of serum electrolyte of sodium, potassium and chloride are within the normal range reported by </w:t>
      </w:r>
      <w:proofErr w:type="spellStart"/>
      <w:r>
        <w:rPr>
          <w:rFonts w:ascii="Times New Roman" w:hAnsi="Times New Roman"/>
          <w:sz w:val="24"/>
          <w:szCs w:val="24"/>
        </w:rPr>
        <w:t>Baneejee</w:t>
      </w:r>
      <w:proofErr w:type="spellEnd"/>
      <w:r>
        <w:rPr>
          <w:rFonts w:ascii="Times New Roman" w:hAnsi="Times New Roman"/>
          <w:sz w:val="24"/>
          <w:szCs w:val="24"/>
        </w:rPr>
        <w:t xml:space="preserve"> (2007). The electrolytes are known to regulate osmotic pressure, maintain membrane potentials and acid base balance and transmit nerves impulses sodium and potassium deficiency affect the tubes of kidney resulting in inability to concentrate urine (Latimer </w:t>
      </w:r>
      <w:r>
        <w:rPr>
          <w:rFonts w:ascii="Times New Roman" w:hAnsi="Times New Roman"/>
          <w:i/>
          <w:iCs/>
          <w:sz w:val="24"/>
          <w:szCs w:val="24"/>
        </w:rPr>
        <w:t>et al.,</w:t>
      </w:r>
      <w:r>
        <w:rPr>
          <w:rFonts w:ascii="Times New Roman" w:hAnsi="Times New Roman"/>
          <w:sz w:val="24"/>
          <w:szCs w:val="24"/>
        </w:rPr>
        <w:t xml:space="preserve"> 2004). </w:t>
      </w:r>
    </w:p>
    <w:p w14:paraId="308E6598"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CONCLUSION </w:t>
      </w:r>
    </w:p>
    <w:p w14:paraId="61DC55CD"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Graded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in ram diets up to 7.5% did not adversely affect haematological or serum biochemical health, indicating safe utilization. High inclusion levels improved certain blood parameters, reflecting enhanced metabolic and oxygen-carrying capacity.</w:t>
      </w:r>
      <w:r>
        <w:rPr>
          <w:lang w:val="en-GB"/>
        </w:rPr>
        <w:t xml:space="preserve"> </w:t>
      </w:r>
      <w:r w:rsidRPr="005D5BDA">
        <w:rPr>
          <w:i/>
          <w:iCs/>
          <w:lang w:val="en-GB"/>
        </w:rPr>
        <w:t xml:space="preserve">M. </w:t>
      </w:r>
      <w:proofErr w:type="spellStart"/>
      <w:r w:rsidRPr="005D5BDA">
        <w:rPr>
          <w:i/>
          <w:iCs/>
          <w:lang w:val="en-GB"/>
        </w:rPr>
        <w:t>balsamina</w:t>
      </w:r>
      <w:proofErr w:type="spellEnd"/>
      <w:r w:rsidRPr="005D5BDA">
        <w:rPr>
          <w:lang w:val="en-GB"/>
        </w:rPr>
        <w:t xml:space="preserve"> can be included in ram diets up to 7.5% as a safe and nutritionally beneficial feed additive.</w:t>
      </w:r>
    </w:p>
    <w:p w14:paraId="480C8006" w14:textId="185CD33D" w:rsidR="004E6487" w:rsidRDefault="0095299E" w:rsidP="004B249C">
      <w:pPr>
        <w:spacing w:after="0" w:line="240" w:lineRule="auto"/>
        <w:rPr>
          <w:b/>
          <w:bCs/>
        </w:rPr>
      </w:pPr>
      <w:r w:rsidRPr="0095299E">
        <w:rPr>
          <w:b/>
          <w:bCs/>
        </w:rPr>
        <w:t>References</w:t>
      </w:r>
    </w:p>
    <w:p w14:paraId="06A1F101" w14:textId="6D8AF379" w:rsidR="002C0CDF" w:rsidRPr="007E738F" w:rsidRDefault="007E738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Ahamefule, F. O., </w:t>
      </w:r>
      <w:proofErr w:type="spellStart"/>
      <w:r w:rsidRPr="007E738F">
        <w:rPr>
          <w:rFonts w:ascii="Times New Roman" w:hAnsi="Times New Roman"/>
          <w:sz w:val="24"/>
          <w:szCs w:val="24"/>
        </w:rPr>
        <w:t>Obua</w:t>
      </w:r>
      <w:proofErr w:type="spellEnd"/>
      <w:r w:rsidRPr="007E738F">
        <w:rPr>
          <w:rFonts w:ascii="Times New Roman" w:hAnsi="Times New Roman"/>
          <w:sz w:val="24"/>
          <w:szCs w:val="24"/>
        </w:rPr>
        <w:t xml:space="preserve">, B. E., </w:t>
      </w:r>
      <w:proofErr w:type="spellStart"/>
      <w:r w:rsidRPr="007E738F">
        <w:rPr>
          <w:rFonts w:ascii="Times New Roman" w:hAnsi="Times New Roman"/>
          <w:sz w:val="24"/>
          <w:szCs w:val="24"/>
        </w:rPr>
        <w:t>Ukweni</w:t>
      </w:r>
      <w:proofErr w:type="spellEnd"/>
      <w:r w:rsidRPr="007E738F">
        <w:rPr>
          <w:rFonts w:ascii="Times New Roman" w:hAnsi="Times New Roman"/>
          <w:sz w:val="24"/>
          <w:szCs w:val="24"/>
        </w:rPr>
        <w:t xml:space="preserve">, I. A., </w:t>
      </w:r>
      <w:proofErr w:type="spellStart"/>
      <w:r w:rsidRPr="007E738F">
        <w:rPr>
          <w:rFonts w:ascii="Times New Roman" w:hAnsi="Times New Roman"/>
          <w:sz w:val="24"/>
          <w:szCs w:val="24"/>
        </w:rPr>
        <w:t>Oguike</w:t>
      </w:r>
      <w:proofErr w:type="spellEnd"/>
      <w:r w:rsidRPr="007E738F">
        <w:rPr>
          <w:rFonts w:ascii="Times New Roman" w:hAnsi="Times New Roman"/>
          <w:sz w:val="24"/>
          <w:szCs w:val="24"/>
        </w:rPr>
        <w:t xml:space="preserve">, M. A., &amp; Amaka, R. A. (2008). </w:t>
      </w:r>
      <w:proofErr w:type="spellStart"/>
      <w:r w:rsidRPr="007E738F">
        <w:rPr>
          <w:rFonts w:ascii="Times New Roman" w:hAnsi="Times New Roman"/>
          <w:sz w:val="24"/>
          <w:szCs w:val="24"/>
        </w:rPr>
        <w:t>Haematological</w:t>
      </w:r>
      <w:proofErr w:type="spellEnd"/>
      <w:r w:rsidRPr="007E738F">
        <w:rPr>
          <w:rFonts w:ascii="Times New Roman" w:hAnsi="Times New Roman"/>
          <w:sz w:val="24"/>
          <w:szCs w:val="24"/>
        </w:rPr>
        <w:t xml:space="preserve"> and biochemical profile of weaner rabbits fed raw or processed pigeon pea seed meal based diets. African Journal of Agricultural Research, 3(4), 315-319. </w:t>
      </w:r>
      <w:hyperlink r:id="rId12" w:history="1">
        <w:r w:rsidRPr="005D2F8A">
          <w:rPr>
            <w:rStyle w:val="Hyperlink"/>
            <w:rFonts w:ascii="Times New Roman" w:hAnsi="Times New Roman"/>
            <w:sz w:val="24"/>
            <w:szCs w:val="24"/>
          </w:rPr>
          <w:t>https://doi.org/10.5897/AJAR.9000383</w:t>
        </w:r>
      </w:hyperlink>
      <w:r>
        <w:rPr>
          <w:rFonts w:ascii="Times New Roman" w:hAnsi="Times New Roman"/>
          <w:sz w:val="24"/>
          <w:szCs w:val="24"/>
        </w:rPr>
        <w:t xml:space="preserve"> </w:t>
      </w:r>
    </w:p>
    <w:p w14:paraId="0DA75742"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Alalade</w:t>
      </w:r>
      <w:proofErr w:type="spellEnd"/>
      <w:r w:rsidRPr="007E738F">
        <w:rPr>
          <w:rFonts w:ascii="Times New Roman" w:hAnsi="Times New Roman"/>
          <w:sz w:val="24"/>
          <w:szCs w:val="24"/>
        </w:rPr>
        <w:t>, J.A.,</w:t>
      </w:r>
      <w:proofErr w:type="spellStart"/>
      <w:r w:rsidRPr="007E738F">
        <w:rPr>
          <w:rFonts w:ascii="Times New Roman" w:hAnsi="Times New Roman"/>
          <w:sz w:val="24"/>
          <w:szCs w:val="24"/>
        </w:rPr>
        <w:t>Akinlade</w:t>
      </w:r>
      <w:proofErr w:type="spellEnd"/>
      <w:r w:rsidRPr="007E738F">
        <w:rPr>
          <w:rFonts w:ascii="Times New Roman" w:hAnsi="Times New Roman"/>
          <w:sz w:val="24"/>
          <w:szCs w:val="24"/>
        </w:rPr>
        <w:t xml:space="preserve">, J.A., Akingbade, A.A., Akanbi, W.A., </w:t>
      </w:r>
      <w:proofErr w:type="spellStart"/>
      <w:r w:rsidRPr="007E738F">
        <w:rPr>
          <w:rFonts w:ascii="Times New Roman" w:hAnsi="Times New Roman"/>
          <w:sz w:val="24"/>
          <w:szCs w:val="24"/>
        </w:rPr>
        <w:t>Sodiende</w:t>
      </w:r>
      <w:proofErr w:type="spellEnd"/>
      <w:r w:rsidRPr="007E738F">
        <w:rPr>
          <w:rFonts w:ascii="Times New Roman" w:hAnsi="Times New Roman"/>
          <w:sz w:val="24"/>
          <w:szCs w:val="24"/>
        </w:rPr>
        <w:t xml:space="preserve">, F.G., Aderinola, A.O. Amao, S.R., Akinwumi, A.O. &amp; </w:t>
      </w:r>
      <w:proofErr w:type="spellStart"/>
      <w:r w:rsidRPr="007E738F">
        <w:rPr>
          <w:rFonts w:ascii="Times New Roman" w:hAnsi="Times New Roman"/>
          <w:sz w:val="24"/>
          <w:szCs w:val="24"/>
        </w:rPr>
        <w:t>Okunlola</w:t>
      </w:r>
      <w:proofErr w:type="spellEnd"/>
      <w:r w:rsidRPr="007E738F">
        <w:rPr>
          <w:rFonts w:ascii="Times New Roman" w:hAnsi="Times New Roman"/>
          <w:sz w:val="24"/>
          <w:szCs w:val="24"/>
        </w:rPr>
        <w:t xml:space="preserve">, D.O. (2009). Influence of </w:t>
      </w:r>
      <w:proofErr w:type="spellStart"/>
      <w:r w:rsidRPr="007E738F">
        <w:rPr>
          <w:rFonts w:ascii="Times New Roman" w:hAnsi="Times New Roman"/>
          <w:sz w:val="24"/>
          <w:szCs w:val="24"/>
        </w:rPr>
        <w:t>legumeintercropping</w:t>
      </w:r>
      <w:proofErr w:type="spellEnd"/>
      <w:r w:rsidRPr="007E738F">
        <w:rPr>
          <w:rFonts w:ascii="Times New Roman" w:hAnsi="Times New Roman"/>
          <w:sz w:val="24"/>
          <w:szCs w:val="24"/>
        </w:rPr>
        <w:t xml:space="preserve"> of maize on the Stover composition and utilization by West African Dwarf Sheep. Proceedings of 14thAnnual Conference of Animal Science Association of Nigeria (ASAN), September, 14-17th2009, LAUTECH, Ogbomosho Nigeria. Pp.657-659.</w:t>
      </w:r>
    </w:p>
    <w:p w14:paraId="67CB32AD"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Aljameel</w:t>
      </w:r>
      <w:proofErr w:type="spellEnd"/>
      <w:r w:rsidRPr="007E738F">
        <w:rPr>
          <w:rFonts w:ascii="Times New Roman" w:hAnsi="Times New Roman"/>
          <w:sz w:val="24"/>
          <w:szCs w:val="24"/>
        </w:rPr>
        <w:t xml:space="preserve">, K. M. (2016). Effect of </w:t>
      </w:r>
      <w:r w:rsidRPr="007E738F">
        <w:rPr>
          <w:rFonts w:ascii="Times New Roman" w:hAnsi="Times New Roman"/>
          <w:i/>
          <w:sz w:val="24"/>
          <w:szCs w:val="24"/>
        </w:rPr>
        <w:t xml:space="preserve">Parkia </w:t>
      </w:r>
      <w:proofErr w:type="spellStart"/>
      <w:r w:rsidRPr="007E738F">
        <w:rPr>
          <w:rFonts w:ascii="Times New Roman" w:hAnsi="Times New Roman"/>
          <w:i/>
          <w:sz w:val="24"/>
          <w:szCs w:val="24"/>
        </w:rPr>
        <w:t>biglobosa</w:t>
      </w:r>
      <w:proofErr w:type="spellEnd"/>
      <w:r w:rsidRPr="007E738F">
        <w:rPr>
          <w:rFonts w:ascii="Times New Roman" w:hAnsi="Times New Roman"/>
          <w:sz w:val="24"/>
          <w:szCs w:val="24"/>
        </w:rPr>
        <w:t xml:space="preserve"> (jack) Benth. (African locust beans) fruit pulp on performance and physiological parameters of Uda rams (MSc Dissertation) submitted to the Department of Animal Science, Faculty of Agriculture, </w:t>
      </w:r>
      <w:proofErr w:type="spellStart"/>
      <w:r w:rsidRPr="007E738F">
        <w:rPr>
          <w:rFonts w:ascii="Times New Roman" w:hAnsi="Times New Roman"/>
          <w:sz w:val="24"/>
          <w:szCs w:val="24"/>
        </w:rPr>
        <w:t>Usmanu</w:t>
      </w:r>
      <w:proofErr w:type="spellEnd"/>
      <w:r w:rsidRPr="007E738F">
        <w:rPr>
          <w:rFonts w:ascii="Times New Roman" w:hAnsi="Times New Roman"/>
          <w:sz w:val="24"/>
          <w:szCs w:val="24"/>
        </w:rPr>
        <w:t xml:space="preserve"> </w:t>
      </w:r>
      <w:proofErr w:type="spellStart"/>
      <w:r w:rsidRPr="007E738F">
        <w:rPr>
          <w:rFonts w:ascii="Times New Roman" w:hAnsi="Times New Roman"/>
          <w:sz w:val="24"/>
          <w:szCs w:val="24"/>
        </w:rPr>
        <w:t>Danfodiyo</w:t>
      </w:r>
      <w:proofErr w:type="spellEnd"/>
      <w:r w:rsidRPr="007E738F">
        <w:rPr>
          <w:rFonts w:ascii="Times New Roman" w:hAnsi="Times New Roman"/>
          <w:sz w:val="24"/>
          <w:szCs w:val="24"/>
        </w:rPr>
        <w:t xml:space="preserve"> University, Sokoto. Pp145. </w:t>
      </w:r>
    </w:p>
    <w:p w14:paraId="7963FD6C" w14:textId="5EDB017E" w:rsidR="002C0CDF" w:rsidRPr="007E738F" w:rsidRDefault="00B179A4" w:rsidP="00B179A4">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B179A4">
        <w:rPr>
          <w:rFonts w:ascii="Times New Roman" w:hAnsi="Times New Roman"/>
          <w:sz w:val="24"/>
          <w:szCs w:val="24"/>
        </w:rPr>
        <w:t>Aljameel</w:t>
      </w:r>
      <w:proofErr w:type="spellEnd"/>
      <w:r w:rsidRPr="00B179A4">
        <w:rPr>
          <w:rFonts w:ascii="Times New Roman" w:hAnsi="Times New Roman"/>
          <w:sz w:val="24"/>
          <w:szCs w:val="24"/>
        </w:rPr>
        <w:t xml:space="preserve">, K. M., Muhammad, N., &amp; Abdulkarim, A. (2017). Serum chemistry of Uda rams fed graded levels of Parkia </w:t>
      </w:r>
      <w:proofErr w:type="spellStart"/>
      <w:r w:rsidRPr="00B179A4">
        <w:rPr>
          <w:rFonts w:ascii="Times New Roman" w:hAnsi="Times New Roman"/>
          <w:sz w:val="24"/>
          <w:szCs w:val="24"/>
        </w:rPr>
        <w:t>biglobosa</w:t>
      </w:r>
      <w:proofErr w:type="spellEnd"/>
      <w:r w:rsidRPr="00B179A4">
        <w:rPr>
          <w:rFonts w:ascii="Times New Roman" w:hAnsi="Times New Roman"/>
          <w:sz w:val="24"/>
          <w:szCs w:val="24"/>
        </w:rPr>
        <w:t xml:space="preserve"> (African Locust Bean) Fruit Pulp. Current Trends in Biomedical Engineering &amp; Biosciences. </w:t>
      </w:r>
      <w:hyperlink r:id="rId13" w:history="1">
        <w:r w:rsidRPr="005D2F8A">
          <w:rPr>
            <w:rStyle w:val="Hyperlink"/>
            <w:rFonts w:ascii="Times New Roman" w:hAnsi="Times New Roman"/>
            <w:sz w:val="24"/>
            <w:szCs w:val="24"/>
          </w:rPr>
          <w:t>https://doi.org/10.19080/CTBEB.2017.06.555681</w:t>
        </w:r>
      </w:hyperlink>
      <w:r>
        <w:rPr>
          <w:rFonts w:ascii="Times New Roman" w:hAnsi="Times New Roman"/>
          <w:sz w:val="24"/>
          <w:szCs w:val="24"/>
        </w:rPr>
        <w:t xml:space="preserve"> </w:t>
      </w:r>
    </w:p>
    <w:p w14:paraId="0BFE0BA1" w14:textId="2E2A5382" w:rsidR="002C0CDF" w:rsidRPr="007E738F" w:rsidRDefault="003432A4" w:rsidP="003432A4">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432A4">
        <w:rPr>
          <w:rFonts w:ascii="Times New Roman" w:hAnsi="Times New Roman"/>
          <w:sz w:val="24"/>
          <w:szCs w:val="24"/>
        </w:rPr>
        <w:t xml:space="preserve">Antunović, Z., </w:t>
      </w:r>
      <w:proofErr w:type="spellStart"/>
      <w:r w:rsidRPr="003432A4">
        <w:rPr>
          <w:rFonts w:ascii="Times New Roman" w:hAnsi="Times New Roman"/>
          <w:sz w:val="24"/>
          <w:szCs w:val="24"/>
        </w:rPr>
        <w:t>Šperanda</w:t>
      </w:r>
      <w:proofErr w:type="spellEnd"/>
      <w:r w:rsidRPr="003432A4">
        <w:rPr>
          <w:rFonts w:ascii="Times New Roman" w:hAnsi="Times New Roman"/>
          <w:sz w:val="24"/>
          <w:szCs w:val="24"/>
        </w:rPr>
        <w:t xml:space="preserve">, M., Senčić, Đ., Novoselec, J., Steiner, Z., &amp; </w:t>
      </w:r>
      <w:proofErr w:type="spellStart"/>
      <w:r w:rsidRPr="003432A4">
        <w:rPr>
          <w:rFonts w:ascii="Times New Roman" w:hAnsi="Times New Roman"/>
          <w:sz w:val="24"/>
          <w:szCs w:val="24"/>
        </w:rPr>
        <w:t>Djidara</w:t>
      </w:r>
      <w:proofErr w:type="spellEnd"/>
      <w:r w:rsidRPr="003432A4">
        <w:rPr>
          <w:rFonts w:ascii="Times New Roman" w:hAnsi="Times New Roman"/>
          <w:sz w:val="24"/>
          <w:szCs w:val="24"/>
        </w:rPr>
        <w:t xml:space="preserve">, M. (2012). Influence of age on some blood parameters of lambs in organic production. Macedonian Journal of Animal Science, 1(2), 11–15. </w:t>
      </w:r>
      <w:hyperlink r:id="rId14" w:history="1">
        <w:r w:rsidRPr="005D2F8A">
          <w:rPr>
            <w:rStyle w:val="Hyperlink"/>
            <w:rFonts w:ascii="Times New Roman" w:hAnsi="Times New Roman"/>
            <w:sz w:val="24"/>
            <w:szCs w:val="24"/>
          </w:rPr>
          <w:t>https://doi.org/10.54865/mjas1221011a</w:t>
        </w:r>
      </w:hyperlink>
      <w:r>
        <w:rPr>
          <w:rFonts w:ascii="Times New Roman" w:hAnsi="Times New Roman"/>
          <w:sz w:val="24"/>
          <w:szCs w:val="24"/>
        </w:rPr>
        <w:t xml:space="preserve"> </w:t>
      </w:r>
    </w:p>
    <w:p w14:paraId="2C10C87A"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7E738F">
        <w:rPr>
          <w:rFonts w:ascii="Times New Roman" w:hAnsi="Times New Roman"/>
          <w:color w:val="000000" w:themeColor="text1"/>
          <w:sz w:val="24"/>
          <w:szCs w:val="24"/>
        </w:rPr>
        <w:t>Baker F. J. and Silverton R. E. (1985). Introduction to Medical Laboratory Technology, 6th Ed. Butterworths London. Pp 320 – 330.</w:t>
      </w:r>
    </w:p>
    <w:p w14:paraId="1AE7B183" w14:textId="481A3C7C" w:rsidR="002C0CDF" w:rsidRPr="007E738F" w:rsidRDefault="002060C8" w:rsidP="002060C8">
      <w:pPr>
        <w:pStyle w:val="ListParagraph"/>
        <w:numPr>
          <w:ilvl w:val="0"/>
          <w:numId w:val="5"/>
        </w:numPr>
        <w:autoSpaceDE w:val="0"/>
        <w:autoSpaceDN w:val="0"/>
        <w:adjustRightInd w:val="0"/>
        <w:spacing w:after="0" w:line="240" w:lineRule="auto"/>
        <w:jc w:val="both"/>
        <w:rPr>
          <w:rFonts w:ascii="Times New Roman" w:hAnsi="Times New Roman"/>
          <w:noProof/>
          <w:color w:val="000000" w:themeColor="text1"/>
          <w:sz w:val="24"/>
          <w:szCs w:val="24"/>
        </w:rPr>
      </w:pPr>
      <w:r w:rsidRPr="002060C8">
        <w:rPr>
          <w:rFonts w:ascii="Times New Roman" w:hAnsi="Times New Roman"/>
          <w:noProof/>
          <w:color w:val="000000" w:themeColor="text1"/>
          <w:sz w:val="24"/>
          <w:szCs w:val="24"/>
        </w:rPr>
        <w:t>Baker, F. J., &amp; Silverton, R. E. (1976). Introduction to medical laboratory technology (5th ed.). Butterworth &amp; Co (Publishers) Ltd.</w:t>
      </w:r>
      <w:r>
        <w:rPr>
          <w:rFonts w:ascii="Times New Roman" w:hAnsi="Times New Roman"/>
          <w:noProof/>
          <w:color w:val="000000" w:themeColor="text1"/>
          <w:sz w:val="24"/>
          <w:szCs w:val="24"/>
        </w:rPr>
        <w:t xml:space="preserve"> </w:t>
      </w:r>
    </w:p>
    <w:p w14:paraId="4591A31D" w14:textId="2C1DAA0F" w:rsidR="002C0CDF" w:rsidRPr="007E738F" w:rsidRDefault="00291CE6" w:rsidP="00291CE6">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291CE6">
        <w:rPr>
          <w:rFonts w:ascii="Times New Roman" w:hAnsi="Times New Roman"/>
          <w:sz w:val="24"/>
          <w:szCs w:val="24"/>
        </w:rPr>
        <w:t xml:space="preserve">Boyd, J. W. (1984). The interpretation of serum biochemistry test results in domestic animals. Veterinary Clinical Pathology, 13(2), 7-14. </w:t>
      </w:r>
      <w:hyperlink r:id="rId15" w:history="1">
        <w:r w:rsidRPr="005D2F8A">
          <w:rPr>
            <w:rStyle w:val="Hyperlink"/>
            <w:rFonts w:ascii="Times New Roman" w:hAnsi="Times New Roman"/>
            <w:sz w:val="24"/>
            <w:szCs w:val="24"/>
          </w:rPr>
          <w:t>https://doi.org/10.1111/j.1939-165x.1984.tb00833.x</w:t>
        </w:r>
      </w:hyperlink>
      <w:r>
        <w:rPr>
          <w:rFonts w:ascii="Times New Roman" w:hAnsi="Times New Roman"/>
          <w:sz w:val="24"/>
          <w:szCs w:val="24"/>
        </w:rPr>
        <w:t xml:space="preserve"> </w:t>
      </w:r>
    </w:p>
    <w:p w14:paraId="7F2B7609" w14:textId="77777777" w:rsidR="002C0CDF" w:rsidRPr="007E738F" w:rsidRDefault="002C0CDF" w:rsidP="007E738F">
      <w:pPr>
        <w:pStyle w:val="ListParagraph"/>
        <w:numPr>
          <w:ilvl w:val="0"/>
          <w:numId w:val="5"/>
        </w:numPr>
        <w:spacing w:after="0" w:line="240" w:lineRule="auto"/>
        <w:jc w:val="both"/>
        <w:rPr>
          <w:rFonts w:ascii="Times New Roman" w:hAnsi="Times New Roman"/>
          <w:sz w:val="24"/>
          <w:szCs w:val="24"/>
        </w:rPr>
      </w:pPr>
      <w:r w:rsidRPr="007E738F">
        <w:rPr>
          <w:rFonts w:ascii="Times New Roman" w:hAnsi="Times New Roman"/>
          <w:sz w:val="24"/>
          <w:szCs w:val="24"/>
        </w:rPr>
        <w:lastRenderedPageBreak/>
        <w:t xml:space="preserve">Bush, B. M. (1991). Interpretation of laboratory results from small animal Clinician. </w:t>
      </w:r>
      <w:r w:rsidRPr="007E738F">
        <w:rPr>
          <w:rFonts w:ascii="Times New Roman" w:hAnsi="Times New Roman"/>
          <w:i/>
          <w:sz w:val="24"/>
          <w:szCs w:val="24"/>
        </w:rPr>
        <w:t>Black well Scientific Publication. U.K. Pp. 32 – 37</w:t>
      </w:r>
      <w:r w:rsidRPr="007E738F">
        <w:rPr>
          <w:rFonts w:ascii="Times New Roman" w:hAnsi="Times New Roman"/>
          <w:sz w:val="24"/>
          <w:szCs w:val="24"/>
        </w:rPr>
        <w:t>.</w:t>
      </w:r>
    </w:p>
    <w:p w14:paraId="415C23B1" w14:textId="349231D3" w:rsidR="002C0CDF" w:rsidRDefault="00912401" w:rsidP="00912401">
      <w:pPr>
        <w:pStyle w:val="Default"/>
        <w:numPr>
          <w:ilvl w:val="0"/>
          <w:numId w:val="5"/>
        </w:numPr>
        <w:jc w:val="both"/>
        <w:rPr>
          <w:rStyle w:val="nowrap"/>
          <w:rFonts w:eastAsiaTheme="majorEastAsia"/>
          <w:color w:val="auto"/>
        </w:rPr>
      </w:pPr>
      <w:r w:rsidRPr="00912401">
        <w:rPr>
          <w:rStyle w:val="element-citation"/>
          <w:rFonts w:eastAsiaTheme="minorEastAsia"/>
          <w:color w:val="auto"/>
        </w:rPr>
        <w:t xml:space="preserve">Cooper, C., Evans, A. C. O., Cook, S., &amp; Rawlings, N. C. (1995). Cortisol, progesterone and β-endorphin response to stress in calves. Canadian Journal of Animal Science, 75(2), 197–201. </w:t>
      </w:r>
      <w:hyperlink r:id="rId16" w:history="1">
        <w:r w:rsidRPr="005D2F8A">
          <w:rPr>
            <w:rStyle w:val="Hyperlink"/>
            <w:rFonts w:eastAsiaTheme="minorEastAsia"/>
          </w:rPr>
          <w:t>https://doi.org/10.4141/cjas95-029</w:t>
        </w:r>
      </w:hyperlink>
      <w:r>
        <w:rPr>
          <w:rStyle w:val="element-citation"/>
          <w:rFonts w:eastAsiaTheme="minorEastAsia"/>
          <w:color w:val="auto"/>
        </w:rPr>
        <w:t xml:space="preserve"> </w:t>
      </w:r>
    </w:p>
    <w:p w14:paraId="06D210DA" w14:textId="0E59C8AC" w:rsidR="002C0CDF" w:rsidRPr="007E738F" w:rsidRDefault="00963B7E" w:rsidP="00963B7E">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963B7E">
        <w:rPr>
          <w:rFonts w:ascii="Times New Roman" w:hAnsi="Times New Roman"/>
          <w:color w:val="000000" w:themeColor="text1"/>
          <w:sz w:val="24"/>
          <w:szCs w:val="24"/>
        </w:rPr>
        <w:t xml:space="preserve">Phillip, D., </w:t>
      </w:r>
      <w:proofErr w:type="spellStart"/>
      <w:r w:rsidRPr="00963B7E">
        <w:rPr>
          <w:rFonts w:ascii="Times New Roman" w:hAnsi="Times New Roman"/>
          <w:color w:val="000000" w:themeColor="text1"/>
          <w:sz w:val="24"/>
          <w:szCs w:val="24"/>
        </w:rPr>
        <w:t>Nkonya</w:t>
      </w:r>
      <w:proofErr w:type="spellEnd"/>
      <w:r w:rsidRPr="00963B7E">
        <w:rPr>
          <w:rFonts w:ascii="Times New Roman" w:hAnsi="Times New Roman"/>
          <w:color w:val="000000" w:themeColor="text1"/>
          <w:sz w:val="24"/>
          <w:szCs w:val="24"/>
        </w:rPr>
        <w:t xml:space="preserve">, E. M., Pender, J. L., &amp; Oni, O. A. (2009). Constraints to increasing agricultural productivity in Nigeria: A review. NSSP working papers 6, International Food Policy Research Institute. </w:t>
      </w:r>
      <w:hyperlink r:id="rId17" w:history="1">
        <w:r w:rsidRPr="005D2F8A">
          <w:rPr>
            <w:rStyle w:val="Hyperlink"/>
            <w:rFonts w:ascii="Times New Roman" w:hAnsi="Times New Roman"/>
            <w:sz w:val="24"/>
            <w:szCs w:val="24"/>
          </w:rPr>
          <w:t>https://hdl.handle.net/10568/162146</w:t>
        </w:r>
      </w:hyperlink>
      <w:r>
        <w:rPr>
          <w:rFonts w:ascii="Times New Roman" w:hAnsi="Times New Roman"/>
          <w:color w:val="000000" w:themeColor="text1"/>
          <w:sz w:val="24"/>
          <w:szCs w:val="24"/>
        </w:rPr>
        <w:t xml:space="preserve"> </w:t>
      </w:r>
    </w:p>
    <w:p w14:paraId="43DD1C9D"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7E738F">
        <w:rPr>
          <w:rFonts w:ascii="Times New Roman" w:hAnsi="Times New Roman"/>
          <w:color w:val="000000" w:themeColor="text1"/>
          <w:sz w:val="24"/>
          <w:szCs w:val="24"/>
        </w:rPr>
        <w:t xml:space="preserve">Duncan, J. R., Prasse, K. W. and Mahaffey, E. A. (1994). </w:t>
      </w:r>
      <w:r w:rsidRPr="007E738F">
        <w:rPr>
          <w:rFonts w:ascii="Times New Roman" w:hAnsi="Times New Roman"/>
          <w:i/>
          <w:color w:val="000000" w:themeColor="text1"/>
          <w:sz w:val="24"/>
          <w:szCs w:val="24"/>
        </w:rPr>
        <w:t>Veterinary laboratory, medicine</w:t>
      </w:r>
      <w:r w:rsidRPr="007E738F">
        <w:rPr>
          <w:rFonts w:ascii="Times New Roman" w:hAnsi="Times New Roman"/>
          <w:color w:val="000000" w:themeColor="text1"/>
          <w:sz w:val="24"/>
          <w:szCs w:val="24"/>
        </w:rPr>
        <w:t xml:space="preserve"> (clinical Pathology). Iowa State University Press: Ames. 94-96pp.  </w:t>
      </w:r>
    </w:p>
    <w:p w14:paraId="149F8D54" w14:textId="2223752E" w:rsidR="002C0CDF" w:rsidRDefault="00C94D33" w:rsidP="00C94D33">
      <w:pPr>
        <w:pStyle w:val="Default"/>
        <w:numPr>
          <w:ilvl w:val="0"/>
          <w:numId w:val="5"/>
        </w:numPr>
        <w:jc w:val="both"/>
        <w:rPr>
          <w:color w:val="auto"/>
        </w:rPr>
      </w:pPr>
      <w:r w:rsidRPr="00C94D33">
        <w:rPr>
          <w:color w:val="auto"/>
        </w:rPr>
        <w:t>Egbe-</w:t>
      </w:r>
      <w:proofErr w:type="spellStart"/>
      <w:r w:rsidRPr="00C94D33">
        <w:rPr>
          <w:color w:val="auto"/>
        </w:rPr>
        <w:t>Nwiyi</w:t>
      </w:r>
      <w:proofErr w:type="spellEnd"/>
      <w:r w:rsidRPr="00C94D33">
        <w:rPr>
          <w:color w:val="auto"/>
        </w:rPr>
        <w:t xml:space="preserve">, T. N., Nwaosu, S. C., &amp; Salami, H. A. (2000). Haematological values of </w:t>
      </w:r>
      <w:proofErr w:type="spellStart"/>
      <w:r w:rsidRPr="00C94D33">
        <w:rPr>
          <w:color w:val="auto"/>
        </w:rPr>
        <w:t>appararently</w:t>
      </w:r>
      <w:proofErr w:type="spellEnd"/>
      <w:r w:rsidRPr="00C94D33">
        <w:rPr>
          <w:color w:val="auto"/>
        </w:rPr>
        <w:t xml:space="preserve"> healthy sheep and goats as influenced by age and sex in arid zone of Nigeria. African Journal of Biomedical Research, 3(2), 109–115. </w:t>
      </w:r>
      <w:hyperlink r:id="rId18" w:history="1">
        <w:r w:rsidRPr="005D2F8A">
          <w:rPr>
            <w:rStyle w:val="Hyperlink"/>
          </w:rPr>
          <w:t>https://www.africanjournalofbiomedicalresearch.com/index.php/ajbr/article/view/109</w:t>
        </w:r>
      </w:hyperlink>
      <w:r>
        <w:rPr>
          <w:color w:val="auto"/>
        </w:rPr>
        <w:t xml:space="preserve"> </w:t>
      </w:r>
      <w:r w:rsidR="002C0CDF">
        <w:rPr>
          <w:color w:val="auto"/>
        </w:rPr>
        <w:t xml:space="preserve"> </w:t>
      </w:r>
    </w:p>
    <w:p w14:paraId="47FD7E45" w14:textId="7980CB7B" w:rsidR="002C0CDF" w:rsidRPr="007E738F" w:rsidRDefault="00BC6D82" w:rsidP="00BC6D82">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C6D82">
        <w:rPr>
          <w:rFonts w:ascii="Times New Roman" w:hAnsi="Times New Roman"/>
          <w:sz w:val="24"/>
          <w:szCs w:val="24"/>
        </w:rPr>
        <w:t xml:space="preserve">Jackson, P. G. G., &amp; Cockcroft, P. D. (2002). Clinical Examination of Farm Animals. Blackwell Science. </w:t>
      </w:r>
      <w:hyperlink r:id="rId19" w:history="1">
        <w:r w:rsidRPr="005D2F8A">
          <w:rPr>
            <w:rStyle w:val="Hyperlink"/>
            <w:rFonts w:ascii="Times New Roman" w:hAnsi="Times New Roman"/>
            <w:sz w:val="24"/>
            <w:szCs w:val="24"/>
          </w:rPr>
          <w:t>https://www.wiley.com/en-us/Clinical+Examination+of+Farm+Animals-p-9780632057061</w:t>
        </w:r>
      </w:hyperlink>
      <w:r>
        <w:rPr>
          <w:rFonts w:ascii="Times New Roman" w:hAnsi="Times New Roman"/>
          <w:sz w:val="24"/>
          <w:szCs w:val="24"/>
        </w:rPr>
        <w:t xml:space="preserve"> </w:t>
      </w:r>
    </w:p>
    <w:p w14:paraId="62E20417"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i/>
          <w:iCs/>
          <w:sz w:val="24"/>
          <w:szCs w:val="24"/>
        </w:rPr>
      </w:pPr>
      <w:proofErr w:type="spellStart"/>
      <w:r w:rsidRPr="007E738F">
        <w:rPr>
          <w:rFonts w:ascii="Times New Roman" w:hAnsi="Times New Roman"/>
          <w:sz w:val="24"/>
          <w:szCs w:val="24"/>
        </w:rPr>
        <w:t>Fajemisin</w:t>
      </w:r>
      <w:proofErr w:type="spellEnd"/>
      <w:r w:rsidRPr="007E738F">
        <w:rPr>
          <w:rFonts w:ascii="Times New Roman" w:hAnsi="Times New Roman"/>
          <w:sz w:val="24"/>
          <w:szCs w:val="24"/>
        </w:rPr>
        <w:t xml:space="preserve">, A.N., </w:t>
      </w:r>
      <w:proofErr w:type="spellStart"/>
      <w:r w:rsidRPr="007E738F">
        <w:rPr>
          <w:rFonts w:ascii="Times New Roman" w:hAnsi="Times New Roman"/>
          <w:sz w:val="24"/>
          <w:szCs w:val="24"/>
        </w:rPr>
        <w:t>Alokan</w:t>
      </w:r>
      <w:proofErr w:type="spellEnd"/>
      <w:r w:rsidRPr="007E738F">
        <w:rPr>
          <w:rFonts w:ascii="Times New Roman" w:hAnsi="Times New Roman"/>
          <w:sz w:val="24"/>
          <w:szCs w:val="24"/>
        </w:rPr>
        <w:t xml:space="preserve">, J.A., Aro, S.O., </w:t>
      </w:r>
      <w:proofErr w:type="spellStart"/>
      <w:r w:rsidRPr="007E738F">
        <w:rPr>
          <w:rFonts w:ascii="Times New Roman" w:hAnsi="Times New Roman"/>
          <w:sz w:val="24"/>
          <w:szCs w:val="24"/>
        </w:rPr>
        <w:t>Alowofeso</w:t>
      </w:r>
      <w:proofErr w:type="spellEnd"/>
      <w:r w:rsidRPr="007E738F">
        <w:rPr>
          <w:rFonts w:ascii="Times New Roman" w:hAnsi="Times New Roman"/>
          <w:sz w:val="24"/>
          <w:szCs w:val="24"/>
        </w:rPr>
        <w:t xml:space="preserve">, O. &amp; </w:t>
      </w:r>
      <w:proofErr w:type="spellStart"/>
      <w:r w:rsidRPr="007E738F">
        <w:rPr>
          <w:rFonts w:ascii="Times New Roman" w:hAnsi="Times New Roman"/>
          <w:sz w:val="24"/>
          <w:szCs w:val="24"/>
        </w:rPr>
        <w:t>Fawolu</w:t>
      </w:r>
      <w:proofErr w:type="spellEnd"/>
      <w:r w:rsidRPr="007E738F">
        <w:rPr>
          <w:rFonts w:ascii="Times New Roman" w:hAnsi="Times New Roman"/>
          <w:sz w:val="24"/>
          <w:szCs w:val="24"/>
        </w:rPr>
        <w:t xml:space="preserve">, T.S. (2010). Nutrient intake, Digestibility and Weight gain of West African Dwarf Sheep Fed Rumen content-Poultry Droppings Mixed Diets. Proc. 33rd Annual Conf. </w:t>
      </w:r>
      <w:r w:rsidRPr="007E738F">
        <w:rPr>
          <w:rFonts w:ascii="Times New Roman" w:hAnsi="Times New Roman"/>
          <w:i/>
          <w:iCs/>
          <w:sz w:val="24"/>
          <w:szCs w:val="24"/>
        </w:rPr>
        <w:t xml:space="preserve">Nigerian Society for Animal Production. Pp.583-586 </w:t>
      </w:r>
    </w:p>
    <w:p w14:paraId="13C3DD32" w14:textId="62E61FC0" w:rsidR="002C0CDF" w:rsidRDefault="009C2C68" w:rsidP="009C2C68">
      <w:pPr>
        <w:pStyle w:val="NormalWeb"/>
        <w:numPr>
          <w:ilvl w:val="0"/>
          <w:numId w:val="5"/>
        </w:numPr>
        <w:spacing w:before="0" w:beforeAutospacing="0" w:after="0" w:afterAutospacing="0"/>
        <w:jc w:val="both"/>
      </w:pPr>
      <w:r w:rsidRPr="009C2C68">
        <w:t xml:space="preserve">Garba, Y., &amp; Abubakar, A.S. (2012). Haematological Response and Blood Chemistry of </w:t>
      </w:r>
      <w:proofErr w:type="spellStart"/>
      <w:r w:rsidRPr="009C2C68">
        <w:t>Yankasa</w:t>
      </w:r>
      <w:proofErr w:type="spellEnd"/>
      <w:r w:rsidRPr="009C2C68">
        <w:t xml:space="preserve"> Rams Fed Graded Levels of Tamarindus indica (Tamarind) Leaves. Nigerian Journal of Basic and Applied Science, 20(1), 44-48. </w:t>
      </w:r>
      <w:hyperlink r:id="rId20" w:history="1">
        <w:r w:rsidRPr="005D2F8A">
          <w:rPr>
            <w:rStyle w:val="Hyperlink"/>
          </w:rPr>
          <w:t>http://www.ajol.info/index.php/njbas/issue/archive</w:t>
        </w:r>
      </w:hyperlink>
      <w:r>
        <w:t xml:space="preserve"> </w:t>
      </w:r>
    </w:p>
    <w:p w14:paraId="5C097DC9" w14:textId="2ED9CA35" w:rsidR="002C0CDF" w:rsidRDefault="0016405B" w:rsidP="0016405B">
      <w:pPr>
        <w:pStyle w:val="NormalWeb"/>
        <w:numPr>
          <w:ilvl w:val="0"/>
          <w:numId w:val="5"/>
        </w:numPr>
        <w:spacing w:before="0" w:beforeAutospacing="0" w:after="0" w:afterAutospacing="0"/>
        <w:jc w:val="both"/>
      </w:pPr>
      <w:r w:rsidRPr="0016405B">
        <w:t xml:space="preserve">Gbore, F. A., Ogunlade, J. T., &amp; </w:t>
      </w:r>
      <w:proofErr w:type="spellStart"/>
      <w:r w:rsidRPr="0016405B">
        <w:t>Ewuola</w:t>
      </w:r>
      <w:proofErr w:type="spellEnd"/>
      <w:r w:rsidRPr="0016405B">
        <w:t xml:space="preserve">, E. O. (2006). Effects of dietary </w:t>
      </w:r>
      <w:proofErr w:type="spellStart"/>
      <w:r w:rsidRPr="0016405B">
        <w:t>fumonisin</w:t>
      </w:r>
      <w:proofErr w:type="spellEnd"/>
      <w:r w:rsidRPr="0016405B">
        <w:t xml:space="preserve"> on organ characteristics and some serum biochemical parameters of bucks. Moor Journal of Agricultural Research, 7(1), 28–34. </w:t>
      </w:r>
      <w:hyperlink r:id="rId21" w:history="1">
        <w:r w:rsidRPr="005D2F8A">
          <w:rPr>
            <w:rStyle w:val="Hyperlink"/>
          </w:rPr>
          <w:t>https://doi.org/10.4314/mjar.v7i1.31837</w:t>
        </w:r>
      </w:hyperlink>
      <w:r>
        <w:t xml:space="preserve"> </w:t>
      </w:r>
    </w:p>
    <w:p w14:paraId="732B71D1" w14:textId="6C9DA298" w:rsidR="002C0CDF" w:rsidRDefault="002565D2" w:rsidP="002565D2">
      <w:pPr>
        <w:pStyle w:val="Default"/>
        <w:numPr>
          <w:ilvl w:val="0"/>
          <w:numId w:val="5"/>
        </w:numPr>
        <w:jc w:val="both"/>
        <w:rPr>
          <w:color w:val="auto"/>
        </w:rPr>
      </w:pPr>
      <w:r w:rsidRPr="002565D2">
        <w:rPr>
          <w:color w:val="auto"/>
        </w:rPr>
        <w:t xml:space="preserve">Hassan, L. G., &amp; Umar, K. J. (2006). Nutritional Value of Balsam Apple (Momordica </w:t>
      </w:r>
      <w:proofErr w:type="spellStart"/>
      <w:r w:rsidRPr="002565D2">
        <w:rPr>
          <w:color w:val="auto"/>
        </w:rPr>
        <w:t>balsamina</w:t>
      </w:r>
      <w:proofErr w:type="spellEnd"/>
      <w:r w:rsidRPr="002565D2">
        <w:rPr>
          <w:color w:val="auto"/>
        </w:rPr>
        <w:t xml:space="preserve"> L.) Leaves. Pakistan Journal of Nutrition, 5, 522-529. </w:t>
      </w:r>
      <w:hyperlink r:id="rId22" w:history="1">
        <w:r w:rsidRPr="005D2F8A">
          <w:rPr>
            <w:rStyle w:val="Hyperlink"/>
          </w:rPr>
          <w:t>https://doi.org/10.3923/pjn.2006.522.529</w:t>
        </w:r>
      </w:hyperlink>
      <w:r>
        <w:rPr>
          <w:color w:val="auto"/>
        </w:rPr>
        <w:t xml:space="preserve"> </w:t>
      </w:r>
    </w:p>
    <w:p w14:paraId="64BA4B0C"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Heath, E. &amp; Olusanya, S. (1988). </w:t>
      </w:r>
      <w:r w:rsidRPr="007E738F">
        <w:rPr>
          <w:rFonts w:ascii="Times New Roman" w:hAnsi="Times New Roman"/>
          <w:iCs/>
          <w:sz w:val="24"/>
          <w:szCs w:val="24"/>
        </w:rPr>
        <w:t>Anatomy and Physiology of Tropical Livestock</w:t>
      </w:r>
      <w:r w:rsidRPr="007E738F">
        <w:rPr>
          <w:rFonts w:ascii="Times New Roman" w:hAnsi="Times New Roman"/>
          <w:sz w:val="24"/>
          <w:szCs w:val="24"/>
        </w:rPr>
        <w:t>. (ELBS Edition). Longman Limited, Singapore.1-132.</w:t>
      </w:r>
    </w:p>
    <w:p w14:paraId="59DDE965"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Infovets</w:t>
      </w:r>
      <w:proofErr w:type="spellEnd"/>
      <w:r w:rsidRPr="007E738F">
        <w:rPr>
          <w:rFonts w:ascii="Times New Roman" w:hAnsi="Times New Roman"/>
          <w:sz w:val="24"/>
          <w:szCs w:val="24"/>
        </w:rPr>
        <w:t>. (2015). ALP reference values. Retrieved from infovets.com/books/</w:t>
      </w:r>
      <w:proofErr w:type="spellStart"/>
      <w:r w:rsidRPr="007E738F">
        <w:rPr>
          <w:rFonts w:ascii="Times New Roman" w:hAnsi="Times New Roman"/>
          <w:sz w:val="24"/>
          <w:szCs w:val="24"/>
        </w:rPr>
        <w:t>smrm</w:t>
      </w:r>
      <w:proofErr w:type="spellEnd"/>
      <w:r w:rsidRPr="007E738F">
        <w:rPr>
          <w:rFonts w:ascii="Times New Roman" w:hAnsi="Times New Roman"/>
          <w:sz w:val="24"/>
          <w:szCs w:val="24"/>
        </w:rPr>
        <w:t>/D/D080.htm</w:t>
      </w:r>
    </w:p>
    <w:p w14:paraId="314F9FF5" w14:textId="2FF8F5E4" w:rsidR="002C0CDF" w:rsidRDefault="00D9027C" w:rsidP="00D9027C">
      <w:pPr>
        <w:pStyle w:val="Default"/>
        <w:numPr>
          <w:ilvl w:val="0"/>
          <w:numId w:val="5"/>
        </w:numPr>
        <w:jc w:val="both"/>
        <w:rPr>
          <w:color w:val="auto"/>
        </w:rPr>
      </w:pPr>
      <w:r w:rsidRPr="00D9027C">
        <w:rPr>
          <w:color w:val="auto"/>
        </w:rPr>
        <w:t xml:space="preserve">Jain, N. C. (1986). Schalm's veterinary haematology (4th ed.). Lea and </w:t>
      </w:r>
      <w:proofErr w:type="spellStart"/>
      <w:r w:rsidRPr="00D9027C">
        <w:rPr>
          <w:color w:val="auto"/>
        </w:rPr>
        <w:t>Febiger</w:t>
      </w:r>
      <w:proofErr w:type="spellEnd"/>
      <w:r w:rsidRPr="00D9027C">
        <w:rPr>
          <w:color w:val="auto"/>
        </w:rPr>
        <w:t>.</w:t>
      </w:r>
      <w:r>
        <w:rPr>
          <w:color w:val="auto"/>
        </w:rPr>
        <w:t xml:space="preserve"> </w:t>
      </w:r>
    </w:p>
    <w:p w14:paraId="56B852CB" w14:textId="77777777" w:rsidR="002C0CDF" w:rsidRDefault="002C0CDF" w:rsidP="007E738F">
      <w:pPr>
        <w:pStyle w:val="Default"/>
        <w:numPr>
          <w:ilvl w:val="0"/>
          <w:numId w:val="5"/>
        </w:numPr>
        <w:jc w:val="both"/>
        <w:rPr>
          <w:color w:val="auto"/>
        </w:rPr>
      </w:pPr>
      <w:r>
        <w:rPr>
          <w:color w:val="auto"/>
        </w:rPr>
        <w:t xml:space="preserve">Khan, M. C., </w:t>
      </w:r>
      <w:r>
        <w:rPr>
          <w:lang w:val="en-US"/>
        </w:rPr>
        <w:t>&amp;</w:t>
      </w:r>
      <w:r>
        <w:rPr>
          <w:color w:val="auto"/>
        </w:rPr>
        <w:t xml:space="preserve"> Scott, L. (2012). </w:t>
      </w:r>
      <w:r>
        <w:rPr>
          <w:i/>
          <w:iCs/>
          <w:color w:val="auto"/>
        </w:rPr>
        <w:t xml:space="preserve">Merck manual: Haematologic reference ranges </w:t>
      </w:r>
      <w:r>
        <w:rPr>
          <w:color w:val="auto"/>
        </w:rPr>
        <w:t xml:space="preserve">(12 edition). White house station, N. J: </w:t>
      </w:r>
      <w:proofErr w:type="spellStart"/>
      <w:r>
        <w:rPr>
          <w:color w:val="auto"/>
        </w:rPr>
        <w:t>Mercke</w:t>
      </w:r>
      <w:proofErr w:type="spellEnd"/>
      <w:r>
        <w:rPr>
          <w:color w:val="auto"/>
        </w:rPr>
        <w:t xml:space="preserve"> and Co.</w:t>
      </w:r>
    </w:p>
    <w:p w14:paraId="784D18F3" w14:textId="438AC0A7" w:rsidR="002C0CDF" w:rsidRPr="007E738F" w:rsidRDefault="00E20DE8" w:rsidP="00E20DE8">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E20DE8">
        <w:rPr>
          <w:rFonts w:ascii="Times New Roman" w:hAnsi="Times New Roman"/>
          <w:sz w:val="24"/>
          <w:szCs w:val="24"/>
        </w:rPr>
        <w:t xml:space="preserve">Kolo, U. M., </w:t>
      </w:r>
      <w:proofErr w:type="spellStart"/>
      <w:r w:rsidRPr="00E20DE8">
        <w:rPr>
          <w:rFonts w:ascii="Times New Roman" w:hAnsi="Times New Roman"/>
          <w:sz w:val="24"/>
          <w:szCs w:val="24"/>
        </w:rPr>
        <w:t>Adeloye</w:t>
      </w:r>
      <w:proofErr w:type="spellEnd"/>
      <w:r w:rsidRPr="00E20DE8">
        <w:rPr>
          <w:rFonts w:ascii="Times New Roman" w:hAnsi="Times New Roman"/>
          <w:sz w:val="24"/>
          <w:szCs w:val="24"/>
        </w:rPr>
        <w:t xml:space="preserve">, A. A., &amp; Yousuf, M. B. (2017). Effect of Urea-Fortified All Concentrate Corncob Diets on Serum Biochemical and Hematological Indices of West African Dwarf Goats. Agricultural Science </w:t>
      </w:r>
      <w:proofErr w:type="gramStart"/>
      <w:r w:rsidRPr="00E20DE8">
        <w:rPr>
          <w:rFonts w:ascii="Times New Roman" w:hAnsi="Times New Roman"/>
          <w:sz w:val="24"/>
          <w:szCs w:val="24"/>
        </w:rPr>
        <w:t>And</w:t>
      </w:r>
      <w:proofErr w:type="gramEnd"/>
      <w:r w:rsidRPr="00E20DE8">
        <w:rPr>
          <w:rFonts w:ascii="Times New Roman" w:hAnsi="Times New Roman"/>
          <w:sz w:val="24"/>
          <w:szCs w:val="24"/>
        </w:rPr>
        <w:t xml:space="preserve"> Technology, 9(2), 114-118. </w:t>
      </w:r>
      <w:hyperlink r:id="rId23" w:history="1">
        <w:r w:rsidRPr="005D2F8A">
          <w:rPr>
            <w:rStyle w:val="Hyperlink"/>
            <w:rFonts w:ascii="Times New Roman" w:hAnsi="Times New Roman"/>
            <w:sz w:val="24"/>
            <w:szCs w:val="24"/>
          </w:rPr>
          <w:t>https://doi.org/10.15547/ast.2017.02.020</w:t>
        </w:r>
      </w:hyperlink>
      <w:r>
        <w:rPr>
          <w:rFonts w:ascii="Times New Roman" w:hAnsi="Times New Roman"/>
          <w:sz w:val="24"/>
          <w:szCs w:val="24"/>
        </w:rPr>
        <w:t xml:space="preserve"> </w:t>
      </w:r>
    </w:p>
    <w:p w14:paraId="40C30F00" w14:textId="6665E309" w:rsidR="002C0CDF" w:rsidRPr="007E738F" w:rsidRDefault="00596C96" w:rsidP="00596C96">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596C96">
        <w:rPr>
          <w:rFonts w:ascii="Times New Roman" w:hAnsi="Times New Roman"/>
          <w:sz w:val="24"/>
          <w:szCs w:val="24"/>
        </w:rPr>
        <w:t>Srikandakumar</w:t>
      </w:r>
      <w:proofErr w:type="spellEnd"/>
      <w:r w:rsidRPr="00596C96">
        <w:rPr>
          <w:rFonts w:ascii="Times New Roman" w:hAnsi="Times New Roman"/>
          <w:sz w:val="24"/>
          <w:szCs w:val="24"/>
        </w:rPr>
        <w:t xml:space="preserve">, A., Johnson, E. H., &amp; Mahgoub, O. (2003). Effect of heat stress on respiratory rate, rectal temperature and blood chemistry in Omani and Australian Merino sheep. Small Ruminant Research, 49(2), 193–198. </w:t>
      </w:r>
      <w:hyperlink r:id="rId24" w:history="1">
        <w:r w:rsidRPr="005D2F8A">
          <w:rPr>
            <w:rStyle w:val="Hyperlink"/>
            <w:rFonts w:ascii="Times New Roman" w:hAnsi="Times New Roman"/>
            <w:sz w:val="24"/>
            <w:szCs w:val="24"/>
          </w:rPr>
          <w:t>https://doi.org/10.1016/S0921-4488(03)00097-X</w:t>
        </w:r>
      </w:hyperlink>
      <w:r>
        <w:rPr>
          <w:rFonts w:ascii="Times New Roman" w:hAnsi="Times New Roman"/>
          <w:sz w:val="24"/>
          <w:szCs w:val="24"/>
        </w:rPr>
        <w:t xml:space="preserve"> </w:t>
      </w:r>
    </w:p>
    <w:p w14:paraId="16233C0F" w14:textId="76425938" w:rsidR="002C0CDF" w:rsidRPr="007E738F" w:rsidRDefault="00DD71D1" w:rsidP="00DD71D1">
      <w:pPr>
        <w:pStyle w:val="ListParagraph"/>
        <w:numPr>
          <w:ilvl w:val="0"/>
          <w:numId w:val="5"/>
        </w:numPr>
        <w:spacing w:after="0" w:line="240" w:lineRule="auto"/>
        <w:jc w:val="both"/>
        <w:rPr>
          <w:rFonts w:ascii="Times New Roman" w:hAnsi="Times New Roman"/>
          <w:sz w:val="24"/>
          <w:szCs w:val="24"/>
        </w:rPr>
      </w:pPr>
      <w:r w:rsidRPr="00DD71D1">
        <w:rPr>
          <w:rFonts w:ascii="Times New Roman" w:hAnsi="Times New Roman"/>
          <w:sz w:val="24"/>
          <w:szCs w:val="24"/>
        </w:rPr>
        <w:t xml:space="preserve">Mamman, A. B., </w:t>
      </w:r>
      <w:proofErr w:type="spellStart"/>
      <w:r w:rsidRPr="00DD71D1">
        <w:rPr>
          <w:rFonts w:ascii="Times New Roman" w:hAnsi="Times New Roman"/>
          <w:sz w:val="24"/>
          <w:szCs w:val="24"/>
        </w:rPr>
        <w:t>Oyebanji</w:t>
      </w:r>
      <w:proofErr w:type="spellEnd"/>
      <w:r w:rsidRPr="00DD71D1">
        <w:rPr>
          <w:rFonts w:ascii="Times New Roman" w:hAnsi="Times New Roman"/>
          <w:sz w:val="24"/>
          <w:szCs w:val="24"/>
        </w:rPr>
        <w:t>, J. O., &amp; Petters, S. W. (Eds.). (2000). Nigeria: A People United, a Future Assured. Vol. 2. Survey of states. Federal Ministry of Information.</w:t>
      </w:r>
      <w:r>
        <w:rPr>
          <w:rFonts w:ascii="Times New Roman" w:hAnsi="Times New Roman"/>
          <w:sz w:val="24"/>
          <w:szCs w:val="24"/>
        </w:rPr>
        <w:t xml:space="preserve"> </w:t>
      </w:r>
    </w:p>
    <w:p w14:paraId="60C3C2BF" w14:textId="0790E780" w:rsidR="002C0CDF" w:rsidRPr="007E738F" w:rsidRDefault="008A78C8" w:rsidP="008A78C8">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8A78C8">
        <w:rPr>
          <w:rFonts w:ascii="Times New Roman" w:hAnsi="Times New Roman"/>
          <w:sz w:val="24"/>
          <w:szCs w:val="24"/>
        </w:rPr>
        <w:t>Meyer, D. J., Coles, E. H., &amp; Rich, L. J. (1992). Veterinary laboratory medicine: Interpretation and diagnosis. WB Saunders co.</w:t>
      </w:r>
      <w:r>
        <w:rPr>
          <w:rFonts w:ascii="Times New Roman" w:hAnsi="Times New Roman"/>
          <w:sz w:val="24"/>
          <w:szCs w:val="24"/>
        </w:rPr>
        <w:t xml:space="preserve"> </w:t>
      </w:r>
      <w:r w:rsidR="002C0CDF" w:rsidRPr="007E738F">
        <w:rPr>
          <w:rFonts w:ascii="Times New Roman" w:hAnsi="Times New Roman"/>
          <w:sz w:val="24"/>
          <w:szCs w:val="24"/>
        </w:rPr>
        <w:t xml:space="preserve"> </w:t>
      </w:r>
    </w:p>
    <w:p w14:paraId="5112F52C" w14:textId="18312C9E" w:rsidR="002C0CDF" w:rsidRPr="007E738F" w:rsidRDefault="002F4202" w:rsidP="002F4202">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2F4202">
        <w:rPr>
          <w:rFonts w:ascii="Times New Roman" w:hAnsi="Times New Roman"/>
          <w:sz w:val="24"/>
          <w:szCs w:val="24"/>
        </w:rPr>
        <w:lastRenderedPageBreak/>
        <w:t>Njidda</w:t>
      </w:r>
      <w:proofErr w:type="spellEnd"/>
      <w:r w:rsidRPr="002F4202">
        <w:rPr>
          <w:rFonts w:ascii="Times New Roman" w:hAnsi="Times New Roman"/>
          <w:sz w:val="24"/>
          <w:szCs w:val="24"/>
        </w:rPr>
        <w:t xml:space="preserve">, A. A., Igwebuike, J. U., &amp; </w:t>
      </w:r>
      <w:proofErr w:type="spellStart"/>
      <w:r w:rsidRPr="002F4202">
        <w:rPr>
          <w:rFonts w:ascii="Times New Roman" w:hAnsi="Times New Roman"/>
          <w:sz w:val="24"/>
          <w:szCs w:val="24"/>
        </w:rPr>
        <w:t>Isidahomen</w:t>
      </w:r>
      <w:proofErr w:type="spellEnd"/>
      <w:r w:rsidRPr="002F4202">
        <w:rPr>
          <w:rFonts w:ascii="Times New Roman" w:hAnsi="Times New Roman"/>
          <w:sz w:val="24"/>
          <w:szCs w:val="24"/>
        </w:rPr>
        <w:t xml:space="preserve">, C. E. (2006). </w:t>
      </w:r>
      <w:proofErr w:type="spellStart"/>
      <w:r w:rsidRPr="002F4202">
        <w:rPr>
          <w:rFonts w:ascii="Times New Roman" w:hAnsi="Times New Roman"/>
          <w:sz w:val="24"/>
          <w:szCs w:val="24"/>
        </w:rPr>
        <w:t>Haematological</w:t>
      </w:r>
      <w:proofErr w:type="spellEnd"/>
      <w:r w:rsidRPr="002F4202">
        <w:rPr>
          <w:rFonts w:ascii="Times New Roman" w:hAnsi="Times New Roman"/>
          <w:sz w:val="24"/>
          <w:szCs w:val="24"/>
        </w:rPr>
        <w:t xml:space="preserve"> parameters and carcass characteristics of weanling rabbits fed graded levels of molasses. Global Journal of Agricultural Science, 5(7), 167-172. </w:t>
      </w:r>
      <w:hyperlink r:id="rId25" w:history="1">
        <w:r w:rsidRPr="005D2F8A">
          <w:rPr>
            <w:rStyle w:val="Hyperlink"/>
            <w:rFonts w:ascii="Times New Roman" w:hAnsi="Times New Roman"/>
            <w:sz w:val="24"/>
            <w:szCs w:val="24"/>
          </w:rPr>
          <w:t>https://doi.org/10.4314/gjass.v5i2.2323</w:t>
        </w:r>
      </w:hyperlink>
      <w:r>
        <w:rPr>
          <w:rFonts w:ascii="Times New Roman" w:hAnsi="Times New Roman"/>
          <w:sz w:val="24"/>
          <w:szCs w:val="24"/>
        </w:rPr>
        <w:t xml:space="preserve"> </w:t>
      </w:r>
    </w:p>
    <w:p w14:paraId="5F548661"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PCOL (2003). </w:t>
      </w:r>
      <w:r w:rsidRPr="007E738F">
        <w:rPr>
          <w:rFonts w:ascii="Times New Roman" w:hAnsi="Times New Roman"/>
          <w:i/>
          <w:iCs/>
          <w:sz w:val="24"/>
          <w:szCs w:val="24"/>
        </w:rPr>
        <w:t xml:space="preserve">Report of the Presidential Committee on Livestock, </w:t>
      </w:r>
      <w:r w:rsidRPr="007E738F">
        <w:rPr>
          <w:rFonts w:ascii="Times New Roman" w:hAnsi="Times New Roman"/>
          <w:sz w:val="24"/>
          <w:szCs w:val="24"/>
        </w:rPr>
        <w:t xml:space="preserve">vol.1, consolidated report. </w:t>
      </w:r>
    </w:p>
    <w:p w14:paraId="48B41892" w14:textId="2B89A161" w:rsidR="002C0CDF" w:rsidRDefault="001F3B67" w:rsidP="001F3B67">
      <w:pPr>
        <w:pStyle w:val="Default"/>
        <w:numPr>
          <w:ilvl w:val="0"/>
          <w:numId w:val="5"/>
        </w:numPr>
        <w:jc w:val="both"/>
        <w:rPr>
          <w:color w:val="auto"/>
        </w:rPr>
      </w:pPr>
      <w:r w:rsidRPr="001F3B67">
        <w:rPr>
          <w:color w:val="auto"/>
        </w:rPr>
        <w:t xml:space="preserve">Blench, R. (2007). Hausa names for plants and trees. </w:t>
      </w:r>
      <w:hyperlink r:id="rId26" w:history="1">
        <w:r w:rsidRPr="005D2F8A">
          <w:rPr>
            <w:rStyle w:val="Hyperlink"/>
          </w:rPr>
          <w:t>http://www.rogerblench.info/Ethnoscience/Plants/Hausa%20plant%20names.pdf</w:t>
        </w:r>
      </w:hyperlink>
      <w:r>
        <w:rPr>
          <w:color w:val="auto"/>
        </w:rPr>
        <w:t xml:space="preserve"> </w:t>
      </w:r>
    </w:p>
    <w:p w14:paraId="401F7101" w14:textId="1EF03477" w:rsidR="002C0CDF" w:rsidRPr="007E738F" w:rsidRDefault="002371C4" w:rsidP="002371C4">
      <w:pPr>
        <w:pStyle w:val="ListParagraph"/>
        <w:numPr>
          <w:ilvl w:val="0"/>
          <w:numId w:val="5"/>
        </w:numPr>
        <w:tabs>
          <w:tab w:val="left" w:pos="1008"/>
        </w:tabs>
        <w:spacing w:after="0" w:line="240" w:lineRule="auto"/>
        <w:jc w:val="both"/>
        <w:rPr>
          <w:rFonts w:ascii="Times New Roman" w:hAnsi="Times New Roman"/>
          <w:sz w:val="24"/>
          <w:szCs w:val="24"/>
        </w:rPr>
      </w:pPr>
      <w:r w:rsidRPr="002371C4">
        <w:rPr>
          <w:rFonts w:ascii="Times New Roman" w:hAnsi="Times New Roman"/>
          <w:sz w:val="24"/>
          <w:szCs w:val="24"/>
        </w:rPr>
        <w:t xml:space="preserve">Rosado, B., García-Belenguer, S., León, M., Chacón, G., Villegas, A., &amp; Palacio, J. (2010). Blood concentrations of serotonin, cortisol and dehydroepiandrosterone in aggressive dogs. Applied Animal </w:t>
      </w:r>
      <w:proofErr w:type="spellStart"/>
      <w:r w:rsidRPr="002371C4">
        <w:rPr>
          <w:rFonts w:ascii="Times New Roman" w:hAnsi="Times New Roman"/>
          <w:sz w:val="24"/>
          <w:szCs w:val="24"/>
        </w:rPr>
        <w:t>Behaviour</w:t>
      </w:r>
      <w:proofErr w:type="spellEnd"/>
      <w:r w:rsidRPr="002371C4">
        <w:rPr>
          <w:rFonts w:ascii="Times New Roman" w:hAnsi="Times New Roman"/>
          <w:sz w:val="24"/>
          <w:szCs w:val="24"/>
        </w:rPr>
        <w:t xml:space="preserve"> Science, 123, 124–130. </w:t>
      </w:r>
      <w:hyperlink r:id="rId27" w:history="1">
        <w:r w:rsidRPr="005D2F8A">
          <w:rPr>
            <w:rStyle w:val="Hyperlink"/>
            <w:rFonts w:ascii="Times New Roman" w:hAnsi="Times New Roman"/>
            <w:sz w:val="24"/>
            <w:szCs w:val="24"/>
          </w:rPr>
          <w:t>https://doi.org/10.1016/j.applanim.2010.01.009</w:t>
        </w:r>
      </w:hyperlink>
      <w:r>
        <w:rPr>
          <w:rFonts w:ascii="Times New Roman" w:hAnsi="Times New Roman"/>
          <w:sz w:val="24"/>
          <w:szCs w:val="24"/>
        </w:rPr>
        <w:t xml:space="preserve"> </w:t>
      </w:r>
    </w:p>
    <w:p w14:paraId="113F16A5" w14:textId="05F3C0C6" w:rsidR="002C0CDF" w:rsidRDefault="00584F81" w:rsidP="00584F81">
      <w:pPr>
        <w:pStyle w:val="Default"/>
        <w:numPr>
          <w:ilvl w:val="0"/>
          <w:numId w:val="5"/>
        </w:numPr>
        <w:jc w:val="both"/>
        <w:rPr>
          <w:color w:val="auto"/>
        </w:rPr>
      </w:pPr>
      <w:r w:rsidRPr="00584F81">
        <w:rPr>
          <w:color w:val="auto"/>
        </w:rPr>
        <w:t xml:space="preserve">Singh, A. S., Pal, D. T., Mandal, B. C., Singh, P., &amp; Pathak, N. N. (2002). Studies on Changes in Some of Blood Constituents of Adult Cross-bred Cattle Fed Different Levels of Extracted Rice Bran. Pakistan Journal of Nutrition, 1(2), 95–98. </w:t>
      </w:r>
      <w:hyperlink r:id="rId28" w:history="1">
        <w:r w:rsidRPr="005D2F8A">
          <w:rPr>
            <w:rStyle w:val="Hyperlink"/>
          </w:rPr>
          <w:t>https://doi.org/10.3923/pjn.2002.95.98</w:t>
        </w:r>
      </w:hyperlink>
      <w:r>
        <w:rPr>
          <w:color w:val="auto"/>
        </w:rPr>
        <w:t xml:space="preserve"> </w:t>
      </w:r>
      <w:r w:rsidR="002C0CDF">
        <w:rPr>
          <w:color w:val="auto"/>
        </w:rPr>
        <w:t xml:space="preserve"> </w:t>
      </w:r>
    </w:p>
    <w:p w14:paraId="3C548545" w14:textId="77777777" w:rsidR="002C0CDF" w:rsidRPr="007E738F" w:rsidRDefault="002C0CDF" w:rsidP="007E738F">
      <w:pPr>
        <w:pStyle w:val="ListParagraph"/>
        <w:numPr>
          <w:ilvl w:val="0"/>
          <w:numId w:val="5"/>
        </w:numPr>
        <w:tabs>
          <w:tab w:val="left" w:pos="1008"/>
        </w:tabs>
        <w:spacing w:after="0" w:line="240" w:lineRule="auto"/>
        <w:jc w:val="both"/>
        <w:rPr>
          <w:rFonts w:ascii="Times New Roman" w:hAnsi="Times New Roman"/>
          <w:sz w:val="24"/>
          <w:szCs w:val="24"/>
        </w:rPr>
      </w:pPr>
      <w:r w:rsidRPr="007E738F">
        <w:rPr>
          <w:rFonts w:ascii="Times New Roman" w:eastAsia="Times New Roman" w:hAnsi="Times New Roman"/>
          <w:sz w:val="24"/>
          <w:szCs w:val="24"/>
        </w:rPr>
        <w:t>SSMIYSC</w:t>
      </w:r>
      <w:r w:rsidRPr="007E738F">
        <w:rPr>
          <w:rFonts w:ascii="Times New Roman" w:hAnsi="Times New Roman"/>
          <w:sz w:val="24"/>
          <w:szCs w:val="24"/>
        </w:rPr>
        <w:t xml:space="preserve">. (2010). Sokoto State Government Dairy. Ministry of Information, Youth Sport and Culture. Sokoto, Pp 1-33. </w:t>
      </w:r>
    </w:p>
    <w:p w14:paraId="11896CEE" w14:textId="77777777" w:rsidR="002C0CDF" w:rsidRDefault="002C0CDF" w:rsidP="007E738F">
      <w:pPr>
        <w:pStyle w:val="Default"/>
        <w:numPr>
          <w:ilvl w:val="0"/>
          <w:numId w:val="5"/>
        </w:numPr>
        <w:jc w:val="both"/>
        <w:rPr>
          <w:color w:val="auto"/>
        </w:rPr>
      </w:pPr>
      <w:r>
        <w:rPr>
          <w:color w:val="auto"/>
        </w:rPr>
        <w:t xml:space="preserve">Tambuwal, F. M., </w:t>
      </w:r>
      <w:proofErr w:type="spellStart"/>
      <w:r>
        <w:rPr>
          <w:color w:val="auto"/>
        </w:rPr>
        <w:t>Agale</w:t>
      </w:r>
      <w:proofErr w:type="spellEnd"/>
      <w:r>
        <w:rPr>
          <w:color w:val="auto"/>
        </w:rPr>
        <w:t xml:space="preserve">, B. M., </w:t>
      </w:r>
      <w:r>
        <w:rPr>
          <w:lang w:val="en-US"/>
        </w:rPr>
        <w:t>&amp;</w:t>
      </w:r>
      <w:r>
        <w:rPr>
          <w:color w:val="auto"/>
        </w:rPr>
        <w:t xml:space="preserve"> </w:t>
      </w:r>
      <w:proofErr w:type="spellStart"/>
      <w:r>
        <w:rPr>
          <w:color w:val="auto"/>
        </w:rPr>
        <w:t>Bangana</w:t>
      </w:r>
      <w:proofErr w:type="spellEnd"/>
      <w:r>
        <w:rPr>
          <w:color w:val="auto"/>
        </w:rPr>
        <w:t xml:space="preserve">, A. (2002). Haematological and serum biochemical values of apparently healthy red </w:t>
      </w:r>
      <w:r>
        <w:rPr>
          <w:color w:val="auto"/>
          <w:lang w:val="en-US"/>
        </w:rPr>
        <w:t>Sokoto</w:t>
      </w:r>
      <w:r>
        <w:rPr>
          <w:color w:val="auto"/>
        </w:rPr>
        <w:t xml:space="preserve"> goats. In </w:t>
      </w:r>
      <w:r>
        <w:rPr>
          <w:i/>
          <w:iCs/>
          <w:color w:val="auto"/>
        </w:rPr>
        <w:t xml:space="preserve">proceedings of 27th Annual Conference of Nigerian Society of Animal Production </w:t>
      </w:r>
      <w:r>
        <w:rPr>
          <w:color w:val="auto"/>
        </w:rPr>
        <w:t>(pp. 50–53).</w:t>
      </w:r>
    </w:p>
    <w:p w14:paraId="6024972A" w14:textId="728E713C" w:rsidR="002C0CDF" w:rsidRPr="007E738F" w:rsidRDefault="009B5BA3" w:rsidP="009B5BA3">
      <w:pPr>
        <w:pStyle w:val="ListParagraph"/>
        <w:numPr>
          <w:ilvl w:val="0"/>
          <w:numId w:val="5"/>
        </w:numPr>
        <w:tabs>
          <w:tab w:val="left" w:pos="1008"/>
        </w:tabs>
        <w:spacing w:after="0" w:line="240" w:lineRule="auto"/>
        <w:jc w:val="both"/>
        <w:rPr>
          <w:rFonts w:ascii="Times New Roman" w:hAnsi="Times New Roman"/>
          <w:sz w:val="24"/>
          <w:szCs w:val="24"/>
        </w:rPr>
      </w:pPr>
      <w:r w:rsidRPr="009B5BA3">
        <w:rPr>
          <w:rFonts w:ascii="Times New Roman" w:hAnsi="Times New Roman"/>
          <w:sz w:val="24"/>
          <w:szCs w:val="24"/>
        </w:rPr>
        <w:t xml:space="preserve">Waziri, M. A., Ribadu, A. Y., &amp; </w:t>
      </w:r>
      <w:proofErr w:type="spellStart"/>
      <w:r w:rsidRPr="009B5BA3">
        <w:rPr>
          <w:rFonts w:ascii="Times New Roman" w:hAnsi="Times New Roman"/>
          <w:sz w:val="24"/>
          <w:szCs w:val="24"/>
        </w:rPr>
        <w:t>Sivachelvan</w:t>
      </w:r>
      <w:proofErr w:type="spellEnd"/>
      <w:r w:rsidRPr="009B5BA3">
        <w:rPr>
          <w:rFonts w:ascii="Times New Roman" w:hAnsi="Times New Roman"/>
          <w:sz w:val="24"/>
          <w:szCs w:val="24"/>
        </w:rPr>
        <w:t xml:space="preserve">, N. (2010). Changes in the serum proteins, hematological and some serum biochemical profiles in the gestation period in the Sahel goats. </w:t>
      </w:r>
      <w:proofErr w:type="spellStart"/>
      <w:r w:rsidRPr="009B5BA3">
        <w:rPr>
          <w:rFonts w:ascii="Times New Roman" w:hAnsi="Times New Roman"/>
          <w:sz w:val="24"/>
          <w:szCs w:val="24"/>
        </w:rPr>
        <w:t>Veterinarski</w:t>
      </w:r>
      <w:proofErr w:type="spellEnd"/>
      <w:r w:rsidRPr="009B5BA3">
        <w:rPr>
          <w:rFonts w:ascii="Times New Roman" w:hAnsi="Times New Roman"/>
          <w:sz w:val="24"/>
          <w:szCs w:val="24"/>
        </w:rPr>
        <w:t xml:space="preserve"> Arhiv, 80(2), 215–224. </w:t>
      </w:r>
      <w:hyperlink r:id="rId29" w:history="1">
        <w:r w:rsidRPr="005D2F8A">
          <w:rPr>
            <w:rStyle w:val="Hyperlink"/>
            <w:rFonts w:ascii="Times New Roman" w:hAnsi="Times New Roman"/>
            <w:sz w:val="24"/>
            <w:szCs w:val="24"/>
          </w:rPr>
          <w:t>https://doi.org/10.24099/vet.arhiv.0215</w:t>
        </w:r>
      </w:hyperlink>
      <w:r>
        <w:rPr>
          <w:rFonts w:ascii="Times New Roman" w:hAnsi="Times New Roman"/>
          <w:sz w:val="24"/>
          <w:szCs w:val="24"/>
        </w:rPr>
        <w:t xml:space="preserve"> </w:t>
      </w:r>
    </w:p>
    <w:sectPr w:rsidR="002C0CDF" w:rsidRPr="007E738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Sachin B Patil" w:date="2025-12-16T10:23:00Z" w:initials="DP">
    <w:p w14:paraId="617D2540" w14:textId="77777777" w:rsidR="00030B03" w:rsidRDefault="00030B03" w:rsidP="00030B03">
      <w:pPr>
        <w:pStyle w:val="CommentText"/>
      </w:pPr>
      <w:r>
        <w:rPr>
          <w:rStyle w:val="CommentReference"/>
        </w:rPr>
        <w:annotationRef/>
      </w:r>
      <w:r>
        <w:t>Delete</w:t>
      </w:r>
    </w:p>
  </w:comment>
  <w:comment w:id="2" w:author="Dr.Sachin B Patil" w:date="2025-12-16T10:24:00Z" w:initials="DP">
    <w:p w14:paraId="13CC0E2A" w14:textId="77777777" w:rsidR="00030B03" w:rsidRDefault="00030B03" w:rsidP="00030B03">
      <w:pPr>
        <w:pStyle w:val="CommentText"/>
      </w:pPr>
      <w:r>
        <w:rPr>
          <w:rStyle w:val="CommentReference"/>
        </w:rPr>
        <w:annotationRef/>
      </w:r>
      <w:r>
        <w:t>Ruminants</w:t>
      </w:r>
    </w:p>
  </w:comment>
  <w:comment w:id="3" w:author="Dr.Sachin B Patil" w:date="2025-12-16T10:27:00Z" w:initials="DP">
    <w:p w14:paraId="55A80F11" w14:textId="77777777" w:rsidR="00E74251" w:rsidRDefault="00E74251" w:rsidP="00E74251">
      <w:pPr>
        <w:pStyle w:val="CommentText"/>
      </w:pPr>
      <w:r>
        <w:rPr>
          <w:rStyle w:val="CommentReference"/>
        </w:rPr>
        <w:annotationRef/>
      </w:r>
      <w:r>
        <w:t>Write pre-introduction part for different plant usage</w:t>
      </w:r>
    </w:p>
  </w:comment>
  <w:comment w:id="5" w:author="Dr.Sachin B Patil" w:date="2025-12-16T10:28:00Z" w:initials="DP">
    <w:p w14:paraId="21E55D4A" w14:textId="77777777" w:rsidR="00E74251" w:rsidRDefault="00E74251" w:rsidP="00E74251">
      <w:pPr>
        <w:pStyle w:val="CommentText"/>
      </w:pPr>
      <w:r>
        <w:rPr>
          <w:rStyle w:val="CommentReference"/>
        </w:rPr>
        <w:annotationRef/>
      </w:r>
      <w:r>
        <w:t>Check the symbol</w:t>
      </w:r>
    </w:p>
  </w:comment>
  <w:comment w:id="6" w:author="Dr.Sachin B Patil" w:date="2025-12-16T10:29:00Z" w:initials="DP">
    <w:p w14:paraId="73058FF4" w14:textId="77777777" w:rsidR="00E74251" w:rsidRDefault="00E74251" w:rsidP="00E74251">
      <w:pPr>
        <w:pStyle w:val="CommentText"/>
      </w:pPr>
      <w:r>
        <w:rPr>
          <w:rStyle w:val="CommentReference"/>
        </w:rPr>
        <w:annotationRef/>
      </w:r>
      <w:r>
        <w:t>state</w:t>
      </w:r>
    </w:p>
  </w:comment>
  <w:comment w:id="7" w:author="Dr.Sachin B Patil" w:date="2025-12-16T10:30:00Z" w:initials="DP">
    <w:p w14:paraId="511FCB86" w14:textId="77777777" w:rsidR="00E74251" w:rsidRDefault="00E74251" w:rsidP="00E74251">
      <w:pPr>
        <w:pStyle w:val="CommentText"/>
      </w:pPr>
      <w:r>
        <w:rPr>
          <w:rStyle w:val="CommentReference"/>
        </w:rPr>
        <w:annotationRef/>
      </w:r>
      <w:r>
        <w:t>state</w:t>
      </w:r>
    </w:p>
  </w:comment>
  <w:comment w:id="10" w:author="Dr.Sachin B Patil" w:date="2025-12-16T10:31:00Z" w:initials="DP">
    <w:p w14:paraId="5D91A904" w14:textId="77777777" w:rsidR="00E74251" w:rsidRDefault="00E74251" w:rsidP="00E74251">
      <w:pPr>
        <w:pStyle w:val="CommentText"/>
      </w:pPr>
      <w:r>
        <w:rPr>
          <w:rStyle w:val="CommentReference"/>
        </w:rPr>
        <w:annotationRef/>
      </w:r>
      <w:r>
        <w:t>experiment</w:t>
      </w:r>
    </w:p>
  </w:comment>
  <w:comment w:id="14" w:author="Dr.Sachin B Patil" w:date="2025-12-16T10:34:00Z" w:initials="DP">
    <w:p w14:paraId="4ABEB5CE" w14:textId="77777777" w:rsidR="00E74251" w:rsidRDefault="00E74251" w:rsidP="00E74251">
      <w:pPr>
        <w:pStyle w:val="CommentText"/>
      </w:pPr>
      <w:r>
        <w:rPr>
          <w:rStyle w:val="CommentReference"/>
        </w:rPr>
        <w:annotationRef/>
      </w:r>
      <w:r>
        <w:t>Check the symbol</w:t>
      </w:r>
    </w:p>
  </w:comment>
  <w:comment w:id="15" w:author="Dr.Sachin B Patil" w:date="2025-12-16T10:35:00Z" w:initials="DP">
    <w:p w14:paraId="55A35645" w14:textId="77777777" w:rsidR="00E74251" w:rsidRDefault="00E74251" w:rsidP="00E74251">
      <w:pPr>
        <w:pStyle w:val="CommentText"/>
      </w:pPr>
      <w:r>
        <w:rPr>
          <w:rStyle w:val="CommentReference"/>
        </w:rPr>
        <w:annotationRef/>
      </w:r>
      <w:r>
        <w:t>Check the symbol</w:t>
      </w:r>
    </w:p>
  </w:comment>
  <w:comment w:id="24" w:author="Dr.Sachin B Patil" w:date="2025-12-16T10:37:00Z" w:initials="DP">
    <w:p w14:paraId="7182FDC2" w14:textId="77777777" w:rsidR="00915DB3" w:rsidRDefault="00915DB3" w:rsidP="00915DB3">
      <w:pPr>
        <w:pStyle w:val="CommentText"/>
      </w:pPr>
      <w:r>
        <w:rPr>
          <w:rStyle w:val="CommentReference"/>
        </w:rPr>
        <w:annotationRef/>
      </w:r>
      <w:r>
        <w:t>fed with graded levels of</w:t>
      </w:r>
    </w:p>
  </w:comment>
  <w:comment w:id="25" w:author="Dr.Sachin B Patil" w:date="2025-12-16T10:51:00Z" w:initials="DP">
    <w:p w14:paraId="2C18E3ED" w14:textId="77777777" w:rsidR="00346E6A" w:rsidRDefault="00346E6A" w:rsidP="00346E6A">
      <w:pPr>
        <w:pStyle w:val="CommentText"/>
      </w:pPr>
      <w:r>
        <w:rPr>
          <w:rStyle w:val="CommentReference"/>
        </w:rPr>
        <w:annotationRef/>
      </w:r>
      <w:r>
        <w:t>may</w:t>
      </w:r>
    </w:p>
  </w:comment>
  <w:comment w:id="26" w:author="Dr.Sachin B Patil" w:date="2025-12-16T10:52:00Z" w:initials="DP">
    <w:p w14:paraId="524703DD" w14:textId="77777777" w:rsidR="00346E6A" w:rsidRDefault="00346E6A" w:rsidP="00346E6A">
      <w:pPr>
        <w:pStyle w:val="CommentText"/>
      </w:pPr>
      <w:r>
        <w:rPr>
          <w:rStyle w:val="CommentReference"/>
        </w:rPr>
        <w:annotationRef/>
      </w:r>
      <w:r>
        <w:t>specify</w:t>
      </w:r>
    </w:p>
  </w:comment>
  <w:comment w:id="27" w:author="Dr.Sachin B Patil" w:date="2025-12-16T10:52:00Z" w:initials="DP">
    <w:p w14:paraId="51861394" w14:textId="77777777" w:rsidR="00346E6A" w:rsidRDefault="00346E6A" w:rsidP="00346E6A">
      <w:pPr>
        <w:pStyle w:val="CommentText"/>
      </w:pPr>
      <w:r>
        <w:rPr>
          <w:rStyle w:val="CommentReference"/>
        </w:rPr>
        <w:annotationRef/>
      </w:r>
      <w:r>
        <w:t>Specify deficiences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7D2540" w15:done="0"/>
  <w15:commentEx w15:paraId="13CC0E2A" w15:paraIdParent="617D2540" w15:done="0"/>
  <w15:commentEx w15:paraId="55A80F11" w15:done="0"/>
  <w15:commentEx w15:paraId="21E55D4A" w15:done="0"/>
  <w15:commentEx w15:paraId="73058FF4" w15:done="0"/>
  <w15:commentEx w15:paraId="511FCB86" w15:done="0"/>
  <w15:commentEx w15:paraId="5D91A904" w15:done="0"/>
  <w15:commentEx w15:paraId="4ABEB5CE" w15:done="0"/>
  <w15:commentEx w15:paraId="55A35645" w15:done="0"/>
  <w15:commentEx w15:paraId="7182FDC2" w15:done="0"/>
  <w15:commentEx w15:paraId="2C18E3ED" w15:done="0"/>
  <w15:commentEx w15:paraId="524703DD" w15:done="0"/>
  <w15:commentEx w15:paraId="51861394" w15:paraIdParent="52470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58A3E" w16cex:dateUtc="2025-12-16T04:53:00Z"/>
  <w16cex:commentExtensible w16cex:durableId="1230AFC3" w16cex:dateUtc="2025-12-16T04:54:00Z"/>
  <w16cex:commentExtensible w16cex:durableId="34422CB4" w16cex:dateUtc="2025-12-16T04:57:00Z"/>
  <w16cex:commentExtensible w16cex:durableId="2B8C1BC9" w16cex:dateUtc="2025-12-16T04:58:00Z"/>
  <w16cex:commentExtensible w16cex:durableId="7A60B107" w16cex:dateUtc="2025-12-16T04:59:00Z"/>
  <w16cex:commentExtensible w16cex:durableId="4FB363E7" w16cex:dateUtc="2025-12-16T05:00:00Z"/>
  <w16cex:commentExtensible w16cex:durableId="058DE926" w16cex:dateUtc="2025-12-16T05:01:00Z"/>
  <w16cex:commentExtensible w16cex:durableId="487E9B11" w16cex:dateUtc="2025-12-16T05:04:00Z"/>
  <w16cex:commentExtensible w16cex:durableId="5BE7D76A" w16cex:dateUtc="2025-12-16T05:05:00Z"/>
  <w16cex:commentExtensible w16cex:durableId="3150264B" w16cex:dateUtc="2025-12-16T05:07:00Z"/>
  <w16cex:commentExtensible w16cex:durableId="2F014EDD" w16cex:dateUtc="2025-12-16T05:21:00Z"/>
  <w16cex:commentExtensible w16cex:durableId="053C2EA5" w16cex:dateUtc="2025-12-16T05:22:00Z"/>
  <w16cex:commentExtensible w16cex:durableId="598AD792" w16cex:dateUtc="2025-12-16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D2540" w16cid:durableId="3AA58A3E"/>
  <w16cid:commentId w16cid:paraId="13CC0E2A" w16cid:durableId="1230AFC3"/>
  <w16cid:commentId w16cid:paraId="55A80F11" w16cid:durableId="34422CB4"/>
  <w16cid:commentId w16cid:paraId="21E55D4A" w16cid:durableId="2B8C1BC9"/>
  <w16cid:commentId w16cid:paraId="73058FF4" w16cid:durableId="7A60B107"/>
  <w16cid:commentId w16cid:paraId="511FCB86" w16cid:durableId="4FB363E7"/>
  <w16cid:commentId w16cid:paraId="5D91A904" w16cid:durableId="058DE926"/>
  <w16cid:commentId w16cid:paraId="4ABEB5CE" w16cid:durableId="487E9B11"/>
  <w16cid:commentId w16cid:paraId="55A35645" w16cid:durableId="5BE7D76A"/>
  <w16cid:commentId w16cid:paraId="7182FDC2" w16cid:durableId="3150264B"/>
  <w16cid:commentId w16cid:paraId="2C18E3ED" w16cid:durableId="2F014EDD"/>
  <w16cid:commentId w16cid:paraId="524703DD" w16cid:durableId="053C2EA5"/>
  <w16cid:commentId w16cid:paraId="51861394" w16cid:durableId="598AD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3788" w14:textId="77777777" w:rsidR="006C4EF7" w:rsidRDefault="006C4EF7" w:rsidP="00FD116E">
      <w:pPr>
        <w:spacing w:after="0" w:line="240" w:lineRule="auto"/>
      </w:pPr>
      <w:r>
        <w:separator/>
      </w:r>
    </w:p>
  </w:endnote>
  <w:endnote w:type="continuationSeparator" w:id="0">
    <w:p w14:paraId="3AB2AC00" w14:textId="77777777" w:rsidR="006C4EF7" w:rsidRDefault="006C4EF7" w:rsidP="00FD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41A8" w14:textId="77777777" w:rsidR="00FD116E" w:rsidRDefault="00FD1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72D6" w14:textId="77777777" w:rsidR="00FD116E" w:rsidRDefault="00FD1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C90F" w14:textId="77777777" w:rsidR="00FD116E" w:rsidRDefault="00FD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0605" w14:textId="77777777" w:rsidR="006C4EF7" w:rsidRDefault="006C4EF7" w:rsidP="00FD116E">
      <w:pPr>
        <w:spacing w:after="0" w:line="240" w:lineRule="auto"/>
      </w:pPr>
      <w:r>
        <w:separator/>
      </w:r>
    </w:p>
  </w:footnote>
  <w:footnote w:type="continuationSeparator" w:id="0">
    <w:p w14:paraId="1B29D79E" w14:textId="77777777" w:rsidR="006C4EF7" w:rsidRDefault="006C4EF7" w:rsidP="00FD1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6DAD" w14:textId="19E75AD6" w:rsidR="00FD116E" w:rsidRDefault="00000000">
    <w:pPr>
      <w:pStyle w:val="Header"/>
    </w:pPr>
    <w:r>
      <w:rPr>
        <w:noProof/>
      </w:rPr>
      <w:pict w14:anchorId="729D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DEF9" w14:textId="4A01AF73" w:rsidR="00FD116E" w:rsidRDefault="00000000">
    <w:pPr>
      <w:pStyle w:val="Header"/>
    </w:pPr>
    <w:r>
      <w:rPr>
        <w:noProof/>
      </w:rPr>
      <w:pict w14:anchorId="17699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3682" w14:textId="4C684E7E" w:rsidR="00FD116E" w:rsidRDefault="00000000">
    <w:pPr>
      <w:pStyle w:val="Header"/>
    </w:pPr>
    <w:r>
      <w:rPr>
        <w:noProof/>
      </w:rPr>
      <w:pict w14:anchorId="77D8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15:restartNumberingAfterBreak="0">
    <w:nsid w:val="4612700E"/>
    <w:multiLevelType w:val="hybridMultilevel"/>
    <w:tmpl w:val="2C7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729458219">
    <w:abstractNumId w:val="4"/>
  </w:num>
  <w:num w:numId="2" w16cid:durableId="1187139076">
    <w:abstractNumId w:val="1"/>
  </w:num>
  <w:num w:numId="3" w16cid:durableId="268464598">
    <w:abstractNumId w:val="2"/>
  </w:num>
  <w:num w:numId="4" w16cid:durableId="2107994964">
    <w:abstractNumId w:val="0"/>
  </w:num>
  <w:num w:numId="5" w16cid:durableId="15038606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achin B Patil">
    <w15:presenceInfo w15:providerId="Windows Live" w15:userId="3add325876119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FE"/>
    <w:rsid w:val="00030B03"/>
    <w:rsid w:val="000B3B94"/>
    <w:rsid w:val="000B6C53"/>
    <w:rsid w:val="000C473D"/>
    <w:rsid w:val="000D2590"/>
    <w:rsid w:val="000F6DA8"/>
    <w:rsid w:val="00157D16"/>
    <w:rsid w:val="0016405B"/>
    <w:rsid w:val="001760A0"/>
    <w:rsid w:val="001F3B67"/>
    <w:rsid w:val="002060C8"/>
    <w:rsid w:val="002371C4"/>
    <w:rsid w:val="002565D2"/>
    <w:rsid w:val="00291CE6"/>
    <w:rsid w:val="002C0CDF"/>
    <w:rsid w:val="002D2CFE"/>
    <w:rsid w:val="002F4202"/>
    <w:rsid w:val="003432A4"/>
    <w:rsid w:val="00346E6A"/>
    <w:rsid w:val="00447EE3"/>
    <w:rsid w:val="004B249C"/>
    <w:rsid w:val="004E6487"/>
    <w:rsid w:val="00584F81"/>
    <w:rsid w:val="00596C96"/>
    <w:rsid w:val="005B0DF5"/>
    <w:rsid w:val="005D5BDA"/>
    <w:rsid w:val="00684FEE"/>
    <w:rsid w:val="006C4EF7"/>
    <w:rsid w:val="007E738F"/>
    <w:rsid w:val="00844985"/>
    <w:rsid w:val="008A78C8"/>
    <w:rsid w:val="00912401"/>
    <w:rsid w:val="00915DB3"/>
    <w:rsid w:val="0095299E"/>
    <w:rsid w:val="00963B7E"/>
    <w:rsid w:val="009B5BA3"/>
    <w:rsid w:val="009C2C68"/>
    <w:rsid w:val="00B14104"/>
    <w:rsid w:val="00B179A4"/>
    <w:rsid w:val="00BC6D82"/>
    <w:rsid w:val="00C06417"/>
    <w:rsid w:val="00C14212"/>
    <w:rsid w:val="00C9314C"/>
    <w:rsid w:val="00C93815"/>
    <w:rsid w:val="00C94D33"/>
    <w:rsid w:val="00CA3E46"/>
    <w:rsid w:val="00D6482E"/>
    <w:rsid w:val="00D9027C"/>
    <w:rsid w:val="00DD71D1"/>
    <w:rsid w:val="00E20DE8"/>
    <w:rsid w:val="00E35518"/>
    <w:rsid w:val="00E531F2"/>
    <w:rsid w:val="00E74251"/>
    <w:rsid w:val="00EA3057"/>
    <w:rsid w:val="00EE17E1"/>
    <w:rsid w:val="00FD116E"/>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8A957"/>
  <w15:chartTrackingRefBased/>
  <w15:docId w15:val="{3DDE09AB-C85A-4628-84F2-5395E059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F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2D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D2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2D2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D2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FE"/>
    <w:rPr>
      <w:rFonts w:eastAsiaTheme="majorEastAsia" w:cstheme="majorBidi"/>
      <w:color w:val="272727" w:themeColor="text1" w:themeTint="D8"/>
    </w:rPr>
  </w:style>
  <w:style w:type="paragraph" w:styleId="Title">
    <w:name w:val="Title"/>
    <w:basedOn w:val="Normal"/>
    <w:next w:val="Normal"/>
    <w:link w:val="TitleChar"/>
    <w:uiPriority w:val="10"/>
    <w:qFormat/>
    <w:rsid w:val="002D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FE"/>
    <w:pPr>
      <w:spacing w:before="160"/>
      <w:jc w:val="center"/>
    </w:pPr>
    <w:rPr>
      <w:i/>
      <w:iCs/>
      <w:color w:val="404040" w:themeColor="text1" w:themeTint="BF"/>
    </w:rPr>
  </w:style>
  <w:style w:type="character" w:customStyle="1" w:styleId="QuoteChar">
    <w:name w:val="Quote Char"/>
    <w:basedOn w:val="DefaultParagraphFont"/>
    <w:link w:val="Quote"/>
    <w:uiPriority w:val="29"/>
    <w:rsid w:val="002D2CFE"/>
    <w:rPr>
      <w:i/>
      <w:iCs/>
      <w:color w:val="404040" w:themeColor="text1" w:themeTint="BF"/>
    </w:rPr>
  </w:style>
  <w:style w:type="paragraph" w:styleId="ListParagraph">
    <w:name w:val="List Paragraph"/>
    <w:basedOn w:val="Normal"/>
    <w:uiPriority w:val="34"/>
    <w:qFormat/>
    <w:rsid w:val="002D2CFE"/>
    <w:pPr>
      <w:ind w:left="720"/>
      <w:contextualSpacing/>
    </w:pPr>
  </w:style>
  <w:style w:type="character" w:styleId="IntenseEmphasis">
    <w:name w:val="Intense Emphasis"/>
    <w:basedOn w:val="DefaultParagraphFont"/>
    <w:uiPriority w:val="21"/>
    <w:qFormat/>
    <w:rsid w:val="002D2CFE"/>
    <w:rPr>
      <w:i/>
      <w:iCs/>
      <w:color w:val="2F5496" w:themeColor="accent1" w:themeShade="BF"/>
    </w:rPr>
  </w:style>
  <w:style w:type="paragraph" w:styleId="IntenseQuote">
    <w:name w:val="Intense Quote"/>
    <w:basedOn w:val="Normal"/>
    <w:next w:val="Normal"/>
    <w:link w:val="IntenseQuoteChar"/>
    <w:uiPriority w:val="30"/>
    <w:qFormat/>
    <w:rsid w:val="002D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CFE"/>
    <w:rPr>
      <w:i/>
      <w:iCs/>
      <w:color w:val="2F5496" w:themeColor="accent1" w:themeShade="BF"/>
    </w:rPr>
  </w:style>
  <w:style w:type="character" w:styleId="IntenseReference">
    <w:name w:val="Intense Reference"/>
    <w:basedOn w:val="DefaultParagraphFont"/>
    <w:uiPriority w:val="32"/>
    <w:qFormat/>
    <w:rsid w:val="002D2CFE"/>
    <w:rPr>
      <w:b/>
      <w:bCs/>
      <w:smallCaps/>
      <w:color w:val="2F5496" w:themeColor="accent1" w:themeShade="BF"/>
      <w:spacing w:val="5"/>
    </w:rPr>
  </w:style>
  <w:style w:type="paragraph" w:styleId="BalloonText">
    <w:name w:val="Balloon Text"/>
    <w:basedOn w:val="Normal"/>
    <w:link w:val="BalloonTextChar"/>
    <w:uiPriority w:val="99"/>
    <w:qFormat/>
    <w:rsid w:val="002D2CFE"/>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2D2CFE"/>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2D2CFE"/>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2D2CFE"/>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2D2CFE"/>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2D2CFE"/>
    <w:rPr>
      <w:sz w:val="16"/>
      <w:szCs w:val="16"/>
    </w:rPr>
  </w:style>
  <w:style w:type="paragraph" w:styleId="CommentText">
    <w:name w:val="annotation text"/>
    <w:basedOn w:val="Normal"/>
    <w:link w:val="CommentTextChar"/>
    <w:uiPriority w:val="99"/>
    <w:qFormat/>
    <w:rsid w:val="002D2CFE"/>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2D2CFE"/>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2D2CFE"/>
    <w:rPr>
      <w:b/>
      <w:bCs/>
    </w:rPr>
  </w:style>
  <w:style w:type="character" w:customStyle="1" w:styleId="CommentSubjectChar">
    <w:name w:val="Comment Subject Char"/>
    <w:basedOn w:val="CommentTextChar"/>
    <w:link w:val="CommentSubject"/>
    <w:uiPriority w:val="99"/>
    <w:qFormat/>
    <w:rsid w:val="002D2CFE"/>
    <w:rPr>
      <w:rFonts w:eastAsiaTheme="minorEastAsia"/>
      <w:b/>
      <w:bCs/>
      <w:kern w:val="0"/>
      <w:sz w:val="20"/>
      <w:szCs w:val="20"/>
      <w:lang w:val="en-ZA"/>
      <w14:ligatures w14:val="none"/>
    </w:rPr>
  </w:style>
  <w:style w:type="character" w:styleId="Emphasis">
    <w:name w:val="Emphasis"/>
    <w:basedOn w:val="DefaultParagraphFont"/>
    <w:uiPriority w:val="20"/>
    <w:qFormat/>
    <w:rsid w:val="002D2CFE"/>
    <w:rPr>
      <w:i/>
      <w:iCs/>
    </w:rPr>
  </w:style>
  <w:style w:type="character" w:styleId="EndnoteReference">
    <w:name w:val="endnote reference"/>
    <w:basedOn w:val="DefaultParagraphFont"/>
    <w:uiPriority w:val="99"/>
    <w:unhideWhenUsed/>
    <w:qFormat/>
    <w:rsid w:val="002D2CFE"/>
    <w:rPr>
      <w:vertAlign w:val="superscript"/>
    </w:rPr>
  </w:style>
  <w:style w:type="paragraph" w:styleId="EndnoteText">
    <w:name w:val="endnote text"/>
    <w:basedOn w:val="Normal"/>
    <w:link w:val="EndnoteTextChar"/>
    <w:uiPriority w:val="99"/>
    <w:unhideWhenUsed/>
    <w:qFormat/>
    <w:rsid w:val="002D2CFE"/>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2D2CFE"/>
    <w:rPr>
      <w:kern w:val="0"/>
      <w:sz w:val="20"/>
      <w:szCs w:val="20"/>
      <w:lang w:val="en-ZA"/>
      <w14:ligatures w14:val="none"/>
    </w:rPr>
  </w:style>
  <w:style w:type="paragraph" w:styleId="Footer">
    <w:name w:val="footer"/>
    <w:basedOn w:val="Normal"/>
    <w:link w:val="Foot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2D2CFE"/>
    <w:rPr>
      <w:rFonts w:eastAsiaTheme="minorEastAsia"/>
      <w:kern w:val="0"/>
      <w:lang w:val="en-ZA"/>
      <w14:ligatures w14:val="none"/>
    </w:rPr>
  </w:style>
  <w:style w:type="paragraph" w:styleId="Header">
    <w:name w:val="header"/>
    <w:basedOn w:val="Normal"/>
    <w:link w:val="Head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2D2CFE"/>
    <w:rPr>
      <w:rFonts w:eastAsiaTheme="minorEastAsia"/>
      <w:kern w:val="0"/>
      <w:lang w:val="en-ZA"/>
      <w14:ligatures w14:val="none"/>
    </w:rPr>
  </w:style>
  <w:style w:type="character" w:styleId="Hyperlink">
    <w:name w:val="Hyperlink"/>
    <w:basedOn w:val="DefaultParagraphFont"/>
    <w:uiPriority w:val="99"/>
    <w:unhideWhenUsed/>
    <w:qFormat/>
    <w:rsid w:val="002D2CFE"/>
    <w:rPr>
      <w:color w:val="0563C1" w:themeColor="hyperlink"/>
      <w:u w:val="single"/>
    </w:rPr>
  </w:style>
  <w:style w:type="paragraph" w:styleId="NormalWeb">
    <w:name w:val="Normal (Web)"/>
    <w:basedOn w:val="Normal"/>
    <w:uiPriority w:val="99"/>
    <w:unhideWhenUsed/>
    <w:qFormat/>
    <w:rsid w:val="002D2CFE"/>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2D2CFE"/>
    <w:rPr>
      <w:b/>
      <w:bCs/>
    </w:rPr>
  </w:style>
  <w:style w:type="table" w:styleId="TableGrid">
    <w:name w:val="Table Grid"/>
    <w:basedOn w:val="TableNormal"/>
    <w:qFormat/>
    <w:rsid w:val="002D2CFE"/>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2D2CFE"/>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2D2CFE"/>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2D2CFE"/>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2D2CFE"/>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2D2CFE"/>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2D2CFE"/>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2D2CFE"/>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2D2CFE"/>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2D2CFE"/>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2D2CFE"/>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2D2CFE"/>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2D2CFE"/>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2D2CFE"/>
    <w:rPr>
      <w:color w:val="000000"/>
      <w:sz w:val="18"/>
      <w:szCs w:val="18"/>
    </w:rPr>
  </w:style>
  <w:style w:type="paragraph" w:customStyle="1" w:styleId="Pa14">
    <w:name w:val="Pa14"/>
    <w:basedOn w:val="Default"/>
    <w:next w:val="Default"/>
    <w:uiPriority w:val="99"/>
    <w:qFormat/>
    <w:rsid w:val="002D2CFE"/>
    <w:pPr>
      <w:spacing w:line="200" w:lineRule="atLeast"/>
    </w:pPr>
    <w:rPr>
      <w:rFonts w:eastAsiaTheme="minorEastAsia"/>
      <w:color w:val="auto"/>
      <w:lang w:eastAsia="en-US"/>
    </w:rPr>
  </w:style>
  <w:style w:type="paragraph" w:styleId="NoSpacing">
    <w:name w:val="No Spacing"/>
    <w:link w:val="NoSpacingChar"/>
    <w:uiPriority w:val="1"/>
    <w:qFormat/>
    <w:rsid w:val="002D2CFE"/>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2D2CFE"/>
    <w:rPr>
      <w:rFonts w:eastAsiaTheme="minorEastAsia"/>
      <w:kern w:val="0"/>
      <w:lang w:val="en-ZA"/>
      <w14:ligatures w14:val="none"/>
    </w:rPr>
  </w:style>
  <w:style w:type="character" w:customStyle="1" w:styleId="A61">
    <w:name w:val="A6+1"/>
    <w:uiPriority w:val="99"/>
    <w:qFormat/>
    <w:rsid w:val="002D2CFE"/>
    <w:rPr>
      <w:color w:val="000000"/>
      <w:sz w:val="22"/>
      <w:szCs w:val="22"/>
    </w:rPr>
  </w:style>
  <w:style w:type="paragraph" w:customStyle="1" w:styleId="14">
    <w:name w:val="14"/>
    <w:basedOn w:val="Normal"/>
    <w:qFormat/>
    <w:rsid w:val="002D2CFE"/>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2D2CFE"/>
    <w:rPr>
      <w:rFonts w:cs="GarthGraphic"/>
      <w:color w:val="000000"/>
      <w:sz w:val="10"/>
      <w:szCs w:val="10"/>
    </w:rPr>
  </w:style>
  <w:style w:type="paragraph" w:customStyle="1" w:styleId="TOCHeading1">
    <w:name w:val="TOC Heading1"/>
    <w:basedOn w:val="Heading1"/>
    <w:next w:val="Normal"/>
    <w:uiPriority w:val="39"/>
    <w:unhideWhenUsed/>
    <w:qFormat/>
    <w:rsid w:val="002D2CFE"/>
    <w:pPr>
      <w:spacing w:before="240" w:after="0"/>
      <w:outlineLvl w:val="9"/>
    </w:pPr>
    <w:rPr>
      <w:sz w:val="32"/>
      <w:szCs w:val="32"/>
    </w:rPr>
  </w:style>
  <w:style w:type="character" w:customStyle="1" w:styleId="tgc">
    <w:name w:val="_tgc"/>
    <w:basedOn w:val="DefaultParagraphFont"/>
    <w:qFormat/>
    <w:rsid w:val="002D2CFE"/>
  </w:style>
  <w:style w:type="character" w:customStyle="1" w:styleId="apple-converted-space">
    <w:name w:val="apple-converted-space"/>
    <w:basedOn w:val="DefaultParagraphFont"/>
    <w:qFormat/>
    <w:rsid w:val="002D2CFE"/>
  </w:style>
  <w:style w:type="character" w:customStyle="1" w:styleId="refseries">
    <w:name w:val="ref__series"/>
    <w:basedOn w:val="DefaultParagraphFont"/>
    <w:qFormat/>
    <w:rsid w:val="002D2CFE"/>
  </w:style>
  <w:style w:type="character" w:customStyle="1" w:styleId="refseriesdate">
    <w:name w:val="ref__seriesdate"/>
    <w:basedOn w:val="DefaultParagraphFont"/>
    <w:qFormat/>
    <w:rsid w:val="002D2CFE"/>
  </w:style>
  <w:style w:type="character" w:customStyle="1" w:styleId="refseriesvolume">
    <w:name w:val="ref__seriesvolume"/>
    <w:basedOn w:val="DefaultParagraphFont"/>
    <w:qFormat/>
    <w:rsid w:val="002D2CFE"/>
  </w:style>
  <w:style w:type="character" w:customStyle="1" w:styleId="refseriespages">
    <w:name w:val="ref__seriespages"/>
    <w:basedOn w:val="DefaultParagraphFont"/>
    <w:qFormat/>
    <w:rsid w:val="002D2CFE"/>
  </w:style>
  <w:style w:type="character" w:customStyle="1" w:styleId="ref-title">
    <w:name w:val="ref-title"/>
    <w:basedOn w:val="DefaultParagraphFont"/>
    <w:qFormat/>
    <w:rsid w:val="002D2CFE"/>
  </w:style>
  <w:style w:type="character" w:customStyle="1" w:styleId="ref-journal">
    <w:name w:val="ref-journal"/>
    <w:basedOn w:val="DefaultParagraphFont"/>
    <w:qFormat/>
    <w:rsid w:val="002D2CFE"/>
  </w:style>
  <w:style w:type="character" w:customStyle="1" w:styleId="ref-vol">
    <w:name w:val="ref-vol"/>
    <w:basedOn w:val="DefaultParagraphFont"/>
    <w:qFormat/>
    <w:rsid w:val="002D2CFE"/>
  </w:style>
  <w:style w:type="character" w:customStyle="1" w:styleId="element-citation">
    <w:name w:val="element-citation"/>
    <w:basedOn w:val="DefaultParagraphFont"/>
    <w:qFormat/>
    <w:rsid w:val="002D2CFE"/>
  </w:style>
  <w:style w:type="character" w:customStyle="1" w:styleId="nowrap">
    <w:name w:val="nowrap"/>
    <w:basedOn w:val="DefaultParagraphFont"/>
    <w:qFormat/>
    <w:rsid w:val="002D2CFE"/>
  </w:style>
  <w:style w:type="character" w:customStyle="1" w:styleId="a">
    <w:name w:val="_"/>
    <w:basedOn w:val="DefaultParagraphFont"/>
    <w:qFormat/>
    <w:rsid w:val="002D2CFE"/>
  </w:style>
  <w:style w:type="character" w:customStyle="1" w:styleId="ff1">
    <w:name w:val="ff1"/>
    <w:basedOn w:val="DefaultParagraphFont"/>
    <w:qFormat/>
    <w:rsid w:val="002D2CFE"/>
  </w:style>
  <w:style w:type="character" w:customStyle="1" w:styleId="ff2">
    <w:name w:val="ff2"/>
    <w:basedOn w:val="DefaultParagraphFont"/>
    <w:qFormat/>
    <w:rsid w:val="002D2CFE"/>
  </w:style>
  <w:style w:type="character" w:customStyle="1" w:styleId="ff3">
    <w:name w:val="ff3"/>
    <w:basedOn w:val="DefaultParagraphFont"/>
    <w:qFormat/>
    <w:rsid w:val="002D2CFE"/>
  </w:style>
  <w:style w:type="character" w:customStyle="1" w:styleId="ls1f">
    <w:name w:val="ls1f"/>
    <w:basedOn w:val="DefaultParagraphFont"/>
    <w:qFormat/>
    <w:rsid w:val="002D2CFE"/>
  </w:style>
  <w:style w:type="character" w:customStyle="1" w:styleId="ls1">
    <w:name w:val="ls1"/>
    <w:basedOn w:val="DefaultParagraphFont"/>
    <w:qFormat/>
    <w:rsid w:val="002D2CFE"/>
  </w:style>
  <w:style w:type="character" w:customStyle="1" w:styleId="Hyperlink1">
    <w:name w:val="Hyperlink1"/>
    <w:basedOn w:val="DefaultParagraphFont"/>
    <w:qFormat/>
    <w:rsid w:val="002D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9080/CTBEB.2017.06.555681" TargetMode="External"/><Relationship Id="rId18" Type="http://schemas.openxmlformats.org/officeDocument/2006/relationships/hyperlink" Target="https://www.africanjournalofbiomedicalresearch.com/index.php/ajbr/article/view/109" TargetMode="External"/><Relationship Id="rId26" Type="http://schemas.openxmlformats.org/officeDocument/2006/relationships/hyperlink" Target="http://www.rogerblench.info/Ethnoscience/Plants/Hausa%20plant%20names.pdf" TargetMode="External"/><Relationship Id="rId21" Type="http://schemas.openxmlformats.org/officeDocument/2006/relationships/hyperlink" Target="https://doi.org/10.4314/mjar.v7i1.3183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897/AJAR.9000383" TargetMode="External"/><Relationship Id="rId17" Type="http://schemas.openxmlformats.org/officeDocument/2006/relationships/hyperlink" Target="https://hdl.handle.net/10568/162146" TargetMode="External"/><Relationship Id="rId25" Type="http://schemas.openxmlformats.org/officeDocument/2006/relationships/hyperlink" Target="https://doi.org/10.4314/gjass.v5i2.2323"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41/cjas95-029" TargetMode="External"/><Relationship Id="rId20" Type="http://schemas.openxmlformats.org/officeDocument/2006/relationships/hyperlink" Target="http://www.ajol.info/index.php/njbas/issue/archive" TargetMode="External"/><Relationship Id="rId29" Type="http://schemas.openxmlformats.org/officeDocument/2006/relationships/hyperlink" Target="https://doi.org/10.24099/vet.arhiv.0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S0921-4488(03)00097-X"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11/j.1939-165x.1984.tb00833.x" TargetMode="External"/><Relationship Id="rId23" Type="http://schemas.openxmlformats.org/officeDocument/2006/relationships/hyperlink" Target="https://doi.org/10.15547/ast.2017.02.020" TargetMode="External"/><Relationship Id="rId28" Type="http://schemas.openxmlformats.org/officeDocument/2006/relationships/hyperlink" Target="https://doi.org/10.3923/pjn.2002.95.98"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wiley.com/en-us/Clinical+Examination+of+Farm+Animals-p-9780632057061"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4865/mjas1221011a" TargetMode="External"/><Relationship Id="rId22" Type="http://schemas.openxmlformats.org/officeDocument/2006/relationships/hyperlink" Target="https://doi.org/10.3923/pjn.2006.522.529" TargetMode="External"/><Relationship Id="rId27" Type="http://schemas.openxmlformats.org/officeDocument/2006/relationships/hyperlink" Target="https://doi.org/10.1016/j.applanim.2010.01.00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21B3-2286-4D3F-B49E-07491868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Dr.Sachin B Patil</cp:lastModifiedBy>
  <cp:revision>62</cp:revision>
  <dcterms:created xsi:type="dcterms:W3CDTF">2025-11-23T10:13:00Z</dcterms:created>
  <dcterms:modified xsi:type="dcterms:W3CDTF">2025-12-16T05:29:00Z</dcterms:modified>
</cp:coreProperties>
</file>