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C6786">
      <w:pPr>
        <w:spacing w:after="0"/>
        <w:jc w:val="center"/>
        <w:rPr>
          <w:rFonts w:ascii="Times New Roman" w:hAnsi="Times New Roman" w:cs="Times New Roman"/>
        </w:rPr>
      </w:pPr>
      <w:r>
        <w:rPr>
          <w:rFonts w:ascii="Times New Roman" w:hAnsi="Times New Roman" w:cs="Times New Roman"/>
        </w:rPr>
        <w:t>Original Research Article</w:t>
      </w:r>
    </w:p>
    <w:p w14:paraId="14EB99A6">
      <w:pPr>
        <w:spacing w:after="0"/>
        <w:jc w:val="center"/>
        <w:rPr>
          <w:rFonts w:ascii="Times New Roman" w:hAnsi="Times New Roman" w:cs="Times New Roman"/>
        </w:rPr>
      </w:pPr>
    </w:p>
    <w:p w14:paraId="7C2FFF2C">
      <w:pPr>
        <w:spacing w:after="0"/>
        <w:jc w:val="center"/>
        <w:rPr>
          <w:rFonts w:ascii="Times New Roman" w:hAnsi="Times New Roman" w:cs="Times New Roman"/>
        </w:rPr>
      </w:pPr>
      <w:bookmarkStart w:id="0" w:name="_Hlk216367982"/>
      <w:r>
        <w:rPr>
          <w:rFonts w:ascii="Times New Roman" w:hAnsi="Times New Roman" w:cs="Times New Roman"/>
        </w:rPr>
        <w:t>The Prevalence and distribution Pattern of Adult Haematological Malignancies in Rivers State, Nigeria: A Sixteen year retrospective Review</w:t>
      </w:r>
    </w:p>
    <w:bookmarkEnd w:id="0"/>
    <w:p w14:paraId="585D3BEF">
      <w:pPr>
        <w:spacing w:after="0"/>
        <w:jc w:val="center"/>
        <w:rPr>
          <w:rFonts w:ascii="Times New Roman" w:hAnsi="Times New Roman" w:cs="Times New Roman"/>
        </w:rPr>
      </w:pPr>
    </w:p>
    <w:p w14:paraId="1BD2B7F2">
      <w:pPr>
        <w:spacing w:after="0"/>
        <w:rPr>
          <w:rFonts w:ascii="Times New Roman" w:hAnsi="Times New Roman" w:cs="Times New Roman"/>
        </w:rPr>
      </w:pPr>
    </w:p>
    <w:p w14:paraId="7DE7821F">
      <w:pPr>
        <w:spacing w:after="0"/>
        <w:jc w:val="center"/>
        <w:rPr>
          <w:rFonts w:ascii="Times New Roman" w:hAnsi="Times New Roman" w:cs="Times New Roman"/>
        </w:rPr>
      </w:pPr>
    </w:p>
    <w:p w14:paraId="3577DCD8">
      <w:pPr>
        <w:spacing w:after="0"/>
        <w:rPr>
          <w:rFonts w:ascii="Times New Roman" w:hAnsi="Times New Roman" w:cs="Times New Roman"/>
        </w:rPr>
      </w:pPr>
    </w:p>
    <w:p w14:paraId="52600E6E">
      <w:pPr>
        <w:spacing w:after="0" w:line="480" w:lineRule="auto"/>
        <w:jc w:val="center"/>
        <w:rPr>
          <w:rFonts w:ascii="Times New Roman" w:hAnsi="Times New Roman" w:cs="Times New Roman"/>
          <w:b/>
        </w:rPr>
      </w:pPr>
      <w:r>
        <w:rPr>
          <w:rFonts w:ascii="Times New Roman" w:hAnsi="Times New Roman" w:cs="Times New Roman"/>
          <w:b/>
        </w:rPr>
        <w:t>ABSTRACT</w:t>
      </w:r>
    </w:p>
    <w:p w14:paraId="4A166222">
      <w:pPr>
        <w:spacing w:after="0" w:line="240" w:lineRule="auto"/>
        <w:rPr>
          <w:rFonts w:ascii="Times New Roman" w:hAnsi="Times New Roman" w:cs="Times New Roman"/>
        </w:rPr>
      </w:pPr>
      <w:r>
        <w:rPr>
          <w:rFonts w:ascii="Times New Roman" w:hAnsi="Times New Roman" w:cs="Times New Roman"/>
          <w:b/>
        </w:rPr>
        <w:t>Background</w:t>
      </w:r>
      <w:r>
        <w:rPr>
          <w:rFonts w:ascii="Times New Roman" w:hAnsi="Times New Roman" w:cs="Times New Roman"/>
        </w:rPr>
        <w:t>: Haematological malignancies are a heterogeneous group of clonal neoplastic disorder of the blood and blood forming organs associated with significant mortality and morbidity in our locality.</w:t>
      </w:r>
    </w:p>
    <w:p w14:paraId="57BF99D4">
      <w:pPr>
        <w:spacing w:after="0" w:line="240" w:lineRule="auto"/>
        <w:rPr>
          <w:rFonts w:ascii="Times New Roman" w:hAnsi="Times New Roman" w:cs="Times New Roman"/>
        </w:rPr>
      </w:pPr>
    </w:p>
    <w:p w14:paraId="6C7D2DEF">
      <w:pPr>
        <w:spacing w:after="0" w:line="240" w:lineRule="auto"/>
        <w:rPr>
          <w:rFonts w:ascii="Times New Roman" w:hAnsi="Times New Roman" w:cs="Times New Roman"/>
        </w:rPr>
      </w:pPr>
      <w:r>
        <w:rPr>
          <w:rFonts w:ascii="Times New Roman" w:hAnsi="Times New Roman" w:cs="Times New Roman"/>
          <w:b/>
        </w:rPr>
        <w:t>Objectives</w:t>
      </w:r>
      <w:r>
        <w:rPr>
          <w:rFonts w:ascii="Times New Roman" w:hAnsi="Times New Roman" w:cs="Times New Roman"/>
        </w:rPr>
        <w:t>: To determine the prevalence, pattern of distribution and yearly trends of adult patients diagnosed with haematological malignancies in two tertiary hospitals in Rivers State, Nigeria, between 2009 and 2024.</w:t>
      </w:r>
    </w:p>
    <w:p w14:paraId="19581473">
      <w:pPr>
        <w:spacing w:after="0" w:line="240" w:lineRule="auto"/>
        <w:rPr>
          <w:rFonts w:ascii="Times New Roman" w:hAnsi="Times New Roman" w:cs="Times New Roman"/>
        </w:rPr>
      </w:pPr>
    </w:p>
    <w:p w14:paraId="63154589">
      <w:pPr>
        <w:spacing w:after="0" w:line="240" w:lineRule="auto"/>
        <w:rPr>
          <w:rFonts w:ascii="Times New Roman" w:hAnsi="Times New Roman" w:cs="Times New Roman"/>
        </w:rPr>
      </w:pPr>
      <w:r>
        <w:rPr>
          <w:rFonts w:ascii="Times New Roman" w:hAnsi="Times New Roman" w:cs="Times New Roman"/>
          <w:b/>
        </w:rPr>
        <w:t>Methods</w:t>
      </w:r>
      <w:r>
        <w:rPr>
          <w:rFonts w:ascii="Times New Roman" w:hAnsi="Times New Roman" w:cs="Times New Roman"/>
        </w:rPr>
        <w:t xml:space="preserve">: This was a sixteen (16) year retrospective study of adult patients with HM. Data was retrieved from the archives of the departments of Haematology and Histopathology of the University of Port Harcourt Teaching hospital and the Rivers State University Teaching Hospital and was analyzed with SPSS version 26. Descriptive statistics were presented using figures and tables. </w:t>
      </w:r>
    </w:p>
    <w:p w14:paraId="421976BB">
      <w:pPr>
        <w:spacing w:after="0" w:line="240" w:lineRule="auto"/>
        <w:rPr>
          <w:rFonts w:ascii="Times New Roman" w:hAnsi="Times New Roman" w:cs="Times New Roman"/>
        </w:rPr>
      </w:pPr>
    </w:p>
    <w:p w14:paraId="65ECB53B">
      <w:pPr>
        <w:spacing w:after="0" w:line="240" w:lineRule="auto"/>
        <w:rPr>
          <w:rFonts w:ascii="Times New Roman" w:hAnsi="Times New Roman" w:cs="Times New Roman"/>
        </w:rPr>
      </w:pPr>
      <w:r>
        <w:rPr>
          <w:rFonts w:ascii="Times New Roman" w:hAnsi="Times New Roman" w:cs="Times New Roman"/>
          <w:b/>
        </w:rPr>
        <w:t>Results</w:t>
      </w:r>
      <w:r>
        <w:rPr>
          <w:rFonts w:ascii="Times New Roman" w:hAnsi="Times New Roman" w:cs="Times New Roman"/>
        </w:rPr>
        <w:t>: A total of 2832 cases of malignancies were seen over the sixteen (16) years period. Two hundred and thirty five (8.3%) were adult with haematological malignancies. One hundred and eighteen (50.2%) were males and 117 (49.8%) were females with a ratio of 1.01:1.The mean age at presentation was 47.3 ± 16.3 years. Chronic myeloid leukaemia (CML) and Non Hodgkin lymphoma (NHL) were the most common HMs (28.9% and 17.9% respectively), followed by multiple myeloma (14.9%). The annual incidence increased gradually, peaking in the years 2020 and 2024</w:t>
      </w:r>
    </w:p>
    <w:p w14:paraId="44F17558">
      <w:pPr>
        <w:spacing w:after="0" w:line="240" w:lineRule="auto"/>
        <w:rPr>
          <w:rFonts w:ascii="Times New Roman" w:hAnsi="Times New Roman" w:cs="Times New Roman"/>
        </w:rPr>
      </w:pPr>
    </w:p>
    <w:p w14:paraId="7E2F93CC">
      <w:pPr>
        <w:spacing w:after="0" w:line="240" w:lineRule="auto"/>
        <w:rPr>
          <w:rFonts w:ascii="Times New Roman" w:hAnsi="Times New Roman" w:cs="Times New Roman"/>
        </w:rPr>
      </w:pPr>
      <w:r>
        <w:rPr>
          <w:rFonts w:ascii="Times New Roman" w:hAnsi="Times New Roman" w:cs="Times New Roman"/>
          <w:b/>
        </w:rPr>
        <w:t>Conclusion</w:t>
      </w:r>
      <w:r>
        <w:rPr>
          <w:rFonts w:ascii="Times New Roman" w:hAnsi="Times New Roman" w:cs="Times New Roman"/>
        </w:rPr>
        <w:t>: This study reveals the prevalence and pattern of haematolologic malignancies in our locality. This will serve as a tool in creating public awareness on the burden of the disease. The increased incidence of HMs in recent years highlights the need for improved public health surveillance and diagnostic facilities in our environment.</w:t>
      </w:r>
    </w:p>
    <w:p w14:paraId="0245E95B">
      <w:pPr>
        <w:spacing w:after="0" w:line="240" w:lineRule="auto"/>
        <w:rPr>
          <w:rFonts w:ascii="Times New Roman" w:hAnsi="Times New Roman" w:cs="Times New Roman"/>
        </w:rPr>
      </w:pPr>
    </w:p>
    <w:p w14:paraId="4F15FF6E">
      <w:pPr>
        <w:spacing w:after="0" w:line="240" w:lineRule="auto"/>
        <w:rPr>
          <w:rFonts w:ascii="Times New Roman" w:hAnsi="Times New Roman" w:cs="Times New Roman"/>
        </w:rPr>
      </w:pPr>
    </w:p>
    <w:p w14:paraId="19F501B9">
      <w:pPr>
        <w:spacing w:after="0" w:line="240" w:lineRule="auto"/>
        <w:rPr>
          <w:rFonts w:ascii="Times New Roman" w:hAnsi="Times New Roman" w:cs="Times New Roman"/>
        </w:rPr>
      </w:pPr>
      <w:r>
        <w:rPr>
          <w:rFonts w:ascii="Times New Roman" w:hAnsi="Times New Roman" w:cs="Times New Roman"/>
        </w:rPr>
        <w:t>Keywords: prevalence, pattern, haematological malignancies, Nigeria</w:t>
      </w:r>
    </w:p>
    <w:p w14:paraId="674FC9C1">
      <w:pPr>
        <w:spacing w:after="0"/>
        <w:rPr>
          <w:rFonts w:ascii="Times New Roman" w:hAnsi="Times New Roman" w:cs="Times New Roman"/>
        </w:rPr>
      </w:pPr>
    </w:p>
    <w:p w14:paraId="7AFBF01D">
      <w:pPr>
        <w:spacing w:after="0"/>
        <w:jc w:val="center"/>
        <w:rPr>
          <w:rFonts w:ascii="Times New Roman" w:hAnsi="Times New Roman" w:cs="Times New Roman"/>
          <w:b/>
        </w:rPr>
      </w:pPr>
    </w:p>
    <w:p w14:paraId="2E37842B">
      <w:pPr>
        <w:spacing w:after="0"/>
        <w:jc w:val="center"/>
        <w:rPr>
          <w:rFonts w:ascii="Times New Roman" w:hAnsi="Times New Roman" w:cs="Times New Roman"/>
          <w:b/>
        </w:rPr>
      </w:pPr>
      <w:r>
        <w:rPr>
          <w:rFonts w:ascii="Times New Roman" w:hAnsi="Times New Roman" w:cs="Times New Roman"/>
          <w:b/>
        </w:rPr>
        <w:t>INTRODUCTION</w:t>
      </w:r>
    </w:p>
    <w:p w14:paraId="22D6345F">
      <w:pPr>
        <w:pStyle w:val="11"/>
        <w:spacing w:before="100" w:beforeAutospacing="1" w:line="480" w:lineRule="auto"/>
        <w:jc w:val="both"/>
        <w:rPr>
          <w:rFonts w:ascii="Times New Roman" w:hAnsi="Times New Roman" w:cs="Times New Roman"/>
          <w:lang w:val="en-US"/>
        </w:rPr>
      </w:pPr>
      <w:r>
        <w:rPr>
          <w:rFonts w:ascii="Times New Roman" w:hAnsi="Times New Roman" w:cs="Times New Roman"/>
          <w:shd w:val="clear" w:color="auto" w:fill="FFFFFF"/>
        </w:rPr>
        <w:t>Haematologic malignancies are a group of clonal diseases arising from the malignant transformation of cells of the bone marrow or the lymphatic system characterized by abnormal proliferation and accumulation of malignant cells in various tissues and organs of the body.</w:t>
      </w:r>
      <w:r>
        <w:rPr>
          <w:rFonts w:ascii="Times New Roman" w:hAnsi="Times New Roman" w:cs="Times New Roman"/>
          <w:shd w:val="clear" w:color="auto" w:fill="FFFFFF"/>
          <w:vertAlign w:val="superscript"/>
        </w:rPr>
        <w:t>1</w:t>
      </w:r>
      <w:r>
        <w:rPr>
          <w:rFonts w:ascii="Times New Roman" w:hAnsi="Times New Roman" w:cs="Times New Roman"/>
          <w:shd w:val="clear" w:color="auto" w:fill="FFFFFF"/>
        </w:rPr>
        <w:t xml:space="preserve"> These malignant cells cause symptoms related to bone marrow failure and organ infiltration. Haematological malignancies generally have a negative impact on all aspects of the patient’s life and is one of   the leading causes of cancer associated deaths.</w:t>
      </w:r>
      <w:r>
        <w:rPr>
          <w:rFonts w:ascii="Times New Roman" w:hAnsi="Times New Roman" w:cs="Times New Roman"/>
          <w:vertAlign w:val="superscript"/>
        </w:rPr>
        <w:t xml:space="preserve">2 </w:t>
      </w:r>
      <w:r>
        <w:rPr>
          <w:rFonts w:ascii="Times New Roman" w:hAnsi="Times New Roman" w:cs="Times New Roman"/>
        </w:rPr>
        <w:t xml:space="preserve"> Worldwide</w:t>
      </w:r>
      <w:r>
        <w:rPr>
          <w:rFonts w:ascii="Times New Roman" w:hAnsi="Times New Roman" w:cs="Times New Roman"/>
          <w:lang w:val="en-US"/>
        </w:rPr>
        <w:t xml:space="preserve">, haematological malignancies have been estimated to account for about 6.5% of </w:t>
      </w:r>
      <w:r>
        <w:rPr>
          <w:rFonts w:ascii="Times New Roman" w:hAnsi="Times New Roman" w:cs="Times New Roman"/>
          <w:shd w:val="clear" w:color="auto" w:fill="FFFFFF"/>
        </w:rPr>
        <w:t>all cancers</w:t>
      </w:r>
      <w:r>
        <w:rPr>
          <w:rFonts w:ascii="Times New Roman" w:hAnsi="Times New Roman" w:cs="Times New Roman"/>
          <w:lang w:val="en-US"/>
        </w:rPr>
        <w:t>.</w:t>
      </w:r>
      <w:r>
        <w:rPr>
          <w:rFonts w:ascii="Times New Roman" w:hAnsi="Times New Roman" w:cs="Times New Roman"/>
          <w:vertAlign w:val="superscript"/>
          <w:lang w:val="en-US"/>
        </w:rPr>
        <w:t>3</w:t>
      </w:r>
      <w:r>
        <w:rPr>
          <w:rFonts w:ascii="Times New Roman" w:hAnsi="Times New Roman" w:cs="Times New Roman"/>
          <w:lang w:val="en-US"/>
        </w:rPr>
        <w:t xml:space="preserve"> In Europe and in the United States of America, haematological malignancies are the 4</w:t>
      </w:r>
      <w:r>
        <w:rPr>
          <w:rFonts w:ascii="Times New Roman" w:hAnsi="Times New Roman" w:cs="Times New Roman"/>
          <w:vertAlign w:val="superscript"/>
          <w:lang w:val="en-US"/>
        </w:rPr>
        <w:t xml:space="preserve">th  </w:t>
      </w:r>
      <w:r>
        <w:rPr>
          <w:rFonts w:ascii="Times New Roman" w:hAnsi="Times New Roman" w:cs="Times New Roman"/>
          <w:lang w:val="en-US"/>
        </w:rPr>
        <w:t xml:space="preserve"> most common cancers.</w:t>
      </w:r>
      <w:r>
        <w:rPr>
          <w:rFonts w:ascii="Times New Roman" w:hAnsi="Times New Roman" w:cs="Times New Roman"/>
          <w:vertAlign w:val="superscript"/>
          <w:lang w:val="en-US"/>
        </w:rPr>
        <w:t>4</w:t>
      </w:r>
      <w:r>
        <w:rPr>
          <w:rFonts w:ascii="Times New Roman" w:hAnsi="Times New Roman" w:cs="Times New Roman"/>
          <w:lang w:val="en-US"/>
        </w:rPr>
        <w:t xml:space="preserve"> In sub-Saharan Africa, haematological malignancies account for about 8.7% of cancer diagnoses and 9.9% of cancer-related deaths.</w:t>
      </w:r>
      <w:r>
        <w:rPr>
          <w:rFonts w:ascii="Times New Roman" w:hAnsi="Times New Roman" w:cs="Times New Roman"/>
          <w:vertAlign w:val="superscript"/>
          <w:lang w:val="en-US"/>
        </w:rPr>
        <w:t>5</w:t>
      </w:r>
      <w:r>
        <w:rPr>
          <w:rFonts w:ascii="Times New Roman" w:hAnsi="Times New Roman" w:cs="Times New Roman"/>
          <w:lang w:val="en-US"/>
        </w:rPr>
        <w:t xml:space="preserve"> Epidemiological studies conducted in several regions and states of Nigeria revealed the following: South-West had a prevalence of 18.05%</w:t>
      </w:r>
      <w:r>
        <w:rPr>
          <w:rFonts w:ascii="Times New Roman" w:hAnsi="Times New Roman" w:cs="Times New Roman"/>
          <w:vertAlign w:val="superscript"/>
          <w:lang w:val="en-US"/>
        </w:rPr>
        <w:t>6</w:t>
      </w:r>
      <w:r>
        <w:rPr>
          <w:rFonts w:ascii="Times New Roman" w:hAnsi="Times New Roman" w:cs="Times New Roman"/>
          <w:lang w:val="en-US"/>
        </w:rPr>
        <w:t>, North-Eastern Nigeria had a prevalence of 8.2%,</w:t>
      </w:r>
      <w:r>
        <w:rPr>
          <w:rFonts w:ascii="Times New Roman" w:hAnsi="Times New Roman" w:cs="Times New Roman"/>
          <w:vertAlign w:val="superscript"/>
          <w:lang w:val="en-US"/>
        </w:rPr>
        <w:t>7</w:t>
      </w:r>
      <w:r>
        <w:rPr>
          <w:rFonts w:ascii="Times New Roman" w:hAnsi="Times New Roman" w:cs="Times New Roman"/>
          <w:lang w:val="en-US"/>
        </w:rPr>
        <w:t xml:space="preserve">  southern- Nigeria had a prevalence of 4.3%,</w:t>
      </w:r>
      <w:r>
        <w:rPr>
          <w:rFonts w:ascii="Times New Roman" w:hAnsi="Times New Roman" w:cs="Times New Roman"/>
          <w:vertAlign w:val="superscript"/>
          <w:lang w:val="en-US"/>
        </w:rPr>
        <w:t>8</w:t>
      </w:r>
      <w:r>
        <w:rPr>
          <w:rFonts w:ascii="Times New Roman" w:hAnsi="Times New Roman" w:cs="Times New Roman"/>
          <w:lang w:val="en-US"/>
        </w:rPr>
        <w:t xml:space="preserve"> while Benin and Cross Rivers states had a prevalence of 17.4% and 10.5% respectively.</w:t>
      </w:r>
      <w:r>
        <w:rPr>
          <w:rFonts w:ascii="Times New Roman" w:hAnsi="Times New Roman" w:cs="Times New Roman"/>
          <w:vertAlign w:val="superscript"/>
          <w:lang w:val="en-US"/>
        </w:rPr>
        <w:t>9,10</w:t>
      </w:r>
      <w:r>
        <w:rPr>
          <w:rFonts w:ascii="Times New Roman" w:hAnsi="Times New Roman" w:cs="Times New Roman"/>
          <w:lang w:val="en-US"/>
        </w:rPr>
        <w:t xml:space="preserve"> T</w:t>
      </w:r>
      <w:r>
        <w:rPr>
          <w:rFonts w:ascii="Times New Roman" w:hAnsi="Times New Roman" w:cs="Times New Roman"/>
          <w:shd w:val="clear" w:color="auto" w:fill="FFFFFF"/>
        </w:rPr>
        <w:t>he World Health Organization  in the 5</w:t>
      </w:r>
      <w:r>
        <w:rPr>
          <w:rFonts w:ascii="Times New Roman" w:hAnsi="Times New Roman" w:cs="Times New Roman"/>
          <w:shd w:val="clear" w:color="auto" w:fill="FFFFFF"/>
          <w:vertAlign w:val="superscript"/>
        </w:rPr>
        <w:t>th</w:t>
      </w:r>
      <w:r>
        <w:rPr>
          <w:rFonts w:ascii="Times New Roman" w:hAnsi="Times New Roman" w:cs="Times New Roman"/>
          <w:shd w:val="clear" w:color="auto" w:fill="FFFFFF"/>
        </w:rPr>
        <w:t xml:space="preserve"> edition of the classification of haematolympoid tumours broadly classifies haematological malignancies </w:t>
      </w:r>
      <w:r>
        <w:rPr>
          <w:rFonts w:ascii="Times New Roman" w:hAnsi="Times New Roman" w:cs="Times New Roman"/>
          <w:color w:val="222222"/>
          <w:shd w:val="clear" w:color="auto" w:fill="FFFFFF"/>
        </w:rPr>
        <w:t>into myeloid neoplasms, lymphoid neoplasms, mast cell disorders, and histiocytic neoplasms based on the role that cell lines play in neoplastic transformation.</w:t>
      </w:r>
      <w:r>
        <w:rPr>
          <w:rFonts w:ascii="Times New Roman" w:hAnsi="Times New Roman" w:cs="Times New Roman"/>
          <w:color w:val="222222"/>
          <w:shd w:val="clear" w:color="auto" w:fill="FFFFFF"/>
          <w:vertAlign w:val="superscript"/>
        </w:rPr>
        <w:t>11</w:t>
      </w:r>
      <w:r>
        <w:rPr>
          <w:rFonts w:ascii="Times New Roman" w:hAnsi="Times New Roman" w:cs="Times New Roman"/>
          <w:lang w:val="en-US"/>
        </w:rPr>
        <w:t>The exact etiology of haematological malignancies remains largely unknown. However, genetic abnormalities and environmental factors have been implicated as risk factors for the development of haematological malignancies.</w:t>
      </w:r>
      <w:r>
        <w:rPr>
          <w:rFonts w:ascii="Times New Roman" w:hAnsi="Times New Roman" w:cs="Times New Roman"/>
          <w:vertAlign w:val="superscript"/>
          <w:lang w:val="en-US"/>
        </w:rPr>
        <w:t>12</w:t>
      </w:r>
      <w:r>
        <w:rPr>
          <w:rFonts w:ascii="Times New Roman" w:hAnsi="Times New Roman" w:cs="Times New Roman"/>
          <w:lang w:val="en-US"/>
        </w:rPr>
        <w:t xml:space="preserve"> Exposure to ionizing radiation, chemicals such as benzene, formaldehyde, agricultural pesticides and herbicides and Tobacco smoking are environmental risk factors.</w:t>
      </w:r>
      <w:r>
        <w:rPr>
          <w:rFonts w:ascii="Times New Roman" w:hAnsi="Times New Roman" w:cs="Times New Roman"/>
          <w:vertAlign w:val="superscript"/>
          <w:lang w:val="en-US"/>
        </w:rPr>
        <w:t>13</w:t>
      </w:r>
      <w:r>
        <w:rPr>
          <w:rFonts w:ascii="Times New Roman" w:hAnsi="Times New Roman" w:cs="Times New Roman"/>
          <w:lang w:val="en-US"/>
        </w:rPr>
        <w:t xml:space="preserve"> Rivers state is among the oil producing states in Nigeria, associated with air pollution via crude oil spillage and gas flaring.</w:t>
      </w:r>
      <w:r>
        <w:rPr>
          <w:rFonts w:ascii="Times New Roman" w:hAnsi="Times New Roman" w:cs="Times New Roman"/>
          <w:vertAlign w:val="superscript"/>
          <w:lang w:val="en-US"/>
        </w:rPr>
        <w:t xml:space="preserve">14 </w:t>
      </w:r>
      <w:r>
        <w:rPr>
          <w:rFonts w:ascii="Times New Roman" w:hAnsi="Times New Roman" w:cs="Times New Roman"/>
          <w:lang w:val="en-US"/>
        </w:rPr>
        <w:t>Benzene is a constituent of flared gas and has been implicated in the development of haematological malignancies.</w:t>
      </w:r>
      <w:r>
        <w:rPr>
          <w:rFonts w:ascii="Times New Roman" w:hAnsi="Times New Roman" w:cs="Times New Roman"/>
          <w:vertAlign w:val="superscript"/>
          <w:lang w:val="en-US"/>
        </w:rPr>
        <w:t>15</w:t>
      </w:r>
      <w:r>
        <w:rPr>
          <w:rFonts w:ascii="Times New Roman" w:hAnsi="Times New Roman" w:cs="Times New Roman"/>
          <w:lang w:val="en-US"/>
        </w:rPr>
        <w:t xml:space="preserve"> It is therefore pertinent to review the prevalence and distribution pattern of haematological malignancies in River State. This study aims to report the prevalence and the pattern of distribution of haematological malignancies in Rivers State.</w:t>
      </w:r>
    </w:p>
    <w:p w14:paraId="0EA3F6AF">
      <w:pPr>
        <w:spacing w:line="360" w:lineRule="auto"/>
        <w:rPr>
          <w:rFonts w:ascii="Times New Roman" w:hAnsi="Times New Roman" w:cs="Times New Roman"/>
        </w:rPr>
      </w:pPr>
    </w:p>
    <w:p w14:paraId="433B46B4">
      <w:pPr>
        <w:pStyle w:val="11"/>
        <w:spacing w:before="100" w:beforeAutospacing="1" w:line="360" w:lineRule="auto"/>
        <w:jc w:val="center"/>
        <w:rPr>
          <w:rFonts w:ascii="Times New Roman" w:hAnsi="Times New Roman" w:cs="Times New Roman"/>
          <w:b/>
          <w:lang w:val="en-US"/>
        </w:rPr>
      </w:pPr>
      <w:r>
        <w:rPr>
          <w:rFonts w:ascii="Times New Roman" w:hAnsi="Times New Roman" w:cs="Times New Roman"/>
          <w:b/>
          <w:lang w:val="en-US"/>
        </w:rPr>
        <w:t>MATERIALS AND METHOD</w:t>
      </w:r>
    </w:p>
    <w:p w14:paraId="54144AE5">
      <w:pPr>
        <w:pStyle w:val="11"/>
        <w:spacing w:before="100" w:beforeAutospacing="1" w:line="480" w:lineRule="auto"/>
        <w:jc w:val="both"/>
        <w:rPr>
          <w:rFonts w:ascii="Times New Roman" w:hAnsi="Times New Roman" w:cs="Times New Roman"/>
          <w:lang w:val="en-US"/>
        </w:rPr>
      </w:pPr>
      <w:r>
        <w:rPr>
          <w:rFonts w:ascii="Times New Roman" w:hAnsi="Times New Roman" w:cs="Times New Roman"/>
          <w:color w:val="333333"/>
        </w:rPr>
        <w:t>This was a 16 years retrospective study conducted at the University of Port Harcourt Teaching Hospital and the Rivers State University Teaching Hospital. Both centres are tertiary institutions serving Rivers</w:t>
      </w:r>
      <w:r>
        <w:commentReference w:id="0"/>
      </w:r>
      <w:r>
        <w:rPr>
          <w:rFonts w:ascii="Times New Roman" w:hAnsi="Times New Roman" w:cs="Times New Roman"/>
          <w:color w:val="333333"/>
        </w:rPr>
        <w:t xml:space="preserve"> State and its neighbouring states. Adult was defined as individuals aged 18 years and above</w:t>
      </w:r>
      <w:r>
        <w:rPr>
          <w:rFonts w:ascii="Times New Roman" w:hAnsi="Times New Roman" w:cs="Times New Roman"/>
        </w:rPr>
        <w:t xml:space="preserve">. Data of adult patients diagnosed with haematological malignancies were retrieved from the archives of both hospitals </w:t>
      </w:r>
      <w:r>
        <w:commentReference w:id="1"/>
      </w:r>
      <w:r>
        <w:rPr>
          <w:rFonts w:ascii="Times New Roman" w:hAnsi="Times New Roman" w:cs="Times New Roman"/>
        </w:rPr>
        <w:t>from 1</w:t>
      </w:r>
      <w:r>
        <w:rPr>
          <w:rFonts w:ascii="Times New Roman" w:hAnsi="Times New Roman" w:cs="Times New Roman"/>
          <w:vertAlign w:val="superscript"/>
        </w:rPr>
        <w:t>st</w:t>
      </w:r>
      <w:r>
        <w:rPr>
          <w:rFonts w:ascii="Times New Roman" w:hAnsi="Times New Roman" w:cs="Times New Roman"/>
        </w:rPr>
        <w:t xml:space="preserve"> January 2009 to 31</w:t>
      </w:r>
      <w:r>
        <w:rPr>
          <w:rFonts w:ascii="Times New Roman" w:hAnsi="Times New Roman" w:cs="Times New Roman"/>
          <w:vertAlign w:val="superscript"/>
        </w:rPr>
        <w:t>st</w:t>
      </w:r>
      <w:r>
        <w:rPr>
          <w:rFonts w:ascii="Times New Roman" w:hAnsi="Times New Roman" w:cs="Times New Roman"/>
        </w:rPr>
        <w:t xml:space="preserve"> December 2024. Two hundred and thirty-five (235) patients had haematological malignancies. </w:t>
      </w:r>
      <w:r>
        <w:rPr>
          <w:rFonts w:ascii="Times New Roman" w:hAnsi="Times New Roman" w:cs="Times New Roman"/>
          <w:color w:val="333333"/>
        </w:rPr>
        <w:t>Data generated from the study were analysed using IBM Statistical Package for the Social Sciences (SPSS) software, version 26. Proportion, percentages and mean ± standard deviation were generated using the descriptive statistics. The results were presented in tables and charts.</w:t>
      </w:r>
    </w:p>
    <w:p w14:paraId="298A156D">
      <w:pPr>
        <w:spacing w:line="480" w:lineRule="auto"/>
        <w:rPr>
          <w:rFonts w:ascii="Times New Roman" w:hAnsi="Times New Roman" w:cs="Times New Roman"/>
        </w:rPr>
      </w:pPr>
    </w:p>
    <w:p w14:paraId="3164AF18">
      <w:pPr>
        <w:spacing w:line="360" w:lineRule="auto"/>
        <w:rPr>
          <w:rFonts w:ascii="Times New Roman" w:hAnsi="Times New Roman" w:cs="Times New Roman"/>
        </w:rPr>
      </w:pPr>
    </w:p>
    <w:p w14:paraId="7E9E03E8">
      <w:pPr>
        <w:spacing w:line="360" w:lineRule="auto"/>
        <w:rPr>
          <w:rFonts w:ascii="Times New Roman" w:hAnsi="Times New Roman" w:cs="Times New Roman"/>
        </w:rPr>
      </w:pPr>
    </w:p>
    <w:p w14:paraId="0F08D378">
      <w:pPr>
        <w:spacing w:line="360" w:lineRule="auto"/>
        <w:rPr>
          <w:rFonts w:ascii="Times New Roman" w:hAnsi="Times New Roman" w:cs="Times New Roman"/>
        </w:rPr>
      </w:pPr>
    </w:p>
    <w:p w14:paraId="60A5638E">
      <w:pPr>
        <w:spacing w:line="360" w:lineRule="auto"/>
        <w:rPr>
          <w:rFonts w:ascii="Times New Roman" w:hAnsi="Times New Roman" w:cs="Times New Roman"/>
        </w:rPr>
      </w:pPr>
    </w:p>
    <w:p w14:paraId="43E92AEF">
      <w:pPr>
        <w:spacing w:line="360" w:lineRule="auto"/>
        <w:rPr>
          <w:rFonts w:ascii="Times New Roman" w:hAnsi="Times New Roman" w:cs="Times New Roman"/>
        </w:rPr>
      </w:pPr>
    </w:p>
    <w:p w14:paraId="6320DF53">
      <w:pPr>
        <w:spacing w:line="360" w:lineRule="auto"/>
        <w:rPr>
          <w:rFonts w:ascii="Times New Roman" w:hAnsi="Times New Roman" w:cs="Times New Roman"/>
        </w:rPr>
      </w:pPr>
    </w:p>
    <w:p w14:paraId="7F245E72">
      <w:pPr>
        <w:spacing w:line="360" w:lineRule="auto"/>
        <w:rPr>
          <w:rFonts w:ascii="Times New Roman" w:hAnsi="Times New Roman" w:cs="Times New Roman"/>
        </w:rPr>
      </w:pPr>
    </w:p>
    <w:p w14:paraId="31483FD0">
      <w:pPr>
        <w:spacing w:line="360" w:lineRule="auto"/>
        <w:rPr>
          <w:rFonts w:ascii="Times New Roman" w:hAnsi="Times New Roman" w:cs="Times New Roman"/>
        </w:rPr>
      </w:pPr>
    </w:p>
    <w:p w14:paraId="3BC4E6E7">
      <w:pPr>
        <w:spacing w:line="360" w:lineRule="auto"/>
        <w:rPr>
          <w:rFonts w:ascii="Times New Roman" w:hAnsi="Times New Roman" w:cs="Times New Roman"/>
        </w:rPr>
      </w:pPr>
    </w:p>
    <w:p w14:paraId="0BDB0BAE">
      <w:pPr>
        <w:spacing w:line="360" w:lineRule="auto"/>
        <w:rPr>
          <w:rFonts w:ascii="Times New Roman" w:hAnsi="Times New Roman" w:cs="Times New Roman"/>
        </w:rPr>
      </w:pPr>
    </w:p>
    <w:p w14:paraId="6D5BCAEE">
      <w:pPr>
        <w:spacing w:line="360" w:lineRule="auto"/>
        <w:rPr>
          <w:rFonts w:ascii="Times New Roman" w:hAnsi="Times New Roman" w:cs="Times New Roman"/>
        </w:rPr>
      </w:pPr>
    </w:p>
    <w:p w14:paraId="7584F98E">
      <w:pPr>
        <w:spacing w:line="360" w:lineRule="auto"/>
        <w:rPr>
          <w:rFonts w:ascii="Times New Roman" w:hAnsi="Times New Roman" w:cs="Times New Roman"/>
        </w:rPr>
      </w:pPr>
    </w:p>
    <w:p w14:paraId="0966A869">
      <w:pPr>
        <w:spacing w:line="360" w:lineRule="auto"/>
        <w:rPr>
          <w:rFonts w:ascii="Times New Roman" w:hAnsi="Times New Roman" w:cs="Times New Roman"/>
        </w:rPr>
      </w:pPr>
    </w:p>
    <w:p w14:paraId="4257864E">
      <w:pPr>
        <w:spacing w:line="360" w:lineRule="auto"/>
        <w:rPr>
          <w:rFonts w:ascii="Times New Roman" w:hAnsi="Times New Roman" w:cs="Times New Roman"/>
        </w:rPr>
      </w:pPr>
    </w:p>
    <w:p w14:paraId="32C84716">
      <w:pPr>
        <w:spacing w:line="360" w:lineRule="auto"/>
        <w:rPr>
          <w:rFonts w:ascii="Times New Roman" w:hAnsi="Times New Roman" w:cs="Times New Roman"/>
          <w:b/>
        </w:rPr>
      </w:pPr>
      <w:r>
        <w:rPr>
          <w:rFonts w:ascii="Times New Roman" w:hAnsi="Times New Roman" w:cs="Times New Roman"/>
          <w:b/>
        </w:rPr>
        <w:t>RESULTS</w:t>
      </w:r>
    </w:p>
    <w:p w14:paraId="485BEE49">
      <w:pPr>
        <w:spacing w:line="360" w:lineRule="auto"/>
        <w:rPr>
          <w:rFonts w:ascii="Times New Roman" w:hAnsi="Times New Roman" w:cs="Times New Roman"/>
        </w:rPr>
      </w:pPr>
      <w:r>
        <w:rPr>
          <w:rFonts w:ascii="Times New Roman" w:hAnsi="Times New Roman" w:cs="Times New Roman"/>
        </w:rPr>
        <w:t xml:space="preserve">A total of 2832 cases of malignancies were seen over the sixteen (16) years period. Two hundred and thirty five (8.3%) were adult with haematological malignancies. One hundred and eighteen (50.2%) were males and 117 (49.8%) were females with a ratio of 1.01:1. The age range included in the study was from 18 to 84 years with a mean age of </w:t>
      </w:r>
      <w:r>
        <w:rPr>
          <w:rFonts w:ascii="Times New Roman" w:hAnsi="Times New Roman" w:cs="Times New Roman"/>
          <w:bCs/>
        </w:rPr>
        <w:t>47.29 ± 16.28</w:t>
      </w:r>
      <w:r>
        <w:rPr>
          <w:rFonts w:ascii="Times New Roman" w:hAnsi="Times New Roman" w:cs="Times New Roman"/>
        </w:rPr>
        <w:t xml:space="preserve"> years as shown in table 1.</w:t>
      </w:r>
    </w:p>
    <w:p w14:paraId="09D13174">
      <w:pPr>
        <w:snapToGrid w:val="0"/>
        <w:textAlignment w:val="baseline"/>
        <w:rPr>
          <w:rFonts w:ascii="Times New Roman" w:hAnsi="Times New Roman" w:cs="Times New Roman"/>
          <w:b/>
          <w:bCs/>
        </w:rPr>
      </w:pPr>
    </w:p>
    <w:p w14:paraId="3962D4D5">
      <w:pPr>
        <w:snapToGrid w:val="0"/>
        <w:textAlignment w:val="baseline"/>
        <w:rPr>
          <w:rFonts w:ascii="Times New Roman" w:hAnsi="Times New Roman" w:cs="Times New Roman"/>
          <w:b/>
          <w:bCs/>
        </w:rPr>
      </w:pPr>
      <w:r>
        <w:rPr>
          <w:rFonts w:ascii="Times New Roman" w:hAnsi="Times New Roman" w:cs="Times New Roman"/>
          <w:b/>
          <w:bCs/>
        </w:rPr>
        <w:t>Table 1. Mean age at presentation of the haematological malignancies</w:t>
      </w:r>
      <w:r>
        <w:commentReference w:id="2"/>
      </w:r>
    </w:p>
    <w:tbl>
      <w:tblPr>
        <w:tblStyle w:val="10"/>
        <w:tblW w:w="906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1"/>
        <w:gridCol w:w="3021"/>
      </w:tblGrid>
      <w:tr w14:paraId="392642C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3020" w:type="dxa"/>
            <w:tcBorders>
              <w:top w:val="single" w:color="auto" w:sz="4" w:space="0"/>
              <w:bottom w:val="single" w:color="auto" w:sz="4" w:space="0"/>
            </w:tcBorders>
          </w:tcPr>
          <w:p w14:paraId="1F8BB0DE">
            <w:pPr>
              <w:snapToGrid w:val="0"/>
              <w:spacing w:after="0" w:line="240" w:lineRule="auto"/>
              <w:textAlignment w:val="baseline"/>
              <w:rPr>
                <w:rFonts w:ascii="Times New Roman" w:hAnsi="Times New Roman" w:cs="Times New Roman"/>
                <w:b/>
                <w:bCs/>
                <w:sz w:val="22"/>
              </w:rPr>
            </w:pPr>
            <w:r>
              <w:rPr>
                <w:rFonts w:ascii="Times New Roman" w:hAnsi="Times New Roman" w:cs="Times New Roman"/>
                <w:b/>
                <w:bCs/>
                <w:sz w:val="22"/>
              </w:rPr>
              <w:t>Variables</w:t>
            </w:r>
          </w:p>
        </w:tc>
        <w:tc>
          <w:tcPr>
            <w:tcW w:w="3021" w:type="dxa"/>
            <w:tcBorders>
              <w:top w:val="single" w:color="auto" w:sz="4" w:space="0"/>
              <w:bottom w:val="single" w:color="auto" w:sz="4" w:space="0"/>
            </w:tcBorders>
          </w:tcPr>
          <w:p w14:paraId="4D0D050C">
            <w:pPr>
              <w:snapToGrid w:val="0"/>
              <w:spacing w:after="0" w:line="240" w:lineRule="auto"/>
              <w:textAlignment w:val="baseline"/>
              <w:rPr>
                <w:rFonts w:ascii="Times New Roman" w:hAnsi="Times New Roman" w:cs="Times New Roman"/>
                <w:b/>
                <w:bCs/>
                <w:sz w:val="22"/>
              </w:rPr>
            </w:pPr>
            <w:r>
              <w:rPr>
                <w:rFonts w:ascii="Times New Roman" w:hAnsi="Times New Roman" w:cs="Times New Roman"/>
                <w:b/>
                <w:bCs/>
                <w:sz w:val="22"/>
              </w:rPr>
              <w:t>Mean±SD</w:t>
            </w:r>
          </w:p>
          <w:p w14:paraId="07877361">
            <w:pPr>
              <w:snapToGrid w:val="0"/>
              <w:spacing w:after="0" w:line="240" w:lineRule="auto"/>
              <w:textAlignment w:val="baseline"/>
              <w:rPr>
                <w:rFonts w:ascii="Times New Roman" w:hAnsi="Times New Roman" w:cs="Times New Roman"/>
                <w:b/>
                <w:bCs/>
                <w:sz w:val="22"/>
              </w:rPr>
            </w:pPr>
            <w:r>
              <w:rPr>
                <w:rFonts w:ascii="Times New Roman" w:hAnsi="Times New Roman" w:cs="Times New Roman"/>
                <w:b/>
                <w:bCs/>
                <w:sz w:val="22"/>
              </w:rPr>
              <w:t>( Age in years)</w:t>
            </w:r>
          </w:p>
        </w:tc>
        <w:tc>
          <w:tcPr>
            <w:tcW w:w="3021" w:type="dxa"/>
            <w:tcBorders>
              <w:top w:val="single" w:color="auto" w:sz="4" w:space="0"/>
              <w:bottom w:val="single" w:color="auto" w:sz="4" w:space="0"/>
            </w:tcBorders>
          </w:tcPr>
          <w:p w14:paraId="726217CB">
            <w:pPr>
              <w:snapToGrid w:val="0"/>
              <w:spacing w:after="0" w:line="240" w:lineRule="auto"/>
              <w:jc w:val="center"/>
              <w:textAlignment w:val="baseline"/>
              <w:rPr>
                <w:rFonts w:ascii="Times New Roman" w:hAnsi="Times New Roman" w:cs="Times New Roman"/>
                <w:b/>
                <w:bCs/>
                <w:sz w:val="22"/>
              </w:rPr>
            </w:pPr>
            <w:r>
              <w:rPr>
                <w:rFonts w:ascii="Times New Roman" w:hAnsi="Times New Roman" w:cs="Times New Roman"/>
                <w:b/>
                <w:bCs/>
                <w:sz w:val="22"/>
              </w:rPr>
              <w:t>Range</w:t>
            </w:r>
          </w:p>
          <w:p w14:paraId="3837B27E">
            <w:pPr>
              <w:snapToGrid w:val="0"/>
              <w:spacing w:after="0" w:line="240" w:lineRule="auto"/>
              <w:textAlignment w:val="baseline"/>
              <w:rPr>
                <w:rFonts w:ascii="Times New Roman" w:hAnsi="Times New Roman" w:cs="Times New Roman"/>
                <w:b/>
                <w:bCs/>
                <w:sz w:val="22"/>
              </w:rPr>
            </w:pPr>
            <w:r>
              <w:rPr>
                <w:rFonts w:ascii="Times New Roman" w:hAnsi="Times New Roman" w:cs="Times New Roman"/>
                <w:b/>
                <w:bCs/>
                <w:sz w:val="22"/>
              </w:rPr>
              <w:t xml:space="preserve">               ( Age in years)</w:t>
            </w:r>
          </w:p>
          <w:p w14:paraId="4BC76D68">
            <w:pPr>
              <w:snapToGrid w:val="0"/>
              <w:spacing w:after="0" w:line="240" w:lineRule="auto"/>
              <w:jc w:val="center"/>
              <w:textAlignment w:val="baseline"/>
              <w:rPr>
                <w:rFonts w:ascii="Times New Roman" w:hAnsi="Times New Roman" w:cs="Times New Roman"/>
                <w:b/>
                <w:bCs/>
                <w:sz w:val="22"/>
              </w:rPr>
            </w:pPr>
          </w:p>
          <w:p w14:paraId="3CBCFC42">
            <w:pPr>
              <w:snapToGrid w:val="0"/>
              <w:spacing w:after="0" w:line="240" w:lineRule="auto"/>
              <w:jc w:val="center"/>
              <w:textAlignment w:val="baseline"/>
              <w:rPr>
                <w:rFonts w:ascii="Times New Roman" w:hAnsi="Times New Roman" w:cs="Times New Roman"/>
                <w:b/>
                <w:bCs/>
                <w:sz w:val="22"/>
              </w:rPr>
            </w:pPr>
          </w:p>
        </w:tc>
      </w:tr>
      <w:tr w14:paraId="7BDA94A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3020" w:type="dxa"/>
            <w:tcBorders>
              <w:top w:val="single" w:color="auto" w:sz="4" w:space="0"/>
            </w:tcBorders>
          </w:tcPr>
          <w:p w14:paraId="0BDC74C2">
            <w:pPr>
              <w:snapToGrid w:val="0"/>
              <w:spacing w:after="0" w:line="240" w:lineRule="auto"/>
              <w:textAlignment w:val="baseline"/>
              <w:rPr>
                <w:rFonts w:ascii="Times New Roman" w:hAnsi="Times New Roman" w:cs="Times New Roman"/>
                <w:b/>
                <w:i/>
                <w:caps/>
                <w:sz w:val="22"/>
              </w:rPr>
            </w:pPr>
            <w:r>
              <w:rPr>
                <w:rFonts w:ascii="Times New Roman" w:hAnsi="Times New Roman" w:cs="Times New Roman"/>
                <w:sz w:val="22"/>
              </w:rPr>
              <w:t>ALL</w:t>
            </w:r>
          </w:p>
        </w:tc>
        <w:tc>
          <w:tcPr>
            <w:tcW w:w="3021" w:type="dxa"/>
            <w:tcBorders>
              <w:top w:val="single" w:color="auto" w:sz="4" w:space="0"/>
            </w:tcBorders>
          </w:tcPr>
          <w:p w14:paraId="2377ED40">
            <w:pPr>
              <w:snapToGrid w:val="0"/>
              <w:spacing w:after="0" w:line="240" w:lineRule="auto"/>
              <w:textAlignment w:val="baseline"/>
              <w:rPr>
                <w:rFonts w:ascii="Times New Roman" w:hAnsi="Times New Roman" w:cs="Times New Roman"/>
                <w:b/>
                <w:i/>
                <w:caps/>
                <w:sz w:val="22"/>
              </w:rPr>
            </w:pPr>
            <w:r>
              <w:rPr>
                <w:rFonts w:ascii="Times New Roman" w:hAnsi="Times New Roman" w:cs="Times New Roman"/>
                <w:sz w:val="22"/>
              </w:rPr>
              <w:t>49.13</w:t>
            </w:r>
            <w:r>
              <w:rPr>
                <w:rFonts w:ascii="Times New Roman" w:hAnsi="Times New Roman" w:cs="Times New Roman"/>
                <w:b/>
                <w:bCs/>
                <w:sz w:val="22"/>
              </w:rPr>
              <w:t>±</w:t>
            </w:r>
            <w:r>
              <w:rPr>
                <w:rFonts w:ascii="Times New Roman" w:hAnsi="Times New Roman" w:cs="Times New Roman"/>
                <w:sz w:val="22"/>
              </w:rPr>
              <w:t>17.35</w:t>
            </w:r>
          </w:p>
        </w:tc>
        <w:tc>
          <w:tcPr>
            <w:tcW w:w="3021" w:type="dxa"/>
            <w:tcBorders>
              <w:top w:val="single" w:color="auto" w:sz="4" w:space="0"/>
            </w:tcBorders>
          </w:tcPr>
          <w:p w14:paraId="4AD5819F">
            <w:pPr>
              <w:snapToGrid w:val="0"/>
              <w:spacing w:after="0" w:line="240" w:lineRule="auto"/>
              <w:jc w:val="center"/>
              <w:textAlignment w:val="baseline"/>
              <w:rPr>
                <w:rFonts w:ascii="Times New Roman" w:hAnsi="Times New Roman" w:cs="Times New Roman"/>
                <w:b/>
                <w:i/>
                <w:caps/>
                <w:sz w:val="22"/>
              </w:rPr>
            </w:pPr>
            <w:r>
              <w:rPr>
                <w:rFonts w:ascii="Times New Roman" w:hAnsi="Times New Roman" w:cs="Times New Roman"/>
                <w:sz w:val="22"/>
              </w:rPr>
              <w:t>28–73</w:t>
            </w:r>
          </w:p>
        </w:tc>
      </w:tr>
      <w:tr w14:paraId="33F427D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3020" w:type="dxa"/>
          </w:tcPr>
          <w:p w14:paraId="0B85364A">
            <w:pPr>
              <w:snapToGrid w:val="0"/>
              <w:spacing w:after="0" w:line="240" w:lineRule="auto"/>
              <w:textAlignment w:val="baseline"/>
              <w:rPr>
                <w:rFonts w:ascii="Times New Roman" w:hAnsi="Times New Roman" w:cs="Times New Roman"/>
                <w:b/>
                <w:i/>
                <w:caps/>
                <w:sz w:val="22"/>
              </w:rPr>
            </w:pPr>
            <w:r>
              <w:rPr>
                <w:rFonts w:ascii="Times New Roman" w:hAnsi="Times New Roman" w:cs="Times New Roman"/>
                <w:sz w:val="22"/>
              </w:rPr>
              <w:t>AML</w:t>
            </w:r>
          </w:p>
        </w:tc>
        <w:tc>
          <w:tcPr>
            <w:tcW w:w="3021" w:type="dxa"/>
          </w:tcPr>
          <w:p w14:paraId="10807F24">
            <w:pPr>
              <w:snapToGrid w:val="0"/>
              <w:spacing w:after="0" w:line="240" w:lineRule="auto"/>
              <w:textAlignment w:val="baseline"/>
              <w:rPr>
                <w:rFonts w:ascii="Times New Roman" w:hAnsi="Times New Roman" w:cs="Times New Roman"/>
                <w:b/>
                <w:i/>
                <w:caps/>
                <w:sz w:val="22"/>
              </w:rPr>
            </w:pPr>
            <w:r>
              <w:rPr>
                <w:rFonts w:ascii="Times New Roman" w:hAnsi="Times New Roman" w:cs="Times New Roman"/>
                <w:sz w:val="22"/>
              </w:rPr>
              <w:t>44.45±17.52</w:t>
            </w:r>
          </w:p>
        </w:tc>
        <w:tc>
          <w:tcPr>
            <w:tcW w:w="3021" w:type="dxa"/>
          </w:tcPr>
          <w:p w14:paraId="2C9A3BC8">
            <w:pPr>
              <w:snapToGrid w:val="0"/>
              <w:spacing w:after="0" w:line="240" w:lineRule="auto"/>
              <w:jc w:val="center"/>
              <w:textAlignment w:val="baseline"/>
              <w:rPr>
                <w:rFonts w:ascii="Times New Roman" w:hAnsi="Times New Roman" w:cs="Times New Roman"/>
                <w:b/>
                <w:i/>
                <w:caps/>
                <w:sz w:val="22"/>
              </w:rPr>
            </w:pPr>
            <w:r>
              <w:rPr>
                <w:rFonts w:ascii="Times New Roman" w:hAnsi="Times New Roman" w:cs="Times New Roman"/>
                <w:sz w:val="22"/>
              </w:rPr>
              <w:t>19–84</w:t>
            </w:r>
          </w:p>
        </w:tc>
      </w:tr>
      <w:tr w14:paraId="4D98285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3020" w:type="dxa"/>
          </w:tcPr>
          <w:p w14:paraId="38AA630A">
            <w:pPr>
              <w:snapToGrid w:val="0"/>
              <w:spacing w:after="0" w:line="240" w:lineRule="auto"/>
              <w:textAlignment w:val="baseline"/>
              <w:rPr>
                <w:rFonts w:ascii="Times New Roman" w:hAnsi="Times New Roman" w:cs="Times New Roman"/>
                <w:b/>
                <w:i/>
                <w:caps/>
                <w:sz w:val="22"/>
              </w:rPr>
            </w:pPr>
            <w:r>
              <w:rPr>
                <w:rFonts w:ascii="Times New Roman" w:hAnsi="Times New Roman" w:cs="Times New Roman"/>
                <w:sz w:val="22"/>
              </w:rPr>
              <w:t>CLL</w:t>
            </w:r>
          </w:p>
        </w:tc>
        <w:tc>
          <w:tcPr>
            <w:tcW w:w="3021" w:type="dxa"/>
          </w:tcPr>
          <w:p w14:paraId="7BA645FB">
            <w:pPr>
              <w:snapToGrid w:val="0"/>
              <w:spacing w:after="0" w:line="240" w:lineRule="auto"/>
              <w:textAlignment w:val="baseline"/>
              <w:rPr>
                <w:rFonts w:ascii="Times New Roman" w:hAnsi="Times New Roman" w:cs="Times New Roman"/>
                <w:b/>
                <w:i/>
                <w:caps/>
                <w:sz w:val="22"/>
              </w:rPr>
            </w:pPr>
            <w:r>
              <w:rPr>
                <w:rFonts w:ascii="Times New Roman" w:hAnsi="Times New Roman" w:cs="Times New Roman"/>
                <w:sz w:val="22"/>
              </w:rPr>
              <w:t>56.00±10.60</w:t>
            </w:r>
          </w:p>
        </w:tc>
        <w:tc>
          <w:tcPr>
            <w:tcW w:w="3021" w:type="dxa"/>
          </w:tcPr>
          <w:p w14:paraId="34D795BC">
            <w:pPr>
              <w:snapToGrid w:val="0"/>
              <w:spacing w:after="0" w:line="240" w:lineRule="auto"/>
              <w:jc w:val="center"/>
              <w:textAlignment w:val="baseline"/>
              <w:rPr>
                <w:rFonts w:ascii="Times New Roman" w:hAnsi="Times New Roman" w:cs="Times New Roman"/>
                <w:b/>
                <w:i/>
                <w:caps/>
                <w:sz w:val="22"/>
              </w:rPr>
            </w:pPr>
            <w:r>
              <w:rPr>
                <w:rFonts w:ascii="Times New Roman" w:hAnsi="Times New Roman" w:cs="Times New Roman"/>
                <w:sz w:val="22"/>
              </w:rPr>
              <w:t>37–78</w:t>
            </w:r>
          </w:p>
        </w:tc>
      </w:tr>
      <w:tr w14:paraId="5938CD2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3020" w:type="dxa"/>
          </w:tcPr>
          <w:p w14:paraId="61503951">
            <w:pPr>
              <w:snapToGrid w:val="0"/>
              <w:spacing w:after="0" w:line="240" w:lineRule="auto"/>
              <w:textAlignment w:val="baseline"/>
              <w:rPr>
                <w:rFonts w:ascii="Times New Roman" w:hAnsi="Times New Roman" w:cs="Times New Roman"/>
                <w:b/>
                <w:i/>
                <w:caps/>
                <w:sz w:val="22"/>
              </w:rPr>
            </w:pPr>
            <w:r>
              <w:rPr>
                <w:rFonts w:ascii="Times New Roman" w:hAnsi="Times New Roman" w:cs="Times New Roman"/>
                <w:sz w:val="22"/>
              </w:rPr>
              <w:t>CML</w:t>
            </w:r>
          </w:p>
        </w:tc>
        <w:tc>
          <w:tcPr>
            <w:tcW w:w="3021" w:type="dxa"/>
          </w:tcPr>
          <w:p w14:paraId="5DB3BC9A">
            <w:pPr>
              <w:snapToGrid w:val="0"/>
              <w:spacing w:after="0" w:line="240" w:lineRule="auto"/>
              <w:textAlignment w:val="baseline"/>
              <w:rPr>
                <w:rFonts w:ascii="Times New Roman" w:hAnsi="Times New Roman" w:cs="Times New Roman"/>
                <w:b/>
                <w:i/>
                <w:caps/>
                <w:sz w:val="22"/>
              </w:rPr>
            </w:pPr>
            <w:r>
              <w:rPr>
                <w:rFonts w:ascii="Times New Roman" w:hAnsi="Times New Roman" w:cs="Times New Roman"/>
                <w:sz w:val="22"/>
              </w:rPr>
              <w:t>39.93±14.59</w:t>
            </w:r>
          </w:p>
        </w:tc>
        <w:tc>
          <w:tcPr>
            <w:tcW w:w="3021" w:type="dxa"/>
          </w:tcPr>
          <w:p w14:paraId="53575A87">
            <w:pPr>
              <w:snapToGrid w:val="0"/>
              <w:spacing w:after="0" w:line="240" w:lineRule="auto"/>
              <w:jc w:val="center"/>
              <w:textAlignment w:val="baseline"/>
              <w:rPr>
                <w:rFonts w:ascii="Times New Roman" w:hAnsi="Times New Roman" w:cs="Times New Roman"/>
                <w:b/>
                <w:i/>
                <w:caps/>
                <w:sz w:val="22"/>
              </w:rPr>
            </w:pPr>
            <w:r>
              <w:rPr>
                <w:rFonts w:ascii="Times New Roman" w:hAnsi="Times New Roman" w:cs="Times New Roman"/>
                <w:sz w:val="22"/>
              </w:rPr>
              <w:t>18–76</w:t>
            </w:r>
          </w:p>
        </w:tc>
      </w:tr>
      <w:tr w14:paraId="79BD261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3020" w:type="dxa"/>
          </w:tcPr>
          <w:p w14:paraId="732412E8">
            <w:pPr>
              <w:snapToGrid w:val="0"/>
              <w:spacing w:after="0" w:line="240" w:lineRule="auto"/>
              <w:textAlignment w:val="baseline"/>
              <w:rPr>
                <w:rFonts w:ascii="Times New Roman" w:hAnsi="Times New Roman" w:cs="Times New Roman"/>
                <w:b/>
                <w:i/>
                <w:caps/>
                <w:sz w:val="22"/>
              </w:rPr>
            </w:pPr>
            <w:r>
              <w:rPr>
                <w:rFonts w:ascii="Times New Roman" w:hAnsi="Times New Roman" w:cs="Times New Roman"/>
                <w:sz w:val="22"/>
              </w:rPr>
              <w:t>ET</w:t>
            </w:r>
          </w:p>
        </w:tc>
        <w:tc>
          <w:tcPr>
            <w:tcW w:w="3021" w:type="dxa"/>
          </w:tcPr>
          <w:p w14:paraId="49F64D22">
            <w:pPr>
              <w:snapToGrid w:val="0"/>
              <w:spacing w:after="0" w:line="240" w:lineRule="auto"/>
              <w:textAlignment w:val="baseline"/>
              <w:rPr>
                <w:rFonts w:ascii="Times New Roman" w:hAnsi="Times New Roman" w:cs="Times New Roman"/>
                <w:b/>
                <w:i/>
                <w:caps/>
                <w:sz w:val="22"/>
              </w:rPr>
            </w:pPr>
            <w:r>
              <w:rPr>
                <w:rFonts w:ascii="Times New Roman" w:hAnsi="Times New Roman" w:cs="Times New Roman"/>
                <w:sz w:val="22"/>
              </w:rPr>
              <w:t>53.56±19.59</w:t>
            </w:r>
          </w:p>
        </w:tc>
        <w:tc>
          <w:tcPr>
            <w:tcW w:w="3021" w:type="dxa"/>
          </w:tcPr>
          <w:p w14:paraId="08F9FF20">
            <w:pPr>
              <w:snapToGrid w:val="0"/>
              <w:spacing w:after="0" w:line="240" w:lineRule="auto"/>
              <w:jc w:val="center"/>
              <w:textAlignment w:val="baseline"/>
              <w:rPr>
                <w:rFonts w:ascii="Times New Roman" w:hAnsi="Times New Roman" w:cs="Times New Roman"/>
                <w:b/>
                <w:i/>
                <w:caps/>
                <w:sz w:val="22"/>
              </w:rPr>
            </w:pPr>
            <w:r>
              <w:rPr>
                <w:rFonts w:ascii="Times New Roman" w:hAnsi="Times New Roman" w:cs="Times New Roman"/>
                <w:sz w:val="22"/>
              </w:rPr>
              <w:t>28–81</w:t>
            </w:r>
          </w:p>
        </w:tc>
      </w:tr>
      <w:tr w14:paraId="2A489C6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3020" w:type="dxa"/>
          </w:tcPr>
          <w:p w14:paraId="686A6A43">
            <w:pPr>
              <w:snapToGrid w:val="0"/>
              <w:spacing w:after="0" w:line="240" w:lineRule="auto"/>
              <w:textAlignment w:val="baseline"/>
              <w:rPr>
                <w:rFonts w:ascii="Times New Roman" w:hAnsi="Times New Roman" w:cs="Times New Roman"/>
                <w:b/>
                <w:i/>
                <w:caps/>
                <w:sz w:val="22"/>
              </w:rPr>
            </w:pPr>
            <w:r>
              <w:rPr>
                <w:rFonts w:ascii="Times New Roman" w:hAnsi="Times New Roman" w:cs="Times New Roman"/>
                <w:sz w:val="22"/>
              </w:rPr>
              <w:t>HL</w:t>
            </w:r>
          </w:p>
        </w:tc>
        <w:tc>
          <w:tcPr>
            <w:tcW w:w="3021" w:type="dxa"/>
          </w:tcPr>
          <w:p w14:paraId="557B7191">
            <w:pPr>
              <w:snapToGrid w:val="0"/>
              <w:spacing w:after="0" w:line="240" w:lineRule="auto"/>
              <w:textAlignment w:val="baseline"/>
              <w:rPr>
                <w:rFonts w:ascii="Times New Roman" w:hAnsi="Times New Roman" w:cs="Times New Roman"/>
                <w:b/>
                <w:i/>
                <w:caps/>
                <w:sz w:val="22"/>
              </w:rPr>
            </w:pPr>
            <w:r>
              <w:rPr>
                <w:rFonts w:ascii="Times New Roman" w:hAnsi="Times New Roman" w:cs="Times New Roman"/>
                <w:sz w:val="22"/>
              </w:rPr>
              <w:t>32.68±14.06</w:t>
            </w:r>
          </w:p>
        </w:tc>
        <w:tc>
          <w:tcPr>
            <w:tcW w:w="3021" w:type="dxa"/>
          </w:tcPr>
          <w:p w14:paraId="7BC0B0B9">
            <w:pPr>
              <w:snapToGrid w:val="0"/>
              <w:spacing w:after="0" w:line="240" w:lineRule="auto"/>
              <w:jc w:val="center"/>
              <w:textAlignment w:val="baseline"/>
              <w:rPr>
                <w:rFonts w:ascii="Times New Roman" w:hAnsi="Times New Roman" w:cs="Times New Roman"/>
                <w:b/>
                <w:i/>
                <w:caps/>
                <w:sz w:val="22"/>
              </w:rPr>
            </w:pPr>
            <w:r>
              <w:rPr>
                <w:rFonts w:ascii="Times New Roman" w:hAnsi="Times New Roman" w:cs="Times New Roman"/>
                <w:sz w:val="22"/>
              </w:rPr>
              <w:t>18-68</w:t>
            </w:r>
          </w:p>
        </w:tc>
      </w:tr>
      <w:tr w14:paraId="1D69CA6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3020" w:type="dxa"/>
          </w:tcPr>
          <w:p w14:paraId="3EA3C965">
            <w:pPr>
              <w:snapToGrid w:val="0"/>
              <w:spacing w:after="0" w:line="240" w:lineRule="auto"/>
              <w:textAlignment w:val="baseline"/>
              <w:rPr>
                <w:rFonts w:ascii="Times New Roman" w:hAnsi="Times New Roman" w:cs="Times New Roman"/>
                <w:b/>
                <w:i/>
                <w:caps/>
                <w:sz w:val="22"/>
              </w:rPr>
            </w:pPr>
            <w:r>
              <w:rPr>
                <w:rFonts w:ascii="Times New Roman" w:hAnsi="Times New Roman" w:cs="Times New Roman"/>
                <w:sz w:val="22"/>
              </w:rPr>
              <w:t>MDS</w:t>
            </w:r>
          </w:p>
        </w:tc>
        <w:tc>
          <w:tcPr>
            <w:tcW w:w="3021" w:type="dxa"/>
          </w:tcPr>
          <w:p w14:paraId="2C71FC36">
            <w:pPr>
              <w:snapToGrid w:val="0"/>
              <w:spacing w:after="0" w:line="240" w:lineRule="auto"/>
              <w:textAlignment w:val="baseline"/>
              <w:rPr>
                <w:rFonts w:ascii="Times New Roman" w:hAnsi="Times New Roman" w:cs="Times New Roman"/>
                <w:b/>
                <w:i/>
                <w:caps/>
                <w:sz w:val="22"/>
              </w:rPr>
            </w:pPr>
            <w:r>
              <w:rPr>
                <w:rFonts w:ascii="Times New Roman" w:hAnsi="Times New Roman" w:cs="Times New Roman"/>
                <w:sz w:val="22"/>
              </w:rPr>
              <w:t>72.50±3.53</w:t>
            </w:r>
          </w:p>
        </w:tc>
        <w:tc>
          <w:tcPr>
            <w:tcW w:w="3021" w:type="dxa"/>
          </w:tcPr>
          <w:p w14:paraId="2BE57943">
            <w:pPr>
              <w:snapToGrid w:val="0"/>
              <w:spacing w:after="0" w:line="240" w:lineRule="auto"/>
              <w:jc w:val="center"/>
              <w:textAlignment w:val="baseline"/>
              <w:rPr>
                <w:rFonts w:ascii="Times New Roman" w:hAnsi="Times New Roman" w:cs="Times New Roman"/>
                <w:b/>
                <w:i/>
                <w:caps/>
                <w:sz w:val="22"/>
              </w:rPr>
            </w:pPr>
            <w:r>
              <w:rPr>
                <w:rFonts w:ascii="Times New Roman" w:hAnsi="Times New Roman" w:cs="Times New Roman"/>
                <w:sz w:val="22"/>
              </w:rPr>
              <w:t>70–75</w:t>
            </w:r>
          </w:p>
        </w:tc>
      </w:tr>
      <w:tr w14:paraId="2D1A63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3020" w:type="dxa"/>
          </w:tcPr>
          <w:p w14:paraId="7E8744DB">
            <w:pPr>
              <w:snapToGrid w:val="0"/>
              <w:spacing w:after="0" w:line="240" w:lineRule="auto"/>
              <w:textAlignment w:val="baseline"/>
              <w:rPr>
                <w:rFonts w:ascii="Times New Roman" w:hAnsi="Times New Roman" w:cs="Times New Roman"/>
                <w:b/>
                <w:i/>
                <w:caps/>
                <w:sz w:val="22"/>
              </w:rPr>
            </w:pPr>
            <w:r>
              <w:rPr>
                <w:rFonts w:ascii="Times New Roman" w:hAnsi="Times New Roman" w:cs="Times New Roman"/>
                <w:sz w:val="22"/>
              </w:rPr>
              <w:t>MM</w:t>
            </w:r>
          </w:p>
        </w:tc>
        <w:tc>
          <w:tcPr>
            <w:tcW w:w="3021" w:type="dxa"/>
          </w:tcPr>
          <w:p w14:paraId="26698B88">
            <w:pPr>
              <w:snapToGrid w:val="0"/>
              <w:spacing w:after="0" w:line="240" w:lineRule="auto"/>
              <w:textAlignment w:val="baseline"/>
              <w:rPr>
                <w:rFonts w:ascii="Times New Roman" w:hAnsi="Times New Roman" w:cs="Times New Roman"/>
                <w:b/>
                <w:i/>
                <w:caps/>
                <w:sz w:val="22"/>
              </w:rPr>
            </w:pPr>
            <w:r>
              <w:rPr>
                <w:rFonts w:ascii="Times New Roman" w:hAnsi="Times New Roman" w:cs="Times New Roman"/>
                <w:sz w:val="22"/>
              </w:rPr>
              <w:t>56.57±12.42</w:t>
            </w:r>
          </w:p>
        </w:tc>
        <w:tc>
          <w:tcPr>
            <w:tcW w:w="3021" w:type="dxa"/>
          </w:tcPr>
          <w:p w14:paraId="3A1AB18E">
            <w:pPr>
              <w:snapToGrid w:val="0"/>
              <w:spacing w:after="0" w:line="240" w:lineRule="auto"/>
              <w:jc w:val="center"/>
              <w:textAlignment w:val="baseline"/>
              <w:rPr>
                <w:rFonts w:ascii="Times New Roman" w:hAnsi="Times New Roman" w:cs="Times New Roman"/>
                <w:b/>
                <w:i/>
                <w:caps/>
                <w:sz w:val="22"/>
              </w:rPr>
            </w:pPr>
            <w:r>
              <w:rPr>
                <w:rFonts w:ascii="Times New Roman" w:hAnsi="Times New Roman" w:cs="Times New Roman"/>
                <w:sz w:val="22"/>
              </w:rPr>
              <w:t>30–78</w:t>
            </w:r>
          </w:p>
        </w:tc>
      </w:tr>
      <w:tr w14:paraId="105C542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3020" w:type="dxa"/>
          </w:tcPr>
          <w:p w14:paraId="686A5005">
            <w:pPr>
              <w:snapToGrid w:val="0"/>
              <w:spacing w:after="0" w:line="240" w:lineRule="auto"/>
              <w:textAlignment w:val="baseline"/>
              <w:rPr>
                <w:rFonts w:ascii="Times New Roman" w:hAnsi="Times New Roman" w:cs="Times New Roman"/>
                <w:b/>
                <w:i/>
                <w:caps/>
                <w:sz w:val="22"/>
              </w:rPr>
            </w:pPr>
            <w:r>
              <w:rPr>
                <w:rFonts w:ascii="Times New Roman" w:hAnsi="Times New Roman" w:cs="Times New Roman"/>
                <w:sz w:val="22"/>
              </w:rPr>
              <w:t>NHL</w:t>
            </w:r>
          </w:p>
        </w:tc>
        <w:tc>
          <w:tcPr>
            <w:tcW w:w="3021" w:type="dxa"/>
          </w:tcPr>
          <w:p w14:paraId="518CBF4F">
            <w:pPr>
              <w:snapToGrid w:val="0"/>
              <w:spacing w:after="0" w:line="240" w:lineRule="auto"/>
              <w:textAlignment w:val="baseline"/>
              <w:rPr>
                <w:rFonts w:ascii="Times New Roman" w:hAnsi="Times New Roman" w:cs="Times New Roman"/>
                <w:b/>
                <w:i/>
                <w:caps/>
                <w:sz w:val="22"/>
              </w:rPr>
            </w:pPr>
            <w:r>
              <w:rPr>
                <w:rFonts w:ascii="Times New Roman" w:hAnsi="Times New Roman" w:cs="Times New Roman"/>
                <w:sz w:val="22"/>
              </w:rPr>
              <w:t>50.07±15.23</w:t>
            </w:r>
          </w:p>
        </w:tc>
        <w:tc>
          <w:tcPr>
            <w:tcW w:w="3021" w:type="dxa"/>
          </w:tcPr>
          <w:p w14:paraId="1F941E55">
            <w:pPr>
              <w:snapToGrid w:val="0"/>
              <w:spacing w:after="0" w:line="240" w:lineRule="auto"/>
              <w:jc w:val="center"/>
              <w:textAlignment w:val="baseline"/>
              <w:rPr>
                <w:rFonts w:ascii="Times New Roman" w:hAnsi="Times New Roman" w:cs="Times New Roman"/>
                <w:b/>
                <w:i/>
                <w:caps/>
                <w:sz w:val="22"/>
              </w:rPr>
            </w:pPr>
            <w:r>
              <w:rPr>
                <w:rFonts w:ascii="Times New Roman" w:hAnsi="Times New Roman" w:cs="Times New Roman"/>
                <w:sz w:val="22"/>
              </w:rPr>
              <w:t>22–75</w:t>
            </w:r>
          </w:p>
        </w:tc>
      </w:tr>
      <w:tr w14:paraId="631D064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3020" w:type="dxa"/>
            <w:tcBorders>
              <w:bottom w:val="nil"/>
            </w:tcBorders>
          </w:tcPr>
          <w:p w14:paraId="4116567B">
            <w:pPr>
              <w:snapToGrid w:val="0"/>
              <w:spacing w:after="0" w:line="240" w:lineRule="auto"/>
              <w:textAlignment w:val="baseline"/>
              <w:rPr>
                <w:rFonts w:ascii="Times New Roman" w:hAnsi="Times New Roman" w:cs="Times New Roman"/>
                <w:b/>
                <w:i/>
                <w:caps/>
                <w:sz w:val="22"/>
              </w:rPr>
            </w:pPr>
            <w:r>
              <w:rPr>
                <w:rFonts w:ascii="Times New Roman" w:hAnsi="Times New Roman" w:cs="Times New Roman"/>
                <w:sz w:val="22"/>
              </w:rPr>
              <w:t>PMF</w:t>
            </w:r>
          </w:p>
        </w:tc>
        <w:tc>
          <w:tcPr>
            <w:tcW w:w="3021" w:type="dxa"/>
            <w:tcBorders>
              <w:bottom w:val="nil"/>
            </w:tcBorders>
          </w:tcPr>
          <w:p w14:paraId="11008A7F">
            <w:pPr>
              <w:snapToGrid w:val="0"/>
              <w:spacing w:after="0" w:line="240" w:lineRule="auto"/>
              <w:textAlignment w:val="baseline"/>
              <w:rPr>
                <w:rFonts w:ascii="Times New Roman" w:hAnsi="Times New Roman" w:cs="Times New Roman"/>
                <w:b/>
                <w:i/>
                <w:caps/>
                <w:sz w:val="22"/>
              </w:rPr>
            </w:pPr>
            <w:r>
              <w:rPr>
                <w:rFonts w:ascii="Times New Roman" w:hAnsi="Times New Roman" w:cs="Times New Roman"/>
                <w:sz w:val="22"/>
              </w:rPr>
              <w:t>59.50±10.61</w:t>
            </w:r>
          </w:p>
        </w:tc>
        <w:tc>
          <w:tcPr>
            <w:tcW w:w="3021" w:type="dxa"/>
            <w:tcBorders>
              <w:bottom w:val="nil"/>
            </w:tcBorders>
          </w:tcPr>
          <w:p w14:paraId="5CCDED7F">
            <w:pPr>
              <w:snapToGrid w:val="0"/>
              <w:spacing w:after="0" w:line="240" w:lineRule="auto"/>
              <w:jc w:val="center"/>
              <w:textAlignment w:val="baseline"/>
              <w:rPr>
                <w:rFonts w:ascii="Times New Roman" w:hAnsi="Times New Roman" w:cs="Times New Roman"/>
                <w:b/>
                <w:i/>
                <w:caps/>
                <w:sz w:val="22"/>
              </w:rPr>
            </w:pPr>
            <w:r>
              <w:rPr>
                <w:rFonts w:ascii="Times New Roman" w:hAnsi="Times New Roman" w:cs="Times New Roman"/>
                <w:sz w:val="22"/>
              </w:rPr>
              <w:t>52–67</w:t>
            </w:r>
          </w:p>
        </w:tc>
      </w:tr>
      <w:tr w14:paraId="6916D38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3020" w:type="dxa"/>
            <w:tcBorders>
              <w:top w:val="nil"/>
              <w:bottom w:val="single" w:color="auto" w:sz="4" w:space="0"/>
            </w:tcBorders>
          </w:tcPr>
          <w:p w14:paraId="6B8726F6">
            <w:pPr>
              <w:snapToGrid w:val="0"/>
              <w:spacing w:after="0" w:line="240" w:lineRule="auto"/>
              <w:textAlignment w:val="baseline"/>
              <w:rPr>
                <w:rFonts w:ascii="Times New Roman" w:hAnsi="Times New Roman" w:cs="Times New Roman"/>
                <w:b/>
                <w:i/>
                <w:caps/>
                <w:sz w:val="22"/>
              </w:rPr>
            </w:pPr>
            <w:r>
              <w:rPr>
                <w:rFonts w:ascii="Times New Roman" w:hAnsi="Times New Roman" w:cs="Times New Roman"/>
                <w:sz w:val="22"/>
              </w:rPr>
              <w:t>PRV</w:t>
            </w:r>
          </w:p>
        </w:tc>
        <w:tc>
          <w:tcPr>
            <w:tcW w:w="3021" w:type="dxa"/>
            <w:tcBorders>
              <w:top w:val="nil"/>
              <w:bottom w:val="single" w:color="auto" w:sz="4" w:space="0"/>
            </w:tcBorders>
          </w:tcPr>
          <w:p w14:paraId="3AEEA2A7">
            <w:pPr>
              <w:snapToGrid w:val="0"/>
              <w:spacing w:after="0" w:line="240" w:lineRule="auto"/>
              <w:textAlignment w:val="baseline"/>
              <w:rPr>
                <w:rFonts w:ascii="Times New Roman" w:hAnsi="Times New Roman" w:cs="Times New Roman"/>
                <w:b/>
                <w:i/>
                <w:caps/>
                <w:sz w:val="22"/>
              </w:rPr>
            </w:pPr>
            <w:r>
              <w:rPr>
                <w:rFonts w:ascii="Times New Roman" w:hAnsi="Times New Roman" w:cs="Times New Roman"/>
                <w:sz w:val="22"/>
              </w:rPr>
              <w:t>54.00±9.62</w:t>
            </w:r>
          </w:p>
        </w:tc>
        <w:tc>
          <w:tcPr>
            <w:tcW w:w="3021" w:type="dxa"/>
            <w:tcBorders>
              <w:top w:val="nil"/>
              <w:bottom w:val="single" w:color="auto" w:sz="4" w:space="0"/>
            </w:tcBorders>
          </w:tcPr>
          <w:p w14:paraId="6FE2C119">
            <w:pPr>
              <w:snapToGrid w:val="0"/>
              <w:spacing w:after="0" w:line="240" w:lineRule="auto"/>
              <w:jc w:val="center"/>
              <w:textAlignment w:val="baseline"/>
              <w:rPr>
                <w:rFonts w:ascii="Times New Roman" w:hAnsi="Times New Roman" w:cs="Times New Roman"/>
                <w:b/>
                <w:i/>
                <w:caps/>
                <w:sz w:val="22"/>
              </w:rPr>
            </w:pPr>
            <w:r>
              <w:rPr>
                <w:rFonts w:ascii="Times New Roman" w:hAnsi="Times New Roman" w:cs="Times New Roman"/>
                <w:sz w:val="22"/>
              </w:rPr>
              <w:t>43–74</w:t>
            </w:r>
          </w:p>
        </w:tc>
      </w:tr>
      <w:tr w14:paraId="2355B78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trPr>
        <w:tc>
          <w:tcPr>
            <w:tcW w:w="3020" w:type="dxa"/>
            <w:tcBorders>
              <w:top w:val="single" w:color="auto" w:sz="4" w:space="0"/>
            </w:tcBorders>
          </w:tcPr>
          <w:p w14:paraId="2BBD5D79">
            <w:pPr>
              <w:snapToGrid w:val="0"/>
              <w:spacing w:after="0" w:line="240" w:lineRule="auto"/>
              <w:textAlignment w:val="baseline"/>
              <w:rPr>
                <w:rFonts w:ascii="Times New Roman" w:hAnsi="Times New Roman" w:cs="Times New Roman"/>
                <w:b/>
                <w:bCs/>
                <w:sz w:val="22"/>
              </w:rPr>
            </w:pPr>
            <w:r>
              <w:rPr>
                <w:rFonts w:ascii="Times New Roman" w:hAnsi="Times New Roman" w:cs="Times New Roman"/>
                <w:b/>
                <w:bCs/>
                <w:sz w:val="22"/>
              </w:rPr>
              <w:t>Mean age of all haematological malignancies</w:t>
            </w:r>
          </w:p>
        </w:tc>
        <w:tc>
          <w:tcPr>
            <w:tcW w:w="3021" w:type="dxa"/>
            <w:tcBorders>
              <w:top w:val="single" w:color="auto" w:sz="4" w:space="0"/>
            </w:tcBorders>
          </w:tcPr>
          <w:p w14:paraId="1AB7C1BA">
            <w:pPr>
              <w:snapToGrid w:val="0"/>
              <w:spacing w:after="0" w:line="240" w:lineRule="auto"/>
              <w:textAlignment w:val="baseline"/>
              <w:rPr>
                <w:rFonts w:ascii="Times New Roman" w:hAnsi="Times New Roman" w:cs="Times New Roman"/>
                <w:b/>
                <w:bCs/>
                <w:sz w:val="22"/>
              </w:rPr>
            </w:pPr>
            <w:r>
              <w:rPr>
                <w:rFonts w:ascii="Times New Roman" w:hAnsi="Times New Roman" w:cs="Times New Roman"/>
                <w:b/>
                <w:bCs/>
                <w:sz w:val="22"/>
              </w:rPr>
              <w:t>47.29±16.28</w:t>
            </w:r>
          </w:p>
        </w:tc>
        <w:tc>
          <w:tcPr>
            <w:tcW w:w="3021" w:type="dxa"/>
            <w:tcBorders>
              <w:top w:val="single" w:color="auto" w:sz="4" w:space="0"/>
            </w:tcBorders>
          </w:tcPr>
          <w:p w14:paraId="168FBD16">
            <w:pPr>
              <w:snapToGrid w:val="0"/>
              <w:spacing w:after="0" w:line="240" w:lineRule="auto"/>
              <w:jc w:val="center"/>
              <w:textAlignment w:val="baseline"/>
              <w:rPr>
                <w:rFonts w:ascii="Times New Roman" w:hAnsi="Times New Roman" w:cs="Times New Roman"/>
                <w:b/>
                <w:bCs/>
                <w:sz w:val="22"/>
              </w:rPr>
            </w:pPr>
            <w:r>
              <w:rPr>
                <w:rFonts w:ascii="Times New Roman" w:hAnsi="Times New Roman" w:cs="Times New Roman"/>
                <w:b/>
                <w:bCs/>
                <w:sz w:val="22"/>
              </w:rPr>
              <w:t>18-84</w:t>
            </w:r>
          </w:p>
        </w:tc>
      </w:tr>
    </w:tbl>
    <w:p w14:paraId="2A6E9B46">
      <w:pPr>
        <w:spacing w:after="0" w:line="240" w:lineRule="auto"/>
        <w:ind w:right="-46"/>
        <w:jc w:val="both"/>
        <w:rPr>
          <w:rFonts w:ascii="Times New Roman" w:hAnsi="Times New Roman" w:eastAsia="Calibri" w:cs="Times New Roman"/>
          <w:i/>
        </w:rPr>
      </w:pPr>
      <w:r>
        <w:rPr>
          <w:rFonts w:ascii="Times New Roman" w:hAnsi="Times New Roman" w:eastAsia="Calibri" w:cs="Times New Roman"/>
          <w:i/>
        </w:rPr>
        <w:t>ALL-Acute lymphoblastic leukaemia, AML-Acute myeloid leukaemia, CLL- Chronic lymphocytic leukaemia, CML- Chronic myeloid leukaemia, ET- Essential Thrombocythaemia, HL- Hodgkin lymphoma, MDS- Myelodysplastic syndrome, MM- Multiple myeloma, NHL- Non Hodgkin lymphoma, PMF- Primary myelofibrosis, PRV- Polycythaemia Rubra Vera</w:t>
      </w:r>
    </w:p>
    <w:p w14:paraId="70478F1D">
      <w:pPr>
        <w:snapToGrid w:val="0"/>
        <w:textAlignment w:val="baseline"/>
        <w:rPr>
          <w:rFonts w:ascii="Times New Roman" w:hAnsi="Times New Roman" w:cs="Times New Roman"/>
          <w:b/>
          <w:i/>
          <w:caps/>
        </w:rPr>
      </w:pPr>
    </w:p>
    <w:p w14:paraId="044A3EB4">
      <w:pPr>
        <w:snapToGrid w:val="0"/>
        <w:textAlignment w:val="baseline"/>
        <w:rPr>
          <w:rFonts w:ascii="Times New Roman" w:hAnsi="Times New Roman" w:cs="Times New Roman"/>
          <w:b/>
          <w:bCs/>
        </w:rPr>
      </w:pPr>
    </w:p>
    <w:p w14:paraId="2F5439E9">
      <w:pPr>
        <w:snapToGrid w:val="0"/>
        <w:textAlignment w:val="baseline"/>
        <w:rPr>
          <w:rFonts w:ascii="Times New Roman" w:hAnsi="Times New Roman" w:cs="Times New Roman"/>
          <w:b/>
          <w:bCs/>
        </w:rPr>
      </w:pPr>
    </w:p>
    <w:p w14:paraId="4D3E742A">
      <w:pPr>
        <w:snapToGrid w:val="0"/>
        <w:textAlignment w:val="baseline"/>
        <w:rPr>
          <w:rFonts w:ascii="Times New Roman" w:hAnsi="Times New Roman" w:cs="Times New Roman"/>
          <w:b/>
          <w:bCs/>
        </w:rPr>
      </w:pPr>
      <w:r>
        <w:rPr>
          <w:rFonts w:ascii="Times New Roman" w:hAnsi="Times New Roman" w:cs="Times New Roman"/>
          <w:b/>
          <w:bCs/>
        </w:rPr>
        <w:t xml:space="preserve">Table 2.  Frequency of haematological malignancies based on gender and the frequency of each haematological malignancies </w:t>
      </w:r>
    </w:p>
    <w:tbl>
      <w:tblPr>
        <w:tblStyle w:val="10"/>
        <w:tblW w:w="8411"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02"/>
        <w:gridCol w:w="2103"/>
        <w:gridCol w:w="2103"/>
        <w:gridCol w:w="2103"/>
      </w:tblGrid>
      <w:tr w14:paraId="17E1C23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102" w:type="dxa"/>
            <w:tcBorders>
              <w:top w:val="single" w:color="auto" w:sz="4" w:space="0"/>
              <w:bottom w:val="nil"/>
            </w:tcBorders>
          </w:tcPr>
          <w:p w14:paraId="6FFB44E6">
            <w:pPr>
              <w:snapToGrid w:val="0"/>
              <w:spacing w:after="0" w:line="240" w:lineRule="auto"/>
              <w:textAlignment w:val="baseline"/>
              <w:rPr>
                <w:rFonts w:ascii="Times New Roman" w:hAnsi="Times New Roman" w:cs="Times New Roman"/>
                <w:b/>
                <w:bCs/>
                <w:sz w:val="22"/>
              </w:rPr>
            </w:pPr>
            <w:r>
              <w:rPr>
                <w:rFonts w:ascii="Times New Roman" w:hAnsi="Times New Roman" w:cs="Times New Roman"/>
                <w:b/>
                <w:bCs/>
                <w:sz w:val="22"/>
              </w:rPr>
              <w:t>Variables</w:t>
            </w:r>
          </w:p>
        </w:tc>
        <w:tc>
          <w:tcPr>
            <w:tcW w:w="4206" w:type="dxa"/>
            <w:gridSpan w:val="2"/>
            <w:tcBorders>
              <w:top w:val="single" w:color="auto" w:sz="4" w:space="0"/>
              <w:bottom w:val="single" w:color="auto" w:sz="4" w:space="0"/>
            </w:tcBorders>
          </w:tcPr>
          <w:p w14:paraId="158F1D00">
            <w:pPr>
              <w:snapToGrid w:val="0"/>
              <w:spacing w:after="0" w:line="240" w:lineRule="auto"/>
              <w:jc w:val="center"/>
              <w:textAlignment w:val="baseline"/>
              <w:rPr>
                <w:rFonts w:ascii="Times New Roman" w:hAnsi="Times New Roman" w:cs="Times New Roman"/>
                <w:b/>
                <w:bCs/>
                <w:sz w:val="22"/>
              </w:rPr>
            </w:pPr>
            <w:r>
              <w:rPr>
                <w:rFonts w:ascii="Times New Roman" w:hAnsi="Times New Roman" w:cs="Times New Roman"/>
                <w:b/>
                <w:bCs/>
                <w:sz w:val="22"/>
              </w:rPr>
              <w:t>Sex</w:t>
            </w:r>
          </w:p>
        </w:tc>
        <w:tc>
          <w:tcPr>
            <w:tcW w:w="2103" w:type="dxa"/>
            <w:tcBorders>
              <w:top w:val="single" w:color="auto" w:sz="4" w:space="0"/>
              <w:bottom w:val="nil"/>
            </w:tcBorders>
          </w:tcPr>
          <w:p w14:paraId="2E583CC7">
            <w:pPr>
              <w:snapToGrid w:val="0"/>
              <w:spacing w:after="0" w:line="240" w:lineRule="auto"/>
              <w:jc w:val="center"/>
              <w:textAlignment w:val="baseline"/>
              <w:rPr>
                <w:rFonts w:ascii="Times New Roman" w:hAnsi="Times New Roman" w:cs="Times New Roman"/>
                <w:b/>
                <w:bCs/>
                <w:sz w:val="22"/>
              </w:rPr>
            </w:pPr>
          </w:p>
          <w:p w14:paraId="0A20657A">
            <w:pPr>
              <w:snapToGrid w:val="0"/>
              <w:spacing w:after="0" w:line="240" w:lineRule="auto"/>
              <w:jc w:val="center"/>
              <w:textAlignment w:val="baseline"/>
              <w:rPr>
                <w:rFonts w:ascii="Times New Roman" w:hAnsi="Times New Roman" w:cs="Times New Roman"/>
                <w:b/>
                <w:bCs/>
                <w:sz w:val="22"/>
              </w:rPr>
            </w:pPr>
            <w:r>
              <w:rPr>
                <w:rFonts w:ascii="Times New Roman" w:hAnsi="Times New Roman" w:cs="Times New Roman"/>
                <w:b/>
                <w:bCs/>
                <w:sz w:val="22"/>
              </w:rPr>
              <w:t>Frequency of each HM (%)</w:t>
            </w:r>
          </w:p>
        </w:tc>
      </w:tr>
      <w:tr w14:paraId="55157D1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102" w:type="dxa"/>
            <w:tcBorders>
              <w:top w:val="nil"/>
              <w:bottom w:val="single" w:color="auto" w:sz="4" w:space="0"/>
            </w:tcBorders>
          </w:tcPr>
          <w:p w14:paraId="4AE4FACB">
            <w:pPr>
              <w:snapToGrid w:val="0"/>
              <w:spacing w:after="0" w:line="240" w:lineRule="auto"/>
              <w:textAlignment w:val="baseline"/>
              <w:rPr>
                <w:rFonts w:ascii="Times New Roman" w:hAnsi="Times New Roman" w:cs="Times New Roman"/>
                <w:b/>
                <w:bCs/>
                <w:sz w:val="22"/>
              </w:rPr>
            </w:pPr>
          </w:p>
        </w:tc>
        <w:tc>
          <w:tcPr>
            <w:tcW w:w="2103" w:type="dxa"/>
            <w:tcBorders>
              <w:top w:val="single" w:color="auto" w:sz="4" w:space="0"/>
              <w:bottom w:val="single" w:color="auto" w:sz="4" w:space="0"/>
            </w:tcBorders>
          </w:tcPr>
          <w:p w14:paraId="4D7621C6">
            <w:pPr>
              <w:snapToGrid w:val="0"/>
              <w:spacing w:after="0" w:line="240" w:lineRule="auto"/>
              <w:jc w:val="center"/>
              <w:textAlignment w:val="baseline"/>
              <w:rPr>
                <w:rFonts w:ascii="Times New Roman" w:hAnsi="Times New Roman" w:cs="Times New Roman"/>
                <w:b/>
                <w:bCs/>
                <w:sz w:val="22"/>
              </w:rPr>
            </w:pPr>
            <w:r>
              <w:rPr>
                <w:rFonts w:ascii="Times New Roman" w:hAnsi="Times New Roman" w:cs="Times New Roman"/>
                <w:b/>
                <w:bCs/>
                <w:sz w:val="22"/>
              </w:rPr>
              <w:t>Male n(%)</w:t>
            </w:r>
          </w:p>
        </w:tc>
        <w:tc>
          <w:tcPr>
            <w:tcW w:w="2103" w:type="dxa"/>
            <w:tcBorders>
              <w:top w:val="single" w:color="auto" w:sz="4" w:space="0"/>
              <w:bottom w:val="single" w:color="auto" w:sz="4" w:space="0"/>
            </w:tcBorders>
          </w:tcPr>
          <w:p w14:paraId="47FA9593">
            <w:pPr>
              <w:snapToGrid w:val="0"/>
              <w:spacing w:after="0" w:line="240" w:lineRule="auto"/>
              <w:jc w:val="center"/>
              <w:textAlignment w:val="baseline"/>
              <w:rPr>
                <w:rFonts w:ascii="Times New Roman" w:hAnsi="Times New Roman" w:cs="Times New Roman"/>
                <w:b/>
                <w:bCs/>
                <w:sz w:val="22"/>
              </w:rPr>
            </w:pPr>
            <w:r>
              <w:rPr>
                <w:rFonts w:ascii="Times New Roman" w:hAnsi="Times New Roman" w:cs="Times New Roman"/>
                <w:b/>
                <w:bCs/>
                <w:sz w:val="22"/>
              </w:rPr>
              <w:t>Female n(%)</w:t>
            </w:r>
          </w:p>
        </w:tc>
        <w:tc>
          <w:tcPr>
            <w:tcW w:w="2103" w:type="dxa"/>
            <w:tcBorders>
              <w:top w:val="nil"/>
              <w:bottom w:val="single" w:color="auto" w:sz="4" w:space="0"/>
            </w:tcBorders>
          </w:tcPr>
          <w:p w14:paraId="734910C6">
            <w:pPr>
              <w:snapToGrid w:val="0"/>
              <w:spacing w:after="0" w:line="240" w:lineRule="auto"/>
              <w:jc w:val="center"/>
              <w:textAlignment w:val="baseline"/>
              <w:rPr>
                <w:rFonts w:ascii="Times New Roman" w:hAnsi="Times New Roman" w:cs="Times New Roman"/>
                <w:b/>
                <w:bCs/>
                <w:sz w:val="22"/>
              </w:rPr>
            </w:pPr>
          </w:p>
        </w:tc>
      </w:tr>
      <w:tr w14:paraId="17B63E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2102" w:type="dxa"/>
            <w:tcBorders>
              <w:top w:val="single" w:color="auto" w:sz="4" w:space="0"/>
            </w:tcBorders>
          </w:tcPr>
          <w:p w14:paraId="346D5458">
            <w:pPr>
              <w:snapToGrid w:val="0"/>
              <w:spacing w:after="0" w:line="240" w:lineRule="auto"/>
              <w:textAlignment w:val="baseline"/>
              <w:rPr>
                <w:rFonts w:ascii="Times New Roman" w:hAnsi="Times New Roman" w:cs="Times New Roman"/>
                <w:b/>
                <w:i/>
                <w:caps/>
                <w:sz w:val="22"/>
              </w:rPr>
            </w:pPr>
            <w:r>
              <w:rPr>
                <w:rFonts w:ascii="Times New Roman" w:hAnsi="Times New Roman" w:cs="Times New Roman"/>
                <w:sz w:val="22"/>
              </w:rPr>
              <w:t>ALL (n = 8)</w:t>
            </w:r>
          </w:p>
        </w:tc>
        <w:tc>
          <w:tcPr>
            <w:tcW w:w="2103" w:type="dxa"/>
            <w:tcBorders>
              <w:top w:val="single" w:color="auto" w:sz="4" w:space="0"/>
            </w:tcBorders>
          </w:tcPr>
          <w:p w14:paraId="61497E25">
            <w:pPr>
              <w:snapToGrid w:val="0"/>
              <w:spacing w:after="0" w:line="240" w:lineRule="auto"/>
              <w:jc w:val="center"/>
              <w:textAlignment w:val="baseline"/>
              <w:rPr>
                <w:rFonts w:ascii="Times New Roman" w:hAnsi="Times New Roman" w:cs="Times New Roman"/>
                <w:b/>
                <w:i/>
                <w:caps/>
                <w:sz w:val="22"/>
              </w:rPr>
            </w:pPr>
            <w:r>
              <w:rPr>
                <w:rFonts w:ascii="Times New Roman" w:hAnsi="Times New Roman" w:cs="Times New Roman"/>
                <w:sz w:val="22"/>
              </w:rPr>
              <w:t>4(50.0)</w:t>
            </w:r>
          </w:p>
        </w:tc>
        <w:tc>
          <w:tcPr>
            <w:tcW w:w="2103" w:type="dxa"/>
            <w:tcBorders>
              <w:top w:val="single" w:color="auto" w:sz="4" w:space="0"/>
            </w:tcBorders>
          </w:tcPr>
          <w:p w14:paraId="5B794AE6">
            <w:pPr>
              <w:snapToGrid w:val="0"/>
              <w:spacing w:after="0" w:line="240" w:lineRule="auto"/>
              <w:jc w:val="center"/>
              <w:textAlignment w:val="baseline"/>
              <w:rPr>
                <w:rFonts w:ascii="Times New Roman" w:hAnsi="Times New Roman" w:cs="Times New Roman"/>
                <w:b/>
                <w:i/>
                <w:caps/>
                <w:sz w:val="22"/>
              </w:rPr>
            </w:pPr>
            <w:r>
              <w:rPr>
                <w:rFonts w:ascii="Times New Roman" w:hAnsi="Times New Roman" w:cs="Times New Roman"/>
                <w:sz w:val="22"/>
              </w:rPr>
              <w:t>4(50.0)</w:t>
            </w:r>
          </w:p>
        </w:tc>
        <w:tc>
          <w:tcPr>
            <w:tcW w:w="2103" w:type="dxa"/>
            <w:tcBorders>
              <w:top w:val="single" w:color="auto" w:sz="4" w:space="0"/>
            </w:tcBorders>
          </w:tcPr>
          <w:p w14:paraId="573B4440">
            <w:pPr>
              <w:snapToGrid w:val="0"/>
              <w:spacing w:after="0" w:line="240" w:lineRule="auto"/>
              <w:textAlignment w:val="baseline"/>
              <w:rPr>
                <w:rFonts w:ascii="Times New Roman" w:hAnsi="Times New Roman" w:cs="Times New Roman"/>
                <w:b/>
                <w:i/>
                <w:caps/>
                <w:sz w:val="22"/>
              </w:rPr>
            </w:pPr>
            <w:r>
              <w:rPr>
                <w:rFonts w:ascii="Times New Roman" w:hAnsi="Times New Roman" w:cs="Times New Roman"/>
                <w:sz w:val="22"/>
              </w:rPr>
              <w:t xml:space="preserve">            3.4</w:t>
            </w:r>
          </w:p>
        </w:tc>
      </w:tr>
      <w:tr w14:paraId="2712FFD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102" w:type="dxa"/>
          </w:tcPr>
          <w:p w14:paraId="457F8993">
            <w:pPr>
              <w:snapToGrid w:val="0"/>
              <w:spacing w:after="0" w:line="240" w:lineRule="auto"/>
              <w:textAlignment w:val="baseline"/>
              <w:rPr>
                <w:rFonts w:ascii="Times New Roman" w:hAnsi="Times New Roman" w:cs="Times New Roman"/>
                <w:b/>
                <w:i/>
                <w:caps/>
                <w:sz w:val="22"/>
              </w:rPr>
            </w:pPr>
            <w:r>
              <w:rPr>
                <w:rFonts w:ascii="Times New Roman" w:hAnsi="Times New Roman" w:cs="Times New Roman"/>
                <w:sz w:val="22"/>
              </w:rPr>
              <w:t>AML(n = 20)</w:t>
            </w:r>
          </w:p>
        </w:tc>
        <w:tc>
          <w:tcPr>
            <w:tcW w:w="2103" w:type="dxa"/>
          </w:tcPr>
          <w:p w14:paraId="48CDA232">
            <w:pPr>
              <w:snapToGrid w:val="0"/>
              <w:spacing w:after="0" w:line="240" w:lineRule="auto"/>
              <w:jc w:val="center"/>
              <w:textAlignment w:val="baseline"/>
              <w:rPr>
                <w:rFonts w:ascii="Times New Roman" w:hAnsi="Times New Roman" w:cs="Times New Roman"/>
                <w:b/>
                <w:i/>
                <w:caps/>
                <w:sz w:val="22"/>
              </w:rPr>
            </w:pPr>
            <w:r>
              <w:rPr>
                <w:rFonts w:ascii="Times New Roman" w:hAnsi="Times New Roman" w:cs="Times New Roman"/>
                <w:sz w:val="22"/>
              </w:rPr>
              <w:t>10(50.0)</w:t>
            </w:r>
          </w:p>
        </w:tc>
        <w:tc>
          <w:tcPr>
            <w:tcW w:w="2103" w:type="dxa"/>
          </w:tcPr>
          <w:p w14:paraId="13D4312F">
            <w:pPr>
              <w:snapToGrid w:val="0"/>
              <w:spacing w:after="0" w:line="240" w:lineRule="auto"/>
              <w:jc w:val="center"/>
              <w:textAlignment w:val="baseline"/>
              <w:rPr>
                <w:rFonts w:ascii="Times New Roman" w:hAnsi="Times New Roman" w:cs="Times New Roman"/>
                <w:b/>
                <w:i/>
                <w:caps/>
                <w:sz w:val="22"/>
              </w:rPr>
            </w:pPr>
            <w:r>
              <w:rPr>
                <w:rFonts w:ascii="Times New Roman" w:hAnsi="Times New Roman" w:cs="Times New Roman"/>
                <w:sz w:val="22"/>
              </w:rPr>
              <w:t>10(50.0)</w:t>
            </w:r>
          </w:p>
        </w:tc>
        <w:tc>
          <w:tcPr>
            <w:tcW w:w="2103" w:type="dxa"/>
          </w:tcPr>
          <w:p w14:paraId="4E6F8375">
            <w:pPr>
              <w:snapToGrid w:val="0"/>
              <w:spacing w:after="0" w:line="240" w:lineRule="auto"/>
              <w:textAlignment w:val="baseline"/>
              <w:rPr>
                <w:rFonts w:ascii="Times New Roman" w:hAnsi="Times New Roman" w:cs="Times New Roman"/>
                <w:b/>
                <w:i/>
                <w:caps/>
                <w:sz w:val="22"/>
              </w:rPr>
            </w:pPr>
            <w:r>
              <w:rPr>
                <w:rFonts w:ascii="Times New Roman" w:hAnsi="Times New Roman" w:cs="Times New Roman"/>
                <w:sz w:val="22"/>
              </w:rPr>
              <w:t xml:space="preserve">            8.5</w:t>
            </w:r>
          </w:p>
        </w:tc>
      </w:tr>
      <w:tr w14:paraId="659A285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102" w:type="dxa"/>
          </w:tcPr>
          <w:p w14:paraId="1EEE8B64">
            <w:pPr>
              <w:snapToGrid w:val="0"/>
              <w:spacing w:after="0" w:line="240" w:lineRule="auto"/>
              <w:textAlignment w:val="baseline"/>
              <w:rPr>
                <w:rFonts w:ascii="Times New Roman" w:hAnsi="Times New Roman" w:cs="Times New Roman"/>
                <w:b/>
                <w:i/>
                <w:caps/>
                <w:sz w:val="22"/>
              </w:rPr>
            </w:pPr>
            <w:r>
              <w:rPr>
                <w:rFonts w:ascii="Times New Roman" w:hAnsi="Times New Roman" w:cs="Times New Roman"/>
                <w:sz w:val="22"/>
              </w:rPr>
              <w:t>CLL (n = 23)</w:t>
            </w:r>
          </w:p>
        </w:tc>
        <w:tc>
          <w:tcPr>
            <w:tcW w:w="2103" w:type="dxa"/>
          </w:tcPr>
          <w:p w14:paraId="40664775">
            <w:pPr>
              <w:snapToGrid w:val="0"/>
              <w:spacing w:after="0" w:line="240" w:lineRule="auto"/>
              <w:jc w:val="center"/>
              <w:textAlignment w:val="baseline"/>
              <w:rPr>
                <w:rFonts w:ascii="Times New Roman" w:hAnsi="Times New Roman" w:cs="Times New Roman"/>
                <w:b/>
                <w:i/>
                <w:caps/>
                <w:sz w:val="22"/>
              </w:rPr>
            </w:pPr>
            <w:r>
              <w:rPr>
                <w:rFonts w:ascii="Times New Roman" w:hAnsi="Times New Roman" w:cs="Times New Roman"/>
                <w:sz w:val="22"/>
              </w:rPr>
              <w:t>14(60.9)</w:t>
            </w:r>
          </w:p>
        </w:tc>
        <w:tc>
          <w:tcPr>
            <w:tcW w:w="2103" w:type="dxa"/>
          </w:tcPr>
          <w:p w14:paraId="2ED01BF6">
            <w:pPr>
              <w:snapToGrid w:val="0"/>
              <w:spacing w:after="0" w:line="240" w:lineRule="auto"/>
              <w:jc w:val="center"/>
              <w:textAlignment w:val="baseline"/>
              <w:rPr>
                <w:rFonts w:ascii="Times New Roman" w:hAnsi="Times New Roman" w:cs="Times New Roman"/>
                <w:b/>
                <w:i/>
                <w:caps/>
                <w:sz w:val="22"/>
              </w:rPr>
            </w:pPr>
            <w:r>
              <w:rPr>
                <w:rFonts w:ascii="Times New Roman" w:hAnsi="Times New Roman" w:cs="Times New Roman"/>
                <w:sz w:val="22"/>
              </w:rPr>
              <w:t>9(39.1)</w:t>
            </w:r>
          </w:p>
        </w:tc>
        <w:tc>
          <w:tcPr>
            <w:tcW w:w="2103" w:type="dxa"/>
          </w:tcPr>
          <w:p w14:paraId="00CD78A6">
            <w:pPr>
              <w:snapToGrid w:val="0"/>
              <w:spacing w:after="0" w:line="240" w:lineRule="auto"/>
              <w:textAlignment w:val="baseline"/>
              <w:rPr>
                <w:rFonts w:ascii="Times New Roman" w:hAnsi="Times New Roman" w:cs="Times New Roman"/>
                <w:b/>
                <w:i/>
                <w:caps/>
                <w:sz w:val="22"/>
              </w:rPr>
            </w:pPr>
            <w:r>
              <w:rPr>
                <w:rFonts w:ascii="Times New Roman" w:hAnsi="Times New Roman" w:cs="Times New Roman"/>
                <w:sz w:val="22"/>
              </w:rPr>
              <w:t xml:space="preserve">             9.8</w:t>
            </w:r>
          </w:p>
        </w:tc>
      </w:tr>
      <w:tr w14:paraId="256946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2102" w:type="dxa"/>
          </w:tcPr>
          <w:p w14:paraId="660A2F47">
            <w:pPr>
              <w:snapToGrid w:val="0"/>
              <w:spacing w:after="0" w:line="240" w:lineRule="auto"/>
              <w:textAlignment w:val="baseline"/>
              <w:rPr>
                <w:rFonts w:ascii="Times New Roman" w:hAnsi="Times New Roman" w:cs="Times New Roman"/>
                <w:b/>
                <w:i/>
                <w:caps/>
                <w:sz w:val="22"/>
              </w:rPr>
            </w:pPr>
            <w:r>
              <w:rPr>
                <w:rFonts w:ascii="Times New Roman" w:hAnsi="Times New Roman" w:cs="Times New Roman"/>
                <w:sz w:val="22"/>
              </w:rPr>
              <w:t>CML (n =68)</w:t>
            </w:r>
          </w:p>
        </w:tc>
        <w:tc>
          <w:tcPr>
            <w:tcW w:w="2103" w:type="dxa"/>
          </w:tcPr>
          <w:p w14:paraId="2FC49966">
            <w:pPr>
              <w:snapToGrid w:val="0"/>
              <w:spacing w:after="0" w:line="240" w:lineRule="auto"/>
              <w:jc w:val="center"/>
              <w:textAlignment w:val="baseline"/>
              <w:rPr>
                <w:rFonts w:ascii="Times New Roman" w:hAnsi="Times New Roman" w:cs="Times New Roman"/>
                <w:b/>
                <w:i/>
                <w:caps/>
                <w:sz w:val="22"/>
              </w:rPr>
            </w:pPr>
            <w:r>
              <w:rPr>
                <w:rFonts w:ascii="Times New Roman" w:hAnsi="Times New Roman" w:cs="Times New Roman"/>
                <w:sz w:val="22"/>
              </w:rPr>
              <w:t>34(50.0)</w:t>
            </w:r>
          </w:p>
        </w:tc>
        <w:tc>
          <w:tcPr>
            <w:tcW w:w="2103" w:type="dxa"/>
          </w:tcPr>
          <w:p w14:paraId="243DB965">
            <w:pPr>
              <w:snapToGrid w:val="0"/>
              <w:spacing w:after="0" w:line="240" w:lineRule="auto"/>
              <w:jc w:val="center"/>
              <w:textAlignment w:val="baseline"/>
              <w:rPr>
                <w:rFonts w:ascii="Times New Roman" w:hAnsi="Times New Roman" w:cs="Times New Roman"/>
                <w:b/>
                <w:i/>
                <w:caps/>
                <w:sz w:val="22"/>
              </w:rPr>
            </w:pPr>
            <w:r>
              <w:rPr>
                <w:rFonts w:ascii="Times New Roman" w:hAnsi="Times New Roman" w:cs="Times New Roman"/>
                <w:sz w:val="22"/>
              </w:rPr>
              <w:t>34(50.0)</w:t>
            </w:r>
          </w:p>
        </w:tc>
        <w:tc>
          <w:tcPr>
            <w:tcW w:w="2103" w:type="dxa"/>
          </w:tcPr>
          <w:p w14:paraId="6EFE1B46">
            <w:pPr>
              <w:snapToGrid w:val="0"/>
              <w:spacing w:after="0" w:line="240" w:lineRule="auto"/>
              <w:textAlignment w:val="baseline"/>
              <w:rPr>
                <w:rFonts w:ascii="Times New Roman" w:hAnsi="Times New Roman" w:cs="Times New Roman"/>
                <w:b/>
                <w:i/>
                <w:caps/>
                <w:sz w:val="22"/>
              </w:rPr>
            </w:pPr>
            <w:r>
              <w:rPr>
                <w:rFonts w:ascii="Times New Roman" w:hAnsi="Times New Roman" w:cs="Times New Roman"/>
                <w:sz w:val="22"/>
              </w:rPr>
              <w:t xml:space="preserve">            28.9 </w:t>
            </w:r>
          </w:p>
        </w:tc>
      </w:tr>
      <w:tr w14:paraId="621D27F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102" w:type="dxa"/>
          </w:tcPr>
          <w:p w14:paraId="52C1FF34">
            <w:pPr>
              <w:snapToGrid w:val="0"/>
              <w:spacing w:after="0" w:line="240" w:lineRule="auto"/>
              <w:textAlignment w:val="baseline"/>
              <w:rPr>
                <w:rFonts w:ascii="Times New Roman" w:hAnsi="Times New Roman" w:cs="Times New Roman"/>
                <w:b/>
                <w:i/>
                <w:caps/>
                <w:sz w:val="22"/>
              </w:rPr>
            </w:pPr>
            <w:r>
              <w:rPr>
                <w:rFonts w:ascii="Times New Roman" w:hAnsi="Times New Roman" w:cs="Times New Roman"/>
                <w:sz w:val="22"/>
              </w:rPr>
              <w:t>ET   (n = 9)</w:t>
            </w:r>
          </w:p>
        </w:tc>
        <w:tc>
          <w:tcPr>
            <w:tcW w:w="2103" w:type="dxa"/>
          </w:tcPr>
          <w:p w14:paraId="776846E7">
            <w:pPr>
              <w:snapToGrid w:val="0"/>
              <w:spacing w:after="0" w:line="240" w:lineRule="auto"/>
              <w:jc w:val="center"/>
              <w:textAlignment w:val="baseline"/>
              <w:rPr>
                <w:rFonts w:ascii="Times New Roman" w:hAnsi="Times New Roman" w:cs="Times New Roman"/>
                <w:b/>
                <w:i/>
                <w:caps/>
                <w:sz w:val="22"/>
              </w:rPr>
            </w:pPr>
            <w:r>
              <w:rPr>
                <w:rFonts w:ascii="Times New Roman" w:hAnsi="Times New Roman" w:cs="Times New Roman"/>
                <w:sz w:val="22"/>
              </w:rPr>
              <w:t>5(55.6)</w:t>
            </w:r>
          </w:p>
        </w:tc>
        <w:tc>
          <w:tcPr>
            <w:tcW w:w="2103" w:type="dxa"/>
          </w:tcPr>
          <w:p w14:paraId="76750406">
            <w:pPr>
              <w:snapToGrid w:val="0"/>
              <w:spacing w:after="0" w:line="240" w:lineRule="auto"/>
              <w:jc w:val="center"/>
              <w:textAlignment w:val="baseline"/>
              <w:rPr>
                <w:rFonts w:ascii="Times New Roman" w:hAnsi="Times New Roman" w:cs="Times New Roman"/>
                <w:b/>
                <w:i/>
                <w:caps/>
                <w:sz w:val="22"/>
              </w:rPr>
            </w:pPr>
            <w:r>
              <w:rPr>
                <w:rFonts w:ascii="Times New Roman" w:hAnsi="Times New Roman" w:cs="Times New Roman"/>
                <w:sz w:val="22"/>
              </w:rPr>
              <w:t>4(44.4)</w:t>
            </w:r>
          </w:p>
        </w:tc>
        <w:tc>
          <w:tcPr>
            <w:tcW w:w="2103" w:type="dxa"/>
          </w:tcPr>
          <w:p w14:paraId="022860FB">
            <w:pPr>
              <w:snapToGrid w:val="0"/>
              <w:spacing w:after="0" w:line="240" w:lineRule="auto"/>
              <w:jc w:val="center"/>
              <w:textAlignment w:val="baseline"/>
              <w:rPr>
                <w:rFonts w:ascii="Times New Roman" w:hAnsi="Times New Roman" w:cs="Times New Roman"/>
                <w:b/>
                <w:i/>
                <w:caps/>
                <w:sz w:val="22"/>
              </w:rPr>
            </w:pPr>
            <w:r>
              <w:rPr>
                <w:rFonts w:ascii="Times New Roman" w:hAnsi="Times New Roman" w:cs="Times New Roman"/>
                <w:sz w:val="22"/>
              </w:rPr>
              <w:t>3.8</w:t>
            </w:r>
          </w:p>
        </w:tc>
      </w:tr>
      <w:tr w14:paraId="4429FA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102" w:type="dxa"/>
          </w:tcPr>
          <w:p w14:paraId="13932413">
            <w:pPr>
              <w:snapToGrid w:val="0"/>
              <w:spacing w:after="0" w:line="240" w:lineRule="auto"/>
              <w:textAlignment w:val="baseline"/>
              <w:rPr>
                <w:rFonts w:ascii="Times New Roman" w:hAnsi="Times New Roman" w:cs="Times New Roman"/>
                <w:b/>
                <w:i/>
                <w:caps/>
                <w:sz w:val="22"/>
              </w:rPr>
            </w:pPr>
            <w:r>
              <w:rPr>
                <w:rFonts w:ascii="Times New Roman" w:hAnsi="Times New Roman" w:cs="Times New Roman"/>
                <w:sz w:val="22"/>
              </w:rPr>
              <w:t>HL  (n = 19)</w:t>
            </w:r>
          </w:p>
        </w:tc>
        <w:tc>
          <w:tcPr>
            <w:tcW w:w="2103" w:type="dxa"/>
          </w:tcPr>
          <w:p w14:paraId="0EDBA241">
            <w:pPr>
              <w:snapToGrid w:val="0"/>
              <w:spacing w:after="0" w:line="240" w:lineRule="auto"/>
              <w:jc w:val="center"/>
              <w:textAlignment w:val="baseline"/>
              <w:rPr>
                <w:rFonts w:ascii="Times New Roman" w:hAnsi="Times New Roman" w:cs="Times New Roman"/>
                <w:b/>
                <w:i/>
                <w:caps/>
                <w:sz w:val="22"/>
              </w:rPr>
            </w:pPr>
            <w:r>
              <w:rPr>
                <w:rFonts w:ascii="Times New Roman" w:hAnsi="Times New Roman" w:cs="Times New Roman"/>
                <w:sz w:val="22"/>
              </w:rPr>
              <w:t>10(52.6)</w:t>
            </w:r>
          </w:p>
        </w:tc>
        <w:tc>
          <w:tcPr>
            <w:tcW w:w="2103" w:type="dxa"/>
          </w:tcPr>
          <w:p w14:paraId="1AEC57AE">
            <w:pPr>
              <w:snapToGrid w:val="0"/>
              <w:spacing w:after="0" w:line="240" w:lineRule="auto"/>
              <w:jc w:val="center"/>
              <w:textAlignment w:val="baseline"/>
              <w:rPr>
                <w:rFonts w:ascii="Times New Roman" w:hAnsi="Times New Roman" w:cs="Times New Roman"/>
                <w:b/>
                <w:i/>
                <w:caps/>
                <w:sz w:val="22"/>
              </w:rPr>
            </w:pPr>
            <w:r>
              <w:rPr>
                <w:rFonts w:ascii="Times New Roman" w:hAnsi="Times New Roman" w:cs="Times New Roman"/>
                <w:sz w:val="22"/>
              </w:rPr>
              <w:t>9(47.4)</w:t>
            </w:r>
          </w:p>
        </w:tc>
        <w:tc>
          <w:tcPr>
            <w:tcW w:w="2103" w:type="dxa"/>
          </w:tcPr>
          <w:p w14:paraId="77EC6D4C">
            <w:pPr>
              <w:snapToGrid w:val="0"/>
              <w:spacing w:after="0" w:line="240" w:lineRule="auto"/>
              <w:jc w:val="center"/>
              <w:textAlignment w:val="baseline"/>
              <w:rPr>
                <w:rFonts w:ascii="Times New Roman" w:hAnsi="Times New Roman" w:cs="Times New Roman"/>
                <w:b/>
                <w:i/>
                <w:caps/>
                <w:sz w:val="22"/>
              </w:rPr>
            </w:pPr>
            <w:r>
              <w:rPr>
                <w:rFonts w:ascii="Times New Roman" w:hAnsi="Times New Roman" w:cs="Times New Roman"/>
                <w:sz w:val="22"/>
              </w:rPr>
              <w:t>8.1</w:t>
            </w:r>
          </w:p>
        </w:tc>
      </w:tr>
      <w:tr w14:paraId="7DE8C1B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102" w:type="dxa"/>
          </w:tcPr>
          <w:p w14:paraId="197E4D31">
            <w:pPr>
              <w:snapToGrid w:val="0"/>
              <w:spacing w:after="0" w:line="240" w:lineRule="auto"/>
              <w:textAlignment w:val="baseline"/>
              <w:rPr>
                <w:rFonts w:ascii="Times New Roman" w:hAnsi="Times New Roman" w:cs="Times New Roman"/>
                <w:b/>
                <w:i/>
                <w:caps/>
                <w:sz w:val="22"/>
              </w:rPr>
            </w:pPr>
            <w:r>
              <w:rPr>
                <w:rFonts w:ascii="Times New Roman" w:hAnsi="Times New Roman" w:cs="Times New Roman"/>
                <w:sz w:val="22"/>
              </w:rPr>
              <w:t>MDS (n = 2)</w:t>
            </w:r>
          </w:p>
        </w:tc>
        <w:tc>
          <w:tcPr>
            <w:tcW w:w="2103" w:type="dxa"/>
          </w:tcPr>
          <w:p w14:paraId="1D641357">
            <w:pPr>
              <w:snapToGrid w:val="0"/>
              <w:spacing w:after="0" w:line="240" w:lineRule="auto"/>
              <w:jc w:val="center"/>
              <w:textAlignment w:val="baseline"/>
              <w:rPr>
                <w:rFonts w:ascii="Times New Roman" w:hAnsi="Times New Roman" w:cs="Times New Roman"/>
                <w:b/>
                <w:i/>
                <w:caps/>
                <w:sz w:val="22"/>
              </w:rPr>
            </w:pPr>
            <w:r>
              <w:rPr>
                <w:rFonts w:ascii="Times New Roman" w:hAnsi="Times New Roman" w:cs="Times New Roman"/>
                <w:sz w:val="22"/>
              </w:rPr>
              <w:t>1(50.0)</w:t>
            </w:r>
          </w:p>
        </w:tc>
        <w:tc>
          <w:tcPr>
            <w:tcW w:w="2103" w:type="dxa"/>
          </w:tcPr>
          <w:p w14:paraId="2346AF79">
            <w:pPr>
              <w:snapToGrid w:val="0"/>
              <w:spacing w:after="0" w:line="240" w:lineRule="auto"/>
              <w:jc w:val="center"/>
              <w:textAlignment w:val="baseline"/>
              <w:rPr>
                <w:rFonts w:ascii="Times New Roman" w:hAnsi="Times New Roman" w:cs="Times New Roman"/>
                <w:b/>
                <w:i/>
                <w:caps/>
                <w:sz w:val="22"/>
              </w:rPr>
            </w:pPr>
            <w:r>
              <w:rPr>
                <w:rFonts w:ascii="Times New Roman" w:hAnsi="Times New Roman" w:cs="Times New Roman"/>
                <w:sz w:val="22"/>
              </w:rPr>
              <w:t>1(50.0)</w:t>
            </w:r>
          </w:p>
        </w:tc>
        <w:tc>
          <w:tcPr>
            <w:tcW w:w="2103" w:type="dxa"/>
          </w:tcPr>
          <w:p w14:paraId="69C677A4">
            <w:pPr>
              <w:snapToGrid w:val="0"/>
              <w:spacing w:after="0" w:line="240" w:lineRule="auto"/>
              <w:jc w:val="center"/>
              <w:textAlignment w:val="baseline"/>
              <w:rPr>
                <w:rFonts w:ascii="Times New Roman" w:hAnsi="Times New Roman" w:cs="Times New Roman"/>
                <w:b/>
                <w:i/>
                <w:caps/>
                <w:sz w:val="22"/>
              </w:rPr>
            </w:pPr>
            <w:r>
              <w:rPr>
                <w:rFonts w:ascii="Times New Roman" w:hAnsi="Times New Roman" w:cs="Times New Roman"/>
                <w:sz w:val="22"/>
              </w:rPr>
              <w:t>0.9</w:t>
            </w:r>
          </w:p>
        </w:tc>
      </w:tr>
      <w:tr w14:paraId="042CCA7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2102" w:type="dxa"/>
          </w:tcPr>
          <w:p w14:paraId="655D76D4">
            <w:pPr>
              <w:snapToGrid w:val="0"/>
              <w:spacing w:after="0" w:line="240" w:lineRule="auto"/>
              <w:textAlignment w:val="baseline"/>
              <w:rPr>
                <w:rFonts w:ascii="Times New Roman" w:hAnsi="Times New Roman" w:cs="Times New Roman"/>
                <w:b/>
                <w:i/>
                <w:caps/>
                <w:sz w:val="22"/>
              </w:rPr>
            </w:pPr>
            <w:r>
              <w:rPr>
                <w:rFonts w:ascii="Times New Roman" w:hAnsi="Times New Roman" w:cs="Times New Roman"/>
                <w:sz w:val="22"/>
              </w:rPr>
              <w:t>MM  (n = 35)</w:t>
            </w:r>
          </w:p>
        </w:tc>
        <w:tc>
          <w:tcPr>
            <w:tcW w:w="2103" w:type="dxa"/>
          </w:tcPr>
          <w:p w14:paraId="4DA496EE">
            <w:pPr>
              <w:snapToGrid w:val="0"/>
              <w:spacing w:after="0" w:line="240" w:lineRule="auto"/>
              <w:jc w:val="center"/>
              <w:textAlignment w:val="baseline"/>
              <w:rPr>
                <w:rFonts w:ascii="Times New Roman" w:hAnsi="Times New Roman" w:cs="Times New Roman"/>
                <w:b/>
                <w:i/>
                <w:caps/>
                <w:sz w:val="22"/>
              </w:rPr>
            </w:pPr>
            <w:r>
              <w:rPr>
                <w:rFonts w:ascii="Times New Roman" w:hAnsi="Times New Roman" w:cs="Times New Roman"/>
                <w:sz w:val="22"/>
              </w:rPr>
              <w:t>21(60.0)</w:t>
            </w:r>
          </w:p>
        </w:tc>
        <w:tc>
          <w:tcPr>
            <w:tcW w:w="2103" w:type="dxa"/>
          </w:tcPr>
          <w:p w14:paraId="3E3F023A">
            <w:pPr>
              <w:snapToGrid w:val="0"/>
              <w:spacing w:after="0" w:line="240" w:lineRule="auto"/>
              <w:jc w:val="center"/>
              <w:textAlignment w:val="baseline"/>
              <w:rPr>
                <w:rFonts w:ascii="Times New Roman" w:hAnsi="Times New Roman" w:cs="Times New Roman"/>
                <w:b/>
                <w:i/>
                <w:caps/>
                <w:sz w:val="22"/>
              </w:rPr>
            </w:pPr>
            <w:r>
              <w:rPr>
                <w:rFonts w:ascii="Times New Roman" w:hAnsi="Times New Roman" w:cs="Times New Roman"/>
                <w:sz w:val="22"/>
              </w:rPr>
              <w:t>14(40.0)</w:t>
            </w:r>
          </w:p>
        </w:tc>
        <w:tc>
          <w:tcPr>
            <w:tcW w:w="2103" w:type="dxa"/>
          </w:tcPr>
          <w:p w14:paraId="124535C7">
            <w:pPr>
              <w:snapToGrid w:val="0"/>
              <w:spacing w:after="0" w:line="240" w:lineRule="auto"/>
              <w:jc w:val="center"/>
              <w:textAlignment w:val="baseline"/>
              <w:rPr>
                <w:rFonts w:ascii="Times New Roman" w:hAnsi="Times New Roman" w:cs="Times New Roman"/>
                <w:b/>
                <w:i/>
                <w:caps/>
                <w:sz w:val="22"/>
              </w:rPr>
            </w:pPr>
            <w:r>
              <w:rPr>
                <w:rFonts w:ascii="Times New Roman" w:hAnsi="Times New Roman" w:cs="Times New Roman"/>
                <w:sz w:val="22"/>
              </w:rPr>
              <w:t>14.8</w:t>
            </w:r>
          </w:p>
        </w:tc>
      </w:tr>
      <w:tr w14:paraId="174453A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102" w:type="dxa"/>
          </w:tcPr>
          <w:p w14:paraId="455F1EE7">
            <w:pPr>
              <w:snapToGrid w:val="0"/>
              <w:spacing w:after="0" w:line="240" w:lineRule="auto"/>
              <w:textAlignment w:val="baseline"/>
              <w:rPr>
                <w:rFonts w:ascii="Times New Roman" w:hAnsi="Times New Roman" w:cs="Times New Roman"/>
                <w:b/>
                <w:i/>
                <w:caps/>
                <w:sz w:val="22"/>
              </w:rPr>
            </w:pPr>
            <w:r>
              <w:rPr>
                <w:rFonts w:ascii="Times New Roman" w:hAnsi="Times New Roman" w:cs="Times New Roman"/>
                <w:sz w:val="22"/>
              </w:rPr>
              <w:t>NHL  (n = 42)</w:t>
            </w:r>
          </w:p>
        </w:tc>
        <w:tc>
          <w:tcPr>
            <w:tcW w:w="2103" w:type="dxa"/>
          </w:tcPr>
          <w:p w14:paraId="6D315331">
            <w:pPr>
              <w:snapToGrid w:val="0"/>
              <w:spacing w:after="0" w:line="240" w:lineRule="auto"/>
              <w:jc w:val="center"/>
              <w:textAlignment w:val="baseline"/>
              <w:rPr>
                <w:rFonts w:ascii="Times New Roman" w:hAnsi="Times New Roman" w:cs="Times New Roman"/>
                <w:b/>
                <w:i/>
                <w:caps/>
                <w:sz w:val="22"/>
              </w:rPr>
            </w:pPr>
            <w:r>
              <w:rPr>
                <w:rFonts w:ascii="Times New Roman" w:hAnsi="Times New Roman" w:cs="Times New Roman"/>
                <w:sz w:val="22"/>
              </w:rPr>
              <w:t>17(40.5)</w:t>
            </w:r>
          </w:p>
        </w:tc>
        <w:tc>
          <w:tcPr>
            <w:tcW w:w="2103" w:type="dxa"/>
          </w:tcPr>
          <w:p w14:paraId="18515F63">
            <w:pPr>
              <w:snapToGrid w:val="0"/>
              <w:spacing w:after="0" w:line="240" w:lineRule="auto"/>
              <w:jc w:val="center"/>
              <w:textAlignment w:val="baseline"/>
              <w:rPr>
                <w:rFonts w:ascii="Times New Roman" w:hAnsi="Times New Roman" w:cs="Times New Roman"/>
                <w:b/>
                <w:i/>
                <w:caps/>
                <w:sz w:val="22"/>
              </w:rPr>
            </w:pPr>
            <w:r>
              <w:rPr>
                <w:rFonts w:ascii="Times New Roman" w:hAnsi="Times New Roman" w:cs="Times New Roman"/>
                <w:sz w:val="22"/>
              </w:rPr>
              <w:t>25(59.5)</w:t>
            </w:r>
          </w:p>
        </w:tc>
        <w:tc>
          <w:tcPr>
            <w:tcW w:w="2103" w:type="dxa"/>
          </w:tcPr>
          <w:p w14:paraId="04C511B1">
            <w:pPr>
              <w:snapToGrid w:val="0"/>
              <w:spacing w:after="0" w:line="240" w:lineRule="auto"/>
              <w:jc w:val="center"/>
              <w:textAlignment w:val="baseline"/>
              <w:rPr>
                <w:rFonts w:ascii="Times New Roman" w:hAnsi="Times New Roman" w:cs="Times New Roman"/>
                <w:b/>
                <w:i/>
                <w:caps/>
                <w:sz w:val="22"/>
              </w:rPr>
            </w:pPr>
            <w:r>
              <w:rPr>
                <w:rFonts w:ascii="Times New Roman" w:hAnsi="Times New Roman" w:cs="Times New Roman"/>
                <w:sz w:val="22"/>
              </w:rPr>
              <w:t>17.9</w:t>
            </w:r>
          </w:p>
        </w:tc>
      </w:tr>
      <w:tr w14:paraId="678E9A1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2102" w:type="dxa"/>
            <w:tcBorders>
              <w:bottom w:val="nil"/>
            </w:tcBorders>
          </w:tcPr>
          <w:p w14:paraId="334AB2F2">
            <w:pPr>
              <w:snapToGrid w:val="0"/>
              <w:spacing w:after="0" w:line="240" w:lineRule="auto"/>
              <w:textAlignment w:val="baseline"/>
              <w:rPr>
                <w:rFonts w:ascii="Times New Roman" w:hAnsi="Times New Roman" w:cs="Times New Roman"/>
                <w:b/>
                <w:i/>
                <w:caps/>
                <w:sz w:val="22"/>
              </w:rPr>
            </w:pPr>
            <w:r>
              <w:rPr>
                <w:rFonts w:ascii="Times New Roman" w:hAnsi="Times New Roman" w:cs="Times New Roman"/>
                <w:sz w:val="22"/>
              </w:rPr>
              <w:t>PMF  (n = 2)</w:t>
            </w:r>
          </w:p>
        </w:tc>
        <w:tc>
          <w:tcPr>
            <w:tcW w:w="2103" w:type="dxa"/>
            <w:tcBorders>
              <w:bottom w:val="nil"/>
            </w:tcBorders>
          </w:tcPr>
          <w:p w14:paraId="53BFB000">
            <w:pPr>
              <w:snapToGrid w:val="0"/>
              <w:spacing w:after="0" w:line="240" w:lineRule="auto"/>
              <w:jc w:val="center"/>
              <w:textAlignment w:val="baseline"/>
              <w:rPr>
                <w:rFonts w:ascii="Times New Roman" w:hAnsi="Times New Roman" w:cs="Times New Roman"/>
                <w:b/>
                <w:i/>
                <w:caps/>
                <w:sz w:val="22"/>
              </w:rPr>
            </w:pPr>
            <w:r>
              <w:rPr>
                <w:rFonts w:ascii="Times New Roman" w:hAnsi="Times New Roman" w:cs="Times New Roman"/>
                <w:sz w:val="22"/>
              </w:rPr>
              <w:t>0(0.0)</w:t>
            </w:r>
          </w:p>
        </w:tc>
        <w:tc>
          <w:tcPr>
            <w:tcW w:w="2103" w:type="dxa"/>
            <w:tcBorders>
              <w:bottom w:val="nil"/>
            </w:tcBorders>
          </w:tcPr>
          <w:p w14:paraId="7BCFD1C7">
            <w:pPr>
              <w:snapToGrid w:val="0"/>
              <w:spacing w:after="0" w:line="240" w:lineRule="auto"/>
              <w:jc w:val="center"/>
              <w:textAlignment w:val="baseline"/>
              <w:rPr>
                <w:rFonts w:ascii="Times New Roman" w:hAnsi="Times New Roman" w:cs="Times New Roman"/>
                <w:b/>
                <w:i/>
                <w:caps/>
                <w:sz w:val="22"/>
              </w:rPr>
            </w:pPr>
            <w:r>
              <w:rPr>
                <w:rFonts w:ascii="Times New Roman" w:hAnsi="Times New Roman" w:cs="Times New Roman"/>
                <w:sz w:val="22"/>
              </w:rPr>
              <w:t>2(100.0)</w:t>
            </w:r>
          </w:p>
        </w:tc>
        <w:tc>
          <w:tcPr>
            <w:tcW w:w="2103" w:type="dxa"/>
            <w:tcBorders>
              <w:bottom w:val="nil"/>
            </w:tcBorders>
          </w:tcPr>
          <w:p w14:paraId="6EAFC111">
            <w:pPr>
              <w:snapToGrid w:val="0"/>
              <w:spacing w:after="0" w:line="240" w:lineRule="auto"/>
              <w:jc w:val="center"/>
              <w:textAlignment w:val="baseline"/>
              <w:rPr>
                <w:rFonts w:ascii="Times New Roman" w:hAnsi="Times New Roman" w:cs="Times New Roman"/>
                <w:b/>
                <w:i/>
                <w:caps/>
                <w:sz w:val="22"/>
              </w:rPr>
            </w:pPr>
            <w:r>
              <w:rPr>
                <w:rFonts w:ascii="Times New Roman" w:hAnsi="Times New Roman" w:cs="Times New Roman"/>
                <w:sz w:val="22"/>
              </w:rPr>
              <w:t>0.9</w:t>
            </w:r>
          </w:p>
        </w:tc>
      </w:tr>
      <w:tr w14:paraId="16E3864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102" w:type="dxa"/>
            <w:tcBorders>
              <w:top w:val="nil"/>
              <w:bottom w:val="single" w:color="auto" w:sz="4" w:space="0"/>
            </w:tcBorders>
          </w:tcPr>
          <w:p w14:paraId="64BA5A5E">
            <w:pPr>
              <w:snapToGrid w:val="0"/>
              <w:spacing w:after="0" w:line="240" w:lineRule="auto"/>
              <w:textAlignment w:val="baseline"/>
              <w:rPr>
                <w:rFonts w:ascii="Times New Roman" w:hAnsi="Times New Roman" w:cs="Times New Roman"/>
                <w:b/>
                <w:i/>
                <w:caps/>
                <w:sz w:val="22"/>
              </w:rPr>
            </w:pPr>
            <w:r>
              <w:rPr>
                <w:rFonts w:ascii="Times New Roman" w:hAnsi="Times New Roman" w:cs="Times New Roman"/>
                <w:sz w:val="22"/>
              </w:rPr>
              <w:t>PRV  (n = 7)</w:t>
            </w:r>
          </w:p>
        </w:tc>
        <w:tc>
          <w:tcPr>
            <w:tcW w:w="2103" w:type="dxa"/>
            <w:tcBorders>
              <w:top w:val="nil"/>
              <w:bottom w:val="single" w:color="auto" w:sz="4" w:space="0"/>
            </w:tcBorders>
          </w:tcPr>
          <w:p w14:paraId="5C29A535">
            <w:pPr>
              <w:snapToGrid w:val="0"/>
              <w:spacing w:after="0" w:line="240" w:lineRule="auto"/>
              <w:jc w:val="center"/>
              <w:textAlignment w:val="baseline"/>
              <w:rPr>
                <w:rFonts w:ascii="Times New Roman" w:hAnsi="Times New Roman" w:cs="Times New Roman"/>
                <w:b/>
                <w:i/>
                <w:caps/>
                <w:sz w:val="22"/>
              </w:rPr>
            </w:pPr>
            <w:r>
              <w:rPr>
                <w:rFonts w:ascii="Times New Roman" w:hAnsi="Times New Roman" w:cs="Times New Roman"/>
                <w:sz w:val="22"/>
              </w:rPr>
              <w:t>2(28.6)</w:t>
            </w:r>
          </w:p>
        </w:tc>
        <w:tc>
          <w:tcPr>
            <w:tcW w:w="2103" w:type="dxa"/>
            <w:tcBorders>
              <w:top w:val="nil"/>
              <w:bottom w:val="single" w:color="auto" w:sz="4" w:space="0"/>
            </w:tcBorders>
          </w:tcPr>
          <w:p w14:paraId="44B3D305">
            <w:pPr>
              <w:snapToGrid w:val="0"/>
              <w:spacing w:after="0" w:line="240" w:lineRule="auto"/>
              <w:jc w:val="center"/>
              <w:textAlignment w:val="baseline"/>
              <w:rPr>
                <w:rFonts w:ascii="Times New Roman" w:hAnsi="Times New Roman" w:cs="Times New Roman"/>
                <w:b/>
                <w:i/>
                <w:caps/>
                <w:sz w:val="22"/>
              </w:rPr>
            </w:pPr>
            <w:r>
              <w:rPr>
                <w:rFonts w:ascii="Times New Roman" w:hAnsi="Times New Roman" w:cs="Times New Roman"/>
                <w:sz w:val="22"/>
              </w:rPr>
              <w:t>5(71.4)</w:t>
            </w:r>
          </w:p>
        </w:tc>
        <w:tc>
          <w:tcPr>
            <w:tcW w:w="2103" w:type="dxa"/>
            <w:tcBorders>
              <w:top w:val="nil"/>
              <w:bottom w:val="single" w:color="auto" w:sz="4" w:space="0"/>
            </w:tcBorders>
          </w:tcPr>
          <w:p w14:paraId="41B34ED1">
            <w:pPr>
              <w:snapToGrid w:val="0"/>
              <w:spacing w:after="0" w:line="240" w:lineRule="auto"/>
              <w:textAlignment w:val="baseline"/>
              <w:rPr>
                <w:rFonts w:ascii="Times New Roman" w:hAnsi="Times New Roman" w:cs="Times New Roman"/>
                <w:b/>
                <w:i/>
                <w:caps/>
                <w:sz w:val="22"/>
              </w:rPr>
            </w:pPr>
            <w:r>
              <w:rPr>
                <w:rFonts w:ascii="Times New Roman" w:hAnsi="Times New Roman" w:cs="Times New Roman"/>
                <w:sz w:val="22"/>
              </w:rPr>
              <w:t xml:space="preserve">             3.0</w:t>
            </w:r>
          </w:p>
        </w:tc>
      </w:tr>
      <w:tr w14:paraId="1076B5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102" w:type="dxa"/>
            <w:tcBorders>
              <w:top w:val="single" w:color="auto" w:sz="4" w:space="0"/>
            </w:tcBorders>
          </w:tcPr>
          <w:p w14:paraId="31A2861E">
            <w:pPr>
              <w:snapToGrid w:val="0"/>
              <w:spacing w:after="0" w:line="240" w:lineRule="auto"/>
              <w:textAlignment w:val="baseline"/>
              <w:rPr>
                <w:rFonts w:ascii="Times New Roman" w:hAnsi="Times New Roman" w:cs="Times New Roman"/>
                <w:b/>
                <w:bCs/>
                <w:sz w:val="22"/>
              </w:rPr>
            </w:pPr>
            <w:r>
              <w:rPr>
                <w:rFonts w:ascii="Times New Roman" w:hAnsi="Times New Roman" w:cs="Times New Roman"/>
                <w:b/>
                <w:bCs/>
                <w:sz w:val="22"/>
              </w:rPr>
              <w:t>Total   235</w:t>
            </w:r>
          </w:p>
        </w:tc>
        <w:tc>
          <w:tcPr>
            <w:tcW w:w="2103" w:type="dxa"/>
            <w:tcBorders>
              <w:top w:val="single" w:color="auto" w:sz="4" w:space="0"/>
            </w:tcBorders>
          </w:tcPr>
          <w:p w14:paraId="42FFF534">
            <w:pPr>
              <w:snapToGrid w:val="0"/>
              <w:spacing w:after="0" w:line="240" w:lineRule="auto"/>
              <w:jc w:val="center"/>
              <w:textAlignment w:val="baseline"/>
              <w:rPr>
                <w:rFonts w:ascii="Times New Roman" w:hAnsi="Times New Roman" w:cs="Times New Roman"/>
                <w:b/>
                <w:bCs/>
                <w:sz w:val="22"/>
              </w:rPr>
            </w:pPr>
            <w:r>
              <w:rPr>
                <w:rFonts w:ascii="Times New Roman" w:hAnsi="Times New Roman" w:cs="Times New Roman"/>
                <w:b/>
                <w:bCs/>
                <w:sz w:val="22"/>
              </w:rPr>
              <w:t>118(50.2)</w:t>
            </w:r>
          </w:p>
        </w:tc>
        <w:tc>
          <w:tcPr>
            <w:tcW w:w="2103" w:type="dxa"/>
            <w:tcBorders>
              <w:top w:val="single" w:color="auto" w:sz="4" w:space="0"/>
            </w:tcBorders>
          </w:tcPr>
          <w:p w14:paraId="706EB097">
            <w:pPr>
              <w:snapToGrid w:val="0"/>
              <w:spacing w:after="0" w:line="240" w:lineRule="auto"/>
              <w:jc w:val="center"/>
              <w:textAlignment w:val="baseline"/>
              <w:rPr>
                <w:rFonts w:ascii="Times New Roman" w:hAnsi="Times New Roman" w:cs="Times New Roman"/>
                <w:b/>
                <w:bCs/>
                <w:sz w:val="22"/>
              </w:rPr>
            </w:pPr>
            <w:r>
              <w:rPr>
                <w:rFonts w:ascii="Times New Roman" w:hAnsi="Times New Roman" w:cs="Times New Roman"/>
                <w:b/>
                <w:bCs/>
                <w:sz w:val="22"/>
              </w:rPr>
              <w:t>117(49.8)</w:t>
            </w:r>
          </w:p>
        </w:tc>
        <w:tc>
          <w:tcPr>
            <w:tcW w:w="2103" w:type="dxa"/>
            <w:tcBorders>
              <w:top w:val="single" w:color="auto" w:sz="4" w:space="0"/>
            </w:tcBorders>
          </w:tcPr>
          <w:p w14:paraId="617995DA">
            <w:pPr>
              <w:snapToGrid w:val="0"/>
              <w:spacing w:after="0" w:line="240" w:lineRule="auto"/>
              <w:jc w:val="center"/>
              <w:textAlignment w:val="baseline"/>
              <w:rPr>
                <w:rFonts w:ascii="Times New Roman" w:hAnsi="Times New Roman" w:cs="Times New Roman"/>
                <w:b/>
                <w:bCs/>
                <w:sz w:val="22"/>
              </w:rPr>
            </w:pPr>
            <w:r>
              <w:rPr>
                <w:rFonts w:ascii="Times New Roman" w:hAnsi="Times New Roman" w:cs="Times New Roman"/>
                <w:b/>
                <w:bCs/>
                <w:sz w:val="22"/>
              </w:rPr>
              <w:t>100</w:t>
            </w:r>
          </w:p>
        </w:tc>
      </w:tr>
    </w:tbl>
    <w:p w14:paraId="352DDD86">
      <w:pPr>
        <w:snapToGrid w:val="0"/>
        <w:textAlignment w:val="baseline"/>
        <w:rPr>
          <w:rFonts w:ascii="Times New Roman" w:hAnsi="Times New Roman" w:cs="Times New Roman"/>
          <w:b/>
          <w:i/>
          <w:caps/>
        </w:rPr>
      </w:pPr>
    </w:p>
    <w:p w14:paraId="3B983FC3">
      <w:pPr>
        <w:spacing w:after="0" w:line="240" w:lineRule="auto"/>
        <w:ind w:right="-46"/>
        <w:jc w:val="both"/>
        <w:rPr>
          <w:rFonts w:ascii="Times New Roman" w:hAnsi="Times New Roman" w:eastAsia="Calibri" w:cs="Times New Roman"/>
          <w:i/>
        </w:rPr>
      </w:pPr>
      <w:r>
        <w:rPr>
          <w:rFonts w:ascii="Times New Roman" w:hAnsi="Times New Roman" w:eastAsia="Calibri" w:cs="Times New Roman"/>
          <w:i/>
        </w:rPr>
        <w:t>ALL-Acute lymphoblastic leukaemia, AML-Acute myeloid leukaemia, CLL- Chronic lymphocytic leukaemia, CML- Chronic myeloid leukaemia, ET- Essential Thrombocythaemia, HL- Hodgkin lymphoma, MDS- Myelodysplastic syndrome, MM- Multiple myeloma, NHL- Non Hodgkin lymphoma, PMF- Primary myelofibrosis, PRV- Polycythaemia Rubra Vera</w:t>
      </w:r>
    </w:p>
    <w:p w14:paraId="5AD2ECC3">
      <w:pPr>
        <w:snapToGrid w:val="0"/>
        <w:textAlignment w:val="baseline"/>
        <w:rPr>
          <w:rFonts w:ascii="Times New Roman" w:hAnsi="Times New Roman" w:cs="Times New Roman"/>
          <w:b/>
          <w:i/>
          <w:caps/>
        </w:rPr>
      </w:pPr>
    </w:p>
    <w:p w14:paraId="68D1D545">
      <w:pPr>
        <w:spacing w:after="0" w:line="480" w:lineRule="auto"/>
        <w:ind w:right="-46"/>
        <w:jc w:val="both"/>
        <w:rPr>
          <w:rFonts w:ascii="Times New Roman" w:hAnsi="Times New Roman" w:eastAsia="Calibri" w:cs="Times New Roman"/>
        </w:rPr>
      </w:pPr>
    </w:p>
    <w:p w14:paraId="54EFAF80">
      <w:pPr>
        <w:spacing w:after="0" w:line="480" w:lineRule="auto"/>
        <w:ind w:right="-46"/>
        <w:jc w:val="both"/>
        <w:rPr>
          <w:rFonts w:ascii="Times New Roman" w:hAnsi="Times New Roman" w:eastAsia="Calibri" w:cs="Times New Roman"/>
        </w:rPr>
      </w:pPr>
    </w:p>
    <w:p w14:paraId="0A2CAFDF">
      <w:pPr>
        <w:spacing w:after="0" w:line="480" w:lineRule="auto"/>
        <w:ind w:right="-46"/>
        <w:jc w:val="both"/>
        <w:rPr>
          <w:rFonts w:ascii="Times New Roman" w:hAnsi="Times New Roman" w:eastAsia="Calibri" w:cs="Times New Roman"/>
        </w:rPr>
      </w:pPr>
    </w:p>
    <w:p w14:paraId="6F63C6D7">
      <w:pPr>
        <w:spacing w:after="0" w:line="480" w:lineRule="auto"/>
        <w:ind w:right="-46"/>
        <w:jc w:val="both"/>
        <w:rPr>
          <w:rFonts w:ascii="Times New Roman" w:hAnsi="Times New Roman" w:eastAsia="Calibri" w:cs="Times New Roman"/>
        </w:rPr>
      </w:pPr>
    </w:p>
    <w:p w14:paraId="61D01539">
      <w:pPr>
        <w:spacing w:after="0" w:line="480" w:lineRule="auto"/>
        <w:ind w:right="-46"/>
        <w:jc w:val="both"/>
        <w:rPr>
          <w:rFonts w:ascii="Times New Roman" w:hAnsi="Times New Roman" w:eastAsia="Calibri" w:cs="Times New Roman"/>
        </w:rPr>
      </w:pPr>
    </w:p>
    <w:p w14:paraId="06CB13F0">
      <w:pPr>
        <w:spacing w:after="0" w:line="480" w:lineRule="auto"/>
        <w:ind w:right="-46"/>
        <w:jc w:val="both"/>
        <w:rPr>
          <w:rFonts w:ascii="Times New Roman" w:hAnsi="Times New Roman" w:eastAsia="Calibri" w:cs="Times New Roman"/>
        </w:rPr>
      </w:pPr>
    </w:p>
    <w:p w14:paraId="37C884B4">
      <w:pPr>
        <w:snapToGrid w:val="0"/>
        <w:textAlignment w:val="baseline"/>
        <w:rPr>
          <w:rFonts w:ascii="Times New Roman" w:hAnsi="Times New Roman" w:cs="Times New Roman"/>
          <w:b/>
          <w:i/>
          <w:caps/>
        </w:rPr>
      </w:pPr>
    </w:p>
    <w:p w14:paraId="2297AECE">
      <w:pPr>
        <w:snapToGrid w:val="0"/>
        <w:textAlignment w:val="baseline"/>
        <w:rPr>
          <w:rFonts w:ascii="Times New Roman" w:hAnsi="Times New Roman" w:cs="Times New Roman"/>
          <w:b/>
          <w:i/>
          <w:caps/>
        </w:rPr>
      </w:pPr>
      <w:r>
        <w:rPr>
          <w:rFonts w:ascii="Times New Roman" w:hAnsi="Times New Roman" w:cs="Times New Roman"/>
        </w:rPr>
        <w:drawing>
          <wp:inline distT="0" distB="0" distL="0" distR="0">
            <wp:extent cx="6470015" cy="4029075"/>
            <wp:effectExtent l="0" t="0" r="698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019DE44">
      <w:pPr>
        <w:snapToGrid w:val="0"/>
        <w:textAlignment w:val="baseline"/>
        <w:rPr>
          <w:rFonts w:ascii="Times New Roman" w:hAnsi="Times New Roman" w:cs="Times New Roman"/>
        </w:rPr>
      </w:pPr>
      <w:r>
        <w:rPr>
          <w:rFonts w:ascii="Times New Roman" w:hAnsi="Times New Roman" w:cs="Times New Roman"/>
        </w:rPr>
        <w:t xml:space="preserve">Figure 1. Bar chart showing frequencies of various haematological malignancies </w:t>
      </w:r>
    </w:p>
    <w:p w14:paraId="6B70B0D7">
      <w:pPr>
        <w:snapToGrid w:val="0"/>
        <w:textAlignment w:val="baseline"/>
        <w:rPr>
          <w:rFonts w:ascii="Times New Roman" w:hAnsi="Times New Roman" w:cs="Times New Roman"/>
        </w:rPr>
      </w:pPr>
    </w:p>
    <w:p w14:paraId="5D3D15A6">
      <w:pPr>
        <w:spacing w:after="0" w:line="240" w:lineRule="auto"/>
        <w:ind w:right="-46"/>
        <w:jc w:val="both"/>
        <w:rPr>
          <w:rFonts w:ascii="Times New Roman" w:hAnsi="Times New Roman" w:eastAsia="Calibri" w:cs="Times New Roman"/>
          <w:i/>
        </w:rPr>
      </w:pPr>
      <w:r>
        <w:rPr>
          <w:rFonts w:ascii="Times New Roman" w:hAnsi="Times New Roman" w:eastAsia="Calibri" w:cs="Times New Roman"/>
          <w:i/>
        </w:rPr>
        <w:t>ALL-Acute lymphoblastic leukaemia, AML-Acute myeloid leukaemia, CLL- Chronic lymphocytic leukaemia, CML- Chronic myeloid leukaemia, ET- Essential Thrombocythaemia, HL- Hodgkin lymphoma, MDS- Myelodysplastic syndrome, MM- Multiple myeloma, NHL- Non Hodgkin lymphoma, PMF- Primary myelofibrosis, PRV- Polycythaemia Rubra Vera</w:t>
      </w:r>
    </w:p>
    <w:p w14:paraId="0B7470BA">
      <w:pPr>
        <w:snapToGrid w:val="0"/>
        <w:textAlignment w:val="baseline"/>
        <w:rPr>
          <w:rFonts w:ascii="Times New Roman" w:hAnsi="Times New Roman" w:cs="Times New Roman"/>
        </w:rPr>
      </w:pPr>
    </w:p>
    <w:p w14:paraId="0D1546DF">
      <w:pPr>
        <w:snapToGrid w:val="0"/>
        <w:textAlignment w:val="baseline"/>
        <w:rPr>
          <w:rFonts w:ascii="Times New Roman" w:hAnsi="Times New Roman" w:cs="Times New Roman"/>
          <w:b/>
          <w:i/>
          <w:caps/>
        </w:rPr>
      </w:pPr>
    </w:p>
    <w:p w14:paraId="044C8E71">
      <w:pPr>
        <w:snapToGrid w:val="0"/>
        <w:textAlignment w:val="baseline"/>
        <w:rPr>
          <w:rFonts w:ascii="Times New Roman" w:hAnsi="Times New Roman" w:cs="Times New Roman"/>
          <w:b/>
          <w:i/>
          <w:caps/>
        </w:rPr>
      </w:pPr>
    </w:p>
    <w:p w14:paraId="080125B9">
      <w:pPr>
        <w:snapToGrid w:val="0"/>
        <w:textAlignment w:val="baseline"/>
        <w:rPr>
          <w:rFonts w:ascii="Times New Roman" w:hAnsi="Times New Roman" w:cs="Times New Roman"/>
          <w:b/>
          <w:i/>
          <w:caps/>
        </w:rPr>
      </w:pPr>
    </w:p>
    <w:p w14:paraId="2F10E52D">
      <w:pPr>
        <w:snapToGrid w:val="0"/>
        <w:textAlignment w:val="baseline"/>
        <w:rPr>
          <w:rFonts w:ascii="Times New Roman" w:hAnsi="Times New Roman" w:cs="Times New Roman"/>
          <w:b/>
          <w:i/>
          <w:caps/>
        </w:rPr>
      </w:pPr>
      <w:r>
        <w:rPr>
          <w:rFonts w:ascii="Times New Roman" w:hAnsi="Times New Roman" w:cs="Times New Roman"/>
        </w:rPr>
        <w:drawing>
          <wp:inline distT="0" distB="0" distL="0" distR="0">
            <wp:extent cx="6304915" cy="2981325"/>
            <wp:effectExtent l="0" t="0" r="63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34C750">
      <w:pPr>
        <w:snapToGrid w:val="0"/>
        <w:textAlignment w:val="baseline"/>
        <w:rPr>
          <w:rFonts w:ascii="Times New Roman" w:hAnsi="Times New Roman" w:cs="Times New Roman"/>
        </w:rPr>
      </w:pPr>
    </w:p>
    <w:p w14:paraId="21CF2B58">
      <w:pPr>
        <w:snapToGrid w:val="0"/>
        <w:textAlignment w:val="baseline"/>
        <w:rPr>
          <w:rFonts w:ascii="Times New Roman" w:hAnsi="Times New Roman" w:cs="Times New Roman"/>
          <w:b/>
          <w:i/>
          <w:caps/>
        </w:rPr>
      </w:pPr>
      <w:r>
        <w:rPr>
          <w:rFonts w:ascii="Times New Roman" w:hAnsi="Times New Roman" w:cs="Times New Roman"/>
        </w:rPr>
        <w:t xml:space="preserve">            Figure 2; Incidence of haematological malignancies in each year of the study</w:t>
      </w:r>
    </w:p>
    <w:p w14:paraId="23BE9C4C">
      <w:pPr>
        <w:snapToGrid w:val="0"/>
        <w:textAlignment w:val="baseline"/>
        <w:rPr>
          <w:rFonts w:ascii="Times New Roman" w:hAnsi="Times New Roman" w:cs="Times New Roman"/>
          <w:b/>
          <w:i/>
          <w:caps/>
        </w:rPr>
      </w:pPr>
    </w:p>
    <w:p w14:paraId="627ED477">
      <w:pPr>
        <w:pStyle w:val="11"/>
        <w:spacing w:before="100" w:beforeAutospacing="1" w:line="480" w:lineRule="auto"/>
        <w:jc w:val="both"/>
        <w:rPr>
          <w:rFonts w:ascii="Times New Roman" w:hAnsi="Times New Roman" w:cs="Times New Roman"/>
          <w:shd w:val="clear" w:color="auto" w:fill="FFFFFF"/>
        </w:rPr>
      </w:pPr>
      <w:r>
        <w:rPr>
          <w:rFonts w:ascii="Times New Roman" w:hAnsi="Times New Roman" w:cs="Times New Roman"/>
          <w:shd w:val="clear" w:color="auto" w:fill="FFFFFF"/>
        </w:rPr>
        <w:t>DISCUSSION</w:t>
      </w:r>
    </w:p>
    <w:p w14:paraId="36A9D6A9">
      <w:pPr>
        <w:pStyle w:val="11"/>
        <w:spacing w:before="100" w:beforeAutospacing="1" w:line="480" w:lineRule="auto"/>
        <w:jc w:val="both"/>
        <w:rPr>
          <w:rFonts w:ascii="Times New Roman" w:hAnsi="Times New Roman" w:cs="Times New Roman"/>
          <w:shd w:val="clear" w:color="auto" w:fill="FFFFFF"/>
        </w:rPr>
      </w:pPr>
      <w:commentRangeStart w:id="3"/>
      <w:r>
        <w:rPr>
          <w:rFonts w:ascii="Times New Roman" w:hAnsi="Times New Roman" w:cs="Times New Roman"/>
          <w:color w:val="0000FF"/>
          <w:shd w:val="clear" w:color="auto" w:fill="FFFFFF"/>
        </w:rPr>
        <w:t>Rivers state is located in south-south region of Nigeria. These study was conducted in the two tertiary hospitals in the state with functional haematological services with capacity to diagnose and to treat haematological malignancies</w:t>
      </w:r>
      <w:commentRangeEnd w:id="3"/>
      <w:r>
        <w:commentReference w:id="3"/>
      </w:r>
      <w:r>
        <w:rPr>
          <w:rFonts w:ascii="Times New Roman" w:hAnsi="Times New Roman" w:cs="Times New Roman"/>
          <w:shd w:val="clear" w:color="auto" w:fill="FFFFFF"/>
        </w:rPr>
        <w:t xml:space="preserve">. </w:t>
      </w:r>
      <w:r>
        <w:rPr>
          <w:rFonts w:ascii="Times New Roman" w:hAnsi="Times New Roman" w:cs="Times New Roman"/>
        </w:rPr>
        <w:t>This study recorded 2,832 cases of malignancies over a sixteen (16) year period. Two hundred and thirty five (8.3%) were adult with haematological malignancies. This was similar to the report by Dachi et al in North-Eastern Nigeria</w:t>
      </w:r>
      <w:r>
        <w:rPr>
          <w:rFonts w:ascii="Times New Roman" w:hAnsi="Times New Roman" w:cs="Times New Roman"/>
          <w:vertAlign w:val="superscript"/>
        </w:rPr>
        <w:t xml:space="preserve">7 </w:t>
      </w:r>
      <w:r>
        <w:rPr>
          <w:rFonts w:ascii="Times New Roman" w:hAnsi="Times New Roman" w:cs="Times New Roman"/>
        </w:rPr>
        <w:t>but lower than reports by Akaba et al</w:t>
      </w:r>
      <w:r>
        <w:rPr>
          <w:rFonts w:ascii="Times New Roman" w:hAnsi="Times New Roman" w:cs="Times New Roman"/>
          <w:vertAlign w:val="superscript"/>
        </w:rPr>
        <w:t>10</w:t>
      </w:r>
      <w:r>
        <w:rPr>
          <w:rFonts w:ascii="Times New Roman" w:hAnsi="Times New Roman" w:cs="Times New Roman"/>
        </w:rPr>
        <w:t xml:space="preserve"> and   Babatunde et al.</w:t>
      </w:r>
      <w:r>
        <w:rPr>
          <w:rFonts w:ascii="Times New Roman" w:hAnsi="Times New Roman" w:cs="Times New Roman"/>
          <w:vertAlign w:val="superscript"/>
        </w:rPr>
        <w:t xml:space="preserve"> 6</w:t>
      </w:r>
      <w:r>
        <w:rPr>
          <w:rFonts w:ascii="Times New Roman" w:hAnsi="Times New Roman" w:cs="Times New Roman"/>
        </w:rPr>
        <w:t xml:space="preserve"> </w:t>
      </w:r>
      <w:r>
        <w:commentReference w:id="4"/>
      </w:r>
      <w:r>
        <w:rPr>
          <w:rFonts w:ascii="Times New Roman" w:hAnsi="Times New Roman" w:cs="Times New Roman"/>
        </w:rPr>
        <w:t xml:space="preserve">  on a global scale</w:t>
      </w:r>
      <w:r>
        <w:rPr>
          <w:rFonts w:ascii="Times New Roman" w:hAnsi="Times New Roman" w:cs="Times New Roman"/>
          <w:lang w:val="en-US"/>
        </w:rPr>
        <w:t xml:space="preserve">, haematological malignancies have been estimated to account for about 6.5% of </w:t>
      </w:r>
      <w:r>
        <w:rPr>
          <w:rFonts w:ascii="Times New Roman" w:hAnsi="Times New Roman" w:cs="Times New Roman"/>
          <w:shd w:val="clear" w:color="auto" w:fill="FFFFFF"/>
        </w:rPr>
        <w:t>all cancers</w:t>
      </w:r>
      <w:r>
        <w:rPr>
          <w:rFonts w:ascii="Times New Roman" w:hAnsi="Times New Roman" w:cs="Times New Roman"/>
          <w:lang w:val="en-US"/>
        </w:rPr>
        <w:t>.</w:t>
      </w:r>
      <w:r>
        <w:rPr>
          <w:rFonts w:ascii="Times New Roman" w:hAnsi="Times New Roman" w:cs="Times New Roman"/>
          <w:vertAlign w:val="superscript"/>
          <w:lang w:val="en-US"/>
        </w:rPr>
        <w:t>3</w:t>
      </w:r>
      <w:r>
        <w:rPr>
          <w:rFonts w:ascii="Times New Roman" w:hAnsi="Times New Roman" w:cs="Times New Roman"/>
          <w:color w:val="FF0000"/>
          <w:vertAlign w:val="superscript"/>
        </w:rPr>
        <w:t xml:space="preserve">   </w:t>
      </w:r>
      <w:r>
        <w:rPr>
          <w:rFonts w:ascii="Times New Roman" w:hAnsi="Times New Roman" w:cs="Times New Roman"/>
        </w:rPr>
        <w:t xml:space="preserve">The difference in the prevalence of haematological malignancies reflects the variation in the epidemiology. </w:t>
      </w:r>
      <w:r>
        <w:rPr>
          <w:rFonts w:ascii="Times New Roman" w:hAnsi="Times New Roman" w:cs="Times New Roman"/>
          <w:shd w:val="clear" w:color="auto" w:fill="FFFFFF"/>
        </w:rPr>
        <w:t>The mean age and age range at presentation of the haematological malignancies is comparable to reports by Ugwu et al</w:t>
      </w:r>
      <w:r>
        <w:rPr>
          <w:rFonts w:ascii="Times New Roman" w:hAnsi="Times New Roman" w:cs="Times New Roman"/>
          <w:shd w:val="clear" w:color="auto" w:fill="FFFFFF"/>
          <w:lang w:val="en-US"/>
        </w:rPr>
        <w:t>.</w:t>
      </w:r>
      <w:r>
        <w:rPr>
          <w:rFonts w:ascii="Times New Roman" w:hAnsi="Times New Roman" w:cs="Times New Roman"/>
          <w:shd w:val="clear" w:color="auto" w:fill="FFFFFF"/>
          <w:vertAlign w:val="superscript"/>
          <w:lang w:val="en-US"/>
        </w:rPr>
        <w:t>16</w:t>
      </w:r>
      <w:r>
        <w:rPr>
          <w:rFonts w:ascii="Times New Roman" w:hAnsi="Times New Roman" w:cs="Times New Roman"/>
          <w:shd w:val="clear" w:color="auto" w:fill="FFFFFF"/>
          <w:lang w:val="en-US"/>
        </w:rPr>
        <w:t xml:space="preserve"> Likewise, these values are close to the results obtained in a study conducted among  patients with haematologic malignancies  in Lagos, South West Nigeria, however, in the later study, </w:t>
      </w:r>
      <w:r>
        <w:commentReference w:id="5"/>
      </w:r>
      <w:r>
        <w:rPr>
          <w:rFonts w:ascii="Times New Roman" w:hAnsi="Times New Roman" w:cs="Times New Roman"/>
          <w:shd w:val="clear" w:color="auto" w:fill="FFFFFF"/>
          <w:lang w:val="en-US"/>
        </w:rPr>
        <w:t>adolescents were included, and the minimum age at diagnosis was 14 years.</w:t>
      </w:r>
      <w:r>
        <w:rPr>
          <w:rFonts w:ascii="Times New Roman" w:hAnsi="Times New Roman" w:cs="Times New Roman"/>
          <w:shd w:val="clear" w:color="auto" w:fill="FFFFFF"/>
          <w:vertAlign w:val="superscript"/>
          <w:lang w:val="en-US"/>
        </w:rPr>
        <w:t>17</w:t>
      </w:r>
      <w:r>
        <w:rPr>
          <w:rFonts w:ascii="Times New Roman" w:hAnsi="Times New Roman" w:cs="Times New Roman"/>
          <w:shd w:val="clear" w:color="auto" w:fill="FFFFFF"/>
          <w:lang w:val="en-US"/>
        </w:rPr>
        <w:t xml:space="preserve"> Lower mean ages at diagnosis of HMs have been observed among patients in developing countries, compared with those in developed countries who tend to show higher mean age at the time of diagnosis of HMs. A plausible explanation would be the role of infective and communicable diseases in causing haematologic malignancies,</w:t>
      </w:r>
      <w:r>
        <w:rPr>
          <w:rFonts w:ascii="Times New Roman" w:hAnsi="Times New Roman" w:cs="Times New Roman"/>
          <w:shd w:val="clear" w:color="auto" w:fill="FFFFFF"/>
          <w:vertAlign w:val="superscript"/>
          <w:lang w:val="en-US"/>
        </w:rPr>
        <w:t>18</w:t>
      </w:r>
      <w:r>
        <w:rPr>
          <w:rFonts w:ascii="Times New Roman" w:hAnsi="Times New Roman" w:cs="Times New Roman"/>
          <w:shd w:val="clear" w:color="auto" w:fill="FFFFFF"/>
          <w:lang w:val="en-US"/>
        </w:rPr>
        <w:t xml:space="preserve"> the younger population demographics seen in developing countries because of lower life expectancy; it is known that higher spending on health care translates to higher life expectancy,</w:t>
      </w:r>
      <w:r>
        <w:rPr>
          <w:rFonts w:ascii="Times New Roman" w:hAnsi="Times New Roman" w:cs="Times New Roman"/>
          <w:shd w:val="clear" w:color="auto" w:fill="FFFFFF"/>
          <w:vertAlign w:val="superscript"/>
          <w:lang w:val="en-US"/>
        </w:rPr>
        <w:t xml:space="preserve">19 </w:t>
      </w:r>
      <w:r>
        <w:rPr>
          <w:rFonts w:ascii="Times New Roman" w:hAnsi="Times New Roman" w:cs="Times New Roman"/>
          <w:shd w:val="clear" w:color="auto" w:fill="FFFFFF"/>
          <w:lang w:val="en-US"/>
        </w:rPr>
        <w:t>and the reverse is also true. The role of better preventive and treatment healthcare services available in developed countries in making for higher mean age at diagnosis can also not be overemphasized. This study also revealed a male preponderance in the presentation of haematological malignancies. This was contrary to the work of Dirisu et al</w:t>
      </w:r>
      <w:r>
        <w:rPr>
          <w:rFonts w:ascii="Times New Roman" w:hAnsi="Times New Roman" w:cs="Times New Roman"/>
          <w:shd w:val="clear" w:color="auto" w:fill="FFFFFF"/>
          <w:vertAlign w:val="superscript"/>
          <w:lang w:val="en-US"/>
        </w:rPr>
        <w:t xml:space="preserve">20 </w:t>
      </w:r>
      <w:r>
        <w:rPr>
          <w:rFonts w:ascii="Times New Roman" w:hAnsi="Times New Roman" w:cs="Times New Roman"/>
          <w:shd w:val="clear" w:color="auto" w:fill="FFFFFF"/>
          <w:lang w:val="en-US"/>
        </w:rPr>
        <w:t>where more females than males presented were diagnosed. However, our finding is similar to other studies revealing a slight male preponderance in the development of haematological malignancies compared to the female counterparts,</w:t>
      </w:r>
      <w:r>
        <w:rPr>
          <w:rFonts w:ascii="Times New Roman" w:hAnsi="Times New Roman" w:cs="Times New Roman"/>
          <w:shd w:val="clear" w:color="auto" w:fill="FFFFFF"/>
          <w:vertAlign w:val="superscript"/>
          <w:lang w:val="en-US"/>
        </w:rPr>
        <w:t>21</w:t>
      </w:r>
      <w:r>
        <w:rPr>
          <w:rFonts w:ascii="Times New Roman" w:hAnsi="Times New Roman" w:cs="Times New Roman"/>
          <w:shd w:val="clear" w:color="auto" w:fill="FFFFFF"/>
          <w:lang w:val="en-US"/>
        </w:rPr>
        <w:t xml:space="preserve"> and some reasons for this are: differences in physiology, the likelihood of differing exposure risk as males are more likely to be involved in certain occupations, and the fact that more males are likely to present to the health facility for medical care compared to females.</w:t>
      </w:r>
      <w:r>
        <w:rPr>
          <w:rFonts w:ascii="Times New Roman" w:hAnsi="Times New Roman" w:cs="Times New Roman"/>
          <w:shd w:val="clear" w:color="auto" w:fill="FFFFFF"/>
          <w:vertAlign w:val="superscript"/>
          <w:lang w:val="en-US"/>
        </w:rPr>
        <w:t xml:space="preserve">22, </w:t>
      </w:r>
      <w:r>
        <w:rPr>
          <w:rFonts w:ascii="Times New Roman" w:hAnsi="Times New Roman" w:cs="Times New Roman"/>
          <w:shd w:val="clear" w:color="auto" w:fill="FFFFFF"/>
          <w:vertAlign w:val="superscript"/>
        </w:rPr>
        <w:t>23</w:t>
      </w:r>
      <w:r>
        <w:rPr>
          <w:rFonts w:ascii="Times New Roman" w:hAnsi="Times New Roman" w:cs="Times New Roman"/>
          <w:shd w:val="clear" w:color="auto" w:fill="FFFFFF"/>
        </w:rPr>
        <w:t xml:space="preserve"> </w:t>
      </w:r>
    </w:p>
    <w:p w14:paraId="2C9CEDC8">
      <w:pPr>
        <w:pStyle w:val="11"/>
        <w:spacing w:before="100" w:beforeAutospacing="1" w:line="480" w:lineRule="auto"/>
        <w:jc w:val="both"/>
        <w:rPr>
          <w:rFonts w:ascii="Times New Roman" w:hAnsi="Times New Roman" w:cs="Times New Roman"/>
          <w:shd w:val="clear" w:color="auto" w:fill="FFFFFF"/>
        </w:rPr>
      </w:pPr>
      <w:r>
        <w:rPr>
          <w:rFonts w:ascii="Times New Roman" w:hAnsi="Times New Roman" w:cs="Times New Roman"/>
        </w:rPr>
        <w:t xml:space="preserve">The annual incidence of haematological malignancies progressed gradually peaking in the years 2020 and 2024.The gradual progression in the incidence could be due to  increase in awareness of the availability of haematologist in the tertiary health centres in Rivers state and a possible effect of increasing gas flaring in Port Harcourt. The decline in incidence between 2020 and 2024 could be due to frequent industrial actions in the hospital that limits patient access to specialized care. </w:t>
      </w:r>
    </w:p>
    <w:p w14:paraId="1B5AEA13">
      <w:pPr>
        <w:pStyle w:val="11"/>
        <w:spacing w:before="100" w:beforeAutospacing="1" w:line="48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Furthermore, this study revealed that chronic myeloid leukaemia was the most common haematologic malignancy seen within the study period followed by Non-Hodgkin’s lymphoma and Multiple Myeloma while the acute leukaemias, essential thrombocythaemia, Myelodysplastic syndrome and Polycythaemia Rubra Vera were less frequent. Chronic myeloid leukaemias and the lymphomas tend to run a chronic course and may eventually present to the tertiary centres, but the acute leukaemias are more aggressive and symptoms may mimic malaria infection, coupled with ignorance, patient may die before they present to a tertiary centre. </w:t>
      </w:r>
    </w:p>
    <w:p w14:paraId="09D29B45">
      <w:pPr>
        <w:pStyle w:val="11"/>
        <w:spacing w:before="100" w:beforeAutospacing="1" w:line="480" w:lineRule="auto"/>
        <w:jc w:val="both"/>
        <w:rPr>
          <w:rFonts w:ascii="Times New Roman" w:hAnsi="Times New Roman" w:cs="Times New Roman"/>
          <w:shd w:val="clear" w:color="auto" w:fill="FFFFFF"/>
        </w:rPr>
      </w:pPr>
      <w:bookmarkStart w:id="1" w:name="_GoBack"/>
      <w:bookmarkEnd w:id="1"/>
      <w:r>
        <w:rPr>
          <w:rFonts w:ascii="Times New Roman" w:hAnsi="Times New Roman" w:cs="Times New Roman"/>
          <w:shd w:val="clear" w:color="auto" w:fill="FFFFFF"/>
        </w:rPr>
        <w:t>These challenges cuts across all regions of Nigeria as reported by Ugwu et al and Obu et al.</w:t>
      </w:r>
      <w:r>
        <w:rPr>
          <w:rFonts w:ascii="Times New Roman" w:hAnsi="Times New Roman" w:cs="Times New Roman"/>
          <w:shd w:val="clear" w:color="auto" w:fill="FFFFFF"/>
          <w:vertAlign w:val="superscript"/>
        </w:rPr>
        <w:t xml:space="preserve">24,25 </w:t>
      </w:r>
      <w:r>
        <w:rPr>
          <w:rFonts w:ascii="Times New Roman" w:hAnsi="Times New Roman" w:cs="Times New Roman"/>
          <w:shd w:val="clear" w:color="auto" w:fill="FFFFFF"/>
        </w:rPr>
        <w:t xml:space="preserve"> Furthermore,  major cancer prevention and treatment programmes in Nigeria are centred on breast, prostate and cervical malignancies, thus patients with haematological malignancies are left with out of pocket payment from diagnosis to treatment.</w:t>
      </w:r>
      <w:r>
        <w:rPr>
          <w:rFonts w:ascii="Times New Roman" w:hAnsi="Times New Roman" w:cs="Times New Roman"/>
          <w:shd w:val="clear" w:color="auto" w:fill="FFFFFF"/>
          <w:vertAlign w:val="superscript"/>
        </w:rPr>
        <w:t>26</w:t>
      </w:r>
      <w:r>
        <w:rPr>
          <w:rFonts w:ascii="Times New Roman" w:hAnsi="Times New Roman" w:cs="Times New Roman"/>
          <w:shd w:val="clear" w:color="auto" w:fill="FFFFFF"/>
        </w:rPr>
        <w:t xml:space="preserve">  Haematological malignancies are not uncommon in our locality and thus, we advocate for inclusion into the major cancer prevention and treatment programmes as well as international collaborations to strengthen diagnosis and treatment.</w:t>
      </w:r>
    </w:p>
    <w:p w14:paraId="6F9B5AAA">
      <w:pPr>
        <w:pStyle w:val="11"/>
        <w:spacing w:before="100" w:beforeAutospacing="1"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CONCLUSION</w:t>
      </w:r>
    </w:p>
    <w:p w14:paraId="35F2193B">
      <w:pPr>
        <w:pStyle w:val="11"/>
        <w:spacing w:before="100" w:beforeAutospacing="1" w:line="360" w:lineRule="auto"/>
        <w:jc w:val="both"/>
        <w:rPr>
          <w:rFonts w:ascii="Times New Roman" w:hAnsi="Times New Roman" w:cs="Times New Roman"/>
          <w:shd w:val="clear" w:color="auto" w:fill="FFFFFF"/>
        </w:rPr>
      </w:pPr>
      <w:r>
        <w:rPr>
          <w:rFonts w:ascii="Times New Roman" w:hAnsi="Times New Roman" w:cs="Times New Roman"/>
        </w:rPr>
        <w:t xml:space="preserve">This study has revealed the significant burden of haematological malignancies in Rivers state, Nigeria. Chronic myeloid leukaemia and the lymphomas were the commonest haematological malignancies. </w:t>
      </w:r>
    </w:p>
    <w:p w14:paraId="23BEAE73">
      <w:pPr>
        <w:pStyle w:val="11"/>
        <w:spacing w:before="100" w:beforeAutospacing="1" w:line="48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Limitations </w:t>
      </w:r>
    </w:p>
    <w:p w14:paraId="6537263A">
      <w:pPr>
        <w:pStyle w:val="11"/>
        <w:spacing w:before="100" w:beforeAutospacing="1" w:line="480" w:lineRule="auto"/>
        <w:jc w:val="both"/>
        <w:rPr>
          <w:rFonts w:ascii="Times New Roman" w:hAnsi="Times New Roman" w:cs="Times New Roman"/>
          <w:shd w:val="clear" w:color="auto" w:fill="FFFFFF"/>
        </w:rPr>
      </w:pPr>
      <w:r>
        <w:rPr>
          <w:rFonts w:ascii="Times New Roman" w:hAnsi="Times New Roman" w:cs="Times New Roman"/>
          <w:shd w:val="clear" w:color="auto" w:fill="FFFFFF"/>
        </w:rPr>
        <w:t>The study was restricted to tertiary institutions in Rivers state, which may not reflect the community burden. Also, limited diagnostic precision and the absence of electronic medical records during the period of study would have led to case omissions.</w:t>
      </w:r>
    </w:p>
    <w:p w14:paraId="0FC25E9B">
      <w:pPr>
        <w:pStyle w:val="11"/>
        <w:spacing w:before="100" w:beforeAutospacing="1" w:line="480" w:lineRule="auto"/>
        <w:jc w:val="both"/>
        <w:rPr>
          <w:rFonts w:ascii="Times New Roman" w:hAnsi="Times New Roman" w:cs="Times New Roman"/>
          <w:shd w:val="clear" w:color="auto" w:fill="FFFFFF"/>
        </w:rPr>
      </w:pPr>
    </w:p>
    <w:p w14:paraId="2EB42A7D">
      <w:pPr>
        <w:pStyle w:val="11"/>
        <w:spacing w:before="100" w:beforeAutospacing="1" w:line="480" w:lineRule="auto"/>
        <w:jc w:val="both"/>
        <w:rPr>
          <w:rFonts w:ascii="Times New Roman" w:hAnsi="Times New Roman" w:cs="Times New Roman"/>
          <w:shd w:val="clear" w:color="auto" w:fill="FFFFFF"/>
        </w:rPr>
      </w:pPr>
    </w:p>
    <w:p w14:paraId="50CED081">
      <w:pPr>
        <w:pStyle w:val="11"/>
        <w:spacing w:before="100" w:beforeAutospacing="1" w:line="480" w:lineRule="auto"/>
        <w:jc w:val="both"/>
        <w:rPr>
          <w:rFonts w:ascii="Times New Roman" w:hAnsi="Times New Roman" w:cs="Times New Roman"/>
          <w:shd w:val="clear" w:color="auto" w:fill="FFFFFF"/>
        </w:rPr>
      </w:pPr>
    </w:p>
    <w:p w14:paraId="2921CF90">
      <w:pPr>
        <w:pStyle w:val="11"/>
        <w:spacing w:before="100" w:beforeAutospacing="1" w:line="480" w:lineRule="auto"/>
        <w:jc w:val="both"/>
        <w:rPr>
          <w:rFonts w:ascii="Times New Roman" w:hAnsi="Times New Roman" w:cs="Times New Roman"/>
          <w:shd w:val="clear" w:color="auto" w:fill="FFFFFF"/>
        </w:rPr>
      </w:pPr>
    </w:p>
    <w:p w14:paraId="112493F8">
      <w:pPr>
        <w:pStyle w:val="11"/>
        <w:spacing w:before="100" w:beforeAutospacing="1" w:line="480" w:lineRule="auto"/>
        <w:jc w:val="both"/>
        <w:rPr>
          <w:rFonts w:ascii="Times New Roman" w:hAnsi="Times New Roman" w:cs="Times New Roman"/>
          <w:shd w:val="clear" w:color="auto" w:fill="FFFFFF"/>
        </w:rPr>
      </w:pPr>
    </w:p>
    <w:p w14:paraId="434D3D9A">
      <w:pPr>
        <w:pStyle w:val="11"/>
        <w:spacing w:before="100" w:beforeAutospacing="1" w:line="480" w:lineRule="auto"/>
        <w:jc w:val="both"/>
        <w:rPr>
          <w:rFonts w:ascii="Times New Roman" w:hAnsi="Times New Roman" w:cs="Times New Roman"/>
          <w:shd w:val="clear" w:color="auto" w:fill="FFFFFF"/>
        </w:rPr>
      </w:pPr>
    </w:p>
    <w:p w14:paraId="054112BE">
      <w:pPr>
        <w:pStyle w:val="11"/>
        <w:spacing w:before="100" w:beforeAutospacing="1" w:line="480" w:lineRule="auto"/>
        <w:jc w:val="both"/>
        <w:rPr>
          <w:rFonts w:ascii="Times New Roman" w:hAnsi="Times New Roman" w:cs="Times New Roman"/>
          <w:shd w:val="clear" w:color="auto" w:fill="FFFFFF"/>
        </w:rPr>
      </w:pPr>
    </w:p>
    <w:p w14:paraId="2C78B5AD">
      <w:pPr>
        <w:pStyle w:val="11"/>
        <w:spacing w:before="100" w:beforeAutospacing="1" w:line="480" w:lineRule="auto"/>
        <w:jc w:val="both"/>
        <w:rPr>
          <w:rFonts w:ascii="Times New Roman" w:hAnsi="Times New Roman" w:cs="Times New Roman"/>
          <w:shd w:val="clear" w:color="auto" w:fill="FFFFFF"/>
        </w:rPr>
      </w:pPr>
    </w:p>
    <w:p w14:paraId="2DDE7F99">
      <w:pPr>
        <w:spacing w:after="0" w:line="360" w:lineRule="auto"/>
        <w:jc w:val="center"/>
        <w:rPr>
          <w:rFonts w:ascii="Times New Roman" w:hAnsi="Times New Roman" w:cs="Times New Roman"/>
        </w:rPr>
      </w:pPr>
      <w:r>
        <w:rPr>
          <w:rFonts w:ascii="Times New Roman" w:hAnsi="Times New Roman" w:cs="Times New Roman"/>
        </w:rPr>
        <w:t>REFERENCES</w:t>
      </w:r>
    </w:p>
    <w:p w14:paraId="4BD1CA93">
      <w:pPr>
        <w:pStyle w:val="14"/>
        <w:numPr>
          <w:ilvl w:val="0"/>
          <w:numId w:val="1"/>
        </w:numPr>
        <w:spacing w:before="240" w:after="0" w:line="360" w:lineRule="auto"/>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 xml:space="preserve">Lauzon-Young, C., Silva, A., &amp; Sadikovic, B. (2025). Epigenomic insights and computational advances in hematologic malignancies. *Molecular Cytogenetics*, *18*(1), 9. </w:t>
      </w:r>
      <w:r>
        <w:fldChar w:fldCharType="begin"/>
      </w:r>
      <w:r>
        <w:instrText xml:space="preserve"> HYPERLINK "https://doi.org/10.1186/s13039-025-00712-9" </w:instrText>
      </w:r>
      <w:r>
        <w:fldChar w:fldCharType="separate"/>
      </w:r>
      <w:r>
        <w:rPr>
          <w:rStyle w:val="9"/>
          <w:rFonts w:ascii="Times New Roman" w:hAnsi="Times New Roman" w:cs="Times New Roman"/>
          <w:shd w:val="clear" w:color="auto" w:fill="FFFFFF"/>
        </w:rPr>
        <w:t>https://doi.org/10.1186/s13039-025-00712-9</w:t>
      </w:r>
      <w:r>
        <w:rPr>
          <w:rStyle w:val="9"/>
          <w:rFonts w:ascii="Times New Roman" w:hAnsi="Times New Roman" w:cs="Times New Roman"/>
          <w:shd w:val="clear" w:color="auto" w:fill="FFFFFF"/>
        </w:rPr>
        <w:fldChar w:fldCharType="end"/>
      </w:r>
      <w:r>
        <w:rPr>
          <w:rFonts w:ascii="Times New Roman" w:hAnsi="Times New Roman" w:cs="Times New Roman"/>
          <w:color w:val="333333"/>
          <w:shd w:val="clear" w:color="auto" w:fill="FFFFFF"/>
        </w:rPr>
        <w:t xml:space="preserve"> </w:t>
      </w:r>
    </w:p>
    <w:p w14:paraId="4A5559DF">
      <w:pPr>
        <w:pStyle w:val="14"/>
        <w:spacing w:before="240" w:after="0" w:line="360" w:lineRule="auto"/>
        <w:rPr>
          <w:rFonts w:ascii="Times New Roman" w:hAnsi="Times New Roman" w:cs="Times New Roman"/>
          <w:color w:val="333333"/>
          <w:shd w:val="clear" w:color="auto" w:fill="FFFFFF"/>
        </w:rPr>
      </w:pPr>
    </w:p>
    <w:p w14:paraId="47658C24">
      <w:pPr>
        <w:pStyle w:val="14"/>
        <w:numPr>
          <w:ilvl w:val="0"/>
          <w:numId w:val="1"/>
        </w:numPr>
        <w:spacing w:before="240" w:after="0" w:line="360" w:lineRule="auto"/>
        <w:rPr>
          <w:rFonts w:ascii="Times New Roman" w:hAnsi="Times New Roman" w:cs="Times New Roman"/>
          <w:color w:val="333333"/>
          <w:shd w:val="clear" w:color="auto" w:fill="FFFFFF"/>
        </w:rPr>
      </w:pPr>
      <w:r>
        <w:t xml:space="preserve">El-Jawahri, A., Webb, J. A., Hannon, B., &amp; Zimmermann, C. (2024). Integrating Palliative Care and Hematologic Malignancies: Bridging the Gaps for Our Patients and Their Caregivers. Am Soc Clin Oncol Educ Book. </w:t>
      </w:r>
      <w:r>
        <w:fldChar w:fldCharType="begin"/>
      </w:r>
      <w:r>
        <w:instrText xml:space="preserve"> HYPERLINK "https://doi.org/10.1200/EDBK_432196" </w:instrText>
      </w:r>
      <w:r>
        <w:fldChar w:fldCharType="separate"/>
      </w:r>
      <w:r>
        <w:rPr>
          <w:rStyle w:val="9"/>
        </w:rPr>
        <w:t>https://doi.org/10.1200/EDBK_432196</w:t>
      </w:r>
      <w:r>
        <w:rPr>
          <w:rStyle w:val="9"/>
        </w:rPr>
        <w:fldChar w:fldCharType="end"/>
      </w:r>
      <w:r>
        <w:t xml:space="preserve"> </w:t>
      </w:r>
    </w:p>
    <w:p w14:paraId="1DBE0989">
      <w:pPr>
        <w:pStyle w:val="14"/>
        <w:spacing w:line="360" w:lineRule="auto"/>
        <w:rPr>
          <w:rFonts w:ascii="Times New Roman" w:hAnsi="Times New Roman" w:cs="Times New Roman"/>
          <w:color w:val="333333"/>
          <w:shd w:val="clear" w:color="auto" w:fill="FFFFFF"/>
        </w:rPr>
      </w:pPr>
    </w:p>
    <w:p w14:paraId="1E80990D">
      <w:pPr>
        <w:pStyle w:val="14"/>
        <w:spacing w:before="240" w:after="0" w:line="360" w:lineRule="auto"/>
        <w:rPr>
          <w:rFonts w:ascii="Times New Roman" w:hAnsi="Times New Roman" w:cs="Times New Roman"/>
          <w:color w:val="333333"/>
          <w:shd w:val="clear" w:color="auto" w:fill="FFFFFF"/>
        </w:rPr>
      </w:pPr>
    </w:p>
    <w:p w14:paraId="4483BB86">
      <w:pPr>
        <w:pStyle w:val="14"/>
        <w:numPr>
          <w:ilvl w:val="0"/>
          <w:numId w:val="1"/>
        </w:numPr>
        <w:spacing w:before="240" w:after="0" w:line="360" w:lineRule="auto"/>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 xml:space="preserve">Pan, T., Zhang, J., Wang, X., &amp; Song, Y. (2025). Global burden and trends of hematologic malignancies based on Global Cancer Observatory 2022 and Global Burden of Disease 2021. Experimental Hematology &amp; Oncology, 14(1), 98. </w:t>
      </w:r>
      <w:r>
        <w:fldChar w:fldCharType="begin"/>
      </w:r>
      <w:r>
        <w:instrText xml:space="preserve"> HYPERLINK "https://doi.org/10.1186/s40164-025-00684-x" </w:instrText>
      </w:r>
      <w:r>
        <w:fldChar w:fldCharType="separate"/>
      </w:r>
      <w:r>
        <w:rPr>
          <w:rStyle w:val="9"/>
          <w:rFonts w:ascii="Times New Roman" w:hAnsi="Times New Roman" w:cs="Times New Roman"/>
          <w:shd w:val="clear" w:color="auto" w:fill="FFFFFF"/>
        </w:rPr>
        <w:t>https://doi.org/10.1186/s40164-025-00684-x</w:t>
      </w:r>
      <w:r>
        <w:rPr>
          <w:rStyle w:val="9"/>
          <w:rFonts w:ascii="Times New Roman" w:hAnsi="Times New Roman" w:cs="Times New Roman"/>
          <w:shd w:val="clear" w:color="auto" w:fill="FFFFFF"/>
        </w:rPr>
        <w:fldChar w:fldCharType="end"/>
      </w:r>
      <w:r>
        <w:rPr>
          <w:rFonts w:ascii="Times New Roman" w:hAnsi="Times New Roman" w:cs="Times New Roman"/>
          <w:color w:val="333333"/>
          <w:shd w:val="clear" w:color="auto" w:fill="FFFFFF"/>
        </w:rPr>
        <w:t xml:space="preserve"> </w:t>
      </w:r>
    </w:p>
    <w:p w14:paraId="5C2CD245">
      <w:pPr>
        <w:pStyle w:val="14"/>
        <w:numPr>
          <w:ilvl w:val="0"/>
          <w:numId w:val="1"/>
        </w:numPr>
        <w:spacing w:before="240" w:after="0" w:line="360" w:lineRule="auto"/>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 xml:space="preserve">Siegel, R. L., Miller, K. D., &amp; Jemal, A. (2020). Cancer statistics, 2020. CA: A Cancer Journal for Clinicians, 70(1), 7-30. </w:t>
      </w:r>
      <w:r>
        <w:fldChar w:fldCharType="begin"/>
      </w:r>
      <w:r>
        <w:instrText xml:space="preserve"> HYPERLINK "https://doi.org/10.3322/caac.21590" </w:instrText>
      </w:r>
      <w:r>
        <w:fldChar w:fldCharType="separate"/>
      </w:r>
      <w:r>
        <w:rPr>
          <w:rStyle w:val="9"/>
          <w:rFonts w:ascii="Times New Roman" w:hAnsi="Times New Roman" w:cs="Times New Roman"/>
          <w:shd w:val="clear" w:color="auto" w:fill="FFFFFF"/>
        </w:rPr>
        <w:t>https://doi.org/10.3322/caac.21590</w:t>
      </w:r>
      <w:r>
        <w:rPr>
          <w:rStyle w:val="9"/>
          <w:rFonts w:ascii="Times New Roman" w:hAnsi="Times New Roman" w:cs="Times New Roman"/>
          <w:shd w:val="clear" w:color="auto" w:fill="FFFFFF"/>
        </w:rPr>
        <w:fldChar w:fldCharType="end"/>
      </w:r>
      <w:r>
        <w:rPr>
          <w:rFonts w:ascii="Times New Roman" w:hAnsi="Times New Roman" w:cs="Times New Roman"/>
          <w:color w:val="333333"/>
          <w:shd w:val="clear" w:color="auto" w:fill="FFFFFF"/>
        </w:rPr>
        <w:t xml:space="preserve"> </w:t>
      </w:r>
    </w:p>
    <w:p w14:paraId="3E8B755C">
      <w:pPr>
        <w:pStyle w:val="14"/>
        <w:spacing w:before="240" w:after="0" w:line="360" w:lineRule="auto"/>
        <w:rPr>
          <w:rFonts w:ascii="Times New Roman" w:hAnsi="Times New Roman" w:cs="Times New Roman"/>
          <w:color w:val="333333"/>
          <w:shd w:val="clear" w:color="auto" w:fill="FFFFFF"/>
        </w:rPr>
      </w:pPr>
    </w:p>
    <w:p w14:paraId="07223187">
      <w:pPr>
        <w:numPr>
          <w:ilvl w:val="0"/>
          <w:numId w:val="1"/>
        </w:numPr>
        <w:spacing w:after="0" w:line="360" w:lineRule="auto"/>
        <w:contextualSpacing/>
        <w:jc w:val="both"/>
        <w:rPr>
          <w:rFonts w:ascii="Times New Roman" w:hAnsi="Times New Roman" w:eastAsia="Times New Roman" w:cs="Times New Roman"/>
        </w:rPr>
      </w:pPr>
      <w:r>
        <w:rPr>
          <w:rFonts w:ascii="Times New Roman" w:hAnsi="Times New Roman" w:eastAsia="Times New Roman" w:cs="Times New Roman"/>
        </w:rPr>
        <w:t xml:space="preserve">Gopal, S., Wood, W. A., Lee, S. J., Shea, T. C., Naresh, K. N., Kazembe, P. N., Casper, C., Hesseling, P. B., &amp; Mitsuyasu, R. T. (2012). Meeting the challenge of hematologic malignancies in sub-Saharan Africa. Blood, 119(22), 5078-5087. </w:t>
      </w:r>
      <w:r>
        <w:fldChar w:fldCharType="begin"/>
      </w:r>
      <w:r>
        <w:instrText xml:space="preserve"> HYPERLINK "https://doi.org/10.1182/blood-2012-02-387092" </w:instrText>
      </w:r>
      <w:r>
        <w:fldChar w:fldCharType="separate"/>
      </w:r>
      <w:r>
        <w:rPr>
          <w:rStyle w:val="9"/>
          <w:rFonts w:ascii="Times New Roman" w:hAnsi="Times New Roman" w:eastAsia="Times New Roman" w:cs="Times New Roman"/>
        </w:rPr>
        <w:t>https://doi.org/10.1182/blood-2012-02-387092</w:t>
      </w:r>
      <w:r>
        <w:rPr>
          <w:rStyle w:val="9"/>
          <w:rFonts w:ascii="Times New Roman" w:hAnsi="Times New Roman" w:eastAsia="Times New Roman" w:cs="Times New Roman"/>
        </w:rPr>
        <w:fldChar w:fldCharType="end"/>
      </w:r>
      <w:r>
        <w:rPr>
          <w:rFonts w:ascii="Times New Roman" w:hAnsi="Times New Roman" w:eastAsia="Times New Roman" w:cs="Times New Roman"/>
        </w:rPr>
        <w:t xml:space="preserve"> .</w:t>
      </w:r>
    </w:p>
    <w:p w14:paraId="45D2B91F">
      <w:pPr>
        <w:spacing w:after="0" w:line="360" w:lineRule="auto"/>
        <w:ind w:left="720"/>
        <w:contextualSpacing/>
        <w:jc w:val="both"/>
        <w:rPr>
          <w:rFonts w:ascii="Times New Roman" w:hAnsi="Times New Roman" w:eastAsia="Times New Roman" w:cs="Times New Roman"/>
        </w:rPr>
      </w:pPr>
    </w:p>
    <w:p w14:paraId="2E2FC64A">
      <w:pPr>
        <w:numPr>
          <w:ilvl w:val="0"/>
          <w:numId w:val="1"/>
        </w:numPr>
        <w:spacing w:after="0" w:line="360" w:lineRule="auto"/>
        <w:contextualSpacing/>
        <w:jc w:val="both"/>
        <w:rPr>
          <w:rFonts w:ascii="Times New Roman" w:hAnsi="Times New Roman" w:eastAsia="Times New Roman" w:cs="Times New Roman"/>
        </w:rPr>
      </w:pPr>
      <w:r>
        <w:rPr>
          <w:rFonts w:ascii="Times New Roman" w:hAnsi="Times New Roman" w:eastAsia="Times New Roman" w:cs="Times New Roman"/>
        </w:rPr>
        <w:t xml:space="preserve">Babatunde, A., Amiwero, C., Olatunji, P., &amp; Durotoye, I. (2008). Pattern of haematological malignancies in Ilorin, Nigeria: A ten-year review (1996-2005). The Internet Journal of Hematology, 5(2), 1-7. </w:t>
      </w:r>
      <w:r>
        <w:fldChar w:fldCharType="begin"/>
      </w:r>
      <w:r>
        <w:instrText xml:space="preserve"> HYPERLINK "https://doi.org/10.5580/28cc" </w:instrText>
      </w:r>
      <w:r>
        <w:fldChar w:fldCharType="separate"/>
      </w:r>
      <w:r>
        <w:rPr>
          <w:rStyle w:val="9"/>
          <w:rFonts w:ascii="Times New Roman" w:hAnsi="Times New Roman" w:eastAsia="Times New Roman" w:cs="Times New Roman"/>
        </w:rPr>
        <w:t>https://doi.org/10.5580/28cc</w:t>
      </w:r>
      <w:r>
        <w:rPr>
          <w:rStyle w:val="9"/>
          <w:rFonts w:ascii="Times New Roman" w:hAnsi="Times New Roman" w:eastAsia="Times New Roman" w:cs="Times New Roman"/>
        </w:rPr>
        <w:fldChar w:fldCharType="end"/>
      </w:r>
      <w:r>
        <w:rPr>
          <w:rFonts w:ascii="Times New Roman" w:hAnsi="Times New Roman" w:eastAsia="Times New Roman" w:cs="Times New Roman"/>
        </w:rPr>
        <w:t xml:space="preserve"> .</w:t>
      </w:r>
    </w:p>
    <w:p w14:paraId="79D6BE6D">
      <w:pPr>
        <w:pStyle w:val="14"/>
        <w:rPr>
          <w:rFonts w:ascii="Times New Roman" w:hAnsi="Times New Roman" w:eastAsia="Times New Roman" w:cs="Times New Roman"/>
        </w:rPr>
      </w:pPr>
    </w:p>
    <w:p w14:paraId="2F6DBC57">
      <w:pPr>
        <w:numPr>
          <w:ilvl w:val="0"/>
          <w:numId w:val="1"/>
        </w:numPr>
        <w:spacing w:after="0" w:line="360" w:lineRule="auto"/>
        <w:contextualSpacing/>
        <w:jc w:val="both"/>
        <w:rPr>
          <w:rFonts w:ascii="Times New Roman" w:hAnsi="Times New Roman" w:eastAsia="Times New Roman" w:cs="Times New Roman"/>
        </w:rPr>
      </w:pPr>
      <w:r>
        <w:rPr>
          <w:rFonts w:ascii="Times New Roman" w:hAnsi="Times New Roman" w:eastAsia="Times New Roman" w:cs="Times New Roman"/>
        </w:rPr>
        <w:t xml:space="preserve">Dachi, R. A., Mustapha, F. G., James, J., Pindiga, K. M., Ezenkwa, U. S., Yusuf, M. O., Yuguda, S., &amp; Suleiman, D. E. (2025). Common haematological malignancies in Northeastern Nigeria: a multi-centre study of their pattern, distribution and treatment challenges. *Frontiers in Oncology*, *15*, 1404686. </w:t>
      </w:r>
      <w:r>
        <w:fldChar w:fldCharType="begin"/>
      </w:r>
      <w:r>
        <w:instrText xml:space="preserve"> HYPERLINK "https://doi.org/10.3389/fonc.2025.1404686" </w:instrText>
      </w:r>
      <w:r>
        <w:fldChar w:fldCharType="separate"/>
      </w:r>
      <w:r>
        <w:rPr>
          <w:rStyle w:val="9"/>
          <w:rFonts w:ascii="Times New Roman" w:hAnsi="Times New Roman" w:eastAsia="Times New Roman" w:cs="Times New Roman"/>
        </w:rPr>
        <w:t>https://doi.org/10.3389/fonc.2025.1404686</w:t>
      </w:r>
      <w:r>
        <w:rPr>
          <w:rStyle w:val="9"/>
          <w:rFonts w:ascii="Times New Roman" w:hAnsi="Times New Roman" w:eastAsia="Times New Roman" w:cs="Times New Roman"/>
        </w:rPr>
        <w:fldChar w:fldCharType="end"/>
      </w:r>
      <w:r>
        <w:rPr>
          <w:rFonts w:ascii="Times New Roman" w:hAnsi="Times New Roman" w:eastAsia="Times New Roman" w:cs="Times New Roman"/>
        </w:rPr>
        <w:t xml:space="preserve"> </w:t>
      </w:r>
    </w:p>
    <w:p w14:paraId="1FDF1DEA">
      <w:pPr>
        <w:pStyle w:val="14"/>
        <w:rPr>
          <w:rFonts w:ascii="Times New Roman" w:hAnsi="Times New Roman" w:cs="Times New Roman"/>
          <w:shd w:val="clear" w:color="auto" w:fill="FFFFFF"/>
        </w:rPr>
      </w:pPr>
    </w:p>
    <w:p w14:paraId="3B44634B">
      <w:pPr>
        <w:numPr>
          <w:ilvl w:val="0"/>
          <w:numId w:val="1"/>
        </w:numPr>
        <w:spacing w:after="0" w:line="360" w:lineRule="auto"/>
        <w:contextualSpacing/>
        <w:jc w:val="both"/>
        <w:rPr>
          <w:rFonts w:ascii="Times New Roman" w:hAnsi="Times New Roman" w:eastAsia="Times New Roman" w:cs="Times New Roman"/>
        </w:rPr>
      </w:pPr>
      <w:r>
        <w:rPr>
          <w:rFonts w:ascii="Times New Roman" w:hAnsi="Times New Roman" w:cs="Times New Roman"/>
          <w:shd w:val="clear" w:color="auto" w:fill="FFFFFF"/>
        </w:rPr>
        <w:t xml:space="preserve">Obiorah, C. C., Osagbemiro, B. B., &amp; Akani, N. A. (2020). Cancer incidence in the Niger delta region of Nigeria; a population based review of Port Harcourt cancer registry. The Nigerian Health Journal, 19(2), 85-95. </w:t>
      </w:r>
      <w:r>
        <w:fldChar w:fldCharType="begin"/>
      </w:r>
      <w:r>
        <w:instrText xml:space="preserve"> HYPERLINK "https://doi.org/10.60787/tnhj.v19i2.452" </w:instrText>
      </w:r>
      <w:r>
        <w:fldChar w:fldCharType="separate"/>
      </w:r>
      <w:r>
        <w:rPr>
          <w:rStyle w:val="9"/>
          <w:rFonts w:ascii="Times New Roman" w:hAnsi="Times New Roman" w:cs="Times New Roman"/>
          <w:shd w:val="clear" w:color="auto" w:fill="FFFFFF"/>
        </w:rPr>
        <w:t>https://doi.org/10.60787/tnhj.v19i2.452</w:t>
      </w:r>
      <w:r>
        <w:rPr>
          <w:rStyle w:val="9"/>
          <w:rFonts w:ascii="Times New Roman" w:hAnsi="Times New Roman" w:cs="Times New Roman"/>
          <w:shd w:val="clear" w:color="auto" w:fill="FFFFFF"/>
        </w:rPr>
        <w:fldChar w:fldCharType="end"/>
      </w:r>
      <w:r>
        <w:rPr>
          <w:rFonts w:ascii="Times New Roman" w:hAnsi="Times New Roman" w:cs="Times New Roman"/>
          <w:shd w:val="clear" w:color="auto" w:fill="FFFFFF"/>
        </w:rPr>
        <w:t xml:space="preserve"> </w:t>
      </w:r>
    </w:p>
    <w:p w14:paraId="49A1FCDA">
      <w:pPr>
        <w:numPr>
          <w:ilvl w:val="0"/>
          <w:numId w:val="1"/>
        </w:numPr>
        <w:spacing w:after="0" w:line="360" w:lineRule="auto"/>
        <w:contextualSpacing/>
        <w:jc w:val="both"/>
        <w:rPr>
          <w:rFonts w:ascii="Times New Roman" w:hAnsi="Times New Roman" w:eastAsia="Times New Roman" w:cs="Times New Roman"/>
          <w:i/>
        </w:rPr>
      </w:pPr>
      <w:r>
        <w:rPr>
          <w:rFonts w:ascii="Times New Roman" w:hAnsi="Times New Roman" w:eastAsia="Times New Roman" w:cs="Times New Roman"/>
        </w:rPr>
        <w:t xml:space="preserve">Nwannadi, I. A., Alao, O. O., Bazuaye, G. N., Halim, N. K., &amp; Omoti, C. E. (2010). The epidemiology of haematological malignancies at the University of Benin Teaching Hospital: A ten-year retrospective study. *The Internet Journal of Epidemiology*, *9*(2), 1-6. </w:t>
      </w:r>
      <w:r>
        <w:fldChar w:fldCharType="begin"/>
      </w:r>
      <w:r>
        <w:instrText xml:space="preserve"> HYPERLINK "https://ispub.com/IJE/9/2/12009" </w:instrText>
      </w:r>
      <w:r>
        <w:fldChar w:fldCharType="separate"/>
      </w:r>
      <w:r>
        <w:rPr>
          <w:rStyle w:val="9"/>
          <w:rFonts w:ascii="Times New Roman" w:hAnsi="Times New Roman" w:eastAsia="Times New Roman" w:cs="Times New Roman"/>
        </w:rPr>
        <w:t>https://ispub.com/IJE/9/2/12009</w:t>
      </w:r>
      <w:r>
        <w:rPr>
          <w:rStyle w:val="9"/>
          <w:rFonts w:ascii="Times New Roman" w:hAnsi="Times New Roman" w:eastAsia="Times New Roman" w:cs="Times New Roman"/>
        </w:rPr>
        <w:fldChar w:fldCharType="end"/>
      </w:r>
      <w:r>
        <w:rPr>
          <w:rFonts w:ascii="Times New Roman" w:hAnsi="Times New Roman" w:eastAsia="Times New Roman" w:cs="Times New Roman"/>
        </w:rPr>
        <w:t xml:space="preserve"> </w:t>
      </w:r>
      <w:r>
        <w:rPr>
          <w:rFonts w:ascii="Times New Roman" w:hAnsi="Times New Roman" w:eastAsia="Times New Roman" w:cs="Times New Roman"/>
          <w:i/>
        </w:rPr>
        <w:t>.</w:t>
      </w:r>
    </w:p>
    <w:p w14:paraId="666E1168">
      <w:pPr>
        <w:spacing w:after="0" w:line="360" w:lineRule="auto"/>
        <w:contextualSpacing/>
        <w:jc w:val="both"/>
        <w:rPr>
          <w:rFonts w:ascii="Times New Roman" w:hAnsi="Times New Roman" w:eastAsia="Times New Roman" w:cs="Times New Roman"/>
        </w:rPr>
      </w:pPr>
    </w:p>
    <w:p w14:paraId="279EB74C">
      <w:pPr>
        <w:numPr>
          <w:ilvl w:val="0"/>
          <w:numId w:val="1"/>
        </w:numPr>
        <w:spacing w:after="0" w:line="360" w:lineRule="auto"/>
        <w:contextualSpacing/>
        <w:jc w:val="both"/>
        <w:rPr>
          <w:rFonts w:ascii="Times New Roman" w:hAnsi="Times New Roman" w:eastAsia="Times New Roman" w:cs="Times New Roman"/>
        </w:rPr>
      </w:pPr>
      <w:r>
        <w:rPr>
          <w:rFonts w:ascii="Times New Roman" w:hAnsi="Times New Roman" w:eastAsia="Times New Roman" w:cs="Times New Roman"/>
        </w:rPr>
        <w:t xml:space="preserve"> Akaba, K., Nwogoh, B., Akpan, I., Bassey, O. B., Ofonime, E., Petters, E., Igwilo, H., Onyeulor, E., &amp; Ushie, G. A. (2019). Epidemiological Pattern of Adult Haematological Malignancies in a Tertiary Hospital in Cross River State. International Research Journal of Oncology, 2(1), 16-24. </w:t>
      </w:r>
      <w:r>
        <w:fldChar w:fldCharType="begin"/>
      </w:r>
      <w:r>
        <w:instrText xml:space="preserve"> HYPERLINK "https://journalirjo.com/index.php/IRJO/article/view/18" </w:instrText>
      </w:r>
      <w:r>
        <w:fldChar w:fldCharType="separate"/>
      </w:r>
      <w:r>
        <w:rPr>
          <w:rStyle w:val="9"/>
          <w:rFonts w:ascii="Times New Roman" w:hAnsi="Times New Roman" w:eastAsia="Times New Roman" w:cs="Times New Roman"/>
        </w:rPr>
        <w:t>https://journalirjo.com/index.php/IRJO/article/view/18</w:t>
      </w:r>
      <w:r>
        <w:rPr>
          <w:rStyle w:val="9"/>
          <w:rFonts w:ascii="Times New Roman" w:hAnsi="Times New Roman" w:eastAsia="Times New Roman" w:cs="Times New Roman"/>
        </w:rPr>
        <w:fldChar w:fldCharType="end"/>
      </w:r>
      <w:r>
        <w:rPr>
          <w:rFonts w:ascii="Times New Roman" w:hAnsi="Times New Roman" w:eastAsia="Times New Roman" w:cs="Times New Roman"/>
        </w:rPr>
        <w:t xml:space="preserve"> .</w:t>
      </w:r>
    </w:p>
    <w:p w14:paraId="0EEAA366">
      <w:pPr>
        <w:pStyle w:val="14"/>
        <w:numPr>
          <w:ilvl w:val="0"/>
          <w:numId w:val="1"/>
        </w:numPr>
        <w:spacing w:before="240" w:after="0" w:line="360" w:lineRule="auto"/>
        <w:rPr>
          <w:rFonts w:ascii="Times New Roman" w:hAnsi="Times New Roman" w:cs="Times New Roman"/>
          <w:color w:val="333333"/>
          <w:shd w:val="clear" w:color="auto" w:fill="FFFFFF"/>
        </w:rPr>
      </w:pPr>
      <w:r>
        <w:rPr>
          <w:rFonts w:ascii="Times New Roman" w:hAnsi="Times New Roman" w:cs="Times New Roman"/>
          <w:color w:val="212121"/>
          <w:shd w:val="clear" w:color="auto" w:fill="FFFFFF"/>
        </w:rPr>
        <w:t xml:space="preserve">Loghavi, S., Kanagal-Shamanna, R., Khoury, J. D., Medeiros, L. J., Naresh, K. N., Nejati, R., Patnaik, M. M., &amp; WHO 5th Edition Classification Project. (2024). Fifth Edition of the World Health Classification of Tumors of the Hematopoietic and Lymphoid Tissue: Myeloid Neoplasms. Modern Pathology. </w:t>
      </w:r>
      <w:r>
        <w:fldChar w:fldCharType="begin"/>
      </w:r>
      <w:r>
        <w:instrText xml:space="preserve"> HYPERLINK "https://doi.org/10.1016/j.modpat.2023.100397" </w:instrText>
      </w:r>
      <w:r>
        <w:fldChar w:fldCharType="separate"/>
      </w:r>
      <w:r>
        <w:rPr>
          <w:rStyle w:val="9"/>
          <w:rFonts w:ascii="Times New Roman" w:hAnsi="Times New Roman" w:cs="Times New Roman"/>
          <w:shd w:val="clear" w:color="auto" w:fill="FFFFFF"/>
        </w:rPr>
        <w:t>https://doi.org/10.1016/j.modpat.2023.100397</w:t>
      </w:r>
      <w:r>
        <w:rPr>
          <w:rStyle w:val="9"/>
          <w:rFonts w:ascii="Times New Roman" w:hAnsi="Times New Roman" w:cs="Times New Roman"/>
          <w:shd w:val="clear" w:color="auto" w:fill="FFFFFF"/>
        </w:rPr>
        <w:fldChar w:fldCharType="end"/>
      </w:r>
      <w:r>
        <w:rPr>
          <w:rFonts w:ascii="Times New Roman" w:hAnsi="Times New Roman" w:cs="Times New Roman"/>
          <w:color w:val="212121"/>
          <w:shd w:val="clear" w:color="auto" w:fill="FFFFFF"/>
        </w:rPr>
        <w:t xml:space="preserve"> .</w:t>
      </w:r>
    </w:p>
    <w:p w14:paraId="5A8B29CA">
      <w:pPr>
        <w:pStyle w:val="14"/>
        <w:spacing w:before="240" w:after="0" w:line="360" w:lineRule="auto"/>
        <w:rPr>
          <w:rFonts w:ascii="Times New Roman" w:hAnsi="Times New Roman" w:cs="Times New Roman"/>
          <w:color w:val="333333"/>
          <w:shd w:val="clear" w:color="auto" w:fill="FFFFFF"/>
        </w:rPr>
      </w:pPr>
    </w:p>
    <w:p w14:paraId="27CF0AE4">
      <w:pPr>
        <w:pStyle w:val="14"/>
        <w:numPr>
          <w:ilvl w:val="0"/>
          <w:numId w:val="1"/>
        </w:numPr>
        <w:spacing w:before="240" w:after="0" w:line="360" w:lineRule="auto"/>
        <w:rPr>
          <w:rFonts w:ascii="Times New Roman" w:hAnsi="Times New Roman" w:cs="Times New Roman"/>
          <w:color w:val="333333"/>
          <w:shd w:val="clear" w:color="auto" w:fill="FFFFFF"/>
        </w:rPr>
      </w:pPr>
      <w:r>
        <w:rPr>
          <w:rFonts w:ascii="Times New Roman" w:hAnsi="Times New Roman" w:cs="Times New Roman"/>
          <w:color w:val="212121"/>
          <w:shd w:val="clear" w:color="auto" w:fill="FFFFFF"/>
        </w:rPr>
        <w:t xml:space="preserve">Bouziana, S. (2025). Hematological Malignancies: Molecular Mechanisms and Therapy. International Journal of Molecular Sciences, 26(6), 2438. </w:t>
      </w:r>
      <w:r>
        <w:fldChar w:fldCharType="begin"/>
      </w:r>
      <w:r>
        <w:instrText xml:space="preserve"> HYPERLINK "https://doi.org/10.3390/ijms26062438" </w:instrText>
      </w:r>
      <w:r>
        <w:fldChar w:fldCharType="separate"/>
      </w:r>
      <w:r>
        <w:rPr>
          <w:rStyle w:val="9"/>
          <w:rFonts w:ascii="Times New Roman" w:hAnsi="Times New Roman" w:cs="Times New Roman"/>
          <w:shd w:val="clear" w:color="auto" w:fill="FFFFFF"/>
        </w:rPr>
        <w:t>https://doi.org/10.3390/ijms26062438</w:t>
      </w:r>
      <w:r>
        <w:rPr>
          <w:rStyle w:val="9"/>
          <w:rFonts w:ascii="Times New Roman" w:hAnsi="Times New Roman" w:cs="Times New Roman"/>
          <w:shd w:val="clear" w:color="auto" w:fill="FFFFFF"/>
        </w:rPr>
        <w:fldChar w:fldCharType="end"/>
      </w:r>
      <w:r>
        <w:rPr>
          <w:rFonts w:ascii="Times New Roman" w:hAnsi="Times New Roman" w:cs="Times New Roman"/>
          <w:color w:val="212121"/>
          <w:shd w:val="clear" w:color="auto" w:fill="FFFFFF"/>
        </w:rPr>
        <w:t xml:space="preserve"> </w:t>
      </w:r>
    </w:p>
    <w:p w14:paraId="4CE1A4DE">
      <w:pPr>
        <w:pStyle w:val="14"/>
        <w:spacing w:line="360" w:lineRule="auto"/>
        <w:rPr>
          <w:rFonts w:ascii="Times New Roman" w:hAnsi="Times New Roman" w:cs="Times New Roman"/>
          <w:color w:val="333333"/>
          <w:shd w:val="clear" w:color="auto" w:fill="FFFFFF"/>
        </w:rPr>
      </w:pPr>
    </w:p>
    <w:p w14:paraId="077EC2E7">
      <w:pPr>
        <w:pStyle w:val="14"/>
        <w:spacing w:before="240" w:after="0" w:line="360" w:lineRule="auto"/>
        <w:rPr>
          <w:rFonts w:ascii="Times New Roman" w:hAnsi="Times New Roman" w:cs="Times New Roman"/>
          <w:color w:val="333333"/>
          <w:shd w:val="clear" w:color="auto" w:fill="FFFFFF"/>
        </w:rPr>
      </w:pPr>
    </w:p>
    <w:p w14:paraId="2507BAC3">
      <w:pPr>
        <w:pStyle w:val="14"/>
        <w:numPr>
          <w:ilvl w:val="0"/>
          <w:numId w:val="1"/>
        </w:numPr>
        <w:spacing w:before="240" w:after="0" w:line="360" w:lineRule="auto"/>
        <w:rPr>
          <w:rFonts w:ascii="Times New Roman" w:hAnsi="Times New Roman" w:cs="Times New Roman"/>
          <w:color w:val="333333"/>
          <w:shd w:val="clear" w:color="auto" w:fill="FFFFFF"/>
        </w:rPr>
      </w:pPr>
      <w:r>
        <w:rPr>
          <w:rFonts w:ascii="Times New Roman" w:hAnsi="Times New Roman" w:cs="Times New Roman"/>
          <w:color w:val="575757"/>
          <w:shd w:val="clear" w:color="auto" w:fill="FFFFFF"/>
        </w:rPr>
        <w:t xml:space="preserve">Falzone, L., Marconi, A., Loreto, C., Franco, S., Spandidos, D.A., &amp; Libra, M. (2016). Occupational exposure to carcinogens: Benzene, pesticides and fibers (Review). Molecular Medicine Reports, 14, 4467-4474. </w:t>
      </w:r>
      <w:r>
        <w:fldChar w:fldCharType="begin"/>
      </w:r>
      <w:r>
        <w:instrText xml:space="preserve"> HYPERLINK "https://doi.org/10.3892/mmr.2016.5791" </w:instrText>
      </w:r>
      <w:r>
        <w:fldChar w:fldCharType="separate"/>
      </w:r>
      <w:r>
        <w:rPr>
          <w:rStyle w:val="9"/>
          <w:rFonts w:ascii="Times New Roman" w:hAnsi="Times New Roman" w:cs="Times New Roman"/>
          <w:shd w:val="clear" w:color="auto" w:fill="FFFFFF"/>
        </w:rPr>
        <w:t>https://doi.org/10.3892/mmr.2016.5791</w:t>
      </w:r>
      <w:r>
        <w:rPr>
          <w:rStyle w:val="9"/>
          <w:rFonts w:ascii="Times New Roman" w:hAnsi="Times New Roman" w:cs="Times New Roman"/>
          <w:shd w:val="clear" w:color="auto" w:fill="FFFFFF"/>
        </w:rPr>
        <w:fldChar w:fldCharType="end"/>
      </w:r>
      <w:r>
        <w:rPr>
          <w:rFonts w:ascii="Times New Roman" w:hAnsi="Times New Roman" w:cs="Times New Roman"/>
          <w:color w:val="575757"/>
          <w:shd w:val="clear" w:color="auto" w:fill="FFFFFF"/>
        </w:rPr>
        <w:t xml:space="preserve"> .</w:t>
      </w:r>
    </w:p>
    <w:p w14:paraId="34949013">
      <w:pPr>
        <w:pStyle w:val="14"/>
        <w:spacing w:before="240" w:after="0" w:line="360" w:lineRule="auto"/>
        <w:rPr>
          <w:rFonts w:ascii="Times New Roman" w:hAnsi="Times New Roman" w:cs="Times New Roman"/>
          <w:color w:val="333333"/>
          <w:shd w:val="clear" w:color="auto" w:fill="FFFFFF"/>
        </w:rPr>
      </w:pPr>
    </w:p>
    <w:p w14:paraId="4267FC73">
      <w:pPr>
        <w:pStyle w:val="14"/>
        <w:numPr>
          <w:ilvl w:val="0"/>
          <w:numId w:val="1"/>
        </w:numPr>
        <w:spacing w:before="240" w:after="0" w:line="360" w:lineRule="auto"/>
        <w:rPr>
          <w:rFonts w:ascii="Times New Roman" w:hAnsi="Times New Roman" w:cs="Times New Roman"/>
          <w:color w:val="333333"/>
          <w:shd w:val="clear" w:color="auto" w:fill="FFFFFF"/>
        </w:rPr>
      </w:pPr>
      <w:r>
        <w:rPr>
          <w:rFonts w:ascii="Times New Roman" w:hAnsi="Times New Roman" w:cs="Times New Roman"/>
          <w:color w:val="212529"/>
        </w:rPr>
        <w:t xml:space="preserve">Bakpo, M. T., &amp; Emejuru, S. A. (2019). Gas Flaring and Biodiversity Depletion in Nigeria: A Study of Selected Gas Flare Sites in Rivers State, Nigeria. Journal of Environmental Science: Current Research, 2(2), 011. </w:t>
      </w:r>
      <w:r>
        <w:fldChar w:fldCharType="begin"/>
      </w:r>
      <w:r>
        <w:instrText xml:space="preserve"> HYPERLINK "https://doi.org/10.24966/ESCR-5020/100011" </w:instrText>
      </w:r>
      <w:r>
        <w:fldChar w:fldCharType="separate"/>
      </w:r>
      <w:r>
        <w:rPr>
          <w:rStyle w:val="9"/>
          <w:rFonts w:ascii="Times New Roman" w:hAnsi="Times New Roman" w:cs="Times New Roman"/>
        </w:rPr>
        <w:t>https://doi.org/10.24966/ESCR-5020/100011</w:t>
      </w:r>
      <w:r>
        <w:rPr>
          <w:rStyle w:val="9"/>
          <w:rFonts w:ascii="Times New Roman" w:hAnsi="Times New Roman" w:cs="Times New Roman"/>
        </w:rPr>
        <w:fldChar w:fldCharType="end"/>
      </w:r>
      <w:r>
        <w:rPr>
          <w:rFonts w:ascii="Times New Roman" w:hAnsi="Times New Roman" w:cs="Times New Roman"/>
          <w:color w:val="212529"/>
        </w:rPr>
        <w:t xml:space="preserve">. </w:t>
      </w:r>
    </w:p>
    <w:p w14:paraId="2A4C8F8F">
      <w:pPr>
        <w:pStyle w:val="14"/>
        <w:spacing w:line="360" w:lineRule="auto"/>
        <w:rPr>
          <w:rFonts w:ascii="Times New Roman" w:hAnsi="Times New Roman" w:cs="Times New Roman"/>
          <w:color w:val="333333"/>
          <w:shd w:val="clear" w:color="auto" w:fill="FFFFFF"/>
        </w:rPr>
      </w:pPr>
    </w:p>
    <w:p w14:paraId="562C3B3D">
      <w:pPr>
        <w:pStyle w:val="14"/>
        <w:spacing w:before="240" w:after="0" w:line="360" w:lineRule="auto"/>
        <w:rPr>
          <w:rFonts w:ascii="Times New Roman" w:hAnsi="Times New Roman" w:cs="Times New Roman"/>
          <w:color w:val="333333"/>
          <w:shd w:val="clear" w:color="auto" w:fill="FFFFFF"/>
        </w:rPr>
      </w:pPr>
    </w:p>
    <w:p w14:paraId="79E96847">
      <w:pPr>
        <w:pStyle w:val="14"/>
        <w:numPr>
          <w:ilvl w:val="0"/>
          <w:numId w:val="1"/>
        </w:numPr>
        <w:spacing w:before="240" w:after="0" w:line="360" w:lineRule="auto"/>
        <w:rPr>
          <w:rFonts w:ascii="Times New Roman" w:hAnsi="Times New Roman" w:cs="Times New Roman"/>
          <w:color w:val="333333"/>
          <w:shd w:val="clear" w:color="auto" w:fill="FFFFFF"/>
        </w:rPr>
      </w:pPr>
      <w:r>
        <w:rPr>
          <w:rFonts w:ascii="Times New Roman" w:hAnsi="Times New Roman" w:cs="Times New Roman"/>
          <w:color w:val="1B1B1B"/>
          <w:shd w:val="clear" w:color="auto" w:fill="FFFFFF"/>
        </w:rPr>
        <w:t xml:space="preserve">Patton, A. N., Levy-Zamora, M., Fox, M., &amp; Koehler, K. (2021). Benzene Exposure and Cancer Risk from Commercial Gasoline Station Fueling Events Using a Novel Self-Sampling Protocol. International Journal of Environmental Research and Public Health. </w:t>
      </w:r>
      <w:r>
        <w:fldChar w:fldCharType="begin"/>
      </w:r>
      <w:r>
        <w:instrText xml:space="preserve"> HYPERLINK "https://doi.org/10.3390/ijerph18041872" </w:instrText>
      </w:r>
      <w:r>
        <w:fldChar w:fldCharType="separate"/>
      </w:r>
      <w:r>
        <w:rPr>
          <w:rStyle w:val="9"/>
          <w:rFonts w:ascii="Times New Roman" w:hAnsi="Times New Roman" w:cs="Times New Roman"/>
          <w:shd w:val="clear" w:color="auto" w:fill="FFFFFF"/>
        </w:rPr>
        <w:t>https://doi.org/10.3390/ijerph18041872</w:t>
      </w:r>
      <w:r>
        <w:rPr>
          <w:rStyle w:val="9"/>
          <w:rFonts w:ascii="Times New Roman" w:hAnsi="Times New Roman" w:cs="Times New Roman"/>
          <w:shd w:val="clear" w:color="auto" w:fill="FFFFFF"/>
        </w:rPr>
        <w:fldChar w:fldCharType="end"/>
      </w:r>
      <w:r>
        <w:rPr>
          <w:rFonts w:ascii="Times New Roman" w:hAnsi="Times New Roman" w:cs="Times New Roman"/>
          <w:color w:val="1B1B1B"/>
          <w:shd w:val="clear" w:color="auto" w:fill="FFFFFF"/>
        </w:rPr>
        <w:t xml:space="preserve">.  </w:t>
      </w:r>
    </w:p>
    <w:p w14:paraId="0A5252D3">
      <w:pPr>
        <w:pStyle w:val="14"/>
        <w:spacing w:before="240" w:after="0" w:line="360" w:lineRule="auto"/>
        <w:rPr>
          <w:rFonts w:ascii="Times New Roman" w:hAnsi="Times New Roman" w:cs="Times New Roman"/>
          <w:color w:val="333333"/>
          <w:shd w:val="clear" w:color="auto" w:fill="FFFFFF"/>
        </w:rPr>
      </w:pPr>
    </w:p>
    <w:p w14:paraId="134012D7">
      <w:pPr>
        <w:pStyle w:val="14"/>
        <w:numPr>
          <w:ilvl w:val="0"/>
          <w:numId w:val="1"/>
        </w:numPr>
        <w:spacing w:before="240" w:after="0" w:line="360" w:lineRule="auto"/>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 xml:space="preserve">Ugwu, N. I., Okoye, A. E., Ugwu, C. N., Iyare, F. E., Edegbe, F. O., Ugwu, G. C., Chukwurah, E. F., Richard, I. C., John, D. O., Nnadozie, U. U., &amp; Nwokwu, E. U. (2021). Distribution pattern and prevalence of haematological cancers among adults in Abakaliki, South-Eastern Nigeria. Nigerian Postgraduate Medical Journal, 28(4), 266-272. </w:t>
      </w:r>
      <w:r>
        <w:fldChar w:fldCharType="begin"/>
      </w:r>
      <w:r>
        <w:instrText xml:space="preserve"> HYPERLINK "https://doi.org/10.4103/npmj.npmj_636_21" </w:instrText>
      </w:r>
      <w:r>
        <w:fldChar w:fldCharType="separate"/>
      </w:r>
      <w:r>
        <w:rPr>
          <w:rStyle w:val="9"/>
          <w:rFonts w:ascii="Times New Roman" w:hAnsi="Times New Roman" w:cs="Times New Roman"/>
          <w:shd w:val="clear" w:color="auto" w:fill="FFFFFF"/>
        </w:rPr>
        <w:t>https://doi.org/10.4103/npmj.npmj_636_21</w:t>
      </w:r>
      <w:r>
        <w:rPr>
          <w:rStyle w:val="9"/>
          <w:rFonts w:ascii="Times New Roman" w:hAnsi="Times New Roman" w:cs="Times New Roman"/>
          <w:shd w:val="clear" w:color="auto" w:fill="FFFFFF"/>
        </w:rPr>
        <w:fldChar w:fldCharType="end"/>
      </w:r>
      <w:r>
        <w:rPr>
          <w:rFonts w:ascii="Times New Roman" w:hAnsi="Times New Roman" w:cs="Times New Roman"/>
          <w:color w:val="333333"/>
          <w:shd w:val="clear" w:color="auto" w:fill="FFFFFF"/>
        </w:rPr>
        <w:t xml:space="preserve"> .</w:t>
      </w:r>
    </w:p>
    <w:p w14:paraId="1C1F7FB3">
      <w:pPr>
        <w:pStyle w:val="14"/>
        <w:spacing w:line="360" w:lineRule="auto"/>
        <w:rPr>
          <w:rFonts w:ascii="Times New Roman" w:hAnsi="Times New Roman" w:cs="Times New Roman"/>
          <w:color w:val="333333"/>
          <w:shd w:val="clear" w:color="auto" w:fill="FFFFFF"/>
        </w:rPr>
      </w:pPr>
    </w:p>
    <w:p w14:paraId="7F72B557">
      <w:pPr>
        <w:pStyle w:val="14"/>
        <w:spacing w:before="240" w:after="0" w:line="360" w:lineRule="auto"/>
        <w:rPr>
          <w:rFonts w:ascii="Times New Roman" w:hAnsi="Times New Roman" w:cs="Times New Roman"/>
          <w:color w:val="333333"/>
          <w:shd w:val="clear" w:color="auto" w:fill="FFFFFF"/>
        </w:rPr>
      </w:pPr>
    </w:p>
    <w:p w14:paraId="6EA3B719">
      <w:pPr>
        <w:pStyle w:val="14"/>
        <w:numPr>
          <w:ilvl w:val="0"/>
          <w:numId w:val="1"/>
        </w:numPr>
        <w:spacing w:before="240" w:after="0" w:line="360" w:lineRule="auto"/>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 xml:space="preserve">Akinbami, A., Uche, E., Dosunmu, A., Adeyemi, O., Olatunji, T., Akinbami, O., Onwah, L., Olaiya, M., Durowoju, E., &amp; Dada, A. (2025). Adult and Adolescent Haemato-oncology Cases at Lagos State University Teaching Hospital, Ikeja: A Ten-Year Review. Annals of Tropical Pathology, 16(1), 48-53. </w:t>
      </w:r>
      <w:r>
        <w:fldChar w:fldCharType="begin"/>
      </w:r>
      <w:r>
        <w:instrText xml:space="preserve"> HYPERLINK "https://doi.org/10.56279/atp.v16i1.10" </w:instrText>
      </w:r>
      <w:r>
        <w:fldChar w:fldCharType="separate"/>
      </w:r>
      <w:r>
        <w:rPr>
          <w:rStyle w:val="9"/>
          <w:rFonts w:ascii="Times New Roman" w:hAnsi="Times New Roman" w:cs="Times New Roman"/>
          <w:shd w:val="clear" w:color="auto" w:fill="FFFFFF"/>
        </w:rPr>
        <w:t>https://doi.org/10.56279/atp.v16i1.10</w:t>
      </w:r>
      <w:r>
        <w:rPr>
          <w:rStyle w:val="9"/>
          <w:rFonts w:ascii="Times New Roman" w:hAnsi="Times New Roman" w:cs="Times New Roman"/>
          <w:shd w:val="clear" w:color="auto" w:fill="FFFFFF"/>
        </w:rPr>
        <w:fldChar w:fldCharType="end"/>
      </w:r>
      <w:r>
        <w:rPr>
          <w:rFonts w:ascii="Times New Roman" w:hAnsi="Times New Roman" w:cs="Times New Roman"/>
          <w:color w:val="333333"/>
          <w:shd w:val="clear" w:color="auto" w:fill="FFFFFF"/>
        </w:rPr>
        <w:t xml:space="preserve"> </w:t>
      </w:r>
    </w:p>
    <w:p w14:paraId="19B43AE3">
      <w:pPr>
        <w:pStyle w:val="14"/>
        <w:spacing w:before="240" w:after="0" w:line="360" w:lineRule="auto"/>
        <w:rPr>
          <w:rFonts w:ascii="Times New Roman" w:hAnsi="Times New Roman" w:cs="Times New Roman"/>
          <w:color w:val="333333"/>
          <w:shd w:val="clear" w:color="auto" w:fill="FFFFFF"/>
        </w:rPr>
      </w:pPr>
    </w:p>
    <w:p w14:paraId="3243D33C">
      <w:pPr>
        <w:pStyle w:val="14"/>
        <w:numPr>
          <w:ilvl w:val="0"/>
          <w:numId w:val="1"/>
        </w:numPr>
        <w:spacing w:before="240" w:after="0" w:line="360" w:lineRule="auto"/>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 xml:space="preserve">Zhao, J., Xu, L., Sun, J., Song, M., Wang, L., Yuan, S., Zhu, Y., Wan, Z., Larsson, S., Tsilidis, K., Dunlop, M., Campbell, H., Rudan, I., Song, P., Theodoratou, E., Ding, K., &amp; Li, X. (2023). Global trends in incidence, death, burden and risk factors of early-onset cancer from 1990 to 2019. BMJ Oncology, 2(1), e000049. </w:t>
      </w:r>
      <w:r>
        <w:fldChar w:fldCharType="begin"/>
      </w:r>
      <w:r>
        <w:instrText xml:space="preserve"> HYPERLINK "https://doi.org/10.1136/bmjonc-2023-000049" </w:instrText>
      </w:r>
      <w:r>
        <w:fldChar w:fldCharType="separate"/>
      </w:r>
      <w:r>
        <w:rPr>
          <w:rStyle w:val="9"/>
          <w:rFonts w:ascii="Times New Roman" w:hAnsi="Times New Roman" w:cs="Times New Roman"/>
          <w:shd w:val="clear" w:color="auto" w:fill="FFFFFF"/>
        </w:rPr>
        <w:t>https://doi.org/10.1136/bmjonc-2023-000049</w:t>
      </w:r>
      <w:r>
        <w:rPr>
          <w:rStyle w:val="9"/>
          <w:rFonts w:ascii="Times New Roman" w:hAnsi="Times New Roman" w:cs="Times New Roman"/>
          <w:shd w:val="clear" w:color="auto" w:fill="FFFFFF"/>
        </w:rPr>
        <w:fldChar w:fldCharType="end"/>
      </w:r>
      <w:r>
        <w:rPr>
          <w:rFonts w:ascii="Times New Roman" w:hAnsi="Times New Roman" w:cs="Times New Roman"/>
          <w:color w:val="333333"/>
          <w:shd w:val="clear" w:color="auto" w:fill="FFFFFF"/>
        </w:rPr>
        <w:t xml:space="preserve"> .</w:t>
      </w:r>
    </w:p>
    <w:p w14:paraId="6F0B642F">
      <w:pPr>
        <w:pStyle w:val="14"/>
        <w:spacing w:line="360" w:lineRule="auto"/>
        <w:rPr>
          <w:rFonts w:ascii="Times New Roman" w:hAnsi="Times New Roman" w:cs="Times New Roman"/>
          <w:color w:val="333333"/>
          <w:shd w:val="clear" w:color="auto" w:fill="FFFFFF"/>
        </w:rPr>
      </w:pPr>
    </w:p>
    <w:p w14:paraId="230F528A">
      <w:pPr>
        <w:pStyle w:val="14"/>
        <w:spacing w:before="240" w:after="0" w:line="360" w:lineRule="auto"/>
        <w:rPr>
          <w:rFonts w:ascii="Times New Roman" w:hAnsi="Times New Roman" w:cs="Times New Roman"/>
          <w:color w:val="333333"/>
          <w:shd w:val="clear" w:color="auto" w:fill="FFFFFF"/>
        </w:rPr>
      </w:pPr>
    </w:p>
    <w:p w14:paraId="605E41FB">
      <w:pPr>
        <w:pStyle w:val="14"/>
        <w:numPr>
          <w:ilvl w:val="0"/>
          <w:numId w:val="1"/>
        </w:numPr>
        <w:spacing w:before="240" w:after="0" w:line="360" w:lineRule="auto"/>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 xml:space="preserve">Zarulli, V., Sopina, E., Toffolutti, V., &amp; Lenart, A. (2021). Health care system efficiency and life expectancy: A 140-country study. PLoS One. </w:t>
      </w:r>
      <w:r>
        <w:fldChar w:fldCharType="begin"/>
      </w:r>
      <w:r>
        <w:instrText xml:space="preserve"> HYPERLINK "https://doi.org/10.1371/journal.pone.0253450" </w:instrText>
      </w:r>
      <w:r>
        <w:fldChar w:fldCharType="separate"/>
      </w:r>
      <w:r>
        <w:rPr>
          <w:rStyle w:val="9"/>
          <w:rFonts w:ascii="Times New Roman" w:hAnsi="Times New Roman" w:cs="Times New Roman"/>
          <w:shd w:val="clear" w:color="auto" w:fill="FFFFFF"/>
        </w:rPr>
        <w:t>https://doi.org/10.1371/journal.pone.0253450</w:t>
      </w:r>
      <w:r>
        <w:rPr>
          <w:rStyle w:val="9"/>
          <w:rFonts w:ascii="Times New Roman" w:hAnsi="Times New Roman" w:cs="Times New Roman"/>
          <w:shd w:val="clear" w:color="auto" w:fill="FFFFFF"/>
        </w:rPr>
        <w:fldChar w:fldCharType="end"/>
      </w:r>
      <w:r>
        <w:rPr>
          <w:rFonts w:ascii="Times New Roman" w:hAnsi="Times New Roman" w:cs="Times New Roman"/>
          <w:color w:val="333333"/>
          <w:shd w:val="clear" w:color="auto" w:fill="FFFFFF"/>
        </w:rPr>
        <w:t xml:space="preserve"> .</w:t>
      </w:r>
    </w:p>
    <w:p w14:paraId="4013F436">
      <w:pPr>
        <w:pStyle w:val="14"/>
        <w:numPr>
          <w:ilvl w:val="0"/>
          <w:numId w:val="1"/>
        </w:numPr>
        <w:spacing w:before="240" w:after="0" w:line="360" w:lineRule="auto"/>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 xml:space="preserve">Dirisu, I. M., Okuonghae, E. M., &amp; Eguvbe, A. (2024). A Single Centre Study of the Prevalence of Haematological Malignancies in the South-South Region of Nigeria. Annals of Health Research, 10(4), 420-428. </w:t>
      </w:r>
      <w:r>
        <w:fldChar w:fldCharType="begin"/>
      </w:r>
      <w:r>
        <w:instrText xml:space="preserve"> HYPERLINK "https://doi.org/10.30442/ahr.1004-10-261" </w:instrText>
      </w:r>
      <w:r>
        <w:fldChar w:fldCharType="separate"/>
      </w:r>
      <w:r>
        <w:rPr>
          <w:rStyle w:val="9"/>
          <w:rFonts w:ascii="Times New Roman" w:hAnsi="Times New Roman" w:cs="Times New Roman"/>
          <w:shd w:val="clear" w:color="auto" w:fill="FFFFFF"/>
        </w:rPr>
        <w:t>https://doi.org/10.30442/ahr.1004-10-261</w:t>
      </w:r>
      <w:r>
        <w:rPr>
          <w:rStyle w:val="9"/>
          <w:rFonts w:ascii="Times New Roman" w:hAnsi="Times New Roman" w:cs="Times New Roman"/>
          <w:shd w:val="clear" w:color="auto" w:fill="FFFFFF"/>
        </w:rPr>
        <w:fldChar w:fldCharType="end"/>
      </w:r>
      <w:r>
        <w:rPr>
          <w:rFonts w:ascii="Times New Roman" w:hAnsi="Times New Roman" w:cs="Times New Roman"/>
          <w:color w:val="333333"/>
          <w:shd w:val="clear" w:color="auto" w:fill="FFFFFF"/>
        </w:rPr>
        <w:t xml:space="preserve"> </w:t>
      </w:r>
    </w:p>
    <w:p w14:paraId="588C96E1">
      <w:pPr>
        <w:pStyle w:val="14"/>
        <w:numPr>
          <w:ilvl w:val="0"/>
          <w:numId w:val="1"/>
        </w:numPr>
        <w:spacing w:before="240" w:after="0" w:line="360" w:lineRule="auto"/>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 xml:space="preserve">Zhang, N., Wu, J., Wang, Q., Liang, Y., Li, X., Chen, G., Ma, L., Liu, X., &amp; Zhou, F. (2023). Global burden of hematologic malignancies and evolution patterns over the past 30 years. Blood Cancer Journal, 13(1), 82. </w:t>
      </w:r>
      <w:r>
        <w:fldChar w:fldCharType="begin"/>
      </w:r>
      <w:r>
        <w:instrText xml:space="preserve"> HYPERLINK "https://doi.org/10.1038/s41408-023-00853-3" </w:instrText>
      </w:r>
      <w:r>
        <w:fldChar w:fldCharType="separate"/>
      </w:r>
      <w:r>
        <w:rPr>
          <w:rStyle w:val="9"/>
          <w:rFonts w:ascii="Times New Roman" w:hAnsi="Times New Roman" w:cs="Times New Roman"/>
          <w:shd w:val="clear" w:color="auto" w:fill="FFFFFF"/>
        </w:rPr>
        <w:t>https://doi.org/10.1038/s41408-023-00853-3</w:t>
      </w:r>
      <w:r>
        <w:rPr>
          <w:rStyle w:val="9"/>
          <w:rFonts w:ascii="Times New Roman" w:hAnsi="Times New Roman" w:cs="Times New Roman"/>
          <w:shd w:val="clear" w:color="auto" w:fill="FFFFFF"/>
        </w:rPr>
        <w:fldChar w:fldCharType="end"/>
      </w:r>
      <w:r>
        <w:rPr>
          <w:rFonts w:ascii="Times New Roman" w:hAnsi="Times New Roman" w:cs="Times New Roman"/>
          <w:color w:val="333333"/>
          <w:shd w:val="clear" w:color="auto" w:fill="FFFFFF"/>
        </w:rPr>
        <w:t xml:space="preserve"> .</w:t>
      </w:r>
    </w:p>
    <w:p w14:paraId="248518B8">
      <w:pPr>
        <w:pStyle w:val="14"/>
        <w:spacing w:line="360" w:lineRule="auto"/>
        <w:rPr>
          <w:rFonts w:ascii="Times New Roman" w:hAnsi="Times New Roman" w:cs="Times New Roman"/>
          <w:color w:val="333333"/>
          <w:shd w:val="clear" w:color="auto" w:fill="FFFFFF"/>
        </w:rPr>
      </w:pPr>
    </w:p>
    <w:p w14:paraId="211222A9">
      <w:pPr>
        <w:pStyle w:val="14"/>
        <w:spacing w:before="240" w:after="0" w:line="360" w:lineRule="auto"/>
        <w:rPr>
          <w:rFonts w:ascii="Times New Roman" w:hAnsi="Times New Roman" w:cs="Times New Roman"/>
          <w:color w:val="333333"/>
          <w:shd w:val="clear" w:color="auto" w:fill="FFFFFF"/>
        </w:rPr>
      </w:pPr>
    </w:p>
    <w:p w14:paraId="4FC882BD">
      <w:pPr>
        <w:pStyle w:val="14"/>
        <w:numPr>
          <w:ilvl w:val="0"/>
          <w:numId w:val="1"/>
        </w:numPr>
        <w:spacing w:before="240" w:after="0" w:line="360" w:lineRule="auto"/>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 xml:space="preserve">Paltiel, O., Ratnasingam, S., &amp; Lee, H. P. (2025). Are we ignoring sex differences in haematological malignancies? A call for improved reporting. British Journal of Haematology, 206(5), 1315-1329. </w:t>
      </w:r>
      <w:r>
        <w:fldChar w:fldCharType="begin"/>
      </w:r>
      <w:r>
        <w:instrText xml:space="preserve"> HYPERLINK "https://doi.org/10.1111/bjh.20044" </w:instrText>
      </w:r>
      <w:r>
        <w:fldChar w:fldCharType="separate"/>
      </w:r>
      <w:r>
        <w:rPr>
          <w:rStyle w:val="9"/>
          <w:rFonts w:ascii="Times New Roman" w:hAnsi="Times New Roman" w:cs="Times New Roman"/>
          <w:shd w:val="clear" w:color="auto" w:fill="FFFFFF"/>
        </w:rPr>
        <w:t>https://doi.org/10.1111/bjh.20044</w:t>
      </w:r>
      <w:r>
        <w:rPr>
          <w:rStyle w:val="9"/>
          <w:rFonts w:ascii="Times New Roman" w:hAnsi="Times New Roman" w:cs="Times New Roman"/>
          <w:shd w:val="clear" w:color="auto" w:fill="FFFFFF"/>
        </w:rPr>
        <w:fldChar w:fldCharType="end"/>
      </w:r>
      <w:r>
        <w:rPr>
          <w:rFonts w:ascii="Times New Roman" w:hAnsi="Times New Roman" w:cs="Times New Roman"/>
          <w:color w:val="333333"/>
          <w:shd w:val="clear" w:color="auto" w:fill="FFFFFF"/>
        </w:rPr>
        <w:t xml:space="preserve"> .</w:t>
      </w:r>
    </w:p>
    <w:p w14:paraId="5A4C623A">
      <w:pPr>
        <w:pStyle w:val="14"/>
        <w:spacing w:before="240" w:after="0" w:line="360" w:lineRule="auto"/>
        <w:rPr>
          <w:rFonts w:ascii="Times New Roman" w:hAnsi="Times New Roman" w:cs="Times New Roman"/>
          <w:color w:val="333333"/>
          <w:shd w:val="clear" w:color="auto" w:fill="FFFFFF"/>
        </w:rPr>
      </w:pPr>
    </w:p>
    <w:p w14:paraId="3F61358B">
      <w:pPr>
        <w:pStyle w:val="14"/>
        <w:numPr>
          <w:ilvl w:val="0"/>
          <w:numId w:val="1"/>
        </w:numPr>
        <w:spacing w:before="240" w:after="0" w:line="360" w:lineRule="auto"/>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 xml:space="preserve">Ansarian, M. A., Fatahichegeni, M., Ren, J., &amp; Wang, X. (2025). Sex and Gender in Myeloid and Lymphoblastic Leukemias and Multiple Myeloma: From Molecular Mechanisms to Clinical Outcomes. Current Oncology, 32(4), 204. </w:t>
      </w:r>
      <w:r>
        <w:fldChar w:fldCharType="begin"/>
      </w:r>
      <w:r>
        <w:instrText xml:space="preserve"> HYPERLINK "https://doi.org/10.3390/curroncol32040204" </w:instrText>
      </w:r>
      <w:r>
        <w:fldChar w:fldCharType="separate"/>
      </w:r>
      <w:r>
        <w:rPr>
          <w:rStyle w:val="9"/>
          <w:rFonts w:ascii="Times New Roman" w:hAnsi="Times New Roman" w:cs="Times New Roman"/>
          <w:shd w:val="clear" w:color="auto" w:fill="FFFFFF"/>
        </w:rPr>
        <w:t>https://doi.org/10.3390/curroncol32040204</w:t>
      </w:r>
      <w:r>
        <w:rPr>
          <w:rStyle w:val="9"/>
          <w:rFonts w:ascii="Times New Roman" w:hAnsi="Times New Roman" w:cs="Times New Roman"/>
          <w:shd w:val="clear" w:color="auto" w:fill="FFFFFF"/>
        </w:rPr>
        <w:fldChar w:fldCharType="end"/>
      </w:r>
      <w:r>
        <w:rPr>
          <w:rFonts w:ascii="Times New Roman" w:hAnsi="Times New Roman" w:cs="Times New Roman"/>
          <w:color w:val="333333"/>
          <w:shd w:val="clear" w:color="auto" w:fill="FFFFFF"/>
        </w:rPr>
        <w:t xml:space="preserve"> .</w:t>
      </w:r>
    </w:p>
    <w:p w14:paraId="0F4FF39C">
      <w:pPr>
        <w:pStyle w:val="14"/>
        <w:rPr>
          <w:rFonts w:ascii="Times New Roman" w:hAnsi="Times New Roman" w:cs="Times New Roman"/>
          <w:color w:val="333333"/>
          <w:shd w:val="clear" w:color="auto" w:fill="FFFFFF"/>
        </w:rPr>
      </w:pPr>
    </w:p>
    <w:p w14:paraId="0941608C">
      <w:pPr>
        <w:pStyle w:val="14"/>
        <w:numPr>
          <w:ilvl w:val="0"/>
          <w:numId w:val="1"/>
        </w:numPr>
        <w:spacing w:before="240" w:after="0" w:line="360" w:lineRule="auto"/>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 xml:space="preserve">Ugwu, N. I., &amp; Nwannadi, I. A. (2020). Haematological Malignancies in Nigeria: Challenges in Diagnosis and Management – A Systematic Review. J BioMed Res Clin Pract, 3, 283–292. </w:t>
      </w:r>
      <w:r>
        <w:fldChar w:fldCharType="begin"/>
      </w:r>
      <w:r>
        <w:instrText xml:space="preserve"> HYPERLINK "https://doi.org/10.46912/jbrcp.168" </w:instrText>
      </w:r>
      <w:r>
        <w:fldChar w:fldCharType="separate"/>
      </w:r>
      <w:r>
        <w:rPr>
          <w:rStyle w:val="9"/>
          <w:rFonts w:ascii="Times New Roman" w:hAnsi="Times New Roman" w:cs="Times New Roman"/>
          <w:shd w:val="clear" w:color="auto" w:fill="FFFFFF"/>
        </w:rPr>
        <w:t>https://doi.org/10.46912/jbrcp.168</w:t>
      </w:r>
      <w:r>
        <w:rPr>
          <w:rStyle w:val="9"/>
          <w:rFonts w:ascii="Times New Roman" w:hAnsi="Times New Roman" w:cs="Times New Roman"/>
          <w:shd w:val="clear" w:color="auto" w:fill="FFFFFF"/>
        </w:rPr>
        <w:fldChar w:fldCharType="end"/>
      </w:r>
      <w:r>
        <w:rPr>
          <w:rFonts w:ascii="Times New Roman" w:hAnsi="Times New Roman" w:cs="Times New Roman"/>
          <w:color w:val="333333"/>
          <w:shd w:val="clear" w:color="auto" w:fill="FFFFFF"/>
        </w:rPr>
        <w:t xml:space="preserve"> </w:t>
      </w:r>
    </w:p>
    <w:p w14:paraId="2C21892B">
      <w:pPr>
        <w:pStyle w:val="14"/>
        <w:numPr>
          <w:ilvl w:val="0"/>
          <w:numId w:val="1"/>
        </w:numPr>
        <w:spacing w:before="240" w:after="0" w:line="360" w:lineRule="auto"/>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 xml:space="preserve">Obu, S. I., Dibigbo–Ibeaji, N., Obu, G. O., &amp; Ilikannu, S. O. (2024). Diagnostic Challenges in Hematological Malignancies in Nigeria and their Impact on Treatment Outcome. International Blood Research &amp; Reviews, 15(4), 8-15. </w:t>
      </w:r>
      <w:r>
        <w:fldChar w:fldCharType="begin"/>
      </w:r>
      <w:r>
        <w:instrText xml:space="preserve"> HYPERLINK "https://doi.org/10.9734/ibrr/2024/v15i4345" </w:instrText>
      </w:r>
      <w:r>
        <w:fldChar w:fldCharType="separate"/>
      </w:r>
      <w:r>
        <w:rPr>
          <w:rStyle w:val="9"/>
          <w:rFonts w:ascii="Times New Roman" w:hAnsi="Times New Roman" w:cs="Times New Roman"/>
          <w:shd w:val="clear" w:color="auto" w:fill="FFFFFF"/>
        </w:rPr>
        <w:t>https://doi.org/10.9734/ibrr/2024/v15i4345</w:t>
      </w:r>
      <w:r>
        <w:rPr>
          <w:rStyle w:val="9"/>
          <w:rFonts w:ascii="Times New Roman" w:hAnsi="Times New Roman" w:cs="Times New Roman"/>
          <w:shd w:val="clear" w:color="auto" w:fill="FFFFFF"/>
        </w:rPr>
        <w:fldChar w:fldCharType="end"/>
      </w:r>
      <w:r>
        <w:rPr>
          <w:rFonts w:ascii="Times New Roman" w:hAnsi="Times New Roman" w:cs="Times New Roman"/>
          <w:color w:val="333333"/>
          <w:shd w:val="clear" w:color="auto" w:fill="FFFFFF"/>
        </w:rPr>
        <w:t xml:space="preserve"> .</w:t>
      </w:r>
    </w:p>
    <w:p w14:paraId="1D97F3D7">
      <w:pPr>
        <w:pStyle w:val="14"/>
        <w:spacing w:before="240" w:after="0" w:line="360" w:lineRule="auto"/>
        <w:ind w:left="900"/>
        <w:rPr>
          <w:rFonts w:ascii="Times New Roman" w:hAnsi="Times New Roman" w:cs="Times New Roman"/>
          <w:color w:val="333333"/>
          <w:shd w:val="clear" w:color="auto" w:fill="FFFFFF"/>
        </w:rPr>
      </w:pPr>
    </w:p>
    <w:p w14:paraId="697241F0">
      <w:pPr>
        <w:pStyle w:val="14"/>
        <w:rPr>
          <w:rFonts w:ascii="Times New Roman" w:hAnsi="Times New Roman" w:cs="Times New Roman"/>
          <w:color w:val="333333"/>
          <w:shd w:val="clear" w:color="auto" w:fill="FFFFFF"/>
        </w:rPr>
      </w:pPr>
    </w:p>
    <w:p w14:paraId="5F58954A">
      <w:pPr>
        <w:pStyle w:val="14"/>
        <w:numPr>
          <w:ilvl w:val="0"/>
          <w:numId w:val="1"/>
        </w:numPr>
        <w:spacing w:before="240" w:after="0" w:line="360" w:lineRule="auto"/>
        <w:rPr>
          <w:rFonts w:ascii="Times New Roman" w:hAnsi="Times New Roman" w:cs="Times New Roman"/>
          <w:color w:val="333333"/>
          <w:shd w:val="clear" w:color="auto" w:fill="FFFFFF"/>
        </w:rPr>
      </w:pPr>
      <w:r>
        <w:rPr>
          <w:rFonts w:ascii="Times New Roman" w:hAnsi="Times New Roman" w:cs="Times New Roman"/>
          <w:color w:val="1B1B1B"/>
          <w:shd w:val="clear" w:color="auto" w:fill="FFFFFF"/>
        </w:rPr>
        <w:t xml:space="preserve">Ogunniyi, T. J., Fatokun, B. S., Isah, K. O., Abdulbaki, A., Emiola, A. R., &amp; Batisani, K. (2025). Current Status of Cancer Diagnosis and Treatment in Nigeria. Health Science Reports. </w:t>
      </w:r>
      <w:r>
        <w:fldChar w:fldCharType="begin"/>
      </w:r>
      <w:r>
        <w:instrText xml:space="preserve"> HYPERLINK "https://doi.org/10.1002/hsr2.70877" </w:instrText>
      </w:r>
      <w:r>
        <w:fldChar w:fldCharType="separate"/>
      </w:r>
      <w:r>
        <w:rPr>
          <w:rStyle w:val="9"/>
          <w:rFonts w:ascii="Times New Roman" w:hAnsi="Times New Roman" w:cs="Times New Roman"/>
          <w:shd w:val="clear" w:color="auto" w:fill="FFFFFF"/>
        </w:rPr>
        <w:t>https://doi.org/10.1002/hsr2.70877</w:t>
      </w:r>
      <w:r>
        <w:rPr>
          <w:rStyle w:val="9"/>
          <w:rFonts w:ascii="Times New Roman" w:hAnsi="Times New Roman" w:cs="Times New Roman"/>
          <w:shd w:val="clear" w:color="auto" w:fill="FFFFFF"/>
        </w:rPr>
        <w:fldChar w:fldCharType="end"/>
      </w:r>
      <w:r>
        <w:rPr>
          <w:rFonts w:ascii="Times New Roman" w:hAnsi="Times New Roman" w:cs="Times New Roman"/>
          <w:color w:val="1B1B1B"/>
          <w:shd w:val="clear" w:color="auto" w:fill="FFFFFF"/>
        </w:rPr>
        <w:t xml:space="preserve"> .</w:t>
      </w:r>
    </w:p>
    <w:p w14:paraId="64641072">
      <w:pPr>
        <w:spacing w:before="240" w:after="0" w:line="360" w:lineRule="auto"/>
        <w:rPr>
          <w:rFonts w:ascii="Times New Roman" w:hAnsi="Times New Roman" w:cs="Times New Roman"/>
          <w:color w:val="333333"/>
          <w:shd w:val="clear" w:color="auto" w:fill="FFFFFF"/>
        </w:rPr>
      </w:pPr>
    </w:p>
    <w:p w14:paraId="6DD7DA13">
      <w:pPr>
        <w:pStyle w:val="14"/>
        <w:spacing w:before="240" w:after="0" w:line="360" w:lineRule="auto"/>
        <w:rPr>
          <w:rFonts w:ascii="Times New Roman" w:hAnsi="Times New Roman" w:cs="Times New Roman"/>
          <w:color w:val="333333"/>
          <w:shd w:val="clear" w:color="auto" w:fill="FFFFFF"/>
        </w:rPr>
      </w:pPr>
    </w:p>
    <w:p w14:paraId="0CD603FD">
      <w:pPr>
        <w:snapToGrid w:val="0"/>
        <w:spacing w:line="360" w:lineRule="auto"/>
        <w:textAlignment w:val="baseline"/>
        <w:rPr>
          <w:rFonts w:ascii="Times New Roman" w:hAnsi="Times New Roman" w:cs="Times New Roman"/>
          <w:b/>
          <w:bCs/>
        </w:rPr>
      </w:pPr>
    </w:p>
    <w:p w14:paraId="0963C8C5">
      <w:pPr>
        <w:spacing w:line="360" w:lineRule="auto"/>
        <w:rPr>
          <w:rFonts w:ascii="Times New Roman" w:hAnsi="Times New Roman" w:cs="Times New Roman"/>
        </w:rPr>
      </w:pPr>
    </w:p>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arya" w:date="2025-12-11T15:27:22Z" w:initials="m">
    <w:p w14:paraId="7C6A744C">
      <w:pPr>
        <w:pStyle w:val="6"/>
        <w:rPr>
          <w:rFonts w:hint="default"/>
          <w:lang w:val="en-GB"/>
        </w:rPr>
      </w:pPr>
      <w:r>
        <w:rPr>
          <w:rFonts w:hint="default"/>
          <w:lang w:val="en-GB"/>
        </w:rPr>
        <w:t>It will be nice to have a little background of each of the hospital and their location and how they serve as referral hospitals</w:t>
      </w:r>
    </w:p>
  </w:comment>
  <w:comment w:id="1" w:author="marya" w:date="2025-12-11T15:19:37Z" w:initials="m">
    <w:p w14:paraId="46BAC05B">
      <w:pPr>
        <w:pStyle w:val="6"/>
        <w:rPr>
          <w:rFonts w:hint="default"/>
          <w:lang w:val="en-GB"/>
        </w:rPr>
      </w:pPr>
      <w:r>
        <w:rPr>
          <w:rFonts w:hint="default"/>
          <w:lang w:val="en-GB"/>
        </w:rPr>
        <w:t>How were they retrieved? Are they electronic records or from folders? Were they confirmed cases of histological diagnosis or clinical? State the data variables that were retrieved.</w:t>
      </w:r>
    </w:p>
  </w:comment>
  <w:comment w:id="2" w:author="marya" w:date="2025-12-11T15:23:51Z" w:initials="m">
    <w:p w14:paraId="6AEFF031">
      <w:pPr>
        <w:pStyle w:val="6"/>
        <w:rPr>
          <w:rFonts w:hint="default"/>
          <w:lang w:val="en-GB"/>
        </w:rPr>
      </w:pPr>
      <w:r>
        <w:rPr>
          <w:rFonts w:hint="default"/>
          <w:lang w:val="en-GB"/>
        </w:rPr>
        <w:t>It will be nice to give a brief summary of the results in each table, figure and charts, highlighting the significant findings in words before the tables</w:t>
      </w:r>
    </w:p>
  </w:comment>
  <w:comment w:id="3" w:author="marya" w:date="2025-12-11T15:29:46Z" w:initials="m">
    <w:p w14:paraId="577B3F8D">
      <w:pPr>
        <w:pStyle w:val="6"/>
        <w:rPr>
          <w:rFonts w:hint="default"/>
          <w:lang w:val="en-GB"/>
        </w:rPr>
      </w:pPr>
      <w:r>
        <w:rPr>
          <w:rFonts w:hint="default"/>
          <w:lang w:val="en-GB"/>
        </w:rPr>
        <w:t>This should be in the methodology</w:t>
      </w:r>
    </w:p>
  </w:comment>
  <w:comment w:id="4" w:author="marya" w:date="2025-12-11T15:40:58Z" w:initials="m">
    <w:p w14:paraId="0BEC449B">
      <w:pPr>
        <w:pStyle w:val="6"/>
        <w:rPr>
          <w:rFonts w:hint="default"/>
          <w:lang w:val="en-GB"/>
        </w:rPr>
      </w:pPr>
      <w:r>
        <w:rPr>
          <w:rFonts w:hint="default"/>
          <w:lang w:val="en-GB"/>
        </w:rPr>
        <w:t>This contradicts your earlier statement in the lit. Review when you said river state produces oil which is a risk factor.You sounded as if you were expecting a higher prevalence, can you give a plausible explanation for this low prevalence?</w:t>
      </w:r>
    </w:p>
    <w:p w14:paraId="5B8D569F">
      <w:pPr>
        <w:pStyle w:val="6"/>
      </w:pPr>
    </w:p>
  </w:comment>
  <w:comment w:id="5" w:author="marya" w:date="2025-12-11T15:42:48Z" w:initials="m">
    <w:p w14:paraId="4C224715">
      <w:pPr>
        <w:pStyle w:val="6"/>
        <w:rPr>
          <w:rFonts w:hint="default"/>
          <w:lang w:val="en-GB"/>
        </w:rPr>
      </w:pPr>
      <w:r>
        <w:rPr>
          <w:rFonts w:hint="default"/>
          <w:lang w:val="en-GB"/>
        </w:rPr>
        <w:t>Rephrase this statement, if adolescent were included is their mean age not suppose to be lower?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C6A744C" w15:done="0"/>
  <w15:commentEx w15:paraId="46BAC05B" w15:done="0"/>
  <w15:commentEx w15:paraId="6AEFF031" w15:done="0"/>
  <w15:commentEx w15:paraId="577B3F8D" w15:done="0"/>
  <w15:commentEx w15:paraId="5B8D569F" w15:done="0"/>
  <w15:commentEx w15:paraId="4C22471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rinda">
    <w:altName w:val="Segoe Print"/>
    <w:panose1 w:val="00000400000000000000"/>
    <w:charset w:val="00"/>
    <w:family w:val="swiss"/>
    <w:pitch w:val="default"/>
    <w:sig w:usb0="00000000" w:usb1="00000000" w:usb2="00000000" w:usb3="00000000" w:csb0="0000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403C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4C470">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C5ED2">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6FDAB">
    <w:pPr>
      <w:pStyle w:val="8"/>
    </w:pPr>
    <w:r>
      <w:pict>
        <v:shape id="PowerPlusWaterMarkObject714952392" o:spid="_x0000_s4098" o:spt="136" type="#_x0000_t136" style="position:absolute;left:0pt;height:104.65pt;width:555.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47C3E">
    <w:pPr>
      <w:pStyle w:val="8"/>
    </w:pPr>
    <w:r>
      <w:pict>
        <v:shape id="PowerPlusWaterMarkObject714952391" o:spid="_x0000_s4099" o:spt="136" type="#_x0000_t136" style="position:absolute;left:0pt;height:104.65pt;width:555.0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A3145">
    <w:pPr>
      <w:pStyle w:val="8"/>
    </w:pPr>
    <w:r>
      <w:pict>
        <v:shape id="PowerPlusWaterMarkObject714952390" o:spid="_x0000_s4097" o:spt="136" type="#_x0000_t136" style="position:absolute;left:0pt;height:104.65pt;width:555.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1E2D0D"/>
    <w:multiLevelType w:val="multilevel"/>
    <w:tmpl w:val="511E2D0D"/>
    <w:lvl w:ilvl="0" w:tentative="0">
      <w:start w:val="1"/>
      <w:numFmt w:val="decimal"/>
      <w:lvlText w:val="%1)"/>
      <w:lvlJc w:val="left"/>
      <w:pPr>
        <w:ind w:left="90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arya">
    <w15:presenceInfo w15:providerId="None" w15:userId="mar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3,4"/>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C08"/>
    <w:rsid w:val="00024BB2"/>
    <w:rsid w:val="0007609B"/>
    <w:rsid w:val="000A4A25"/>
    <w:rsid w:val="000C73E2"/>
    <w:rsid w:val="000E49C9"/>
    <w:rsid w:val="000F05FB"/>
    <w:rsid w:val="0010425E"/>
    <w:rsid w:val="00183E60"/>
    <w:rsid w:val="001874E1"/>
    <w:rsid w:val="001A5CC6"/>
    <w:rsid w:val="001C7E00"/>
    <w:rsid w:val="001D786A"/>
    <w:rsid w:val="00216688"/>
    <w:rsid w:val="00266109"/>
    <w:rsid w:val="002828A1"/>
    <w:rsid w:val="00287042"/>
    <w:rsid w:val="002909D3"/>
    <w:rsid w:val="002A3594"/>
    <w:rsid w:val="002A3A5A"/>
    <w:rsid w:val="002A3C08"/>
    <w:rsid w:val="00360E20"/>
    <w:rsid w:val="00425B3C"/>
    <w:rsid w:val="00465D24"/>
    <w:rsid w:val="00466A5F"/>
    <w:rsid w:val="004A7290"/>
    <w:rsid w:val="004D6B93"/>
    <w:rsid w:val="005258B1"/>
    <w:rsid w:val="0054548D"/>
    <w:rsid w:val="005567EB"/>
    <w:rsid w:val="00557D09"/>
    <w:rsid w:val="00564116"/>
    <w:rsid w:val="005653F1"/>
    <w:rsid w:val="00596A0B"/>
    <w:rsid w:val="005E5F9B"/>
    <w:rsid w:val="00602955"/>
    <w:rsid w:val="00606D9B"/>
    <w:rsid w:val="0061714B"/>
    <w:rsid w:val="006516B8"/>
    <w:rsid w:val="00663F10"/>
    <w:rsid w:val="00676C87"/>
    <w:rsid w:val="006C6DA6"/>
    <w:rsid w:val="006F35F0"/>
    <w:rsid w:val="006F5533"/>
    <w:rsid w:val="00753595"/>
    <w:rsid w:val="007928C3"/>
    <w:rsid w:val="00836EDC"/>
    <w:rsid w:val="00860B57"/>
    <w:rsid w:val="00897232"/>
    <w:rsid w:val="008B6E48"/>
    <w:rsid w:val="008C0BCE"/>
    <w:rsid w:val="00986DFF"/>
    <w:rsid w:val="009A6E2C"/>
    <w:rsid w:val="009D1BEA"/>
    <w:rsid w:val="00A25664"/>
    <w:rsid w:val="00A5448A"/>
    <w:rsid w:val="00A54653"/>
    <w:rsid w:val="00AA1C3D"/>
    <w:rsid w:val="00B73429"/>
    <w:rsid w:val="00BB7FB5"/>
    <w:rsid w:val="00BC0AE0"/>
    <w:rsid w:val="00BC6542"/>
    <w:rsid w:val="00C57495"/>
    <w:rsid w:val="00C7269F"/>
    <w:rsid w:val="00C84B56"/>
    <w:rsid w:val="00CA36AA"/>
    <w:rsid w:val="00CB795C"/>
    <w:rsid w:val="00CD2FDE"/>
    <w:rsid w:val="00CD623F"/>
    <w:rsid w:val="00CE3648"/>
    <w:rsid w:val="00CF173B"/>
    <w:rsid w:val="00CF4DB9"/>
    <w:rsid w:val="00CF7DA3"/>
    <w:rsid w:val="00D318AC"/>
    <w:rsid w:val="00D82D18"/>
    <w:rsid w:val="00DA5D67"/>
    <w:rsid w:val="00DA6148"/>
    <w:rsid w:val="00DC1384"/>
    <w:rsid w:val="00DE4C9B"/>
    <w:rsid w:val="00DE7816"/>
    <w:rsid w:val="00DF4D3C"/>
    <w:rsid w:val="00E0390C"/>
    <w:rsid w:val="00E03F94"/>
    <w:rsid w:val="00E147B8"/>
    <w:rsid w:val="00E1685A"/>
    <w:rsid w:val="00E2620D"/>
    <w:rsid w:val="00E35CBA"/>
    <w:rsid w:val="00E722B3"/>
    <w:rsid w:val="00E80DA4"/>
    <w:rsid w:val="00E869D0"/>
    <w:rsid w:val="00E87038"/>
    <w:rsid w:val="00E91C22"/>
    <w:rsid w:val="00E92F00"/>
    <w:rsid w:val="00EC0441"/>
    <w:rsid w:val="00F117EE"/>
    <w:rsid w:val="00F277BC"/>
    <w:rsid w:val="00F40312"/>
    <w:rsid w:val="00F4088B"/>
    <w:rsid w:val="00F70BCC"/>
    <w:rsid w:val="00F85A5C"/>
    <w:rsid w:val="00F87C92"/>
    <w:rsid w:val="00FD5B11"/>
    <w:rsid w:val="00FE01ED"/>
    <w:rsid w:val="00FE2B09"/>
    <w:rsid w:val="02881615"/>
    <w:rsid w:val="5FD469E8"/>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pPr>
      <w:spacing w:after="0" w:line="240" w:lineRule="auto"/>
    </w:pPr>
    <w:rPr>
      <w:rFonts w:ascii="Segoe UI" w:hAnsi="Segoe UI" w:cs="Segoe UI"/>
      <w:sz w:val="18"/>
      <w:szCs w:val="18"/>
    </w:rPr>
  </w:style>
  <w:style w:type="character" w:styleId="5">
    <w:name w:val="annotation reference"/>
    <w:basedOn w:val="2"/>
    <w:semiHidden/>
    <w:unhideWhenUsed/>
    <w:qFormat/>
    <w:uiPriority w:val="99"/>
    <w:rPr>
      <w:sz w:val="16"/>
      <w:szCs w:val="16"/>
    </w:rPr>
  </w:style>
  <w:style w:type="paragraph" w:styleId="6">
    <w:name w:val="annotation text"/>
    <w:basedOn w:val="1"/>
    <w:link w:val="12"/>
    <w:semiHidden/>
    <w:unhideWhenUsed/>
    <w:qFormat/>
    <w:uiPriority w:val="99"/>
    <w:pPr>
      <w:spacing w:line="240" w:lineRule="auto"/>
    </w:pPr>
    <w:rPr>
      <w:sz w:val="20"/>
      <w:szCs w:val="20"/>
    </w:rPr>
  </w:style>
  <w:style w:type="paragraph" w:styleId="7">
    <w:name w:val="footer"/>
    <w:basedOn w:val="1"/>
    <w:link w:val="17"/>
    <w:unhideWhenUsed/>
    <w:qFormat/>
    <w:uiPriority w:val="99"/>
    <w:pPr>
      <w:tabs>
        <w:tab w:val="center" w:pos="4680"/>
        <w:tab w:val="right" w:pos="9360"/>
      </w:tabs>
      <w:spacing w:after="0" w:line="240" w:lineRule="auto"/>
    </w:pPr>
  </w:style>
  <w:style w:type="paragraph" w:styleId="8">
    <w:name w:val="header"/>
    <w:basedOn w:val="1"/>
    <w:link w:val="16"/>
    <w:unhideWhenUsed/>
    <w:qFormat/>
    <w:uiPriority w:val="99"/>
    <w:pPr>
      <w:tabs>
        <w:tab w:val="center" w:pos="4680"/>
        <w:tab w:val="right" w:pos="9360"/>
      </w:tabs>
      <w:spacing w:after="0" w:line="240" w:lineRule="auto"/>
    </w:pPr>
  </w:style>
  <w:style w:type="character" w:styleId="9">
    <w:name w:val="Hyperlink"/>
    <w:basedOn w:val="2"/>
    <w:unhideWhenUsed/>
    <w:qFormat/>
    <w:uiPriority w:val="99"/>
    <w:rPr>
      <w:color w:val="0000FF"/>
      <w:u w:val="single"/>
    </w:rPr>
  </w:style>
  <w:style w:type="table" w:styleId="10">
    <w:name w:val="Table Grid"/>
    <w:basedOn w:val="3"/>
    <w:qFormat/>
    <w:uiPriority w:val="39"/>
    <w:pPr>
      <w:spacing w:after="0" w:line="240" w:lineRule="auto"/>
    </w:pPr>
    <w:rPr>
      <w:rFonts w:ascii="Times New Roman" w:hAnsi="Times New Roman"/>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No Spacing"/>
    <w:qFormat/>
    <w:uiPriority w:val="1"/>
    <w:pPr>
      <w:spacing w:after="0" w:line="240" w:lineRule="auto"/>
    </w:pPr>
    <w:rPr>
      <w:rFonts w:asciiTheme="minorHAnsi" w:hAnsiTheme="minorHAnsi" w:eastAsiaTheme="minorEastAsia" w:cstheme="minorBidi"/>
      <w:sz w:val="22"/>
      <w:szCs w:val="22"/>
      <w:lang w:val="en-GB" w:eastAsia="en-GB" w:bidi="ar-SA"/>
    </w:rPr>
  </w:style>
  <w:style w:type="character" w:customStyle="1" w:styleId="12">
    <w:name w:val="Comment Text Char"/>
    <w:basedOn w:val="2"/>
    <w:link w:val="6"/>
    <w:semiHidden/>
    <w:uiPriority w:val="99"/>
    <w:rPr>
      <w:sz w:val="20"/>
      <w:szCs w:val="20"/>
    </w:rPr>
  </w:style>
  <w:style w:type="character" w:customStyle="1" w:styleId="13">
    <w:name w:val="Balloon Text Char"/>
    <w:basedOn w:val="2"/>
    <w:link w:val="4"/>
    <w:semiHidden/>
    <w:qFormat/>
    <w:uiPriority w:val="99"/>
    <w:rPr>
      <w:rFonts w:ascii="Segoe UI" w:hAnsi="Segoe UI" w:cs="Segoe UI"/>
      <w:sz w:val="18"/>
      <w:szCs w:val="18"/>
    </w:rPr>
  </w:style>
  <w:style w:type="paragraph" w:styleId="14">
    <w:name w:val="List Paragraph"/>
    <w:basedOn w:val="1"/>
    <w:qFormat/>
    <w:uiPriority w:val="34"/>
    <w:pPr>
      <w:ind w:left="720"/>
      <w:contextualSpacing/>
    </w:pPr>
  </w:style>
  <w:style w:type="character" w:customStyle="1" w:styleId="15">
    <w:name w:val="Unresolved Mention"/>
    <w:basedOn w:val="2"/>
    <w:semiHidden/>
    <w:unhideWhenUsed/>
    <w:uiPriority w:val="99"/>
    <w:rPr>
      <w:color w:val="605E5C"/>
      <w:shd w:val="clear" w:color="auto" w:fill="E1DFDD"/>
    </w:rPr>
  </w:style>
  <w:style w:type="character" w:customStyle="1" w:styleId="16">
    <w:name w:val="Header Char"/>
    <w:basedOn w:val="2"/>
    <w:link w:val="8"/>
    <w:qFormat/>
    <w:uiPriority w:val="99"/>
  </w:style>
  <w:style w:type="character" w:customStyle="1" w:styleId="17">
    <w:name w:val="Footer Char"/>
    <w:basedOn w:val="2"/>
    <w:link w:val="7"/>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HP\Desktop\Dr%20Emmanuel%20Wobo\Excel%20chart%20hematologic%20malignancies.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HP\Desktop\Dr%20Emmanuel%20Wobo\Excel%20chart%20hematologic%20malignanci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lumMod val="75000"/>
              </a:schemeClr>
            </a:solidFill>
            <a:ln>
              <a:noFill/>
            </a:ln>
            <a:effectLst/>
          </c:spPr>
          <c:invertIfNegative val="0"/>
          <c:dLbls>
            <c:dLbl>
              <c:idx val="0"/>
              <c:layout/>
              <c:tx>
                <c:rich>
                  <a:bodyPr rot="0" spcFirstLastPara="1" vertOverflow="ellipsis" vert="horz" wrap="square" lIns="38100" tIns="19050" rIns="38100" bIns="19050" anchor="ctr" anchorCtr="1"/>
                  <a:lstStyle/>
                  <a:p>
                    <a:fld id="{22b46e39-ee87-479c-99f3-a62aaa11bf32}" type="VALUE">
                      <a:t>[VALUE]</a:t>
                    </a:fld>
                    <a:endParaRPr lang="en-US" b="0" i="0" u="none" strike="noStrike" baseline="0">
                      <a:latin typeface="Times New Roman" panose="02020603050405020304" charset="0"/>
                      <a:ea typeface="Times New Roman" panose="02020603050405020304" charset="0"/>
                      <a:cs typeface="+mn-ea"/>
                    </a:endParaRP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1"/>
                  <a:lstStyle/>
                  <a:p>
                    <a:fld id="{f8c3cf65-769e-4828-a9c4-a48a73d37903}" type="VALUE">
                      <a:t>[VALUE]</a:t>
                    </a:fld>
                    <a:endParaRPr lang="en-US" b="0" i="0" u="none" strike="noStrike" baseline="0">
                      <a:latin typeface="Times New Roman" panose="02020603050405020304" charset="0"/>
                      <a:ea typeface="Times New Roman" panose="02020603050405020304" charset="0"/>
                      <a:cs typeface="+mn-ea"/>
                    </a:endParaRPr>
                  </a:p>
                </c:rich>
              </c:tx>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0.00196290116792623"/>
                  <c:y val="-0.0472813238770686"/>
                </c:manualLayout>
              </c:layout>
              <c:tx>
                <c:rich>
                  <a:bodyPr rot="0" spcFirstLastPara="1" vertOverflow="ellipsis" vert="horz" wrap="square" lIns="38100" tIns="19050" rIns="38100" bIns="19050" anchor="ctr" anchorCtr="1"/>
                  <a:lstStyle/>
                  <a:p>
                    <a:fld id="{38839511-2c98-47fc-90eb-eced2e0b2773}" type="VALUE">
                      <a:t>[VALUE]</a:t>
                    </a:fld>
                    <a:endParaRPr lang="en-US" b="0" i="0" u="none" strike="noStrike" baseline="0">
                      <a:latin typeface="Times New Roman" panose="02020603050405020304" charset="0"/>
                      <a:ea typeface="Times New Roman" panose="02020603050405020304" charset="0"/>
                      <a:cs typeface="+mn-ea"/>
                    </a:endParaRP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tx>
                <c:rich>
                  <a:bodyPr rot="0" spcFirstLastPara="1" vertOverflow="ellipsis" vert="horz" wrap="square" lIns="38100" tIns="19050" rIns="38100" bIns="19050" anchor="ctr" anchorCtr="1"/>
                  <a:lstStyle/>
                  <a:p>
                    <a:fld id="{325c5d6d-21f3-4c26-aa5f-985fd97cd2d4}" type="VALUE">
                      <a:t>[VALUE]</a:t>
                    </a:fld>
                    <a:endParaRPr lang="en-US" b="0" i="0" u="none" strike="noStrike" baseline="0">
                      <a:latin typeface="Times New Roman" panose="02020603050405020304" charset="0"/>
                      <a:ea typeface="Times New Roman" panose="02020603050405020304" charset="0"/>
                      <a:cs typeface="+mn-ea"/>
                    </a:endParaRPr>
                  </a:p>
                </c:rich>
              </c:tx>
              <c:dLblPos val="outEnd"/>
              <c:showLegendKey val="0"/>
              <c:showVal val="1"/>
              <c:showCatName val="0"/>
              <c:showSerName val="0"/>
              <c:showPercent val="0"/>
              <c:showBubbleSize val="0"/>
              <c:extLst>
                <c:ext xmlns:c15="http://schemas.microsoft.com/office/drawing/2012/chart" uri="{CE6537A1-D6FC-4f65-9D91-7224C49458BB}"/>
              </c:extLst>
            </c:dLbl>
            <c:dLbl>
              <c:idx val="4"/>
              <c:layout/>
              <c:tx>
                <c:rich>
                  <a:bodyPr rot="0" spcFirstLastPara="1" vertOverflow="ellipsis" vert="horz" wrap="square" lIns="38100" tIns="19050" rIns="38100" bIns="19050" anchor="ctr" anchorCtr="1"/>
                  <a:lstStyle/>
                  <a:p>
                    <a:fld id="{d529a056-5278-48bd-93b1-9c0d9517586e}" type="VALUE">
                      <a:t>[VALUE]</a:t>
                    </a:fld>
                    <a:endParaRPr lang="en-US" b="0" i="0" u="none" strike="noStrike" baseline="0">
                      <a:latin typeface="Times New Roman" panose="02020603050405020304" charset="0"/>
                      <a:ea typeface="Times New Roman" panose="02020603050405020304" charset="0"/>
                      <a:cs typeface="+mn-ea"/>
                    </a:endParaRPr>
                  </a:p>
                </c:rich>
              </c:tx>
              <c:dLblPos val="outEnd"/>
              <c:showLegendKey val="0"/>
              <c:showVal val="1"/>
              <c:showCatName val="0"/>
              <c:showSerName val="0"/>
              <c:showPercent val="0"/>
              <c:showBubbleSize val="0"/>
              <c:extLst>
                <c:ext xmlns:c15="http://schemas.microsoft.com/office/drawing/2012/chart" uri="{CE6537A1-D6FC-4f65-9D91-7224C49458BB}"/>
              </c:extLst>
            </c:dLbl>
            <c:dLbl>
              <c:idx val="5"/>
              <c:layout/>
              <c:tx>
                <c:rich>
                  <a:bodyPr rot="0" spcFirstLastPara="1" vertOverflow="ellipsis" vert="horz" wrap="square" lIns="38100" tIns="19050" rIns="38100" bIns="19050" anchor="ctr" anchorCtr="1"/>
                  <a:lstStyle/>
                  <a:p>
                    <a:fld id="{c9f6262c-2a2d-411c-9da9-fe786208443b}" type="VALUE">
                      <a:t>[VALUE]</a:t>
                    </a:fld>
                    <a:endParaRPr lang="en-US" b="0" i="0" u="none" strike="noStrike" baseline="0">
                      <a:latin typeface="Times New Roman" panose="02020603050405020304" charset="0"/>
                      <a:ea typeface="Times New Roman" panose="02020603050405020304" charset="0"/>
                      <a:cs typeface="+mn-ea"/>
                    </a:endParaRPr>
                  </a:p>
                </c:rich>
              </c:tx>
              <c:dLblPos val="outEnd"/>
              <c:showLegendKey val="0"/>
              <c:showVal val="1"/>
              <c:showCatName val="0"/>
              <c:showSerName val="0"/>
              <c:showPercent val="0"/>
              <c:showBubbleSize val="0"/>
              <c:extLst>
                <c:ext xmlns:c15="http://schemas.microsoft.com/office/drawing/2012/chart" uri="{CE6537A1-D6FC-4f65-9D91-7224C49458BB}"/>
              </c:extLst>
            </c:dLbl>
            <c:dLbl>
              <c:idx val="6"/>
              <c:layout/>
              <c:tx>
                <c:rich>
                  <a:bodyPr rot="0" spcFirstLastPara="1" vertOverflow="ellipsis" vert="horz" wrap="square" lIns="38100" tIns="19050" rIns="38100" bIns="19050" anchor="ctr" anchorCtr="1"/>
                  <a:lstStyle/>
                  <a:p>
                    <a:pPr>
                      <a:defRPr lang="en-GB" sz="14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 2 (0.9%)</a:t>
                    </a:r>
                    <a:endParaRPr lang="en-US"/>
                  </a:p>
                </c:rich>
              </c:tx>
              <c:dLblPos val="outEnd"/>
              <c:showLegendKey val="0"/>
              <c:showVal val="1"/>
              <c:showCatName val="0"/>
              <c:showSerName val="0"/>
              <c:showPercent val="0"/>
              <c:showBubbleSize val="0"/>
              <c:extLst>
                <c:ext xmlns:c15="http://schemas.microsoft.com/office/drawing/2012/chart" uri="{CE6537A1-D6FC-4f65-9D91-7224C49458BB}"/>
              </c:extLst>
            </c:dLbl>
            <c:dLbl>
              <c:idx val="7"/>
              <c:layout/>
              <c:tx>
                <c:rich>
                  <a:bodyPr rot="0" spcFirstLastPara="1" vertOverflow="ellipsis" vert="horz" wrap="square" lIns="38100" tIns="19050" rIns="38100" bIns="19050" anchor="ctr" anchorCtr="1"/>
                  <a:lstStyle/>
                  <a:p>
                    <a:fld id="{5154d101-ca0b-4eaf-a6f6-81cca40a777e}" type="VALUE">
                      <a:t>[VALUE]</a:t>
                    </a:fld>
                    <a:endParaRPr lang="en-US" b="0" i="0" u="none" strike="noStrike" baseline="0">
                      <a:latin typeface="Times New Roman" panose="02020603050405020304" charset="0"/>
                      <a:ea typeface="Times New Roman" panose="02020603050405020304" charset="0"/>
                      <a:cs typeface="+mn-ea"/>
                    </a:endParaRPr>
                  </a:p>
                </c:rich>
              </c:tx>
              <c:dLblPos val="outEnd"/>
              <c:showLegendKey val="0"/>
              <c:showVal val="1"/>
              <c:showCatName val="0"/>
              <c:showSerName val="0"/>
              <c:showPercent val="0"/>
              <c:showBubbleSize val="0"/>
              <c:extLst>
                <c:ext xmlns:c15="http://schemas.microsoft.com/office/drawing/2012/chart" uri="{CE6537A1-D6FC-4f65-9D91-7224C49458BB}"/>
              </c:extLst>
            </c:dLbl>
            <c:dLbl>
              <c:idx val="8"/>
              <c:layout/>
              <c:tx>
                <c:rich>
                  <a:bodyPr rot="0" spcFirstLastPara="1" vertOverflow="ellipsis" vert="horz" wrap="square" lIns="38100" tIns="19050" rIns="38100" bIns="19050" anchor="ctr" anchorCtr="1"/>
                  <a:lstStyle/>
                  <a:p>
                    <a:fld id="{ad9d6cdd-1929-4054-917e-24ab9e6db7bc}" type="VALUE">
                      <a:t>[VALUE]</a:t>
                    </a:fld>
                    <a:endParaRPr lang="en-US" b="0" i="0" u="none" strike="noStrike" baseline="0">
                      <a:latin typeface="Times New Roman" panose="02020603050405020304" charset="0"/>
                      <a:ea typeface="Times New Roman" panose="02020603050405020304" charset="0"/>
                      <a:cs typeface="+mn-ea"/>
                    </a:endParaRPr>
                  </a:p>
                </c:rich>
              </c:tx>
              <c:dLblPos val="outEnd"/>
              <c:showLegendKey val="0"/>
              <c:showVal val="1"/>
              <c:showCatName val="0"/>
              <c:showSerName val="0"/>
              <c:showPercent val="0"/>
              <c:showBubbleSize val="0"/>
              <c:extLst>
                <c:ext xmlns:c15="http://schemas.microsoft.com/office/drawing/2012/chart" uri="{CE6537A1-D6FC-4f65-9D91-7224C49458BB}"/>
              </c:extLst>
            </c:dLbl>
            <c:dLbl>
              <c:idx val="9"/>
              <c:layout/>
              <c:tx>
                <c:rich>
                  <a:bodyPr rot="0" spcFirstLastPara="1" vertOverflow="ellipsis" vert="horz" wrap="square" lIns="38100" tIns="19050" rIns="38100" bIns="19050" anchor="ctr" anchorCtr="1"/>
                  <a:lstStyle/>
                  <a:p>
                    <a:fld id="{42986abf-7b7b-4510-9e35-83e0fa16f097}" type="VALUE">
                      <a:t>[VALUE]</a:t>
                    </a:fld>
                    <a:endParaRPr lang="en-US" b="0" i="0" u="none" strike="noStrike" baseline="0">
                      <a:latin typeface="Times New Roman" panose="02020603050405020304" charset="0"/>
                      <a:ea typeface="Times New Roman" panose="02020603050405020304" charset="0"/>
                      <a:cs typeface="+mn-ea"/>
                    </a:endParaRPr>
                  </a:p>
                </c:rich>
              </c:tx>
              <c:dLblPos val="outEnd"/>
              <c:showLegendKey val="0"/>
              <c:showVal val="1"/>
              <c:showCatName val="0"/>
              <c:showSerName val="0"/>
              <c:showPercent val="0"/>
              <c:showBubbleSize val="0"/>
              <c:extLst>
                <c:ext xmlns:c15="http://schemas.microsoft.com/office/drawing/2012/chart" uri="{CE6537A1-D6FC-4f65-9D91-7224C49458BB}"/>
              </c:extLst>
            </c:dLbl>
            <c:dLbl>
              <c:idx val="10"/>
              <c:layout/>
              <c:tx>
                <c:rich>
                  <a:bodyPr rot="0" spcFirstLastPara="1" vertOverflow="ellipsis" vert="horz" wrap="square" lIns="38100" tIns="19050" rIns="38100" bIns="19050" anchor="ctr" anchorCtr="1"/>
                  <a:lstStyle/>
                  <a:p>
                    <a:fld id="{27857847-f7c0-47ea-b744-f3e8efe294b2}" type="VALUE">
                      <a:t>[VALUE]</a:t>
                    </a:fld>
                    <a:endParaRPr lang="en-US" b="0" i="0" u="none" strike="noStrike" baseline="0">
                      <a:latin typeface="Times New Roman" panose="02020603050405020304" charset="0"/>
                      <a:ea typeface="Times New Roman" panose="02020603050405020304" charset="0"/>
                      <a:cs typeface="+mn-ea"/>
                    </a:endParaRP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en-GB" sz="1400" b="1"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Sheet1!$B$4:$B$14</c:f>
              <c:strCache>
                <c:ptCount val="11"/>
                <c:pt idx="0">
                  <c:v>ALL</c:v>
                </c:pt>
                <c:pt idx="1">
                  <c:v>AML</c:v>
                </c:pt>
                <c:pt idx="2">
                  <c:v>CLL</c:v>
                </c:pt>
                <c:pt idx="3">
                  <c:v>CML</c:v>
                </c:pt>
                <c:pt idx="4">
                  <c:v>ET</c:v>
                </c:pt>
                <c:pt idx="5">
                  <c:v>HL</c:v>
                </c:pt>
                <c:pt idx="6">
                  <c:v>MDS</c:v>
                </c:pt>
                <c:pt idx="7">
                  <c:v>MM</c:v>
                </c:pt>
                <c:pt idx="8">
                  <c:v>NHL</c:v>
                </c:pt>
                <c:pt idx="9">
                  <c:v>PMF</c:v>
                </c:pt>
                <c:pt idx="10">
                  <c:v>PRV</c:v>
                </c:pt>
              </c:strCache>
            </c:strRef>
          </c:cat>
          <c:val>
            <c:numRef>
              <c:f>Sheet1!$C$4:$C$14</c:f>
              <c:numCache>
                <c:formatCode>General</c:formatCode>
                <c:ptCount val="11"/>
                <c:pt idx="0">
                  <c:v>8</c:v>
                </c:pt>
                <c:pt idx="1">
                  <c:v>20</c:v>
                </c:pt>
                <c:pt idx="2">
                  <c:v>23</c:v>
                </c:pt>
                <c:pt idx="3">
                  <c:v>68</c:v>
                </c:pt>
                <c:pt idx="4">
                  <c:v>9</c:v>
                </c:pt>
                <c:pt idx="5">
                  <c:v>19</c:v>
                </c:pt>
                <c:pt idx="6">
                  <c:v>2</c:v>
                </c:pt>
                <c:pt idx="7">
                  <c:v>35</c:v>
                </c:pt>
                <c:pt idx="8">
                  <c:v>42</c:v>
                </c:pt>
                <c:pt idx="9">
                  <c:v>2</c:v>
                </c:pt>
                <c:pt idx="10">
                  <c:v>7</c:v>
                </c:pt>
              </c:numCache>
            </c:numRef>
          </c:val>
        </c:ser>
        <c:dLbls>
          <c:showLegendKey val="0"/>
          <c:showVal val="1"/>
          <c:showCatName val="0"/>
          <c:showSerName val="0"/>
          <c:showPercent val="0"/>
          <c:showBubbleSize val="0"/>
        </c:dLbls>
        <c:gapWidth val="219"/>
        <c:overlap val="-27"/>
        <c:axId val="185363824"/>
        <c:axId val="185364368"/>
      </c:barChart>
      <c:catAx>
        <c:axId val="185363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1400" b="1"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85364368"/>
        <c:crosses val="autoZero"/>
        <c:auto val="1"/>
        <c:lblAlgn val="ctr"/>
        <c:lblOffset val="100"/>
        <c:noMultiLvlLbl val="0"/>
      </c:catAx>
      <c:valAx>
        <c:axId val="185364368"/>
        <c:scaling>
          <c:orientation val="minMax"/>
        </c:scaling>
        <c:delete val="0"/>
        <c:axPos val="l"/>
        <c:title>
          <c:tx>
            <c:rich>
              <a:bodyPr rot="-5400000" spcFirstLastPara="1" vertOverflow="ellipsis" vert="horz" wrap="square" anchor="ctr" anchorCtr="1"/>
              <a:lstStyle/>
              <a:p>
                <a:pPr>
                  <a:defRPr lang="en-GB" sz="14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Frequency</a:t>
                </a:r>
                <a:endParaRPr lang="en-US"/>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1400" b="1"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85363824"/>
        <c:crosses val="autoZero"/>
        <c:crossBetween val="between"/>
      </c:valAx>
      <c:spPr>
        <a:noFill/>
        <a:ln>
          <a:noFill/>
        </a:ln>
        <a:effectLst/>
      </c:spPr>
    </c:plotArea>
    <c:plotVisOnly val="1"/>
    <c:dispBlanksAs val="gap"/>
    <c:showDLblsOverMax val="0"/>
    <c:extLst>
      <c:ext uri="{0b15fc19-7d7d-44ad-8c2d-2c3a37ce22c3}">
        <chartProps xmlns="https://web.wps.cn/et/2018/main" chartId="{5befb367-bc2a-4673-8b0e-8ee1242ea578}"/>
      </c:ext>
    </c:extLst>
  </c:chart>
  <c:spPr>
    <a:solidFill>
      <a:schemeClr val="bg1"/>
    </a:solidFill>
    <a:ln w="9525" cap="flat" cmpd="sng" algn="ctr">
      <a:solidFill>
        <a:srgbClr val="C00000"/>
      </a:solidFill>
      <a:round/>
    </a:ln>
    <a:effectLst/>
  </c:spPr>
  <c:txPr>
    <a:bodyPr/>
    <a:lstStyle/>
    <a:p>
      <a:pPr>
        <a:defRPr lang="en-GB" sz="1400" b="1">
          <a:solidFill>
            <a:sysClr val="windowText" lastClr="000000"/>
          </a:solidFill>
          <a:latin typeface="Times New Roman" panose="02020603050405020304" charset="0"/>
          <a:cs typeface="Times New Roman" panose="02020603050405020304"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14444199629685"/>
          <c:y val="0.0570289695096524"/>
          <c:w val="0.922022582228768"/>
          <c:h val="0.849824613044865"/>
        </c:manualLayout>
      </c:layout>
      <c:lineChart>
        <c:grouping val="standard"/>
        <c:varyColors val="0"/>
        <c:ser>
          <c:idx val="0"/>
          <c:order val="0"/>
          <c:spPr>
            <a:ln w="28575" cap="rnd">
              <a:solidFill>
                <a:srgbClr val="C00000"/>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lang="en-GB" sz="1200" b="1"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Sheet2!$E$3:$E$18</c:f>
              <c:numCache>
                <c:formatCode>General</c:formatCode>
                <c:ptCount val="16"/>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numCache>
            </c:numRef>
          </c:cat>
          <c:val>
            <c:numRef>
              <c:f>Sheet2!$F$3:$F$18</c:f>
              <c:numCache>
                <c:formatCode>General</c:formatCode>
                <c:ptCount val="16"/>
                <c:pt idx="0">
                  <c:v>4</c:v>
                </c:pt>
                <c:pt idx="1">
                  <c:v>13</c:v>
                </c:pt>
                <c:pt idx="2">
                  <c:v>11</c:v>
                </c:pt>
                <c:pt idx="3">
                  <c:v>12</c:v>
                </c:pt>
                <c:pt idx="4">
                  <c:v>6</c:v>
                </c:pt>
                <c:pt idx="5">
                  <c:v>4</c:v>
                </c:pt>
                <c:pt idx="6">
                  <c:v>5</c:v>
                </c:pt>
                <c:pt idx="7">
                  <c:v>7</c:v>
                </c:pt>
                <c:pt idx="8">
                  <c:v>10</c:v>
                </c:pt>
                <c:pt idx="9">
                  <c:v>13</c:v>
                </c:pt>
                <c:pt idx="10">
                  <c:v>23</c:v>
                </c:pt>
                <c:pt idx="11">
                  <c:v>34</c:v>
                </c:pt>
                <c:pt idx="12">
                  <c:v>25</c:v>
                </c:pt>
                <c:pt idx="13">
                  <c:v>19</c:v>
                </c:pt>
                <c:pt idx="14">
                  <c:v>15</c:v>
                </c:pt>
                <c:pt idx="15">
                  <c:v>34</c:v>
                </c:pt>
              </c:numCache>
            </c:numRef>
          </c:val>
          <c:smooth val="0"/>
        </c:ser>
        <c:dLbls>
          <c:showLegendKey val="0"/>
          <c:showVal val="1"/>
          <c:showCatName val="0"/>
          <c:showSerName val="0"/>
          <c:showPercent val="0"/>
          <c:showBubbleSize val="0"/>
        </c:dLbls>
        <c:marker val="1"/>
        <c:smooth val="0"/>
        <c:axId val="220162720"/>
        <c:axId val="220163264"/>
      </c:lineChart>
      <c:catAx>
        <c:axId val="220162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1200" b="1"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220163264"/>
        <c:crosses val="autoZero"/>
        <c:auto val="1"/>
        <c:lblAlgn val="ctr"/>
        <c:lblOffset val="100"/>
        <c:noMultiLvlLbl val="0"/>
      </c:catAx>
      <c:valAx>
        <c:axId val="22016326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1200" b="1"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220162720"/>
        <c:crosses val="autoZero"/>
        <c:crossBetween val="between"/>
      </c:valAx>
      <c:spPr>
        <a:noFill/>
        <a:ln>
          <a:noFill/>
        </a:ln>
        <a:effectLst/>
      </c:spPr>
    </c:plotArea>
    <c:plotVisOnly val="1"/>
    <c:dispBlanksAs val="gap"/>
    <c:showDLblsOverMax val="0"/>
    <c:extLst>
      <c:ext uri="{0b15fc19-7d7d-44ad-8c2d-2c3a37ce22c3}">
        <chartProps xmlns="https://web.wps.cn/et/2018/main" chartId="{1f4f970b-85a0-498d-a072-a8329acdb408}"/>
      </c:ext>
    </c:extLst>
  </c:chart>
  <c:spPr>
    <a:solidFill>
      <a:schemeClr val="bg1"/>
    </a:solidFill>
    <a:ln w="9525" cap="flat" cmpd="sng" algn="ctr">
      <a:solidFill>
        <a:srgbClr val="00B050"/>
      </a:solidFill>
      <a:round/>
    </a:ln>
    <a:effectLst/>
  </c:spPr>
  <c:txPr>
    <a:bodyPr/>
    <a:lstStyle/>
    <a:p>
      <a:pPr>
        <a:defRPr lang="en-GB" sz="1200" b="1">
          <a:solidFill>
            <a:sysClr val="windowText" lastClr="000000"/>
          </a:solidFill>
          <a:latin typeface="Times New Roman" panose="02020603050405020304" charset="0"/>
          <a:cs typeface="Times New Roman" panose="02020603050405020304"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3139</Words>
  <Characters>17895</Characters>
  <Lines>149</Lines>
  <Paragraphs>41</Paragraphs>
  <TotalTime>31</TotalTime>
  <ScaleCrop>false</ScaleCrop>
  <LinksUpToDate>false</LinksUpToDate>
  <CharactersWithSpaces>20993</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2025-12-10T14:51:00Z</dcterms:created>
  <dc:creator>HP</dc:creator>
  <cp:lastModifiedBy>marya</cp:lastModifiedBy>
  <dcterms:modified xsi:type="dcterms:W3CDTF">2025-12-12T09:23:18Z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2057-12.2.0.23155</vt:lpwstr>
  </property>
  <property fmtid="{D5CDD505-2E9C-101B-9397-08002B2CF9AE}" pid="3" name="ICV">
    <vt:lpwstr>3B9EC233963C436894D4E5AAC2A9374A_12</vt:lpwstr>
  </property>
</Properties>
</file>