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0F6C" w14:textId="77777777" w:rsidR="00AD6E7D" w:rsidRPr="00C1513C" w:rsidRDefault="00174D4E" w:rsidP="00174D4E">
      <w:pPr>
        <w:spacing w:line="360" w:lineRule="auto"/>
        <w:jc w:val="center"/>
        <w:rPr>
          <w:rFonts w:ascii="Arial Black" w:hAnsi="Arial Black" w:cs="Times New Roman"/>
          <w:b/>
          <w:sz w:val="36"/>
          <w:szCs w:val="36"/>
        </w:rPr>
      </w:pPr>
      <w:r w:rsidRPr="00C1513C">
        <w:rPr>
          <w:rFonts w:ascii="Arial Black" w:hAnsi="Arial Black" w:cs="Times New Roman"/>
          <w:b/>
          <w:sz w:val="36"/>
          <w:szCs w:val="36"/>
        </w:rPr>
        <w:t>Evaluating the Role of Foliar-Applied Micronutrients in Enhancing Quality of Broccoli</w:t>
      </w:r>
    </w:p>
    <w:p w14:paraId="5A9648C7" w14:textId="77777777" w:rsidR="00E8642B" w:rsidRDefault="00E8642B" w:rsidP="00174D4E">
      <w:pPr>
        <w:spacing w:before="240" w:after="0" w:line="360" w:lineRule="auto"/>
        <w:jc w:val="center"/>
        <w:rPr>
          <w:rFonts w:ascii="Arial Black" w:hAnsi="Arial Black" w:cs="Times New Roman"/>
          <w:b/>
        </w:rPr>
      </w:pPr>
    </w:p>
    <w:p w14:paraId="57BBE2E9" w14:textId="62C92B7D" w:rsidR="00174D4E" w:rsidRPr="00AA2C12" w:rsidRDefault="00174D4E" w:rsidP="00174D4E">
      <w:pPr>
        <w:spacing w:before="240" w:after="0" w:line="360" w:lineRule="auto"/>
        <w:jc w:val="center"/>
        <w:rPr>
          <w:rFonts w:ascii="Arial Black" w:hAnsi="Arial Black" w:cs="Times New Roman"/>
          <w:b/>
        </w:rPr>
      </w:pPr>
      <w:r w:rsidRPr="00AA2C12">
        <w:rPr>
          <w:rFonts w:ascii="Arial Black" w:hAnsi="Arial Black" w:cs="Times New Roman"/>
          <w:b/>
        </w:rPr>
        <w:t>Abstract</w:t>
      </w:r>
    </w:p>
    <w:p w14:paraId="326419B4" w14:textId="7E98F159" w:rsidR="0021254C" w:rsidRPr="00AA2C12" w:rsidRDefault="00174D4E" w:rsidP="0021254C">
      <w:pPr>
        <w:pStyle w:val="NormalWeb"/>
        <w:spacing w:before="0" w:beforeAutospacing="0" w:after="0" w:afterAutospacing="0" w:line="360" w:lineRule="auto"/>
        <w:jc w:val="both"/>
        <w:rPr>
          <w:rFonts w:ascii="Arial" w:hAnsi="Arial" w:cs="Arial"/>
          <w:sz w:val="20"/>
          <w:szCs w:val="20"/>
        </w:rPr>
      </w:pPr>
      <w:r>
        <w:tab/>
      </w:r>
      <w:r w:rsidR="0021254C" w:rsidRPr="00AA2C12">
        <w:rPr>
          <w:rFonts w:ascii="Arial" w:hAnsi="Arial" w:cs="Arial"/>
          <w:sz w:val="20"/>
          <w:szCs w:val="20"/>
        </w:rPr>
        <w:t xml:space="preserve">A field experiment was conducted during the rabi seasons of 2020–21 and 2021–22 at the Horticulture Research Farm, Department of Agriculture, </w:t>
      </w:r>
      <w:proofErr w:type="spellStart"/>
      <w:r w:rsidR="0021254C" w:rsidRPr="00AA2C12">
        <w:rPr>
          <w:rFonts w:ascii="Arial" w:hAnsi="Arial" w:cs="Arial"/>
          <w:sz w:val="20"/>
          <w:szCs w:val="20"/>
        </w:rPr>
        <w:t>Plantica</w:t>
      </w:r>
      <w:proofErr w:type="spellEnd"/>
      <w:r w:rsidR="0021254C" w:rsidRPr="00AA2C12">
        <w:rPr>
          <w:rFonts w:ascii="Arial" w:hAnsi="Arial" w:cs="Arial"/>
          <w:sz w:val="20"/>
          <w:szCs w:val="20"/>
        </w:rPr>
        <w:t xml:space="preserve"> </w:t>
      </w:r>
      <w:r w:rsidR="00860B53" w:rsidRPr="00AA2C12">
        <w:rPr>
          <w:rFonts w:ascii="Arial" w:hAnsi="Arial" w:cs="Arial"/>
          <w:sz w:val="20"/>
          <w:szCs w:val="20"/>
        </w:rPr>
        <w:t>Indian Academy of Rural Development (IARD)</w:t>
      </w:r>
      <w:r w:rsidR="0021254C" w:rsidRPr="00AA2C12">
        <w:rPr>
          <w:rFonts w:ascii="Arial" w:hAnsi="Arial" w:cs="Arial"/>
          <w:sz w:val="20"/>
          <w:szCs w:val="20"/>
        </w:rPr>
        <w:t>, Dehradun to evaluate the influence of foliar-applied micronutrients on the growth, yield and quality of broccoli (</w:t>
      </w:r>
      <w:r w:rsidR="0021254C" w:rsidRPr="00AA2C12">
        <w:rPr>
          <w:rStyle w:val="Emphasis"/>
          <w:rFonts w:ascii="Arial" w:hAnsi="Arial" w:cs="Arial"/>
          <w:sz w:val="20"/>
          <w:szCs w:val="20"/>
        </w:rPr>
        <w:t>Brassica oleracea</w:t>
      </w:r>
      <w:r w:rsidR="0021254C" w:rsidRPr="00AA2C12">
        <w:rPr>
          <w:rFonts w:ascii="Arial" w:hAnsi="Arial" w:cs="Arial"/>
          <w:sz w:val="20"/>
          <w:szCs w:val="20"/>
        </w:rPr>
        <w:t xml:space="preserve"> L. var. </w:t>
      </w:r>
      <w:r w:rsidR="0021254C" w:rsidRPr="00AA2C12">
        <w:rPr>
          <w:rStyle w:val="Emphasis"/>
          <w:rFonts w:ascii="Arial" w:hAnsi="Arial" w:cs="Arial"/>
          <w:sz w:val="20"/>
          <w:szCs w:val="20"/>
        </w:rPr>
        <w:t>italica</w:t>
      </w:r>
      <w:r w:rsidR="0021254C" w:rsidRPr="00AA2C12">
        <w:rPr>
          <w:rFonts w:ascii="Arial" w:hAnsi="Arial" w:cs="Arial"/>
          <w:sz w:val="20"/>
          <w:szCs w:val="20"/>
        </w:rPr>
        <w:t>). The experiment was laid out in a Randomized Complete Block Design with three replications and fourteen treatments including control. Quality parameters such as ascorbic acid, total soluble solids (TSS), crude protein and chlorophyll content were recorded and analysed statistically.</w:t>
      </w:r>
      <w:r w:rsidR="00ED008F" w:rsidRPr="00AA2C12">
        <w:rPr>
          <w:rFonts w:ascii="Arial" w:hAnsi="Arial" w:cs="Arial"/>
          <w:sz w:val="20"/>
          <w:szCs w:val="20"/>
        </w:rPr>
        <w:t xml:space="preserve"> </w:t>
      </w:r>
      <w:r w:rsidR="0021254C" w:rsidRPr="00AA2C12">
        <w:rPr>
          <w:rFonts w:ascii="Arial" w:hAnsi="Arial" w:cs="Arial"/>
          <w:sz w:val="20"/>
          <w:szCs w:val="20"/>
        </w:rPr>
        <w:t>The results revealed a significant effect of micronutrient sprays on all quality attributes. Treatment T</w:t>
      </w:r>
      <w:r w:rsidR="0021254C" w:rsidRPr="00AA2C12">
        <w:rPr>
          <w:rFonts w:ascii="Arial" w:hAnsi="Arial" w:cs="Arial"/>
          <w:sz w:val="20"/>
          <w:szCs w:val="20"/>
          <w:vertAlign w:val="subscript"/>
        </w:rPr>
        <w:t>10</w:t>
      </w:r>
      <w:r w:rsidR="0021254C" w:rsidRPr="00AA2C12">
        <w:rPr>
          <w:rFonts w:ascii="Arial" w:hAnsi="Arial" w:cs="Arial"/>
          <w:sz w:val="20"/>
          <w:szCs w:val="20"/>
        </w:rPr>
        <w:t xml:space="preserve"> recorded the highest ascorbic acid content (86.40 mg/100 g), followed by T</w:t>
      </w:r>
      <w:r w:rsidR="0021254C" w:rsidRPr="00AA2C12">
        <w:rPr>
          <w:rFonts w:ascii="Arial" w:hAnsi="Arial" w:cs="Arial"/>
          <w:sz w:val="20"/>
          <w:szCs w:val="20"/>
          <w:vertAlign w:val="subscript"/>
        </w:rPr>
        <w:t>7</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5</w:t>
      </w:r>
      <w:r w:rsidR="0021254C" w:rsidRPr="00AA2C12">
        <w:rPr>
          <w:rFonts w:ascii="Arial" w:hAnsi="Arial" w:cs="Arial"/>
          <w:sz w:val="20"/>
          <w:szCs w:val="20"/>
        </w:rPr>
        <w:t>, as compared to the control (80.00 mg/100 g). Maximum TSS (7.90%) was observed in T9, while treatments T</w:t>
      </w:r>
      <w:r w:rsidR="0021254C" w:rsidRPr="00AA2C12">
        <w:rPr>
          <w:rFonts w:ascii="Arial" w:hAnsi="Arial" w:cs="Arial"/>
          <w:sz w:val="20"/>
          <w:szCs w:val="20"/>
          <w:vertAlign w:val="subscript"/>
        </w:rPr>
        <w:t>4</w:t>
      </w:r>
      <w:r w:rsidR="0021254C" w:rsidRPr="00AA2C12">
        <w:rPr>
          <w:rFonts w:ascii="Arial" w:hAnsi="Arial" w:cs="Arial"/>
          <w:sz w:val="20"/>
          <w:szCs w:val="20"/>
        </w:rPr>
        <w:t>, T</w:t>
      </w:r>
      <w:r w:rsidR="0021254C" w:rsidRPr="00AA2C12">
        <w:rPr>
          <w:rFonts w:ascii="Arial" w:hAnsi="Arial" w:cs="Arial"/>
          <w:sz w:val="20"/>
          <w:szCs w:val="20"/>
          <w:vertAlign w:val="subscript"/>
        </w:rPr>
        <w:t>8</w:t>
      </w:r>
      <w:r w:rsidR="0021254C" w:rsidRPr="00AA2C12">
        <w:rPr>
          <w:rFonts w:ascii="Arial" w:hAnsi="Arial" w:cs="Arial"/>
          <w:sz w:val="20"/>
          <w:szCs w:val="20"/>
        </w:rPr>
        <w:t xml:space="preserve"> and T6 also showed considerable improvement over control (6.00%). Crude protein content was highest (2.79%) in T</w:t>
      </w:r>
      <w:r w:rsidR="0021254C" w:rsidRPr="00AA2C12">
        <w:rPr>
          <w:rFonts w:ascii="Arial" w:hAnsi="Arial" w:cs="Arial"/>
          <w:sz w:val="20"/>
          <w:szCs w:val="20"/>
          <w:vertAlign w:val="subscript"/>
        </w:rPr>
        <w:t>5</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8</w:t>
      </w:r>
      <w:r w:rsidR="0021254C" w:rsidRPr="00AA2C12">
        <w:rPr>
          <w:rFonts w:ascii="Arial" w:hAnsi="Arial" w:cs="Arial"/>
          <w:sz w:val="20"/>
          <w:szCs w:val="20"/>
        </w:rPr>
        <w:t>, followed closely by T</w:t>
      </w:r>
      <w:r w:rsidR="0021254C" w:rsidRPr="00AA2C12">
        <w:rPr>
          <w:rFonts w:ascii="Arial" w:hAnsi="Arial" w:cs="Arial"/>
          <w:sz w:val="20"/>
          <w:szCs w:val="20"/>
          <w:vertAlign w:val="subscript"/>
        </w:rPr>
        <w:t>7</w:t>
      </w:r>
      <w:r w:rsidR="0021254C" w:rsidRPr="00AA2C12">
        <w:rPr>
          <w:rFonts w:ascii="Arial" w:hAnsi="Arial" w:cs="Arial"/>
          <w:sz w:val="20"/>
          <w:szCs w:val="20"/>
        </w:rPr>
        <w:t xml:space="preserve"> (2.78%). Chlorophyll content was markedly improved in T</w:t>
      </w:r>
      <w:r w:rsidR="0021254C" w:rsidRPr="00AA2C12">
        <w:rPr>
          <w:rFonts w:ascii="Arial" w:hAnsi="Arial" w:cs="Arial"/>
          <w:sz w:val="20"/>
          <w:szCs w:val="20"/>
          <w:vertAlign w:val="subscript"/>
        </w:rPr>
        <w:t>11</w:t>
      </w:r>
      <w:r w:rsidR="0021254C" w:rsidRPr="00AA2C12">
        <w:rPr>
          <w:rFonts w:ascii="Arial" w:hAnsi="Arial" w:cs="Arial"/>
          <w:sz w:val="20"/>
          <w:szCs w:val="20"/>
        </w:rPr>
        <w:t xml:space="preserve"> (2.15 mg g</w:t>
      </w:r>
      <w:r w:rsidR="0021254C" w:rsidRPr="00AA2C12">
        <w:rPr>
          <w:rFonts w:ascii="Cambria Math" w:hAnsi="Cambria Math" w:cs="Cambria Math"/>
          <w:sz w:val="20"/>
          <w:szCs w:val="20"/>
        </w:rPr>
        <w:t>⁻</w:t>
      </w:r>
      <w:r w:rsidR="0021254C" w:rsidRPr="00AA2C12">
        <w:rPr>
          <w:rFonts w:ascii="Arial" w:hAnsi="Arial" w:cs="Arial"/>
          <w:sz w:val="20"/>
          <w:szCs w:val="20"/>
        </w:rPr>
        <w:t>¹), followed by T</w:t>
      </w:r>
      <w:r w:rsidR="0021254C" w:rsidRPr="00AA2C12">
        <w:rPr>
          <w:rFonts w:ascii="Arial" w:hAnsi="Arial" w:cs="Arial"/>
          <w:sz w:val="20"/>
          <w:szCs w:val="20"/>
          <w:vertAlign w:val="subscript"/>
        </w:rPr>
        <w:t>12</w:t>
      </w:r>
      <w:r w:rsidR="0021254C" w:rsidRPr="00AA2C12">
        <w:rPr>
          <w:rFonts w:ascii="Arial" w:hAnsi="Arial" w:cs="Arial"/>
          <w:sz w:val="20"/>
          <w:szCs w:val="20"/>
        </w:rPr>
        <w:t xml:space="preserve"> (2.14 mg g</w:t>
      </w:r>
      <w:r w:rsidR="0021254C" w:rsidRPr="00AA2C12">
        <w:rPr>
          <w:rFonts w:ascii="Cambria Math" w:hAnsi="Cambria Math" w:cs="Cambria Math"/>
          <w:sz w:val="20"/>
          <w:szCs w:val="20"/>
        </w:rPr>
        <w:t>⁻</w:t>
      </w:r>
      <w:r w:rsidR="0021254C" w:rsidRPr="00AA2C12">
        <w:rPr>
          <w:rFonts w:ascii="Arial" w:hAnsi="Arial" w:cs="Arial"/>
          <w:sz w:val="20"/>
          <w:szCs w:val="20"/>
        </w:rPr>
        <w:t>¹) and T</w:t>
      </w:r>
      <w:r w:rsidR="0021254C" w:rsidRPr="00AA2C12">
        <w:rPr>
          <w:rFonts w:ascii="Arial" w:hAnsi="Arial" w:cs="Arial"/>
          <w:sz w:val="20"/>
          <w:szCs w:val="20"/>
          <w:vertAlign w:val="subscript"/>
        </w:rPr>
        <w:t>9</w:t>
      </w:r>
      <w:r w:rsidR="0021254C" w:rsidRPr="00AA2C12">
        <w:rPr>
          <w:rFonts w:ascii="Arial" w:hAnsi="Arial" w:cs="Arial"/>
          <w:sz w:val="20"/>
          <w:szCs w:val="20"/>
        </w:rPr>
        <w:t xml:space="preserve"> (2.12 mg g</w:t>
      </w:r>
      <w:r w:rsidR="0021254C" w:rsidRPr="00AA2C12">
        <w:rPr>
          <w:rFonts w:ascii="Cambria Math" w:hAnsi="Cambria Math" w:cs="Cambria Math"/>
          <w:sz w:val="20"/>
          <w:szCs w:val="20"/>
        </w:rPr>
        <w:t>⁻</w:t>
      </w:r>
      <w:r w:rsidR="0021254C" w:rsidRPr="00AA2C12">
        <w:rPr>
          <w:rFonts w:ascii="Arial" w:hAnsi="Arial" w:cs="Arial"/>
          <w:sz w:val="20"/>
          <w:szCs w:val="20"/>
        </w:rPr>
        <w:t>¹), whereas the lowest was recorded in control (1.57 mg g</w:t>
      </w:r>
      <w:r w:rsidR="0021254C" w:rsidRPr="00AA2C12">
        <w:rPr>
          <w:rFonts w:ascii="Cambria Math" w:hAnsi="Cambria Math" w:cs="Cambria Math"/>
          <w:sz w:val="20"/>
          <w:szCs w:val="20"/>
        </w:rPr>
        <w:t>⁻</w:t>
      </w:r>
      <w:r w:rsidR="0021254C" w:rsidRPr="00AA2C12">
        <w:rPr>
          <w:rFonts w:ascii="Arial" w:hAnsi="Arial" w:cs="Arial"/>
          <w:sz w:val="20"/>
          <w:szCs w:val="20"/>
        </w:rPr>
        <w:t>¹).</w:t>
      </w:r>
      <w:r w:rsidR="003348ED" w:rsidRPr="00AA2C12">
        <w:rPr>
          <w:rFonts w:ascii="Arial" w:hAnsi="Arial" w:cs="Arial"/>
          <w:sz w:val="20"/>
          <w:szCs w:val="20"/>
        </w:rPr>
        <w:t xml:space="preserve"> </w:t>
      </w:r>
      <w:r w:rsidR="0021254C" w:rsidRPr="00AA2C12">
        <w:rPr>
          <w:rFonts w:ascii="Arial" w:hAnsi="Arial" w:cs="Arial"/>
          <w:sz w:val="20"/>
          <w:szCs w:val="20"/>
        </w:rPr>
        <w:t>The study concludes that foliar application of specific micronutrient combinations markedly enhances the nutritional and physiological quality of broccoli. Treatments such as T</w:t>
      </w:r>
      <w:r w:rsidR="0021254C" w:rsidRPr="00AA2C12">
        <w:rPr>
          <w:rFonts w:ascii="Arial" w:hAnsi="Arial" w:cs="Arial"/>
          <w:sz w:val="20"/>
          <w:szCs w:val="20"/>
          <w:vertAlign w:val="subscript"/>
        </w:rPr>
        <w:t>10</w:t>
      </w:r>
      <w:r w:rsidR="0021254C" w:rsidRPr="00AA2C12">
        <w:rPr>
          <w:rFonts w:ascii="Arial" w:hAnsi="Arial" w:cs="Arial"/>
          <w:sz w:val="20"/>
          <w:szCs w:val="20"/>
        </w:rPr>
        <w:t>, T</w:t>
      </w:r>
      <w:r w:rsidR="0021254C" w:rsidRPr="00AA2C12">
        <w:rPr>
          <w:rFonts w:ascii="Arial" w:hAnsi="Arial" w:cs="Arial"/>
          <w:sz w:val="20"/>
          <w:szCs w:val="20"/>
          <w:vertAlign w:val="subscript"/>
        </w:rPr>
        <w:t>9,</w:t>
      </w:r>
      <w:r w:rsidR="0021254C" w:rsidRPr="00AA2C12">
        <w:rPr>
          <w:rFonts w:ascii="Arial" w:hAnsi="Arial" w:cs="Arial"/>
          <w:sz w:val="20"/>
          <w:szCs w:val="20"/>
        </w:rPr>
        <w:t xml:space="preserve"> T</w:t>
      </w:r>
      <w:r w:rsidR="0021254C" w:rsidRPr="00AA2C12">
        <w:rPr>
          <w:rFonts w:ascii="Arial" w:hAnsi="Arial" w:cs="Arial"/>
          <w:sz w:val="20"/>
          <w:szCs w:val="20"/>
          <w:vertAlign w:val="subscript"/>
        </w:rPr>
        <w:t>5,</w:t>
      </w:r>
      <w:r w:rsidR="0021254C" w:rsidRPr="00AA2C12">
        <w:rPr>
          <w:rFonts w:ascii="Arial" w:hAnsi="Arial" w:cs="Arial"/>
          <w:sz w:val="20"/>
          <w:szCs w:val="20"/>
        </w:rPr>
        <w:t xml:space="preserve"> T</w:t>
      </w:r>
      <w:r w:rsidR="0021254C" w:rsidRPr="00AA2C12">
        <w:rPr>
          <w:rFonts w:ascii="Arial" w:hAnsi="Arial" w:cs="Arial"/>
          <w:sz w:val="20"/>
          <w:szCs w:val="20"/>
          <w:vertAlign w:val="subscript"/>
        </w:rPr>
        <w:t>8,</w:t>
      </w:r>
      <w:r w:rsidR="0021254C" w:rsidRPr="00AA2C12">
        <w:rPr>
          <w:rFonts w:ascii="Arial" w:hAnsi="Arial" w:cs="Arial"/>
          <w:sz w:val="20"/>
          <w:szCs w:val="20"/>
        </w:rPr>
        <w:t xml:space="preserve"> and T</w:t>
      </w:r>
      <w:r w:rsidR="0021254C" w:rsidRPr="00AA2C12">
        <w:rPr>
          <w:rFonts w:ascii="Arial" w:hAnsi="Arial" w:cs="Arial"/>
          <w:sz w:val="20"/>
          <w:szCs w:val="20"/>
          <w:vertAlign w:val="subscript"/>
        </w:rPr>
        <w:t>11</w:t>
      </w:r>
      <w:r w:rsidR="0021254C" w:rsidRPr="00AA2C12">
        <w:rPr>
          <w:rFonts w:ascii="Arial" w:hAnsi="Arial" w:cs="Arial"/>
          <w:sz w:val="20"/>
          <w:szCs w:val="20"/>
        </w:rPr>
        <w:t xml:space="preserve"> proved most effective and may be recommended for improving broccoli quality under similar agro-climatic conditions of the western Himalayan foothills.</w:t>
      </w:r>
    </w:p>
    <w:p w14:paraId="453AC9E2" w14:textId="77777777" w:rsidR="00174D4E" w:rsidRPr="00AA2C12" w:rsidRDefault="00174D4E" w:rsidP="00590672">
      <w:pPr>
        <w:pStyle w:val="NormalWeb"/>
        <w:pBdr>
          <w:bottom w:val="single" w:sz="4" w:space="1" w:color="auto"/>
        </w:pBdr>
        <w:spacing w:before="240" w:beforeAutospacing="0" w:after="0" w:afterAutospacing="0" w:line="360" w:lineRule="auto"/>
        <w:jc w:val="both"/>
        <w:rPr>
          <w:rFonts w:ascii="Arial" w:hAnsi="Arial" w:cs="Arial"/>
          <w:sz w:val="22"/>
          <w:szCs w:val="22"/>
        </w:rPr>
      </w:pPr>
      <w:r w:rsidRPr="00AA2C12">
        <w:rPr>
          <w:rFonts w:ascii="Arial Black" w:hAnsi="Arial Black" w:cs="Arial"/>
          <w:b/>
          <w:bCs/>
          <w:sz w:val="22"/>
          <w:szCs w:val="22"/>
        </w:rPr>
        <w:t>Key words:</w:t>
      </w:r>
      <w:r w:rsidRPr="00AA2C12">
        <w:rPr>
          <w:rFonts w:ascii="Arial" w:hAnsi="Arial" w:cs="Arial"/>
          <w:sz w:val="22"/>
          <w:szCs w:val="22"/>
        </w:rPr>
        <w:t xml:space="preserve"> </w:t>
      </w:r>
      <w:r w:rsidRPr="00AA2C12">
        <w:rPr>
          <w:rFonts w:ascii="Arial" w:hAnsi="Arial" w:cs="Arial"/>
          <w:sz w:val="20"/>
          <w:szCs w:val="20"/>
        </w:rPr>
        <w:t>foliar sprays, micronutrient application, quantitative traits, growth, yield, broccoli.</w:t>
      </w:r>
    </w:p>
    <w:p w14:paraId="7B5FC57B" w14:textId="77777777" w:rsidR="0021254C" w:rsidRPr="00AA2C12" w:rsidRDefault="00812ECD" w:rsidP="00590672">
      <w:pPr>
        <w:pStyle w:val="NormalWeb"/>
        <w:spacing w:before="240" w:beforeAutospacing="0" w:after="0" w:afterAutospacing="0" w:line="360" w:lineRule="auto"/>
        <w:jc w:val="both"/>
        <w:rPr>
          <w:rFonts w:ascii="Arial Black" w:hAnsi="Arial Black"/>
          <w:b/>
          <w:sz w:val="22"/>
          <w:szCs w:val="22"/>
        </w:rPr>
      </w:pPr>
      <w:r w:rsidRPr="00AA2C12">
        <w:rPr>
          <w:rFonts w:ascii="Arial Black" w:hAnsi="Arial Black"/>
          <w:b/>
          <w:sz w:val="22"/>
          <w:szCs w:val="22"/>
        </w:rPr>
        <w:t xml:space="preserve">1. </w:t>
      </w:r>
      <w:r w:rsidR="0021254C" w:rsidRPr="00AA2C12">
        <w:rPr>
          <w:rFonts w:ascii="Arial Black" w:hAnsi="Arial Black"/>
          <w:b/>
          <w:sz w:val="22"/>
          <w:szCs w:val="22"/>
        </w:rPr>
        <w:t>Introduction</w:t>
      </w:r>
    </w:p>
    <w:p w14:paraId="2427EC7B" w14:textId="77777777" w:rsidR="007E7AD4" w:rsidRPr="00AA2C12" w:rsidRDefault="00812ECD" w:rsidP="007E7AD4">
      <w:pPr>
        <w:pStyle w:val="NormalWeb"/>
        <w:spacing w:before="0" w:beforeAutospacing="0" w:after="0" w:afterAutospacing="0" w:line="360" w:lineRule="auto"/>
        <w:jc w:val="both"/>
        <w:rPr>
          <w:rFonts w:ascii="Arial" w:hAnsi="Arial" w:cs="Arial"/>
          <w:sz w:val="20"/>
          <w:szCs w:val="20"/>
        </w:rPr>
      </w:pPr>
      <w:r>
        <w:tab/>
      </w:r>
      <w:r w:rsidR="007E7AD4" w:rsidRPr="00AA2C12">
        <w:rPr>
          <w:rFonts w:ascii="Arial" w:hAnsi="Arial" w:cs="Arial"/>
          <w:sz w:val="20"/>
          <w:szCs w:val="20"/>
        </w:rPr>
        <w:t>Broccoli (</w:t>
      </w:r>
      <w:r w:rsidR="007E7AD4" w:rsidRPr="00AA2C12">
        <w:rPr>
          <w:rStyle w:val="Emphasis"/>
          <w:rFonts w:ascii="Arial" w:hAnsi="Arial" w:cs="Arial"/>
          <w:sz w:val="20"/>
          <w:szCs w:val="20"/>
        </w:rPr>
        <w:t>Brassica oleracea</w:t>
      </w:r>
      <w:r w:rsidR="007E7AD4" w:rsidRPr="00AA2C12">
        <w:rPr>
          <w:rFonts w:ascii="Arial" w:hAnsi="Arial" w:cs="Arial"/>
          <w:sz w:val="20"/>
          <w:szCs w:val="20"/>
        </w:rPr>
        <w:t xml:space="preserve"> L. var. </w:t>
      </w:r>
      <w:r w:rsidR="007E7AD4" w:rsidRPr="00AA2C12">
        <w:rPr>
          <w:rStyle w:val="Emphasis"/>
          <w:rFonts w:ascii="Arial" w:hAnsi="Arial" w:cs="Arial"/>
          <w:sz w:val="20"/>
          <w:szCs w:val="20"/>
        </w:rPr>
        <w:t>italica</w:t>
      </w:r>
      <w:r w:rsidR="007E7AD4" w:rsidRPr="00AA2C12">
        <w:rPr>
          <w:rFonts w:ascii="Arial" w:hAnsi="Arial" w:cs="Arial"/>
          <w:sz w:val="20"/>
          <w:szCs w:val="20"/>
        </w:rPr>
        <w:t xml:space="preserve">, family Brassicaceae) is a cool-season vegetable crop cultivated worldwide for its immature green flower heads and tender stalks, which are valued as both a culinary delicacy and a functional food. The crop is characterized by a compact terminal inflorescence composed of densely arranged flower buds borne on a fleshy peduncle. Beyond its horticultural appeal, broccoli is increasingly recognized for its remarkable nutritional and phytochemical profile, positioning it as one of the most health-promoting vegetables among cole crops. Broccoli heads contain significant amounts of vitamins C, K, A, and B-complex, essential minerals such as calcium, potassium, iron, and magnesium, as well as phenolic acids, flavonoids, and glucosinolates (Vallejo et al., 2003; Domínguez-Perles et al., 2010). These bioactive constituents contribute to its antioxidant, anticarcinogenic, and </w:t>
      </w:r>
      <w:r w:rsidR="007E7AD4" w:rsidRPr="00AA2C12">
        <w:rPr>
          <w:rFonts w:ascii="Arial" w:hAnsi="Arial" w:cs="Arial"/>
          <w:sz w:val="20"/>
          <w:szCs w:val="20"/>
        </w:rPr>
        <w:lastRenderedPageBreak/>
        <w:t>cardioprotective potential, supporting its classification as a functional food in human diets (</w:t>
      </w:r>
      <w:proofErr w:type="spellStart"/>
      <w:r w:rsidR="007E7AD4" w:rsidRPr="00AA2C12">
        <w:rPr>
          <w:rFonts w:ascii="Arial" w:hAnsi="Arial" w:cs="Arial"/>
          <w:sz w:val="20"/>
          <w:szCs w:val="20"/>
        </w:rPr>
        <w:t>Dosz</w:t>
      </w:r>
      <w:proofErr w:type="spellEnd"/>
      <w:r w:rsidR="007E7AD4" w:rsidRPr="00AA2C12">
        <w:rPr>
          <w:rFonts w:ascii="Arial" w:hAnsi="Arial" w:cs="Arial"/>
          <w:sz w:val="20"/>
          <w:szCs w:val="20"/>
        </w:rPr>
        <w:t xml:space="preserve"> and Jeffery, 2020; </w:t>
      </w:r>
      <w:proofErr w:type="spellStart"/>
      <w:r w:rsidR="007E7AD4" w:rsidRPr="00AA2C12">
        <w:rPr>
          <w:rFonts w:ascii="Arial" w:hAnsi="Arial" w:cs="Arial"/>
          <w:sz w:val="20"/>
          <w:szCs w:val="20"/>
        </w:rPr>
        <w:t>Klopsch</w:t>
      </w:r>
      <w:proofErr w:type="spellEnd"/>
      <w:r w:rsidR="007E7AD4" w:rsidRPr="00AA2C12">
        <w:rPr>
          <w:rFonts w:ascii="Arial" w:hAnsi="Arial" w:cs="Arial"/>
          <w:sz w:val="20"/>
          <w:szCs w:val="20"/>
        </w:rPr>
        <w:t xml:space="preserve"> et al., 2022).</w:t>
      </w:r>
    </w:p>
    <w:p w14:paraId="2AA7FAA2"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Among the bioactive metabolites, glucosinolates—particularly glucoraphanin—are precursors of sulforaphane, a potent isothiocyanate with established anticancer and detoxifying properties (Pereira et al., 2020). Recent compositional studies have shown that broccoli accumulates high concentrations of ascorbic acid (80–130 mg 100 g</w:t>
      </w:r>
      <w:r w:rsidRPr="00AA2C12">
        <w:rPr>
          <w:rFonts w:ascii="Cambria Math" w:hAnsi="Cambria Math" w:cs="Cambria Math"/>
          <w:sz w:val="20"/>
          <w:szCs w:val="20"/>
        </w:rPr>
        <w:t>⁻</w:t>
      </w:r>
      <w:r w:rsidRPr="00AA2C12">
        <w:rPr>
          <w:rFonts w:ascii="Arial" w:hAnsi="Arial" w:cs="Arial"/>
          <w:sz w:val="20"/>
          <w:szCs w:val="20"/>
        </w:rPr>
        <w:t>¹ fresh weight), chlorophyll pigments, and phenolics that are essential for its sensory and nutritional quality (Hashem et al., 2021; Bhandari et al., 2023). However, the expression of these nutritional attributes is strongly influenced by environmental conditions and nutrient availability during growth.</w:t>
      </w:r>
    </w:p>
    <w:p w14:paraId="0946EB6D"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Micronutrients such as zinc (Zn), boron (B), iron (Fe), manganese (Mn), and molybdenum (Mo) are required in trace amounts but are indispensable for the regulation of enzymatic, metabolic, and redox processes in plants (Marschner, 2012). Deficiencies of these elements are widespread in intensively cultivated soils of subtropical regions due to low organic matter, soil alkalinity, and imbalanced fertilization practices (Singh et al., 2020). Micronutrient limitations can restrict photosynthesis, protein synthesis, and hormone metabolism, resulting in poor curd development and diminished nutritional quality in cole crops (Mishra et al., 2021).</w:t>
      </w:r>
    </w:p>
    <w:p w14:paraId="00C26E85"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 xml:space="preserve">Foliar application has proven to be an efficient and targeted strategy to correct micronutrient deficiencies and enhance crop performance. It ensures rapid absorption and utilization of nutrients by circumventing soil interactions, leaching, or fixation losses (Fernández and Brown, 2013). In vegetable production, foliar micronutrient sprays have been reported to improve growth, yield, and biochemical quality by stimulating photosynthetic pigments, carbohydrate metabolism, and antioxidant synthesis (Souri and </w:t>
      </w:r>
      <w:proofErr w:type="spellStart"/>
      <w:r w:rsidRPr="00AA2C12">
        <w:rPr>
          <w:rFonts w:ascii="Arial" w:hAnsi="Arial" w:cs="Arial"/>
          <w:sz w:val="20"/>
          <w:szCs w:val="20"/>
        </w:rPr>
        <w:t>Hatamian</w:t>
      </w:r>
      <w:proofErr w:type="spellEnd"/>
      <w:r w:rsidRPr="00AA2C12">
        <w:rPr>
          <w:rFonts w:ascii="Arial" w:hAnsi="Arial" w:cs="Arial"/>
          <w:sz w:val="20"/>
          <w:szCs w:val="20"/>
        </w:rPr>
        <w:t>, 2019). Several recent studies have confirmed that foliar application of Zn, B, Fe, and Mo significantly enhances head weight, vitamin C concentration, and chlorophyll content in broccoli and other Brassica vegetables under field and greenhouse conditions (Ali et al., 2021; Karthika et al., 2022; Al-</w:t>
      </w:r>
      <w:proofErr w:type="spellStart"/>
      <w:r w:rsidRPr="00AA2C12">
        <w:rPr>
          <w:rFonts w:ascii="Arial" w:hAnsi="Arial" w:cs="Arial"/>
          <w:sz w:val="20"/>
          <w:szCs w:val="20"/>
        </w:rPr>
        <w:t>Hasnawi</w:t>
      </w:r>
      <w:proofErr w:type="spellEnd"/>
      <w:r w:rsidRPr="00AA2C12">
        <w:rPr>
          <w:rFonts w:ascii="Arial" w:hAnsi="Arial" w:cs="Arial"/>
          <w:sz w:val="20"/>
          <w:szCs w:val="20"/>
        </w:rPr>
        <w:t xml:space="preserve"> et al., 2023; Singh and Kumari, 2024).</w:t>
      </w:r>
    </w:p>
    <w:p w14:paraId="3E16A774" w14:textId="77777777"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Broccoli quality attributes—particularly ascorbic acid, total soluble solids (TSS), crude protein, and chlorophyll concentration—serve as reliable biochemical indicators of physiological efficiency and nutritional value. Ascorbic acid is essential for antioxidative defense and postharvest stability; TSS reflects carbohydrate metabolism and flavor; crude protein content indicates nitrogen assimilation; and chlorophyll concentration is directly linked to photosynthetic activity and plant vigor. Optimizing these parameters through balanced micronutrient nutrition remains a major research focus in sustainable horticulture.</w:t>
      </w:r>
    </w:p>
    <w:p w14:paraId="0622DD65" w14:textId="61273633" w:rsidR="007E7AD4" w:rsidRPr="00AA2C12" w:rsidRDefault="007E7AD4"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t xml:space="preserve">Considering the economic and nutritional importance of broccoli and the critical role of micronutrients in enhancing plant metabolism and quality, a field experiment was undertaken during the rabi seasons of 2020–21 and 2021–22 at the Horticulture Research Farm, Department of Agriculture, </w:t>
      </w:r>
      <w:proofErr w:type="spellStart"/>
      <w:r w:rsidRPr="00AA2C12">
        <w:rPr>
          <w:rFonts w:ascii="Arial" w:hAnsi="Arial" w:cs="Arial"/>
          <w:sz w:val="20"/>
          <w:szCs w:val="20"/>
        </w:rPr>
        <w:t>Plantica</w:t>
      </w:r>
      <w:proofErr w:type="spellEnd"/>
      <w:r w:rsidRPr="00AA2C12">
        <w:rPr>
          <w:rFonts w:ascii="Arial" w:hAnsi="Arial" w:cs="Arial"/>
          <w:sz w:val="20"/>
          <w:szCs w:val="20"/>
        </w:rPr>
        <w:t xml:space="preserve"> </w:t>
      </w:r>
      <w:r w:rsidR="00FC2EF3" w:rsidRPr="00AA2C12">
        <w:rPr>
          <w:rFonts w:ascii="Arial" w:hAnsi="Arial" w:cs="Arial"/>
          <w:sz w:val="20"/>
          <w:szCs w:val="20"/>
        </w:rPr>
        <w:t>Indian Academy of Rural Development (IARD)</w:t>
      </w:r>
      <w:r w:rsidR="00FC2EF3">
        <w:rPr>
          <w:rFonts w:ascii="Arial" w:hAnsi="Arial" w:cs="Arial"/>
          <w:sz w:val="20"/>
          <w:szCs w:val="20"/>
        </w:rPr>
        <w:t xml:space="preserve"> </w:t>
      </w:r>
      <w:r w:rsidRPr="00AA2C12">
        <w:rPr>
          <w:rFonts w:ascii="Arial" w:hAnsi="Arial" w:cs="Arial"/>
          <w:sz w:val="20"/>
          <w:szCs w:val="20"/>
        </w:rPr>
        <w:t xml:space="preserve">Dehradun, India. The investigation aimed to </w:t>
      </w:r>
      <w:r w:rsidRPr="00AA2C12">
        <w:rPr>
          <w:rFonts w:ascii="Arial" w:hAnsi="Arial" w:cs="Arial"/>
          <w:sz w:val="20"/>
          <w:szCs w:val="20"/>
        </w:rPr>
        <w:lastRenderedPageBreak/>
        <w:t xml:space="preserve">evaluate the influence of foliar-applied micronutrients on the growth, yield, and quality of broccoli under subtropical foot-hill conditions. </w:t>
      </w:r>
    </w:p>
    <w:p w14:paraId="029418E1" w14:textId="77777777" w:rsidR="007E7AD4" w:rsidRPr="00AA2C12" w:rsidRDefault="00590672" w:rsidP="007E7AD4">
      <w:pPr>
        <w:pStyle w:val="NormalWeb"/>
        <w:spacing w:before="0" w:beforeAutospacing="0" w:after="0" w:afterAutospacing="0" w:line="360" w:lineRule="auto"/>
        <w:jc w:val="both"/>
        <w:rPr>
          <w:rFonts w:ascii="Arial" w:hAnsi="Arial" w:cs="Arial"/>
          <w:sz w:val="20"/>
          <w:szCs w:val="20"/>
        </w:rPr>
      </w:pPr>
      <w:r w:rsidRPr="00AA2C12">
        <w:rPr>
          <w:rFonts w:ascii="Arial" w:hAnsi="Arial" w:cs="Arial"/>
          <w:sz w:val="20"/>
          <w:szCs w:val="20"/>
        </w:rPr>
        <w:tab/>
      </w:r>
      <w:r w:rsidR="007E7AD4" w:rsidRPr="00AA2C12">
        <w:rPr>
          <w:rFonts w:ascii="Arial" w:hAnsi="Arial" w:cs="Arial"/>
          <w:sz w:val="20"/>
          <w:szCs w:val="20"/>
        </w:rPr>
        <w:t>This study was undertaken to generate empirical evidence for the optimization of foliar micronutrient management strategies in broccoli. It addresses the need for integrated nutrient management practices that improve both productivity and nutritional composition while maintaining environmental and economic sustainability. The findings are expected to provide a scientific basis for enhancing the functional food value of broccoli (</w:t>
      </w:r>
      <w:r w:rsidR="007E7AD4" w:rsidRPr="00AA2C12">
        <w:rPr>
          <w:rStyle w:val="Emphasis"/>
          <w:rFonts w:ascii="Arial" w:hAnsi="Arial" w:cs="Arial"/>
          <w:sz w:val="20"/>
          <w:szCs w:val="20"/>
        </w:rPr>
        <w:t>Brassica oleracea</w:t>
      </w:r>
      <w:r w:rsidR="007E7AD4" w:rsidRPr="00AA2C12">
        <w:rPr>
          <w:rFonts w:ascii="Arial" w:hAnsi="Arial" w:cs="Arial"/>
          <w:sz w:val="20"/>
          <w:szCs w:val="20"/>
        </w:rPr>
        <w:t xml:space="preserve"> L. var. </w:t>
      </w:r>
      <w:r w:rsidR="007E7AD4" w:rsidRPr="00AA2C12">
        <w:rPr>
          <w:rStyle w:val="Emphasis"/>
          <w:rFonts w:ascii="Arial" w:hAnsi="Arial" w:cs="Arial"/>
          <w:sz w:val="20"/>
          <w:szCs w:val="20"/>
        </w:rPr>
        <w:t>italica</w:t>
      </w:r>
      <w:r w:rsidR="007E7AD4" w:rsidRPr="00AA2C12">
        <w:rPr>
          <w:rFonts w:ascii="Arial" w:hAnsi="Arial" w:cs="Arial"/>
          <w:sz w:val="20"/>
          <w:szCs w:val="20"/>
        </w:rPr>
        <w:t>) through effective micronutrient supplementation under field conditions.</w:t>
      </w:r>
    </w:p>
    <w:p w14:paraId="068B1129" w14:textId="77777777" w:rsidR="00812ECD" w:rsidRPr="00341886" w:rsidRDefault="00812ECD" w:rsidP="00590672">
      <w:pPr>
        <w:pStyle w:val="NormalWeb"/>
        <w:spacing w:before="240" w:beforeAutospacing="0" w:after="0" w:afterAutospacing="0" w:line="360" w:lineRule="auto"/>
        <w:jc w:val="both"/>
        <w:rPr>
          <w:rFonts w:ascii="Arial Black" w:hAnsi="Arial Black"/>
          <w:b/>
          <w:sz w:val="22"/>
          <w:szCs w:val="22"/>
        </w:rPr>
      </w:pPr>
      <w:r w:rsidRPr="00341886">
        <w:rPr>
          <w:rFonts w:ascii="Arial Black" w:hAnsi="Arial Black"/>
          <w:b/>
          <w:sz w:val="22"/>
          <w:szCs w:val="22"/>
        </w:rPr>
        <w:t xml:space="preserve">2. Material and Methods : </w:t>
      </w:r>
    </w:p>
    <w:p w14:paraId="201E05D3" w14:textId="77777777" w:rsidR="00812ECD" w:rsidRPr="00341886" w:rsidRDefault="00812ECD" w:rsidP="00812ECD">
      <w:pPr>
        <w:spacing w:after="0" w:line="360" w:lineRule="auto"/>
        <w:jc w:val="both"/>
        <w:outlineLvl w:val="2"/>
        <w:rPr>
          <w:rFonts w:ascii="Arial Black" w:eastAsia="Times New Roman" w:hAnsi="Arial Black" w:cs="Times New Roman"/>
          <w:b/>
          <w:bCs/>
        </w:rPr>
      </w:pPr>
      <w:r w:rsidRPr="00341886">
        <w:rPr>
          <w:rFonts w:ascii="Arial Black" w:eastAsia="Times New Roman" w:hAnsi="Arial Black" w:cs="Times New Roman"/>
          <w:b/>
          <w:bCs/>
        </w:rPr>
        <w:t xml:space="preserve">2.1 Experimental Site </w:t>
      </w:r>
    </w:p>
    <w:p w14:paraId="3AD23567" w14:textId="43C7F3BA" w:rsidR="00812ECD" w:rsidRPr="00B207B3" w:rsidRDefault="00812ECD"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Pr="00B207B3">
        <w:rPr>
          <w:rFonts w:ascii="Arial" w:eastAsia="Times New Roman" w:hAnsi="Arial" w:cs="Arial"/>
          <w:sz w:val="20"/>
          <w:szCs w:val="20"/>
        </w:rPr>
        <w:t xml:space="preserve">The experiment was conducted during the rabi seasons of 2020–21 and 2021–22 at the Horticulture Research Farm, Department of Agriculture, </w:t>
      </w:r>
      <w:proofErr w:type="spellStart"/>
      <w:r w:rsidRPr="00B207B3">
        <w:rPr>
          <w:rFonts w:ascii="Arial" w:eastAsia="Times New Roman" w:hAnsi="Arial" w:cs="Arial"/>
          <w:sz w:val="20"/>
          <w:szCs w:val="20"/>
        </w:rPr>
        <w:t>Plantica</w:t>
      </w:r>
      <w:proofErr w:type="spellEnd"/>
      <w:r w:rsidR="00341886" w:rsidRPr="00B207B3">
        <w:rPr>
          <w:rFonts w:ascii="Arial" w:eastAsia="Times New Roman" w:hAnsi="Arial" w:cs="Arial"/>
          <w:sz w:val="20"/>
          <w:szCs w:val="20"/>
        </w:rPr>
        <w:t>,</w:t>
      </w:r>
      <w:r w:rsidRPr="00B207B3">
        <w:rPr>
          <w:rFonts w:ascii="Arial" w:eastAsia="Times New Roman" w:hAnsi="Arial" w:cs="Arial"/>
          <w:sz w:val="20"/>
          <w:szCs w:val="20"/>
        </w:rPr>
        <w:t xml:space="preserve"> </w:t>
      </w:r>
      <w:r w:rsidR="00341886" w:rsidRPr="00B207B3">
        <w:rPr>
          <w:rFonts w:ascii="Arial" w:hAnsi="Arial" w:cs="Arial"/>
          <w:sz w:val="20"/>
          <w:szCs w:val="20"/>
        </w:rPr>
        <w:t>Indian Academy of Rural Development (IARD)</w:t>
      </w:r>
      <w:r w:rsidRPr="00B207B3">
        <w:rPr>
          <w:rFonts w:ascii="Arial" w:eastAsia="Times New Roman" w:hAnsi="Arial" w:cs="Arial"/>
          <w:sz w:val="20"/>
          <w:szCs w:val="20"/>
        </w:rPr>
        <w:t>, Dehradun, India. The site is characterized by a subtropical climate with sandy loam to sandy clay loam soils and an average annual rainfall of approximately 2050 mm. Standard meteorological data recorded during the crop period were used for interpretation of results.</w:t>
      </w:r>
    </w:p>
    <w:p w14:paraId="2D577F22" w14:textId="77777777" w:rsidR="0053523B" w:rsidRPr="00B207B3" w:rsidRDefault="00812ECD" w:rsidP="0053523B">
      <w:pPr>
        <w:spacing w:before="240" w:after="0" w:line="360" w:lineRule="auto"/>
        <w:jc w:val="both"/>
        <w:outlineLvl w:val="2"/>
        <w:rPr>
          <w:rFonts w:ascii="Arial" w:eastAsia="Times New Roman" w:hAnsi="Arial" w:cs="Arial"/>
          <w:b/>
          <w:bCs/>
          <w:sz w:val="20"/>
          <w:szCs w:val="20"/>
        </w:rPr>
      </w:pPr>
      <w:r w:rsidRPr="00B207B3">
        <w:rPr>
          <w:rFonts w:ascii="Arial Black" w:eastAsia="Times New Roman" w:hAnsi="Arial Black" w:cs="Times New Roman"/>
          <w:b/>
          <w:bCs/>
        </w:rPr>
        <w:t>2.2 Experimental Design and Treatments</w:t>
      </w:r>
      <w:r w:rsidR="0053523B" w:rsidRPr="00B207B3">
        <w:rPr>
          <w:rFonts w:ascii="Arial Black" w:eastAsia="Times New Roman" w:hAnsi="Arial Black" w:cs="Times New Roman"/>
          <w:b/>
          <w:bCs/>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r w:rsidR="0053523B">
        <w:rPr>
          <w:rFonts w:ascii="Times New Roman" w:eastAsia="Times New Roman" w:hAnsi="Times New Roman" w:cs="Times New Roman"/>
          <w:b/>
          <w:bCs/>
          <w:sz w:val="24"/>
          <w:szCs w:val="24"/>
        </w:rPr>
        <w:tab/>
      </w:r>
      <w:commentRangeStart w:id="0"/>
      <w:r w:rsidRPr="00B207B3">
        <w:rPr>
          <w:rFonts w:ascii="Arial" w:eastAsia="Times New Roman" w:hAnsi="Arial" w:cs="Arial"/>
          <w:sz w:val="20"/>
          <w:szCs w:val="20"/>
        </w:rPr>
        <w:t xml:space="preserve">The study was laid out in a Randomized Complete Block Design (RCBD) with fourteen treatments and three replications. </w:t>
      </w:r>
      <w:r w:rsidR="0053523B" w:rsidRPr="00B207B3">
        <w:rPr>
          <w:rFonts w:ascii="Arial" w:hAnsi="Arial" w:cs="Arial"/>
          <w:sz w:val="20"/>
          <w:szCs w:val="20"/>
        </w:rPr>
        <w:t>The experiment comprised fourteen foliar micronutrient treatments including a control. T</w:t>
      </w:r>
      <w:r w:rsidR="0053523B" w:rsidRPr="00B207B3">
        <w:rPr>
          <w:rFonts w:ascii="Arial" w:hAnsi="Arial" w:cs="Arial"/>
          <w:sz w:val="20"/>
          <w:szCs w:val="20"/>
          <w:vertAlign w:val="subscript"/>
        </w:rPr>
        <w:t>0</w:t>
      </w:r>
      <w:r w:rsidR="0053523B" w:rsidRPr="00B207B3">
        <w:rPr>
          <w:rFonts w:ascii="Arial" w:hAnsi="Arial" w:cs="Arial"/>
          <w:sz w:val="20"/>
          <w:szCs w:val="20"/>
        </w:rPr>
        <w:t xml:space="preserve"> served as untreated control without spray. Individual micronutrient applications included boric acid (T</w:t>
      </w:r>
      <w:r w:rsidR="0053523B" w:rsidRPr="00B207B3">
        <w:rPr>
          <w:rFonts w:ascii="Arial" w:hAnsi="Arial" w:cs="Arial"/>
          <w:sz w:val="20"/>
          <w:szCs w:val="20"/>
          <w:vertAlign w:val="subscript"/>
        </w:rPr>
        <w:t>1</w:t>
      </w:r>
      <w:r w:rsidR="0053523B" w:rsidRPr="00B207B3">
        <w:rPr>
          <w:rFonts w:ascii="Arial" w:hAnsi="Arial" w:cs="Arial"/>
          <w:sz w:val="20"/>
          <w:szCs w:val="20"/>
        </w:rPr>
        <w:t>), manganese sulphate (T</w:t>
      </w:r>
      <w:r w:rsidR="0053523B" w:rsidRPr="00B207B3">
        <w:rPr>
          <w:rFonts w:ascii="Arial" w:hAnsi="Arial" w:cs="Arial"/>
          <w:sz w:val="20"/>
          <w:szCs w:val="20"/>
          <w:vertAlign w:val="subscript"/>
        </w:rPr>
        <w:t>2</w:t>
      </w:r>
      <w:r w:rsidR="0053523B" w:rsidRPr="00B207B3">
        <w:rPr>
          <w:rFonts w:ascii="Arial" w:hAnsi="Arial" w:cs="Arial"/>
          <w:sz w:val="20"/>
          <w:szCs w:val="20"/>
        </w:rPr>
        <w:t>), zinc sulphate (T</w:t>
      </w:r>
      <w:r w:rsidR="0053523B" w:rsidRPr="00B207B3">
        <w:rPr>
          <w:rFonts w:ascii="Arial" w:hAnsi="Arial" w:cs="Arial"/>
          <w:sz w:val="20"/>
          <w:szCs w:val="20"/>
          <w:vertAlign w:val="subscript"/>
        </w:rPr>
        <w:t>3</w:t>
      </w:r>
      <w:r w:rsidR="0053523B" w:rsidRPr="00B207B3">
        <w:rPr>
          <w:rFonts w:ascii="Arial" w:hAnsi="Arial" w:cs="Arial"/>
          <w:sz w:val="20"/>
          <w:szCs w:val="20"/>
        </w:rPr>
        <w:t>), ammonium molybdate (T</w:t>
      </w:r>
      <w:r w:rsidR="0053523B" w:rsidRPr="00B207B3">
        <w:rPr>
          <w:rFonts w:ascii="Arial" w:hAnsi="Arial" w:cs="Arial"/>
          <w:sz w:val="20"/>
          <w:szCs w:val="20"/>
          <w:vertAlign w:val="subscript"/>
        </w:rPr>
        <w:t>4</w:t>
      </w:r>
      <w:r w:rsidR="0053523B" w:rsidRPr="00B207B3">
        <w:rPr>
          <w:rFonts w:ascii="Arial" w:hAnsi="Arial" w:cs="Arial"/>
          <w:sz w:val="20"/>
          <w:szCs w:val="20"/>
        </w:rPr>
        <w:t>), copper sulphate (T</w:t>
      </w:r>
      <w:r w:rsidR="0053523B" w:rsidRPr="00B207B3">
        <w:rPr>
          <w:rFonts w:ascii="Arial" w:hAnsi="Arial" w:cs="Arial"/>
          <w:sz w:val="20"/>
          <w:szCs w:val="20"/>
          <w:vertAlign w:val="subscript"/>
        </w:rPr>
        <w:t>5</w:t>
      </w:r>
      <w:r w:rsidR="0053523B" w:rsidRPr="00B207B3">
        <w:rPr>
          <w:rFonts w:ascii="Arial" w:hAnsi="Arial" w:cs="Arial"/>
          <w:sz w:val="20"/>
          <w:szCs w:val="20"/>
        </w:rPr>
        <w:t>) and ferrous sulphate (T</w:t>
      </w:r>
      <w:r w:rsidR="0053523B" w:rsidRPr="00B207B3">
        <w:rPr>
          <w:rFonts w:ascii="Arial" w:hAnsi="Arial" w:cs="Arial"/>
          <w:sz w:val="20"/>
          <w:szCs w:val="20"/>
          <w:vertAlign w:val="subscript"/>
        </w:rPr>
        <w:t>6</w:t>
      </w:r>
      <w:r w:rsidR="0053523B" w:rsidRPr="00B207B3">
        <w:rPr>
          <w:rFonts w:ascii="Arial" w:hAnsi="Arial" w:cs="Arial"/>
          <w:sz w:val="20"/>
          <w:szCs w:val="20"/>
        </w:rPr>
        <w:t>) each at 100 ppm. Binary combinations were prepared by adding boric acid @100 ppm with manganese sulphate (T</w:t>
      </w:r>
      <w:r w:rsidR="0053523B" w:rsidRPr="00B207B3">
        <w:rPr>
          <w:rFonts w:ascii="Arial" w:hAnsi="Arial" w:cs="Arial"/>
          <w:sz w:val="20"/>
          <w:szCs w:val="20"/>
          <w:vertAlign w:val="subscript"/>
        </w:rPr>
        <w:t>7</w:t>
      </w:r>
      <w:r w:rsidR="0053523B" w:rsidRPr="00B207B3">
        <w:rPr>
          <w:rFonts w:ascii="Arial" w:hAnsi="Arial" w:cs="Arial"/>
          <w:sz w:val="20"/>
          <w:szCs w:val="20"/>
        </w:rPr>
        <w:t>), zinc sulphate (T</w:t>
      </w:r>
      <w:r w:rsidR="0053523B" w:rsidRPr="00B207B3">
        <w:rPr>
          <w:rFonts w:ascii="Arial" w:hAnsi="Arial" w:cs="Arial"/>
          <w:sz w:val="20"/>
          <w:szCs w:val="20"/>
          <w:vertAlign w:val="subscript"/>
        </w:rPr>
        <w:t>8</w:t>
      </w:r>
      <w:r w:rsidR="0053523B" w:rsidRPr="00B207B3">
        <w:rPr>
          <w:rFonts w:ascii="Arial" w:hAnsi="Arial" w:cs="Arial"/>
          <w:sz w:val="20"/>
          <w:szCs w:val="20"/>
        </w:rPr>
        <w:t>), ammonium molybdate @50 ppm (T</w:t>
      </w:r>
      <w:r w:rsidR="0053523B" w:rsidRPr="00B207B3">
        <w:rPr>
          <w:rFonts w:ascii="Arial" w:hAnsi="Arial" w:cs="Arial"/>
          <w:sz w:val="20"/>
          <w:szCs w:val="20"/>
          <w:vertAlign w:val="subscript"/>
        </w:rPr>
        <w:t>9</w:t>
      </w:r>
      <w:r w:rsidR="0053523B" w:rsidRPr="00B207B3">
        <w:rPr>
          <w:rFonts w:ascii="Arial" w:hAnsi="Arial" w:cs="Arial"/>
          <w:sz w:val="20"/>
          <w:szCs w:val="20"/>
        </w:rPr>
        <w:t>), copper sulphate (T</w:t>
      </w:r>
      <w:r w:rsidR="0053523B" w:rsidRPr="00B207B3">
        <w:rPr>
          <w:rFonts w:ascii="Arial" w:hAnsi="Arial" w:cs="Arial"/>
          <w:sz w:val="20"/>
          <w:szCs w:val="20"/>
          <w:vertAlign w:val="subscript"/>
        </w:rPr>
        <w:t>10</w:t>
      </w:r>
      <w:r w:rsidR="0053523B" w:rsidRPr="00B207B3">
        <w:rPr>
          <w:rFonts w:ascii="Arial" w:hAnsi="Arial" w:cs="Arial"/>
          <w:sz w:val="20"/>
          <w:szCs w:val="20"/>
        </w:rPr>
        <w:t>) and ferrous sulphate (T</w:t>
      </w:r>
      <w:r w:rsidR="0053523B" w:rsidRPr="00B207B3">
        <w:rPr>
          <w:rFonts w:ascii="Arial" w:hAnsi="Arial" w:cs="Arial"/>
          <w:sz w:val="20"/>
          <w:szCs w:val="20"/>
          <w:vertAlign w:val="subscript"/>
        </w:rPr>
        <w:t>11</w:t>
      </w:r>
      <w:r w:rsidR="0053523B" w:rsidRPr="00B207B3">
        <w:rPr>
          <w:rFonts w:ascii="Arial" w:hAnsi="Arial" w:cs="Arial"/>
          <w:sz w:val="20"/>
          <w:szCs w:val="20"/>
        </w:rPr>
        <w:t>). A mixed formulation comprising all six micronutrient salt solutions used individually in T</w:t>
      </w:r>
      <w:r w:rsidR="0053523B" w:rsidRPr="00B207B3">
        <w:rPr>
          <w:rFonts w:ascii="Arial" w:hAnsi="Arial" w:cs="Arial"/>
          <w:sz w:val="20"/>
          <w:szCs w:val="20"/>
          <w:vertAlign w:val="subscript"/>
        </w:rPr>
        <w:t>1</w:t>
      </w:r>
      <w:r w:rsidR="0053523B" w:rsidRPr="00B207B3">
        <w:rPr>
          <w:rFonts w:ascii="Arial" w:hAnsi="Arial" w:cs="Arial"/>
          <w:sz w:val="20"/>
          <w:szCs w:val="20"/>
        </w:rPr>
        <w:t>–T</w:t>
      </w:r>
      <w:r w:rsidR="0053523B" w:rsidRPr="00B207B3">
        <w:rPr>
          <w:rFonts w:ascii="Arial" w:hAnsi="Arial" w:cs="Arial"/>
          <w:sz w:val="20"/>
          <w:szCs w:val="20"/>
          <w:vertAlign w:val="subscript"/>
        </w:rPr>
        <w:t>6</w:t>
      </w:r>
      <w:r w:rsidR="0053523B" w:rsidRPr="00B207B3">
        <w:rPr>
          <w:rFonts w:ascii="Arial" w:hAnsi="Arial" w:cs="Arial"/>
          <w:sz w:val="20"/>
          <w:szCs w:val="20"/>
        </w:rPr>
        <w:t xml:space="preserve"> was applied as T</w:t>
      </w:r>
      <w:r w:rsidR="0053523B" w:rsidRPr="00B207B3">
        <w:rPr>
          <w:rFonts w:ascii="Arial" w:hAnsi="Arial" w:cs="Arial"/>
          <w:sz w:val="20"/>
          <w:szCs w:val="20"/>
          <w:vertAlign w:val="subscript"/>
        </w:rPr>
        <w:t>12</w:t>
      </w:r>
      <w:r w:rsidR="0053523B" w:rsidRPr="00B207B3">
        <w:rPr>
          <w:rFonts w:ascii="Arial" w:hAnsi="Arial" w:cs="Arial"/>
          <w:sz w:val="20"/>
          <w:szCs w:val="20"/>
        </w:rPr>
        <w:t>. A commercial foliar micronutrient formulation ‘Multiplex’ @100 ppm constituted T</w:t>
      </w:r>
      <w:r w:rsidR="0053523B" w:rsidRPr="00B207B3">
        <w:rPr>
          <w:rFonts w:ascii="Arial" w:hAnsi="Arial" w:cs="Arial"/>
          <w:sz w:val="20"/>
          <w:szCs w:val="20"/>
          <w:vertAlign w:val="subscript"/>
        </w:rPr>
        <w:t>13</w:t>
      </w:r>
      <w:r w:rsidR="0053523B" w:rsidRPr="00B207B3">
        <w:rPr>
          <w:rFonts w:ascii="Arial" w:hAnsi="Arial" w:cs="Arial"/>
          <w:sz w:val="20"/>
          <w:szCs w:val="20"/>
        </w:rPr>
        <w:t>. All foliar applications were made at critical vegetative stages using distilled water as solvent, and solutions were sprayed uniformly to ensure complete coverage of the crop canopy.</w:t>
      </w:r>
      <w:commentRangeEnd w:id="0"/>
      <w:r w:rsidR="009948E1">
        <w:rPr>
          <w:rStyle w:val="CommentReference"/>
        </w:rPr>
        <w:commentReference w:id="0"/>
      </w:r>
    </w:p>
    <w:p w14:paraId="10B4FAE5" w14:textId="77777777" w:rsidR="00812ECD" w:rsidRPr="00B207B3" w:rsidRDefault="0053523B" w:rsidP="0053523B">
      <w:pPr>
        <w:spacing w:before="240" w:after="0" w:line="360" w:lineRule="auto"/>
        <w:jc w:val="both"/>
        <w:outlineLvl w:val="2"/>
        <w:rPr>
          <w:rFonts w:ascii="Arial Black" w:eastAsia="Times New Roman" w:hAnsi="Arial Black" w:cs="Times New Roman"/>
          <w:b/>
          <w:bCs/>
        </w:rPr>
      </w:pPr>
      <w:r w:rsidRPr="00B207B3">
        <w:rPr>
          <w:rFonts w:ascii="Arial Black" w:eastAsia="Times New Roman" w:hAnsi="Arial Black" w:cs="Times New Roman"/>
          <w:b/>
          <w:bCs/>
        </w:rPr>
        <w:t xml:space="preserve">2.3 </w:t>
      </w:r>
      <w:r w:rsidR="00812ECD" w:rsidRPr="00B207B3">
        <w:rPr>
          <w:rFonts w:ascii="Arial Black" w:eastAsia="Times New Roman" w:hAnsi="Arial Black" w:cs="Times New Roman"/>
          <w:b/>
          <w:bCs/>
        </w:rPr>
        <w:t>Crop Establishment and Management</w:t>
      </w:r>
    </w:p>
    <w:p w14:paraId="0A09D7DF" w14:textId="77777777" w:rsidR="00812ECD" w:rsidRPr="00B207B3" w:rsidRDefault="0053523B"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Broccoli seedlings (35 days old) were transplanted at a spacing of 45 × 45 cm on ridges prepared after uniform basal application of 15 t ha</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compost and 120:60:45 kg N:P:K ha</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All cultural, irrigation, weed and pest-management practices were carried out uniformly across treatments as per recommended agronomic standards for the region.</w:t>
      </w:r>
    </w:p>
    <w:p w14:paraId="36AB2DBA" w14:textId="77777777" w:rsidR="00812ECD" w:rsidRPr="00B207B3" w:rsidRDefault="0053523B" w:rsidP="0053523B">
      <w:pPr>
        <w:spacing w:before="240" w:after="0" w:line="360" w:lineRule="auto"/>
        <w:jc w:val="both"/>
        <w:outlineLvl w:val="2"/>
        <w:rPr>
          <w:rFonts w:ascii="Arial Black" w:eastAsia="Times New Roman" w:hAnsi="Arial Black" w:cs="Times New Roman"/>
          <w:b/>
          <w:bCs/>
        </w:rPr>
      </w:pPr>
      <w:r w:rsidRPr="00B207B3">
        <w:rPr>
          <w:rFonts w:ascii="Arial Black" w:eastAsia="Times New Roman" w:hAnsi="Arial Black" w:cs="Times New Roman"/>
          <w:b/>
          <w:bCs/>
        </w:rPr>
        <w:t xml:space="preserve">2.4 </w:t>
      </w:r>
      <w:r w:rsidR="00812ECD" w:rsidRPr="00B207B3">
        <w:rPr>
          <w:rFonts w:ascii="Arial Black" w:eastAsia="Times New Roman" w:hAnsi="Arial Black" w:cs="Times New Roman"/>
          <w:b/>
          <w:bCs/>
        </w:rPr>
        <w:t>Observations Recorded</w:t>
      </w:r>
    </w:p>
    <w:p w14:paraId="6005F662"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lastRenderedPageBreak/>
        <w:tab/>
      </w:r>
      <w:r w:rsidR="00812ECD" w:rsidRPr="00B207B3">
        <w:rPr>
          <w:rFonts w:ascii="Arial" w:eastAsia="Times New Roman" w:hAnsi="Arial" w:cs="Arial"/>
          <w:sz w:val="20"/>
          <w:szCs w:val="20"/>
        </w:rPr>
        <w:t xml:space="preserve">Five tagged plants per plot were used for recording observations on </w:t>
      </w:r>
      <w:r w:rsidRPr="00B207B3">
        <w:rPr>
          <w:rFonts w:ascii="Arial" w:eastAsia="Times New Roman" w:hAnsi="Arial" w:cs="Arial"/>
          <w:sz w:val="20"/>
          <w:szCs w:val="20"/>
        </w:rPr>
        <w:t>quality parameters</w:t>
      </w:r>
      <w:r w:rsidR="00812ECD" w:rsidRPr="00B207B3">
        <w:rPr>
          <w:rFonts w:ascii="Arial" w:eastAsia="Times New Roman" w:hAnsi="Arial" w:cs="Arial"/>
          <w:sz w:val="20"/>
          <w:szCs w:val="20"/>
        </w:rPr>
        <w:t xml:space="preserve"> </w:t>
      </w:r>
      <w:r w:rsidRPr="00B207B3">
        <w:rPr>
          <w:rFonts w:ascii="Arial" w:eastAsia="Times New Roman" w:hAnsi="Arial" w:cs="Arial"/>
          <w:sz w:val="20"/>
          <w:szCs w:val="20"/>
        </w:rPr>
        <w:t>and  Ascorbic acid, total soluble solids, crude protein content and chlorophyll content were observed.</w:t>
      </w:r>
    </w:p>
    <w:p w14:paraId="5FCA082F" w14:textId="77777777" w:rsidR="0053523B" w:rsidRPr="00B207B3" w:rsidRDefault="0053523B" w:rsidP="0053523B">
      <w:pPr>
        <w:spacing w:after="0" w:line="360" w:lineRule="auto"/>
        <w:jc w:val="both"/>
        <w:rPr>
          <w:rFonts w:ascii="Arial Black" w:eastAsia="Times New Roman" w:hAnsi="Arial Black" w:cs="Times New Roman"/>
        </w:rPr>
      </w:pPr>
      <w:r w:rsidRPr="00B207B3">
        <w:rPr>
          <w:rFonts w:ascii="Arial Black" w:eastAsia="Times New Roman" w:hAnsi="Arial Black" w:cs="Times New Roman"/>
          <w:b/>
        </w:rPr>
        <w:t>a) Estimation of Ascorbic acid:</w:t>
      </w:r>
      <w:r w:rsidRPr="00B207B3">
        <w:rPr>
          <w:rFonts w:ascii="Arial Black" w:eastAsia="Times New Roman" w:hAnsi="Arial Black" w:cs="Times New Roman"/>
        </w:rPr>
        <w:t xml:space="preserve">  </w:t>
      </w:r>
    </w:p>
    <w:p w14:paraId="64A8D335"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Ascorbic acid content (mg 100 g</w:t>
      </w:r>
      <w:r w:rsidR="00812ECD" w:rsidRPr="00B207B3">
        <w:rPr>
          <w:rFonts w:ascii="Cambria Math" w:eastAsia="Times New Roman" w:hAnsi="Cambria Math" w:cs="Cambria Math"/>
          <w:sz w:val="20"/>
          <w:szCs w:val="20"/>
        </w:rPr>
        <w:t>⁻</w:t>
      </w:r>
      <w:r w:rsidR="00812ECD" w:rsidRPr="00B207B3">
        <w:rPr>
          <w:rFonts w:ascii="Arial" w:eastAsia="Times New Roman" w:hAnsi="Arial" w:cs="Arial"/>
          <w:sz w:val="20"/>
          <w:szCs w:val="20"/>
        </w:rPr>
        <w:t>¹) was determined by dye titration using 2,6-dichloroph</w:t>
      </w:r>
      <w:r w:rsidRPr="00B207B3">
        <w:rPr>
          <w:rFonts w:ascii="Arial" w:eastAsia="Times New Roman" w:hAnsi="Arial" w:cs="Arial"/>
          <w:sz w:val="20"/>
          <w:szCs w:val="20"/>
        </w:rPr>
        <w:t>enol indophenol (AOAC, 1960).</w:t>
      </w:r>
    </w:p>
    <w:p w14:paraId="3BBB73D1" w14:textId="77777777" w:rsidR="0053523B" w:rsidRPr="0053523B" w:rsidRDefault="0053523B" w:rsidP="0053523B">
      <w:pPr>
        <w:spacing w:before="240" w:after="0" w:line="360" w:lineRule="auto"/>
        <w:jc w:val="both"/>
        <w:rPr>
          <w:rFonts w:ascii="Times New Roman" w:eastAsia="Times New Roman" w:hAnsi="Times New Roman" w:cs="Times New Roman"/>
          <w:b/>
          <w:sz w:val="24"/>
          <w:szCs w:val="24"/>
        </w:rPr>
      </w:pPr>
      <w:r w:rsidRPr="00B207B3">
        <w:rPr>
          <w:rFonts w:ascii="Arial Black" w:eastAsia="Times New Roman" w:hAnsi="Arial Black" w:cs="Times New Roman"/>
          <w:b/>
        </w:rPr>
        <w:t>b) Estimation of Total Soluble Solids</w:t>
      </w:r>
      <w:r w:rsidRPr="0053523B">
        <w:rPr>
          <w:rFonts w:ascii="Times New Roman" w:eastAsia="Times New Roman" w:hAnsi="Times New Roman" w:cs="Times New Roman"/>
          <w:b/>
          <w:sz w:val="24"/>
          <w:szCs w:val="24"/>
        </w:rPr>
        <w:t xml:space="preserve">: </w:t>
      </w:r>
    </w:p>
    <w:p w14:paraId="2156F16B" w14:textId="77777777" w:rsidR="0053523B" w:rsidRPr="00B207B3" w:rsidRDefault="0053523B" w:rsidP="0053523B">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Total soluble solids were measured with a digital refracto</w:t>
      </w:r>
      <w:r w:rsidRPr="00B207B3">
        <w:rPr>
          <w:rFonts w:ascii="Arial" w:eastAsia="Times New Roman" w:hAnsi="Arial" w:cs="Arial"/>
          <w:sz w:val="20"/>
          <w:szCs w:val="20"/>
        </w:rPr>
        <w:t>meter and expressed in °Brix.</w:t>
      </w:r>
    </w:p>
    <w:p w14:paraId="1F785D35" w14:textId="77777777" w:rsidR="0053523B" w:rsidRDefault="0053523B" w:rsidP="0053523B">
      <w:pPr>
        <w:spacing w:before="240" w:after="0" w:line="360" w:lineRule="auto"/>
        <w:jc w:val="both"/>
        <w:rPr>
          <w:rFonts w:ascii="Times New Roman" w:eastAsia="Times New Roman" w:hAnsi="Times New Roman" w:cs="Times New Roman"/>
          <w:sz w:val="24"/>
          <w:szCs w:val="24"/>
        </w:rPr>
      </w:pPr>
      <w:r w:rsidRPr="00B207B3">
        <w:rPr>
          <w:rFonts w:ascii="Arial Black" w:eastAsia="Times New Roman" w:hAnsi="Arial Black" w:cs="Times New Roman"/>
          <w:b/>
        </w:rPr>
        <w:t>c) Estimation of Crude protein content</w:t>
      </w:r>
      <w:r w:rsidRPr="00B207B3">
        <w:rPr>
          <w:rFonts w:ascii="Arial Black" w:eastAsia="Times New Roman" w:hAnsi="Arial Black" w:cs="Times New Roman"/>
        </w:rPr>
        <w:t xml:space="preserve"> : </w:t>
      </w:r>
      <w:r w:rsidRPr="00B207B3">
        <w:rPr>
          <w:rFonts w:ascii="Arial Black" w:eastAsia="Times New Roman" w:hAnsi="Arial Black" w:cs="Times New Roman"/>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Crude protein content was estimated from nitrogen concentration (colorimetric method) using a conversion factor of 6.25.</w:t>
      </w:r>
    </w:p>
    <w:p w14:paraId="679C6ABB" w14:textId="77777777" w:rsidR="0053523B" w:rsidRDefault="0053523B" w:rsidP="0053523B">
      <w:pPr>
        <w:spacing w:before="240" w:after="0" w:line="360" w:lineRule="auto"/>
        <w:jc w:val="both"/>
        <w:rPr>
          <w:rFonts w:ascii="Times New Roman" w:eastAsia="Times New Roman" w:hAnsi="Times New Roman" w:cs="Times New Roman"/>
          <w:sz w:val="24"/>
          <w:szCs w:val="24"/>
        </w:rPr>
      </w:pPr>
      <w:r w:rsidRPr="00B207B3">
        <w:rPr>
          <w:rFonts w:ascii="Arial" w:eastAsia="Times New Roman" w:hAnsi="Arial" w:cs="Arial"/>
          <w:b/>
        </w:rPr>
        <w:t>d)</w:t>
      </w:r>
      <w:r w:rsidRPr="00B207B3">
        <w:rPr>
          <w:rFonts w:ascii="Arial" w:eastAsia="Times New Roman" w:hAnsi="Arial" w:cs="Arial"/>
        </w:rPr>
        <w:t xml:space="preserve"> </w:t>
      </w:r>
      <w:r w:rsidRPr="00B207B3">
        <w:rPr>
          <w:rFonts w:ascii="Arial" w:eastAsia="Times New Roman" w:hAnsi="Arial" w:cs="Arial"/>
          <w:b/>
        </w:rPr>
        <w:t>Estimation of Chlorophyll Content: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Chlorophyll content was quantified spectrophotometrically following DMSO extraction using the formula of Arnon (1949).</w:t>
      </w:r>
    </w:p>
    <w:p w14:paraId="76B775C7" w14:textId="77777777" w:rsidR="00812ECD" w:rsidRPr="00B207B3" w:rsidRDefault="007E7AD4" w:rsidP="0053523B">
      <w:pPr>
        <w:spacing w:before="240" w:after="0" w:line="360" w:lineRule="auto"/>
        <w:jc w:val="both"/>
        <w:rPr>
          <w:rFonts w:ascii="Arial Black" w:eastAsia="Times New Roman" w:hAnsi="Arial Black" w:cs="Times New Roman"/>
        </w:rPr>
      </w:pPr>
      <w:r w:rsidRPr="00B207B3">
        <w:rPr>
          <w:rFonts w:ascii="Arial Black" w:eastAsia="Times New Roman" w:hAnsi="Arial Black" w:cs="Times New Roman"/>
          <w:b/>
          <w:bCs/>
        </w:rPr>
        <w:t xml:space="preserve">2.5 </w:t>
      </w:r>
      <w:r w:rsidR="00812ECD" w:rsidRPr="00B207B3">
        <w:rPr>
          <w:rFonts w:ascii="Arial Black" w:eastAsia="Times New Roman" w:hAnsi="Arial Black" w:cs="Times New Roman"/>
          <w:b/>
          <w:bCs/>
        </w:rPr>
        <w:t>Statistical Analysis</w:t>
      </w:r>
    </w:p>
    <w:p w14:paraId="772E3812" w14:textId="77777777" w:rsidR="00812ECD" w:rsidRPr="00B207B3" w:rsidRDefault="007E7AD4" w:rsidP="00812ECD">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00812ECD" w:rsidRPr="00B207B3">
        <w:rPr>
          <w:rFonts w:ascii="Arial" w:eastAsia="Times New Roman" w:hAnsi="Arial" w:cs="Arial"/>
          <w:sz w:val="20"/>
          <w:szCs w:val="20"/>
        </w:rPr>
        <w:t>Data from both seasons were subjected to analysis of variance (ANOVA) applicable to RCBD as described by Fisher (1950). Treatment means were compared using the critical difference (CD) at 5% and 1% levels where the F-test indicated significance.</w:t>
      </w:r>
    </w:p>
    <w:p w14:paraId="4329F038" w14:textId="77777777" w:rsidR="00590672" w:rsidRPr="00B207B3" w:rsidRDefault="00590672" w:rsidP="00590672">
      <w:pPr>
        <w:spacing w:before="240" w:after="0" w:line="360" w:lineRule="auto"/>
        <w:jc w:val="center"/>
        <w:rPr>
          <w:rFonts w:ascii="Arial Black" w:hAnsi="Arial Black"/>
          <w:b/>
        </w:rPr>
      </w:pPr>
      <w:r w:rsidRPr="00B207B3">
        <w:rPr>
          <w:rFonts w:ascii="Arial Black" w:hAnsi="Arial Black"/>
          <w:b/>
        </w:rPr>
        <w:t>Table 1  Analysis of variance for the effect of foliar spray of micronutrients at different quality traits in Broccoli.</w:t>
      </w:r>
    </w:p>
    <w:tbl>
      <w:tblPr>
        <w:tblW w:w="8757" w:type="dxa"/>
        <w:tblInd w:w="309" w:type="dxa"/>
        <w:tblLook w:val="04A0" w:firstRow="1" w:lastRow="0" w:firstColumn="1" w:lastColumn="0" w:noHBand="0" w:noVBand="1"/>
      </w:tblPr>
      <w:tblGrid>
        <w:gridCol w:w="1574"/>
        <w:gridCol w:w="845"/>
        <w:gridCol w:w="1409"/>
        <w:gridCol w:w="1830"/>
        <w:gridCol w:w="1820"/>
        <w:gridCol w:w="1563"/>
      </w:tblGrid>
      <w:tr w:rsidR="00590672" w:rsidRPr="00E66345" w14:paraId="3F9C0565" w14:textId="77777777" w:rsidTr="001577F7">
        <w:trPr>
          <w:trHeight w:val="391"/>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AF15A8D"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S.V.</w:t>
            </w:r>
          </w:p>
        </w:tc>
        <w:tc>
          <w:tcPr>
            <w:tcW w:w="850" w:type="dxa"/>
            <w:tcBorders>
              <w:top w:val="single" w:sz="4" w:space="0" w:color="auto"/>
              <w:left w:val="nil"/>
              <w:bottom w:val="single" w:sz="4" w:space="0" w:color="auto"/>
              <w:right w:val="single" w:sz="4" w:space="0" w:color="auto"/>
            </w:tcBorders>
            <w:noWrap/>
            <w:vAlign w:val="bottom"/>
            <w:hideMark/>
          </w:tcPr>
          <w:p w14:paraId="582BB4A1"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d.f.</w:t>
            </w:r>
          </w:p>
        </w:tc>
        <w:tc>
          <w:tcPr>
            <w:tcW w:w="6472" w:type="dxa"/>
            <w:gridSpan w:val="4"/>
            <w:tcBorders>
              <w:top w:val="single" w:sz="4" w:space="0" w:color="auto"/>
              <w:left w:val="nil"/>
              <w:bottom w:val="single" w:sz="4" w:space="0" w:color="auto"/>
              <w:right w:val="single" w:sz="4" w:space="0" w:color="auto"/>
            </w:tcBorders>
            <w:noWrap/>
            <w:vAlign w:val="bottom"/>
            <w:hideMark/>
          </w:tcPr>
          <w:p w14:paraId="1FBD636D"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Mean of squares</w:t>
            </w:r>
          </w:p>
        </w:tc>
      </w:tr>
      <w:tr w:rsidR="00590672" w:rsidRPr="00E66345" w14:paraId="1EED1174" w14:textId="77777777" w:rsidTr="001577F7">
        <w:trPr>
          <w:trHeight w:val="468"/>
        </w:trPr>
        <w:tc>
          <w:tcPr>
            <w:tcW w:w="1435" w:type="dxa"/>
            <w:tcBorders>
              <w:top w:val="nil"/>
              <w:left w:val="single" w:sz="4" w:space="0" w:color="auto"/>
              <w:bottom w:val="single" w:sz="4" w:space="0" w:color="auto"/>
              <w:right w:val="single" w:sz="4" w:space="0" w:color="auto"/>
            </w:tcBorders>
            <w:noWrap/>
            <w:vAlign w:val="bottom"/>
            <w:hideMark/>
          </w:tcPr>
          <w:p w14:paraId="5F87C164"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 </w:t>
            </w:r>
          </w:p>
        </w:tc>
        <w:tc>
          <w:tcPr>
            <w:tcW w:w="850" w:type="dxa"/>
            <w:tcBorders>
              <w:top w:val="nil"/>
              <w:left w:val="nil"/>
              <w:bottom w:val="single" w:sz="4" w:space="0" w:color="auto"/>
              <w:right w:val="single" w:sz="4" w:space="0" w:color="auto"/>
            </w:tcBorders>
            <w:noWrap/>
            <w:vAlign w:val="bottom"/>
            <w:hideMark/>
          </w:tcPr>
          <w:p w14:paraId="76130107" w14:textId="77777777" w:rsidR="00590672" w:rsidRPr="00B207B3" w:rsidRDefault="00590672" w:rsidP="001577F7">
            <w:pPr>
              <w:spacing w:after="0" w:line="360" w:lineRule="auto"/>
              <w:jc w:val="center"/>
              <w:rPr>
                <w:rFonts w:ascii="Arial Black" w:eastAsia="Times New Roman" w:hAnsi="Arial Black" w:cs="Times New Roman"/>
                <w:b/>
                <w:color w:val="000000"/>
              </w:rPr>
            </w:pPr>
          </w:p>
        </w:tc>
        <w:tc>
          <w:tcPr>
            <w:tcW w:w="1418" w:type="dxa"/>
            <w:tcBorders>
              <w:top w:val="nil"/>
              <w:left w:val="nil"/>
              <w:bottom w:val="single" w:sz="4" w:space="0" w:color="auto"/>
              <w:right w:val="single" w:sz="4" w:space="0" w:color="auto"/>
            </w:tcBorders>
            <w:noWrap/>
            <w:vAlign w:val="bottom"/>
            <w:hideMark/>
          </w:tcPr>
          <w:p w14:paraId="521B525E"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Ascorbic acid</w:t>
            </w:r>
          </w:p>
        </w:tc>
        <w:tc>
          <w:tcPr>
            <w:tcW w:w="1843" w:type="dxa"/>
            <w:tcBorders>
              <w:top w:val="nil"/>
              <w:left w:val="nil"/>
              <w:bottom w:val="single" w:sz="4" w:space="0" w:color="auto"/>
              <w:right w:val="single" w:sz="4" w:space="0" w:color="auto"/>
            </w:tcBorders>
            <w:noWrap/>
            <w:vAlign w:val="bottom"/>
            <w:hideMark/>
          </w:tcPr>
          <w:p w14:paraId="7D33BE7B"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Total Soluble Solid</w:t>
            </w:r>
          </w:p>
        </w:tc>
        <w:tc>
          <w:tcPr>
            <w:tcW w:w="1832" w:type="dxa"/>
            <w:tcBorders>
              <w:top w:val="nil"/>
              <w:left w:val="nil"/>
              <w:bottom w:val="single" w:sz="4" w:space="0" w:color="auto"/>
              <w:right w:val="single" w:sz="4" w:space="0" w:color="auto"/>
            </w:tcBorders>
            <w:noWrap/>
            <w:vAlign w:val="bottom"/>
            <w:hideMark/>
          </w:tcPr>
          <w:p w14:paraId="451F68D3"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Crude Protein Content</w:t>
            </w:r>
          </w:p>
        </w:tc>
        <w:tc>
          <w:tcPr>
            <w:tcW w:w="1379" w:type="dxa"/>
            <w:tcBorders>
              <w:top w:val="nil"/>
              <w:left w:val="nil"/>
              <w:bottom w:val="single" w:sz="4" w:space="0" w:color="auto"/>
              <w:right w:val="single" w:sz="4" w:space="0" w:color="auto"/>
            </w:tcBorders>
            <w:noWrap/>
            <w:vAlign w:val="bottom"/>
            <w:hideMark/>
          </w:tcPr>
          <w:p w14:paraId="61052F1B" w14:textId="77777777" w:rsidR="00590672" w:rsidRPr="00B207B3" w:rsidRDefault="00590672" w:rsidP="001577F7">
            <w:pPr>
              <w:spacing w:after="0" w:line="360" w:lineRule="auto"/>
              <w:jc w:val="center"/>
              <w:rPr>
                <w:rFonts w:ascii="Arial Black" w:eastAsia="Times New Roman" w:hAnsi="Arial Black" w:cs="Times New Roman"/>
                <w:b/>
                <w:color w:val="000000"/>
              </w:rPr>
            </w:pPr>
            <w:r w:rsidRPr="00B207B3">
              <w:rPr>
                <w:rFonts w:ascii="Arial Black" w:eastAsia="Times New Roman" w:hAnsi="Arial Black" w:cs="Times New Roman"/>
                <w:b/>
                <w:color w:val="000000"/>
              </w:rPr>
              <w:t>Chlorophyll content</w:t>
            </w:r>
          </w:p>
        </w:tc>
      </w:tr>
      <w:tr w:rsidR="00590672" w:rsidRPr="00E66345" w14:paraId="7A606291" w14:textId="77777777" w:rsidTr="001577F7">
        <w:trPr>
          <w:trHeight w:val="329"/>
        </w:trPr>
        <w:tc>
          <w:tcPr>
            <w:tcW w:w="1435" w:type="dxa"/>
            <w:tcBorders>
              <w:top w:val="nil"/>
              <w:left w:val="single" w:sz="4" w:space="0" w:color="auto"/>
              <w:bottom w:val="single" w:sz="4" w:space="0" w:color="auto"/>
              <w:right w:val="single" w:sz="4" w:space="0" w:color="auto"/>
            </w:tcBorders>
            <w:noWrap/>
            <w:vAlign w:val="bottom"/>
            <w:hideMark/>
          </w:tcPr>
          <w:p w14:paraId="07C33F2C"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Replication</w:t>
            </w:r>
          </w:p>
        </w:tc>
        <w:tc>
          <w:tcPr>
            <w:tcW w:w="850" w:type="dxa"/>
            <w:tcBorders>
              <w:top w:val="nil"/>
              <w:left w:val="nil"/>
              <w:bottom w:val="single" w:sz="4" w:space="0" w:color="auto"/>
              <w:right w:val="single" w:sz="4" w:space="0" w:color="auto"/>
            </w:tcBorders>
            <w:noWrap/>
            <w:vAlign w:val="bottom"/>
            <w:hideMark/>
          </w:tcPr>
          <w:p w14:paraId="685B3F04"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w:t>
            </w:r>
          </w:p>
        </w:tc>
        <w:tc>
          <w:tcPr>
            <w:tcW w:w="1418" w:type="dxa"/>
            <w:tcBorders>
              <w:top w:val="nil"/>
              <w:left w:val="nil"/>
              <w:bottom w:val="single" w:sz="4" w:space="0" w:color="auto"/>
              <w:right w:val="single" w:sz="4" w:space="0" w:color="auto"/>
            </w:tcBorders>
            <w:shd w:val="clear" w:color="000000" w:fill="FFFFFF"/>
            <w:noWrap/>
            <w:vAlign w:val="bottom"/>
            <w:hideMark/>
          </w:tcPr>
          <w:p w14:paraId="0F8D79F6"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0.97</w:t>
            </w:r>
          </w:p>
        </w:tc>
        <w:tc>
          <w:tcPr>
            <w:tcW w:w="1843" w:type="dxa"/>
            <w:tcBorders>
              <w:top w:val="nil"/>
              <w:left w:val="nil"/>
              <w:bottom w:val="single" w:sz="4" w:space="0" w:color="auto"/>
              <w:right w:val="single" w:sz="4" w:space="0" w:color="auto"/>
            </w:tcBorders>
            <w:shd w:val="clear" w:color="000000" w:fill="FFFFFF"/>
            <w:noWrap/>
            <w:vAlign w:val="bottom"/>
            <w:hideMark/>
          </w:tcPr>
          <w:p w14:paraId="418C8F5C"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0.004</w:t>
            </w:r>
          </w:p>
        </w:tc>
        <w:tc>
          <w:tcPr>
            <w:tcW w:w="1832" w:type="dxa"/>
            <w:tcBorders>
              <w:top w:val="nil"/>
              <w:left w:val="nil"/>
              <w:bottom w:val="single" w:sz="4" w:space="0" w:color="auto"/>
              <w:right w:val="single" w:sz="4" w:space="0" w:color="auto"/>
            </w:tcBorders>
            <w:shd w:val="clear" w:color="000000" w:fill="FFFFFF"/>
            <w:noWrap/>
            <w:vAlign w:val="bottom"/>
            <w:hideMark/>
          </w:tcPr>
          <w:p w14:paraId="486490B7"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0.01</w:t>
            </w:r>
          </w:p>
        </w:tc>
        <w:tc>
          <w:tcPr>
            <w:tcW w:w="1379" w:type="dxa"/>
            <w:tcBorders>
              <w:top w:val="nil"/>
              <w:left w:val="nil"/>
              <w:bottom w:val="single" w:sz="4" w:space="0" w:color="auto"/>
              <w:right w:val="single" w:sz="4" w:space="0" w:color="auto"/>
            </w:tcBorders>
            <w:shd w:val="clear" w:color="000000" w:fill="FFFFFF"/>
            <w:noWrap/>
            <w:vAlign w:val="bottom"/>
            <w:hideMark/>
          </w:tcPr>
          <w:p w14:paraId="5510A395"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0.0004</w:t>
            </w:r>
          </w:p>
        </w:tc>
      </w:tr>
      <w:tr w:rsidR="00590672" w:rsidRPr="00E66345" w14:paraId="7AB6F051" w14:textId="77777777" w:rsidTr="001577F7">
        <w:trPr>
          <w:trHeight w:val="329"/>
        </w:trPr>
        <w:tc>
          <w:tcPr>
            <w:tcW w:w="1435" w:type="dxa"/>
            <w:tcBorders>
              <w:top w:val="nil"/>
              <w:left w:val="single" w:sz="4" w:space="0" w:color="auto"/>
              <w:bottom w:val="single" w:sz="4" w:space="0" w:color="auto"/>
              <w:right w:val="single" w:sz="4" w:space="0" w:color="auto"/>
            </w:tcBorders>
            <w:noWrap/>
            <w:vAlign w:val="bottom"/>
            <w:hideMark/>
          </w:tcPr>
          <w:p w14:paraId="5EB253E7"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Treatment</w:t>
            </w:r>
          </w:p>
        </w:tc>
        <w:tc>
          <w:tcPr>
            <w:tcW w:w="850" w:type="dxa"/>
            <w:tcBorders>
              <w:top w:val="nil"/>
              <w:left w:val="nil"/>
              <w:bottom w:val="single" w:sz="4" w:space="0" w:color="auto"/>
              <w:right w:val="single" w:sz="4" w:space="0" w:color="auto"/>
            </w:tcBorders>
            <w:noWrap/>
            <w:vAlign w:val="bottom"/>
            <w:hideMark/>
          </w:tcPr>
          <w:p w14:paraId="7A49AF3D"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13</w:t>
            </w:r>
          </w:p>
        </w:tc>
        <w:tc>
          <w:tcPr>
            <w:tcW w:w="1418" w:type="dxa"/>
            <w:tcBorders>
              <w:top w:val="nil"/>
              <w:left w:val="nil"/>
              <w:bottom w:val="single" w:sz="4" w:space="0" w:color="auto"/>
              <w:right w:val="single" w:sz="4" w:space="0" w:color="auto"/>
            </w:tcBorders>
            <w:shd w:val="clear" w:color="000000" w:fill="FFFFFF"/>
            <w:noWrap/>
            <w:vAlign w:val="bottom"/>
            <w:hideMark/>
          </w:tcPr>
          <w:p w14:paraId="77D4ADB2"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11.17**</w:t>
            </w:r>
          </w:p>
        </w:tc>
        <w:tc>
          <w:tcPr>
            <w:tcW w:w="1843" w:type="dxa"/>
            <w:tcBorders>
              <w:top w:val="nil"/>
              <w:left w:val="nil"/>
              <w:bottom w:val="single" w:sz="4" w:space="0" w:color="auto"/>
              <w:right w:val="single" w:sz="4" w:space="0" w:color="auto"/>
            </w:tcBorders>
            <w:shd w:val="clear" w:color="000000" w:fill="FFFFFF"/>
            <w:noWrap/>
            <w:vAlign w:val="bottom"/>
            <w:hideMark/>
          </w:tcPr>
          <w:p w14:paraId="35186D4A"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0.64**</w:t>
            </w:r>
          </w:p>
        </w:tc>
        <w:tc>
          <w:tcPr>
            <w:tcW w:w="1832" w:type="dxa"/>
            <w:tcBorders>
              <w:top w:val="nil"/>
              <w:left w:val="nil"/>
              <w:bottom w:val="single" w:sz="4" w:space="0" w:color="auto"/>
              <w:right w:val="single" w:sz="4" w:space="0" w:color="auto"/>
            </w:tcBorders>
            <w:shd w:val="clear" w:color="000000" w:fill="FFFFFF"/>
            <w:noWrap/>
            <w:vAlign w:val="bottom"/>
            <w:hideMark/>
          </w:tcPr>
          <w:p w14:paraId="052591D1"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0.002</w:t>
            </w:r>
          </w:p>
        </w:tc>
        <w:tc>
          <w:tcPr>
            <w:tcW w:w="1379" w:type="dxa"/>
            <w:tcBorders>
              <w:top w:val="nil"/>
              <w:left w:val="nil"/>
              <w:bottom w:val="single" w:sz="4" w:space="0" w:color="auto"/>
              <w:right w:val="single" w:sz="4" w:space="0" w:color="auto"/>
            </w:tcBorders>
            <w:shd w:val="clear" w:color="000000" w:fill="FFFFFF"/>
            <w:noWrap/>
            <w:vAlign w:val="bottom"/>
            <w:hideMark/>
          </w:tcPr>
          <w:p w14:paraId="0D57C1EA"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0.13**</w:t>
            </w:r>
          </w:p>
        </w:tc>
      </w:tr>
      <w:tr w:rsidR="00590672" w:rsidRPr="00E66345" w14:paraId="02A5AF5B" w14:textId="77777777" w:rsidTr="001577F7">
        <w:trPr>
          <w:trHeight w:val="329"/>
        </w:trPr>
        <w:tc>
          <w:tcPr>
            <w:tcW w:w="1435" w:type="dxa"/>
            <w:tcBorders>
              <w:top w:val="nil"/>
              <w:left w:val="single" w:sz="4" w:space="0" w:color="auto"/>
              <w:bottom w:val="single" w:sz="4" w:space="0" w:color="auto"/>
              <w:right w:val="single" w:sz="4" w:space="0" w:color="auto"/>
            </w:tcBorders>
            <w:noWrap/>
            <w:vAlign w:val="bottom"/>
            <w:hideMark/>
          </w:tcPr>
          <w:p w14:paraId="572E4A1C"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Error</w:t>
            </w:r>
          </w:p>
        </w:tc>
        <w:tc>
          <w:tcPr>
            <w:tcW w:w="850" w:type="dxa"/>
            <w:tcBorders>
              <w:top w:val="nil"/>
              <w:left w:val="nil"/>
              <w:bottom w:val="single" w:sz="4" w:space="0" w:color="auto"/>
              <w:right w:val="single" w:sz="4" w:space="0" w:color="auto"/>
            </w:tcBorders>
            <w:noWrap/>
            <w:vAlign w:val="bottom"/>
            <w:hideMark/>
          </w:tcPr>
          <w:p w14:paraId="25DE0996"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26</w:t>
            </w:r>
          </w:p>
        </w:tc>
        <w:tc>
          <w:tcPr>
            <w:tcW w:w="1418" w:type="dxa"/>
            <w:tcBorders>
              <w:top w:val="nil"/>
              <w:left w:val="nil"/>
              <w:bottom w:val="single" w:sz="4" w:space="0" w:color="auto"/>
              <w:right w:val="single" w:sz="4" w:space="0" w:color="auto"/>
            </w:tcBorders>
            <w:shd w:val="clear" w:color="000000" w:fill="FFFFFF"/>
            <w:noWrap/>
            <w:vAlign w:val="bottom"/>
            <w:hideMark/>
          </w:tcPr>
          <w:p w14:paraId="52228B2B"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3.67</w:t>
            </w:r>
          </w:p>
        </w:tc>
        <w:tc>
          <w:tcPr>
            <w:tcW w:w="1843" w:type="dxa"/>
            <w:tcBorders>
              <w:top w:val="nil"/>
              <w:left w:val="nil"/>
              <w:bottom w:val="single" w:sz="4" w:space="0" w:color="auto"/>
              <w:right w:val="single" w:sz="4" w:space="0" w:color="auto"/>
            </w:tcBorders>
            <w:shd w:val="clear" w:color="000000" w:fill="FFFFFF"/>
            <w:noWrap/>
            <w:vAlign w:val="bottom"/>
            <w:hideMark/>
          </w:tcPr>
          <w:p w14:paraId="1241DBFF"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0.03</w:t>
            </w:r>
          </w:p>
        </w:tc>
        <w:tc>
          <w:tcPr>
            <w:tcW w:w="1832" w:type="dxa"/>
            <w:tcBorders>
              <w:top w:val="nil"/>
              <w:left w:val="nil"/>
              <w:bottom w:val="single" w:sz="4" w:space="0" w:color="auto"/>
              <w:right w:val="single" w:sz="4" w:space="0" w:color="auto"/>
            </w:tcBorders>
            <w:shd w:val="clear" w:color="000000" w:fill="FFFFFF"/>
            <w:noWrap/>
            <w:vAlign w:val="bottom"/>
            <w:hideMark/>
          </w:tcPr>
          <w:p w14:paraId="03A18448"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0.01</w:t>
            </w:r>
          </w:p>
        </w:tc>
        <w:tc>
          <w:tcPr>
            <w:tcW w:w="1379" w:type="dxa"/>
            <w:tcBorders>
              <w:top w:val="nil"/>
              <w:left w:val="nil"/>
              <w:bottom w:val="single" w:sz="4" w:space="0" w:color="auto"/>
              <w:right w:val="single" w:sz="4" w:space="0" w:color="auto"/>
            </w:tcBorders>
            <w:shd w:val="clear" w:color="000000" w:fill="FFFFFF"/>
            <w:noWrap/>
            <w:vAlign w:val="bottom"/>
            <w:hideMark/>
          </w:tcPr>
          <w:p w14:paraId="665C6BEF"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0.00</w:t>
            </w:r>
          </w:p>
        </w:tc>
      </w:tr>
      <w:tr w:rsidR="00590672" w:rsidRPr="00E66345" w14:paraId="24AEF8F5" w14:textId="77777777" w:rsidTr="001577F7">
        <w:trPr>
          <w:trHeight w:val="378"/>
        </w:trPr>
        <w:tc>
          <w:tcPr>
            <w:tcW w:w="1435" w:type="dxa"/>
            <w:tcBorders>
              <w:top w:val="nil"/>
              <w:left w:val="single" w:sz="4" w:space="0" w:color="auto"/>
              <w:bottom w:val="single" w:sz="4" w:space="0" w:color="auto"/>
              <w:right w:val="single" w:sz="4" w:space="0" w:color="auto"/>
            </w:tcBorders>
            <w:noWrap/>
            <w:vAlign w:val="bottom"/>
            <w:hideMark/>
          </w:tcPr>
          <w:p w14:paraId="2944EF61"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SEm±</w:t>
            </w:r>
          </w:p>
        </w:tc>
        <w:tc>
          <w:tcPr>
            <w:tcW w:w="850" w:type="dxa"/>
            <w:tcBorders>
              <w:top w:val="nil"/>
              <w:left w:val="nil"/>
              <w:bottom w:val="single" w:sz="4" w:space="0" w:color="auto"/>
              <w:right w:val="single" w:sz="4" w:space="0" w:color="auto"/>
            </w:tcBorders>
            <w:noWrap/>
            <w:vAlign w:val="bottom"/>
            <w:hideMark/>
          </w:tcPr>
          <w:p w14:paraId="54A0345B"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noWrap/>
            <w:vAlign w:val="bottom"/>
            <w:hideMark/>
          </w:tcPr>
          <w:p w14:paraId="210568EB" w14:textId="77777777" w:rsidR="00590672" w:rsidRPr="00590672" w:rsidRDefault="00590672" w:rsidP="001577F7">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1.107</w:t>
            </w:r>
          </w:p>
        </w:tc>
        <w:tc>
          <w:tcPr>
            <w:tcW w:w="1843" w:type="dxa"/>
            <w:tcBorders>
              <w:top w:val="nil"/>
              <w:left w:val="nil"/>
              <w:bottom w:val="single" w:sz="4" w:space="0" w:color="auto"/>
              <w:right w:val="single" w:sz="4" w:space="0" w:color="auto"/>
            </w:tcBorders>
            <w:vAlign w:val="bottom"/>
            <w:hideMark/>
          </w:tcPr>
          <w:p w14:paraId="6796BB63"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0.105</w:t>
            </w:r>
          </w:p>
        </w:tc>
        <w:tc>
          <w:tcPr>
            <w:tcW w:w="1832" w:type="dxa"/>
            <w:tcBorders>
              <w:top w:val="nil"/>
              <w:left w:val="nil"/>
              <w:bottom w:val="single" w:sz="4" w:space="0" w:color="auto"/>
              <w:right w:val="single" w:sz="4" w:space="0" w:color="auto"/>
            </w:tcBorders>
            <w:noWrap/>
            <w:vAlign w:val="bottom"/>
            <w:hideMark/>
          </w:tcPr>
          <w:p w14:paraId="1C9FB1C3" w14:textId="77777777" w:rsidR="00590672" w:rsidRPr="00590672" w:rsidRDefault="00590672" w:rsidP="001577F7">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0.046</w:t>
            </w:r>
          </w:p>
        </w:tc>
        <w:tc>
          <w:tcPr>
            <w:tcW w:w="1379" w:type="dxa"/>
            <w:tcBorders>
              <w:top w:val="nil"/>
              <w:left w:val="nil"/>
              <w:bottom w:val="single" w:sz="4" w:space="0" w:color="auto"/>
              <w:right w:val="single" w:sz="4" w:space="0" w:color="auto"/>
            </w:tcBorders>
            <w:noWrap/>
            <w:vAlign w:val="bottom"/>
            <w:hideMark/>
          </w:tcPr>
          <w:p w14:paraId="357355CA" w14:textId="77777777" w:rsidR="00590672" w:rsidRPr="00590672" w:rsidRDefault="00590672" w:rsidP="001577F7">
            <w:pPr>
              <w:spacing w:after="0" w:line="360" w:lineRule="auto"/>
              <w:jc w:val="center"/>
              <w:rPr>
                <w:rFonts w:ascii="Times New Roman" w:eastAsia="Times New Roman" w:hAnsi="Times New Roman" w:cs="Times New Roman"/>
                <w:color w:val="333333"/>
                <w:sz w:val="20"/>
              </w:rPr>
            </w:pPr>
            <w:r w:rsidRPr="00590672">
              <w:rPr>
                <w:rFonts w:ascii="Times New Roman" w:eastAsia="Times New Roman" w:hAnsi="Times New Roman" w:cs="Times New Roman"/>
                <w:color w:val="333333"/>
                <w:sz w:val="20"/>
              </w:rPr>
              <w:t>0.021</w:t>
            </w:r>
          </w:p>
        </w:tc>
      </w:tr>
      <w:tr w:rsidR="00590672" w:rsidRPr="00E66345" w14:paraId="29EF236A" w14:textId="77777777" w:rsidTr="001577F7">
        <w:trPr>
          <w:trHeight w:val="361"/>
        </w:trPr>
        <w:tc>
          <w:tcPr>
            <w:tcW w:w="1435" w:type="dxa"/>
            <w:tcBorders>
              <w:top w:val="nil"/>
              <w:left w:val="single" w:sz="4" w:space="0" w:color="auto"/>
              <w:bottom w:val="single" w:sz="4" w:space="0" w:color="auto"/>
              <w:right w:val="single" w:sz="4" w:space="0" w:color="auto"/>
            </w:tcBorders>
            <w:noWrap/>
            <w:vAlign w:val="bottom"/>
            <w:hideMark/>
          </w:tcPr>
          <w:p w14:paraId="679188EC"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t>CD (at 5%)</w:t>
            </w:r>
          </w:p>
        </w:tc>
        <w:tc>
          <w:tcPr>
            <w:tcW w:w="850" w:type="dxa"/>
            <w:tcBorders>
              <w:top w:val="nil"/>
              <w:left w:val="nil"/>
              <w:bottom w:val="single" w:sz="4" w:space="0" w:color="auto"/>
              <w:right w:val="single" w:sz="4" w:space="0" w:color="auto"/>
            </w:tcBorders>
            <w:noWrap/>
            <w:vAlign w:val="bottom"/>
            <w:hideMark/>
          </w:tcPr>
          <w:p w14:paraId="553EAF3C"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vAlign w:val="bottom"/>
            <w:hideMark/>
          </w:tcPr>
          <w:p w14:paraId="60D5610B"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3.236</w:t>
            </w:r>
          </w:p>
        </w:tc>
        <w:tc>
          <w:tcPr>
            <w:tcW w:w="1843" w:type="dxa"/>
            <w:tcBorders>
              <w:top w:val="nil"/>
              <w:left w:val="nil"/>
              <w:bottom w:val="single" w:sz="4" w:space="0" w:color="auto"/>
              <w:right w:val="single" w:sz="4" w:space="0" w:color="auto"/>
            </w:tcBorders>
            <w:vAlign w:val="bottom"/>
            <w:hideMark/>
          </w:tcPr>
          <w:p w14:paraId="74F8D170"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0.307</w:t>
            </w:r>
          </w:p>
        </w:tc>
        <w:tc>
          <w:tcPr>
            <w:tcW w:w="1832" w:type="dxa"/>
            <w:tcBorders>
              <w:top w:val="nil"/>
              <w:left w:val="nil"/>
              <w:bottom w:val="single" w:sz="4" w:space="0" w:color="auto"/>
              <w:right w:val="single" w:sz="4" w:space="0" w:color="auto"/>
            </w:tcBorders>
            <w:shd w:val="clear" w:color="000000" w:fill="FFFFFF"/>
            <w:noWrap/>
            <w:vAlign w:val="bottom"/>
            <w:hideMark/>
          </w:tcPr>
          <w:p w14:paraId="0887ABDA" w14:textId="77777777" w:rsidR="00590672" w:rsidRPr="00590672" w:rsidRDefault="00590672" w:rsidP="001577F7">
            <w:pPr>
              <w:spacing w:after="0" w:line="360" w:lineRule="auto"/>
              <w:jc w:val="center"/>
              <w:rPr>
                <w:rFonts w:ascii="Times New Roman" w:eastAsia="Times New Roman" w:hAnsi="Times New Roman" w:cs="Times New Roman"/>
                <w:sz w:val="20"/>
              </w:rPr>
            </w:pPr>
            <w:r w:rsidRPr="00590672">
              <w:rPr>
                <w:rFonts w:ascii="Times New Roman" w:eastAsia="Times New Roman" w:hAnsi="Times New Roman" w:cs="Times New Roman"/>
                <w:sz w:val="20"/>
              </w:rPr>
              <w:t>0.13</w:t>
            </w:r>
          </w:p>
        </w:tc>
        <w:tc>
          <w:tcPr>
            <w:tcW w:w="1379" w:type="dxa"/>
            <w:tcBorders>
              <w:top w:val="nil"/>
              <w:left w:val="nil"/>
              <w:bottom w:val="single" w:sz="4" w:space="0" w:color="auto"/>
              <w:right w:val="single" w:sz="4" w:space="0" w:color="auto"/>
            </w:tcBorders>
            <w:vAlign w:val="bottom"/>
            <w:hideMark/>
          </w:tcPr>
          <w:p w14:paraId="57D88EE7"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0.061</w:t>
            </w:r>
          </w:p>
        </w:tc>
      </w:tr>
      <w:tr w:rsidR="00590672" w:rsidRPr="00E66345" w14:paraId="3F7D6319" w14:textId="77777777" w:rsidTr="001577F7">
        <w:trPr>
          <w:trHeight w:val="361"/>
        </w:trPr>
        <w:tc>
          <w:tcPr>
            <w:tcW w:w="1435" w:type="dxa"/>
            <w:tcBorders>
              <w:top w:val="nil"/>
              <w:left w:val="single" w:sz="4" w:space="0" w:color="auto"/>
              <w:bottom w:val="single" w:sz="4" w:space="0" w:color="auto"/>
              <w:right w:val="single" w:sz="4" w:space="0" w:color="auto"/>
            </w:tcBorders>
            <w:noWrap/>
            <w:vAlign w:val="bottom"/>
            <w:hideMark/>
          </w:tcPr>
          <w:p w14:paraId="562E57C6" w14:textId="77777777" w:rsidR="00590672" w:rsidRPr="00B207B3" w:rsidRDefault="00590672" w:rsidP="001577F7">
            <w:pPr>
              <w:spacing w:after="0" w:line="360" w:lineRule="auto"/>
              <w:rPr>
                <w:rFonts w:ascii="Arial Black" w:eastAsia="Times New Roman" w:hAnsi="Arial Black" w:cs="Times New Roman"/>
                <w:b/>
                <w:color w:val="000000"/>
              </w:rPr>
            </w:pPr>
            <w:r w:rsidRPr="00B207B3">
              <w:rPr>
                <w:rFonts w:ascii="Arial Black" w:eastAsia="Times New Roman" w:hAnsi="Arial Black" w:cs="Times New Roman"/>
                <w:b/>
                <w:color w:val="000000"/>
              </w:rPr>
              <w:lastRenderedPageBreak/>
              <w:t>CV (%)</w:t>
            </w:r>
          </w:p>
        </w:tc>
        <w:tc>
          <w:tcPr>
            <w:tcW w:w="850" w:type="dxa"/>
            <w:tcBorders>
              <w:top w:val="nil"/>
              <w:left w:val="nil"/>
              <w:bottom w:val="single" w:sz="4" w:space="0" w:color="auto"/>
              <w:right w:val="single" w:sz="4" w:space="0" w:color="auto"/>
            </w:tcBorders>
            <w:noWrap/>
            <w:vAlign w:val="bottom"/>
            <w:hideMark/>
          </w:tcPr>
          <w:p w14:paraId="4AEA1E98"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p>
        </w:tc>
        <w:tc>
          <w:tcPr>
            <w:tcW w:w="1418" w:type="dxa"/>
            <w:tcBorders>
              <w:top w:val="nil"/>
              <w:left w:val="nil"/>
              <w:bottom w:val="single" w:sz="4" w:space="0" w:color="auto"/>
              <w:right w:val="single" w:sz="4" w:space="0" w:color="auto"/>
            </w:tcBorders>
            <w:vAlign w:val="bottom"/>
            <w:hideMark/>
          </w:tcPr>
          <w:p w14:paraId="12A49AFE"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2.301</w:t>
            </w:r>
          </w:p>
        </w:tc>
        <w:tc>
          <w:tcPr>
            <w:tcW w:w="1843" w:type="dxa"/>
            <w:tcBorders>
              <w:top w:val="nil"/>
              <w:left w:val="nil"/>
              <w:bottom w:val="single" w:sz="4" w:space="0" w:color="auto"/>
              <w:right w:val="single" w:sz="4" w:space="0" w:color="auto"/>
            </w:tcBorders>
            <w:vAlign w:val="bottom"/>
            <w:hideMark/>
          </w:tcPr>
          <w:p w14:paraId="4FDAB9B8"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2.472</w:t>
            </w:r>
          </w:p>
        </w:tc>
        <w:tc>
          <w:tcPr>
            <w:tcW w:w="1832" w:type="dxa"/>
            <w:tcBorders>
              <w:top w:val="nil"/>
              <w:left w:val="nil"/>
              <w:bottom w:val="single" w:sz="4" w:space="0" w:color="auto"/>
              <w:right w:val="single" w:sz="4" w:space="0" w:color="auto"/>
            </w:tcBorders>
            <w:vAlign w:val="bottom"/>
            <w:hideMark/>
          </w:tcPr>
          <w:p w14:paraId="1513B192"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2.89</w:t>
            </w:r>
          </w:p>
        </w:tc>
        <w:tc>
          <w:tcPr>
            <w:tcW w:w="1379" w:type="dxa"/>
            <w:tcBorders>
              <w:top w:val="nil"/>
              <w:left w:val="nil"/>
              <w:bottom w:val="single" w:sz="4" w:space="0" w:color="auto"/>
              <w:right w:val="single" w:sz="4" w:space="0" w:color="auto"/>
            </w:tcBorders>
            <w:vAlign w:val="bottom"/>
            <w:hideMark/>
          </w:tcPr>
          <w:p w14:paraId="2F8FECD5" w14:textId="77777777" w:rsidR="00590672" w:rsidRPr="00590672" w:rsidRDefault="00590672" w:rsidP="001577F7">
            <w:pPr>
              <w:spacing w:after="0" w:line="360" w:lineRule="auto"/>
              <w:jc w:val="center"/>
              <w:rPr>
                <w:rFonts w:ascii="Times New Roman" w:eastAsia="Times New Roman" w:hAnsi="Times New Roman" w:cs="Times New Roman"/>
                <w:color w:val="000000"/>
                <w:sz w:val="20"/>
              </w:rPr>
            </w:pPr>
            <w:r w:rsidRPr="00590672">
              <w:rPr>
                <w:rFonts w:ascii="Times New Roman" w:eastAsia="Times New Roman" w:hAnsi="Times New Roman" w:cs="Times New Roman"/>
                <w:color w:val="000000"/>
                <w:sz w:val="20"/>
              </w:rPr>
              <w:t>1.958</w:t>
            </w:r>
          </w:p>
        </w:tc>
      </w:tr>
    </w:tbl>
    <w:p w14:paraId="484F8701" w14:textId="7C325568" w:rsidR="00812ECD" w:rsidRPr="00B207B3" w:rsidRDefault="0053523B" w:rsidP="00590672">
      <w:pPr>
        <w:pStyle w:val="NormalWeb"/>
        <w:spacing w:before="240" w:beforeAutospacing="0" w:after="0" w:afterAutospacing="0" w:line="360" w:lineRule="auto"/>
        <w:jc w:val="both"/>
        <w:rPr>
          <w:rFonts w:ascii="Arial Black" w:hAnsi="Arial Black"/>
          <w:b/>
          <w:sz w:val="22"/>
          <w:szCs w:val="22"/>
        </w:rPr>
      </w:pPr>
      <w:r w:rsidRPr="00B207B3">
        <w:rPr>
          <w:rFonts w:ascii="Arial Black" w:hAnsi="Arial Black"/>
          <w:b/>
          <w:sz w:val="22"/>
          <w:szCs w:val="22"/>
        </w:rPr>
        <w:t xml:space="preserve">3. Results </w:t>
      </w:r>
      <w:r w:rsidR="006B2AAE">
        <w:rPr>
          <w:rFonts w:ascii="Arial Black" w:hAnsi="Arial Black"/>
          <w:b/>
          <w:sz w:val="22"/>
          <w:szCs w:val="22"/>
        </w:rPr>
        <w:t>&amp;</w:t>
      </w:r>
      <w:r w:rsidR="006B2AAE" w:rsidRPr="006B2AAE">
        <w:rPr>
          <w:rFonts w:ascii="Arial Black" w:hAnsi="Arial Black"/>
          <w:b/>
          <w:sz w:val="22"/>
          <w:szCs w:val="22"/>
        </w:rPr>
        <w:t xml:space="preserve"> Discussion</w:t>
      </w:r>
    </w:p>
    <w:p w14:paraId="2DFB11CC" w14:textId="77777777" w:rsidR="0053523B" w:rsidRPr="00B207B3" w:rsidRDefault="0053523B" w:rsidP="0053523B">
      <w:pPr>
        <w:pStyle w:val="Heading3"/>
        <w:spacing w:before="0" w:beforeAutospacing="0" w:after="0" w:afterAutospacing="0" w:line="360" w:lineRule="auto"/>
        <w:jc w:val="both"/>
        <w:rPr>
          <w:rFonts w:ascii="Arial Black" w:hAnsi="Arial Black"/>
          <w:sz w:val="22"/>
          <w:szCs w:val="22"/>
        </w:rPr>
      </w:pPr>
      <w:r w:rsidRPr="00B207B3">
        <w:rPr>
          <w:rStyle w:val="Strong"/>
          <w:rFonts w:ascii="Arial Black" w:hAnsi="Arial Black"/>
          <w:b/>
          <w:bCs/>
          <w:sz w:val="22"/>
          <w:szCs w:val="22"/>
        </w:rPr>
        <w:t>3.1 Ascorbic acid</w:t>
      </w:r>
    </w:p>
    <w:p w14:paraId="13E6902F" w14:textId="77777777" w:rsidR="0053523B" w:rsidRPr="00B207B3" w:rsidRDefault="007E7AD4" w:rsidP="0053523B">
      <w:pPr>
        <w:pStyle w:val="NormalWeb"/>
        <w:spacing w:before="0" w:beforeAutospacing="0" w:after="0" w:afterAutospacing="0" w:line="360" w:lineRule="auto"/>
        <w:jc w:val="both"/>
        <w:rPr>
          <w:rFonts w:ascii="Arial" w:hAnsi="Arial" w:cs="Arial"/>
          <w:sz w:val="20"/>
          <w:szCs w:val="20"/>
        </w:rPr>
      </w:pPr>
      <w:r>
        <w:tab/>
      </w:r>
      <w:r w:rsidR="00825CEC" w:rsidRPr="00B207B3">
        <w:rPr>
          <w:rFonts w:ascii="Arial" w:hAnsi="Arial" w:cs="Arial"/>
          <w:sz w:val="20"/>
          <w:szCs w:val="20"/>
        </w:rPr>
        <w:t>Foliar supplementation of micronutrients exerted a significant (p &lt; 0.05) influence on ascorbic acid content in broccoli across both experimental years as well as in the pooled analysis (Table 1). The pooled data (Table 2; Figure 1) showed that the untreated control consistently recorded the lowest ascorbic acid concentration (80.00 mg 100 g</w:t>
      </w:r>
      <w:r w:rsidR="00825CEC" w:rsidRPr="00B207B3">
        <w:rPr>
          <w:rFonts w:ascii="Cambria Math" w:hAnsi="Cambria Math" w:cs="Cambria Math"/>
          <w:sz w:val="20"/>
          <w:szCs w:val="20"/>
        </w:rPr>
        <w:t>⁻</w:t>
      </w:r>
      <w:r w:rsidR="00825CEC" w:rsidRPr="00B207B3">
        <w:rPr>
          <w:rFonts w:ascii="Arial" w:hAnsi="Arial" w:cs="Arial"/>
          <w:sz w:val="20"/>
          <w:szCs w:val="20"/>
        </w:rPr>
        <w:t>¹), representing the baseline nutritional level in the absence of external micronutrient supply. In contrast, the foliar application of boric acid in combination with copper sulphate (@ 100 ppm each) resulted in the highest pooled ascorbic acid content (86.40 mg 100 g</w:t>
      </w:r>
      <w:r w:rsidR="00825CEC" w:rsidRPr="00B207B3">
        <w:rPr>
          <w:rFonts w:ascii="Cambria Math" w:hAnsi="Cambria Math" w:cs="Cambria Math"/>
          <w:sz w:val="20"/>
          <w:szCs w:val="20"/>
        </w:rPr>
        <w:t>⁻</w:t>
      </w:r>
      <w:r w:rsidR="00825CEC" w:rsidRPr="00B207B3">
        <w:rPr>
          <w:rFonts w:ascii="Arial" w:hAnsi="Arial" w:cs="Arial"/>
          <w:sz w:val="20"/>
          <w:szCs w:val="20"/>
        </w:rPr>
        <w:t>¹), demonstrating its pronounced efficacy in enhancing vitamin C accumulation. This was closely followed by the combination of boric acid with manganese sulphate (86.20 mg 100 g</w:t>
      </w:r>
      <w:r w:rsidR="00825CEC" w:rsidRPr="00B207B3">
        <w:rPr>
          <w:rFonts w:ascii="Cambria Math" w:hAnsi="Cambria Math" w:cs="Cambria Math"/>
          <w:sz w:val="20"/>
          <w:szCs w:val="20"/>
        </w:rPr>
        <w:t>⁻</w:t>
      </w:r>
      <w:r w:rsidR="00825CEC" w:rsidRPr="00B207B3">
        <w:rPr>
          <w:rFonts w:ascii="Arial" w:hAnsi="Arial" w:cs="Arial"/>
          <w:sz w:val="20"/>
          <w:szCs w:val="20"/>
        </w:rPr>
        <w:t>¹) and the sole application of copper sulphate (85.50 mg 100 g</w:t>
      </w:r>
      <w:r w:rsidR="00825CEC" w:rsidRPr="00B207B3">
        <w:rPr>
          <w:rFonts w:ascii="Cambria Math" w:hAnsi="Cambria Math" w:cs="Cambria Math"/>
          <w:sz w:val="20"/>
          <w:szCs w:val="20"/>
        </w:rPr>
        <w:t>⁻</w:t>
      </w:r>
      <w:r w:rsidR="00825CEC" w:rsidRPr="00B207B3">
        <w:rPr>
          <w:rFonts w:ascii="Arial" w:hAnsi="Arial" w:cs="Arial"/>
          <w:sz w:val="20"/>
          <w:szCs w:val="20"/>
        </w:rPr>
        <w:t>¹), both of which also exhibited a statistically significant increase over the control. The remaining micronutrient treatments likewise showed appreciable improvement over the untreated check, indicating a consistent and positive response of broccoli antioxidant quality to micronutrient foliar interventions.</w:t>
      </w:r>
    </w:p>
    <w:p w14:paraId="0F362315" w14:textId="77777777" w:rsidR="0053523B" w:rsidRPr="00B207B3" w:rsidRDefault="0053523B" w:rsidP="007E7AD4">
      <w:pPr>
        <w:pStyle w:val="Heading3"/>
        <w:spacing w:before="240" w:beforeAutospacing="0" w:after="0" w:afterAutospacing="0" w:line="360" w:lineRule="auto"/>
        <w:jc w:val="both"/>
        <w:rPr>
          <w:rFonts w:ascii="Arial Black" w:hAnsi="Arial Black"/>
          <w:sz w:val="22"/>
          <w:szCs w:val="22"/>
        </w:rPr>
      </w:pPr>
      <w:r w:rsidRPr="00B207B3">
        <w:rPr>
          <w:rStyle w:val="Strong"/>
          <w:rFonts w:ascii="Arial Black" w:hAnsi="Arial Black"/>
          <w:b/>
          <w:bCs/>
          <w:sz w:val="22"/>
          <w:szCs w:val="22"/>
        </w:rPr>
        <w:t>3.2 Total soluble solids (TSS)</w:t>
      </w:r>
    </w:p>
    <w:p w14:paraId="2AECA576" w14:textId="77777777" w:rsidR="0053523B" w:rsidRPr="00B207B3" w:rsidRDefault="007E7AD4" w:rsidP="0053523B">
      <w:pPr>
        <w:pStyle w:val="NormalWeb"/>
        <w:spacing w:before="0" w:beforeAutospacing="0" w:after="0" w:afterAutospacing="0" w:line="360" w:lineRule="auto"/>
        <w:jc w:val="both"/>
        <w:rPr>
          <w:rFonts w:ascii="Arial" w:hAnsi="Arial" w:cs="Arial"/>
          <w:sz w:val="20"/>
          <w:szCs w:val="20"/>
        </w:rPr>
      </w:pPr>
      <w:r>
        <w:tab/>
      </w:r>
      <w:r w:rsidR="00825CEC" w:rsidRPr="00B207B3">
        <w:rPr>
          <w:rFonts w:ascii="Arial" w:hAnsi="Arial" w:cs="Arial"/>
          <w:sz w:val="20"/>
          <w:szCs w:val="20"/>
        </w:rPr>
        <w:t>Micronutrient foliar application also produced a significant (p &lt; 0.05) response in total soluble solids of broccoli curds during both seasons as well as in the pooled mean (Table 3). As depicted in Table 4 and Figure 2, the control treatment recorded the lowest pooled TSS value (6.00%), indicating limited sugar accumulation in the absence of micronutrient supplementation. The combined application of boric acid with ammonium molybdate resulted in the highest pooled TSS value (7.90%), reflecting the strongest improvement among all treatments. This superior treatment was followed by the application of ammonium molybdate alone (7.80%) and the combination of boric acid with zinc sulphate (7.70%). Several other micronutrient treatments, including the combinations with manganese, iron and copper, also recorded appreciable increases over the control. The overall trend indicates a clear enhancement of TSS in broccoli in response to foliar micronutrient supply.</w:t>
      </w:r>
    </w:p>
    <w:p w14:paraId="5394689F" w14:textId="6984084A" w:rsidR="00590672" w:rsidRPr="00B207B3" w:rsidRDefault="00590672" w:rsidP="00590672">
      <w:pPr>
        <w:spacing w:after="0" w:line="360" w:lineRule="auto"/>
        <w:jc w:val="center"/>
        <w:rPr>
          <w:rFonts w:ascii="Arial Black" w:hAnsi="Arial Black"/>
          <w:b/>
        </w:rPr>
      </w:pPr>
      <w:r w:rsidRPr="00B207B3">
        <w:rPr>
          <w:rFonts w:ascii="Arial Black" w:hAnsi="Arial Black"/>
          <w:b/>
        </w:rPr>
        <w:t>Table 2: Effect of different micronutrient application on Ascorbic acid in Broccoli.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268"/>
        <w:gridCol w:w="2551"/>
      </w:tblGrid>
      <w:tr w:rsidR="00590672" w:rsidRPr="00B207B3" w14:paraId="536095FB" w14:textId="77777777" w:rsidTr="001577F7">
        <w:trPr>
          <w:trHeight w:val="317"/>
        </w:trPr>
        <w:tc>
          <w:tcPr>
            <w:tcW w:w="2376" w:type="dxa"/>
            <w:vMerge w:val="restart"/>
            <w:noWrap/>
            <w:vAlign w:val="bottom"/>
            <w:hideMark/>
          </w:tcPr>
          <w:p w14:paraId="7F7E83E9"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Treatments</w:t>
            </w:r>
          </w:p>
        </w:tc>
        <w:tc>
          <w:tcPr>
            <w:tcW w:w="6946" w:type="dxa"/>
            <w:gridSpan w:val="3"/>
            <w:noWrap/>
            <w:vAlign w:val="bottom"/>
            <w:hideMark/>
          </w:tcPr>
          <w:p w14:paraId="33976DEB"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hAnsi="Arial Black"/>
                <w:b/>
              </w:rPr>
              <w:t>Ascorbic acid (mg/100g)</w:t>
            </w:r>
          </w:p>
        </w:tc>
      </w:tr>
      <w:tr w:rsidR="00590672" w:rsidRPr="00B207B3" w14:paraId="15B2A043" w14:textId="77777777" w:rsidTr="001577F7">
        <w:trPr>
          <w:trHeight w:val="241"/>
        </w:trPr>
        <w:tc>
          <w:tcPr>
            <w:tcW w:w="2376" w:type="dxa"/>
            <w:vMerge/>
            <w:noWrap/>
            <w:vAlign w:val="bottom"/>
            <w:hideMark/>
          </w:tcPr>
          <w:p w14:paraId="3B668E35" w14:textId="77777777" w:rsidR="00590672" w:rsidRPr="00B207B3" w:rsidRDefault="00590672" w:rsidP="00590672">
            <w:pPr>
              <w:spacing w:after="0" w:line="240" w:lineRule="auto"/>
              <w:jc w:val="center"/>
              <w:rPr>
                <w:rFonts w:ascii="Arial Black" w:eastAsia="Times New Roman" w:hAnsi="Arial Black"/>
                <w:b/>
                <w:bCs/>
                <w:color w:val="000000"/>
              </w:rPr>
            </w:pPr>
          </w:p>
        </w:tc>
        <w:tc>
          <w:tcPr>
            <w:tcW w:w="2127" w:type="dxa"/>
            <w:noWrap/>
            <w:vAlign w:val="bottom"/>
            <w:hideMark/>
          </w:tcPr>
          <w:p w14:paraId="686A60CB"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2020-21</w:t>
            </w:r>
          </w:p>
        </w:tc>
        <w:tc>
          <w:tcPr>
            <w:tcW w:w="2268" w:type="dxa"/>
            <w:noWrap/>
            <w:vAlign w:val="bottom"/>
            <w:hideMark/>
          </w:tcPr>
          <w:p w14:paraId="541027E8"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2021-22</w:t>
            </w:r>
          </w:p>
        </w:tc>
        <w:tc>
          <w:tcPr>
            <w:tcW w:w="2551" w:type="dxa"/>
            <w:vAlign w:val="bottom"/>
          </w:tcPr>
          <w:p w14:paraId="0AD7D929" w14:textId="77777777" w:rsidR="00590672" w:rsidRPr="00B207B3" w:rsidRDefault="00590672" w:rsidP="00590672">
            <w:pPr>
              <w:spacing w:after="0" w:line="240" w:lineRule="auto"/>
              <w:jc w:val="center"/>
              <w:rPr>
                <w:rFonts w:ascii="Arial Black" w:hAnsi="Arial Black"/>
                <w:b/>
                <w:color w:val="000000"/>
              </w:rPr>
            </w:pPr>
            <w:r w:rsidRPr="00B207B3">
              <w:rPr>
                <w:rFonts w:ascii="Arial Black" w:hAnsi="Arial Black"/>
                <w:b/>
                <w:color w:val="000000"/>
              </w:rPr>
              <w:t>Pooled</w:t>
            </w:r>
          </w:p>
        </w:tc>
      </w:tr>
      <w:tr w:rsidR="00590672" w:rsidRPr="00590672" w14:paraId="247BB984" w14:textId="77777777" w:rsidTr="001577F7">
        <w:trPr>
          <w:trHeight w:val="351"/>
        </w:trPr>
        <w:tc>
          <w:tcPr>
            <w:tcW w:w="2376" w:type="dxa"/>
            <w:noWrap/>
            <w:vAlign w:val="bottom"/>
            <w:hideMark/>
          </w:tcPr>
          <w:p w14:paraId="00BADDD2"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2127" w:type="dxa"/>
            <w:noWrap/>
            <w:vAlign w:val="bottom"/>
            <w:hideMark/>
          </w:tcPr>
          <w:p w14:paraId="1BDC6C9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79.24</w:t>
            </w:r>
          </w:p>
        </w:tc>
        <w:tc>
          <w:tcPr>
            <w:tcW w:w="2268" w:type="dxa"/>
            <w:noWrap/>
            <w:vAlign w:val="bottom"/>
            <w:hideMark/>
          </w:tcPr>
          <w:p w14:paraId="723F02F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80.76</w:t>
            </w:r>
          </w:p>
        </w:tc>
        <w:tc>
          <w:tcPr>
            <w:tcW w:w="2551" w:type="dxa"/>
            <w:vAlign w:val="bottom"/>
          </w:tcPr>
          <w:p w14:paraId="7661E42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80.00</w:t>
            </w:r>
          </w:p>
        </w:tc>
      </w:tr>
      <w:tr w:rsidR="00590672" w:rsidRPr="00590672" w14:paraId="6290EC42" w14:textId="77777777" w:rsidTr="001577F7">
        <w:trPr>
          <w:trHeight w:val="351"/>
        </w:trPr>
        <w:tc>
          <w:tcPr>
            <w:tcW w:w="2376" w:type="dxa"/>
            <w:noWrap/>
            <w:vAlign w:val="bottom"/>
            <w:hideMark/>
          </w:tcPr>
          <w:p w14:paraId="3988B9B8"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2127" w:type="dxa"/>
            <w:noWrap/>
            <w:vAlign w:val="bottom"/>
            <w:hideMark/>
          </w:tcPr>
          <w:p w14:paraId="4D49AD9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83.61</w:t>
            </w:r>
          </w:p>
        </w:tc>
        <w:tc>
          <w:tcPr>
            <w:tcW w:w="2268" w:type="dxa"/>
            <w:noWrap/>
            <w:vAlign w:val="bottom"/>
            <w:hideMark/>
          </w:tcPr>
          <w:p w14:paraId="1E9593B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80.39</w:t>
            </w:r>
          </w:p>
        </w:tc>
        <w:tc>
          <w:tcPr>
            <w:tcW w:w="2551" w:type="dxa"/>
            <w:vAlign w:val="bottom"/>
          </w:tcPr>
          <w:p w14:paraId="6B4F76E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82.00</w:t>
            </w:r>
          </w:p>
        </w:tc>
      </w:tr>
      <w:tr w:rsidR="00590672" w:rsidRPr="00590672" w14:paraId="157C807E" w14:textId="77777777" w:rsidTr="001577F7">
        <w:trPr>
          <w:trHeight w:val="266"/>
        </w:trPr>
        <w:tc>
          <w:tcPr>
            <w:tcW w:w="2376" w:type="dxa"/>
            <w:noWrap/>
            <w:vAlign w:val="bottom"/>
            <w:hideMark/>
          </w:tcPr>
          <w:p w14:paraId="6CC47B50"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2127" w:type="dxa"/>
            <w:noWrap/>
            <w:vAlign w:val="bottom"/>
            <w:hideMark/>
          </w:tcPr>
          <w:p w14:paraId="48BB960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81.17</w:t>
            </w:r>
          </w:p>
        </w:tc>
        <w:tc>
          <w:tcPr>
            <w:tcW w:w="2268" w:type="dxa"/>
            <w:noWrap/>
            <w:vAlign w:val="bottom"/>
            <w:hideMark/>
          </w:tcPr>
          <w:p w14:paraId="5F76C4EF"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80.83</w:t>
            </w:r>
          </w:p>
        </w:tc>
        <w:tc>
          <w:tcPr>
            <w:tcW w:w="2551" w:type="dxa"/>
            <w:vAlign w:val="bottom"/>
          </w:tcPr>
          <w:p w14:paraId="6A6DE87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81.00</w:t>
            </w:r>
          </w:p>
        </w:tc>
      </w:tr>
      <w:tr w:rsidR="00590672" w:rsidRPr="00590672" w14:paraId="776DFAD2" w14:textId="77777777" w:rsidTr="001577F7">
        <w:trPr>
          <w:trHeight w:val="351"/>
        </w:trPr>
        <w:tc>
          <w:tcPr>
            <w:tcW w:w="2376" w:type="dxa"/>
            <w:noWrap/>
            <w:vAlign w:val="bottom"/>
            <w:hideMark/>
          </w:tcPr>
          <w:p w14:paraId="645A1206"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2127" w:type="dxa"/>
            <w:noWrap/>
            <w:vAlign w:val="bottom"/>
            <w:hideMark/>
          </w:tcPr>
          <w:p w14:paraId="6E726F7B"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82.09</w:t>
            </w:r>
          </w:p>
        </w:tc>
        <w:tc>
          <w:tcPr>
            <w:tcW w:w="2268" w:type="dxa"/>
            <w:noWrap/>
            <w:vAlign w:val="bottom"/>
            <w:hideMark/>
          </w:tcPr>
          <w:p w14:paraId="372BB2D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83.91</w:t>
            </w:r>
          </w:p>
        </w:tc>
        <w:tc>
          <w:tcPr>
            <w:tcW w:w="2551" w:type="dxa"/>
            <w:vAlign w:val="bottom"/>
          </w:tcPr>
          <w:p w14:paraId="22782D4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83.00</w:t>
            </w:r>
          </w:p>
        </w:tc>
      </w:tr>
      <w:tr w:rsidR="00590672" w:rsidRPr="00590672" w14:paraId="38032CFF" w14:textId="77777777" w:rsidTr="001577F7">
        <w:trPr>
          <w:trHeight w:val="351"/>
        </w:trPr>
        <w:tc>
          <w:tcPr>
            <w:tcW w:w="2376" w:type="dxa"/>
            <w:noWrap/>
            <w:vAlign w:val="bottom"/>
            <w:hideMark/>
          </w:tcPr>
          <w:p w14:paraId="513C380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lastRenderedPageBreak/>
              <w:t>T</w:t>
            </w:r>
            <w:r w:rsidRPr="00B207B3">
              <w:rPr>
                <w:rFonts w:ascii="Arial Black" w:eastAsia="Times New Roman" w:hAnsi="Arial Black"/>
                <w:b/>
                <w:bCs/>
                <w:color w:val="000000"/>
                <w:vertAlign w:val="subscript"/>
              </w:rPr>
              <w:t>4</w:t>
            </w:r>
          </w:p>
        </w:tc>
        <w:tc>
          <w:tcPr>
            <w:tcW w:w="2127" w:type="dxa"/>
            <w:noWrap/>
            <w:vAlign w:val="bottom"/>
            <w:hideMark/>
          </w:tcPr>
          <w:p w14:paraId="0E3F755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82.98</w:t>
            </w:r>
          </w:p>
        </w:tc>
        <w:tc>
          <w:tcPr>
            <w:tcW w:w="2268" w:type="dxa"/>
            <w:noWrap/>
            <w:vAlign w:val="bottom"/>
            <w:hideMark/>
          </w:tcPr>
          <w:p w14:paraId="33852E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83.82</w:t>
            </w:r>
          </w:p>
        </w:tc>
        <w:tc>
          <w:tcPr>
            <w:tcW w:w="2551" w:type="dxa"/>
            <w:vAlign w:val="bottom"/>
          </w:tcPr>
          <w:p w14:paraId="1758781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83.40</w:t>
            </w:r>
          </w:p>
        </w:tc>
      </w:tr>
      <w:tr w:rsidR="00590672" w:rsidRPr="00590672" w14:paraId="67D9ED0B" w14:textId="77777777" w:rsidTr="001577F7">
        <w:trPr>
          <w:trHeight w:val="351"/>
        </w:trPr>
        <w:tc>
          <w:tcPr>
            <w:tcW w:w="2376" w:type="dxa"/>
            <w:noWrap/>
            <w:vAlign w:val="bottom"/>
            <w:hideMark/>
          </w:tcPr>
          <w:p w14:paraId="6CE20009"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2127" w:type="dxa"/>
            <w:noWrap/>
            <w:vAlign w:val="bottom"/>
            <w:hideMark/>
          </w:tcPr>
          <w:p w14:paraId="35284B7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84.47</w:t>
            </w:r>
          </w:p>
        </w:tc>
        <w:tc>
          <w:tcPr>
            <w:tcW w:w="2268" w:type="dxa"/>
            <w:noWrap/>
            <w:vAlign w:val="bottom"/>
            <w:hideMark/>
          </w:tcPr>
          <w:p w14:paraId="65E3C0D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86.53</w:t>
            </w:r>
          </w:p>
        </w:tc>
        <w:tc>
          <w:tcPr>
            <w:tcW w:w="2551" w:type="dxa"/>
            <w:vAlign w:val="bottom"/>
          </w:tcPr>
          <w:p w14:paraId="6D68C85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85.50</w:t>
            </w:r>
          </w:p>
        </w:tc>
      </w:tr>
      <w:tr w:rsidR="00590672" w:rsidRPr="00590672" w14:paraId="64BF1CB2" w14:textId="77777777" w:rsidTr="001577F7">
        <w:trPr>
          <w:trHeight w:val="351"/>
        </w:trPr>
        <w:tc>
          <w:tcPr>
            <w:tcW w:w="2376" w:type="dxa"/>
            <w:noWrap/>
            <w:vAlign w:val="bottom"/>
            <w:hideMark/>
          </w:tcPr>
          <w:p w14:paraId="2E67B78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2127" w:type="dxa"/>
            <w:noWrap/>
            <w:vAlign w:val="bottom"/>
            <w:hideMark/>
          </w:tcPr>
          <w:p w14:paraId="5BF9A66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84.26</w:t>
            </w:r>
          </w:p>
        </w:tc>
        <w:tc>
          <w:tcPr>
            <w:tcW w:w="2268" w:type="dxa"/>
            <w:noWrap/>
            <w:vAlign w:val="bottom"/>
            <w:hideMark/>
          </w:tcPr>
          <w:p w14:paraId="1371221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84.34</w:t>
            </w:r>
          </w:p>
        </w:tc>
        <w:tc>
          <w:tcPr>
            <w:tcW w:w="2551" w:type="dxa"/>
            <w:vAlign w:val="bottom"/>
          </w:tcPr>
          <w:p w14:paraId="7634DAE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84.30</w:t>
            </w:r>
          </w:p>
        </w:tc>
      </w:tr>
      <w:tr w:rsidR="00590672" w:rsidRPr="00590672" w14:paraId="25CE3767" w14:textId="77777777" w:rsidTr="001577F7">
        <w:trPr>
          <w:trHeight w:val="351"/>
        </w:trPr>
        <w:tc>
          <w:tcPr>
            <w:tcW w:w="2376" w:type="dxa"/>
            <w:noWrap/>
            <w:vAlign w:val="bottom"/>
            <w:hideMark/>
          </w:tcPr>
          <w:p w14:paraId="12BCC2D7"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2127" w:type="dxa"/>
            <w:noWrap/>
            <w:vAlign w:val="bottom"/>
            <w:hideMark/>
          </w:tcPr>
          <w:p w14:paraId="6E8B7457"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85.86</w:t>
            </w:r>
          </w:p>
        </w:tc>
        <w:tc>
          <w:tcPr>
            <w:tcW w:w="2268" w:type="dxa"/>
            <w:noWrap/>
            <w:vAlign w:val="bottom"/>
            <w:hideMark/>
          </w:tcPr>
          <w:p w14:paraId="76FB1D5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86.54</w:t>
            </w:r>
          </w:p>
        </w:tc>
        <w:tc>
          <w:tcPr>
            <w:tcW w:w="2551" w:type="dxa"/>
            <w:vAlign w:val="bottom"/>
          </w:tcPr>
          <w:p w14:paraId="1AA0CC6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86.20</w:t>
            </w:r>
          </w:p>
        </w:tc>
      </w:tr>
      <w:tr w:rsidR="00590672" w:rsidRPr="00590672" w14:paraId="5E76A241" w14:textId="77777777" w:rsidTr="001577F7">
        <w:trPr>
          <w:trHeight w:val="351"/>
        </w:trPr>
        <w:tc>
          <w:tcPr>
            <w:tcW w:w="2376" w:type="dxa"/>
            <w:noWrap/>
            <w:vAlign w:val="bottom"/>
            <w:hideMark/>
          </w:tcPr>
          <w:p w14:paraId="733035CB"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2127" w:type="dxa"/>
            <w:noWrap/>
            <w:vAlign w:val="bottom"/>
            <w:hideMark/>
          </w:tcPr>
          <w:p w14:paraId="1B8CA29C"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84.69</w:t>
            </w:r>
          </w:p>
        </w:tc>
        <w:tc>
          <w:tcPr>
            <w:tcW w:w="2268" w:type="dxa"/>
            <w:noWrap/>
            <w:vAlign w:val="bottom"/>
            <w:hideMark/>
          </w:tcPr>
          <w:p w14:paraId="7D4709D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82.51</w:t>
            </w:r>
          </w:p>
        </w:tc>
        <w:tc>
          <w:tcPr>
            <w:tcW w:w="2551" w:type="dxa"/>
            <w:vAlign w:val="bottom"/>
          </w:tcPr>
          <w:p w14:paraId="295289A1"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83.60</w:t>
            </w:r>
          </w:p>
        </w:tc>
      </w:tr>
      <w:tr w:rsidR="00590672" w:rsidRPr="00590672" w14:paraId="29E75E13" w14:textId="77777777" w:rsidTr="001577F7">
        <w:trPr>
          <w:trHeight w:val="351"/>
        </w:trPr>
        <w:tc>
          <w:tcPr>
            <w:tcW w:w="2376" w:type="dxa"/>
            <w:noWrap/>
            <w:vAlign w:val="bottom"/>
            <w:hideMark/>
          </w:tcPr>
          <w:p w14:paraId="083B7D5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2127" w:type="dxa"/>
            <w:noWrap/>
            <w:vAlign w:val="bottom"/>
            <w:hideMark/>
          </w:tcPr>
          <w:p w14:paraId="6D454C3F"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83.64</w:t>
            </w:r>
          </w:p>
        </w:tc>
        <w:tc>
          <w:tcPr>
            <w:tcW w:w="2268" w:type="dxa"/>
            <w:noWrap/>
            <w:vAlign w:val="bottom"/>
            <w:hideMark/>
          </w:tcPr>
          <w:p w14:paraId="168B09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81.16</w:t>
            </w:r>
          </w:p>
        </w:tc>
        <w:tc>
          <w:tcPr>
            <w:tcW w:w="2551" w:type="dxa"/>
            <w:vAlign w:val="bottom"/>
          </w:tcPr>
          <w:p w14:paraId="6EFAE31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82.40</w:t>
            </w:r>
          </w:p>
        </w:tc>
      </w:tr>
      <w:tr w:rsidR="00590672" w:rsidRPr="00590672" w14:paraId="1C4348A6" w14:textId="77777777" w:rsidTr="001577F7">
        <w:trPr>
          <w:trHeight w:val="351"/>
        </w:trPr>
        <w:tc>
          <w:tcPr>
            <w:tcW w:w="2376" w:type="dxa"/>
            <w:noWrap/>
            <w:vAlign w:val="bottom"/>
            <w:hideMark/>
          </w:tcPr>
          <w:p w14:paraId="2C10BBAC"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2127" w:type="dxa"/>
            <w:noWrap/>
            <w:vAlign w:val="bottom"/>
            <w:hideMark/>
          </w:tcPr>
          <w:p w14:paraId="18FC74E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86.29</w:t>
            </w:r>
          </w:p>
        </w:tc>
        <w:tc>
          <w:tcPr>
            <w:tcW w:w="2268" w:type="dxa"/>
            <w:noWrap/>
            <w:vAlign w:val="bottom"/>
            <w:hideMark/>
          </w:tcPr>
          <w:p w14:paraId="281C827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86.51</w:t>
            </w:r>
          </w:p>
        </w:tc>
        <w:tc>
          <w:tcPr>
            <w:tcW w:w="2551" w:type="dxa"/>
            <w:vAlign w:val="bottom"/>
          </w:tcPr>
          <w:p w14:paraId="68C658A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86.40</w:t>
            </w:r>
          </w:p>
        </w:tc>
      </w:tr>
      <w:tr w:rsidR="00590672" w:rsidRPr="00590672" w14:paraId="069110FE" w14:textId="77777777" w:rsidTr="001577F7">
        <w:trPr>
          <w:trHeight w:val="351"/>
        </w:trPr>
        <w:tc>
          <w:tcPr>
            <w:tcW w:w="2376" w:type="dxa"/>
            <w:noWrap/>
            <w:vAlign w:val="bottom"/>
            <w:hideMark/>
          </w:tcPr>
          <w:p w14:paraId="5C46BD34"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2127" w:type="dxa"/>
            <w:noWrap/>
            <w:vAlign w:val="bottom"/>
            <w:hideMark/>
          </w:tcPr>
          <w:p w14:paraId="20D556E0"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84.96</w:t>
            </w:r>
          </w:p>
        </w:tc>
        <w:tc>
          <w:tcPr>
            <w:tcW w:w="2268" w:type="dxa"/>
            <w:noWrap/>
            <w:vAlign w:val="bottom"/>
            <w:hideMark/>
          </w:tcPr>
          <w:p w14:paraId="337280D4"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83.84</w:t>
            </w:r>
          </w:p>
        </w:tc>
        <w:tc>
          <w:tcPr>
            <w:tcW w:w="2551" w:type="dxa"/>
            <w:vAlign w:val="bottom"/>
          </w:tcPr>
          <w:p w14:paraId="4AC51A5C"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84.40</w:t>
            </w:r>
          </w:p>
        </w:tc>
      </w:tr>
      <w:tr w:rsidR="00590672" w:rsidRPr="00590672" w14:paraId="550EF25D" w14:textId="77777777" w:rsidTr="001577F7">
        <w:trPr>
          <w:trHeight w:val="351"/>
        </w:trPr>
        <w:tc>
          <w:tcPr>
            <w:tcW w:w="2376" w:type="dxa"/>
            <w:noWrap/>
            <w:vAlign w:val="bottom"/>
            <w:hideMark/>
          </w:tcPr>
          <w:p w14:paraId="0645A463"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2127" w:type="dxa"/>
            <w:noWrap/>
            <w:vAlign w:val="bottom"/>
            <w:hideMark/>
          </w:tcPr>
          <w:p w14:paraId="38C021B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83.56</w:t>
            </w:r>
          </w:p>
        </w:tc>
        <w:tc>
          <w:tcPr>
            <w:tcW w:w="2268" w:type="dxa"/>
            <w:noWrap/>
            <w:vAlign w:val="bottom"/>
            <w:hideMark/>
          </w:tcPr>
          <w:p w14:paraId="3DDA225A"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82.64</w:t>
            </w:r>
          </w:p>
        </w:tc>
        <w:tc>
          <w:tcPr>
            <w:tcW w:w="2551" w:type="dxa"/>
            <w:vAlign w:val="bottom"/>
          </w:tcPr>
          <w:p w14:paraId="7464AB5D"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83.10</w:t>
            </w:r>
          </w:p>
        </w:tc>
      </w:tr>
      <w:tr w:rsidR="00590672" w:rsidRPr="00590672" w14:paraId="164DA27D" w14:textId="77777777" w:rsidTr="001577F7">
        <w:trPr>
          <w:trHeight w:val="351"/>
        </w:trPr>
        <w:tc>
          <w:tcPr>
            <w:tcW w:w="2376" w:type="dxa"/>
            <w:noWrap/>
            <w:vAlign w:val="bottom"/>
            <w:hideMark/>
          </w:tcPr>
          <w:p w14:paraId="3974C30F" w14:textId="77777777" w:rsidR="00590672" w:rsidRPr="00B207B3" w:rsidRDefault="00590672" w:rsidP="00590672">
            <w:pPr>
              <w:spacing w:after="0" w:line="240" w:lineRule="auto"/>
              <w:jc w:val="center"/>
              <w:rPr>
                <w:rFonts w:ascii="Arial Black" w:eastAsia="Times New Roman" w:hAnsi="Arial Black"/>
                <w:b/>
                <w:bCs/>
                <w:color w:val="00000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2127" w:type="dxa"/>
            <w:noWrap/>
            <w:vAlign w:val="bottom"/>
            <w:hideMark/>
          </w:tcPr>
          <w:p w14:paraId="4F6BF82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80.49</w:t>
            </w:r>
          </w:p>
        </w:tc>
        <w:tc>
          <w:tcPr>
            <w:tcW w:w="2268" w:type="dxa"/>
            <w:noWrap/>
            <w:vAlign w:val="bottom"/>
            <w:hideMark/>
          </w:tcPr>
          <w:p w14:paraId="7C1BEAF9"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81.91</w:t>
            </w:r>
          </w:p>
        </w:tc>
        <w:tc>
          <w:tcPr>
            <w:tcW w:w="2551" w:type="dxa"/>
            <w:vAlign w:val="bottom"/>
          </w:tcPr>
          <w:p w14:paraId="5612477E"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81.20</w:t>
            </w:r>
          </w:p>
        </w:tc>
      </w:tr>
      <w:tr w:rsidR="00590672" w:rsidRPr="00590672" w14:paraId="024C19A1" w14:textId="77777777" w:rsidTr="001577F7">
        <w:trPr>
          <w:trHeight w:val="351"/>
        </w:trPr>
        <w:tc>
          <w:tcPr>
            <w:tcW w:w="2376" w:type="dxa"/>
            <w:noWrap/>
            <w:vAlign w:val="bottom"/>
            <w:hideMark/>
          </w:tcPr>
          <w:p w14:paraId="3B5F5699"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eastAsia="Times New Roman" w:hAnsi="Arial Black"/>
                <w:b/>
                <w:color w:val="000000"/>
              </w:rPr>
              <w:t>SEm±</w:t>
            </w:r>
          </w:p>
        </w:tc>
        <w:tc>
          <w:tcPr>
            <w:tcW w:w="2127" w:type="dxa"/>
            <w:noWrap/>
            <w:vAlign w:val="bottom"/>
            <w:hideMark/>
          </w:tcPr>
          <w:p w14:paraId="538A067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0.936</w:t>
            </w:r>
          </w:p>
        </w:tc>
        <w:tc>
          <w:tcPr>
            <w:tcW w:w="2268" w:type="dxa"/>
            <w:noWrap/>
            <w:vAlign w:val="bottom"/>
            <w:hideMark/>
          </w:tcPr>
          <w:p w14:paraId="71271018"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1.361</w:t>
            </w:r>
          </w:p>
        </w:tc>
        <w:tc>
          <w:tcPr>
            <w:tcW w:w="2551" w:type="dxa"/>
            <w:vAlign w:val="bottom"/>
          </w:tcPr>
          <w:p w14:paraId="02A15525"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1.107</w:t>
            </w:r>
          </w:p>
        </w:tc>
      </w:tr>
      <w:tr w:rsidR="00590672" w:rsidRPr="00590672" w14:paraId="781456CD" w14:textId="77777777" w:rsidTr="001577F7">
        <w:trPr>
          <w:trHeight w:val="351"/>
        </w:trPr>
        <w:tc>
          <w:tcPr>
            <w:tcW w:w="2376" w:type="dxa"/>
            <w:noWrap/>
            <w:vAlign w:val="bottom"/>
            <w:hideMark/>
          </w:tcPr>
          <w:p w14:paraId="3C7FD6E9" w14:textId="77777777" w:rsidR="00590672" w:rsidRPr="00B207B3" w:rsidRDefault="00590672" w:rsidP="00590672">
            <w:pPr>
              <w:spacing w:after="0" w:line="240" w:lineRule="auto"/>
              <w:jc w:val="center"/>
              <w:rPr>
                <w:rFonts w:ascii="Arial Black" w:eastAsia="Times New Roman" w:hAnsi="Arial Black"/>
                <w:b/>
                <w:color w:val="00000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2127" w:type="dxa"/>
            <w:noWrap/>
            <w:vAlign w:val="bottom"/>
            <w:hideMark/>
          </w:tcPr>
          <w:p w14:paraId="0F647392"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2.888</w:t>
            </w:r>
          </w:p>
        </w:tc>
        <w:tc>
          <w:tcPr>
            <w:tcW w:w="2268" w:type="dxa"/>
            <w:noWrap/>
            <w:vAlign w:val="bottom"/>
            <w:hideMark/>
          </w:tcPr>
          <w:p w14:paraId="1BB26C73"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3.115</w:t>
            </w:r>
          </w:p>
        </w:tc>
        <w:tc>
          <w:tcPr>
            <w:tcW w:w="2551" w:type="dxa"/>
            <w:vAlign w:val="bottom"/>
          </w:tcPr>
          <w:p w14:paraId="26F74B66" w14:textId="77777777" w:rsidR="00590672" w:rsidRPr="00B207B3" w:rsidRDefault="00590672" w:rsidP="00590672">
            <w:pPr>
              <w:spacing w:after="0" w:line="240" w:lineRule="auto"/>
              <w:jc w:val="center"/>
              <w:rPr>
                <w:rFonts w:ascii="Arial" w:hAnsi="Arial" w:cs="Arial"/>
                <w:color w:val="000000"/>
                <w:sz w:val="20"/>
                <w:szCs w:val="20"/>
              </w:rPr>
            </w:pPr>
            <w:r w:rsidRPr="00B207B3">
              <w:rPr>
                <w:rFonts w:ascii="Arial" w:hAnsi="Arial" w:cs="Arial"/>
                <w:color w:val="000000"/>
                <w:sz w:val="20"/>
                <w:szCs w:val="20"/>
              </w:rPr>
              <w:t>3.236</w:t>
            </w:r>
          </w:p>
        </w:tc>
      </w:tr>
    </w:tbl>
    <w:p w14:paraId="3F52F301" w14:textId="77777777" w:rsidR="00590672" w:rsidRDefault="00590672" w:rsidP="0053523B">
      <w:pPr>
        <w:pStyle w:val="NormalWeb"/>
        <w:spacing w:before="0" w:beforeAutospacing="0" w:after="0" w:afterAutospacing="0" w:line="360" w:lineRule="auto"/>
        <w:jc w:val="both"/>
      </w:pPr>
    </w:p>
    <w:p w14:paraId="6C414301" w14:textId="77777777" w:rsidR="00590672" w:rsidRPr="00A158D6" w:rsidRDefault="00590672" w:rsidP="00590672">
      <w:pPr>
        <w:spacing w:after="0" w:line="360" w:lineRule="auto"/>
        <w:jc w:val="center"/>
        <w:rPr>
          <w:rFonts w:ascii="Arial Black" w:hAnsi="Arial Black"/>
        </w:rPr>
      </w:pPr>
      <w:r w:rsidRPr="00A158D6">
        <w:rPr>
          <w:rFonts w:ascii="Arial Black" w:hAnsi="Arial Black"/>
          <w:b/>
        </w:rPr>
        <w:t xml:space="preserve">Fig. 1 </w:t>
      </w:r>
      <w:r w:rsidRPr="00A158D6">
        <w:rPr>
          <w:rFonts w:ascii="Arial Black" w:hAnsi="Arial Black"/>
        </w:rPr>
        <w:t xml:space="preserve"> </w:t>
      </w:r>
      <w:r w:rsidRPr="00A158D6">
        <w:rPr>
          <w:rFonts w:ascii="Arial Black" w:hAnsi="Arial Black"/>
          <w:b/>
        </w:rPr>
        <w:t>Effect of different micronutrient application on Ascorbic acid in Broccoli.</w:t>
      </w:r>
    </w:p>
    <w:p w14:paraId="1EB46ECF" w14:textId="77777777" w:rsidR="00590672" w:rsidRDefault="00590672" w:rsidP="00825CEC">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69C3D281" wp14:editId="186F8C30">
            <wp:extent cx="5016997" cy="1645920"/>
            <wp:effectExtent l="19050" t="0" r="12203" b="0"/>
            <wp:docPr id="1"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0BAEFA" w14:textId="77777777" w:rsidR="00594DC0" w:rsidRDefault="00594DC0" w:rsidP="00594DC0">
      <w:pPr>
        <w:spacing w:after="0" w:line="360" w:lineRule="auto"/>
        <w:jc w:val="both"/>
        <w:rPr>
          <w:rFonts w:ascii="Times New Roman" w:hAnsi="Times New Roman"/>
          <w:b/>
          <w:sz w:val="20"/>
          <w:szCs w:val="20"/>
        </w:rPr>
      </w:pPr>
    </w:p>
    <w:p w14:paraId="5A447400" w14:textId="77777777" w:rsidR="00594DC0" w:rsidRPr="00A158D6" w:rsidRDefault="00594DC0" w:rsidP="00594DC0">
      <w:pPr>
        <w:spacing w:after="0" w:line="360" w:lineRule="auto"/>
        <w:jc w:val="center"/>
        <w:rPr>
          <w:rFonts w:ascii="Arial Black" w:hAnsi="Arial Black"/>
        </w:rPr>
      </w:pPr>
      <w:r w:rsidRPr="00A158D6">
        <w:rPr>
          <w:rFonts w:ascii="Arial Black" w:hAnsi="Arial Black"/>
          <w:b/>
        </w:rPr>
        <w:t>Fig. 2</w:t>
      </w:r>
      <w:r w:rsidRPr="00A158D6">
        <w:rPr>
          <w:rFonts w:ascii="Arial Black" w:hAnsi="Arial Black"/>
        </w:rPr>
        <w:t xml:space="preserve"> </w:t>
      </w:r>
      <w:r w:rsidRPr="00A158D6">
        <w:rPr>
          <w:rFonts w:ascii="Arial Black" w:hAnsi="Arial Black"/>
          <w:b/>
        </w:rPr>
        <w:t>Effect of different micronutrient application on Total Soluble Solid in Broccoli.</w:t>
      </w:r>
    </w:p>
    <w:p w14:paraId="0F231346" w14:textId="77777777" w:rsidR="00594DC0" w:rsidRPr="00594DC0" w:rsidRDefault="00594DC0" w:rsidP="00825CEC">
      <w:pPr>
        <w:spacing w:after="0" w:line="360" w:lineRule="auto"/>
        <w:jc w:val="center"/>
        <w:rPr>
          <w:rFonts w:ascii="Times New Roman" w:hAnsi="Times New Roman"/>
          <w:b/>
          <w:sz w:val="20"/>
          <w:szCs w:val="20"/>
        </w:rPr>
      </w:pPr>
      <w:r w:rsidRPr="00594DC0">
        <w:rPr>
          <w:rFonts w:ascii="Times New Roman" w:hAnsi="Times New Roman"/>
          <w:b/>
          <w:noProof/>
          <w:sz w:val="20"/>
          <w:szCs w:val="20"/>
        </w:rPr>
        <w:drawing>
          <wp:inline distT="0" distB="0" distL="0" distR="0" wp14:anchorId="0A61C171" wp14:editId="6346C1C6">
            <wp:extent cx="4963851" cy="1592497"/>
            <wp:effectExtent l="19050" t="0" r="27249" b="7703"/>
            <wp:docPr id="6"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A70DCA" w14:textId="77777777" w:rsidR="00825CEC" w:rsidRDefault="00825CEC" w:rsidP="00594DC0">
      <w:pPr>
        <w:spacing w:after="0" w:line="360" w:lineRule="auto"/>
        <w:jc w:val="center"/>
        <w:rPr>
          <w:rFonts w:ascii="Times New Roman" w:hAnsi="Times New Roman"/>
          <w:b/>
          <w:sz w:val="20"/>
          <w:szCs w:val="20"/>
        </w:rPr>
      </w:pPr>
    </w:p>
    <w:p w14:paraId="56C8E269" w14:textId="77777777" w:rsidR="00594DC0" w:rsidRPr="00A158D6" w:rsidRDefault="00594DC0" w:rsidP="00594DC0">
      <w:pPr>
        <w:spacing w:after="0" w:line="360" w:lineRule="auto"/>
        <w:jc w:val="center"/>
        <w:rPr>
          <w:rFonts w:ascii="Arial Black" w:hAnsi="Arial Black"/>
        </w:rPr>
      </w:pPr>
      <w:r w:rsidRPr="00A158D6">
        <w:rPr>
          <w:rFonts w:ascii="Arial Black" w:hAnsi="Arial Black"/>
          <w:b/>
        </w:rPr>
        <w:lastRenderedPageBreak/>
        <w:t>Table. 3.  Effect of different micronutrient application on Total Soluble Solid in Broccoli.</w:t>
      </w:r>
    </w:p>
    <w:tbl>
      <w:tblPr>
        <w:tblW w:w="854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843"/>
        <w:gridCol w:w="1984"/>
        <w:gridCol w:w="2552"/>
      </w:tblGrid>
      <w:tr w:rsidR="00594DC0" w:rsidRPr="00594DC0" w14:paraId="4A610E49" w14:textId="77777777" w:rsidTr="001577F7">
        <w:trPr>
          <w:trHeight w:val="317"/>
        </w:trPr>
        <w:tc>
          <w:tcPr>
            <w:tcW w:w="2167" w:type="dxa"/>
            <w:vMerge w:val="restart"/>
            <w:noWrap/>
            <w:vAlign w:val="bottom"/>
            <w:hideMark/>
          </w:tcPr>
          <w:p w14:paraId="73A2C2CA" w14:textId="77777777" w:rsidR="00594DC0" w:rsidRPr="00707938" w:rsidRDefault="00594DC0" w:rsidP="00825CEC">
            <w:pPr>
              <w:spacing w:after="0" w:line="240" w:lineRule="auto"/>
              <w:jc w:val="center"/>
              <w:rPr>
                <w:rFonts w:ascii="Arial Black" w:eastAsia="Times New Roman" w:hAnsi="Arial Black"/>
                <w:b/>
                <w:bCs/>
                <w:color w:val="000000"/>
              </w:rPr>
            </w:pPr>
          </w:p>
          <w:p w14:paraId="4617A7C2" w14:textId="77777777" w:rsidR="00594DC0" w:rsidRPr="00707938" w:rsidRDefault="00594DC0" w:rsidP="00825CEC">
            <w:pPr>
              <w:spacing w:after="0" w:line="240" w:lineRule="auto"/>
              <w:jc w:val="center"/>
              <w:rPr>
                <w:rFonts w:ascii="Arial Black" w:eastAsia="Times New Roman" w:hAnsi="Arial Black"/>
                <w:b/>
                <w:bCs/>
                <w:color w:val="000000"/>
              </w:rPr>
            </w:pPr>
            <w:r w:rsidRPr="00707938">
              <w:rPr>
                <w:rFonts w:ascii="Arial Black" w:eastAsia="Times New Roman" w:hAnsi="Arial Black"/>
                <w:b/>
                <w:bCs/>
                <w:color w:val="000000"/>
              </w:rPr>
              <w:t>Treatments</w:t>
            </w:r>
          </w:p>
        </w:tc>
        <w:tc>
          <w:tcPr>
            <w:tcW w:w="6379" w:type="dxa"/>
            <w:gridSpan w:val="3"/>
            <w:noWrap/>
            <w:vAlign w:val="bottom"/>
            <w:hideMark/>
          </w:tcPr>
          <w:p w14:paraId="148B985E" w14:textId="77777777" w:rsidR="00594DC0" w:rsidRPr="00707938" w:rsidRDefault="00594DC0" w:rsidP="00825CEC">
            <w:pPr>
              <w:spacing w:after="0" w:line="240" w:lineRule="auto"/>
              <w:jc w:val="center"/>
              <w:rPr>
                <w:rFonts w:ascii="Arial Black" w:hAnsi="Arial Black"/>
                <w:b/>
              </w:rPr>
            </w:pPr>
            <w:r w:rsidRPr="00707938">
              <w:rPr>
                <w:rFonts w:ascii="Arial Black" w:hAnsi="Arial Black"/>
                <w:b/>
              </w:rPr>
              <w:t>Total soluble solid (%)</w:t>
            </w:r>
          </w:p>
        </w:tc>
      </w:tr>
      <w:tr w:rsidR="00594DC0" w:rsidRPr="00594DC0" w14:paraId="7CA1012F" w14:textId="77777777" w:rsidTr="001577F7">
        <w:trPr>
          <w:trHeight w:val="241"/>
        </w:trPr>
        <w:tc>
          <w:tcPr>
            <w:tcW w:w="2167" w:type="dxa"/>
            <w:vMerge/>
            <w:noWrap/>
            <w:vAlign w:val="bottom"/>
            <w:hideMark/>
          </w:tcPr>
          <w:p w14:paraId="086DF2F2" w14:textId="77777777" w:rsidR="00594DC0" w:rsidRPr="00707938" w:rsidRDefault="00594DC0" w:rsidP="00825CEC">
            <w:pPr>
              <w:spacing w:after="0" w:line="240" w:lineRule="auto"/>
              <w:jc w:val="center"/>
              <w:rPr>
                <w:rFonts w:ascii="Arial Black" w:eastAsia="Times New Roman" w:hAnsi="Arial Black"/>
                <w:b/>
                <w:bCs/>
                <w:color w:val="000000"/>
              </w:rPr>
            </w:pPr>
          </w:p>
        </w:tc>
        <w:tc>
          <w:tcPr>
            <w:tcW w:w="1843" w:type="dxa"/>
            <w:noWrap/>
            <w:vAlign w:val="bottom"/>
            <w:hideMark/>
          </w:tcPr>
          <w:p w14:paraId="7D0DDB04"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2020-21</w:t>
            </w:r>
          </w:p>
        </w:tc>
        <w:tc>
          <w:tcPr>
            <w:tcW w:w="1984" w:type="dxa"/>
            <w:noWrap/>
            <w:vAlign w:val="bottom"/>
            <w:hideMark/>
          </w:tcPr>
          <w:p w14:paraId="179835FF"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2021-22</w:t>
            </w:r>
          </w:p>
        </w:tc>
        <w:tc>
          <w:tcPr>
            <w:tcW w:w="2552" w:type="dxa"/>
            <w:vAlign w:val="bottom"/>
          </w:tcPr>
          <w:p w14:paraId="455C2FC2" w14:textId="77777777" w:rsidR="00594DC0" w:rsidRPr="00707938" w:rsidRDefault="00594DC0" w:rsidP="00825CEC">
            <w:pPr>
              <w:spacing w:after="0" w:line="240" w:lineRule="auto"/>
              <w:jc w:val="center"/>
              <w:rPr>
                <w:rFonts w:ascii="Arial Black" w:hAnsi="Arial Black"/>
                <w:b/>
                <w:color w:val="000000"/>
              </w:rPr>
            </w:pPr>
            <w:r w:rsidRPr="00707938">
              <w:rPr>
                <w:rFonts w:ascii="Arial Black" w:hAnsi="Arial Black"/>
                <w:b/>
                <w:color w:val="000000"/>
              </w:rPr>
              <w:t>Pooled</w:t>
            </w:r>
          </w:p>
        </w:tc>
      </w:tr>
      <w:tr w:rsidR="00A158D6" w:rsidRPr="00594DC0" w14:paraId="293EA7DC" w14:textId="77777777" w:rsidTr="001577F7">
        <w:trPr>
          <w:trHeight w:val="351"/>
        </w:trPr>
        <w:tc>
          <w:tcPr>
            <w:tcW w:w="2167" w:type="dxa"/>
            <w:noWrap/>
            <w:vAlign w:val="bottom"/>
            <w:hideMark/>
          </w:tcPr>
          <w:p w14:paraId="47B774DD" w14:textId="161CA621"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843" w:type="dxa"/>
            <w:noWrap/>
            <w:vAlign w:val="bottom"/>
            <w:hideMark/>
          </w:tcPr>
          <w:p w14:paraId="640B27D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5.98</w:t>
            </w:r>
          </w:p>
        </w:tc>
        <w:tc>
          <w:tcPr>
            <w:tcW w:w="1984" w:type="dxa"/>
            <w:noWrap/>
            <w:vAlign w:val="bottom"/>
            <w:hideMark/>
          </w:tcPr>
          <w:p w14:paraId="1B03352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6.02</w:t>
            </w:r>
          </w:p>
        </w:tc>
        <w:tc>
          <w:tcPr>
            <w:tcW w:w="2552" w:type="dxa"/>
            <w:vAlign w:val="bottom"/>
          </w:tcPr>
          <w:p w14:paraId="6519C8F1"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6.00</w:t>
            </w:r>
          </w:p>
        </w:tc>
      </w:tr>
      <w:tr w:rsidR="00A158D6" w:rsidRPr="00594DC0" w14:paraId="387E8B61" w14:textId="77777777" w:rsidTr="001577F7">
        <w:trPr>
          <w:trHeight w:val="351"/>
        </w:trPr>
        <w:tc>
          <w:tcPr>
            <w:tcW w:w="2167" w:type="dxa"/>
            <w:noWrap/>
            <w:vAlign w:val="bottom"/>
            <w:hideMark/>
          </w:tcPr>
          <w:p w14:paraId="63BA6262" w14:textId="6DA45BCB"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843" w:type="dxa"/>
            <w:noWrap/>
            <w:vAlign w:val="bottom"/>
            <w:hideMark/>
          </w:tcPr>
          <w:p w14:paraId="005D440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6.93</w:t>
            </w:r>
          </w:p>
        </w:tc>
        <w:tc>
          <w:tcPr>
            <w:tcW w:w="1984" w:type="dxa"/>
            <w:noWrap/>
            <w:vAlign w:val="bottom"/>
            <w:hideMark/>
          </w:tcPr>
          <w:p w14:paraId="1507DF7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7.07</w:t>
            </w:r>
          </w:p>
        </w:tc>
        <w:tc>
          <w:tcPr>
            <w:tcW w:w="2552" w:type="dxa"/>
            <w:vAlign w:val="bottom"/>
          </w:tcPr>
          <w:p w14:paraId="6A14BC0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7.00</w:t>
            </w:r>
          </w:p>
        </w:tc>
      </w:tr>
      <w:tr w:rsidR="00A158D6" w:rsidRPr="00594DC0" w14:paraId="61E9BF3C" w14:textId="77777777" w:rsidTr="001577F7">
        <w:trPr>
          <w:trHeight w:val="266"/>
        </w:trPr>
        <w:tc>
          <w:tcPr>
            <w:tcW w:w="2167" w:type="dxa"/>
            <w:noWrap/>
            <w:vAlign w:val="bottom"/>
            <w:hideMark/>
          </w:tcPr>
          <w:p w14:paraId="69B5D9AF" w14:textId="3DC8D163"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843" w:type="dxa"/>
            <w:noWrap/>
            <w:vAlign w:val="bottom"/>
            <w:hideMark/>
          </w:tcPr>
          <w:p w14:paraId="006CF96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7.13</w:t>
            </w:r>
          </w:p>
        </w:tc>
        <w:tc>
          <w:tcPr>
            <w:tcW w:w="1984" w:type="dxa"/>
            <w:noWrap/>
            <w:vAlign w:val="bottom"/>
            <w:hideMark/>
          </w:tcPr>
          <w:p w14:paraId="6FA97ED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7.27</w:t>
            </w:r>
          </w:p>
        </w:tc>
        <w:tc>
          <w:tcPr>
            <w:tcW w:w="2552" w:type="dxa"/>
            <w:vAlign w:val="bottom"/>
          </w:tcPr>
          <w:p w14:paraId="54732F4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r>
      <w:tr w:rsidR="00A158D6" w:rsidRPr="00594DC0" w14:paraId="616062C9" w14:textId="77777777" w:rsidTr="001577F7">
        <w:trPr>
          <w:trHeight w:val="351"/>
        </w:trPr>
        <w:tc>
          <w:tcPr>
            <w:tcW w:w="2167" w:type="dxa"/>
            <w:noWrap/>
            <w:vAlign w:val="bottom"/>
            <w:hideMark/>
          </w:tcPr>
          <w:p w14:paraId="5F5A5815" w14:textId="43F6BEF7"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843" w:type="dxa"/>
            <w:noWrap/>
            <w:vAlign w:val="bottom"/>
            <w:hideMark/>
          </w:tcPr>
          <w:p w14:paraId="27F1FE1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7.52</w:t>
            </w:r>
          </w:p>
        </w:tc>
        <w:tc>
          <w:tcPr>
            <w:tcW w:w="1984" w:type="dxa"/>
            <w:noWrap/>
            <w:vAlign w:val="bottom"/>
            <w:hideMark/>
          </w:tcPr>
          <w:p w14:paraId="09AC7CE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7.68</w:t>
            </w:r>
          </w:p>
        </w:tc>
        <w:tc>
          <w:tcPr>
            <w:tcW w:w="2552" w:type="dxa"/>
            <w:vAlign w:val="bottom"/>
          </w:tcPr>
          <w:p w14:paraId="393FD87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7.60</w:t>
            </w:r>
          </w:p>
        </w:tc>
      </w:tr>
      <w:tr w:rsidR="00A158D6" w:rsidRPr="00594DC0" w14:paraId="26ABA51B" w14:textId="77777777" w:rsidTr="001577F7">
        <w:trPr>
          <w:trHeight w:val="351"/>
        </w:trPr>
        <w:tc>
          <w:tcPr>
            <w:tcW w:w="2167" w:type="dxa"/>
            <w:noWrap/>
            <w:vAlign w:val="bottom"/>
            <w:hideMark/>
          </w:tcPr>
          <w:p w14:paraId="49BAA823" w14:textId="2C3A47C6"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843" w:type="dxa"/>
            <w:noWrap/>
            <w:vAlign w:val="bottom"/>
            <w:hideMark/>
          </w:tcPr>
          <w:p w14:paraId="18D12EDE"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7.92</w:t>
            </w:r>
          </w:p>
        </w:tc>
        <w:tc>
          <w:tcPr>
            <w:tcW w:w="1984" w:type="dxa"/>
            <w:noWrap/>
            <w:vAlign w:val="bottom"/>
            <w:hideMark/>
          </w:tcPr>
          <w:p w14:paraId="2BFFC08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7.68</w:t>
            </w:r>
          </w:p>
        </w:tc>
        <w:tc>
          <w:tcPr>
            <w:tcW w:w="2552" w:type="dxa"/>
            <w:vAlign w:val="bottom"/>
          </w:tcPr>
          <w:p w14:paraId="0D8AF37C"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7.80</w:t>
            </w:r>
          </w:p>
        </w:tc>
      </w:tr>
      <w:tr w:rsidR="00A158D6" w:rsidRPr="00594DC0" w14:paraId="2DB5811E" w14:textId="77777777" w:rsidTr="001577F7">
        <w:trPr>
          <w:trHeight w:val="351"/>
        </w:trPr>
        <w:tc>
          <w:tcPr>
            <w:tcW w:w="2167" w:type="dxa"/>
            <w:noWrap/>
            <w:vAlign w:val="bottom"/>
            <w:hideMark/>
          </w:tcPr>
          <w:p w14:paraId="21E9B41C" w14:textId="7EF5505C"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843" w:type="dxa"/>
            <w:noWrap/>
            <w:vAlign w:val="bottom"/>
            <w:hideMark/>
          </w:tcPr>
          <w:p w14:paraId="1DAF4B9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1984" w:type="dxa"/>
            <w:noWrap/>
            <w:vAlign w:val="bottom"/>
            <w:hideMark/>
          </w:tcPr>
          <w:p w14:paraId="68F3F39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7.34</w:t>
            </w:r>
          </w:p>
        </w:tc>
        <w:tc>
          <w:tcPr>
            <w:tcW w:w="2552" w:type="dxa"/>
            <w:vAlign w:val="bottom"/>
          </w:tcPr>
          <w:p w14:paraId="71D5AF5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7.40</w:t>
            </w:r>
          </w:p>
        </w:tc>
      </w:tr>
      <w:tr w:rsidR="00A158D6" w:rsidRPr="00594DC0" w14:paraId="3AD32B4E" w14:textId="77777777" w:rsidTr="001577F7">
        <w:trPr>
          <w:trHeight w:val="351"/>
        </w:trPr>
        <w:tc>
          <w:tcPr>
            <w:tcW w:w="2167" w:type="dxa"/>
            <w:noWrap/>
            <w:vAlign w:val="bottom"/>
            <w:hideMark/>
          </w:tcPr>
          <w:p w14:paraId="272718F8" w14:textId="693C170A"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843" w:type="dxa"/>
            <w:noWrap/>
            <w:vAlign w:val="bottom"/>
            <w:hideMark/>
          </w:tcPr>
          <w:p w14:paraId="21F596F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7.62</w:t>
            </w:r>
          </w:p>
        </w:tc>
        <w:tc>
          <w:tcPr>
            <w:tcW w:w="1984" w:type="dxa"/>
            <w:noWrap/>
            <w:vAlign w:val="bottom"/>
            <w:hideMark/>
          </w:tcPr>
          <w:p w14:paraId="65AE714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7.58</w:t>
            </w:r>
          </w:p>
        </w:tc>
        <w:tc>
          <w:tcPr>
            <w:tcW w:w="2552" w:type="dxa"/>
            <w:vAlign w:val="bottom"/>
          </w:tcPr>
          <w:p w14:paraId="703BA26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7.60</w:t>
            </w:r>
          </w:p>
        </w:tc>
      </w:tr>
      <w:tr w:rsidR="00A158D6" w:rsidRPr="00594DC0" w14:paraId="02F8EAC7" w14:textId="77777777" w:rsidTr="001577F7">
        <w:trPr>
          <w:trHeight w:val="351"/>
        </w:trPr>
        <w:tc>
          <w:tcPr>
            <w:tcW w:w="2167" w:type="dxa"/>
            <w:noWrap/>
            <w:vAlign w:val="bottom"/>
            <w:hideMark/>
          </w:tcPr>
          <w:p w14:paraId="523124FA" w14:textId="3C7CB507"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843" w:type="dxa"/>
            <w:noWrap/>
            <w:vAlign w:val="bottom"/>
            <w:hideMark/>
          </w:tcPr>
          <w:p w14:paraId="42647C4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c>
          <w:tcPr>
            <w:tcW w:w="1984" w:type="dxa"/>
            <w:noWrap/>
            <w:vAlign w:val="bottom"/>
            <w:hideMark/>
          </w:tcPr>
          <w:p w14:paraId="23FFF05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7.40</w:t>
            </w:r>
          </w:p>
        </w:tc>
        <w:tc>
          <w:tcPr>
            <w:tcW w:w="2552" w:type="dxa"/>
            <w:vAlign w:val="bottom"/>
          </w:tcPr>
          <w:p w14:paraId="2CB3A62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r>
      <w:tr w:rsidR="00A158D6" w:rsidRPr="00594DC0" w14:paraId="12A04955" w14:textId="77777777" w:rsidTr="001577F7">
        <w:trPr>
          <w:trHeight w:val="351"/>
        </w:trPr>
        <w:tc>
          <w:tcPr>
            <w:tcW w:w="2167" w:type="dxa"/>
            <w:noWrap/>
            <w:vAlign w:val="bottom"/>
            <w:hideMark/>
          </w:tcPr>
          <w:p w14:paraId="22537CE8" w14:textId="17EBA264"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843" w:type="dxa"/>
            <w:noWrap/>
            <w:vAlign w:val="bottom"/>
            <w:hideMark/>
          </w:tcPr>
          <w:p w14:paraId="77EB94F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7.61</w:t>
            </w:r>
          </w:p>
        </w:tc>
        <w:tc>
          <w:tcPr>
            <w:tcW w:w="1984" w:type="dxa"/>
            <w:noWrap/>
            <w:vAlign w:val="bottom"/>
            <w:hideMark/>
          </w:tcPr>
          <w:p w14:paraId="23BFB46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7.79</w:t>
            </w:r>
          </w:p>
        </w:tc>
        <w:tc>
          <w:tcPr>
            <w:tcW w:w="2552" w:type="dxa"/>
            <w:vAlign w:val="bottom"/>
          </w:tcPr>
          <w:p w14:paraId="0C78D56C"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7.70</w:t>
            </w:r>
          </w:p>
        </w:tc>
      </w:tr>
      <w:tr w:rsidR="00A158D6" w:rsidRPr="00594DC0" w14:paraId="3F1DE67B" w14:textId="77777777" w:rsidTr="001577F7">
        <w:trPr>
          <w:trHeight w:val="351"/>
        </w:trPr>
        <w:tc>
          <w:tcPr>
            <w:tcW w:w="2167" w:type="dxa"/>
            <w:noWrap/>
            <w:vAlign w:val="bottom"/>
            <w:hideMark/>
          </w:tcPr>
          <w:p w14:paraId="2A2A0517" w14:textId="2EDE7DD8"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843" w:type="dxa"/>
            <w:noWrap/>
            <w:vAlign w:val="bottom"/>
            <w:hideMark/>
          </w:tcPr>
          <w:p w14:paraId="29121A9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7.87</w:t>
            </w:r>
          </w:p>
        </w:tc>
        <w:tc>
          <w:tcPr>
            <w:tcW w:w="1984" w:type="dxa"/>
            <w:noWrap/>
            <w:vAlign w:val="bottom"/>
            <w:hideMark/>
          </w:tcPr>
          <w:p w14:paraId="36923D5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7.93</w:t>
            </w:r>
          </w:p>
        </w:tc>
        <w:tc>
          <w:tcPr>
            <w:tcW w:w="2552" w:type="dxa"/>
            <w:vAlign w:val="bottom"/>
          </w:tcPr>
          <w:p w14:paraId="2348E8F6"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7.90</w:t>
            </w:r>
          </w:p>
        </w:tc>
      </w:tr>
      <w:tr w:rsidR="00A158D6" w:rsidRPr="00594DC0" w14:paraId="59064FD6" w14:textId="77777777" w:rsidTr="001577F7">
        <w:trPr>
          <w:trHeight w:val="351"/>
        </w:trPr>
        <w:tc>
          <w:tcPr>
            <w:tcW w:w="2167" w:type="dxa"/>
            <w:noWrap/>
            <w:vAlign w:val="bottom"/>
            <w:hideMark/>
          </w:tcPr>
          <w:p w14:paraId="791FD09A" w14:textId="7EF531BA"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843" w:type="dxa"/>
            <w:noWrap/>
            <w:vAlign w:val="bottom"/>
            <w:hideMark/>
          </w:tcPr>
          <w:p w14:paraId="54928E91"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7.13</w:t>
            </w:r>
          </w:p>
        </w:tc>
        <w:tc>
          <w:tcPr>
            <w:tcW w:w="1984" w:type="dxa"/>
            <w:noWrap/>
            <w:vAlign w:val="bottom"/>
            <w:hideMark/>
          </w:tcPr>
          <w:p w14:paraId="15743CCD"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7.28</w:t>
            </w:r>
          </w:p>
        </w:tc>
        <w:tc>
          <w:tcPr>
            <w:tcW w:w="2552" w:type="dxa"/>
            <w:vAlign w:val="bottom"/>
          </w:tcPr>
          <w:p w14:paraId="274D3C1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7.20</w:t>
            </w:r>
          </w:p>
        </w:tc>
      </w:tr>
      <w:tr w:rsidR="00A158D6" w:rsidRPr="00594DC0" w14:paraId="6687378B" w14:textId="77777777" w:rsidTr="001577F7">
        <w:trPr>
          <w:trHeight w:val="351"/>
        </w:trPr>
        <w:tc>
          <w:tcPr>
            <w:tcW w:w="2167" w:type="dxa"/>
            <w:noWrap/>
            <w:vAlign w:val="bottom"/>
            <w:hideMark/>
          </w:tcPr>
          <w:p w14:paraId="6231A1A7" w14:textId="4BD9A4BE"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843" w:type="dxa"/>
            <w:noWrap/>
            <w:vAlign w:val="bottom"/>
            <w:hideMark/>
          </w:tcPr>
          <w:p w14:paraId="2513668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1984" w:type="dxa"/>
            <w:noWrap/>
            <w:vAlign w:val="bottom"/>
            <w:hideMark/>
          </w:tcPr>
          <w:p w14:paraId="7450066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7.54</w:t>
            </w:r>
          </w:p>
        </w:tc>
        <w:tc>
          <w:tcPr>
            <w:tcW w:w="2552" w:type="dxa"/>
            <w:vAlign w:val="bottom"/>
          </w:tcPr>
          <w:p w14:paraId="3D1194D3"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7.50</w:t>
            </w:r>
          </w:p>
        </w:tc>
      </w:tr>
      <w:tr w:rsidR="00A158D6" w:rsidRPr="00594DC0" w14:paraId="7888A7B7" w14:textId="77777777" w:rsidTr="001577F7">
        <w:trPr>
          <w:trHeight w:val="351"/>
        </w:trPr>
        <w:tc>
          <w:tcPr>
            <w:tcW w:w="2167" w:type="dxa"/>
            <w:noWrap/>
            <w:vAlign w:val="bottom"/>
            <w:hideMark/>
          </w:tcPr>
          <w:p w14:paraId="6C6AC7FA" w14:textId="36187E04"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843" w:type="dxa"/>
            <w:noWrap/>
            <w:vAlign w:val="bottom"/>
            <w:hideMark/>
          </w:tcPr>
          <w:p w14:paraId="5786C50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c>
          <w:tcPr>
            <w:tcW w:w="1984" w:type="dxa"/>
            <w:noWrap/>
            <w:vAlign w:val="bottom"/>
            <w:hideMark/>
          </w:tcPr>
          <w:p w14:paraId="68412CC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c>
          <w:tcPr>
            <w:tcW w:w="2552" w:type="dxa"/>
            <w:vAlign w:val="bottom"/>
          </w:tcPr>
          <w:p w14:paraId="275EBD15"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7.30</w:t>
            </w:r>
          </w:p>
        </w:tc>
      </w:tr>
      <w:tr w:rsidR="00A158D6" w:rsidRPr="00594DC0" w14:paraId="75296F08" w14:textId="77777777" w:rsidTr="001577F7">
        <w:trPr>
          <w:trHeight w:val="351"/>
        </w:trPr>
        <w:tc>
          <w:tcPr>
            <w:tcW w:w="2167" w:type="dxa"/>
            <w:noWrap/>
            <w:vAlign w:val="bottom"/>
            <w:hideMark/>
          </w:tcPr>
          <w:p w14:paraId="2D97168F" w14:textId="7B2EA7DE" w:rsidR="00A158D6" w:rsidRPr="00825CEC" w:rsidRDefault="00A158D6" w:rsidP="00A158D6">
            <w:pPr>
              <w:spacing w:after="0" w:line="240" w:lineRule="auto"/>
              <w:jc w:val="center"/>
              <w:rPr>
                <w:rFonts w:ascii="Times New Roman" w:eastAsia="Times New Roman" w:hAnsi="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843" w:type="dxa"/>
            <w:noWrap/>
            <w:vAlign w:val="bottom"/>
            <w:hideMark/>
          </w:tcPr>
          <w:p w14:paraId="18494830"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7.54</w:t>
            </w:r>
          </w:p>
        </w:tc>
        <w:tc>
          <w:tcPr>
            <w:tcW w:w="1984" w:type="dxa"/>
            <w:noWrap/>
            <w:vAlign w:val="bottom"/>
            <w:hideMark/>
          </w:tcPr>
          <w:p w14:paraId="4E6323E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7.46</w:t>
            </w:r>
          </w:p>
        </w:tc>
        <w:tc>
          <w:tcPr>
            <w:tcW w:w="2552" w:type="dxa"/>
            <w:vAlign w:val="bottom"/>
          </w:tcPr>
          <w:p w14:paraId="4C65B6FA"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7.50</w:t>
            </w:r>
          </w:p>
        </w:tc>
      </w:tr>
      <w:tr w:rsidR="00A158D6" w:rsidRPr="00594DC0" w14:paraId="4F2AE1F0" w14:textId="77777777" w:rsidTr="001577F7">
        <w:trPr>
          <w:trHeight w:val="351"/>
        </w:trPr>
        <w:tc>
          <w:tcPr>
            <w:tcW w:w="2167" w:type="dxa"/>
            <w:noWrap/>
            <w:vAlign w:val="bottom"/>
            <w:hideMark/>
          </w:tcPr>
          <w:p w14:paraId="51957A6B" w14:textId="1A25D9C6" w:rsidR="00A158D6" w:rsidRPr="00825CEC" w:rsidRDefault="00A158D6" w:rsidP="00A158D6">
            <w:pPr>
              <w:spacing w:after="0" w:line="240" w:lineRule="auto"/>
              <w:jc w:val="center"/>
              <w:rPr>
                <w:rFonts w:ascii="Times New Roman" w:eastAsia="Times New Roman" w:hAnsi="Times New Roman"/>
                <w:b/>
                <w:color w:val="000000"/>
                <w:sz w:val="20"/>
                <w:szCs w:val="20"/>
              </w:rPr>
            </w:pPr>
            <w:r w:rsidRPr="00B207B3">
              <w:rPr>
                <w:rFonts w:ascii="Arial Black" w:eastAsia="Times New Roman" w:hAnsi="Arial Black"/>
                <w:b/>
                <w:color w:val="000000"/>
              </w:rPr>
              <w:t>SEm±</w:t>
            </w:r>
          </w:p>
        </w:tc>
        <w:tc>
          <w:tcPr>
            <w:tcW w:w="1843" w:type="dxa"/>
            <w:noWrap/>
            <w:vAlign w:val="bottom"/>
            <w:hideMark/>
          </w:tcPr>
          <w:p w14:paraId="6E864617"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0.121</w:t>
            </w:r>
          </w:p>
        </w:tc>
        <w:tc>
          <w:tcPr>
            <w:tcW w:w="1984" w:type="dxa"/>
            <w:noWrap/>
            <w:vAlign w:val="bottom"/>
            <w:hideMark/>
          </w:tcPr>
          <w:p w14:paraId="303BDDC9"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0.073</w:t>
            </w:r>
          </w:p>
        </w:tc>
        <w:tc>
          <w:tcPr>
            <w:tcW w:w="2552" w:type="dxa"/>
            <w:vAlign w:val="bottom"/>
          </w:tcPr>
          <w:p w14:paraId="03B8448F"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0.105</w:t>
            </w:r>
          </w:p>
        </w:tc>
      </w:tr>
      <w:tr w:rsidR="00A158D6" w:rsidRPr="00594DC0" w14:paraId="148E1C2A" w14:textId="77777777" w:rsidTr="001577F7">
        <w:trPr>
          <w:trHeight w:val="351"/>
        </w:trPr>
        <w:tc>
          <w:tcPr>
            <w:tcW w:w="2167" w:type="dxa"/>
            <w:noWrap/>
            <w:vAlign w:val="bottom"/>
            <w:hideMark/>
          </w:tcPr>
          <w:p w14:paraId="3B2A92AC" w14:textId="2572D557" w:rsidR="00A158D6" w:rsidRPr="00825CEC" w:rsidRDefault="00A158D6" w:rsidP="00A158D6">
            <w:pPr>
              <w:spacing w:after="0" w:line="240" w:lineRule="auto"/>
              <w:jc w:val="center"/>
              <w:rPr>
                <w:rFonts w:ascii="Times New Roman" w:eastAsia="Times New Roman" w:hAnsi="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843" w:type="dxa"/>
            <w:noWrap/>
            <w:vAlign w:val="bottom"/>
            <w:hideMark/>
          </w:tcPr>
          <w:p w14:paraId="6B49AC3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0.375</w:t>
            </w:r>
          </w:p>
        </w:tc>
        <w:tc>
          <w:tcPr>
            <w:tcW w:w="1984" w:type="dxa"/>
            <w:noWrap/>
            <w:vAlign w:val="bottom"/>
            <w:hideMark/>
          </w:tcPr>
          <w:p w14:paraId="045FE098"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0.225</w:t>
            </w:r>
          </w:p>
        </w:tc>
        <w:tc>
          <w:tcPr>
            <w:tcW w:w="2552" w:type="dxa"/>
            <w:vAlign w:val="bottom"/>
          </w:tcPr>
          <w:p w14:paraId="6D37E662" w14:textId="77777777" w:rsidR="00A158D6" w:rsidRPr="0009493D" w:rsidRDefault="00A158D6" w:rsidP="00A158D6">
            <w:pPr>
              <w:spacing w:after="0" w:line="240" w:lineRule="auto"/>
              <w:jc w:val="center"/>
              <w:rPr>
                <w:rFonts w:ascii="Arial" w:hAnsi="Arial" w:cs="Arial"/>
                <w:color w:val="000000"/>
                <w:sz w:val="20"/>
                <w:szCs w:val="20"/>
              </w:rPr>
            </w:pPr>
            <w:r w:rsidRPr="0009493D">
              <w:rPr>
                <w:rFonts w:ascii="Arial" w:hAnsi="Arial" w:cs="Arial"/>
                <w:color w:val="000000"/>
                <w:sz w:val="20"/>
                <w:szCs w:val="20"/>
              </w:rPr>
              <w:t>0.307</w:t>
            </w:r>
          </w:p>
        </w:tc>
      </w:tr>
    </w:tbl>
    <w:p w14:paraId="2ADB33BA" w14:textId="77777777" w:rsidR="0053523B" w:rsidRPr="00CD039C" w:rsidRDefault="0053523B" w:rsidP="007E7AD4">
      <w:pPr>
        <w:pStyle w:val="Heading3"/>
        <w:spacing w:before="240" w:beforeAutospacing="0" w:after="0" w:afterAutospacing="0" w:line="360" w:lineRule="auto"/>
        <w:jc w:val="both"/>
        <w:rPr>
          <w:rFonts w:ascii="Arial Black" w:hAnsi="Arial Black"/>
          <w:sz w:val="22"/>
          <w:szCs w:val="22"/>
        </w:rPr>
      </w:pPr>
      <w:r w:rsidRPr="00CD039C">
        <w:rPr>
          <w:rStyle w:val="Strong"/>
          <w:rFonts w:ascii="Arial Black" w:hAnsi="Arial Black"/>
          <w:b/>
          <w:bCs/>
          <w:sz w:val="22"/>
          <w:szCs w:val="22"/>
        </w:rPr>
        <w:t>3.3 Crude protein</w:t>
      </w:r>
    </w:p>
    <w:p w14:paraId="365C3073" w14:textId="7E939646" w:rsidR="0053523B" w:rsidRPr="00CD039C" w:rsidRDefault="00594DC0" w:rsidP="0053523B">
      <w:pPr>
        <w:pStyle w:val="NormalWeb"/>
        <w:spacing w:before="0" w:beforeAutospacing="0" w:after="0" w:afterAutospacing="0" w:line="360" w:lineRule="auto"/>
        <w:jc w:val="both"/>
        <w:rPr>
          <w:rFonts w:ascii="Arial" w:hAnsi="Arial" w:cs="Arial"/>
          <w:sz w:val="20"/>
          <w:szCs w:val="20"/>
        </w:rPr>
      </w:pPr>
      <w:r>
        <w:tab/>
      </w:r>
      <w:r w:rsidR="00825CEC" w:rsidRPr="00CD039C">
        <w:rPr>
          <w:rFonts w:ascii="Arial" w:hAnsi="Arial" w:cs="Arial"/>
          <w:sz w:val="20"/>
          <w:szCs w:val="20"/>
        </w:rPr>
        <w:t xml:space="preserve">The effect of foliar micronutrient application on crude protein content in broccoli heads was also statistically significant at p &lt; 0.05 (Table </w:t>
      </w:r>
      <w:r w:rsidR="00C03180">
        <w:rPr>
          <w:rFonts w:ascii="Arial" w:hAnsi="Arial" w:cs="Arial"/>
          <w:sz w:val="20"/>
          <w:szCs w:val="20"/>
        </w:rPr>
        <w:t>4</w:t>
      </w:r>
      <w:r w:rsidR="00825CEC" w:rsidRPr="00CD039C">
        <w:rPr>
          <w:rFonts w:ascii="Arial" w:hAnsi="Arial" w:cs="Arial"/>
          <w:sz w:val="20"/>
          <w:szCs w:val="20"/>
        </w:rPr>
        <w:t xml:space="preserve">). As shown in Table </w:t>
      </w:r>
      <w:r w:rsidR="00C03180">
        <w:rPr>
          <w:rFonts w:ascii="Arial" w:hAnsi="Arial" w:cs="Arial"/>
          <w:sz w:val="20"/>
          <w:szCs w:val="20"/>
        </w:rPr>
        <w:t xml:space="preserve">5 </w:t>
      </w:r>
      <w:r w:rsidR="00825CEC" w:rsidRPr="00CD039C">
        <w:rPr>
          <w:rFonts w:ascii="Arial" w:hAnsi="Arial" w:cs="Arial"/>
          <w:sz w:val="20"/>
          <w:szCs w:val="20"/>
        </w:rPr>
        <w:t>and Figure 3, the lowest pooled protein value was recorded in the control (2.71%), whereas the highest pooled protein content (2.79%) was obtained under the foliar application of copper sulphate alone. This treatment was followed by boric acid combined with zinc sulphate (2.79%, slightly lower in the second year but at par numerically) and boric acid combined with manganese sulphate (2.78%). Most micronutrient treatments outperformed the untreated control, confirming that exogenous micronutrient supply consistently promoted higher crude protein accumulation in broccoli inflorescences under field conditions.</w:t>
      </w:r>
    </w:p>
    <w:p w14:paraId="09BB895E" w14:textId="77777777" w:rsidR="00594DC0" w:rsidRPr="00CD039C" w:rsidRDefault="00594DC0" w:rsidP="00594DC0">
      <w:pPr>
        <w:spacing w:after="0" w:line="240" w:lineRule="auto"/>
        <w:jc w:val="center"/>
        <w:rPr>
          <w:rFonts w:ascii="Arial Black" w:hAnsi="Arial Black" w:cs="Times New Roman"/>
          <w:b/>
        </w:rPr>
      </w:pPr>
      <w:r w:rsidRPr="00CD039C">
        <w:rPr>
          <w:rFonts w:ascii="Arial Black" w:hAnsi="Arial Black" w:cs="Times New Roman"/>
          <w:b/>
        </w:rPr>
        <w:t>Table. 4</w:t>
      </w:r>
      <w:r w:rsidRPr="00CD039C">
        <w:rPr>
          <w:rFonts w:ascii="Arial Black" w:hAnsi="Arial Black" w:cs="Times New Roman"/>
        </w:rPr>
        <w:t xml:space="preserve"> </w:t>
      </w:r>
      <w:r w:rsidRPr="00CD039C">
        <w:rPr>
          <w:rFonts w:ascii="Arial Black" w:hAnsi="Arial Black" w:cs="Times New Roman"/>
          <w:b/>
        </w:rPr>
        <w:t>Effect of different micronutrient application on Crude protein content in Broccoli.</w:t>
      </w:r>
    </w:p>
    <w:p w14:paraId="7A91899A" w14:textId="77777777" w:rsidR="00594DC0" w:rsidRPr="00594DC0" w:rsidRDefault="00594DC0" w:rsidP="00594DC0">
      <w:pPr>
        <w:spacing w:after="0" w:line="240" w:lineRule="auto"/>
        <w:jc w:val="both"/>
        <w:rPr>
          <w:rFonts w:ascii="Times New Roman" w:hAnsi="Times New Roman" w:cs="Times New Roman"/>
          <w:sz w:val="20"/>
          <w:szCs w:val="20"/>
        </w:rPr>
      </w:pPr>
    </w:p>
    <w:tbl>
      <w:tblPr>
        <w:tblW w:w="8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701"/>
        <w:gridCol w:w="1985"/>
        <w:gridCol w:w="2551"/>
      </w:tblGrid>
      <w:tr w:rsidR="00594DC0" w:rsidRPr="00594DC0" w14:paraId="17BA2B7E" w14:textId="77777777" w:rsidTr="001577F7">
        <w:trPr>
          <w:trHeight w:val="317"/>
          <w:jc w:val="center"/>
        </w:trPr>
        <w:tc>
          <w:tcPr>
            <w:tcW w:w="2167" w:type="dxa"/>
            <w:vMerge w:val="restart"/>
            <w:noWrap/>
            <w:vAlign w:val="bottom"/>
            <w:hideMark/>
          </w:tcPr>
          <w:p w14:paraId="3C58CA76" w14:textId="77777777" w:rsidR="00594DC0" w:rsidRPr="00CD039C" w:rsidRDefault="00594DC0" w:rsidP="00594DC0">
            <w:pPr>
              <w:spacing w:after="0" w:line="240" w:lineRule="auto"/>
              <w:jc w:val="center"/>
              <w:rPr>
                <w:rFonts w:ascii="Arial Black" w:eastAsia="Times New Roman" w:hAnsi="Arial Black" w:cs="Times New Roman"/>
                <w:b/>
                <w:bCs/>
                <w:color w:val="000000"/>
              </w:rPr>
            </w:pPr>
          </w:p>
          <w:p w14:paraId="355BF1E6" w14:textId="77777777" w:rsidR="00594DC0" w:rsidRPr="00CD039C" w:rsidRDefault="00594DC0" w:rsidP="00594DC0">
            <w:pPr>
              <w:spacing w:after="0" w:line="240" w:lineRule="auto"/>
              <w:jc w:val="center"/>
              <w:rPr>
                <w:rFonts w:ascii="Arial Black" w:eastAsia="Times New Roman" w:hAnsi="Arial Black" w:cs="Times New Roman"/>
                <w:b/>
                <w:bCs/>
                <w:color w:val="000000"/>
              </w:rPr>
            </w:pPr>
            <w:r w:rsidRPr="00CD039C">
              <w:rPr>
                <w:rFonts w:ascii="Arial Black" w:eastAsia="Times New Roman" w:hAnsi="Arial Black" w:cs="Times New Roman"/>
                <w:b/>
                <w:bCs/>
                <w:color w:val="000000"/>
              </w:rPr>
              <w:t>Treatments</w:t>
            </w:r>
          </w:p>
        </w:tc>
        <w:tc>
          <w:tcPr>
            <w:tcW w:w="6237" w:type="dxa"/>
            <w:gridSpan w:val="3"/>
            <w:noWrap/>
            <w:vAlign w:val="bottom"/>
            <w:hideMark/>
          </w:tcPr>
          <w:p w14:paraId="235BE703" w14:textId="77777777" w:rsidR="00594DC0" w:rsidRPr="00CD039C" w:rsidRDefault="00594DC0" w:rsidP="00594DC0">
            <w:pPr>
              <w:spacing w:after="0" w:line="240" w:lineRule="auto"/>
              <w:jc w:val="center"/>
              <w:rPr>
                <w:rFonts w:ascii="Arial Black" w:hAnsi="Arial Black" w:cs="Times New Roman"/>
                <w:b/>
              </w:rPr>
            </w:pPr>
            <w:r w:rsidRPr="00CD039C">
              <w:rPr>
                <w:rFonts w:ascii="Arial Black" w:hAnsi="Arial Black" w:cs="Times New Roman"/>
                <w:b/>
              </w:rPr>
              <w:t>Crude protein content (%)</w:t>
            </w:r>
          </w:p>
        </w:tc>
      </w:tr>
      <w:tr w:rsidR="00594DC0" w:rsidRPr="00594DC0" w14:paraId="154921E0" w14:textId="77777777" w:rsidTr="001577F7">
        <w:trPr>
          <w:trHeight w:val="241"/>
          <w:jc w:val="center"/>
        </w:trPr>
        <w:tc>
          <w:tcPr>
            <w:tcW w:w="2167" w:type="dxa"/>
            <w:vMerge/>
            <w:noWrap/>
            <w:vAlign w:val="bottom"/>
            <w:hideMark/>
          </w:tcPr>
          <w:p w14:paraId="5C234C99" w14:textId="77777777" w:rsidR="00594DC0" w:rsidRPr="00CD039C" w:rsidRDefault="00594DC0" w:rsidP="00594DC0">
            <w:pPr>
              <w:spacing w:after="0" w:line="240" w:lineRule="auto"/>
              <w:jc w:val="center"/>
              <w:rPr>
                <w:rFonts w:ascii="Arial Black" w:eastAsia="Times New Roman" w:hAnsi="Arial Black" w:cs="Times New Roman"/>
                <w:b/>
                <w:bCs/>
                <w:color w:val="000000"/>
              </w:rPr>
            </w:pPr>
          </w:p>
        </w:tc>
        <w:tc>
          <w:tcPr>
            <w:tcW w:w="1701" w:type="dxa"/>
            <w:noWrap/>
            <w:vAlign w:val="bottom"/>
            <w:hideMark/>
          </w:tcPr>
          <w:p w14:paraId="513E82E4"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2020-21</w:t>
            </w:r>
          </w:p>
        </w:tc>
        <w:tc>
          <w:tcPr>
            <w:tcW w:w="1985" w:type="dxa"/>
            <w:noWrap/>
            <w:vAlign w:val="bottom"/>
            <w:hideMark/>
          </w:tcPr>
          <w:p w14:paraId="66304196"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2021-22</w:t>
            </w:r>
          </w:p>
        </w:tc>
        <w:tc>
          <w:tcPr>
            <w:tcW w:w="2551" w:type="dxa"/>
            <w:vAlign w:val="bottom"/>
          </w:tcPr>
          <w:p w14:paraId="645112BF" w14:textId="77777777" w:rsidR="00594DC0" w:rsidRPr="00CD039C" w:rsidRDefault="00594DC0" w:rsidP="00594DC0">
            <w:pPr>
              <w:spacing w:after="0" w:line="240" w:lineRule="auto"/>
              <w:jc w:val="center"/>
              <w:rPr>
                <w:rFonts w:ascii="Arial Black" w:hAnsi="Arial Black" w:cs="Times New Roman"/>
                <w:color w:val="000000"/>
              </w:rPr>
            </w:pPr>
            <w:r w:rsidRPr="00CD039C">
              <w:rPr>
                <w:rFonts w:ascii="Arial Black" w:hAnsi="Arial Black" w:cs="Times New Roman"/>
                <w:color w:val="000000"/>
              </w:rPr>
              <w:t>Pooled</w:t>
            </w:r>
          </w:p>
        </w:tc>
      </w:tr>
      <w:tr w:rsidR="00CD039C" w:rsidRPr="00594DC0" w14:paraId="471F6E6F" w14:textId="77777777" w:rsidTr="001577F7">
        <w:trPr>
          <w:trHeight w:val="351"/>
          <w:jc w:val="center"/>
        </w:trPr>
        <w:tc>
          <w:tcPr>
            <w:tcW w:w="2167" w:type="dxa"/>
            <w:noWrap/>
            <w:vAlign w:val="bottom"/>
            <w:hideMark/>
          </w:tcPr>
          <w:p w14:paraId="31A544D9" w14:textId="148E5A35"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701" w:type="dxa"/>
            <w:noWrap/>
            <w:vAlign w:val="bottom"/>
            <w:hideMark/>
          </w:tcPr>
          <w:p w14:paraId="2C4F14B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1985" w:type="dxa"/>
            <w:noWrap/>
            <w:vAlign w:val="bottom"/>
            <w:hideMark/>
          </w:tcPr>
          <w:p w14:paraId="70D9BE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2551" w:type="dxa"/>
            <w:vAlign w:val="bottom"/>
          </w:tcPr>
          <w:p w14:paraId="6C745CF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2.71</w:t>
            </w:r>
          </w:p>
        </w:tc>
      </w:tr>
      <w:tr w:rsidR="00CD039C" w:rsidRPr="00594DC0" w14:paraId="6DC29673" w14:textId="77777777" w:rsidTr="001577F7">
        <w:trPr>
          <w:trHeight w:val="351"/>
          <w:jc w:val="center"/>
        </w:trPr>
        <w:tc>
          <w:tcPr>
            <w:tcW w:w="2167" w:type="dxa"/>
            <w:noWrap/>
            <w:vAlign w:val="bottom"/>
            <w:hideMark/>
          </w:tcPr>
          <w:p w14:paraId="1BDC7829" w14:textId="6772F05C"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lastRenderedPageBreak/>
              <w:t>T</w:t>
            </w:r>
            <w:r w:rsidRPr="00B207B3">
              <w:rPr>
                <w:rFonts w:ascii="Arial Black" w:eastAsia="Times New Roman" w:hAnsi="Arial Black"/>
                <w:b/>
                <w:bCs/>
                <w:color w:val="000000"/>
                <w:vertAlign w:val="subscript"/>
              </w:rPr>
              <w:t>1</w:t>
            </w:r>
          </w:p>
        </w:tc>
        <w:tc>
          <w:tcPr>
            <w:tcW w:w="1701" w:type="dxa"/>
            <w:noWrap/>
            <w:vAlign w:val="bottom"/>
            <w:hideMark/>
          </w:tcPr>
          <w:p w14:paraId="73FA7C9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c>
          <w:tcPr>
            <w:tcW w:w="1985" w:type="dxa"/>
            <w:noWrap/>
            <w:vAlign w:val="bottom"/>
            <w:hideMark/>
          </w:tcPr>
          <w:p w14:paraId="6B8A491A"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2551" w:type="dxa"/>
            <w:vAlign w:val="bottom"/>
          </w:tcPr>
          <w:p w14:paraId="332356B8"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r>
      <w:tr w:rsidR="00CD039C" w:rsidRPr="00594DC0" w14:paraId="0603EC5B" w14:textId="77777777" w:rsidTr="001577F7">
        <w:trPr>
          <w:trHeight w:val="266"/>
          <w:jc w:val="center"/>
        </w:trPr>
        <w:tc>
          <w:tcPr>
            <w:tcW w:w="2167" w:type="dxa"/>
            <w:noWrap/>
            <w:vAlign w:val="bottom"/>
            <w:hideMark/>
          </w:tcPr>
          <w:p w14:paraId="5D12B02A" w14:textId="0CAF3FA7"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701" w:type="dxa"/>
            <w:noWrap/>
            <w:vAlign w:val="bottom"/>
            <w:hideMark/>
          </w:tcPr>
          <w:p w14:paraId="30FD14CC"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7813B24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26AAEAF1"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0AA5CCDE" w14:textId="77777777" w:rsidTr="001577F7">
        <w:trPr>
          <w:trHeight w:val="351"/>
          <w:jc w:val="center"/>
        </w:trPr>
        <w:tc>
          <w:tcPr>
            <w:tcW w:w="2167" w:type="dxa"/>
            <w:noWrap/>
            <w:vAlign w:val="bottom"/>
            <w:hideMark/>
          </w:tcPr>
          <w:p w14:paraId="5F8F1980" w14:textId="6A9DD92E"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701" w:type="dxa"/>
            <w:noWrap/>
            <w:vAlign w:val="bottom"/>
            <w:hideMark/>
          </w:tcPr>
          <w:p w14:paraId="0FD2376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1985" w:type="dxa"/>
            <w:noWrap/>
            <w:vAlign w:val="bottom"/>
            <w:hideMark/>
          </w:tcPr>
          <w:p w14:paraId="0EA4B74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c>
          <w:tcPr>
            <w:tcW w:w="2551" w:type="dxa"/>
            <w:vAlign w:val="bottom"/>
          </w:tcPr>
          <w:p w14:paraId="6017C32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r>
      <w:tr w:rsidR="00CD039C" w:rsidRPr="00594DC0" w14:paraId="047801CA" w14:textId="77777777" w:rsidTr="001577F7">
        <w:trPr>
          <w:trHeight w:val="351"/>
          <w:jc w:val="center"/>
        </w:trPr>
        <w:tc>
          <w:tcPr>
            <w:tcW w:w="2167" w:type="dxa"/>
            <w:noWrap/>
            <w:vAlign w:val="bottom"/>
            <w:hideMark/>
          </w:tcPr>
          <w:p w14:paraId="15B10823" w14:textId="0710899A"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701" w:type="dxa"/>
            <w:noWrap/>
            <w:vAlign w:val="bottom"/>
            <w:hideMark/>
          </w:tcPr>
          <w:p w14:paraId="4391F5F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5196CB7E"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2551" w:type="dxa"/>
            <w:vAlign w:val="bottom"/>
          </w:tcPr>
          <w:p w14:paraId="21097FC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r>
      <w:tr w:rsidR="00CD039C" w:rsidRPr="00594DC0" w14:paraId="15885C3D" w14:textId="77777777" w:rsidTr="001577F7">
        <w:trPr>
          <w:trHeight w:val="351"/>
          <w:jc w:val="center"/>
        </w:trPr>
        <w:tc>
          <w:tcPr>
            <w:tcW w:w="2167" w:type="dxa"/>
            <w:noWrap/>
            <w:vAlign w:val="bottom"/>
            <w:hideMark/>
          </w:tcPr>
          <w:p w14:paraId="0AE9459A" w14:textId="4161BEE7"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701" w:type="dxa"/>
            <w:noWrap/>
            <w:vAlign w:val="bottom"/>
            <w:hideMark/>
          </w:tcPr>
          <w:p w14:paraId="321FE6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2.81</w:t>
            </w:r>
          </w:p>
        </w:tc>
        <w:tc>
          <w:tcPr>
            <w:tcW w:w="1985" w:type="dxa"/>
            <w:noWrap/>
            <w:vAlign w:val="bottom"/>
            <w:hideMark/>
          </w:tcPr>
          <w:p w14:paraId="0CE0A05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2551" w:type="dxa"/>
            <w:vAlign w:val="bottom"/>
          </w:tcPr>
          <w:p w14:paraId="2073CCE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2.79</w:t>
            </w:r>
          </w:p>
        </w:tc>
      </w:tr>
      <w:tr w:rsidR="00CD039C" w:rsidRPr="00594DC0" w14:paraId="392B8DEF" w14:textId="77777777" w:rsidTr="001577F7">
        <w:trPr>
          <w:trHeight w:val="351"/>
          <w:jc w:val="center"/>
        </w:trPr>
        <w:tc>
          <w:tcPr>
            <w:tcW w:w="2167" w:type="dxa"/>
            <w:noWrap/>
            <w:vAlign w:val="bottom"/>
            <w:hideMark/>
          </w:tcPr>
          <w:p w14:paraId="2B474AFB" w14:textId="487808C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701" w:type="dxa"/>
            <w:noWrap/>
            <w:vAlign w:val="bottom"/>
            <w:hideMark/>
          </w:tcPr>
          <w:p w14:paraId="6914493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c>
          <w:tcPr>
            <w:tcW w:w="1985" w:type="dxa"/>
            <w:noWrap/>
            <w:vAlign w:val="bottom"/>
            <w:hideMark/>
          </w:tcPr>
          <w:p w14:paraId="4A498824"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2.78</w:t>
            </w:r>
          </w:p>
        </w:tc>
        <w:tc>
          <w:tcPr>
            <w:tcW w:w="2551" w:type="dxa"/>
            <w:vAlign w:val="bottom"/>
          </w:tcPr>
          <w:p w14:paraId="01F899A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r>
      <w:tr w:rsidR="00CD039C" w:rsidRPr="00594DC0" w14:paraId="3BFF77FA" w14:textId="77777777" w:rsidTr="001577F7">
        <w:trPr>
          <w:trHeight w:val="351"/>
          <w:jc w:val="center"/>
        </w:trPr>
        <w:tc>
          <w:tcPr>
            <w:tcW w:w="2167" w:type="dxa"/>
            <w:noWrap/>
            <w:vAlign w:val="bottom"/>
            <w:hideMark/>
          </w:tcPr>
          <w:p w14:paraId="56F0E3BD" w14:textId="24F0E749"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701" w:type="dxa"/>
            <w:noWrap/>
            <w:vAlign w:val="bottom"/>
            <w:hideMark/>
          </w:tcPr>
          <w:p w14:paraId="725DB94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109AB18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2.80</w:t>
            </w:r>
          </w:p>
        </w:tc>
        <w:tc>
          <w:tcPr>
            <w:tcW w:w="2551" w:type="dxa"/>
            <w:vAlign w:val="bottom"/>
          </w:tcPr>
          <w:p w14:paraId="1999CAA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2.78</w:t>
            </w:r>
          </w:p>
        </w:tc>
      </w:tr>
      <w:tr w:rsidR="00CD039C" w:rsidRPr="00594DC0" w14:paraId="61136F1E" w14:textId="77777777" w:rsidTr="001577F7">
        <w:trPr>
          <w:trHeight w:val="351"/>
          <w:jc w:val="center"/>
        </w:trPr>
        <w:tc>
          <w:tcPr>
            <w:tcW w:w="2167" w:type="dxa"/>
            <w:noWrap/>
            <w:vAlign w:val="bottom"/>
            <w:hideMark/>
          </w:tcPr>
          <w:p w14:paraId="52AA8477" w14:textId="2C9CBC6D"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701" w:type="dxa"/>
            <w:noWrap/>
            <w:vAlign w:val="bottom"/>
            <w:hideMark/>
          </w:tcPr>
          <w:p w14:paraId="72A8B07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2.83</w:t>
            </w:r>
          </w:p>
        </w:tc>
        <w:tc>
          <w:tcPr>
            <w:tcW w:w="1985" w:type="dxa"/>
            <w:noWrap/>
            <w:vAlign w:val="bottom"/>
            <w:hideMark/>
          </w:tcPr>
          <w:p w14:paraId="4C874410"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c>
          <w:tcPr>
            <w:tcW w:w="2551" w:type="dxa"/>
            <w:vAlign w:val="bottom"/>
          </w:tcPr>
          <w:p w14:paraId="7C4AEA82"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2.79</w:t>
            </w:r>
          </w:p>
        </w:tc>
      </w:tr>
      <w:tr w:rsidR="00CD039C" w:rsidRPr="00594DC0" w14:paraId="36FBF0B6" w14:textId="77777777" w:rsidTr="001577F7">
        <w:trPr>
          <w:trHeight w:val="351"/>
          <w:jc w:val="center"/>
        </w:trPr>
        <w:tc>
          <w:tcPr>
            <w:tcW w:w="2167" w:type="dxa"/>
            <w:noWrap/>
            <w:vAlign w:val="bottom"/>
            <w:hideMark/>
          </w:tcPr>
          <w:p w14:paraId="419AAF56" w14:textId="4AA753B5"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701" w:type="dxa"/>
            <w:noWrap/>
            <w:vAlign w:val="bottom"/>
            <w:hideMark/>
          </w:tcPr>
          <w:p w14:paraId="66453D1F"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0946C806"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7B74480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6CDF69EE" w14:textId="77777777" w:rsidTr="001577F7">
        <w:trPr>
          <w:trHeight w:val="351"/>
          <w:jc w:val="center"/>
        </w:trPr>
        <w:tc>
          <w:tcPr>
            <w:tcW w:w="2167" w:type="dxa"/>
            <w:noWrap/>
            <w:vAlign w:val="bottom"/>
            <w:hideMark/>
          </w:tcPr>
          <w:p w14:paraId="7A4E4A8F" w14:textId="77DF149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701" w:type="dxa"/>
            <w:noWrap/>
            <w:vAlign w:val="bottom"/>
            <w:hideMark/>
          </w:tcPr>
          <w:p w14:paraId="288F44FD"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1985" w:type="dxa"/>
            <w:noWrap/>
            <w:vAlign w:val="bottom"/>
            <w:hideMark/>
          </w:tcPr>
          <w:p w14:paraId="1B566D4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2.72</w:t>
            </w:r>
          </w:p>
        </w:tc>
        <w:tc>
          <w:tcPr>
            <w:tcW w:w="2551" w:type="dxa"/>
            <w:vAlign w:val="bottom"/>
          </w:tcPr>
          <w:p w14:paraId="5DAA648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2.74</w:t>
            </w:r>
          </w:p>
        </w:tc>
      </w:tr>
      <w:tr w:rsidR="00CD039C" w:rsidRPr="00594DC0" w14:paraId="5A6F6EA9" w14:textId="77777777" w:rsidTr="001577F7">
        <w:trPr>
          <w:trHeight w:val="351"/>
          <w:jc w:val="center"/>
        </w:trPr>
        <w:tc>
          <w:tcPr>
            <w:tcW w:w="2167" w:type="dxa"/>
            <w:noWrap/>
            <w:vAlign w:val="bottom"/>
            <w:hideMark/>
          </w:tcPr>
          <w:p w14:paraId="51EFB5F6" w14:textId="54709340"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701" w:type="dxa"/>
            <w:noWrap/>
            <w:vAlign w:val="bottom"/>
            <w:hideMark/>
          </w:tcPr>
          <w:p w14:paraId="74248AC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2.70</w:t>
            </w:r>
          </w:p>
        </w:tc>
        <w:tc>
          <w:tcPr>
            <w:tcW w:w="1985" w:type="dxa"/>
            <w:noWrap/>
            <w:vAlign w:val="bottom"/>
            <w:hideMark/>
          </w:tcPr>
          <w:p w14:paraId="38ED3AD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2.76</w:t>
            </w:r>
          </w:p>
        </w:tc>
        <w:tc>
          <w:tcPr>
            <w:tcW w:w="2551" w:type="dxa"/>
            <w:vAlign w:val="bottom"/>
          </w:tcPr>
          <w:p w14:paraId="7FF7A48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r>
      <w:tr w:rsidR="00CD039C" w:rsidRPr="00594DC0" w14:paraId="6DCD9664" w14:textId="77777777" w:rsidTr="001577F7">
        <w:trPr>
          <w:trHeight w:val="351"/>
          <w:jc w:val="center"/>
        </w:trPr>
        <w:tc>
          <w:tcPr>
            <w:tcW w:w="2167" w:type="dxa"/>
            <w:noWrap/>
            <w:vAlign w:val="bottom"/>
            <w:hideMark/>
          </w:tcPr>
          <w:p w14:paraId="7FF53C68" w14:textId="5F8B3DA2"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701" w:type="dxa"/>
            <w:noWrap/>
            <w:vAlign w:val="bottom"/>
            <w:hideMark/>
          </w:tcPr>
          <w:p w14:paraId="7E1B5B0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1985" w:type="dxa"/>
            <w:noWrap/>
            <w:vAlign w:val="bottom"/>
            <w:hideMark/>
          </w:tcPr>
          <w:p w14:paraId="7A7F7E6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c>
          <w:tcPr>
            <w:tcW w:w="2551" w:type="dxa"/>
            <w:vAlign w:val="bottom"/>
          </w:tcPr>
          <w:p w14:paraId="0820CFB9"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r>
      <w:tr w:rsidR="00CD039C" w:rsidRPr="00594DC0" w14:paraId="7674DE30" w14:textId="77777777" w:rsidTr="001577F7">
        <w:trPr>
          <w:trHeight w:val="351"/>
          <w:jc w:val="center"/>
        </w:trPr>
        <w:tc>
          <w:tcPr>
            <w:tcW w:w="2167" w:type="dxa"/>
            <w:noWrap/>
            <w:vAlign w:val="bottom"/>
            <w:hideMark/>
          </w:tcPr>
          <w:p w14:paraId="030F5E49" w14:textId="5209EB92" w:rsidR="00CD039C" w:rsidRPr="00594DC0" w:rsidRDefault="00CD039C" w:rsidP="00CD039C">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701" w:type="dxa"/>
            <w:noWrap/>
            <w:vAlign w:val="bottom"/>
            <w:hideMark/>
          </w:tcPr>
          <w:p w14:paraId="7FA0D5F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2.73</w:t>
            </w:r>
          </w:p>
        </w:tc>
        <w:tc>
          <w:tcPr>
            <w:tcW w:w="1985" w:type="dxa"/>
            <w:noWrap/>
            <w:vAlign w:val="bottom"/>
            <w:hideMark/>
          </w:tcPr>
          <w:p w14:paraId="583DF89E"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2.77</w:t>
            </w:r>
          </w:p>
        </w:tc>
        <w:tc>
          <w:tcPr>
            <w:tcW w:w="2551" w:type="dxa"/>
            <w:vAlign w:val="bottom"/>
          </w:tcPr>
          <w:p w14:paraId="5C77AEAC"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2.75</w:t>
            </w:r>
          </w:p>
        </w:tc>
      </w:tr>
      <w:tr w:rsidR="00CD039C" w:rsidRPr="00594DC0" w14:paraId="37D97F1D" w14:textId="77777777" w:rsidTr="001577F7">
        <w:trPr>
          <w:trHeight w:val="83"/>
          <w:jc w:val="center"/>
        </w:trPr>
        <w:tc>
          <w:tcPr>
            <w:tcW w:w="2167" w:type="dxa"/>
            <w:noWrap/>
            <w:vAlign w:val="bottom"/>
            <w:hideMark/>
          </w:tcPr>
          <w:p w14:paraId="7C7CD23E" w14:textId="2F6BA184" w:rsidR="00CD039C" w:rsidRPr="00594DC0" w:rsidRDefault="00CD039C" w:rsidP="00CD039C">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SEm±</w:t>
            </w:r>
          </w:p>
        </w:tc>
        <w:tc>
          <w:tcPr>
            <w:tcW w:w="1701" w:type="dxa"/>
            <w:noWrap/>
            <w:vAlign w:val="bottom"/>
            <w:hideMark/>
          </w:tcPr>
          <w:p w14:paraId="5B9A89A3"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0.037</w:t>
            </w:r>
          </w:p>
        </w:tc>
        <w:tc>
          <w:tcPr>
            <w:tcW w:w="1985" w:type="dxa"/>
            <w:noWrap/>
            <w:vAlign w:val="bottom"/>
            <w:hideMark/>
          </w:tcPr>
          <w:p w14:paraId="529F087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0.043</w:t>
            </w:r>
          </w:p>
        </w:tc>
        <w:tc>
          <w:tcPr>
            <w:tcW w:w="2551" w:type="dxa"/>
            <w:vAlign w:val="bottom"/>
          </w:tcPr>
          <w:p w14:paraId="3A144CF7"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0.046</w:t>
            </w:r>
          </w:p>
        </w:tc>
      </w:tr>
      <w:tr w:rsidR="00CD039C" w:rsidRPr="00594DC0" w14:paraId="67C4103E" w14:textId="77777777" w:rsidTr="001577F7">
        <w:trPr>
          <w:trHeight w:val="351"/>
          <w:jc w:val="center"/>
        </w:trPr>
        <w:tc>
          <w:tcPr>
            <w:tcW w:w="2167" w:type="dxa"/>
            <w:noWrap/>
            <w:vAlign w:val="bottom"/>
            <w:hideMark/>
          </w:tcPr>
          <w:p w14:paraId="2DEE5E24" w14:textId="1BCC0021" w:rsidR="00CD039C" w:rsidRPr="00594DC0" w:rsidRDefault="00CD039C" w:rsidP="00CD039C">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701" w:type="dxa"/>
            <w:noWrap/>
            <w:vAlign w:val="bottom"/>
            <w:hideMark/>
          </w:tcPr>
          <w:p w14:paraId="2C9E666B"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0.096</w:t>
            </w:r>
          </w:p>
        </w:tc>
        <w:tc>
          <w:tcPr>
            <w:tcW w:w="1985" w:type="dxa"/>
            <w:noWrap/>
            <w:vAlign w:val="bottom"/>
            <w:hideMark/>
          </w:tcPr>
          <w:p w14:paraId="53CBDA75" w14:textId="77777777" w:rsidR="00CD039C" w:rsidRPr="00FF1C06" w:rsidRDefault="00CD039C" w:rsidP="00CD039C">
            <w:pPr>
              <w:spacing w:after="0" w:line="240" w:lineRule="auto"/>
              <w:jc w:val="center"/>
              <w:rPr>
                <w:rFonts w:ascii="Arial" w:hAnsi="Arial" w:cs="Arial"/>
                <w:color w:val="000000"/>
                <w:sz w:val="20"/>
                <w:szCs w:val="20"/>
              </w:rPr>
            </w:pPr>
            <w:r w:rsidRPr="00FF1C06">
              <w:rPr>
                <w:rFonts w:ascii="Arial" w:hAnsi="Arial" w:cs="Arial"/>
                <w:color w:val="000000"/>
                <w:sz w:val="20"/>
                <w:szCs w:val="20"/>
              </w:rPr>
              <w:t>0.105</w:t>
            </w:r>
          </w:p>
        </w:tc>
        <w:tc>
          <w:tcPr>
            <w:tcW w:w="2551" w:type="dxa"/>
            <w:vAlign w:val="bottom"/>
          </w:tcPr>
          <w:p w14:paraId="4E888E33" w14:textId="77777777" w:rsidR="00CD039C" w:rsidRPr="00FF1C06" w:rsidRDefault="00CD039C" w:rsidP="00CD039C">
            <w:pPr>
              <w:spacing w:after="0" w:line="240" w:lineRule="auto"/>
              <w:jc w:val="center"/>
              <w:rPr>
                <w:rFonts w:ascii="Arial" w:hAnsi="Arial" w:cs="Arial"/>
                <w:sz w:val="20"/>
                <w:szCs w:val="20"/>
              </w:rPr>
            </w:pPr>
            <w:r w:rsidRPr="00FF1C06">
              <w:rPr>
                <w:rFonts w:ascii="Arial" w:hAnsi="Arial" w:cs="Arial"/>
                <w:sz w:val="20"/>
                <w:szCs w:val="20"/>
              </w:rPr>
              <w:t>0.13</w:t>
            </w:r>
          </w:p>
        </w:tc>
      </w:tr>
    </w:tbl>
    <w:p w14:paraId="67B012EE" w14:textId="77777777" w:rsidR="00594DC0" w:rsidRPr="00594DC0" w:rsidRDefault="00594DC0" w:rsidP="00594DC0">
      <w:pPr>
        <w:spacing w:after="0" w:line="240" w:lineRule="auto"/>
        <w:jc w:val="both"/>
        <w:rPr>
          <w:rFonts w:ascii="Times New Roman" w:hAnsi="Times New Roman" w:cs="Times New Roman"/>
          <w:b/>
          <w:sz w:val="20"/>
          <w:szCs w:val="20"/>
        </w:rPr>
      </w:pPr>
    </w:p>
    <w:p w14:paraId="68D330B1" w14:textId="77777777" w:rsidR="00825CEC" w:rsidRDefault="00825CEC" w:rsidP="00594DC0">
      <w:pPr>
        <w:spacing w:after="0" w:line="240" w:lineRule="auto"/>
        <w:jc w:val="center"/>
        <w:rPr>
          <w:rFonts w:ascii="Times New Roman" w:hAnsi="Times New Roman" w:cs="Times New Roman"/>
          <w:b/>
          <w:sz w:val="20"/>
          <w:szCs w:val="20"/>
        </w:rPr>
      </w:pPr>
    </w:p>
    <w:p w14:paraId="08FFD64A" w14:textId="77777777" w:rsidR="00825CEC" w:rsidRDefault="00825CEC" w:rsidP="00594DC0">
      <w:pPr>
        <w:spacing w:after="0" w:line="240" w:lineRule="auto"/>
        <w:jc w:val="center"/>
        <w:rPr>
          <w:rFonts w:ascii="Times New Roman" w:hAnsi="Times New Roman" w:cs="Times New Roman"/>
          <w:b/>
          <w:sz w:val="20"/>
          <w:szCs w:val="20"/>
        </w:rPr>
      </w:pPr>
    </w:p>
    <w:p w14:paraId="59CC7C25" w14:textId="77777777" w:rsidR="00825CEC" w:rsidRDefault="00825CEC" w:rsidP="00594DC0">
      <w:pPr>
        <w:spacing w:after="0" w:line="240" w:lineRule="auto"/>
        <w:jc w:val="center"/>
        <w:rPr>
          <w:rFonts w:ascii="Times New Roman" w:hAnsi="Times New Roman" w:cs="Times New Roman"/>
          <w:b/>
          <w:sz w:val="20"/>
          <w:szCs w:val="20"/>
        </w:rPr>
      </w:pPr>
    </w:p>
    <w:p w14:paraId="14C3782D" w14:textId="77777777" w:rsidR="00825CEC" w:rsidRDefault="00825CEC" w:rsidP="00594DC0">
      <w:pPr>
        <w:spacing w:after="0" w:line="240" w:lineRule="auto"/>
        <w:jc w:val="center"/>
        <w:rPr>
          <w:rFonts w:ascii="Times New Roman" w:hAnsi="Times New Roman" w:cs="Times New Roman"/>
          <w:b/>
          <w:sz w:val="20"/>
          <w:szCs w:val="20"/>
        </w:rPr>
      </w:pPr>
    </w:p>
    <w:p w14:paraId="29E61CEF" w14:textId="476DE35B"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Fig. 3</w:t>
      </w:r>
      <w:r w:rsidRPr="00FF1C06">
        <w:rPr>
          <w:rFonts w:ascii="Arial Black" w:hAnsi="Arial Black" w:cs="Times New Roman"/>
        </w:rPr>
        <w:t xml:space="preserve"> </w:t>
      </w:r>
      <w:r w:rsidRPr="00FF1C06">
        <w:rPr>
          <w:rFonts w:ascii="Arial Black" w:hAnsi="Arial Black" w:cs="Times New Roman"/>
          <w:b/>
        </w:rPr>
        <w:t xml:space="preserve">Effect of different micronutrient application on Crude protein </w:t>
      </w:r>
      <w:r w:rsidR="00FF1C06" w:rsidRPr="00FF1C06">
        <w:rPr>
          <w:rFonts w:ascii="Arial Black" w:hAnsi="Arial Black" w:cs="Times New Roman"/>
          <w:b/>
        </w:rPr>
        <w:t>content</w:t>
      </w:r>
      <w:r w:rsidRPr="00FF1C06">
        <w:rPr>
          <w:rFonts w:ascii="Arial Black" w:hAnsi="Arial Black" w:cs="Times New Roman"/>
          <w:b/>
        </w:rPr>
        <w:t xml:space="preserve"> in Broccoli.</w:t>
      </w:r>
    </w:p>
    <w:p w14:paraId="7BF0B458" w14:textId="77777777" w:rsidR="00594DC0" w:rsidRPr="00594DC0" w:rsidRDefault="00594DC0" w:rsidP="00594DC0">
      <w:pPr>
        <w:spacing w:after="0" w:line="240" w:lineRule="auto"/>
        <w:jc w:val="both"/>
        <w:rPr>
          <w:rFonts w:ascii="Times New Roman" w:hAnsi="Times New Roman" w:cs="Times New Roman"/>
          <w:sz w:val="20"/>
          <w:szCs w:val="20"/>
        </w:rPr>
      </w:pPr>
    </w:p>
    <w:p w14:paraId="5C4384A9" w14:textId="77777777" w:rsidR="00594DC0" w:rsidRPr="00594DC0" w:rsidRDefault="00594DC0" w:rsidP="00594DC0">
      <w:pPr>
        <w:spacing w:after="0" w:line="240" w:lineRule="auto"/>
        <w:jc w:val="center"/>
        <w:rPr>
          <w:rFonts w:ascii="Times New Roman" w:hAnsi="Times New Roman" w:cs="Times New Roman"/>
          <w:sz w:val="20"/>
          <w:szCs w:val="20"/>
        </w:rPr>
      </w:pPr>
      <w:r w:rsidRPr="00594DC0">
        <w:rPr>
          <w:rFonts w:ascii="Times New Roman" w:hAnsi="Times New Roman" w:cs="Times New Roman"/>
          <w:noProof/>
          <w:sz w:val="20"/>
          <w:szCs w:val="20"/>
        </w:rPr>
        <w:drawing>
          <wp:inline distT="0" distB="0" distL="0" distR="0" wp14:anchorId="2C84ABD6" wp14:editId="78C10196">
            <wp:extent cx="5641643" cy="1630017"/>
            <wp:effectExtent l="19050" t="0" r="16207" b="8283"/>
            <wp:docPr id="11"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45286E" w14:textId="77777777" w:rsidR="0053523B" w:rsidRPr="00FF1C06" w:rsidRDefault="0053523B" w:rsidP="007E7AD4">
      <w:pPr>
        <w:pStyle w:val="Heading3"/>
        <w:spacing w:before="240" w:beforeAutospacing="0" w:after="0" w:afterAutospacing="0" w:line="360" w:lineRule="auto"/>
        <w:jc w:val="both"/>
        <w:rPr>
          <w:rFonts w:ascii="Arial" w:hAnsi="Arial" w:cs="Arial"/>
          <w:sz w:val="22"/>
          <w:szCs w:val="22"/>
        </w:rPr>
      </w:pPr>
      <w:r w:rsidRPr="00FF1C06">
        <w:rPr>
          <w:rStyle w:val="Strong"/>
          <w:rFonts w:ascii="Arial" w:hAnsi="Arial" w:cs="Arial"/>
          <w:b/>
          <w:bCs/>
          <w:sz w:val="22"/>
          <w:szCs w:val="22"/>
        </w:rPr>
        <w:t>3.4 Chlorophyll content</w:t>
      </w:r>
    </w:p>
    <w:p w14:paraId="692CC00D" w14:textId="33D780F5" w:rsidR="0053523B" w:rsidRPr="00FF1C06" w:rsidRDefault="0053523B" w:rsidP="0053523B">
      <w:pPr>
        <w:pStyle w:val="NormalWeb"/>
        <w:spacing w:before="0" w:beforeAutospacing="0" w:after="0" w:afterAutospacing="0" w:line="360" w:lineRule="auto"/>
        <w:jc w:val="both"/>
        <w:rPr>
          <w:rFonts w:ascii="Arial" w:hAnsi="Arial" w:cs="Arial"/>
          <w:sz w:val="20"/>
          <w:szCs w:val="20"/>
        </w:rPr>
      </w:pPr>
      <w:r>
        <w:tab/>
      </w:r>
      <w:r w:rsidR="00825CEC" w:rsidRPr="00FF1C06">
        <w:rPr>
          <w:rFonts w:ascii="Arial" w:hAnsi="Arial" w:cs="Arial"/>
          <w:sz w:val="20"/>
          <w:szCs w:val="20"/>
        </w:rPr>
        <w:t xml:space="preserve">Foliar supplementation of micronutrients exerted a marked and statistically significant influence (p &lt; 0.05) on total chlorophyll content in broccoli leaves in both seasons and in the pooled analysis (Table </w:t>
      </w:r>
      <w:r w:rsidR="00C03180">
        <w:rPr>
          <w:rFonts w:ascii="Arial" w:hAnsi="Arial" w:cs="Arial"/>
          <w:sz w:val="20"/>
          <w:szCs w:val="20"/>
        </w:rPr>
        <w:t>5</w:t>
      </w:r>
      <w:r w:rsidR="00825CEC" w:rsidRPr="00FF1C06">
        <w:rPr>
          <w:rFonts w:ascii="Arial" w:hAnsi="Arial" w:cs="Arial"/>
          <w:sz w:val="20"/>
          <w:szCs w:val="20"/>
        </w:rPr>
        <w:t xml:space="preserve">). According to the pooled means presented in Table </w:t>
      </w:r>
      <w:r w:rsidR="00C03180">
        <w:rPr>
          <w:rFonts w:ascii="Arial" w:hAnsi="Arial" w:cs="Arial"/>
          <w:sz w:val="20"/>
          <w:szCs w:val="20"/>
        </w:rPr>
        <w:t>6</w:t>
      </w:r>
      <w:r w:rsidR="00825CEC" w:rsidRPr="00FF1C06">
        <w:rPr>
          <w:rFonts w:ascii="Arial" w:hAnsi="Arial" w:cs="Arial"/>
          <w:sz w:val="20"/>
          <w:szCs w:val="20"/>
        </w:rPr>
        <w:t xml:space="preserve"> and Figure 4, the minimum chlorophyll content was observed in the untreated control (1.57 mg g</w:t>
      </w:r>
      <w:r w:rsidR="00825CEC" w:rsidRPr="00FF1C06">
        <w:rPr>
          <w:rFonts w:ascii="Cambria Math" w:hAnsi="Cambria Math" w:cs="Cambria Math"/>
          <w:sz w:val="20"/>
          <w:szCs w:val="20"/>
        </w:rPr>
        <w:t>⁻</w:t>
      </w:r>
      <w:r w:rsidR="00825CEC" w:rsidRPr="00FF1C06">
        <w:rPr>
          <w:rFonts w:ascii="Arial" w:hAnsi="Arial" w:cs="Arial"/>
          <w:sz w:val="20"/>
          <w:szCs w:val="20"/>
        </w:rPr>
        <w:t>¹), whereas the combination of boric acid with ferrous sulphate resulted in the highest pooled chlorophyll concentration (2.15 mg g</w:t>
      </w:r>
      <w:r w:rsidR="00825CEC" w:rsidRPr="00FF1C06">
        <w:rPr>
          <w:rFonts w:ascii="Cambria Math" w:hAnsi="Cambria Math" w:cs="Cambria Math"/>
          <w:sz w:val="20"/>
          <w:szCs w:val="20"/>
        </w:rPr>
        <w:t>⁻</w:t>
      </w:r>
      <w:r w:rsidR="00825CEC" w:rsidRPr="00FF1C06">
        <w:rPr>
          <w:rFonts w:ascii="Arial" w:hAnsi="Arial" w:cs="Arial"/>
          <w:sz w:val="20"/>
          <w:szCs w:val="20"/>
        </w:rPr>
        <w:t>¹). This treatment was closely followed by the mixed micronutrient formulation (2.14 mg g</w:t>
      </w:r>
      <w:r w:rsidR="00825CEC" w:rsidRPr="00FF1C06">
        <w:rPr>
          <w:rFonts w:ascii="Cambria Math" w:hAnsi="Cambria Math" w:cs="Cambria Math"/>
          <w:sz w:val="20"/>
          <w:szCs w:val="20"/>
        </w:rPr>
        <w:t>⁻</w:t>
      </w:r>
      <w:r w:rsidR="00825CEC" w:rsidRPr="00FF1C06">
        <w:rPr>
          <w:rFonts w:ascii="Arial" w:hAnsi="Arial" w:cs="Arial"/>
          <w:sz w:val="20"/>
          <w:szCs w:val="20"/>
        </w:rPr>
        <w:t>¹) and the combination of boric acid with ammonium molybdate (2.12 mg g</w:t>
      </w:r>
      <w:r w:rsidR="00825CEC" w:rsidRPr="00FF1C06">
        <w:rPr>
          <w:rFonts w:ascii="Cambria Math" w:hAnsi="Cambria Math" w:cs="Cambria Math"/>
          <w:sz w:val="20"/>
          <w:szCs w:val="20"/>
        </w:rPr>
        <w:t>⁻</w:t>
      </w:r>
      <w:r w:rsidR="00825CEC" w:rsidRPr="00FF1C06">
        <w:rPr>
          <w:rFonts w:ascii="Arial" w:hAnsi="Arial" w:cs="Arial"/>
          <w:sz w:val="20"/>
          <w:szCs w:val="20"/>
        </w:rPr>
        <w:t xml:space="preserve">¹). All effective micronutrient treatments exhibited higher </w:t>
      </w:r>
      <w:r w:rsidR="00825CEC" w:rsidRPr="00FF1C06">
        <w:rPr>
          <w:rFonts w:ascii="Arial" w:hAnsi="Arial" w:cs="Arial"/>
          <w:sz w:val="20"/>
          <w:szCs w:val="20"/>
        </w:rPr>
        <w:lastRenderedPageBreak/>
        <w:t>chlorophyll values compared to the control, indicating a consistent improvement in the photosynthetic pigment profile of broccoli leaves in response to foliar micronutrient nutrition.</w:t>
      </w:r>
    </w:p>
    <w:p w14:paraId="74D0A67C" w14:textId="77777777" w:rsidR="00594DC0" w:rsidRPr="00594DC0" w:rsidRDefault="00594DC0" w:rsidP="00594DC0">
      <w:pPr>
        <w:spacing w:after="0" w:line="240" w:lineRule="auto"/>
        <w:jc w:val="center"/>
        <w:rPr>
          <w:rFonts w:ascii="Times New Roman" w:hAnsi="Times New Roman" w:cs="Times New Roman"/>
          <w:b/>
          <w:sz w:val="20"/>
          <w:szCs w:val="20"/>
        </w:rPr>
      </w:pPr>
    </w:p>
    <w:p w14:paraId="038FD53E" w14:textId="24B25C1A"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 xml:space="preserve">Table. </w:t>
      </w:r>
      <w:r w:rsidR="00C03180">
        <w:rPr>
          <w:rFonts w:ascii="Arial Black" w:hAnsi="Arial Black" w:cs="Times New Roman"/>
          <w:b/>
        </w:rPr>
        <w:t>5</w:t>
      </w:r>
      <w:r w:rsidRPr="00FF1C06">
        <w:rPr>
          <w:rFonts w:ascii="Arial Black" w:hAnsi="Arial Black" w:cs="Times New Roman"/>
          <w:b/>
        </w:rPr>
        <w:t xml:space="preserve"> Effect of different micronutrient application on Chlorophyll </w:t>
      </w:r>
      <w:r w:rsidR="00FF1C06" w:rsidRPr="00FF1C06">
        <w:rPr>
          <w:rFonts w:ascii="Arial Black" w:hAnsi="Arial Black" w:cs="Times New Roman"/>
          <w:b/>
        </w:rPr>
        <w:t>content in</w:t>
      </w:r>
      <w:r w:rsidRPr="00FF1C06">
        <w:rPr>
          <w:rFonts w:ascii="Arial Black" w:hAnsi="Arial Black" w:cs="Times New Roman"/>
          <w:b/>
        </w:rPr>
        <w:t xml:space="preserve"> Broccoli.</w:t>
      </w:r>
    </w:p>
    <w:p w14:paraId="3FF4581B" w14:textId="77777777" w:rsidR="00594DC0" w:rsidRPr="00594DC0" w:rsidRDefault="00594DC0" w:rsidP="00594DC0">
      <w:pPr>
        <w:spacing w:after="0" w:line="240" w:lineRule="auto"/>
        <w:jc w:val="center"/>
        <w:rPr>
          <w:rFonts w:ascii="Times New Roman" w:hAnsi="Times New Roman" w:cs="Times New Roman"/>
          <w:sz w:val="20"/>
          <w:szCs w:val="20"/>
        </w:rPr>
      </w:pPr>
    </w:p>
    <w:tbl>
      <w:tblPr>
        <w:tblW w:w="812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701"/>
        <w:gridCol w:w="1985"/>
        <w:gridCol w:w="2410"/>
      </w:tblGrid>
      <w:tr w:rsidR="00594DC0" w:rsidRPr="00594DC0" w14:paraId="274177C1" w14:textId="77777777" w:rsidTr="001577F7">
        <w:trPr>
          <w:trHeight w:val="317"/>
        </w:trPr>
        <w:tc>
          <w:tcPr>
            <w:tcW w:w="2025" w:type="dxa"/>
            <w:vMerge w:val="restart"/>
            <w:noWrap/>
            <w:vAlign w:val="bottom"/>
            <w:hideMark/>
          </w:tcPr>
          <w:p w14:paraId="1BE4E093" w14:textId="77777777" w:rsidR="00594DC0" w:rsidRPr="00FF1C06" w:rsidRDefault="00594DC0" w:rsidP="00594DC0">
            <w:pPr>
              <w:spacing w:after="0" w:line="240" w:lineRule="auto"/>
              <w:jc w:val="center"/>
              <w:rPr>
                <w:rFonts w:ascii="Arial Black" w:eastAsia="Times New Roman" w:hAnsi="Arial Black" w:cs="Times New Roman"/>
                <w:b/>
                <w:bCs/>
                <w:color w:val="000000"/>
              </w:rPr>
            </w:pPr>
          </w:p>
          <w:p w14:paraId="368815EF" w14:textId="77777777" w:rsidR="00594DC0" w:rsidRPr="00FF1C06" w:rsidRDefault="00594DC0" w:rsidP="00594DC0">
            <w:pPr>
              <w:spacing w:after="0" w:line="240" w:lineRule="auto"/>
              <w:jc w:val="center"/>
              <w:rPr>
                <w:rFonts w:ascii="Arial Black" w:eastAsia="Times New Roman" w:hAnsi="Arial Black" w:cs="Times New Roman"/>
                <w:b/>
                <w:bCs/>
                <w:color w:val="000000"/>
              </w:rPr>
            </w:pPr>
            <w:r w:rsidRPr="00FF1C06">
              <w:rPr>
                <w:rFonts w:ascii="Arial Black" w:eastAsia="Times New Roman" w:hAnsi="Arial Black" w:cs="Times New Roman"/>
                <w:b/>
                <w:bCs/>
                <w:color w:val="000000"/>
              </w:rPr>
              <w:t>Treatments</w:t>
            </w:r>
          </w:p>
        </w:tc>
        <w:tc>
          <w:tcPr>
            <w:tcW w:w="6096" w:type="dxa"/>
            <w:gridSpan w:val="3"/>
            <w:noWrap/>
            <w:vAlign w:val="bottom"/>
            <w:hideMark/>
          </w:tcPr>
          <w:p w14:paraId="1DBE43F3" w14:textId="77777777" w:rsidR="00594DC0" w:rsidRPr="00FF1C06" w:rsidRDefault="00594DC0" w:rsidP="00594DC0">
            <w:pPr>
              <w:spacing w:after="0" w:line="240" w:lineRule="auto"/>
              <w:jc w:val="center"/>
              <w:rPr>
                <w:rFonts w:ascii="Arial Black" w:hAnsi="Arial Black" w:cs="Times New Roman"/>
                <w:b/>
              </w:rPr>
            </w:pPr>
            <w:r w:rsidRPr="00FF1C06">
              <w:rPr>
                <w:rFonts w:ascii="Arial Black" w:hAnsi="Arial Black" w:cs="Times New Roman"/>
                <w:b/>
              </w:rPr>
              <w:t>Chlorophyll content (mg/g)</w:t>
            </w:r>
          </w:p>
        </w:tc>
      </w:tr>
      <w:tr w:rsidR="00594DC0" w:rsidRPr="00594DC0" w14:paraId="72DB3BEF" w14:textId="77777777" w:rsidTr="001577F7">
        <w:trPr>
          <w:trHeight w:val="241"/>
        </w:trPr>
        <w:tc>
          <w:tcPr>
            <w:tcW w:w="2025" w:type="dxa"/>
            <w:vMerge/>
            <w:noWrap/>
            <w:vAlign w:val="bottom"/>
            <w:hideMark/>
          </w:tcPr>
          <w:p w14:paraId="159BDC9D" w14:textId="77777777" w:rsidR="00594DC0" w:rsidRPr="00FF1C06" w:rsidRDefault="00594DC0" w:rsidP="00594DC0">
            <w:pPr>
              <w:spacing w:after="0" w:line="240" w:lineRule="auto"/>
              <w:jc w:val="center"/>
              <w:rPr>
                <w:rFonts w:ascii="Arial Black" w:eastAsia="Times New Roman" w:hAnsi="Arial Black" w:cs="Times New Roman"/>
                <w:b/>
                <w:bCs/>
                <w:color w:val="000000"/>
              </w:rPr>
            </w:pPr>
          </w:p>
        </w:tc>
        <w:tc>
          <w:tcPr>
            <w:tcW w:w="1701" w:type="dxa"/>
            <w:noWrap/>
            <w:vAlign w:val="bottom"/>
            <w:hideMark/>
          </w:tcPr>
          <w:p w14:paraId="176B410A"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2020-21</w:t>
            </w:r>
          </w:p>
        </w:tc>
        <w:tc>
          <w:tcPr>
            <w:tcW w:w="1985" w:type="dxa"/>
            <w:noWrap/>
            <w:vAlign w:val="bottom"/>
            <w:hideMark/>
          </w:tcPr>
          <w:p w14:paraId="08AAD37C"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2021-22</w:t>
            </w:r>
          </w:p>
        </w:tc>
        <w:tc>
          <w:tcPr>
            <w:tcW w:w="2410" w:type="dxa"/>
            <w:vAlign w:val="bottom"/>
          </w:tcPr>
          <w:p w14:paraId="1C7FEE07" w14:textId="77777777" w:rsidR="00594DC0" w:rsidRPr="00FF1C06" w:rsidRDefault="00594DC0" w:rsidP="00594DC0">
            <w:pPr>
              <w:spacing w:after="0" w:line="240" w:lineRule="auto"/>
              <w:jc w:val="center"/>
              <w:rPr>
                <w:rFonts w:ascii="Arial Black" w:hAnsi="Arial Black" w:cs="Times New Roman"/>
                <w:b/>
                <w:color w:val="000000"/>
              </w:rPr>
            </w:pPr>
            <w:r w:rsidRPr="00FF1C06">
              <w:rPr>
                <w:rFonts w:ascii="Arial Black" w:hAnsi="Arial Black" w:cs="Times New Roman"/>
                <w:b/>
                <w:color w:val="000000"/>
              </w:rPr>
              <w:t>Pooled</w:t>
            </w:r>
          </w:p>
        </w:tc>
      </w:tr>
      <w:tr w:rsidR="00FF1C06" w:rsidRPr="00594DC0" w14:paraId="05399973" w14:textId="77777777" w:rsidTr="001577F7">
        <w:trPr>
          <w:trHeight w:val="351"/>
        </w:trPr>
        <w:tc>
          <w:tcPr>
            <w:tcW w:w="2025" w:type="dxa"/>
            <w:noWrap/>
            <w:vAlign w:val="bottom"/>
            <w:hideMark/>
          </w:tcPr>
          <w:p w14:paraId="5F974545" w14:textId="350D8B3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0</w:t>
            </w:r>
          </w:p>
        </w:tc>
        <w:tc>
          <w:tcPr>
            <w:tcW w:w="1701" w:type="dxa"/>
            <w:noWrap/>
            <w:vAlign w:val="bottom"/>
            <w:hideMark/>
          </w:tcPr>
          <w:p w14:paraId="4949553D"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1.58</w:t>
            </w:r>
          </w:p>
        </w:tc>
        <w:tc>
          <w:tcPr>
            <w:tcW w:w="1985" w:type="dxa"/>
            <w:noWrap/>
            <w:vAlign w:val="bottom"/>
            <w:hideMark/>
          </w:tcPr>
          <w:p w14:paraId="1D57D19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1.56</w:t>
            </w:r>
          </w:p>
        </w:tc>
        <w:tc>
          <w:tcPr>
            <w:tcW w:w="2410" w:type="dxa"/>
            <w:vAlign w:val="bottom"/>
          </w:tcPr>
          <w:p w14:paraId="4D104BD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1.57</w:t>
            </w:r>
          </w:p>
        </w:tc>
      </w:tr>
      <w:tr w:rsidR="00FF1C06" w:rsidRPr="00594DC0" w14:paraId="64008F2C" w14:textId="77777777" w:rsidTr="001577F7">
        <w:trPr>
          <w:trHeight w:val="351"/>
        </w:trPr>
        <w:tc>
          <w:tcPr>
            <w:tcW w:w="2025" w:type="dxa"/>
            <w:noWrap/>
            <w:vAlign w:val="bottom"/>
            <w:hideMark/>
          </w:tcPr>
          <w:p w14:paraId="0DC0824F" w14:textId="0149FB1D"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w:t>
            </w:r>
          </w:p>
        </w:tc>
        <w:tc>
          <w:tcPr>
            <w:tcW w:w="1701" w:type="dxa"/>
            <w:noWrap/>
            <w:vAlign w:val="bottom"/>
            <w:hideMark/>
          </w:tcPr>
          <w:p w14:paraId="2D53C6A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1.58</w:t>
            </w:r>
          </w:p>
        </w:tc>
        <w:tc>
          <w:tcPr>
            <w:tcW w:w="1985" w:type="dxa"/>
            <w:noWrap/>
            <w:vAlign w:val="bottom"/>
            <w:hideMark/>
          </w:tcPr>
          <w:p w14:paraId="01F89FC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1.60</w:t>
            </w:r>
          </w:p>
        </w:tc>
        <w:tc>
          <w:tcPr>
            <w:tcW w:w="2410" w:type="dxa"/>
            <w:vAlign w:val="bottom"/>
          </w:tcPr>
          <w:p w14:paraId="3A157399"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1.59</w:t>
            </w:r>
          </w:p>
        </w:tc>
      </w:tr>
      <w:tr w:rsidR="00FF1C06" w:rsidRPr="00594DC0" w14:paraId="5AC2E234" w14:textId="77777777" w:rsidTr="001577F7">
        <w:trPr>
          <w:trHeight w:val="266"/>
        </w:trPr>
        <w:tc>
          <w:tcPr>
            <w:tcW w:w="2025" w:type="dxa"/>
            <w:noWrap/>
            <w:vAlign w:val="bottom"/>
            <w:hideMark/>
          </w:tcPr>
          <w:p w14:paraId="04816C9F" w14:textId="5D747EE2"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2</w:t>
            </w:r>
          </w:p>
        </w:tc>
        <w:tc>
          <w:tcPr>
            <w:tcW w:w="1701" w:type="dxa"/>
            <w:noWrap/>
            <w:vAlign w:val="bottom"/>
            <w:hideMark/>
          </w:tcPr>
          <w:p w14:paraId="7430B6DF"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1.63</w:t>
            </w:r>
          </w:p>
        </w:tc>
        <w:tc>
          <w:tcPr>
            <w:tcW w:w="1985" w:type="dxa"/>
            <w:noWrap/>
            <w:vAlign w:val="bottom"/>
            <w:hideMark/>
          </w:tcPr>
          <w:p w14:paraId="0BE4822D"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1.61</w:t>
            </w:r>
          </w:p>
        </w:tc>
        <w:tc>
          <w:tcPr>
            <w:tcW w:w="2410" w:type="dxa"/>
            <w:vAlign w:val="bottom"/>
          </w:tcPr>
          <w:p w14:paraId="5862A0E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1.62</w:t>
            </w:r>
          </w:p>
        </w:tc>
      </w:tr>
      <w:tr w:rsidR="00FF1C06" w:rsidRPr="00594DC0" w14:paraId="31927584" w14:textId="77777777" w:rsidTr="001577F7">
        <w:trPr>
          <w:trHeight w:val="351"/>
        </w:trPr>
        <w:tc>
          <w:tcPr>
            <w:tcW w:w="2025" w:type="dxa"/>
            <w:noWrap/>
            <w:vAlign w:val="bottom"/>
            <w:hideMark/>
          </w:tcPr>
          <w:p w14:paraId="016CD882" w14:textId="50D70568"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3</w:t>
            </w:r>
          </w:p>
        </w:tc>
        <w:tc>
          <w:tcPr>
            <w:tcW w:w="1701" w:type="dxa"/>
            <w:noWrap/>
            <w:vAlign w:val="bottom"/>
            <w:hideMark/>
          </w:tcPr>
          <w:p w14:paraId="47BAB11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1.65</w:t>
            </w:r>
          </w:p>
        </w:tc>
        <w:tc>
          <w:tcPr>
            <w:tcW w:w="1985" w:type="dxa"/>
            <w:noWrap/>
            <w:vAlign w:val="bottom"/>
            <w:hideMark/>
          </w:tcPr>
          <w:p w14:paraId="6029A71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1.63</w:t>
            </w:r>
          </w:p>
        </w:tc>
        <w:tc>
          <w:tcPr>
            <w:tcW w:w="2410" w:type="dxa"/>
            <w:vAlign w:val="bottom"/>
          </w:tcPr>
          <w:p w14:paraId="38FBDE7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1.64</w:t>
            </w:r>
          </w:p>
        </w:tc>
      </w:tr>
      <w:tr w:rsidR="00FF1C06" w:rsidRPr="00594DC0" w14:paraId="11811929" w14:textId="77777777" w:rsidTr="001577F7">
        <w:trPr>
          <w:trHeight w:val="351"/>
        </w:trPr>
        <w:tc>
          <w:tcPr>
            <w:tcW w:w="2025" w:type="dxa"/>
            <w:noWrap/>
            <w:vAlign w:val="bottom"/>
            <w:hideMark/>
          </w:tcPr>
          <w:p w14:paraId="5AB30D36" w14:textId="20349CE6"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4</w:t>
            </w:r>
          </w:p>
        </w:tc>
        <w:tc>
          <w:tcPr>
            <w:tcW w:w="1701" w:type="dxa"/>
            <w:noWrap/>
            <w:vAlign w:val="bottom"/>
            <w:hideMark/>
          </w:tcPr>
          <w:p w14:paraId="220EBCA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1.75</w:t>
            </w:r>
          </w:p>
        </w:tc>
        <w:tc>
          <w:tcPr>
            <w:tcW w:w="1985" w:type="dxa"/>
            <w:noWrap/>
            <w:vAlign w:val="bottom"/>
            <w:hideMark/>
          </w:tcPr>
          <w:p w14:paraId="2A689CC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1.69</w:t>
            </w:r>
          </w:p>
        </w:tc>
        <w:tc>
          <w:tcPr>
            <w:tcW w:w="2410" w:type="dxa"/>
            <w:vAlign w:val="bottom"/>
          </w:tcPr>
          <w:p w14:paraId="0A52472C"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1.72</w:t>
            </w:r>
          </w:p>
        </w:tc>
      </w:tr>
      <w:tr w:rsidR="00FF1C06" w:rsidRPr="00594DC0" w14:paraId="46F1D0E1" w14:textId="77777777" w:rsidTr="001577F7">
        <w:trPr>
          <w:trHeight w:val="351"/>
        </w:trPr>
        <w:tc>
          <w:tcPr>
            <w:tcW w:w="2025" w:type="dxa"/>
            <w:noWrap/>
            <w:vAlign w:val="bottom"/>
            <w:hideMark/>
          </w:tcPr>
          <w:p w14:paraId="20AEF9E3" w14:textId="05376418"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5</w:t>
            </w:r>
          </w:p>
        </w:tc>
        <w:tc>
          <w:tcPr>
            <w:tcW w:w="1701" w:type="dxa"/>
            <w:noWrap/>
            <w:vAlign w:val="bottom"/>
            <w:hideMark/>
          </w:tcPr>
          <w:p w14:paraId="73B5319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1.83</w:t>
            </w:r>
          </w:p>
        </w:tc>
        <w:tc>
          <w:tcPr>
            <w:tcW w:w="1985" w:type="dxa"/>
            <w:noWrap/>
            <w:vAlign w:val="bottom"/>
            <w:hideMark/>
          </w:tcPr>
          <w:p w14:paraId="093C233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1.81</w:t>
            </w:r>
          </w:p>
        </w:tc>
        <w:tc>
          <w:tcPr>
            <w:tcW w:w="2410" w:type="dxa"/>
            <w:vAlign w:val="bottom"/>
          </w:tcPr>
          <w:p w14:paraId="631F685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1.82</w:t>
            </w:r>
          </w:p>
        </w:tc>
      </w:tr>
      <w:tr w:rsidR="00FF1C06" w:rsidRPr="00594DC0" w14:paraId="46300775" w14:textId="77777777" w:rsidTr="001577F7">
        <w:trPr>
          <w:trHeight w:val="351"/>
        </w:trPr>
        <w:tc>
          <w:tcPr>
            <w:tcW w:w="2025" w:type="dxa"/>
            <w:noWrap/>
            <w:vAlign w:val="bottom"/>
            <w:hideMark/>
          </w:tcPr>
          <w:p w14:paraId="45E71F54" w14:textId="7226CC07"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6</w:t>
            </w:r>
          </w:p>
        </w:tc>
        <w:tc>
          <w:tcPr>
            <w:tcW w:w="1701" w:type="dxa"/>
            <w:noWrap/>
            <w:vAlign w:val="bottom"/>
            <w:hideMark/>
          </w:tcPr>
          <w:p w14:paraId="4EA9C05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1.86</w:t>
            </w:r>
          </w:p>
        </w:tc>
        <w:tc>
          <w:tcPr>
            <w:tcW w:w="1985" w:type="dxa"/>
            <w:noWrap/>
            <w:vAlign w:val="bottom"/>
            <w:hideMark/>
          </w:tcPr>
          <w:p w14:paraId="6143C55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1.80</w:t>
            </w:r>
          </w:p>
        </w:tc>
        <w:tc>
          <w:tcPr>
            <w:tcW w:w="2410" w:type="dxa"/>
            <w:vAlign w:val="bottom"/>
          </w:tcPr>
          <w:p w14:paraId="7FF71D6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1.83</w:t>
            </w:r>
          </w:p>
        </w:tc>
      </w:tr>
      <w:tr w:rsidR="00FF1C06" w:rsidRPr="00594DC0" w14:paraId="73247B0C" w14:textId="77777777" w:rsidTr="001577F7">
        <w:trPr>
          <w:trHeight w:val="351"/>
        </w:trPr>
        <w:tc>
          <w:tcPr>
            <w:tcW w:w="2025" w:type="dxa"/>
            <w:noWrap/>
            <w:vAlign w:val="bottom"/>
            <w:hideMark/>
          </w:tcPr>
          <w:p w14:paraId="3B9AE3E7" w14:textId="7AB42072"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7</w:t>
            </w:r>
          </w:p>
        </w:tc>
        <w:tc>
          <w:tcPr>
            <w:tcW w:w="1701" w:type="dxa"/>
            <w:noWrap/>
            <w:vAlign w:val="bottom"/>
            <w:hideMark/>
          </w:tcPr>
          <w:p w14:paraId="4025EAF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1.97</w:t>
            </w:r>
          </w:p>
        </w:tc>
        <w:tc>
          <w:tcPr>
            <w:tcW w:w="1985" w:type="dxa"/>
            <w:noWrap/>
            <w:vAlign w:val="bottom"/>
            <w:hideMark/>
          </w:tcPr>
          <w:p w14:paraId="09B2C0BF"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1.93</w:t>
            </w:r>
          </w:p>
        </w:tc>
        <w:tc>
          <w:tcPr>
            <w:tcW w:w="2410" w:type="dxa"/>
            <w:vAlign w:val="bottom"/>
          </w:tcPr>
          <w:p w14:paraId="299924C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1.95</w:t>
            </w:r>
          </w:p>
        </w:tc>
      </w:tr>
      <w:tr w:rsidR="00FF1C06" w:rsidRPr="00594DC0" w14:paraId="6C49D4BE" w14:textId="77777777" w:rsidTr="001577F7">
        <w:trPr>
          <w:trHeight w:val="351"/>
        </w:trPr>
        <w:tc>
          <w:tcPr>
            <w:tcW w:w="2025" w:type="dxa"/>
            <w:noWrap/>
            <w:vAlign w:val="bottom"/>
            <w:hideMark/>
          </w:tcPr>
          <w:p w14:paraId="59916143" w14:textId="1E3D6BBC"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8</w:t>
            </w:r>
          </w:p>
        </w:tc>
        <w:tc>
          <w:tcPr>
            <w:tcW w:w="1701" w:type="dxa"/>
            <w:noWrap/>
            <w:vAlign w:val="bottom"/>
            <w:hideMark/>
          </w:tcPr>
          <w:p w14:paraId="394D226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1.99</w:t>
            </w:r>
          </w:p>
        </w:tc>
        <w:tc>
          <w:tcPr>
            <w:tcW w:w="1985" w:type="dxa"/>
            <w:noWrap/>
            <w:vAlign w:val="bottom"/>
            <w:hideMark/>
          </w:tcPr>
          <w:p w14:paraId="5F2CB150"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1.95</w:t>
            </w:r>
          </w:p>
        </w:tc>
        <w:tc>
          <w:tcPr>
            <w:tcW w:w="2410" w:type="dxa"/>
            <w:vAlign w:val="bottom"/>
          </w:tcPr>
          <w:p w14:paraId="509B2E3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1.97</w:t>
            </w:r>
          </w:p>
        </w:tc>
      </w:tr>
      <w:tr w:rsidR="00FF1C06" w:rsidRPr="00594DC0" w14:paraId="2FA41F53" w14:textId="77777777" w:rsidTr="001577F7">
        <w:trPr>
          <w:trHeight w:val="351"/>
        </w:trPr>
        <w:tc>
          <w:tcPr>
            <w:tcW w:w="2025" w:type="dxa"/>
            <w:noWrap/>
            <w:vAlign w:val="bottom"/>
            <w:hideMark/>
          </w:tcPr>
          <w:p w14:paraId="67735D28" w14:textId="74D7094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9</w:t>
            </w:r>
          </w:p>
        </w:tc>
        <w:tc>
          <w:tcPr>
            <w:tcW w:w="1701" w:type="dxa"/>
            <w:noWrap/>
            <w:vAlign w:val="bottom"/>
            <w:hideMark/>
          </w:tcPr>
          <w:p w14:paraId="4FC9A32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2.09</w:t>
            </w:r>
          </w:p>
        </w:tc>
        <w:tc>
          <w:tcPr>
            <w:tcW w:w="1985" w:type="dxa"/>
            <w:noWrap/>
            <w:vAlign w:val="bottom"/>
            <w:hideMark/>
          </w:tcPr>
          <w:p w14:paraId="0585881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2.15</w:t>
            </w:r>
          </w:p>
        </w:tc>
        <w:tc>
          <w:tcPr>
            <w:tcW w:w="2410" w:type="dxa"/>
            <w:vAlign w:val="bottom"/>
          </w:tcPr>
          <w:p w14:paraId="6EC250D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2.12</w:t>
            </w:r>
          </w:p>
        </w:tc>
      </w:tr>
      <w:tr w:rsidR="00FF1C06" w:rsidRPr="00594DC0" w14:paraId="1FBDF452" w14:textId="77777777" w:rsidTr="001577F7">
        <w:trPr>
          <w:trHeight w:val="351"/>
        </w:trPr>
        <w:tc>
          <w:tcPr>
            <w:tcW w:w="2025" w:type="dxa"/>
            <w:noWrap/>
            <w:vAlign w:val="bottom"/>
            <w:hideMark/>
          </w:tcPr>
          <w:p w14:paraId="4652771D" w14:textId="3A11DC9F"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10</w:t>
            </w:r>
          </w:p>
        </w:tc>
        <w:tc>
          <w:tcPr>
            <w:tcW w:w="1701" w:type="dxa"/>
            <w:noWrap/>
            <w:vAlign w:val="bottom"/>
            <w:hideMark/>
          </w:tcPr>
          <w:p w14:paraId="64B063B5"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1.98</w:t>
            </w:r>
          </w:p>
        </w:tc>
        <w:tc>
          <w:tcPr>
            <w:tcW w:w="1985" w:type="dxa"/>
            <w:noWrap/>
            <w:vAlign w:val="bottom"/>
            <w:hideMark/>
          </w:tcPr>
          <w:p w14:paraId="5DEDFE3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1.94</w:t>
            </w:r>
          </w:p>
        </w:tc>
        <w:tc>
          <w:tcPr>
            <w:tcW w:w="2410" w:type="dxa"/>
            <w:vAlign w:val="bottom"/>
          </w:tcPr>
          <w:p w14:paraId="0E3EF15B"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1.96</w:t>
            </w:r>
          </w:p>
        </w:tc>
      </w:tr>
      <w:tr w:rsidR="00FF1C06" w:rsidRPr="00594DC0" w14:paraId="7CD8C1E0" w14:textId="77777777" w:rsidTr="001577F7">
        <w:trPr>
          <w:trHeight w:val="351"/>
        </w:trPr>
        <w:tc>
          <w:tcPr>
            <w:tcW w:w="2025" w:type="dxa"/>
            <w:noWrap/>
            <w:vAlign w:val="bottom"/>
            <w:hideMark/>
          </w:tcPr>
          <w:p w14:paraId="5552B379" w14:textId="53C1C430"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11</w:t>
            </w:r>
          </w:p>
        </w:tc>
        <w:tc>
          <w:tcPr>
            <w:tcW w:w="1701" w:type="dxa"/>
            <w:noWrap/>
            <w:vAlign w:val="bottom"/>
            <w:hideMark/>
          </w:tcPr>
          <w:p w14:paraId="60BBFFF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2.17</w:t>
            </w:r>
          </w:p>
        </w:tc>
        <w:tc>
          <w:tcPr>
            <w:tcW w:w="1985" w:type="dxa"/>
            <w:noWrap/>
            <w:vAlign w:val="bottom"/>
            <w:hideMark/>
          </w:tcPr>
          <w:p w14:paraId="2756E2B3"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2.13</w:t>
            </w:r>
          </w:p>
        </w:tc>
        <w:tc>
          <w:tcPr>
            <w:tcW w:w="2410" w:type="dxa"/>
            <w:vAlign w:val="bottom"/>
          </w:tcPr>
          <w:p w14:paraId="4B43A333"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2.15</w:t>
            </w:r>
          </w:p>
        </w:tc>
      </w:tr>
      <w:tr w:rsidR="00FF1C06" w:rsidRPr="00594DC0" w14:paraId="7912DA9A" w14:textId="77777777" w:rsidTr="001577F7">
        <w:trPr>
          <w:trHeight w:val="351"/>
        </w:trPr>
        <w:tc>
          <w:tcPr>
            <w:tcW w:w="2025" w:type="dxa"/>
            <w:noWrap/>
            <w:vAlign w:val="bottom"/>
            <w:hideMark/>
          </w:tcPr>
          <w:p w14:paraId="2292B33A" w14:textId="777C5C9A"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12</w:t>
            </w:r>
          </w:p>
        </w:tc>
        <w:tc>
          <w:tcPr>
            <w:tcW w:w="1701" w:type="dxa"/>
            <w:noWrap/>
            <w:vAlign w:val="bottom"/>
            <w:hideMark/>
          </w:tcPr>
          <w:p w14:paraId="70F26D7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c>
          <w:tcPr>
            <w:tcW w:w="1985" w:type="dxa"/>
            <w:noWrap/>
            <w:vAlign w:val="bottom"/>
            <w:hideMark/>
          </w:tcPr>
          <w:p w14:paraId="1F5F682C"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c>
          <w:tcPr>
            <w:tcW w:w="2410" w:type="dxa"/>
            <w:vAlign w:val="bottom"/>
          </w:tcPr>
          <w:p w14:paraId="2A2C1AF4"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2.14</w:t>
            </w:r>
          </w:p>
        </w:tc>
      </w:tr>
      <w:tr w:rsidR="00FF1C06" w:rsidRPr="00594DC0" w14:paraId="55A62E6B" w14:textId="77777777" w:rsidTr="001577F7">
        <w:trPr>
          <w:trHeight w:val="351"/>
        </w:trPr>
        <w:tc>
          <w:tcPr>
            <w:tcW w:w="2025" w:type="dxa"/>
            <w:noWrap/>
            <w:vAlign w:val="bottom"/>
            <w:hideMark/>
          </w:tcPr>
          <w:p w14:paraId="63594F96" w14:textId="1368E994" w:rsidR="00FF1C06" w:rsidRPr="00594DC0" w:rsidRDefault="00FF1C06" w:rsidP="00FF1C06">
            <w:pPr>
              <w:spacing w:after="0" w:line="240" w:lineRule="auto"/>
              <w:jc w:val="center"/>
              <w:rPr>
                <w:rFonts w:ascii="Times New Roman" w:eastAsia="Times New Roman" w:hAnsi="Times New Roman" w:cs="Times New Roman"/>
                <w:b/>
                <w:bCs/>
                <w:color w:val="000000"/>
                <w:sz w:val="20"/>
                <w:szCs w:val="20"/>
              </w:rPr>
            </w:pPr>
            <w:r w:rsidRPr="00B207B3">
              <w:rPr>
                <w:rFonts w:ascii="Arial Black" w:eastAsia="Times New Roman" w:hAnsi="Arial Black"/>
                <w:b/>
                <w:bCs/>
                <w:color w:val="000000"/>
              </w:rPr>
              <w:t>T</w:t>
            </w:r>
            <w:r w:rsidRPr="00B207B3">
              <w:rPr>
                <w:rFonts w:ascii="Arial Black" w:eastAsia="Times New Roman" w:hAnsi="Arial Black"/>
                <w:b/>
                <w:bCs/>
                <w:color w:val="000000"/>
                <w:vertAlign w:val="subscript"/>
              </w:rPr>
              <w:t>13</w:t>
            </w:r>
          </w:p>
        </w:tc>
        <w:tc>
          <w:tcPr>
            <w:tcW w:w="1701" w:type="dxa"/>
            <w:noWrap/>
            <w:vAlign w:val="bottom"/>
            <w:hideMark/>
          </w:tcPr>
          <w:p w14:paraId="744F2141"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1.80</w:t>
            </w:r>
          </w:p>
        </w:tc>
        <w:tc>
          <w:tcPr>
            <w:tcW w:w="1985" w:type="dxa"/>
            <w:noWrap/>
            <w:vAlign w:val="bottom"/>
            <w:hideMark/>
          </w:tcPr>
          <w:p w14:paraId="1ABBACC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1.76</w:t>
            </w:r>
          </w:p>
        </w:tc>
        <w:tc>
          <w:tcPr>
            <w:tcW w:w="2410" w:type="dxa"/>
            <w:vAlign w:val="bottom"/>
          </w:tcPr>
          <w:p w14:paraId="2CE12DC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1.78</w:t>
            </w:r>
          </w:p>
        </w:tc>
      </w:tr>
      <w:tr w:rsidR="00FF1C06" w:rsidRPr="00594DC0" w14:paraId="070C8ECE" w14:textId="77777777" w:rsidTr="001577F7">
        <w:trPr>
          <w:trHeight w:val="351"/>
        </w:trPr>
        <w:tc>
          <w:tcPr>
            <w:tcW w:w="2025" w:type="dxa"/>
            <w:noWrap/>
            <w:vAlign w:val="bottom"/>
            <w:hideMark/>
          </w:tcPr>
          <w:p w14:paraId="634F93C3" w14:textId="2B219A7E" w:rsidR="00FF1C06" w:rsidRPr="00594DC0" w:rsidRDefault="00FF1C06" w:rsidP="00FF1C06">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SEm±</w:t>
            </w:r>
          </w:p>
        </w:tc>
        <w:tc>
          <w:tcPr>
            <w:tcW w:w="1701" w:type="dxa"/>
            <w:noWrap/>
            <w:vAlign w:val="bottom"/>
            <w:hideMark/>
          </w:tcPr>
          <w:p w14:paraId="7EE49852"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0.023</w:t>
            </w:r>
          </w:p>
        </w:tc>
        <w:tc>
          <w:tcPr>
            <w:tcW w:w="1985" w:type="dxa"/>
            <w:noWrap/>
            <w:vAlign w:val="bottom"/>
            <w:hideMark/>
          </w:tcPr>
          <w:p w14:paraId="22B484FE"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0.026</w:t>
            </w:r>
          </w:p>
        </w:tc>
        <w:tc>
          <w:tcPr>
            <w:tcW w:w="2410" w:type="dxa"/>
            <w:vAlign w:val="bottom"/>
          </w:tcPr>
          <w:p w14:paraId="025EB9DA"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0.021</w:t>
            </w:r>
          </w:p>
        </w:tc>
      </w:tr>
      <w:tr w:rsidR="00FF1C06" w:rsidRPr="00594DC0" w14:paraId="6D7EFE87" w14:textId="77777777" w:rsidTr="001577F7">
        <w:trPr>
          <w:trHeight w:val="351"/>
        </w:trPr>
        <w:tc>
          <w:tcPr>
            <w:tcW w:w="2025" w:type="dxa"/>
            <w:noWrap/>
            <w:vAlign w:val="bottom"/>
            <w:hideMark/>
          </w:tcPr>
          <w:p w14:paraId="07CF2792" w14:textId="3AC3D143" w:rsidR="00FF1C06" w:rsidRPr="00594DC0" w:rsidRDefault="00FF1C06" w:rsidP="00FF1C06">
            <w:pPr>
              <w:spacing w:after="0" w:line="240" w:lineRule="auto"/>
              <w:jc w:val="center"/>
              <w:rPr>
                <w:rFonts w:ascii="Times New Roman" w:eastAsia="Times New Roman" w:hAnsi="Times New Roman" w:cs="Times New Roman"/>
                <w:b/>
                <w:color w:val="000000"/>
                <w:sz w:val="20"/>
                <w:szCs w:val="20"/>
              </w:rPr>
            </w:pPr>
            <w:r w:rsidRPr="00B207B3">
              <w:rPr>
                <w:rFonts w:ascii="Arial Black" w:eastAsia="Times New Roman" w:hAnsi="Arial Black"/>
                <w:b/>
                <w:color w:val="000000"/>
              </w:rPr>
              <w:t xml:space="preserve">CD </w:t>
            </w:r>
            <w:r w:rsidRPr="00B207B3">
              <w:rPr>
                <w:rFonts w:ascii="Arial Black" w:eastAsia="Times New Roman" w:hAnsi="Arial Black"/>
                <w:b/>
                <w:color w:val="000000"/>
                <w:vertAlign w:val="subscript"/>
              </w:rPr>
              <w:t>(at 5%)</w:t>
            </w:r>
          </w:p>
        </w:tc>
        <w:tc>
          <w:tcPr>
            <w:tcW w:w="1701" w:type="dxa"/>
            <w:noWrap/>
            <w:vAlign w:val="bottom"/>
            <w:hideMark/>
          </w:tcPr>
          <w:p w14:paraId="312DAF06"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0.071</w:t>
            </w:r>
          </w:p>
        </w:tc>
        <w:tc>
          <w:tcPr>
            <w:tcW w:w="1985" w:type="dxa"/>
            <w:noWrap/>
            <w:vAlign w:val="bottom"/>
            <w:hideMark/>
          </w:tcPr>
          <w:p w14:paraId="40A03D18"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0.081</w:t>
            </w:r>
          </w:p>
        </w:tc>
        <w:tc>
          <w:tcPr>
            <w:tcW w:w="2410" w:type="dxa"/>
            <w:vAlign w:val="bottom"/>
          </w:tcPr>
          <w:p w14:paraId="5E549257" w14:textId="77777777" w:rsidR="00FF1C06" w:rsidRPr="00FF1C06" w:rsidRDefault="00FF1C06" w:rsidP="00FF1C06">
            <w:pPr>
              <w:spacing w:after="0" w:line="240" w:lineRule="auto"/>
              <w:jc w:val="center"/>
              <w:rPr>
                <w:rFonts w:ascii="Arial" w:hAnsi="Arial" w:cs="Arial"/>
                <w:color w:val="000000"/>
                <w:sz w:val="20"/>
                <w:szCs w:val="20"/>
              </w:rPr>
            </w:pPr>
            <w:r w:rsidRPr="00FF1C06">
              <w:rPr>
                <w:rFonts w:ascii="Arial" w:hAnsi="Arial" w:cs="Arial"/>
                <w:color w:val="000000"/>
                <w:sz w:val="20"/>
                <w:szCs w:val="20"/>
              </w:rPr>
              <w:t>0.061</w:t>
            </w:r>
          </w:p>
        </w:tc>
      </w:tr>
    </w:tbl>
    <w:p w14:paraId="3BF7629A" w14:textId="77777777" w:rsidR="00594DC0" w:rsidRPr="00594DC0" w:rsidRDefault="00594DC0" w:rsidP="00594DC0">
      <w:pPr>
        <w:spacing w:after="0" w:line="240" w:lineRule="auto"/>
        <w:jc w:val="both"/>
        <w:rPr>
          <w:rFonts w:ascii="Times New Roman" w:hAnsi="Times New Roman" w:cs="Times New Roman"/>
          <w:b/>
          <w:sz w:val="20"/>
          <w:szCs w:val="20"/>
        </w:rPr>
      </w:pPr>
    </w:p>
    <w:p w14:paraId="1C8E749B" w14:textId="4F772FC2" w:rsidR="00594DC0" w:rsidRPr="002A3E1B" w:rsidRDefault="00594DC0" w:rsidP="00594DC0">
      <w:pPr>
        <w:spacing w:after="0" w:line="240" w:lineRule="auto"/>
        <w:jc w:val="both"/>
        <w:rPr>
          <w:rFonts w:ascii="Arial Black" w:hAnsi="Arial Black" w:cs="Times New Roman"/>
          <w:b/>
        </w:rPr>
      </w:pPr>
      <w:r w:rsidRPr="002A3E1B">
        <w:rPr>
          <w:rFonts w:ascii="Arial Black" w:hAnsi="Arial Black" w:cs="Times New Roman"/>
          <w:b/>
        </w:rPr>
        <w:t xml:space="preserve">Fig. 4. Effect of different micronutrient application on Chlorophyll </w:t>
      </w:r>
      <w:r w:rsidR="002A3E1B" w:rsidRPr="002A3E1B">
        <w:rPr>
          <w:rFonts w:ascii="Arial Black" w:hAnsi="Arial Black" w:cs="Times New Roman"/>
          <w:b/>
        </w:rPr>
        <w:t>content in</w:t>
      </w:r>
      <w:r w:rsidRPr="002A3E1B">
        <w:rPr>
          <w:rFonts w:ascii="Arial Black" w:hAnsi="Arial Black" w:cs="Times New Roman"/>
          <w:b/>
        </w:rPr>
        <w:t xml:space="preserve"> Broccoli</w:t>
      </w:r>
    </w:p>
    <w:p w14:paraId="201C1CCD" w14:textId="77777777" w:rsidR="00594DC0" w:rsidRPr="00594DC0" w:rsidRDefault="00594DC0" w:rsidP="00594DC0">
      <w:pPr>
        <w:spacing w:after="0" w:line="240" w:lineRule="auto"/>
        <w:jc w:val="both"/>
        <w:rPr>
          <w:rFonts w:ascii="Times New Roman" w:hAnsi="Times New Roman" w:cs="Times New Roman"/>
          <w:sz w:val="20"/>
          <w:szCs w:val="20"/>
        </w:rPr>
      </w:pPr>
      <w:r w:rsidRPr="00594DC0">
        <w:rPr>
          <w:rFonts w:ascii="Times New Roman" w:hAnsi="Times New Roman" w:cs="Times New Roman"/>
          <w:b/>
          <w:sz w:val="20"/>
          <w:szCs w:val="20"/>
        </w:rPr>
        <w:t>.</w:t>
      </w:r>
    </w:p>
    <w:p w14:paraId="7189AAAE" w14:textId="77777777" w:rsidR="00594DC0" w:rsidRPr="00594DC0" w:rsidRDefault="00594DC0" w:rsidP="00594DC0">
      <w:pPr>
        <w:spacing w:after="0" w:line="240" w:lineRule="auto"/>
        <w:jc w:val="center"/>
        <w:rPr>
          <w:rFonts w:ascii="Times New Roman" w:hAnsi="Times New Roman" w:cs="Times New Roman"/>
          <w:b/>
          <w:sz w:val="20"/>
          <w:szCs w:val="20"/>
        </w:rPr>
      </w:pPr>
      <w:r w:rsidRPr="00594DC0">
        <w:rPr>
          <w:rFonts w:ascii="Times New Roman" w:hAnsi="Times New Roman" w:cs="Times New Roman"/>
          <w:b/>
          <w:noProof/>
          <w:sz w:val="20"/>
          <w:szCs w:val="20"/>
        </w:rPr>
        <w:drawing>
          <wp:inline distT="0" distB="0" distL="0" distR="0" wp14:anchorId="1F66D752" wp14:editId="475F3A22">
            <wp:extent cx="5564063" cy="1725433"/>
            <wp:effectExtent l="19050" t="0" r="17587" b="8117"/>
            <wp:docPr id="16"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65B69E" w14:textId="77777777" w:rsidR="00594DC0" w:rsidRPr="0053523B" w:rsidRDefault="00594DC0" w:rsidP="0053523B">
      <w:pPr>
        <w:pStyle w:val="NormalWeb"/>
        <w:spacing w:before="0" w:beforeAutospacing="0" w:after="0" w:afterAutospacing="0" w:line="360" w:lineRule="auto"/>
        <w:jc w:val="both"/>
      </w:pPr>
    </w:p>
    <w:p w14:paraId="66625E09" w14:textId="77777777" w:rsidR="00594DC0" w:rsidRPr="002A3E1B" w:rsidRDefault="00594DC0" w:rsidP="00594DC0">
      <w:pPr>
        <w:pStyle w:val="NormalWeb"/>
        <w:spacing w:before="0" w:beforeAutospacing="0" w:after="0" w:afterAutospacing="0" w:line="360" w:lineRule="auto"/>
        <w:jc w:val="both"/>
        <w:rPr>
          <w:rFonts w:ascii="Arial" w:hAnsi="Arial" w:cs="Arial"/>
          <w:sz w:val="20"/>
          <w:szCs w:val="20"/>
        </w:rPr>
      </w:pPr>
      <w:r>
        <w:lastRenderedPageBreak/>
        <w:tab/>
      </w:r>
      <w:r w:rsidRPr="002A3E1B">
        <w:rPr>
          <w:rFonts w:ascii="Arial" w:hAnsi="Arial" w:cs="Arial"/>
          <w:sz w:val="20"/>
          <w:szCs w:val="20"/>
        </w:rPr>
        <w:t xml:space="preserve">The results of the present investigation clearly indicated that foliar application of micronutrients exerted a pronounced influence on the biochemical quality of broccoli. A marked increase in ascorbic acid content was observed in plants that received a combined foliar supply of boric acid and copper sulphate compared to the untreated control. Similar enhancement of ascorbic acid in broccoli and other cole crops under micronutrient feeding has been reported earlier, where zinc, boron and copper were shown to stimulate antioxidant metabolism and ascorbate synthesis (Hashem et al., 2021; Ali et al., 2021; Bhandari et al., 2023). This may be attributed to improved enzymatic cofactor availability for redox reactions and enhanced metabolic activity under optimal micronutrient status as previously noted in mineral nutrition literature (Marschner, 2012; Souri and </w:t>
      </w:r>
      <w:proofErr w:type="spellStart"/>
      <w:r w:rsidRPr="002A3E1B">
        <w:rPr>
          <w:rFonts w:ascii="Arial" w:hAnsi="Arial" w:cs="Arial"/>
          <w:sz w:val="20"/>
          <w:szCs w:val="20"/>
        </w:rPr>
        <w:t>Hatamian</w:t>
      </w:r>
      <w:proofErr w:type="spellEnd"/>
      <w:r w:rsidRPr="002A3E1B">
        <w:rPr>
          <w:rFonts w:ascii="Arial" w:hAnsi="Arial" w:cs="Arial"/>
          <w:sz w:val="20"/>
          <w:szCs w:val="20"/>
        </w:rPr>
        <w:t>, 2019).</w:t>
      </w:r>
    </w:p>
    <w:p w14:paraId="66BE7355" w14:textId="77777777" w:rsidR="00594DC0" w:rsidRPr="002A3E1B" w:rsidRDefault="00825CEC" w:rsidP="00594DC0">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r>
      <w:r w:rsidR="00594DC0" w:rsidRPr="002A3E1B">
        <w:rPr>
          <w:rFonts w:ascii="Arial" w:hAnsi="Arial" w:cs="Arial"/>
          <w:sz w:val="20"/>
          <w:szCs w:val="20"/>
        </w:rPr>
        <w:t xml:space="preserve">Total soluble solids increased significantly when boric acid was combined with ammonium molybdate at foliar level. The improvement in soluble solids has also been previously documented in Brassica vegetables exposed to foliar micronutrients, wherein enhanced carbohydrate metabolism and assimilate partitioning were observed (Fernández and Brown, 2013; Karthika et al., 2022). Higher TSS under micronutrient supply aligns with the understood physiological role of boron and molybdenum in sugar transport, nitrate reduction and overall metabolic efficiency (Sharma et al., 2020; </w:t>
      </w:r>
      <w:proofErr w:type="spellStart"/>
      <w:r w:rsidR="00594DC0" w:rsidRPr="002A3E1B">
        <w:rPr>
          <w:rFonts w:ascii="Arial" w:hAnsi="Arial" w:cs="Arial"/>
          <w:sz w:val="20"/>
          <w:szCs w:val="20"/>
        </w:rPr>
        <w:t>Klopsch</w:t>
      </w:r>
      <w:proofErr w:type="spellEnd"/>
      <w:r w:rsidR="00594DC0" w:rsidRPr="002A3E1B">
        <w:rPr>
          <w:rFonts w:ascii="Arial" w:hAnsi="Arial" w:cs="Arial"/>
          <w:sz w:val="20"/>
          <w:szCs w:val="20"/>
        </w:rPr>
        <w:t xml:space="preserve"> et al., 2022).</w:t>
      </w:r>
    </w:p>
    <w:p w14:paraId="335B6B95" w14:textId="77777777" w:rsidR="00594DC0" w:rsidRPr="002A3E1B" w:rsidRDefault="00825CEC" w:rsidP="00594DC0">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r>
      <w:r w:rsidR="00594DC0" w:rsidRPr="002A3E1B">
        <w:rPr>
          <w:rFonts w:ascii="Arial" w:hAnsi="Arial" w:cs="Arial"/>
          <w:sz w:val="20"/>
          <w:szCs w:val="20"/>
        </w:rPr>
        <w:t>Crude protein content was highest in broccoli heads treated with copper sulphate alone. Copper is known to act as a structural or catalytic cofactor in numerous enzymes of nitrogen assimilation, including amine oxidases and nitrate reductase (Marschner, 2012). Reports on Brassica species have similarly demonstrated that copper-containing sprays improved nitrogen assimilation and protein deposition in edible tissues (Ali et al., 2021; Al-</w:t>
      </w:r>
      <w:proofErr w:type="spellStart"/>
      <w:r w:rsidR="00594DC0" w:rsidRPr="002A3E1B">
        <w:rPr>
          <w:rFonts w:ascii="Arial" w:hAnsi="Arial" w:cs="Arial"/>
          <w:sz w:val="20"/>
          <w:szCs w:val="20"/>
        </w:rPr>
        <w:t>Hasnawi</w:t>
      </w:r>
      <w:proofErr w:type="spellEnd"/>
      <w:r w:rsidR="00594DC0" w:rsidRPr="002A3E1B">
        <w:rPr>
          <w:rFonts w:ascii="Arial" w:hAnsi="Arial" w:cs="Arial"/>
          <w:sz w:val="20"/>
          <w:szCs w:val="20"/>
        </w:rPr>
        <w:t xml:space="preserve"> et al., 2023). The pattern observed in this investigation is consistent with these findings.</w:t>
      </w:r>
    </w:p>
    <w:p w14:paraId="553AF597" w14:textId="77777777" w:rsidR="00594DC0" w:rsidRPr="002A3E1B" w:rsidRDefault="00825CEC" w:rsidP="00594DC0">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r>
      <w:r w:rsidR="00594DC0" w:rsidRPr="002A3E1B">
        <w:rPr>
          <w:rFonts w:ascii="Arial" w:hAnsi="Arial" w:cs="Arial"/>
          <w:sz w:val="20"/>
          <w:szCs w:val="20"/>
        </w:rPr>
        <w:t>Leaf chlorophyll content reached its greatest magnitude under the combined supply of boric acid and ferrous sulphate. This agrees with reports that iron plays a deterministic role in chlorophyll biosynthesis and electron transport, while boron supports membrane stability and nutrient translocation (Karthika et al., 2022; Bhandari et al., 2023). Enhanced chlorophyll under micronutrient supplementation has been repeatedly confirmed in broccoli and other cole crops (</w:t>
      </w:r>
      <w:proofErr w:type="spellStart"/>
      <w:r w:rsidR="00594DC0" w:rsidRPr="002A3E1B">
        <w:rPr>
          <w:rFonts w:ascii="Arial" w:hAnsi="Arial" w:cs="Arial"/>
          <w:sz w:val="20"/>
          <w:szCs w:val="20"/>
        </w:rPr>
        <w:t>Dosz</w:t>
      </w:r>
      <w:proofErr w:type="spellEnd"/>
      <w:r w:rsidR="00594DC0" w:rsidRPr="002A3E1B">
        <w:rPr>
          <w:rFonts w:ascii="Arial" w:hAnsi="Arial" w:cs="Arial"/>
          <w:sz w:val="20"/>
          <w:szCs w:val="20"/>
        </w:rPr>
        <w:t xml:space="preserve"> and Jeffery, 2020; Ali et al., 2021; Singh and Kumari, 2024).</w:t>
      </w:r>
    </w:p>
    <w:p w14:paraId="51EC801D" w14:textId="77777777" w:rsidR="00594DC0" w:rsidRDefault="00825CEC" w:rsidP="00594DC0">
      <w:pPr>
        <w:pStyle w:val="NormalWeb"/>
        <w:spacing w:before="0" w:beforeAutospacing="0" w:after="0" w:afterAutospacing="0" w:line="360" w:lineRule="auto"/>
        <w:jc w:val="both"/>
      </w:pPr>
      <w:r w:rsidRPr="002A3E1B">
        <w:rPr>
          <w:rFonts w:ascii="Arial" w:hAnsi="Arial" w:cs="Arial"/>
          <w:sz w:val="20"/>
          <w:szCs w:val="20"/>
        </w:rPr>
        <w:tab/>
      </w:r>
      <w:r w:rsidR="00594DC0" w:rsidRPr="002A3E1B">
        <w:rPr>
          <w:rFonts w:ascii="Arial" w:hAnsi="Arial" w:cs="Arial"/>
          <w:sz w:val="20"/>
          <w:szCs w:val="20"/>
        </w:rPr>
        <w:t>Taken together, the differential response of ascorbic acid, TSS, crude protein and chlorophyll across micronutrient combinations underscores the functional importance of targeted foliar nutrition in modulating the biochemical quality of broccoli. The present results are in close agreement with recent literature demonstrating that trait-specific biochemical enrichment in broccoli is achievable through strategic foliar micronutrient supplementation under field conditions.</w:t>
      </w:r>
    </w:p>
    <w:p w14:paraId="78FBC5B4" w14:textId="77777777" w:rsidR="00594DC0" w:rsidRPr="002A3E1B" w:rsidRDefault="00825CEC" w:rsidP="00825CEC">
      <w:pPr>
        <w:spacing w:before="240" w:after="0" w:line="360" w:lineRule="auto"/>
        <w:rPr>
          <w:rFonts w:ascii="Arial Black" w:hAnsi="Arial Black" w:cs="Times New Roman"/>
          <w:b/>
        </w:rPr>
      </w:pPr>
      <w:r w:rsidRPr="002A3E1B">
        <w:rPr>
          <w:rFonts w:ascii="Arial Black" w:hAnsi="Arial Black" w:cs="Times New Roman"/>
          <w:b/>
        </w:rPr>
        <w:t xml:space="preserve">5. Conclusion </w:t>
      </w:r>
    </w:p>
    <w:p w14:paraId="6DDC7D2E" w14:textId="77777777" w:rsidR="00825CEC" w:rsidRPr="002A3E1B" w:rsidRDefault="00825CEC" w:rsidP="00825CEC">
      <w:pPr>
        <w:pStyle w:val="NormalWeb"/>
        <w:spacing w:before="0" w:beforeAutospacing="0" w:after="0" w:afterAutospacing="0" w:line="360" w:lineRule="auto"/>
        <w:jc w:val="both"/>
        <w:rPr>
          <w:rFonts w:ascii="Arial" w:hAnsi="Arial" w:cs="Arial"/>
          <w:sz w:val="20"/>
          <w:szCs w:val="20"/>
        </w:rPr>
      </w:pPr>
      <w:r>
        <w:tab/>
      </w:r>
      <w:r w:rsidRPr="002A3E1B">
        <w:rPr>
          <w:rFonts w:ascii="Arial" w:hAnsi="Arial" w:cs="Arial"/>
          <w:sz w:val="20"/>
          <w:szCs w:val="20"/>
        </w:rPr>
        <w:t>The findings of the present investigation demonstrate that foliar application of micronutrients is an effective strategy for improving the biochemical quality of broccoli (</w:t>
      </w:r>
      <w:r w:rsidRPr="002A3E1B">
        <w:rPr>
          <w:rStyle w:val="Emphasis"/>
          <w:rFonts w:ascii="Arial" w:hAnsi="Arial" w:cs="Arial"/>
          <w:sz w:val="20"/>
          <w:szCs w:val="20"/>
        </w:rPr>
        <w:t>Brassica oleracea</w:t>
      </w:r>
      <w:r w:rsidRPr="002A3E1B">
        <w:rPr>
          <w:rFonts w:ascii="Arial" w:hAnsi="Arial" w:cs="Arial"/>
          <w:sz w:val="20"/>
          <w:szCs w:val="20"/>
        </w:rPr>
        <w:t xml:space="preserve"> L. var. </w:t>
      </w:r>
      <w:r w:rsidRPr="002A3E1B">
        <w:rPr>
          <w:rStyle w:val="Emphasis"/>
          <w:rFonts w:ascii="Arial" w:hAnsi="Arial" w:cs="Arial"/>
          <w:sz w:val="20"/>
          <w:szCs w:val="20"/>
        </w:rPr>
        <w:t>italica</w:t>
      </w:r>
      <w:r w:rsidRPr="002A3E1B">
        <w:rPr>
          <w:rFonts w:ascii="Arial" w:hAnsi="Arial" w:cs="Arial"/>
          <w:sz w:val="20"/>
          <w:szCs w:val="20"/>
        </w:rPr>
        <w:t xml:space="preserve">) under </w:t>
      </w:r>
      <w:r w:rsidRPr="002A3E1B">
        <w:rPr>
          <w:rFonts w:ascii="Arial" w:hAnsi="Arial" w:cs="Arial"/>
          <w:sz w:val="20"/>
          <w:szCs w:val="20"/>
        </w:rPr>
        <w:lastRenderedPageBreak/>
        <w:t>field conditions. Significant enhancement in ascorbic acid content was achieved with the combined application of boric acid and copper sulphate, whereas the highest total soluble solids were recorded under combined application of boric acid and ammonium molybdate. Copper sulphate alone produced the maximum crude protein content, and the combined application of boric acid and ferrous sulphate resulted in the highest chlorophyll concentration.</w:t>
      </w:r>
    </w:p>
    <w:p w14:paraId="3EBB320A" w14:textId="77777777" w:rsidR="00825CEC" w:rsidRPr="002A3E1B" w:rsidRDefault="00825CEC" w:rsidP="00825CEC">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t>These results confirm that specific micronutrient combinations act on distinct biochemical pathways, resulting in targeted improvement of nutritional attributes. The overall pattern indicates that foliar supplementation enables rapid nutrient assimilation, metabolic activation, and quality enhancement compared to the untreated control. The study establishes that precise formulation and timing of foliar micronutrient application can serve as a practical and agronomically viable method to enhance the functional food value of broccoli without altering the production system.</w:t>
      </w:r>
    </w:p>
    <w:p w14:paraId="2E7B8BDD" w14:textId="77777777" w:rsidR="00825CEC" w:rsidRDefault="00825CEC" w:rsidP="00825CEC">
      <w:pPr>
        <w:pStyle w:val="NormalWeb"/>
        <w:spacing w:before="0" w:beforeAutospacing="0" w:after="0" w:afterAutospacing="0" w:line="360" w:lineRule="auto"/>
        <w:jc w:val="both"/>
        <w:rPr>
          <w:rFonts w:ascii="Arial" w:hAnsi="Arial" w:cs="Arial"/>
          <w:sz w:val="20"/>
          <w:szCs w:val="20"/>
        </w:rPr>
      </w:pPr>
      <w:r w:rsidRPr="002A3E1B">
        <w:rPr>
          <w:rFonts w:ascii="Arial" w:hAnsi="Arial" w:cs="Arial"/>
          <w:sz w:val="20"/>
          <w:szCs w:val="20"/>
        </w:rPr>
        <w:tab/>
        <w:t>The results provide a scientific basis for recommending foliar micronutrient strategies for quality enrichment of broccoli, and they support further integration of micronutrient foliar feeding into sustainable nutrient management programs for high-value vegetable crops.</w:t>
      </w:r>
    </w:p>
    <w:p w14:paraId="370E84C4" w14:textId="77777777" w:rsidR="002C1C23" w:rsidRDefault="002C1C23" w:rsidP="00825CEC">
      <w:pPr>
        <w:pStyle w:val="NormalWeb"/>
        <w:spacing w:before="0" w:beforeAutospacing="0" w:after="0" w:afterAutospacing="0" w:line="360" w:lineRule="auto"/>
        <w:jc w:val="both"/>
        <w:rPr>
          <w:rFonts w:ascii="Arial" w:hAnsi="Arial" w:cs="Arial"/>
          <w:sz w:val="20"/>
          <w:szCs w:val="20"/>
        </w:rPr>
      </w:pPr>
    </w:p>
    <w:p w14:paraId="2CC5E462" w14:textId="77777777" w:rsidR="002C1C23" w:rsidRDefault="002C1C23" w:rsidP="00825CEC">
      <w:pPr>
        <w:pStyle w:val="NormalWeb"/>
        <w:spacing w:before="0" w:beforeAutospacing="0" w:after="0" w:afterAutospacing="0" w:line="360" w:lineRule="auto"/>
        <w:jc w:val="both"/>
        <w:rPr>
          <w:rFonts w:ascii="Arial" w:hAnsi="Arial" w:cs="Arial"/>
          <w:sz w:val="20"/>
          <w:szCs w:val="20"/>
        </w:rPr>
      </w:pPr>
    </w:p>
    <w:p w14:paraId="54C76FF3" w14:textId="77777777" w:rsidR="002C1C23" w:rsidRPr="002C1C23" w:rsidRDefault="002C1C23" w:rsidP="002C1C23">
      <w:pPr>
        <w:pStyle w:val="NormalWeb"/>
        <w:spacing w:after="0" w:line="360" w:lineRule="auto"/>
        <w:jc w:val="both"/>
        <w:rPr>
          <w:rFonts w:ascii="Arial" w:hAnsi="Arial" w:cs="Arial"/>
          <w:sz w:val="20"/>
          <w:szCs w:val="20"/>
        </w:rPr>
      </w:pPr>
      <w:r w:rsidRPr="002C1C23">
        <w:rPr>
          <w:rFonts w:ascii="Arial" w:hAnsi="Arial" w:cs="Arial"/>
          <w:sz w:val="20"/>
          <w:szCs w:val="20"/>
        </w:rPr>
        <w:t>COMPETING INTERESTS DISCLAIMER:</w:t>
      </w:r>
    </w:p>
    <w:p w14:paraId="65E97813" w14:textId="021EB28B" w:rsidR="002C1C23" w:rsidRPr="002A3E1B" w:rsidRDefault="002C1C23" w:rsidP="002C1C23">
      <w:pPr>
        <w:pStyle w:val="NormalWeb"/>
        <w:spacing w:before="0" w:beforeAutospacing="0" w:after="0" w:afterAutospacing="0" w:line="360" w:lineRule="auto"/>
        <w:jc w:val="both"/>
        <w:rPr>
          <w:rFonts w:ascii="Arial" w:hAnsi="Arial" w:cs="Arial"/>
          <w:sz w:val="20"/>
          <w:szCs w:val="20"/>
        </w:rPr>
      </w:pPr>
      <w:r w:rsidRPr="002C1C2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4B17C25" w14:textId="77777777" w:rsidR="00825CEC" w:rsidRDefault="00825CEC" w:rsidP="00825CEC">
      <w:pPr>
        <w:spacing w:after="0" w:line="360" w:lineRule="auto"/>
        <w:rPr>
          <w:rFonts w:ascii="Times New Roman" w:hAnsi="Times New Roman" w:cs="Times New Roman"/>
          <w:b/>
          <w:sz w:val="24"/>
        </w:rPr>
      </w:pPr>
    </w:p>
    <w:p w14:paraId="37F46FA2" w14:textId="77777777" w:rsidR="00174D4E" w:rsidRPr="002A3E1B" w:rsidRDefault="00590672" w:rsidP="00590672">
      <w:pPr>
        <w:spacing w:after="0" w:line="360" w:lineRule="auto"/>
        <w:rPr>
          <w:rFonts w:ascii="Arial Black" w:hAnsi="Arial Black" w:cs="Times New Roman"/>
          <w:b/>
        </w:rPr>
      </w:pPr>
      <w:r w:rsidRPr="002A3E1B">
        <w:rPr>
          <w:rFonts w:ascii="Arial Black" w:hAnsi="Arial Black" w:cs="Times New Roman"/>
          <w:b/>
        </w:rPr>
        <w:t>References</w:t>
      </w:r>
    </w:p>
    <w:p w14:paraId="376B6BAD"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commentRangeStart w:id="1"/>
      <w:r w:rsidRPr="002A3E1B">
        <w:rPr>
          <w:rFonts w:ascii="Arial" w:hAnsi="Arial" w:cs="Arial"/>
          <w:sz w:val="20"/>
          <w:szCs w:val="20"/>
        </w:rPr>
        <w:t xml:space="preserve">Al-Hasnawi, A. N., et al. (2023). Effect of micronutrient fertilization on nutritional composition of cole crops: A synthesis of recent field trials. </w:t>
      </w:r>
      <w:r w:rsidRPr="002A3E1B">
        <w:rPr>
          <w:rStyle w:val="Emphasis"/>
          <w:rFonts w:ascii="Arial" w:hAnsi="Arial" w:cs="Arial"/>
          <w:sz w:val="20"/>
          <w:szCs w:val="20"/>
        </w:rPr>
        <w:t>Horticulturae</w:t>
      </w:r>
      <w:r w:rsidRPr="002A3E1B">
        <w:rPr>
          <w:rFonts w:ascii="Arial" w:hAnsi="Arial" w:cs="Arial"/>
          <w:sz w:val="20"/>
          <w:szCs w:val="20"/>
        </w:rPr>
        <w:t>, 9, 221.</w:t>
      </w:r>
    </w:p>
    <w:p w14:paraId="2F0E8CD0" w14:textId="77777777" w:rsidR="00825CEC" w:rsidRPr="002A3E1B" w:rsidRDefault="00825CEC" w:rsidP="00590672">
      <w:pPr>
        <w:pStyle w:val="NormalWeb"/>
        <w:spacing w:before="0" w:beforeAutospacing="0" w:after="240" w:afterAutospacing="0" w:line="360" w:lineRule="auto"/>
        <w:ind w:left="851" w:hanging="851"/>
        <w:jc w:val="both"/>
        <w:rPr>
          <w:rFonts w:ascii="Arial" w:hAnsi="Arial" w:cs="Arial"/>
          <w:sz w:val="20"/>
          <w:szCs w:val="20"/>
        </w:rPr>
      </w:pPr>
      <w:r w:rsidRPr="002A3E1B">
        <w:rPr>
          <w:rStyle w:val="Strong"/>
          <w:rFonts w:ascii="Arial" w:hAnsi="Arial" w:cs="Arial"/>
          <w:b w:val="0"/>
          <w:sz w:val="20"/>
          <w:szCs w:val="20"/>
        </w:rPr>
        <w:t>Ali, M., Hussain, S., Shahid, M., et al. (2021).</w:t>
      </w:r>
      <w:r w:rsidRPr="002A3E1B">
        <w:rPr>
          <w:rFonts w:ascii="Arial" w:hAnsi="Arial" w:cs="Arial"/>
          <w:b/>
          <w:sz w:val="20"/>
          <w:szCs w:val="20"/>
        </w:rPr>
        <w:t xml:space="preserve"> </w:t>
      </w:r>
      <w:r w:rsidRPr="002A3E1B">
        <w:rPr>
          <w:rFonts w:ascii="Arial" w:hAnsi="Arial" w:cs="Arial"/>
          <w:sz w:val="20"/>
          <w:szCs w:val="20"/>
        </w:rPr>
        <w:t xml:space="preserve">Foliar-applied micronutrients improve yield and bioactive quality of broccoli under field conditions. </w:t>
      </w:r>
      <w:r w:rsidRPr="002A3E1B">
        <w:rPr>
          <w:rStyle w:val="Emphasis"/>
          <w:rFonts w:ascii="Arial" w:hAnsi="Arial" w:cs="Arial"/>
          <w:sz w:val="20"/>
          <w:szCs w:val="20"/>
        </w:rPr>
        <w:t>Agronomy</w:t>
      </w:r>
      <w:r w:rsidRPr="002A3E1B">
        <w:rPr>
          <w:rFonts w:ascii="Arial" w:hAnsi="Arial" w:cs="Arial"/>
          <w:sz w:val="20"/>
          <w:szCs w:val="20"/>
        </w:rPr>
        <w:t xml:space="preserve">, </w:t>
      </w:r>
      <w:r w:rsidRPr="002A3E1B">
        <w:rPr>
          <w:rStyle w:val="Strong"/>
          <w:rFonts w:ascii="Arial" w:hAnsi="Arial" w:cs="Arial"/>
          <w:sz w:val="20"/>
          <w:szCs w:val="20"/>
        </w:rPr>
        <w:t>11</w:t>
      </w:r>
      <w:r w:rsidRPr="002A3E1B">
        <w:rPr>
          <w:rFonts w:ascii="Arial" w:hAnsi="Arial" w:cs="Arial"/>
          <w:sz w:val="20"/>
          <w:szCs w:val="20"/>
        </w:rPr>
        <w:t>, 2471.</w:t>
      </w:r>
      <w:commentRangeEnd w:id="1"/>
      <w:r w:rsidR="00513F16">
        <w:rPr>
          <w:rStyle w:val="CommentReference"/>
          <w:rFonts w:asciiTheme="minorHAnsi" w:eastAsiaTheme="minorHAnsi" w:hAnsiTheme="minorHAnsi" w:cstheme="minorBidi"/>
        </w:rPr>
        <w:commentReference w:id="1"/>
      </w:r>
    </w:p>
    <w:p w14:paraId="5C3CCD8B"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commentRangeStart w:id="2"/>
      <w:r w:rsidRPr="002A3E1B">
        <w:rPr>
          <w:rFonts w:ascii="Arial" w:hAnsi="Arial" w:cs="Arial"/>
          <w:sz w:val="20"/>
          <w:szCs w:val="20"/>
        </w:rPr>
        <w:t xml:space="preserve">Bhandari, G., Shrestha, S., &amp; Paudel, S. (2023). Ascorbic acid, chlorophyll and glucosinolate dynamics in broccoli as influenced by pre-harvest nutrition. </w:t>
      </w:r>
      <w:r w:rsidRPr="002A3E1B">
        <w:rPr>
          <w:rStyle w:val="Emphasis"/>
          <w:rFonts w:ascii="Arial" w:hAnsi="Arial" w:cs="Arial"/>
          <w:sz w:val="20"/>
          <w:szCs w:val="20"/>
        </w:rPr>
        <w:t>Horticulturae</w:t>
      </w:r>
      <w:r w:rsidRPr="002A3E1B">
        <w:rPr>
          <w:rFonts w:ascii="Arial" w:hAnsi="Arial" w:cs="Arial"/>
          <w:sz w:val="20"/>
          <w:szCs w:val="20"/>
        </w:rPr>
        <w:t>, 9, 54.</w:t>
      </w:r>
      <w:commentRangeEnd w:id="2"/>
      <w:r w:rsidR="00513F16">
        <w:rPr>
          <w:rStyle w:val="CommentReference"/>
          <w:rFonts w:asciiTheme="minorHAnsi" w:eastAsiaTheme="minorHAnsi" w:hAnsiTheme="minorHAnsi" w:cstheme="minorBidi"/>
        </w:rPr>
        <w:commentReference w:id="2"/>
      </w:r>
    </w:p>
    <w:p w14:paraId="7EDC6D38" w14:textId="77777777" w:rsidR="00177AED" w:rsidRDefault="00177AED" w:rsidP="00825CEC">
      <w:pPr>
        <w:pStyle w:val="NormalWeb"/>
        <w:spacing w:before="0" w:beforeAutospacing="0" w:after="240" w:afterAutospacing="0" w:line="360" w:lineRule="auto"/>
        <w:ind w:left="851" w:hanging="851"/>
        <w:jc w:val="both"/>
        <w:rPr>
          <w:rStyle w:val="Strong"/>
          <w:rFonts w:ascii="Arial" w:hAnsi="Arial" w:cs="Arial"/>
          <w:b w:val="0"/>
          <w:sz w:val="20"/>
          <w:szCs w:val="20"/>
        </w:rPr>
      </w:pPr>
      <w:r w:rsidRPr="00177AED">
        <w:rPr>
          <w:rStyle w:val="Strong"/>
          <w:rFonts w:ascii="Arial" w:hAnsi="Arial" w:cs="Arial"/>
          <w:b w:val="0"/>
          <w:sz w:val="20"/>
          <w:szCs w:val="20"/>
        </w:rPr>
        <w:t xml:space="preserve">Domínguez-Perles, R., Martínez-Ballesta, M. C., Carvajal, M., García-Viguera, C., &amp; Moreno, D. A. (2010). Broccoli-derived by-products—A promising source of bioactive ingredients. Journal of Food Science, 75(4), C383–C392. </w:t>
      </w:r>
      <w:hyperlink r:id="rId15" w:history="1">
        <w:r w:rsidRPr="00DB6AEA">
          <w:rPr>
            <w:rStyle w:val="Hyperlink"/>
            <w:rFonts w:ascii="Arial" w:hAnsi="Arial" w:cs="Arial"/>
            <w:sz w:val="20"/>
            <w:szCs w:val="20"/>
          </w:rPr>
          <w:t>https://doi.org/10.1111/j.1750-3841.2010.01606.x</w:t>
        </w:r>
      </w:hyperlink>
      <w:r>
        <w:rPr>
          <w:rStyle w:val="Strong"/>
          <w:rFonts w:ascii="Arial" w:hAnsi="Arial" w:cs="Arial"/>
          <w:b w:val="0"/>
          <w:sz w:val="20"/>
          <w:szCs w:val="20"/>
        </w:rPr>
        <w:t xml:space="preserve"> </w:t>
      </w:r>
    </w:p>
    <w:p w14:paraId="3BFFF4B8" w14:textId="0DE3FFE3"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r w:rsidRPr="002A3E1B">
        <w:rPr>
          <w:rFonts w:ascii="Arial" w:hAnsi="Arial" w:cs="Arial"/>
          <w:sz w:val="20"/>
          <w:szCs w:val="20"/>
        </w:rPr>
        <w:t xml:space="preserve">Dosz, E. B., &amp; Jeffery, E. H. (2020). Modulating glucoraphanin and sulforaphane content of broccoli. </w:t>
      </w:r>
      <w:r w:rsidRPr="002A3E1B">
        <w:rPr>
          <w:rStyle w:val="Emphasis"/>
          <w:rFonts w:ascii="Arial" w:hAnsi="Arial" w:cs="Arial"/>
          <w:sz w:val="20"/>
          <w:szCs w:val="20"/>
        </w:rPr>
        <w:t>Food &amp; Function</w:t>
      </w:r>
      <w:r w:rsidRPr="002A3E1B">
        <w:rPr>
          <w:rFonts w:ascii="Arial" w:hAnsi="Arial" w:cs="Arial"/>
          <w:sz w:val="20"/>
          <w:szCs w:val="20"/>
        </w:rPr>
        <w:t>, 11, 100–112.</w:t>
      </w:r>
    </w:p>
    <w:p w14:paraId="3997B3EA" w14:textId="77777777" w:rsidR="00177AED" w:rsidRDefault="00177AED" w:rsidP="00825CEC">
      <w:pPr>
        <w:pStyle w:val="NormalWeb"/>
        <w:spacing w:before="0" w:beforeAutospacing="0" w:after="240" w:afterAutospacing="0" w:line="360" w:lineRule="auto"/>
        <w:ind w:left="851" w:hanging="851"/>
        <w:jc w:val="both"/>
        <w:rPr>
          <w:rFonts w:ascii="Arial" w:hAnsi="Arial" w:cs="Arial"/>
          <w:sz w:val="20"/>
          <w:szCs w:val="20"/>
        </w:rPr>
      </w:pPr>
      <w:r w:rsidRPr="00177AED">
        <w:rPr>
          <w:rFonts w:ascii="Arial" w:hAnsi="Arial" w:cs="Arial"/>
          <w:sz w:val="20"/>
          <w:szCs w:val="20"/>
        </w:rPr>
        <w:lastRenderedPageBreak/>
        <w:t xml:space="preserve">Fernández, V., &amp; Brown, P. H. (2013). From plant surface to plant metabolism: The uncertain fate of foliar-applied nutrients. Frontiers in Plant Science, 4, 289. </w:t>
      </w:r>
      <w:hyperlink r:id="rId16" w:history="1">
        <w:r w:rsidRPr="00DB6AEA">
          <w:rPr>
            <w:rStyle w:val="Hyperlink"/>
            <w:rFonts w:ascii="Arial" w:hAnsi="Arial" w:cs="Arial"/>
            <w:sz w:val="20"/>
            <w:szCs w:val="20"/>
          </w:rPr>
          <w:t>https://doi.org/10.3389/fpls.2013.00289</w:t>
        </w:r>
      </w:hyperlink>
      <w:r>
        <w:rPr>
          <w:rFonts w:ascii="Arial" w:hAnsi="Arial" w:cs="Arial"/>
          <w:sz w:val="20"/>
          <w:szCs w:val="20"/>
        </w:rPr>
        <w:t xml:space="preserve"> </w:t>
      </w:r>
    </w:p>
    <w:p w14:paraId="1899D402" w14:textId="1852BFE0"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commentRangeStart w:id="3"/>
      <w:r w:rsidRPr="002A3E1B">
        <w:rPr>
          <w:rFonts w:ascii="Arial" w:hAnsi="Arial" w:cs="Arial"/>
          <w:sz w:val="20"/>
          <w:szCs w:val="20"/>
        </w:rPr>
        <w:t xml:space="preserve">Hashem, F. A., El-Sayed, A. A., &amp; Abdel-Rahman, R. H. (2021). Variation in nutraceutical components and antioxidant capacity of broccoli heads as affected by genotype and environment. </w:t>
      </w:r>
      <w:r w:rsidRPr="002A3E1B">
        <w:rPr>
          <w:rStyle w:val="Emphasis"/>
          <w:rFonts w:ascii="Arial" w:hAnsi="Arial" w:cs="Arial"/>
          <w:sz w:val="20"/>
          <w:szCs w:val="20"/>
        </w:rPr>
        <w:t>Scientia Horticulturae</w:t>
      </w:r>
      <w:r w:rsidRPr="002A3E1B">
        <w:rPr>
          <w:rFonts w:ascii="Arial" w:hAnsi="Arial" w:cs="Arial"/>
          <w:sz w:val="20"/>
          <w:szCs w:val="20"/>
        </w:rPr>
        <w:t>, 281, 109987.</w:t>
      </w:r>
      <w:commentRangeEnd w:id="3"/>
      <w:r w:rsidR="00513F16">
        <w:rPr>
          <w:rStyle w:val="CommentReference"/>
          <w:rFonts w:asciiTheme="minorHAnsi" w:eastAsiaTheme="minorHAnsi" w:hAnsiTheme="minorHAnsi" w:cstheme="minorBidi"/>
        </w:rPr>
        <w:commentReference w:id="3"/>
      </w:r>
    </w:p>
    <w:p w14:paraId="60670327"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commentRangeStart w:id="4"/>
      <w:r w:rsidRPr="002A3E1B">
        <w:rPr>
          <w:rFonts w:ascii="Arial" w:hAnsi="Arial" w:cs="Arial"/>
          <w:sz w:val="20"/>
          <w:szCs w:val="20"/>
        </w:rPr>
        <w:t xml:space="preserve">Karthika, K. S., Rashmi, I., &amp; Kiran, R. (2022). Micronutrient nutrition and metabolic quality of cole crops: A synthesis of foliar feeding studies. </w:t>
      </w:r>
      <w:r w:rsidRPr="002A3E1B">
        <w:rPr>
          <w:rStyle w:val="Emphasis"/>
          <w:rFonts w:ascii="Arial" w:hAnsi="Arial" w:cs="Arial"/>
          <w:sz w:val="20"/>
          <w:szCs w:val="20"/>
        </w:rPr>
        <w:t>Plant Physiology Reports</w:t>
      </w:r>
      <w:r w:rsidRPr="002A3E1B">
        <w:rPr>
          <w:rFonts w:ascii="Arial" w:hAnsi="Arial" w:cs="Arial"/>
          <w:sz w:val="20"/>
          <w:szCs w:val="20"/>
        </w:rPr>
        <w:t>, 27, 589–602.</w:t>
      </w:r>
      <w:commentRangeEnd w:id="4"/>
      <w:r w:rsidR="00513F16">
        <w:rPr>
          <w:rStyle w:val="CommentReference"/>
          <w:rFonts w:asciiTheme="minorHAnsi" w:eastAsiaTheme="minorHAnsi" w:hAnsiTheme="minorHAnsi" w:cstheme="minorBidi"/>
        </w:rPr>
        <w:commentReference w:id="4"/>
      </w:r>
    </w:p>
    <w:p w14:paraId="6AF0D25F" w14:textId="77777777" w:rsidR="00825CEC" w:rsidRPr="002A3E1B" w:rsidRDefault="00825CEC" w:rsidP="00590672">
      <w:pPr>
        <w:pStyle w:val="NormalWeb"/>
        <w:spacing w:before="0" w:beforeAutospacing="0" w:after="240" w:afterAutospacing="0" w:line="360" w:lineRule="auto"/>
        <w:ind w:left="851" w:hanging="851"/>
        <w:jc w:val="both"/>
        <w:rPr>
          <w:rFonts w:ascii="Arial" w:hAnsi="Arial" w:cs="Arial"/>
          <w:sz w:val="20"/>
          <w:szCs w:val="20"/>
        </w:rPr>
      </w:pPr>
      <w:proofErr w:type="spellStart"/>
      <w:r w:rsidRPr="002A3E1B">
        <w:rPr>
          <w:rStyle w:val="Strong"/>
          <w:rFonts w:ascii="Arial" w:hAnsi="Arial" w:cs="Arial"/>
          <w:b w:val="0"/>
          <w:sz w:val="20"/>
          <w:szCs w:val="20"/>
        </w:rPr>
        <w:t>Klopsch</w:t>
      </w:r>
      <w:proofErr w:type="spellEnd"/>
      <w:r w:rsidRPr="002A3E1B">
        <w:rPr>
          <w:rStyle w:val="Strong"/>
          <w:rFonts w:ascii="Arial" w:hAnsi="Arial" w:cs="Arial"/>
          <w:b w:val="0"/>
          <w:sz w:val="20"/>
          <w:szCs w:val="20"/>
        </w:rPr>
        <w:t>, R., Witzel, K., &amp; Kopriva, S. (2022).</w:t>
      </w:r>
      <w:r w:rsidRPr="002A3E1B">
        <w:rPr>
          <w:rFonts w:ascii="Arial" w:hAnsi="Arial" w:cs="Arial"/>
          <w:sz w:val="20"/>
          <w:szCs w:val="20"/>
        </w:rPr>
        <w:t xml:space="preserve"> Functional food relevance of broccoli phytochemicals: A modern evidence review. </w:t>
      </w:r>
      <w:r w:rsidRPr="002A3E1B">
        <w:rPr>
          <w:rStyle w:val="Emphasis"/>
          <w:rFonts w:ascii="Arial" w:hAnsi="Arial" w:cs="Arial"/>
          <w:sz w:val="20"/>
          <w:szCs w:val="20"/>
        </w:rPr>
        <w:t>Plants</w:t>
      </w:r>
      <w:r w:rsidRPr="002A3E1B">
        <w:rPr>
          <w:rFonts w:ascii="Arial" w:hAnsi="Arial" w:cs="Arial"/>
          <w:sz w:val="20"/>
          <w:szCs w:val="20"/>
        </w:rPr>
        <w:t xml:space="preserve">, </w:t>
      </w:r>
      <w:r w:rsidRPr="002A3E1B">
        <w:rPr>
          <w:rStyle w:val="Strong"/>
          <w:rFonts w:ascii="Arial" w:hAnsi="Arial" w:cs="Arial"/>
          <w:sz w:val="20"/>
          <w:szCs w:val="20"/>
        </w:rPr>
        <w:t>11</w:t>
      </w:r>
      <w:r w:rsidRPr="002A3E1B">
        <w:rPr>
          <w:rFonts w:ascii="Arial" w:hAnsi="Arial" w:cs="Arial"/>
          <w:sz w:val="20"/>
          <w:szCs w:val="20"/>
        </w:rPr>
        <w:t>, 2718.</w:t>
      </w:r>
    </w:p>
    <w:p w14:paraId="43479EA5" w14:textId="77777777" w:rsidR="00177AED" w:rsidRDefault="00177AED" w:rsidP="00590672">
      <w:pPr>
        <w:pStyle w:val="NormalWeb"/>
        <w:spacing w:before="0" w:beforeAutospacing="0" w:after="240" w:afterAutospacing="0" w:line="360" w:lineRule="auto"/>
        <w:ind w:left="851" w:hanging="851"/>
        <w:jc w:val="both"/>
        <w:rPr>
          <w:rFonts w:ascii="Arial" w:hAnsi="Arial" w:cs="Arial"/>
          <w:sz w:val="20"/>
          <w:szCs w:val="20"/>
        </w:rPr>
      </w:pPr>
      <w:r w:rsidRPr="00177AED">
        <w:rPr>
          <w:rFonts w:ascii="Arial" w:hAnsi="Arial" w:cs="Arial"/>
          <w:sz w:val="20"/>
          <w:szCs w:val="20"/>
        </w:rPr>
        <w:t xml:space="preserve">Marschner, P. (2012). Marschner’s Mineral Nutrition of Higher Plants (3rd ed.). Academic Press. </w:t>
      </w:r>
      <w:hyperlink r:id="rId17" w:history="1">
        <w:r w:rsidRPr="00DB6AEA">
          <w:rPr>
            <w:rStyle w:val="Hyperlink"/>
            <w:rFonts w:ascii="Arial" w:hAnsi="Arial" w:cs="Arial"/>
            <w:sz w:val="20"/>
            <w:szCs w:val="20"/>
          </w:rPr>
          <w:t>https://doi.org/10.1016/C2009-0-63043-9</w:t>
        </w:r>
      </w:hyperlink>
      <w:r>
        <w:rPr>
          <w:rFonts w:ascii="Arial" w:hAnsi="Arial" w:cs="Arial"/>
          <w:sz w:val="20"/>
          <w:szCs w:val="20"/>
        </w:rPr>
        <w:t xml:space="preserve"> </w:t>
      </w:r>
    </w:p>
    <w:p w14:paraId="6C288DD9" w14:textId="049E2D97" w:rsidR="00825CEC" w:rsidRPr="002A3E1B" w:rsidRDefault="00825CEC" w:rsidP="00590672">
      <w:pPr>
        <w:pStyle w:val="NormalWeb"/>
        <w:spacing w:before="0" w:beforeAutospacing="0" w:after="240" w:afterAutospacing="0" w:line="360" w:lineRule="auto"/>
        <w:ind w:left="851" w:hanging="851"/>
        <w:jc w:val="both"/>
        <w:rPr>
          <w:rFonts w:ascii="Arial" w:hAnsi="Arial" w:cs="Arial"/>
          <w:sz w:val="20"/>
          <w:szCs w:val="20"/>
        </w:rPr>
      </w:pPr>
      <w:commentRangeStart w:id="5"/>
      <w:r w:rsidRPr="002A3E1B">
        <w:rPr>
          <w:rStyle w:val="Strong"/>
          <w:rFonts w:ascii="Arial" w:hAnsi="Arial" w:cs="Arial"/>
          <w:b w:val="0"/>
          <w:sz w:val="20"/>
          <w:szCs w:val="20"/>
        </w:rPr>
        <w:t>Pereira, F. M. V., Knupp, L. S., &amp; Soria, A. C. (2020).</w:t>
      </w:r>
      <w:r w:rsidRPr="002A3E1B">
        <w:rPr>
          <w:rFonts w:ascii="Arial" w:hAnsi="Arial" w:cs="Arial"/>
          <w:sz w:val="20"/>
          <w:szCs w:val="20"/>
        </w:rPr>
        <w:t xml:space="preserve"> Glucosinolates in broccoli and their variation due to agronomic and postharvest factors: An updated review. </w:t>
      </w:r>
      <w:r w:rsidRPr="002A3E1B">
        <w:rPr>
          <w:rStyle w:val="Emphasis"/>
          <w:rFonts w:ascii="Arial" w:hAnsi="Arial" w:cs="Arial"/>
          <w:sz w:val="20"/>
          <w:szCs w:val="20"/>
        </w:rPr>
        <w:t>Molecules</w:t>
      </w:r>
      <w:r w:rsidRPr="002A3E1B">
        <w:rPr>
          <w:rFonts w:ascii="Arial" w:hAnsi="Arial" w:cs="Arial"/>
          <w:sz w:val="20"/>
          <w:szCs w:val="20"/>
        </w:rPr>
        <w:t xml:space="preserve">, </w:t>
      </w:r>
      <w:r w:rsidRPr="002A3E1B">
        <w:rPr>
          <w:rStyle w:val="Strong"/>
          <w:rFonts w:ascii="Arial" w:hAnsi="Arial" w:cs="Arial"/>
          <w:sz w:val="20"/>
          <w:szCs w:val="20"/>
        </w:rPr>
        <w:t>25</w:t>
      </w:r>
      <w:r w:rsidRPr="002A3E1B">
        <w:rPr>
          <w:rFonts w:ascii="Arial" w:hAnsi="Arial" w:cs="Arial"/>
          <w:sz w:val="20"/>
          <w:szCs w:val="20"/>
        </w:rPr>
        <w:t>, 388.</w:t>
      </w:r>
      <w:commentRangeEnd w:id="5"/>
      <w:r w:rsidR="00513F16">
        <w:rPr>
          <w:rStyle w:val="CommentReference"/>
          <w:rFonts w:asciiTheme="minorHAnsi" w:eastAsiaTheme="minorHAnsi" w:hAnsiTheme="minorHAnsi" w:cstheme="minorBidi"/>
        </w:rPr>
        <w:commentReference w:id="5"/>
      </w:r>
    </w:p>
    <w:p w14:paraId="6AD6C1DA"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commentRangeStart w:id="6"/>
      <w:r w:rsidRPr="002A3E1B">
        <w:rPr>
          <w:rFonts w:ascii="Arial" w:hAnsi="Arial" w:cs="Arial"/>
          <w:sz w:val="20"/>
          <w:szCs w:val="20"/>
        </w:rPr>
        <w:t xml:space="preserve">Sharma, N., Singh, V., &amp; Verma, R. (2020). Foliar applied boron and molybdenum in cole crops: Effects on sugar metabolism and head formation. </w:t>
      </w:r>
      <w:r w:rsidRPr="002A3E1B">
        <w:rPr>
          <w:rStyle w:val="Emphasis"/>
          <w:rFonts w:ascii="Arial" w:hAnsi="Arial" w:cs="Arial"/>
          <w:sz w:val="20"/>
          <w:szCs w:val="20"/>
        </w:rPr>
        <w:t xml:space="preserve">Acta </w:t>
      </w:r>
      <w:proofErr w:type="spellStart"/>
      <w:r w:rsidRPr="002A3E1B">
        <w:rPr>
          <w:rStyle w:val="Emphasis"/>
          <w:rFonts w:ascii="Arial" w:hAnsi="Arial" w:cs="Arial"/>
          <w:sz w:val="20"/>
          <w:szCs w:val="20"/>
        </w:rPr>
        <w:t>Agriculturae</w:t>
      </w:r>
      <w:proofErr w:type="spellEnd"/>
      <w:r w:rsidRPr="002A3E1B">
        <w:rPr>
          <w:rStyle w:val="Emphasis"/>
          <w:rFonts w:ascii="Arial" w:hAnsi="Arial" w:cs="Arial"/>
          <w:sz w:val="20"/>
          <w:szCs w:val="20"/>
        </w:rPr>
        <w:t xml:space="preserve"> Scandinavica Section B – Soil &amp; Plant Science</w:t>
      </w:r>
      <w:r w:rsidRPr="002A3E1B">
        <w:rPr>
          <w:rFonts w:ascii="Arial" w:hAnsi="Arial" w:cs="Arial"/>
          <w:sz w:val="20"/>
          <w:szCs w:val="20"/>
        </w:rPr>
        <w:t>, 70, 591–600.</w:t>
      </w:r>
      <w:commentRangeEnd w:id="6"/>
      <w:r w:rsidR="00F12974">
        <w:rPr>
          <w:rStyle w:val="CommentReference"/>
          <w:rFonts w:asciiTheme="minorHAnsi" w:eastAsiaTheme="minorHAnsi" w:hAnsiTheme="minorHAnsi" w:cstheme="minorBidi"/>
        </w:rPr>
        <w:commentReference w:id="6"/>
      </w:r>
    </w:p>
    <w:p w14:paraId="4BD7CA7F" w14:textId="77777777" w:rsidR="00825CEC" w:rsidRPr="002A3E1B" w:rsidRDefault="00825CEC" w:rsidP="00825CEC">
      <w:pPr>
        <w:pStyle w:val="NormalWeb"/>
        <w:spacing w:before="0" w:beforeAutospacing="0" w:after="240" w:afterAutospacing="0" w:line="360" w:lineRule="auto"/>
        <w:ind w:left="851" w:hanging="851"/>
        <w:jc w:val="both"/>
        <w:rPr>
          <w:rFonts w:ascii="Arial" w:hAnsi="Arial" w:cs="Arial"/>
          <w:sz w:val="20"/>
          <w:szCs w:val="20"/>
        </w:rPr>
      </w:pPr>
      <w:commentRangeStart w:id="7"/>
      <w:r w:rsidRPr="002A3E1B">
        <w:rPr>
          <w:rFonts w:ascii="Arial" w:hAnsi="Arial" w:cs="Arial"/>
          <w:sz w:val="20"/>
          <w:szCs w:val="20"/>
        </w:rPr>
        <w:t xml:space="preserve">Singh, P., &amp; Kumari, M. (2024). Foliar micronutrient management for enhancement of biofunctional quality in cole crops: A review. </w:t>
      </w:r>
      <w:r w:rsidRPr="002A3E1B">
        <w:rPr>
          <w:rStyle w:val="Emphasis"/>
          <w:rFonts w:ascii="Arial" w:hAnsi="Arial" w:cs="Arial"/>
          <w:sz w:val="20"/>
          <w:szCs w:val="20"/>
        </w:rPr>
        <w:t>Journal of Applied Plant Nutrition</w:t>
      </w:r>
      <w:r w:rsidRPr="002A3E1B">
        <w:rPr>
          <w:rFonts w:ascii="Arial" w:hAnsi="Arial" w:cs="Arial"/>
          <w:sz w:val="20"/>
          <w:szCs w:val="20"/>
        </w:rPr>
        <w:t>, 6, 15–29.</w:t>
      </w:r>
      <w:commentRangeEnd w:id="7"/>
      <w:r w:rsidR="00F12974">
        <w:rPr>
          <w:rStyle w:val="CommentReference"/>
          <w:rFonts w:asciiTheme="minorHAnsi" w:eastAsiaTheme="minorHAnsi" w:hAnsiTheme="minorHAnsi" w:cstheme="minorBidi"/>
        </w:rPr>
        <w:commentReference w:id="7"/>
      </w:r>
    </w:p>
    <w:p w14:paraId="30803F2E" w14:textId="0E510598" w:rsidR="00825CEC" w:rsidRPr="002A3E1B" w:rsidRDefault="00177AED" w:rsidP="00825CEC">
      <w:pPr>
        <w:pStyle w:val="NormalWeb"/>
        <w:spacing w:before="0" w:beforeAutospacing="0" w:after="240" w:afterAutospacing="0" w:line="360" w:lineRule="auto"/>
        <w:ind w:left="851" w:hanging="851"/>
        <w:jc w:val="both"/>
        <w:rPr>
          <w:rFonts w:ascii="Arial" w:hAnsi="Arial" w:cs="Arial"/>
          <w:sz w:val="20"/>
          <w:szCs w:val="20"/>
        </w:rPr>
      </w:pPr>
      <w:r w:rsidRPr="00177AED">
        <w:rPr>
          <w:rFonts w:ascii="Arial" w:hAnsi="Arial" w:cs="Arial"/>
          <w:sz w:val="20"/>
          <w:szCs w:val="20"/>
        </w:rPr>
        <w:t xml:space="preserve">Souri, M. K., &amp; </w:t>
      </w:r>
      <w:proofErr w:type="spellStart"/>
      <w:r w:rsidRPr="00177AED">
        <w:rPr>
          <w:rFonts w:ascii="Arial" w:hAnsi="Arial" w:cs="Arial"/>
          <w:sz w:val="20"/>
          <w:szCs w:val="20"/>
        </w:rPr>
        <w:t>Hatamian</w:t>
      </w:r>
      <w:proofErr w:type="spellEnd"/>
      <w:r w:rsidRPr="00177AED">
        <w:rPr>
          <w:rFonts w:ascii="Arial" w:hAnsi="Arial" w:cs="Arial"/>
          <w:sz w:val="20"/>
          <w:szCs w:val="20"/>
        </w:rPr>
        <w:t xml:space="preserve">, M. (2019). </w:t>
      </w:r>
      <w:proofErr w:type="spellStart"/>
      <w:r w:rsidRPr="00177AED">
        <w:rPr>
          <w:rFonts w:ascii="Arial" w:hAnsi="Arial" w:cs="Arial"/>
          <w:sz w:val="20"/>
          <w:szCs w:val="20"/>
        </w:rPr>
        <w:t>Aminochelates</w:t>
      </w:r>
      <w:proofErr w:type="spellEnd"/>
      <w:r w:rsidRPr="00177AED">
        <w:rPr>
          <w:rFonts w:ascii="Arial" w:hAnsi="Arial" w:cs="Arial"/>
          <w:sz w:val="20"/>
          <w:szCs w:val="20"/>
        </w:rPr>
        <w:t xml:space="preserve"> in plant nutrition: a review. Journal of Plant Nutrition, 42(1), 67–78. </w:t>
      </w:r>
      <w:hyperlink r:id="rId18" w:history="1">
        <w:r w:rsidRPr="00DB6AEA">
          <w:rPr>
            <w:rStyle w:val="Hyperlink"/>
            <w:rFonts w:ascii="Arial" w:hAnsi="Arial" w:cs="Arial"/>
            <w:sz w:val="20"/>
            <w:szCs w:val="20"/>
          </w:rPr>
          <w:t>https://doi.org/10.1080/01904167.2018.1549671</w:t>
        </w:r>
      </w:hyperlink>
      <w:r>
        <w:rPr>
          <w:rFonts w:ascii="Arial" w:hAnsi="Arial" w:cs="Arial"/>
          <w:sz w:val="20"/>
          <w:szCs w:val="20"/>
        </w:rPr>
        <w:t xml:space="preserve"> </w:t>
      </w:r>
      <w:r w:rsidR="00825CEC" w:rsidRPr="002A3E1B">
        <w:rPr>
          <w:rFonts w:ascii="Arial" w:hAnsi="Arial" w:cs="Arial"/>
          <w:sz w:val="20"/>
          <w:szCs w:val="20"/>
        </w:rPr>
        <w:t>.</w:t>
      </w:r>
    </w:p>
    <w:p w14:paraId="24A5052A" w14:textId="6E788040" w:rsidR="00590672" w:rsidRPr="00174D4E" w:rsidRDefault="00177AED" w:rsidP="00590672">
      <w:pPr>
        <w:spacing w:after="240" w:line="360" w:lineRule="auto"/>
        <w:rPr>
          <w:rFonts w:ascii="Times New Roman" w:hAnsi="Times New Roman" w:cs="Times New Roman"/>
          <w:b/>
          <w:sz w:val="24"/>
        </w:rPr>
      </w:pPr>
      <w:r w:rsidRPr="00177AED">
        <w:rPr>
          <w:rStyle w:val="Strong"/>
          <w:rFonts w:ascii="Arial" w:eastAsia="Times New Roman" w:hAnsi="Arial" w:cs="Arial"/>
          <w:b w:val="0"/>
          <w:sz w:val="20"/>
          <w:szCs w:val="20"/>
        </w:rPr>
        <w:t xml:space="preserve">Vallejo, F., Tomás-Barberán, F. A., &amp; García-Viguera, C. (2003). Phenolic compound contents in edible parts of broccoli inflorescences after domestic cooking. Journal of the Science of Food and Agriculture, 83, 1511–1516. </w:t>
      </w:r>
      <w:hyperlink r:id="rId19" w:history="1">
        <w:r w:rsidRPr="00DB6AEA">
          <w:rPr>
            <w:rStyle w:val="Hyperlink"/>
            <w:rFonts w:ascii="Arial" w:eastAsia="Times New Roman" w:hAnsi="Arial" w:cs="Arial"/>
            <w:sz w:val="20"/>
            <w:szCs w:val="20"/>
          </w:rPr>
          <w:t>https://doi.org/10.1002/jsfa.1585</w:t>
        </w:r>
      </w:hyperlink>
      <w:r>
        <w:rPr>
          <w:rStyle w:val="Strong"/>
          <w:rFonts w:ascii="Arial" w:eastAsia="Times New Roman" w:hAnsi="Arial" w:cs="Arial"/>
          <w:b w:val="0"/>
          <w:sz w:val="20"/>
          <w:szCs w:val="20"/>
        </w:rPr>
        <w:t xml:space="preserve"> </w:t>
      </w:r>
    </w:p>
    <w:sectPr w:rsidR="00590672" w:rsidRPr="00174D4E" w:rsidSect="001C1ED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B" w:date="2025-12-17T19:25:00Z" w:initials="SRB">
    <w:p w14:paraId="26A36D99" w14:textId="77777777" w:rsidR="009948E1" w:rsidRDefault="009948E1" w:rsidP="009948E1">
      <w:pPr>
        <w:pStyle w:val="CommentText"/>
      </w:pPr>
      <w:r>
        <w:rPr>
          <w:rStyle w:val="CommentReference"/>
        </w:rPr>
        <w:annotationRef/>
      </w:r>
      <w:r>
        <w:t>Is there any particular reason why boron was common in all the treatments from T7 to T11?</w:t>
      </w:r>
    </w:p>
  </w:comment>
  <w:comment w:id="1" w:author="SRB" w:date="2025-12-17T19:20:00Z" w:initials="SRB">
    <w:p w14:paraId="5F9DF6B6" w14:textId="75CBEFCF" w:rsidR="00513F16" w:rsidRDefault="00513F16" w:rsidP="00513F16">
      <w:pPr>
        <w:pStyle w:val="CommentText"/>
      </w:pPr>
      <w:r>
        <w:rPr>
          <w:rStyle w:val="CommentReference"/>
        </w:rPr>
        <w:annotationRef/>
      </w:r>
      <w:r>
        <w:t>Reference in not available on Google Scholar.</w:t>
      </w:r>
    </w:p>
  </w:comment>
  <w:comment w:id="2" w:author="SRB" w:date="2025-12-17T19:19:00Z" w:initials="SRB">
    <w:p w14:paraId="76A1DB3A" w14:textId="30EB5754" w:rsidR="00513F16" w:rsidRDefault="00513F16" w:rsidP="00513F16">
      <w:pPr>
        <w:pStyle w:val="CommentText"/>
      </w:pPr>
      <w:r>
        <w:rPr>
          <w:rStyle w:val="CommentReference"/>
        </w:rPr>
        <w:annotationRef/>
      </w:r>
      <w:r>
        <w:t>Reference in not available on Google Scholar.</w:t>
      </w:r>
    </w:p>
  </w:comment>
  <w:comment w:id="3" w:author="SRB" w:date="2025-12-17T19:19:00Z" w:initials="SRB">
    <w:p w14:paraId="59E3CC19" w14:textId="00B5F5A9" w:rsidR="00513F16" w:rsidRDefault="00513F16" w:rsidP="00513F16">
      <w:pPr>
        <w:pStyle w:val="CommentText"/>
      </w:pPr>
      <w:r>
        <w:rPr>
          <w:rStyle w:val="CommentReference"/>
        </w:rPr>
        <w:annotationRef/>
      </w:r>
      <w:r>
        <w:t>Reference in not available on Google Scholar.</w:t>
      </w:r>
    </w:p>
  </w:comment>
  <w:comment w:id="4" w:author="SRB" w:date="2025-12-17T19:19:00Z" w:initials="SRB">
    <w:p w14:paraId="22307629" w14:textId="77777777" w:rsidR="00513F16" w:rsidRDefault="00513F16" w:rsidP="00513F16">
      <w:pPr>
        <w:pStyle w:val="CommentText"/>
      </w:pPr>
      <w:r>
        <w:rPr>
          <w:rStyle w:val="CommentReference"/>
        </w:rPr>
        <w:annotationRef/>
      </w:r>
      <w:r>
        <w:t>Reference in not available on Google Scholar.</w:t>
      </w:r>
    </w:p>
  </w:comment>
  <w:comment w:id="5" w:author="SRB" w:date="2025-12-17T19:20:00Z" w:initials="SRB">
    <w:p w14:paraId="28F0170D" w14:textId="77777777" w:rsidR="00513F16" w:rsidRDefault="00513F16" w:rsidP="00513F16">
      <w:pPr>
        <w:pStyle w:val="CommentText"/>
      </w:pPr>
      <w:r>
        <w:rPr>
          <w:rStyle w:val="CommentReference"/>
        </w:rPr>
        <w:annotationRef/>
      </w:r>
      <w:r>
        <w:t>Reference is not available on Google Scholar.</w:t>
      </w:r>
    </w:p>
  </w:comment>
  <w:comment w:id="6" w:author="SRB" w:date="2025-12-17T19:21:00Z" w:initials="SRB">
    <w:p w14:paraId="03A154CE" w14:textId="77777777" w:rsidR="00F12974" w:rsidRDefault="00F12974" w:rsidP="00F12974">
      <w:pPr>
        <w:pStyle w:val="CommentText"/>
      </w:pPr>
      <w:r>
        <w:rPr>
          <w:rStyle w:val="CommentReference"/>
        </w:rPr>
        <w:annotationRef/>
      </w:r>
      <w:r>
        <w:t>Reference is not available on Google Scholar.</w:t>
      </w:r>
    </w:p>
  </w:comment>
  <w:comment w:id="7" w:author="SRB" w:date="2025-12-17T19:22:00Z" w:initials="SRB">
    <w:p w14:paraId="786D3126" w14:textId="77777777" w:rsidR="00F12974" w:rsidRDefault="00F12974" w:rsidP="00F12974">
      <w:pPr>
        <w:pStyle w:val="CommentText"/>
      </w:pPr>
      <w:r>
        <w:rPr>
          <w:rStyle w:val="CommentReference"/>
        </w:rPr>
        <w:annotationRef/>
      </w:r>
      <w:r>
        <w:t>Reference is not available on Google Scholar.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36D99" w15:done="0"/>
  <w15:commentEx w15:paraId="5F9DF6B6" w15:done="0"/>
  <w15:commentEx w15:paraId="76A1DB3A" w15:done="0"/>
  <w15:commentEx w15:paraId="59E3CC19" w15:done="0"/>
  <w15:commentEx w15:paraId="22307629" w15:done="0"/>
  <w15:commentEx w15:paraId="28F0170D" w15:done="0"/>
  <w15:commentEx w15:paraId="03A154CE" w15:done="0"/>
  <w15:commentEx w15:paraId="786D31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54EF1" w16cex:dateUtc="2025-12-17T13:55:00Z"/>
  <w16cex:commentExtensible w16cex:durableId="2448BED6" w16cex:dateUtc="2025-12-17T13:50:00Z"/>
  <w16cex:commentExtensible w16cex:durableId="18F2D8AF" w16cex:dateUtc="2025-12-17T13:49:00Z"/>
  <w16cex:commentExtensible w16cex:durableId="2C5A0C85" w16cex:dateUtc="2025-12-17T13:49:00Z"/>
  <w16cex:commentExtensible w16cex:durableId="7C13C3EF" w16cex:dateUtc="2025-12-17T13:49:00Z"/>
  <w16cex:commentExtensible w16cex:durableId="3EC487F7" w16cex:dateUtc="2025-12-17T13:50:00Z"/>
  <w16cex:commentExtensible w16cex:durableId="465329DE" w16cex:dateUtc="2025-12-17T13:51:00Z"/>
  <w16cex:commentExtensible w16cex:durableId="4E2C2626" w16cex:dateUtc="2025-12-17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36D99" w16cid:durableId="20F54EF1"/>
  <w16cid:commentId w16cid:paraId="5F9DF6B6" w16cid:durableId="2448BED6"/>
  <w16cid:commentId w16cid:paraId="76A1DB3A" w16cid:durableId="18F2D8AF"/>
  <w16cid:commentId w16cid:paraId="59E3CC19" w16cid:durableId="2C5A0C85"/>
  <w16cid:commentId w16cid:paraId="22307629" w16cid:durableId="7C13C3EF"/>
  <w16cid:commentId w16cid:paraId="28F0170D" w16cid:durableId="3EC487F7"/>
  <w16cid:commentId w16cid:paraId="03A154CE" w16cid:durableId="465329DE"/>
  <w16cid:commentId w16cid:paraId="786D3126" w16cid:durableId="4E2C2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F424" w14:textId="77777777" w:rsidR="00C8019F" w:rsidRDefault="00C8019F" w:rsidP="00E8642B">
      <w:pPr>
        <w:spacing w:after="0" w:line="240" w:lineRule="auto"/>
      </w:pPr>
      <w:r>
        <w:separator/>
      </w:r>
    </w:p>
  </w:endnote>
  <w:endnote w:type="continuationSeparator" w:id="0">
    <w:p w14:paraId="2F0D177E" w14:textId="77777777" w:rsidR="00C8019F" w:rsidRDefault="00C8019F" w:rsidP="00E8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6777" w14:textId="77777777" w:rsidR="00E8642B" w:rsidRDefault="00E86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BB11" w14:textId="77777777" w:rsidR="00E8642B" w:rsidRDefault="00E86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D355" w14:textId="77777777" w:rsidR="00E8642B" w:rsidRDefault="00E8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6496" w14:textId="77777777" w:rsidR="00C8019F" w:rsidRDefault="00C8019F" w:rsidP="00E8642B">
      <w:pPr>
        <w:spacing w:after="0" w:line="240" w:lineRule="auto"/>
      </w:pPr>
      <w:r>
        <w:separator/>
      </w:r>
    </w:p>
  </w:footnote>
  <w:footnote w:type="continuationSeparator" w:id="0">
    <w:p w14:paraId="15C84F23" w14:textId="77777777" w:rsidR="00C8019F" w:rsidRDefault="00C8019F" w:rsidP="00E8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D9E3" w14:textId="7A9CA946" w:rsidR="00E8642B" w:rsidRDefault="00000000">
    <w:pPr>
      <w:pStyle w:val="Header"/>
    </w:pPr>
    <w:r>
      <w:rPr>
        <w:noProof/>
      </w:rPr>
      <w:pict w14:anchorId="69123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CD75" w14:textId="209EFB6F" w:rsidR="00E8642B" w:rsidRDefault="00000000">
    <w:pPr>
      <w:pStyle w:val="Header"/>
    </w:pPr>
    <w:r>
      <w:rPr>
        <w:noProof/>
      </w:rPr>
      <w:pict w14:anchorId="7069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842B" w14:textId="2F148FF7" w:rsidR="00E8642B" w:rsidRDefault="00000000">
    <w:pPr>
      <w:pStyle w:val="Header"/>
    </w:pPr>
    <w:r>
      <w:rPr>
        <w:noProof/>
      </w:rPr>
      <w:pict w14:anchorId="2F216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7001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514CD"/>
    <w:multiLevelType w:val="multilevel"/>
    <w:tmpl w:val="43C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8534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B">
    <w15:presenceInfo w15:providerId="None" w15:userId="S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4E"/>
    <w:rsid w:val="0009493D"/>
    <w:rsid w:val="00121342"/>
    <w:rsid w:val="00174D4E"/>
    <w:rsid w:val="00177AED"/>
    <w:rsid w:val="001C1ED8"/>
    <w:rsid w:val="0021254C"/>
    <w:rsid w:val="002701CD"/>
    <w:rsid w:val="002A3E1B"/>
    <w:rsid w:val="002C1C23"/>
    <w:rsid w:val="002E252F"/>
    <w:rsid w:val="003348ED"/>
    <w:rsid w:val="00341886"/>
    <w:rsid w:val="003F5F0B"/>
    <w:rsid w:val="004D1930"/>
    <w:rsid w:val="00513F16"/>
    <w:rsid w:val="0053523B"/>
    <w:rsid w:val="00590672"/>
    <w:rsid w:val="00594DC0"/>
    <w:rsid w:val="005A7D57"/>
    <w:rsid w:val="00680FE1"/>
    <w:rsid w:val="006B2AAE"/>
    <w:rsid w:val="00707938"/>
    <w:rsid w:val="00714AFD"/>
    <w:rsid w:val="00743D2D"/>
    <w:rsid w:val="007E7AD4"/>
    <w:rsid w:val="00812ECD"/>
    <w:rsid w:val="00825CEC"/>
    <w:rsid w:val="00860B53"/>
    <w:rsid w:val="008E2AFF"/>
    <w:rsid w:val="009357D5"/>
    <w:rsid w:val="009948E1"/>
    <w:rsid w:val="009B342C"/>
    <w:rsid w:val="00A158D6"/>
    <w:rsid w:val="00A654BA"/>
    <w:rsid w:val="00AA2C12"/>
    <w:rsid w:val="00AD6E7D"/>
    <w:rsid w:val="00B11C5B"/>
    <w:rsid w:val="00B207B3"/>
    <w:rsid w:val="00B50DB7"/>
    <w:rsid w:val="00B50EDF"/>
    <w:rsid w:val="00B51880"/>
    <w:rsid w:val="00B872C1"/>
    <w:rsid w:val="00C03180"/>
    <w:rsid w:val="00C1513C"/>
    <w:rsid w:val="00C8019F"/>
    <w:rsid w:val="00C9765C"/>
    <w:rsid w:val="00CC497F"/>
    <w:rsid w:val="00CD039C"/>
    <w:rsid w:val="00D23F7B"/>
    <w:rsid w:val="00DF6BC3"/>
    <w:rsid w:val="00E8642B"/>
    <w:rsid w:val="00ED008F"/>
    <w:rsid w:val="00F12974"/>
    <w:rsid w:val="00F66819"/>
    <w:rsid w:val="00FC2EF3"/>
    <w:rsid w:val="00FF1C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3D359"/>
  <w15:docId w15:val="{9D45B938-960D-4B5C-8021-10DFC18B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D8"/>
  </w:style>
  <w:style w:type="paragraph" w:styleId="Heading3">
    <w:name w:val="heading 3"/>
    <w:basedOn w:val="Normal"/>
    <w:link w:val="Heading3Char"/>
    <w:uiPriority w:val="9"/>
    <w:qFormat/>
    <w:rsid w:val="00812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4D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4D4E"/>
    <w:rPr>
      <w:b/>
      <w:bCs/>
    </w:rPr>
  </w:style>
  <w:style w:type="character" w:styleId="Emphasis">
    <w:name w:val="Emphasis"/>
    <w:basedOn w:val="DefaultParagraphFont"/>
    <w:uiPriority w:val="20"/>
    <w:qFormat/>
    <w:rsid w:val="0021254C"/>
    <w:rPr>
      <w:i/>
      <w:iCs/>
    </w:rPr>
  </w:style>
  <w:style w:type="character" w:customStyle="1" w:styleId="Heading3Char">
    <w:name w:val="Heading 3 Char"/>
    <w:basedOn w:val="DefaultParagraphFont"/>
    <w:link w:val="Heading3"/>
    <w:uiPriority w:val="9"/>
    <w:rsid w:val="00812EC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90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672"/>
    <w:rPr>
      <w:rFonts w:ascii="Tahoma" w:hAnsi="Tahoma" w:cs="Tahoma"/>
      <w:sz w:val="16"/>
      <w:szCs w:val="16"/>
    </w:rPr>
  </w:style>
  <w:style w:type="character" w:styleId="Hyperlink">
    <w:name w:val="Hyperlink"/>
    <w:basedOn w:val="DefaultParagraphFont"/>
    <w:uiPriority w:val="99"/>
    <w:unhideWhenUsed/>
    <w:rsid w:val="002C1C23"/>
    <w:rPr>
      <w:color w:val="0000FF" w:themeColor="hyperlink"/>
      <w:u w:val="single"/>
    </w:rPr>
  </w:style>
  <w:style w:type="character" w:styleId="UnresolvedMention">
    <w:name w:val="Unresolved Mention"/>
    <w:basedOn w:val="DefaultParagraphFont"/>
    <w:uiPriority w:val="99"/>
    <w:semiHidden/>
    <w:unhideWhenUsed/>
    <w:rsid w:val="002C1C23"/>
    <w:rPr>
      <w:color w:val="605E5C"/>
      <w:shd w:val="clear" w:color="auto" w:fill="E1DFDD"/>
    </w:rPr>
  </w:style>
  <w:style w:type="paragraph" w:styleId="Header">
    <w:name w:val="header"/>
    <w:basedOn w:val="Normal"/>
    <w:link w:val="HeaderChar"/>
    <w:uiPriority w:val="99"/>
    <w:unhideWhenUsed/>
    <w:rsid w:val="00E8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2B"/>
  </w:style>
  <w:style w:type="paragraph" w:styleId="Footer">
    <w:name w:val="footer"/>
    <w:basedOn w:val="Normal"/>
    <w:link w:val="FooterChar"/>
    <w:uiPriority w:val="99"/>
    <w:unhideWhenUsed/>
    <w:rsid w:val="00E8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B"/>
  </w:style>
  <w:style w:type="character" w:styleId="CommentReference">
    <w:name w:val="annotation reference"/>
    <w:basedOn w:val="DefaultParagraphFont"/>
    <w:uiPriority w:val="99"/>
    <w:semiHidden/>
    <w:unhideWhenUsed/>
    <w:rsid w:val="00F66819"/>
    <w:rPr>
      <w:sz w:val="16"/>
      <w:szCs w:val="16"/>
    </w:rPr>
  </w:style>
  <w:style w:type="paragraph" w:styleId="CommentText">
    <w:name w:val="annotation text"/>
    <w:basedOn w:val="Normal"/>
    <w:link w:val="CommentTextChar"/>
    <w:uiPriority w:val="99"/>
    <w:unhideWhenUsed/>
    <w:rsid w:val="00F66819"/>
    <w:pPr>
      <w:spacing w:line="240" w:lineRule="auto"/>
    </w:pPr>
    <w:rPr>
      <w:sz w:val="20"/>
      <w:szCs w:val="20"/>
    </w:rPr>
  </w:style>
  <w:style w:type="character" w:customStyle="1" w:styleId="CommentTextChar">
    <w:name w:val="Comment Text Char"/>
    <w:basedOn w:val="DefaultParagraphFont"/>
    <w:link w:val="CommentText"/>
    <w:uiPriority w:val="99"/>
    <w:rsid w:val="00F66819"/>
    <w:rPr>
      <w:sz w:val="20"/>
      <w:szCs w:val="20"/>
    </w:rPr>
  </w:style>
  <w:style w:type="paragraph" w:styleId="CommentSubject">
    <w:name w:val="annotation subject"/>
    <w:basedOn w:val="CommentText"/>
    <w:next w:val="CommentText"/>
    <w:link w:val="CommentSubjectChar"/>
    <w:uiPriority w:val="99"/>
    <w:semiHidden/>
    <w:unhideWhenUsed/>
    <w:rsid w:val="00F66819"/>
    <w:rPr>
      <w:b/>
      <w:bCs/>
    </w:rPr>
  </w:style>
  <w:style w:type="character" w:customStyle="1" w:styleId="CommentSubjectChar">
    <w:name w:val="Comment Subject Char"/>
    <w:basedOn w:val="CommentTextChar"/>
    <w:link w:val="CommentSubject"/>
    <w:uiPriority w:val="99"/>
    <w:semiHidden/>
    <w:rsid w:val="00F66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80282">
      <w:bodyDiv w:val="1"/>
      <w:marLeft w:val="0"/>
      <w:marRight w:val="0"/>
      <w:marTop w:val="0"/>
      <w:marBottom w:val="0"/>
      <w:divBdr>
        <w:top w:val="none" w:sz="0" w:space="0" w:color="auto"/>
        <w:left w:val="none" w:sz="0" w:space="0" w:color="auto"/>
        <w:bottom w:val="none" w:sz="0" w:space="0" w:color="auto"/>
        <w:right w:val="none" w:sz="0" w:space="0" w:color="auto"/>
      </w:divBdr>
    </w:div>
    <w:div w:id="541789067">
      <w:bodyDiv w:val="1"/>
      <w:marLeft w:val="0"/>
      <w:marRight w:val="0"/>
      <w:marTop w:val="0"/>
      <w:marBottom w:val="0"/>
      <w:divBdr>
        <w:top w:val="none" w:sz="0" w:space="0" w:color="auto"/>
        <w:left w:val="none" w:sz="0" w:space="0" w:color="auto"/>
        <w:bottom w:val="none" w:sz="0" w:space="0" w:color="auto"/>
        <w:right w:val="none" w:sz="0" w:space="0" w:color="auto"/>
      </w:divBdr>
    </w:div>
    <w:div w:id="786581110">
      <w:bodyDiv w:val="1"/>
      <w:marLeft w:val="0"/>
      <w:marRight w:val="0"/>
      <w:marTop w:val="0"/>
      <w:marBottom w:val="0"/>
      <w:divBdr>
        <w:top w:val="none" w:sz="0" w:space="0" w:color="auto"/>
        <w:left w:val="none" w:sz="0" w:space="0" w:color="auto"/>
        <w:bottom w:val="none" w:sz="0" w:space="0" w:color="auto"/>
        <w:right w:val="none" w:sz="0" w:space="0" w:color="auto"/>
      </w:divBdr>
      <w:divsChild>
        <w:div w:id="1975872240">
          <w:marLeft w:val="0"/>
          <w:marRight w:val="0"/>
          <w:marTop w:val="0"/>
          <w:marBottom w:val="0"/>
          <w:divBdr>
            <w:top w:val="none" w:sz="0" w:space="0" w:color="auto"/>
            <w:left w:val="none" w:sz="0" w:space="0" w:color="auto"/>
            <w:bottom w:val="none" w:sz="0" w:space="0" w:color="auto"/>
            <w:right w:val="none" w:sz="0" w:space="0" w:color="auto"/>
          </w:divBdr>
          <w:divsChild>
            <w:div w:id="1302154181">
              <w:marLeft w:val="0"/>
              <w:marRight w:val="0"/>
              <w:marTop w:val="0"/>
              <w:marBottom w:val="0"/>
              <w:divBdr>
                <w:top w:val="none" w:sz="0" w:space="0" w:color="auto"/>
                <w:left w:val="none" w:sz="0" w:space="0" w:color="auto"/>
                <w:bottom w:val="none" w:sz="0" w:space="0" w:color="auto"/>
                <w:right w:val="none" w:sz="0" w:space="0" w:color="auto"/>
              </w:divBdr>
              <w:divsChild>
                <w:div w:id="1572422509">
                  <w:marLeft w:val="0"/>
                  <w:marRight w:val="0"/>
                  <w:marTop w:val="0"/>
                  <w:marBottom w:val="0"/>
                  <w:divBdr>
                    <w:top w:val="none" w:sz="0" w:space="0" w:color="auto"/>
                    <w:left w:val="none" w:sz="0" w:space="0" w:color="auto"/>
                    <w:bottom w:val="none" w:sz="0" w:space="0" w:color="auto"/>
                    <w:right w:val="none" w:sz="0" w:space="0" w:color="auto"/>
                  </w:divBdr>
                  <w:divsChild>
                    <w:div w:id="1946425234">
                      <w:marLeft w:val="0"/>
                      <w:marRight w:val="0"/>
                      <w:marTop w:val="0"/>
                      <w:marBottom w:val="0"/>
                      <w:divBdr>
                        <w:top w:val="none" w:sz="0" w:space="0" w:color="auto"/>
                        <w:left w:val="none" w:sz="0" w:space="0" w:color="auto"/>
                        <w:bottom w:val="none" w:sz="0" w:space="0" w:color="auto"/>
                        <w:right w:val="none" w:sz="0" w:space="0" w:color="auto"/>
                      </w:divBdr>
                      <w:divsChild>
                        <w:div w:id="216668662">
                          <w:marLeft w:val="0"/>
                          <w:marRight w:val="0"/>
                          <w:marTop w:val="0"/>
                          <w:marBottom w:val="0"/>
                          <w:divBdr>
                            <w:top w:val="none" w:sz="0" w:space="0" w:color="auto"/>
                            <w:left w:val="none" w:sz="0" w:space="0" w:color="auto"/>
                            <w:bottom w:val="none" w:sz="0" w:space="0" w:color="auto"/>
                            <w:right w:val="none" w:sz="0" w:space="0" w:color="auto"/>
                          </w:divBdr>
                          <w:divsChild>
                            <w:div w:id="545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1063332310">
      <w:bodyDiv w:val="1"/>
      <w:marLeft w:val="0"/>
      <w:marRight w:val="0"/>
      <w:marTop w:val="0"/>
      <w:marBottom w:val="0"/>
      <w:divBdr>
        <w:top w:val="none" w:sz="0" w:space="0" w:color="auto"/>
        <w:left w:val="none" w:sz="0" w:space="0" w:color="auto"/>
        <w:bottom w:val="none" w:sz="0" w:space="0" w:color="auto"/>
        <w:right w:val="none" w:sz="0" w:space="0" w:color="auto"/>
      </w:divBdr>
    </w:div>
    <w:div w:id="1118718363">
      <w:bodyDiv w:val="1"/>
      <w:marLeft w:val="0"/>
      <w:marRight w:val="0"/>
      <w:marTop w:val="0"/>
      <w:marBottom w:val="0"/>
      <w:divBdr>
        <w:top w:val="none" w:sz="0" w:space="0" w:color="auto"/>
        <w:left w:val="none" w:sz="0" w:space="0" w:color="auto"/>
        <w:bottom w:val="none" w:sz="0" w:space="0" w:color="auto"/>
        <w:right w:val="none" w:sz="0" w:space="0" w:color="auto"/>
      </w:divBdr>
    </w:div>
    <w:div w:id="1159996948">
      <w:bodyDiv w:val="1"/>
      <w:marLeft w:val="0"/>
      <w:marRight w:val="0"/>
      <w:marTop w:val="0"/>
      <w:marBottom w:val="0"/>
      <w:divBdr>
        <w:top w:val="none" w:sz="0" w:space="0" w:color="auto"/>
        <w:left w:val="none" w:sz="0" w:space="0" w:color="auto"/>
        <w:bottom w:val="none" w:sz="0" w:space="0" w:color="auto"/>
        <w:right w:val="none" w:sz="0" w:space="0" w:color="auto"/>
      </w:divBdr>
    </w:div>
    <w:div w:id="1184510636">
      <w:bodyDiv w:val="1"/>
      <w:marLeft w:val="0"/>
      <w:marRight w:val="0"/>
      <w:marTop w:val="0"/>
      <w:marBottom w:val="0"/>
      <w:divBdr>
        <w:top w:val="none" w:sz="0" w:space="0" w:color="auto"/>
        <w:left w:val="none" w:sz="0" w:space="0" w:color="auto"/>
        <w:bottom w:val="none" w:sz="0" w:space="0" w:color="auto"/>
        <w:right w:val="none" w:sz="0" w:space="0" w:color="auto"/>
      </w:divBdr>
    </w:div>
    <w:div w:id="1394965072">
      <w:bodyDiv w:val="1"/>
      <w:marLeft w:val="0"/>
      <w:marRight w:val="0"/>
      <w:marTop w:val="0"/>
      <w:marBottom w:val="0"/>
      <w:divBdr>
        <w:top w:val="none" w:sz="0" w:space="0" w:color="auto"/>
        <w:left w:val="none" w:sz="0" w:space="0" w:color="auto"/>
        <w:bottom w:val="none" w:sz="0" w:space="0" w:color="auto"/>
        <w:right w:val="none" w:sz="0" w:space="0" w:color="auto"/>
      </w:divBdr>
    </w:div>
    <w:div w:id="1447771685">
      <w:bodyDiv w:val="1"/>
      <w:marLeft w:val="0"/>
      <w:marRight w:val="0"/>
      <w:marTop w:val="0"/>
      <w:marBottom w:val="0"/>
      <w:divBdr>
        <w:top w:val="none" w:sz="0" w:space="0" w:color="auto"/>
        <w:left w:val="none" w:sz="0" w:space="0" w:color="auto"/>
        <w:bottom w:val="none" w:sz="0" w:space="0" w:color="auto"/>
        <w:right w:val="none" w:sz="0" w:space="0" w:color="auto"/>
      </w:divBdr>
    </w:div>
    <w:div w:id="1698116888">
      <w:bodyDiv w:val="1"/>
      <w:marLeft w:val="0"/>
      <w:marRight w:val="0"/>
      <w:marTop w:val="0"/>
      <w:marBottom w:val="0"/>
      <w:divBdr>
        <w:top w:val="none" w:sz="0" w:space="0" w:color="auto"/>
        <w:left w:val="none" w:sz="0" w:space="0" w:color="auto"/>
        <w:bottom w:val="none" w:sz="0" w:space="0" w:color="auto"/>
        <w:right w:val="none" w:sz="0" w:space="0" w:color="auto"/>
      </w:divBdr>
    </w:div>
    <w:div w:id="18699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doi.org/10.1080/01904167.2018.154967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1016/C2009-0-63043-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pls.2013.0028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j.1750-3841.2010.01606.x"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02/jsfa.158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wnloads\Naveen%20Chandra\Broccol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Sheet2!$B$175</c:f>
              <c:strCache>
                <c:ptCount val="1"/>
                <c:pt idx="0">
                  <c:v>Ascorbic acid</c:v>
                </c:pt>
              </c:strCache>
            </c:strRef>
          </c:tx>
          <c:invertIfNegative val="0"/>
          <c:cat>
            <c:strRef>
              <c:f>Sheet2!$A$176:$A$189</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Sheet2!$B$176:$B$189</c:f>
              <c:numCache>
                <c:formatCode>0.00</c:formatCode>
                <c:ptCount val="14"/>
                <c:pt idx="0">
                  <c:v>80</c:v>
                </c:pt>
                <c:pt idx="1">
                  <c:v>82</c:v>
                </c:pt>
                <c:pt idx="2">
                  <c:v>81.000333333333288</c:v>
                </c:pt>
                <c:pt idx="3">
                  <c:v>83</c:v>
                </c:pt>
                <c:pt idx="4">
                  <c:v>83.400333333333279</c:v>
                </c:pt>
                <c:pt idx="5">
                  <c:v>85.5</c:v>
                </c:pt>
                <c:pt idx="6">
                  <c:v>84.3</c:v>
                </c:pt>
                <c:pt idx="7">
                  <c:v>86.2</c:v>
                </c:pt>
                <c:pt idx="8">
                  <c:v>83.600000000000009</c:v>
                </c:pt>
                <c:pt idx="9">
                  <c:v>82.400333333333279</c:v>
                </c:pt>
                <c:pt idx="10">
                  <c:v>86.400333333333279</c:v>
                </c:pt>
                <c:pt idx="11">
                  <c:v>84.399999999999991</c:v>
                </c:pt>
                <c:pt idx="12">
                  <c:v>83.1</c:v>
                </c:pt>
                <c:pt idx="13">
                  <c:v>81.2</c:v>
                </c:pt>
              </c:numCache>
            </c:numRef>
          </c:val>
          <c:extLst>
            <c:ext xmlns:c16="http://schemas.microsoft.com/office/drawing/2014/chart" uri="{C3380CC4-5D6E-409C-BE32-E72D297353CC}">
              <c16:uniqueId val="{00000000-9452-4654-AA69-D4E2E3689160}"/>
            </c:ext>
          </c:extLst>
        </c:ser>
        <c:dLbls>
          <c:showLegendKey val="0"/>
          <c:showVal val="0"/>
          <c:showCatName val="0"/>
          <c:showSerName val="0"/>
          <c:showPercent val="0"/>
          <c:showBubbleSize val="0"/>
        </c:dLbls>
        <c:gapWidth val="150"/>
        <c:axId val="79646080"/>
        <c:axId val="79800192"/>
      </c:barChart>
      <c:catAx>
        <c:axId val="7964608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79800192"/>
        <c:crosses val="autoZero"/>
        <c:auto val="1"/>
        <c:lblAlgn val="ctr"/>
        <c:lblOffset val="100"/>
        <c:noMultiLvlLbl val="0"/>
      </c:catAx>
      <c:valAx>
        <c:axId val="79800192"/>
        <c:scaling>
          <c:orientation val="minMax"/>
        </c:scaling>
        <c:delete val="0"/>
        <c:axPos val="l"/>
        <c:majorGridlines/>
        <c:title>
          <c:tx>
            <c:rich>
              <a:bodyPr rot="-5400000" vert="horz"/>
              <a:lstStyle/>
              <a:p>
                <a:pPr>
                  <a:defRPr/>
                </a:pPr>
                <a:r>
                  <a:rPr lang="en-US"/>
                  <a:t>Ascorbic Acid (mg/100g)</a:t>
                </a:r>
              </a:p>
            </c:rich>
          </c:tx>
          <c:overlay val="0"/>
        </c:title>
        <c:numFmt formatCode="0.00" sourceLinked="1"/>
        <c:majorTickMark val="out"/>
        <c:minorTickMark val="none"/>
        <c:tickLblPos val="nextTo"/>
        <c:crossAx val="79646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Sheet2!$B$192</c:f>
              <c:strCache>
                <c:ptCount val="1"/>
                <c:pt idx="0">
                  <c:v>TSS</c:v>
                </c:pt>
              </c:strCache>
            </c:strRef>
          </c:tx>
          <c:invertIfNegative val="0"/>
          <c:cat>
            <c:strRef>
              <c:f>Sheet2!$A$193:$A$206</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Sheet2!$B$193:$B$206</c:f>
              <c:numCache>
                <c:formatCode>0.00</c:formatCode>
                <c:ptCount val="14"/>
                <c:pt idx="0">
                  <c:v>6.0003333333333524</c:v>
                </c:pt>
                <c:pt idx="1">
                  <c:v>7</c:v>
                </c:pt>
                <c:pt idx="2">
                  <c:v>7.2</c:v>
                </c:pt>
                <c:pt idx="3">
                  <c:v>7.6000000000000005</c:v>
                </c:pt>
                <c:pt idx="4">
                  <c:v>7.8000000000000007</c:v>
                </c:pt>
                <c:pt idx="5">
                  <c:v>7.3999999999999995</c:v>
                </c:pt>
                <c:pt idx="6">
                  <c:v>7.5999999999999988</c:v>
                </c:pt>
                <c:pt idx="7">
                  <c:v>7.3</c:v>
                </c:pt>
                <c:pt idx="8">
                  <c:v>7.7</c:v>
                </c:pt>
                <c:pt idx="9">
                  <c:v>7.8999999999999995</c:v>
                </c:pt>
                <c:pt idx="10">
                  <c:v>7.2</c:v>
                </c:pt>
                <c:pt idx="11">
                  <c:v>7.5</c:v>
                </c:pt>
                <c:pt idx="12">
                  <c:v>7.3</c:v>
                </c:pt>
                <c:pt idx="13">
                  <c:v>7.5</c:v>
                </c:pt>
              </c:numCache>
            </c:numRef>
          </c:val>
          <c:extLst>
            <c:ext xmlns:c16="http://schemas.microsoft.com/office/drawing/2014/chart" uri="{C3380CC4-5D6E-409C-BE32-E72D297353CC}">
              <c16:uniqueId val="{00000000-7A68-444F-B771-370B0E1D6516}"/>
            </c:ext>
          </c:extLst>
        </c:ser>
        <c:dLbls>
          <c:showLegendKey val="0"/>
          <c:showVal val="0"/>
          <c:showCatName val="0"/>
          <c:showSerName val="0"/>
          <c:showPercent val="0"/>
          <c:showBubbleSize val="0"/>
        </c:dLbls>
        <c:gapWidth val="150"/>
        <c:axId val="80117120"/>
        <c:axId val="80683008"/>
      </c:barChart>
      <c:catAx>
        <c:axId val="8011712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0683008"/>
        <c:crosses val="autoZero"/>
        <c:auto val="1"/>
        <c:lblAlgn val="ctr"/>
        <c:lblOffset val="100"/>
        <c:noMultiLvlLbl val="0"/>
      </c:catAx>
      <c:valAx>
        <c:axId val="80683008"/>
        <c:scaling>
          <c:orientation val="minMax"/>
        </c:scaling>
        <c:delete val="0"/>
        <c:axPos val="l"/>
        <c:majorGridlines/>
        <c:title>
          <c:tx>
            <c:rich>
              <a:bodyPr rot="-5400000" vert="horz"/>
              <a:lstStyle/>
              <a:p>
                <a:pPr>
                  <a:defRPr/>
                </a:pPr>
                <a:r>
                  <a:rPr lang="en-US"/>
                  <a:t>Total Soluble Solid (%)</a:t>
                </a:r>
              </a:p>
            </c:rich>
          </c:tx>
          <c:overlay val="0"/>
        </c:title>
        <c:numFmt formatCode="0.00" sourceLinked="1"/>
        <c:majorTickMark val="out"/>
        <c:minorTickMark val="none"/>
        <c:tickLblPos val="nextTo"/>
        <c:crossAx val="801171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Sheet2!$B$208</c:f>
              <c:strCache>
                <c:ptCount val="1"/>
                <c:pt idx="0">
                  <c:v>CPC</c:v>
                </c:pt>
              </c:strCache>
            </c:strRef>
          </c:tx>
          <c:invertIfNegative val="0"/>
          <c:cat>
            <c:strRef>
              <c:f>Sheet2!$A$209:$A$222</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Sheet2!$B$209:$B$222</c:f>
              <c:numCache>
                <c:formatCode>0.00</c:formatCode>
                <c:ptCount val="14"/>
                <c:pt idx="0">
                  <c:v>2.7099999999999995</c:v>
                </c:pt>
                <c:pt idx="1">
                  <c:v>2.72</c:v>
                </c:pt>
                <c:pt idx="2">
                  <c:v>2.7296666666666671</c:v>
                </c:pt>
                <c:pt idx="3">
                  <c:v>2.7603333333333402</c:v>
                </c:pt>
                <c:pt idx="4">
                  <c:v>2.74</c:v>
                </c:pt>
                <c:pt idx="5">
                  <c:v>2.7899999999999996</c:v>
                </c:pt>
                <c:pt idx="6">
                  <c:v>2.7600000000000002</c:v>
                </c:pt>
                <c:pt idx="7">
                  <c:v>2.7800000000000002</c:v>
                </c:pt>
                <c:pt idx="8">
                  <c:v>2.7903333333333342</c:v>
                </c:pt>
                <c:pt idx="9">
                  <c:v>2.73</c:v>
                </c:pt>
                <c:pt idx="10">
                  <c:v>2.7399999999999998</c:v>
                </c:pt>
                <c:pt idx="11">
                  <c:v>2.73</c:v>
                </c:pt>
                <c:pt idx="12">
                  <c:v>2.75</c:v>
                </c:pt>
                <c:pt idx="13">
                  <c:v>2.75</c:v>
                </c:pt>
              </c:numCache>
            </c:numRef>
          </c:val>
          <c:extLst>
            <c:ext xmlns:c16="http://schemas.microsoft.com/office/drawing/2014/chart" uri="{C3380CC4-5D6E-409C-BE32-E72D297353CC}">
              <c16:uniqueId val="{00000000-07A8-4671-B511-126413F6B0F0}"/>
            </c:ext>
          </c:extLst>
        </c:ser>
        <c:dLbls>
          <c:showLegendKey val="0"/>
          <c:showVal val="0"/>
          <c:showCatName val="0"/>
          <c:showSerName val="0"/>
          <c:showPercent val="0"/>
          <c:showBubbleSize val="0"/>
        </c:dLbls>
        <c:gapWidth val="150"/>
        <c:axId val="80705024"/>
        <c:axId val="80706944"/>
      </c:barChart>
      <c:catAx>
        <c:axId val="8070502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0706944"/>
        <c:crosses val="autoZero"/>
        <c:auto val="1"/>
        <c:lblAlgn val="ctr"/>
        <c:lblOffset val="100"/>
        <c:noMultiLvlLbl val="0"/>
      </c:catAx>
      <c:valAx>
        <c:axId val="80706944"/>
        <c:scaling>
          <c:orientation val="minMax"/>
        </c:scaling>
        <c:delete val="0"/>
        <c:axPos val="l"/>
        <c:majorGridlines/>
        <c:title>
          <c:tx>
            <c:rich>
              <a:bodyPr rot="-5400000" vert="horz"/>
              <a:lstStyle/>
              <a:p>
                <a:pPr>
                  <a:defRPr/>
                </a:pPr>
                <a:r>
                  <a:rPr lang="en-US"/>
                  <a:t>Crude Protein Content (%)</a:t>
                </a:r>
              </a:p>
            </c:rich>
          </c:tx>
          <c:overlay val="0"/>
        </c:title>
        <c:numFmt formatCode="0.00" sourceLinked="1"/>
        <c:majorTickMark val="out"/>
        <c:minorTickMark val="none"/>
        <c:tickLblPos val="nextTo"/>
        <c:crossAx val="80705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Sheet2!$B$225</c:f>
              <c:strCache>
                <c:ptCount val="1"/>
                <c:pt idx="0">
                  <c:v>CC</c:v>
                </c:pt>
              </c:strCache>
            </c:strRef>
          </c:tx>
          <c:invertIfNegative val="0"/>
          <c:cat>
            <c:strRef>
              <c:f>Sheet2!$A$226:$A$239</c:f>
              <c:strCache>
                <c:ptCount val="14"/>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strCache>
            </c:strRef>
          </c:cat>
          <c:val>
            <c:numRef>
              <c:f>Sheet2!$B$226:$B$239</c:f>
              <c:numCache>
                <c:formatCode>0.00</c:formatCode>
                <c:ptCount val="14"/>
                <c:pt idx="0">
                  <c:v>1.5696666666666659</c:v>
                </c:pt>
                <c:pt idx="1">
                  <c:v>1.59</c:v>
                </c:pt>
                <c:pt idx="2">
                  <c:v>1.62</c:v>
                </c:pt>
                <c:pt idx="3">
                  <c:v>1.6400000000000001</c:v>
                </c:pt>
                <c:pt idx="4">
                  <c:v>1.72</c:v>
                </c:pt>
                <c:pt idx="5">
                  <c:v>1.82</c:v>
                </c:pt>
                <c:pt idx="6">
                  <c:v>1.83</c:v>
                </c:pt>
                <c:pt idx="7">
                  <c:v>1.9500000000000057</c:v>
                </c:pt>
                <c:pt idx="8">
                  <c:v>1.9696666666666669</c:v>
                </c:pt>
                <c:pt idx="9">
                  <c:v>2.1203333333333352</c:v>
                </c:pt>
                <c:pt idx="10">
                  <c:v>1.9600000000000057</c:v>
                </c:pt>
                <c:pt idx="11">
                  <c:v>2.15</c:v>
                </c:pt>
                <c:pt idx="12">
                  <c:v>2.14</c:v>
                </c:pt>
                <c:pt idx="13">
                  <c:v>1.7796666666666658</c:v>
                </c:pt>
              </c:numCache>
            </c:numRef>
          </c:val>
          <c:extLst>
            <c:ext xmlns:c16="http://schemas.microsoft.com/office/drawing/2014/chart" uri="{C3380CC4-5D6E-409C-BE32-E72D297353CC}">
              <c16:uniqueId val="{00000000-4AD7-4351-8E7D-7F6CDC98275A}"/>
            </c:ext>
          </c:extLst>
        </c:ser>
        <c:dLbls>
          <c:showLegendKey val="0"/>
          <c:showVal val="0"/>
          <c:showCatName val="0"/>
          <c:showSerName val="0"/>
          <c:showPercent val="0"/>
          <c:showBubbleSize val="0"/>
        </c:dLbls>
        <c:gapWidth val="150"/>
        <c:axId val="82058624"/>
        <c:axId val="82081664"/>
      </c:barChart>
      <c:catAx>
        <c:axId val="8205862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crossAx val="82081664"/>
        <c:crosses val="autoZero"/>
        <c:auto val="1"/>
        <c:lblAlgn val="ctr"/>
        <c:lblOffset val="100"/>
        <c:noMultiLvlLbl val="0"/>
      </c:catAx>
      <c:valAx>
        <c:axId val="82081664"/>
        <c:scaling>
          <c:orientation val="minMax"/>
        </c:scaling>
        <c:delete val="0"/>
        <c:axPos val="l"/>
        <c:majorGridlines/>
        <c:title>
          <c:tx>
            <c:rich>
              <a:bodyPr rot="-5400000" vert="horz"/>
              <a:lstStyle/>
              <a:p>
                <a:pPr>
                  <a:defRPr/>
                </a:pPr>
                <a:r>
                  <a:rPr lang="en-US" sz="1000" b="1" i="0" u="none" strike="noStrike" baseline="0"/>
                  <a:t>Chlorophyll Content (mg/g)</a:t>
                </a:r>
                <a:endParaRPr lang="en-US"/>
              </a:p>
            </c:rich>
          </c:tx>
          <c:overlay val="0"/>
        </c:title>
        <c:numFmt formatCode="0.00" sourceLinked="1"/>
        <c:majorTickMark val="out"/>
        <c:minorTickMark val="none"/>
        <c:tickLblPos val="nextTo"/>
        <c:crossAx val="820586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SRB</cp:lastModifiedBy>
  <cp:revision>2</cp:revision>
  <dcterms:created xsi:type="dcterms:W3CDTF">2025-12-17T13:57:00Z</dcterms:created>
  <dcterms:modified xsi:type="dcterms:W3CDTF">2025-12-17T13:57:00Z</dcterms:modified>
</cp:coreProperties>
</file>