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844A" w14:textId="77777777" w:rsidR="0047514C" w:rsidRPr="0047514C" w:rsidRDefault="0047514C" w:rsidP="0047514C">
      <w:pPr>
        <w:spacing w:line="360" w:lineRule="auto"/>
        <w:jc w:val="center"/>
        <w:rPr>
          <w:rFonts w:ascii="Arial" w:hAnsi="Arial" w:cs="Arial"/>
          <w:b/>
          <w:bCs/>
          <w:i/>
          <w:iCs/>
          <w:sz w:val="24"/>
          <w:szCs w:val="24"/>
          <w:u w:val="single"/>
          <w:lang w:val="en-US"/>
        </w:rPr>
      </w:pPr>
      <w:r w:rsidRPr="0047514C">
        <w:rPr>
          <w:rFonts w:ascii="Arial" w:hAnsi="Arial" w:cs="Arial"/>
          <w:b/>
          <w:bCs/>
          <w:i/>
          <w:iCs/>
          <w:sz w:val="24"/>
          <w:szCs w:val="24"/>
          <w:u w:val="single"/>
          <w:lang w:val="en-US"/>
        </w:rPr>
        <w:t>Original Research Article</w:t>
      </w:r>
    </w:p>
    <w:p w14:paraId="0FC463DC" w14:textId="28F3FA0F" w:rsidR="00145EDF" w:rsidRPr="00F57314" w:rsidRDefault="00145EDF" w:rsidP="00145EDF">
      <w:pPr>
        <w:spacing w:line="360" w:lineRule="auto"/>
        <w:jc w:val="center"/>
        <w:rPr>
          <w:rFonts w:ascii="Arial" w:hAnsi="Arial" w:cs="Arial"/>
          <w:sz w:val="24"/>
          <w:szCs w:val="24"/>
        </w:rPr>
      </w:pPr>
      <w:r w:rsidRPr="00F57314">
        <w:rPr>
          <w:rFonts w:ascii="Arial" w:hAnsi="Arial" w:cs="Arial"/>
          <w:b/>
          <w:bCs/>
          <w:sz w:val="24"/>
          <w:szCs w:val="24"/>
        </w:rPr>
        <w:t>STRUCTURAL AND CHEMICAL PROPERTIES OF MINOR MILLETS: LITTLE MILLET</w:t>
      </w:r>
      <w:r w:rsidRPr="00F57314">
        <w:rPr>
          <w:rFonts w:ascii="Arial" w:hAnsi="Arial" w:cs="Arial"/>
          <w:sz w:val="24"/>
          <w:szCs w:val="24"/>
        </w:rPr>
        <w:t xml:space="preserve"> (</w:t>
      </w:r>
      <w:r w:rsidRPr="00F57314">
        <w:rPr>
          <w:rFonts w:ascii="Arial" w:hAnsi="Arial" w:cs="Arial"/>
          <w:i/>
          <w:iCs/>
          <w:sz w:val="24"/>
          <w:szCs w:val="24"/>
        </w:rPr>
        <w:t>PANICUM SUMATRENSE</w:t>
      </w:r>
      <w:r w:rsidRPr="00F57314">
        <w:rPr>
          <w:rFonts w:ascii="Arial" w:hAnsi="Arial" w:cs="Arial"/>
          <w:sz w:val="24"/>
          <w:szCs w:val="24"/>
        </w:rPr>
        <w:t xml:space="preserve">) </w:t>
      </w:r>
      <w:r w:rsidRPr="00F57314">
        <w:rPr>
          <w:rFonts w:ascii="Arial" w:hAnsi="Arial" w:cs="Arial"/>
          <w:b/>
          <w:bCs/>
          <w:sz w:val="24"/>
          <w:szCs w:val="24"/>
        </w:rPr>
        <w:t>AND</w:t>
      </w:r>
      <w:r w:rsidRPr="00F57314">
        <w:rPr>
          <w:rFonts w:ascii="Arial" w:hAnsi="Arial" w:cs="Arial"/>
          <w:sz w:val="24"/>
          <w:szCs w:val="24"/>
        </w:rPr>
        <w:t xml:space="preserve"> </w:t>
      </w:r>
      <w:r w:rsidRPr="00F57314">
        <w:rPr>
          <w:rFonts w:ascii="Arial" w:hAnsi="Arial" w:cs="Arial"/>
          <w:b/>
          <w:bCs/>
          <w:sz w:val="24"/>
          <w:szCs w:val="24"/>
        </w:rPr>
        <w:t xml:space="preserve">BARNYARD MILLET </w:t>
      </w:r>
      <w:r w:rsidRPr="00F57314">
        <w:rPr>
          <w:rFonts w:ascii="Arial" w:hAnsi="Arial" w:cs="Arial"/>
          <w:sz w:val="24"/>
          <w:szCs w:val="24"/>
        </w:rPr>
        <w:t>(</w:t>
      </w:r>
      <w:r w:rsidRPr="00F57314">
        <w:rPr>
          <w:rFonts w:ascii="Arial" w:hAnsi="Arial" w:cs="Arial"/>
          <w:i/>
          <w:iCs/>
          <w:sz w:val="24"/>
          <w:szCs w:val="24"/>
        </w:rPr>
        <w:t>ECHINOCHLOA FRUMENTACEA</w:t>
      </w:r>
      <w:r w:rsidRPr="00F57314">
        <w:rPr>
          <w:rFonts w:ascii="Arial" w:hAnsi="Arial" w:cs="Arial"/>
          <w:sz w:val="24"/>
          <w:szCs w:val="24"/>
        </w:rPr>
        <w:t>)</w:t>
      </w:r>
    </w:p>
    <w:p w14:paraId="053C55FE" w14:textId="26FF7811" w:rsidR="00DF48A6" w:rsidRDefault="00DF48A6" w:rsidP="00145EDF">
      <w:pPr>
        <w:spacing w:line="360" w:lineRule="auto"/>
        <w:jc w:val="center"/>
        <w:rPr>
          <w:rFonts w:ascii="Arial" w:hAnsi="Arial" w:cs="Arial"/>
          <w:sz w:val="20"/>
          <w:szCs w:val="20"/>
        </w:rPr>
      </w:pPr>
    </w:p>
    <w:p w14:paraId="31ADE4FD" w14:textId="77777777" w:rsidR="00277B0C" w:rsidRPr="00F57314" w:rsidRDefault="00277B0C" w:rsidP="00145EDF">
      <w:pPr>
        <w:spacing w:line="360" w:lineRule="auto"/>
        <w:jc w:val="center"/>
        <w:rPr>
          <w:rFonts w:ascii="Arial" w:hAnsi="Arial" w:cs="Arial"/>
          <w:sz w:val="20"/>
          <w:szCs w:val="20"/>
        </w:rPr>
      </w:pPr>
    </w:p>
    <w:p w14:paraId="10318A37" w14:textId="77777777" w:rsidR="00145EDF" w:rsidRPr="00F57314" w:rsidRDefault="00145EDF" w:rsidP="00145EDF">
      <w:pPr>
        <w:spacing w:line="360" w:lineRule="auto"/>
        <w:rPr>
          <w:rFonts w:ascii="Arial" w:hAnsi="Arial" w:cs="Arial"/>
          <w:b/>
          <w:bCs/>
          <w:szCs w:val="22"/>
        </w:rPr>
      </w:pPr>
      <w:r w:rsidRPr="00F57314">
        <w:rPr>
          <w:rFonts w:ascii="Arial" w:hAnsi="Arial" w:cs="Arial"/>
          <w:b/>
          <w:bCs/>
          <w:szCs w:val="22"/>
        </w:rPr>
        <w:t>Abstract</w:t>
      </w:r>
    </w:p>
    <w:p w14:paraId="579013D4" w14:textId="1AB7A65B" w:rsidR="00145EDF" w:rsidRPr="00F57314" w:rsidRDefault="00145EDF" w:rsidP="00145EDF">
      <w:pPr>
        <w:spacing w:line="360" w:lineRule="auto"/>
        <w:jc w:val="both"/>
        <w:rPr>
          <w:rFonts w:ascii="Arial" w:hAnsi="Arial" w:cs="Arial"/>
          <w:szCs w:val="22"/>
        </w:rPr>
      </w:pPr>
      <w:r w:rsidRPr="00F57314">
        <w:rPr>
          <w:rFonts w:ascii="Arial" w:hAnsi="Arial" w:cs="Arial"/>
          <w:szCs w:val="22"/>
        </w:rPr>
        <w:t xml:space="preserve">Millets are often referred to as a "poor man's crop" due to their affordability and resilience. These small, nutrient-dense grains are classified into major and minor millets. This study </w:t>
      </w:r>
      <w:r w:rsidR="008832AD">
        <w:rPr>
          <w:rFonts w:ascii="Arial" w:hAnsi="Arial" w:cs="Arial"/>
          <w:szCs w:val="22"/>
        </w:rPr>
        <w:t>aims</w:t>
      </w:r>
      <w:r w:rsidRPr="00F57314">
        <w:rPr>
          <w:rFonts w:ascii="Arial" w:hAnsi="Arial" w:cs="Arial"/>
          <w:szCs w:val="22"/>
        </w:rPr>
        <w:t xml:space="preserve"> on the dimensional, structural, and chemical characteristics of two minor millets: barnyard millet and little millet. The grain dimensions of barnyard millet and little millet ranged from 1.356 ± 0.023 to 1.161 ± 0.003 mm, 1.660 ± 0.233 to 1.812 ± 0.011 mm, and 3.016 ± 0.007 to 3.246 ± 0.012 mm. The arithmetic diameters (mm) and thousand kernel weight (g) ranged from 2.275 ± 0.025 to 2.263 ± 0.320 mm and 3.146 ± 0.052 to 3.072 ± 0.011g for barnyard and little millet respectively. The density (g/ml) and bulk density (Kg/m</w:t>
      </w:r>
      <w:r w:rsidRPr="00F57314">
        <w:rPr>
          <w:rFonts w:ascii="Arial" w:hAnsi="Arial" w:cs="Arial"/>
          <w:szCs w:val="22"/>
          <w:vertAlign w:val="superscript"/>
        </w:rPr>
        <w:t>3</w:t>
      </w:r>
      <w:r w:rsidRPr="00F57314">
        <w:rPr>
          <w:rFonts w:ascii="Arial" w:hAnsi="Arial" w:cs="Arial"/>
          <w:szCs w:val="22"/>
        </w:rPr>
        <w:t>) of both these grains were found to be 0.729 ± 0.008 and 0.763 ± 0.016, 950.8 ± 12.297 and 969.4 ± 6.235.  The true density of barnyard millet was 1631.5 ± 59.755 compared to little millet 1309.333 ± 102.768 kg/m</w:t>
      </w:r>
      <w:r w:rsidRPr="00F57314">
        <w:rPr>
          <w:rFonts w:ascii="Arial" w:hAnsi="Arial" w:cs="Arial"/>
          <w:szCs w:val="22"/>
          <w:vertAlign w:val="superscript"/>
        </w:rPr>
        <w:t>3</w:t>
      </w:r>
      <w:r w:rsidRPr="00F57314">
        <w:rPr>
          <w:rFonts w:ascii="Arial" w:hAnsi="Arial" w:cs="Arial"/>
          <w:szCs w:val="22"/>
        </w:rPr>
        <w:t>. Additionally, barnyard millet showed a higher porosity % 16.048 and a lower sphericity % 4.246. The moisture content was 12.360 ± 0.060</w:t>
      </w:r>
      <w:r w:rsidR="009A20AC" w:rsidRPr="00F57314">
        <w:rPr>
          <w:rFonts w:ascii="Arial" w:hAnsi="Arial" w:cs="Arial"/>
          <w:szCs w:val="22"/>
        </w:rPr>
        <w:t xml:space="preserve"> </w:t>
      </w:r>
      <w:r w:rsidRPr="00F57314">
        <w:rPr>
          <w:rFonts w:ascii="Arial" w:hAnsi="Arial" w:cs="Arial"/>
          <w:szCs w:val="22"/>
        </w:rPr>
        <w:t>% in barnyard millet and 11.147 ± 0.08</w:t>
      </w:r>
      <w:r w:rsidR="009A20AC" w:rsidRPr="00F57314">
        <w:rPr>
          <w:rFonts w:ascii="Arial" w:hAnsi="Arial" w:cs="Arial"/>
          <w:szCs w:val="22"/>
        </w:rPr>
        <w:t xml:space="preserve"> </w:t>
      </w:r>
      <w:r w:rsidRPr="00F57314">
        <w:rPr>
          <w:rFonts w:ascii="Arial" w:hAnsi="Arial" w:cs="Arial"/>
          <w:szCs w:val="22"/>
        </w:rPr>
        <w:t>3% in little millet. Protein and fat contents ranged between 10.283 ± 0.329</w:t>
      </w:r>
      <w:r w:rsidR="009A20AC" w:rsidRPr="00F57314">
        <w:rPr>
          <w:rFonts w:ascii="Arial" w:hAnsi="Arial" w:cs="Arial"/>
          <w:szCs w:val="22"/>
        </w:rPr>
        <w:t xml:space="preserve"> </w:t>
      </w:r>
      <w:r w:rsidRPr="00F57314">
        <w:rPr>
          <w:rFonts w:ascii="Arial" w:hAnsi="Arial" w:cs="Arial"/>
          <w:szCs w:val="22"/>
        </w:rPr>
        <w:t>% and 8.967 ± 0.042</w:t>
      </w:r>
      <w:r w:rsidR="009A20AC" w:rsidRPr="00F57314">
        <w:rPr>
          <w:rFonts w:ascii="Arial" w:hAnsi="Arial" w:cs="Arial"/>
          <w:szCs w:val="22"/>
        </w:rPr>
        <w:t xml:space="preserve"> </w:t>
      </w:r>
      <w:r w:rsidRPr="00F57314">
        <w:rPr>
          <w:rFonts w:ascii="Arial" w:hAnsi="Arial" w:cs="Arial"/>
          <w:szCs w:val="22"/>
        </w:rPr>
        <w:t>%, and 4.087 ± 0.070</w:t>
      </w:r>
      <w:r w:rsidR="009A20AC" w:rsidRPr="00F57314">
        <w:rPr>
          <w:rFonts w:ascii="Arial" w:hAnsi="Arial" w:cs="Arial"/>
          <w:szCs w:val="22"/>
        </w:rPr>
        <w:t xml:space="preserve"> </w:t>
      </w:r>
      <w:r w:rsidRPr="00F57314">
        <w:rPr>
          <w:rFonts w:ascii="Arial" w:hAnsi="Arial" w:cs="Arial"/>
          <w:szCs w:val="22"/>
        </w:rPr>
        <w:t>% and 3.140 ± 0.066</w:t>
      </w:r>
      <w:r w:rsidR="009A20AC" w:rsidRPr="00F57314">
        <w:rPr>
          <w:rFonts w:ascii="Arial" w:hAnsi="Arial" w:cs="Arial"/>
          <w:szCs w:val="22"/>
        </w:rPr>
        <w:t xml:space="preserve"> </w:t>
      </w:r>
      <w:r w:rsidRPr="00F57314">
        <w:rPr>
          <w:rFonts w:ascii="Arial" w:hAnsi="Arial" w:cs="Arial"/>
          <w:szCs w:val="22"/>
        </w:rPr>
        <w:t>%, respectively, for little millet and barnyard millet. Ash content was higher in barnyard millet (4.183 ± 0.040%) than in little millet (1.140 ± 0.080</w:t>
      </w:r>
      <w:r w:rsidR="00D15C82" w:rsidRPr="00F57314">
        <w:rPr>
          <w:rFonts w:ascii="Arial" w:hAnsi="Arial" w:cs="Arial"/>
          <w:szCs w:val="22"/>
        </w:rPr>
        <w:t xml:space="preserve"> </w:t>
      </w:r>
      <w:r w:rsidRPr="00F57314">
        <w:rPr>
          <w:rFonts w:ascii="Arial" w:hAnsi="Arial" w:cs="Arial"/>
          <w:szCs w:val="22"/>
        </w:rPr>
        <w:t>%). The carbohydrate content was 73.343 ± 0.264</w:t>
      </w:r>
      <w:r w:rsidR="00D15C82" w:rsidRPr="00F57314">
        <w:rPr>
          <w:rFonts w:ascii="Arial" w:hAnsi="Arial" w:cs="Arial"/>
          <w:szCs w:val="22"/>
        </w:rPr>
        <w:t xml:space="preserve"> </w:t>
      </w:r>
      <w:r w:rsidRPr="00F57314">
        <w:rPr>
          <w:rFonts w:ascii="Arial" w:hAnsi="Arial" w:cs="Arial"/>
          <w:szCs w:val="22"/>
        </w:rPr>
        <w:t>% in little millet and 71.350 ± 0.078% in barnyard millet. These findings provide valuable insights into the physical and chemical properties of these minor millets, highlighting their potential as nutritious food sources.</w:t>
      </w:r>
    </w:p>
    <w:p w14:paraId="360290D7" w14:textId="62DFC500" w:rsidR="00145EDF" w:rsidRPr="00526B0F" w:rsidRDefault="00145EDF" w:rsidP="00057903">
      <w:pPr>
        <w:spacing w:line="360" w:lineRule="auto"/>
        <w:jc w:val="both"/>
        <w:rPr>
          <w:rFonts w:ascii="Arial" w:eastAsia="Times New Roman" w:hAnsi="Arial" w:cs="Arial"/>
          <w:i/>
          <w:iCs/>
          <w:szCs w:val="22"/>
        </w:rPr>
      </w:pPr>
      <w:r w:rsidRPr="00526B0F">
        <w:rPr>
          <w:rFonts w:ascii="Arial" w:eastAsia="Times New Roman" w:hAnsi="Arial" w:cs="Arial"/>
          <w:b/>
          <w:bCs/>
          <w:i/>
          <w:iCs/>
          <w:szCs w:val="22"/>
        </w:rPr>
        <w:t xml:space="preserve">Keywords: </w:t>
      </w:r>
      <w:r w:rsidRPr="00526B0F">
        <w:rPr>
          <w:rFonts w:ascii="Arial" w:eastAsia="Times New Roman" w:hAnsi="Arial" w:cs="Arial"/>
          <w:i/>
          <w:iCs/>
          <w:szCs w:val="22"/>
        </w:rPr>
        <w:t xml:space="preserve">little millet, barnyard millet, structural properties, dimensional properties </w:t>
      </w:r>
    </w:p>
    <w:p w14:paraId="5CF75753" w14:textId="77777777" w:rsidR="00145EDF" w:rsidRPr="00F57314" w:rsidRDefault="00145EDF" w:rsidP="00145EDF">
      <w:pPr>
        <w:pStyle w:val="ListParagraph"/>
        <w:numPr>
          <w:ilvl w:val="0"/>
          <w:numId w:val="1"/>
        </w:numPr>
        <w:spacing w:line="360" w:lineRule="auto"/>
        <w:jc w:val="both"/>
        <w:rPr>
          <w:rFonts w:ascii="Arial" w:hAnsi="Arial" w:cs="Arial"/>
          <w:b/>
          <w:bCs/>
          <w:szCs w:val="22"/>
        </w:rPr>
      </w:pPr>
      <w:r w:rsidRPr="00F57314">
        <w:rPr>
          <w:rFonts w:ascii="Arial" w:hAnsi="Arial" w:cs="Arial"/>
          <w:b/>
          <w:bCs/>
          <w:szCs w:val="22"/>
        </w:rPr>
        <w:t>Introduction:</w:t>
      </w:r>
    </w:p>
    <w:p w14:paraId="17DDE97D" w14:textId="2DE41D0E" w:rsidR="00145EDF" w:rsidRPr="00526B0F" w:rsidRDefault="00145EDF" w:rsidP="00145EDF">
      <w:pPr>
        <w:spacing w:line="360" w:lineRule="auto"/>
        <w:jc w:val="both"/>
        <w:rPr>
          <w:rFonts w:ascii="Arial" w:hAnsi="Arial" w:cs="Arial"/>
          <w:sz w:val="20"/>
          <w:szCs w:val="20"/>
        </w:rPr>
      </w:pPr>
      <w:r w:rsidRPr="00526B0F">
        <w:rPr>
          <w:rFonts w:ascii="Arial" w:hAnsi="Arial" w:cs="Arial"/>
          <w:sz w:val="20"/>
          <w:szCs w:val="20"/>
        </w:rPr>
        <w:t xml:space="preserve">Cereal grains are an important source of dietary nutrients globally, and plant nutrients are used extensively in the food business (Amadou </w:t>
      </w:r>
      <w:r w:rsidRPr="00B278F5">
        <w:rPr>
          <w:rFonts w:ascii="Arial" w:hAnsi="Arial" w:cs="Arial"/>
          <w:i/>
          <w:iCs/>
          <w:sz w:val="20"/>
          <w:szCs w:val="20"/>
          <w:rPrChange w:id="0" w:author="Karthika Periyasamy" w:date="2025-12-09T22:41:00Z" w16du:dateUtc="2025-12-09T17:11:00Z">
            <w:rPr>
              <w:rFonts w:ascii="Arial" w:hAnsi="Arial" w:cs="Arial"/>
              <w:sz w:val="20"/>
              <w:szCs w:val="20"/>
            </w:rPr>
          </w:rPrChange>
        </w:rPr>
        <w:t>et al.,</w:t>
      </w:r>
      <w:r w:rsidRPr="00526B0F">
        <w:rPr>
          <w:rFonts w:ascii="Arial" w:hAnsi="Arial" w:cs="Arial"/>
          <w:sz w:val="20"/>
          <w:szCs w:val="20"/>
        </w:rPr>
        <w:t xml:space="preserve"> 2011; Izadi </w:t>
      </w:r>
      <w:commentRangeStart w:id="1"/>
      <w:r w:rsidRPr="00B278F5">
        <w:rPr>
          <w:rFonts w:ascii="Arial" w:hAnsi="Arial" w:cs="Arial"/>
          <w:i/>
          <w:iCs/>
          <w:sz w:val="20"/>
          <w:szCs w:val="20"/>
          <w:rPrChange w:id="2" w:author="Karthika Periyasamy" w:date="2025-12-09T22:41:00Z" w16du:dateUtc="2025-12-09T17:11:00Z">
            <w:rPr>
              <w:rFonts w:ascii="Arial" w:hAnsi="Arial" w:cs="Arial"/>
              <w:sz w:val="20"/>
              <w:szCs w:val="20"/>
            </w:rPr>
          </w:rPrChange>
        </w:rPr>
        <w:t>et al.,</w:t>
      </w:r>
      <w:r w:rsidRPr="00526B0F">
        <w:rPr>
          <w:rFonts w:ascii="Arial" w:hAnsi="Arial" w:cs="Arial"/>
          <w:sz w:val="20"/>
          <w:szCs w:val="20"/>
        </w:rPr>
        <w:t xml:space="preserve"> </w:t>
      </w:r>
      <w:commentRangeEnd w:id="1"/>
      <w:r w:rsidR="00B278F5">
        <w:rPr>
          <w:rStyle w:val="CommentReference"/>
        </w:rPr>
        <w:commentReference w:id="1"/>
      </w:r>
      <w:r w:rsidRPr="00526B0F">
        <w:rPr>
          <w:rFonts w:ascii="Arial" w:hAnsi="Arial" w:cs="Arial"/>
          <w:sz w:val="20"/>
          <w:szCs w:val="20"/>
        </w:rPr>
        <w:t xml:space="preserve">2012). Aside from the staples of maize, rice, and wheat, millets are another type of cereal. Millions of people rely on millets as a primary source of nutrition, particularly those who reside in hot, arid regions of the world. They are primarily planted in agriculturally marginalized areas where major grains do not produce significant yields (Adekunle, 2012). "Millet" comes from the Latin word "Milum," which means grain (Tripathi &amp; Vyas, 2023). Millets are a substantial food source in many underdeveloped nations because of their capacity </w:t>
      </w:r>
      <w:r w:rsidRPr="00526B0F">
        <w:rPr>
          <w:rFonts w:ascii="Arial" w:hAnsi="Arial" w:cs="Arial"/>
          <w:sz w:val="20"/>
          <w:szCs w:val="20"/>
        </w:rPr>
        <w:lastRenderedPageBreak/>
        <w:t>to grow despite severe climatic conditions like limited rainfall. On the other hand, millions of people in Asia and Africa rely mostly on millet for their protein and energy needs. Numerous nutritional and therapeutic benefits of millet have been documented (</w:t>
      </w:r>
      <w:proofErr w:type="spellStart"/>
      <w:r w:rsidRPr="00526B0F">
        <w:rPr>
          <w:rFonts w:ascii="Arial" w:hAnsi="Arial" w:cs="Arial"/>
          <w:sz w:val="20"/>
          <w:szCs w:val="20"/>
        </w:rPr>
        <w:t>Obilana</w:t>
      </w:r>
      <w:proofErr w:type="spellEnd"/>
      <w:r w:rsidRPr="00526B0F">
        <w:rPr>
          <w:rFonts w:ascii="Arial" w:hAnsi="Arial" w:cs="Arial"/>
          <w:sz w:val="20"/>
          <w:szCs w:val="20"/>
        </w:rPr>
        <w:t xml:space="preserve"> and </w:t>
      </w:r>
      <w:proofErr w:type="spellStart"/>
      <w:r w:rsidRPr="00526B0F">
        <w:rPr>
          <w:rFonts w:ascii="Arial" w:hAnsi="Arial" w:cs="Arial"/>
          <w:sz w:val="20"/>
          <w:szCs w:val="20"/>
        </w:rPr>
        <w:t>Manyasa</w:t>
      </w:r>
      <w:proofErr w:type="spellEnd"/>
      <w:r w:rsidRPr="00526B0F">
        <w:rPr>
          <w:rFonts w:ascii="Arial" w:hAnsi="Arial" w:cs="Arial"/>
          <w:sz w:val="20"/>
          <w:szCs w:val="20"/>
        </w:rPr>
        <w:t>, 2002; Yang et al., 2012). Millets are distinct from other cereals due to their high protein, dietary fibre, calcium, and polyphenol content (Devi et al., 201</w:t>
      </w:r>
      <w:r w:rsidR="00A95D01" w:rsidRPr="00526B0F">
        <w:rPr>
          <w:rFonts w:ascii="Arial" w:hAnsi="Arial" w:cs="Arial"/>
          <w:sz w:val="20"/>
          <w:szCs w:val="20"/>
        </w:rPr>
        <w:t>4</w:t>
      </w:r>
      <w:r w:rsidRPr="00526B0F">
        <w:rPr>
          <w:rFonts w:ascii="Arial" w:hAnsi="Arial" w:cs="Arial"/>
          <w:sz w:val="20"/>
          <w:szCs w:val="20"/>
        </w:rPr>
        <w:t xml:space="preserve">).  In terms of global agricultural production, millets </w:t>
      </w:r>
      <w:proofErr w:type="gramStart"/>
      <w:r w:rsidRPr="00526B0F">
        <w:rPr>
          <w:rFonts w:ascii="Arial" w:hAnsi="Arial" w:cs="Arial"/>
          <w:sz w:val="20"/>
          <w:szCs w:val="20"/>
        </w:rPr>
        <w:t>ranks</w:t>
      </w:r>
      <w:proofErr w:type="gramEnd"/>
      <w:r w:rsidRPr="00526B0F">
        <w:rPr>
          <w:rFonts w:ascii="Arial" w:hAnsi="Arial" w:cs="Arial"/>
          <w:sz w:val="20"/>
          <w:szCs w:val="20"/>
        </w:rPr>
        <w:t xml:space="preserve"> as the sixth cereal crop. Millets include Korra (foxtail millet), Ragi (finger millet), Sama (little millet), Jowar (sorghum), and </w:t>
      </w:r>
      <w:proofErr w:type="spellStart"/>
      <w:r w:rsidRPr="00526B0F">
        <w:rPr>
          <w:rFonts w:ascii="Arial" w:hAnsi="Arial" w:cs="Arial"/>
          <w:sz w:val="20"/>
          <w:szCs w:val="20"/>
        </w:rPr>
        <w:t>Variga</w:t>
      </w:r>
      <w:proofErr w:type="spellEnd"/>
      <w:r w:rsidRPr="00526B0F">
        <w:rPr>
          <w:rFonts w:ascii="Arial" w:hAnsi="Arial" w:cs="Arial"/>
          <w:sz w:val="20"/>
          <w:szCs w:val="20"/>
        </w:rPr>
        <w:t xml:space="preserve"> (</w:t>
      </w:r>
      <w:proofErr w:type="spellStart"/>
      <w:r w:rsidRPr="00526B0F">
        <w:rPr>
          <w:rFonts w:ascii="Arial" w:hAnsi="Arial" w:cs="Arial"/>
          <w:sz w:val="20"/>
          <w:szCs w:val="20"/>
        </w:rPr>
        <w:t>proso</w:t>
      </w:r>
      <w:proofErr w:type="spellEnd"/>
      <w:r w:rsidRPr="00526B0F">
        <w:rPr>
          <w:rFonts w:ascii="Arial" w:hAnsi="Arial" w:cs="Arial"/>
          <w:sz w:val="20"/>
          <w:szCs w:val="20"/>
        </w:rPr>
        <w:t xml:space="preserve"> millet). Ragi has the least amount of fat, whereas Bajra and Sama have the most. In rural regions, millets are commonly used as food. When compared to the nutritional content of commonly used rice and wheat, the nutritional content of all the millets is three to five times higher. While rice and wheat offer food security, millets offer a variety of other security benefits, such as livelihood, food, health, nutrition, and animal feed, making them a source of agricultural security. Millets have health and nutritional advantages, and they can help manage conditions including diabetes mellitus, hyperlipidemia, and more (Veena, 2003). </w:t>
      </w:r>
    </w:p>
    <w:p w14:paraId="37532E30" w14:textId="37202F02" w:rsidR="00145EDF" w:rsidRPr="00526B0F" w:rsidRDefault="00145EDF" w:rsidP="00145EDF">
      <w:pPr>
        <w:spacing w:line="360" w:lineRule="auto"/>
        <w:jc w:val="both"/>
        <w:rPr>
          <w:rFonts w:ascii="Arial" w:hAnsi="Arial" w:cs="Arial"/>
          <w:sz w:val="20"/>
          <w:szCs w:val="20"/>
        </w:rPr>
      </w:pPr>
      <w:r w:rsidRPr="00526B0F">
        <w:rPr>
          <w:rFonts w:ascii="Arial" w:hAnsi="Arial" w:cs="Arial"/>
          <w:sz w:val="20"/>
          <w:szCs w:val="20"/>
        </w:rPr>
        <w:t>Notwithstanding its diminutive size, little millet has a significant nutritional content. Among other minerals, it is a good source of calcium, iron, zinc, potassium, and B vitamins. Additionally, it gives the body the kind of fats that are necessary for weight loss. Another benefit is its high fiber content, which makes it a perfect substitute for rice in pongal or even kheer (Reddy</w:t>
      </w:r>
      <w:r w:rsidR="001E408C" w:rsidRPr="00526B0F">
        <w:rPr>
          <w:rFonts w:ascii="Arial" w:hAnsi="Arial" w:cs="Arial"/>
          <w:sz w:val="20"/>
          <w:szCs w:val="20"/>
        </w:rPr>
        <w:t>,</w:t>
      </w:r>
      <w:r w:rsidRPr="00526B0F">
        <w:rPr>
          <w:rFonts w:ascii="Arial" w:hAnsi="Arial" w:cs="Arial"/>
          <w:sz w:val="20"/>
          <w:szCs w:val="20"/>
        </w:rPr>
        <w:t xml:space="preserve"> 2017). With a low glycemic index of 64 and no gluten, </w:t>
      </w:r>
      <w:r w:rsidRPr="00526B0F">
        <w:rPr>
          <w:rFonts w:ascii="Arial" w:hAnsi="Arial" w:cs="Arial"/>
          <w:i/>
          <w:iCs/>
          <w:sz w:val="20"/>
          <w:szCs w:val="20"/>
        </w:rPr>
        <w:t>Panicum Sumatrense</w:t>
      </w:r>
      <w:r w:rsidRPr="00526B0F">
        <w:rPr>
          <w:rFonts w:ascii="Arial" w:hAnsi="Arial" w:cs="Arial"/>
          <w:sz w:val="20"/>
          <w:szCs w:val="20"/>
        </w:rPr>
        <w:t xml:space="preserve">, one of the minor underused grains, is perfect for people of all ages (Anitha et al., 2021). Little millet is a cheap source of energy (341 kcal/100g), protein (7.7 g/100g), crude fiber (7.6 g/100g), and minerals (1.5 g/100g), with iron (9.30 mg/100g) being more abundant than uncooked rice (0.7 mg/100 mg), according to (Gopalan et al. 2010). Additional nutrients such as niacin, pantothenic acid, folic acid, calcium, iron, potassium, phosphorus, magnesium, and zinc are present in little millet in a fair proportion. The low glycaemic index of little millet is attributed to its high dietary fibre content, and a recent study on the grain revealed that it has a </w:t>
      </w:r>
      <w:proofErr w:type="spellStart"/>
      <w:r w:rsidRPr="00526B0F">
        <w:rPr>
          <w:rFonts w:ascii="Arial" w:hAnsi="Arial" w:cs="Arial"/>
          <w:sz w:val="20"/>
          <w:szCs w:val="20"/>
        </w:rPr>
        <w:t>hypoglycemic</w:t>
      </w:r>
      <w:proofErr w:type="spellEnd"/>
      <w:r w:rsidRPr="00526B0F">
        <w:rPr>
          <w:rFonts w:ascii="Arial" w:hAnsi="Arial" w:cs="Arial"/>
          <w:sz w:val="20"/>
          <w:szCs w:val="20"/>
        </w:rPr>
        <w:t xml:space="preserve"> impact as a result of its greater dietary fibre content. A minor cereal, little millet (</w:t>
      </w:r>
      <w:r w:rsidRPr="00526B0F">
        <w:rPr>
          <w:rFonts w:ascii="Arial" w:hAnsi="Arial" w:cs="Arial"/>
          <w:i/>
          <w:iCs/>
          <w:sz w:val="20"/>
          <w:szCs w:val="20"/>
        </w:rPr>
        <w:t>Panicum sumatrense</w:t>
      </w:r>
      <w:r w:rsidRPr="00526B0F">
        <w:rPr>
          <w:rFonts w:ascii="Arial" w:hAnsi="Arial" w:cs="Arial"/>
          <w:sz w:val="20"/>
          <w:szCs w:val="20"/>
        </w:rPr>
        <w:t xml:space="preserve">) is known for a number of health advantages since it contains bioactive nutraceuticals. It contained fibre, which helps to reduce body fat, and it is also an abundant source of phosphorus. The </w:t>
      </w:r>
      <w:proofErr w:type="spellStart"/>
      <w:r w:rsidRPr="00526B0F">
        <w:rPr>
          <w:rFonts w:ascii="Arial" w:hAnsi="Arial" w:cs="Arial"/>
          <w:sz w:val="20"/>
          <w:szCs w:val="20"/>
        </w:rPr>
        <w:t>samai's</w:t>
      </w:r>
      <w:proofErr w:type="spellEnd"/>
      <w:r w:rsidRPr="00526B0F">
        <w:rPr>
          <w:rFonts w:ascii="Arial" w:hAnsi="Arial" w:cs="Arial"/>
          <w:sz w:val="20"/>
          <w:szCs w:val="20"/>
        </w:rPr>
        <w:t xml:space="preserve"> low calorie and antioxidant content aids in maintaining a healthy weight and diet, which can aid in weight loss </w:t>
      </w:r>
      <w:r w:rsidR="00E4428C" w:rsidRPr="00526B0F">
        <w:rPr>
          <w:rFonts w:ascii="Arial" w:hAnsi="Arial" w:cs="Arial"/>
          <w:sz w:val="20"/>
          <w:szCs w:val="20"/>
        </w:rPr>
        <w:t>(Indirani et al., 2021)</w:t>
      </w:r>
      <w:r w:rsidRPr="00526B0F">
        <w:rPr>
          <w:rFonts w:ascii="Arial" w:hAnsi="Arial" w:cs="Arial"/>
          <w:sz w:val="20"/>
          <w:szCs w:val="20"/>
        </w:rPr>
        <w:t>.</w:t>
      </w:r>
    </w:p>
    <w:p w14:paraId="0D1FAFBF" w14:textId="34F786D6" w:rsidR="00145EDF" w:rsidRPr="00526B0F" w:rsidRDefault="00145EDF" w:rsidP="00145EDF">
      <w:pPr>
        <w:spacing w:line="360" w:lineRule="auto"/>
        <w:jc w:val="both"/>
        <w:rPr>
          <w:rFonts w:ascii="Arial" w:hAnsi="Arial" w:cs="Arial"/>
          <w:sz w:val="20"/>
          <w:szCs w:val="20"/>
        </w:rPr>
      </w:pPr>
      <w:r w:rsidRPr="00526B0F">
        <w:rPr>
          <w:rFonts w:ascii="Arial" w:hAnsi="Arial" w:cs="Arial"/>
          <w:sz w:val="20"/>
          <w:szCs w:val="20"/>
        </w:rPr>
        <w:t>One of the most important minor millet crops in Asia is barnyard millet (</w:t>
      </w:r>
      <w:r w:rsidRPr="00526B0F">
        <w:rPr>
          <w:rFonts w:ascii="Arial" w:hAnsi="Arial" w:cs="Arial"/>
          <w:i/>
          <w:iCs/>
          <w:sz w:val="20"/>
          <w:szCs w:val="20"/>
        </w:rPr>
        <w:t>Echinochloa spp.</w:t>
      </w:r>
      <w:r w:rsidRPr="00526B0F">
        <w:rPr>
          <w:rFonts w:ascii="Arial" w:hAnsi="Arial" w:cs="Arial"/>
          <w:sz w:val="20"/>
          <w:szCs w:val="20"/>
        </w:rPr>
        <w:t xml:space="preserve">) </w:t>
      </w:r>
      <w:r w:rsidR="00E4428C" w:rsidRPr="00526B0F">
        <w:rPr>
          <w:rFonts w:ascii="Arial" w:hAnsi="Arial" w:cs="Arial"/>
          <w:sz w:val="20"/>
          <w:szCs w:val="20"/>
        </w:rPr>
        <w:t>(Renganathan et al., 2020)</w:t>
      </w:r>
      <w:r w:rsidRPr="00526B0F">
        <w:rPr>
          <w:rFonts w:ascii="Arial" w:hAnsi="Arial" w:cs="Arial"/>
          <w:sz w:val="20"/>
          <w:szCs w:val="20"/>
        </w:rPr>
        <w:t xml:space="preserve">. The grain has a glycemic index between 50 - 65, even though it is gluten-free </w:t>
      </w:r>
      <w:r w:rsidR="00E4428C" w:rsidRPr="00526B0F">
        <w:rPr>
          <w:rFonts w:ascii="Arial" w:hAnsi="Arial" w:cs="Arial"/>
          <w:sz w:val="20"/>
          <w:szCs w:val="20"/>
        </w:rPr>
        <w:t>(Agrawal et al., 2023)</w:t>
      </w:r>
      <w:r w:rsidRPr="00526B0F">
        <w:rPr>
          <w:rFonts w:ascii="Arial" w:hAnsi="Arial" w:cs="Arial"/>
          <w:sz w:val="20"/>
          <w:szCs w:val="20"/>
        </w:rPr>
        <w:t xml:space="preserve">. </w:t>
      </w:r>
      <w:r w:rsidRPr="00526B0F">
        <w:rPr>
          <w:rFonts w:ascii="Arial" w:hAnsi="Arial" w:cs="Arial"/>
          <w:i/>
          <w:iCs/>
          <w:sz w:val="20"/>
          <w:szCs w:val="20"/>
        </w:rPr>
        <w:t>Echinochloa esculenta</w:t>
      </w:r>
      <w:r w:rsidRPr="00526B0F">
        <w:rPr>
          <w:rFonts w:ascii="Arial" w:hAnsi="Arial" w:cs="Arial"/>
          <w:sz w:val="20"/>
          <w:szCs w:val="20"/>
        </w:rPr>
        <w:t xml:space="preserve">, a Japanese-based barnyard millet, and </w:t>
      </w:r>
      <w:r w:rsidRPr="00526B0F">
        <w:rPr>
          <w:rFonts w:ascii="Arial" w:hAnsi="Arial" w:cs="Arial"/>
          <w:i/>
          <w:iCs/>
          <w:sz w:val="20"/>
          <w:szCs w:val="20"/>
        </w:rPr>
        <w:t>Echinochloa frumentacea</w:t>
      </w:r>
      <w:r w:rsidRPr="00526B0F">
        <w:rPr>
          <w:rFonts w:ascii="Arial" w:hAnsi="Arial" w:cs="Arial"/>
          <w:sz w:val="20"/>
          <w:szCs w:val="20"/>
        </w:rPr>
        <w:t xml:space="preserve">, an Indian-based barnyard millet, are the two most widely grown and well-liked species among the many different wild and cultivated species of </w:t>
      </w:r>
      <w:r w:rsidRPr="00526B0F">
        <w:rPr>
          <w:rFonts w:ascii="Arial" w:hAnsi="Arial" w:cs="Arial"/>
          <w:i/>
          <w:iCs/>
          <w:sz w:val="20"/>
          <w:szCs w:val="20"/>
        </w:rPr>
        <w:t>Echinochloa</w:t>
      </w:r>
      <w:r w:rsidRPr="00526B0F">
        <w:rPr>
          <w:rFonts w:ascii="Arial" w:hAnsi="Arial" w:cs="Arial"/>
          <w:sz w:val="20"/>
          <w:szCs w:val="20"/>
        </w:rPr>
        <w:t xml:space="preserve">. Depending on the cultivar, growing environment, and processing techniques, barnyard millet's precise nutritional makeup can change. All things considered, however, barnyard millet is regarded as a very nutrient-dense cereal grain with a balanced nutritional profile. Barnyard millet has a higher nutritional value than major and minor millets. Dietary fibre, iron, zinc, calcium, protein, magnesium, fat, vitamins, and some important amino acids are all abundant in barnyard millet grains </w:t>
      </w:r>
      <w:r w:rsidR="00E4428C" w:rsidRPr="00526B0F">
        <w:rPr>
          <w:rFonts w:ascii="Arial" w:hAnsi="Arial" w:cs="Arial"/>
          <w:sz w:val="20"/>
          <w:szCs w:val="20"/>
        </w:rPr>
        <w:t>(Singh et al., 2010; Saleh et al., 2013; Chandel et al., 2014)</w:t>
      </w:r>
      <w:r w:rsidRPr="00526B0F">
        <w:rPr>
          <w:rFonts w:ascii="Arial" w:hAnsi="Arial" w:cs="Arial"/>
          <w:sz w:val="20"/>
          <w:szCs w:val="20"/>
        </w:rPr>
        <w:t xml:space="preserve">. By </w:t>
      </w:r>
      <w:r w:rsidRPr="00526B0F">
        <w:rPr>
          <w:rFonts w:ascii="Arial" w:hAnsi="Arial" w:cs="Arial"/>
          <w:sz w:val="20"/>
          <w:szCs w:val="20"/>
        </w:rPr>
        <w:lastRenderedPageBreak/>
        <w:t xml:space="preserve">improving blood lipid profiles, lowering cholesterol levels, and reducing oxidative stress, barnyard millet's dietary fiber, plant-based proteins, and antioxidants may help lessen the risk of cardiovascular illnesses </w:t>
      </w:r>
      <w:r w:rsidR="00E4428C" w:rsidRPr="00526B0F">
        <w:rPr>
          <w:rFonts w:ascii="Arial" w:hAnsi="Arial" w:cs="Arial"/>
          <w:sz w:val="20"/>
          <w:szCs w:val="20"/>
        </w:rPr>
        <w:t>(Chandrasekara &amp; Shahidi, 2011; Pathak et al., 2019)</w:t>
      </w:r>
      <w:r w:rsidRPr="00526B0F">
        <w:rPr>
          <w:rFonts w:ascii="Arial" w:hAnsi="Arial" w:cs="Arial"/>
          <w:sz w:val="20"/>
          <w:szCs w:val="20"/>
        </w:rPr>
        <w:t>.</w:t>
      </w:r>
    </w:p>
    <w:p w14:paraId="13A5F0BB" w14:textId="07914CFC" w:rsidR="00145EDF" w:rsidRPr="00526B0F" w:rsidRDefault="00145EDF" w:rsidP="00145EDF">
      <w:pPr>
        <w:spacing w:line="360" w:lineRule="auto"/>
        <w:jc w:val="both"/>
        <w:rPr>
          <w:rFonts w:ascii="Arial" w:hAnsi="Arial" w:cs="Arial"/>
          <w:sz w:val="20"/>
          <w:szCs w:val="20"/>
        </w:rPr>
      </w:pPr>
      <w:r w:rsidRPr="00526B0F">
        <w:rPr>
          <w:rFonts w:ascii="Arial" w:hAnsi="Arial" w:cs="Arial"/>
          <w:sz w:val="20"/>
          <w:szCs w:val="20"/>
        </w:rPr>
        <w:t xml:space="preserve">Cereal grains' physical parameters include moisture content, 1000 sample weight, bulk density, actual density, porosity, aspect ratio, sample volume, surface area, and perpendicular dimensions </w:t>
      </w:r>
      <w:r w:rsidR="00E4428C" w:rsidRPr="00526B0F">
        <w:rPr>
          <w:rFonts w:ascii="Arial" w:hAnsi="Arial" w:cs="Arial"/>
          <w:sz w:val="20"/>
          <w:szCs w:val="20"/>
        </w:rPr>
        <w:t>(</w:t>
      </w:r>
      <w:proofErr w:type="spellStart"/>
      <w:r w:rsidR="00E4428C" w:rsidRPr="00526B0F">
        <w:rPr>
          <w:rFonts w:ascii="Arial" w:hAnsi="Arial" w:cs="Arial"/>
          <w:sz w:val="20"/>
          <w:szCs w:val="20"/>
        </w:rPr>
        <w:t>Vanrnamkhasti</w:t>
      </w:r>
      <w:proofErr w:type="spellEnd"/>
      <w:r w:rsidR="00E4428C" w:rsidRPr="00526B0F">
        <w:rPr>
          <w:rFonts w:ascii="Arial" w:hAnsi="Arial" w:cs="Arial"/>
          <w:sz w:val="20"/>
          <w:szCs w:val="20"/>
        </w:rPr>
        <w:t xml:space="preserve"> et al. 2008)</w:t>
      </w:r>
      <w:r w:rsidRPr="00526B0F">
        <w:rPr>
          <w:rFonts w:ascii="Arial" w:hAnsi="Arial" w:cs="Arial"/>
          <w:sz w:val="20"/>
          <w:szCs w:val="20"/>
        </w:rPr>
        <w:t xml:space="preserve">. Studies has compared the physical properties of cereal grains like wheat, rough rice, and maize to millets like finger millet, foxtail millet, little millet, kodo millet, common millet, and barnyard millet </w:t>
      </w:r>
      <w:r w:rsidR="00E4428C" w:rsidRPr="00526B0F">
        <w:rPr>
          <w:rFonts w:ascii="Arial" w:hAnsi="Arial" w:cs="Arial"/>
          <w:sz w:val="20"/>
          <w:szCs w:val="20"/>
        </w:rPr>
        <w:t xml:space="preserve">(Sangamithra et al., 2016; </w:t>
      </w:r>
      <w:proofErr w:type="spellStart"/>
      <w:r w:rsidR="00E4428C" w:rsidRPr="00526B0F">
        <w:rPr>
          <w:rFonts w:ascii="Arial" w:hAnsi="Arial" w:cs="Arial"/>
          <w:sz w:val="20"/>
          <w:szCs w:val="20"/>
        </w:rPr>
        <w:t>Vanrnamkhasti</w:t>
      </w:r>
      <w:proofErr w:type="spellEnd"/>
      <w:r w:rsidR="00E4428C" w:rsidRPr="00526B0F">
        <w:rPr>
          <w:rFonts w:ascii="Arial" w:hAnsi="Arial" w:cs="Arial"/>
          <w:sz w:val="20"/>
          <w:szCs w:val="20"/>
        </w:rPr>
        <w:t xml:space="preserve"> et al., 2008; Balasubramanian &amp; Viswanathan, 2010)</w:t>
      </w:r>
      <w:r w:rsidRPr="00526B0F">
        <w:rPr>
          <w:rFonts w:ascii="Arial" w:hAnsi="Arial" w:cs="Arial"/>
          <w:sz w:val="20"/>
          <w:szCs w:val="20"/>
        </w:rPr>
        <w:t xml:space="preserve">. Research has been undertaken on legumes including cowpea seeds, soybeans, and </w:t>
      </w:r>
      <w:proofErr w:type="spellStart"/>
      <w:r w:rsidRPr="00526B0F">
        <w:rPr>
          <w:rFonts w:ascii="Arial" w:hAnsi="Arial" w:cs="Arial"/>
          <w:sz w:val="20"/>
          <w:szCs w:val="20"/>
        </w:rPr>
        <w:t>bambara</w:t>
      </w:r>
      <w:proofErr w:type="spellEnd"/>
      <w:r w:rsidRPr="00526B0F">
        <w:rPr>
          <w:rFonts w:ascii="Arial" w:hAnsi="Arial" w:cs="Arial"/>
          <w:sz w:val="20"/>
          <w:szCs w:val="20"/>
        </w:rPr>
        <w:t xml:space="preserve"> groundnuts </w:t>
      </w:r>
      <w:r w:rsidR="00E4428C" w:rsidRPr="00526B0F">
        <w:rPr>
          <w:rFonts w:ascii="Arial" w:hAnsi="Arial" w:cs="Arial"/>
          <w:sz w:val="20"/>
          <w:szCs w:val="20"/>
        </w:rPr>
        <w:t xml:space="preserve">(Bhattacharya &amp; Malleshi, 2012; </w:t>
      </w:r>
      <w:proofErr w:type="spellStart"/>
      <w:r w:rsidR="00E4428C" w:rsidRPr="00526B0F">
        <w:rPr>
          <w:rFonts w:ascii="Arial" w:hAnsi="Arial" w:cs="Arial"/>
          <w:sz w:val="20"/>
          <w:szCs w:val="20"/>
        </w:rPr>
        <w:t>Jideani</w:t>
      </w:r>
      <w:proofErr w:type="spellEnd"/>
      <w:r w:rsidR="00E4428C" w:rsidRPr="00526B0F">
        <w:rPr>
          <w:rFonts w:ascii="Arial" w:hAnsi="Arial" w:cs="Arial"/>
          <w:sz w:val="20"/>
          <w:szCs w:val="20"/>
        </w:rPr>
        <w:t xml:space="preserve"> et al., 1996)</w:t>
      </w:r>
      <w:r w:rsidRPr="00526B0F">
        <w:rPr>
          <w:rFonts w:ascii="Arial" w:hAnsi="Arial" w:cs="Arial"/>
          <w:sz w:val="20"/>
          <w:szCs w:val="20"/>
        </w:rPr>
        <w:t xml:space="preserve">.  Limited research has been conducted on little and barnyard millet's physical qualities in Asian nations, including India. Understanding the physical and functional features will help create innovative products </w:t>
      </w:r>
      <w:r w:rsidR="00E4428C" w:rsidRPr="00526B0F">
        <w:rPr>
          <w:rFonts w:ascii="Arial" w:hAnsi="Arial" w:cs="Arial"/>
          <w:sz w:val="20"/>
          <w:szCs w:val="20"/>
        </w:rPr>
        <w:t>(</w:t>
      </w:r>
      <w:proofErr w:type="spellStart"/>
      <w:r w:rsidR="00E4428C" w:rsidRPr="00526B0F">
        <w:rPr>
          <w:rFonts w:ascii="Arial" w:hAnsi="Arial" w:cs="Arial"/>
          <w:sz w:val="20"/>
          <w:szCs w:val="20"/>
        </w:rPr>
        <w:t>Faleye</w:t>
      </w:r>
      <w:proofErr w:type="spellEnd"/>
      <w:r w:rsidR="00E4428C" w:rsidRPr="00526B0F">
        <w:rPr>
          <w:rFonts w:ascii="Arial" w:hAnsi="Arial" w:cs="Arial"/>
          <w:sz w:val="20"/>
          <w:szCs w:val="20"/>
        </w:rPr>
        <w:t>, Atere, Oladipo, &amp; Agaja, 2013)</w:t>
      </w:r>
      <w:r w:rsidRPr="00526B0F">
        <w:rPr>
          <w:rFonts w:ascii="Arial" w:hAnsi="Arial" w:cs="Arial"/>
          <w:sz w:val="20"/>
          <w:szCs w:val="20"/>
        </w:rPr>
        <w:t xml:space="preserve">. The large-scale production and commercial exploitation of crops necessitates studying their physical and mechanical properties, which are crucial for designing equipment for handling, cleaning, storage, and processing </w:t>
      </w:r>
      <w:r w:rsidR="00E4428C" w:rsidRPr="00526B0F">
        <w:rPr>
          <w:rFonts w:ascii="Arial" w:hAnsi="Arial" w:cs="Arial"/>
          <w:sz w:val="20"/>
          <w:szCs w:val="20"/>
        </w:rPr>
        <w:t>(Reddy et al., 2019)</w:t>
      </w:r>
      <w:r w:rsidRPr="00526B0F">
        <w:rPr>
          <w:rFonts w:ascii="Arial" w:hAnsi="Arial" w:cs="Arial"/>
          <w:sz w:val="20"/>
          <w:szCs w:val="20"/>
        </w:rPr>
        <w:t xml:space="preserve">. Cereal grains' functional qualities represent the interplay between their structure, molecular components, composition, and physicochemical properties with dietary components. Food's functional qualities include its physical, chemical, and organoleptic properties. Food's functional qualities include viscosity, foaming capacity, water absorption, dispersibility, bulk density, oil absorption, and swelling capacity </w:t>
      </w:r>
      <w:r w:rsidR="00E4428C" w:rsidRPr="00526B0F">
        <w:rPr>
          <w:rFonts w:ascii="Arial" w:hAnsi="Arial" w:cs="Arial"/>
          <w:sz w:val="20"/>
          <w:szCs w:val="20"/>
        </w:rPr>
        <w:t>(Kumari &amp; Raghuvanshi, 2015)</w:t>
      </w:r>
      <w:r w:rsidRPr="00526B0F">
        <w:rPr>
          <w:rFonts w:ascii="Arial" w:hAnsi="Arial" w:cs="Arial"/>
          <w:sz w:val="20"/>
          <w:szCs w:val="20"/>
        </w:rPr>
        <w:t xml:space="preserve">. </w:t>
      </w:r>
      <w:commentRangeStart w:id="3"/>
      <w:r w:rsidRPr="00526B0F">
        <w:rPr>
          <w:rFonts w:ascii="Arial" w:hAnsi="Arial" w:cs="Arial"/>
          <w:sz w:val="20"/>
          <w:szCs w:val="20"/>
        </w:rPr>
        <w:t>This</w:t>
      </w:r>
      <w:commentRangeEnd w:id="3"/>
      <w:r w:rsidR="00B278F5">
        <w:rPr>
          <w:rStyle w:val="CommentReference"/>
        </w:rPr>
        <w:commentReference w:id="3"/>
      </w:r>
      <w:r w:rsidRPr="00526B0F">
        <w:rPr>
          <w:rFonts w:ascii="Arial" w:hAnsi="Arial" w:cs="Arial"/>
          <w:sz w:val="20"/>
          <w:szCs w:val="20"/>
        </w:rPr>
        <w:t xml:space="preserve"> study aimed to assess the grains structural and chemical properties of little millet and barnyard millet.</w:t>
      </w:r>
    </w:p>
    <w:p w14:paraId="053B696C" w14:textId="26FC613C" w:rsidR="00E4428C" w:rsidRPr="00F57314" w:rsidRDefault="00526B0F" w:rsidP="00E4428C">
      <w:pPr>
        <w:pStyle w:val="ListParagraph"/>
        <w:numPr>
          <w:ilvl w:val="0"/>
          <w:numId w:val="1"/>
        </w:numPr>
        <w:spacing w:line="360" w:lineRule="auto"/>
        <w:jc w:val="both"/>
        <w:rPr>
          <w:rFonts w:ascii="Arial" w:hAnsi="Arial" w:cs="Arial"/>
          <w:b/>
          <w:bCs/>
          <w:szCs w:val="22"/>
        </w:rPr>
      </w:pPr>
      <w:r>
        <w:rPr>
          <w:rFonts w:ascii="Arial" w:hAnsi="Arial" w:cs="Arial"/>
          <w:b/>
          <w:bCs/>
          <w:szCs w:val="22"/>
        </w:rPr>
        <w:t>Materials</w:t>
      </w:r>
      <w:r w:rsidR="00E4428C" w:rsidRPr="00F57314">
        <w:rPr>
          <w:rFonts w:ascii="Arial" w:hAnsi="Arial" w:cs="Arial"/>
          <w:b/>
          <w:bCs/>
          <w:szCs w:val="22"/>
        </w:rPr>
        <w:t xml:space="preserve"> and Method:</w:t>
      </w:r>
    </w:p>
    <w:p w14:paraId="53480E3A" w14:textId="77777777" w:rsidR="00E4428C" w:rsidRPr="00F57314" w:rsidRDefault="00E4428C" w:rsidP="00E4428C">
      <w:pPr>
        <w:pStyle w:val="ListParagraph"/>
        <w:numPr>
          <w:ilvl w:val="1"/>
          <w:numId w:val="1"/>
        </w:numPr>
        <w:spacing w:line="360" w:lineRule="auto"/>
        <w:jc w:val="both"/>
        <w:rPr>
          <w:rFonts w:ascii="Arial" w:hAnsi="Arial" w:cs="Arial"/>
          <w:b/>
          <w:bCs/>
          <w:szCs w:val="22"/>
        </w:rPr>
      </w:pPr>
      <w:r w:rsidRPr="00F57314">
        <w:rPr>
          <w:rFonts w:ascii="Arial" w:hAnsi="Arial" w:cs="Arial"/>
          <w:b/>
          <w:bCs/>
          <w:szCs w:val="22"/>
        </w:rPr>
        <w:t>Materials</w:t>
      </w:r>
    </w:p>
    <w:p w14:paraId="0E56B78B" w14:textId="77777777" w:rsidR="00E4428C" w:rsidRPr="00526B0F" w:rsidRDefault="00E4428C" w:rsidP="00E4428C">
      <w:pPr>
        <w:pStyle w:val="BodyText"/>
        <w:spacing w:before="162" w:line="360" w:lineRule="auto"/>
        <w:ind w:right="-46"/>
        <w:jc w:val="both"/>
        <w:rPr>
          <w:rFonts w:ascii="Arial" w:hAnsi="Arial" w:cs="Arial"/>
          <w:sz w:val="20"/>
          <w:szCs w:val="20"/>
          <w:lang w:eastAsia="en-IN"/>
        </w:rPr>
      </w:pPr>
      <w:r w:rsidRPr="00526B0F">
        <w:rPr>
          <w:rFonts w:ascii="Arial" w:hAnsi="Arial" w:cs="Arial"/>
          <w:sz w:val="20"/>
          <w:szCs w:val="20"/>
        </w:rPr>
        <w:t xml:space="preserve">Little millet and barnyard millet were purchased from the Subhash Ganj market of Jhansi, Uttar Pradesh, India. Digital vernier </w:t>
      </w:r>
      <w:proofErr w:type="spellStart"/>
      <w:r w:rsidRPr="00526B0F">
        <w:rPr>
          <w:rFonts w:ascii="Arial" w:hAnsi="Arial" w:cs="Arial"/>
          <w:sz w:val="20"/>
          <w:szCs w:val="20"/>
        </w:rPr>
        <w:t>calliper</w:t>
      </w:r>
      <w:proofErr w:type="spellEnd"/>
      <w:r w:rsidRPr="00526B0F">
        <w:rPr>
          <w:rFonts w:ascii="Arial" w:hAnsi="Arial" w:cs="Arial"/>
          <w:sz w:val="20"/>
          <w:szCs w:val="20"/>
        </w:rPr>
        <w:t xml:space="preserve"> of brand </w:t>
      </w:r>
      <w:commentRangeStart w:id="4"/>
      <w:proofErr w:type="spellStart"/>
      <w:r w:rsidRPr="00526B0F">
        <w:rPr>
          <w:rFonts w:ascii="Arial" w:hAnsi="Arial" w:cs="Arial"/>
          <w:sz w:val="20"/>
          <w:szCs w:val="20"/>
        </w:rPr>
        <w:t>tHemiSto</w:t>
      </w:r>
      <w:commentRangeEnd w:id="4"/>
      <w:proofErr w:type="spellEnd"/>
      <w:r w:rsidR="00B278F5">
        <w:rPr>
          <w:rStyle w:val="CommentReference"/>
          <w:rFonts w:asciiTheme="minorHAnsi" w:eastAsiaTheme="minorHAnsi" w:hAnsiTheme="minorHAnsi" w:cstheme="minorBidi"/>
          <w:kern w:val="2"/>
          <w:lang w:val="en-IN" w:bidi="th-TH"/>
          <w14:ligatures w14:val="standardContextual"/>
        </w:rPr>
        <w:commentReference w:id="4"/>
      </w:r>
      <w:r w:rsidRPr="00526B0F">
        <w:rPr>
          <w:rFonts w:ascii="Arial" w:hAnsi="Arial" w:cs="Arial"/>
          <w:sz w:val="20"/>
          <w:szCs w:val="20"/>
        </w:rPr>
        <w:t xml:space="preserve">, model name TH-M61 of resolution 0.01mm, range 0-150mm, accuracy .01mm was purchased from Flipkart, an E-commerce shopping platform. Weighing balance, measuring cylinder 100 mL and 500 mL were issued from the Institute of Food Technology, </w:t>
      </w:r>
      <w:r w:rsidRPr="00526B0F">
        <w:rPr>
          <w:rFonts w:ascii="Arial" w:hAnsi="Arial" w:cs="Arial"/>
          <w:sz w:val="20"/>
          <w:szCs w:val="20"/>
          <w:lang w:eastAsia="en-IN"/>
        </w:rPr>
        <w:t xml:space="preserve">Bundelkhand University, Kanpur Road, Jhansi (U.P.) India. </w:t>
      </w:r>
    </w:p>
    <w:p w14:paraId="2FCBF543" w14:textId="77777777" w:rsidR="00E4428C" w:rsidRPr="00F57314" w:rsidRDefault="00E4428C" w:rsidP="00E4428C">
      <w:pPr>
        <w:pStyle w:val="ListParagraph"/>
        <w:numPr>
          <w:ilvl w:val="1"/>
          <w:numId w:val="1"/>
        </w:numPr>
        <w:spacing w:line="360" w:lineRule="auto"/>
        <w:jc w:val="both"/>
        <w:rPr>
          <w:rFonts w:ascii="Arial" w:hAnsi="Arial" w:cs="Arial"/>
          <w:b/>
          <w:bCs/>
          <w:szCs w:val="22"/>
        </w:rPr>
      </w:pPr>
      <w:r w:rsidRPr="00F57314">
        <w:rPr>
          <w:rFonts w:ascii="Arial" w:hAnsi="Arial" w:cs="Arial"/>
          <w:b/>
          <w:bCs/>
          <w:szCs w:val="22"/>
        </w:rPr>
        <w:t xml:space="preserve">Methods </w:t>
      </w:r>
    </w:p>
    <w:p w14:paraId="3E8CD3CC" w14:textId="77777777" w:rsidR="00E4428C" w:rsidRPr="00F57314" w:rsidRDefault="00E4428C" w:rsidP="00E4428C">
      <w:pPr>
        <w:pStyle w:val="ListParagraph"/>
        <w:numPr>
          <w:ilvl w:val="2"/>
          <w:numId w:val="1"/>
        </w:numPr>
        <w:spacing w:line="360" w:lineRule="auto"/>
        <w:jc w:val="both"/>
        <w:rPr>
          <w:rFonts w:ascii="Arial" w:hAnsi="Arial" w:cs="Arial"/>
          <w:b/>
          <w:bCs/>
          <w:sz w:val="20"/>
          <w:szCs w:val="20"/>
        </w:rPr>
      </w:pPr>
      <w:r w:rsidRPr="00F57314">
        <w:rPr>
          <w:rFonts w:ascii="Arial" w:hAnsi="Arial" w:cs="Arial"/>
          <w:b/>
          <w:bCs/>
          <w:i/>
          <w:iCs/>
          <w:sz w:val="20"/>
          <w:szCs w:val="20"/>
        </w:rPr>
        <w:t>Determination of dimensional and structural properties</w:t>
      </w:r>
    </w:p>
    <w:p w14:paraId="3BA60563" w14:textId="77777777"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The dimensional and structural properties of little millet and barnyard millet used for the study were evaluated in terms of length, width, thickness, arithmetic mean diameter, geometric mean diameter, thousand kernel weight, thousand kernel volume, density, bulk density, true density, porosity, sphericity, aspect ratio, shape and colour.</w:t>
      </w:r>
    </w:p>
    <w:p w14:paraId="6B297D5B" w14:textId="77777777" w:rsidR="00E4428C" w:rsidRPr="00F57314" w:rsidRDefault="00E4428C" w:rsidP="00E4428C">
      <w:pPr>
        <w:pStyle w:val="ListParagraph"/>
        <w:numPr>
          <w:ilvl w:val="0"/>
          <w:numId w:val="2"/>
        </w:numPr>
        <w:spacing w:line="360" w:lineRule="auto"/>
        <w:jc w:val="both"/>
        <w:rPr>
          <w:rFonts w:ascii="Arial" w:hAnsi="Arial" w:cs="Arial"/>
          <w:b/>
          <w:bCs/>
          <w:i/>
          <w:iCs/>
          <w:sz w:val="20"/>
          <w:szCs w:val="20"/>
        </w:rPr>
      </w:pPr>
      <w:r w:rsidRPr="006214F7">
        <w:rPr>
          <w:rFonts w:ascii="Times New Roman" w:hAnsi="Times New Roman" w:cs="Times New Roman"/>
          <w:b/>
          <w:bCs/>
          <w:sz w:val="20"/>
          <w:szCs w:val="20"/>
        </w:rPr>
        <w:t xml:space="preserve"> </w:t>
      </w:r>
      <w:r w:rsidRPr="00F57314">
        <w:rPr>
          <w:rFonts w:ascii="Arial" w:hAnsi="Arial" w:cs="Arial"/>
          <w:b/>
          <w:bCs/>
          <w:i/>
          <w:iCs/>
          <w:sz w:val="20"/>
          <w:szCs w:val="20"/>
        </w:rPr>
        <w:t>Length, width and thickness</w:t>
      </w:r>
    </w:p>
    <w:p w14:paraId="31BAF675" w14:textId="77777777"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lastRenderedPageBreak/>
        <w:t xml:space="preserve">The axial dimensions of little millet and barnyard millet that were chosen at random were measured for length (mm), width (mm), and thickness (mm) using a digital vernier calliper of brand </w:t>
      </w:r>
      <w:proofErr w:type="spellStart"/>
      <w:r w:rsidRPr="00526B0F">
        <w:rPr>
          <w:rFonts w:ascii="Arial" w:hAnsi="Arial" w:cs="Arial"/>
          <w:sz w:val="20"/>
          <w:szCs w:val="20"/>
        </w:rPr>
        <w:t>tHemiSto</w:t>
      </w:r>
      <w:proofErr w:type="spellEnd"/>
      <w:r w:rsidRPr="00526B0F">
        <w:rPr>
          <w:rFonts w:ascii="Arial" w:hAnsi="Arial" w:cs="Arial"/>
          <w:sz w:val="20"/>
          <w:szCs w:val="20"/>
        </w:rPr>
        <w:t xml:space="preserve">, model name TH-M61 of resolution 0.01mm, range 0-150mm, accuracy .01mm  </w:t>
      </w:r>
    </w:p>
    <w:p w14:paraId="6C8DBDA5" w14:textId="77777777" w:rsidR="00E4428C" w:rsidRPr="00F57314" w:rsidRDefault="00E4428C" w:rsidP="00E4428C">
      <w:pPr>
        <w:pStyle w:val="ListParagraph"/>
        <w:numPr>
          <w:ilvl w:val="0"/>
          <w:numId w:val="2"/>
        </w:numPr>
        <w:spacing w:line="360" w:lineRule="auto"/>
        <w:jc w:val="both"/>
        <w:rPr>
          <w:rFonts w:ascii="Arial" w:hAnsi="Arial" w:cs="Arial"/>
          <w:b/>
          <w:bCs/>
          <w:i/>
          <w:iCs/>
          <w:sz w:val="20"/>
          <w:szCs w:val="20"/>
        </w:rPr>
      </w:pPr>
      <w:r w:rsidRPr="00F57314">
        <w:rPr>
          <w:rFonts w:ascii="Arial" w:hAnsi="Arial" w:cs="Arial"/>
          <w:b/>
          <w:bCs/>
          <w:i/>
          <w:iCs/>
          <w:sz w:val="20"/>
          <w:szCs w:val="20"/>
        </w:rPr>
        <w:t>Arithmetic mean diameter</w:t>
      </w:r>
    </w:p>
    <w:p w14:paraId="14B1464D" w14:textId="5F3CBE15"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Arithmetic mean diameter was measured by the method outlined by (</w:t>
      </w:r>
      <w:proofErr w:type="spellStart"/>
      <w:r w:rsidRPr="00526B0F">
        <w:rPr>
          <w:rFonts w:ascii="Arial" w:hAnsi="Arial" w:cs="Arial"/>
          <w:sz w:val="20"/>
          <w:szCs w:val="20"/>
        </w:rPr>
        <w:t>Mpotokwane</w:t>
      </w:r>
      <w:proofErr w:type="spellEnd"/>
      <w:r w:rsidRPr="00526B0F">
        <w:rPr>
          <w:rFonts w:ascii="Arial" w:hAnsi="Arial" w:cs="Arial"/>
          <w:sz w:val="20"/>
          <w:szCs w:val="20"/>
        </w:rPr>
        <w:t xml:space="preserve"> et al. </w:t>
      </w:r>
      <w:commentRangeStart w:id="5"/>
      <w:r w:rsidRPr="00526B0F">
        <w:rPr>
          <w:rFonts w:ascii="Arial" w:hAnsi="Arial" w:cs="Arial"/>
          <w:sz w:val="20"/>
          <w:szCs w:val="20"/>
        </w:rPr>
        <w:t>2008</w:t>
      </w:r>
      <w:commentRangeEnd w:id="5"/>
      <w:r w:rsidR="00B278F5">
        <w:rPr>
          <w:rStyle w:val="CommentReference"/>
        </w:rPr>
        <w:commentReference w:id="5"/>
      </w:r>
      <w:r w:rsidRPr="00526B0F">
        <w:rPr>
          <w:rFonts w:ascii="Arial" w:hAnsi="Arial" w:cs="Arial"/>
          <w:sz w:val="20"/>
          <w:szCs w:val="20"/>
        </w:rPr>
        <w:t>). Ten typical grains were measured for length (the longest dimension, L), width (the second longest dimension, W), and thickness (the third longest dimension, T). The arithmetic mean diameter (AMD) was then computed as the equivalent diameter.</w:t>
      </w:r>
    </w:p>
    <w:p w14:paraId="6FE2A60D" w14:textId="42D1221A" w:rsidR="00E4428C" w:rsidRPr="00720878" w:rsidRDefault="00E4428C" w:rsidP="00E4428C">
      <w:pPr>
        <w:spacing w:line="360" w:lineRule="auto"/>
        <w:jc w:val="both"/>
        <w:rPr>
          <w:rFonts w:ascii="Arial" w:eastAsiaTheme="minorEastAsia" w:hAnsi="Arial" w:cs="Arial"/>
          <w:sz w:val="20"/>
          <w:szCs w:val="20"/>
        </w:rPr>
      </w:pPr>
      <m:oMath>
        <m:r>
          <w:rPr>
            <w:rFonts w:ascii="Cambria Math" w:hAnsi="Cambria Math" w:cs="Arial"/>
            <w:sz w:val="20"/>
            <w:szCs w:val="20"/>
          </w:rPr>
          <m:t>Arithmetic mean diamater=(L×W×T)/3</m:t>
        </m:r>
      </m:oMath>
      <w:r w:rsidRPr="00526B0F">
        <w:rPr>
          <w:rFonts w:ascii="Arial" w:eastAsiaTheme="minorEastAsia" w:hAnsi="Arial" w:cs="Arial"/>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00526B0F">
        <w:rPr>
          <w:rFonts w:ascii="Times New Roman" w:eastAsiaTheme="minorEastAsia" w:hAnsi="Times New Roman" w:cs="Times New Roman"/>
          <w:sz w:val="20"/>
          <w:szCs w:val="20"/>
        </w:rPr>
        <w:tab/>
      </w:r>
      <w:r w:rsidRPr="00720878">
        <w:rPr>
          <w:rFonts w:ascii="Arial" w:eastAsiaTheme="minorEastAsia" w:hAnsi="Arial" w:cs="Arial"/>
          <w:sz w:val="20"/>
          <w:szCs w:val="20"/>
        </w:rPr>
        <w:t>(1)</w:t>
      </w:r>
    </w:p>
    <w:p w14:paraId="650935C2" w14:textId="77777777" w:rsidR="00E4428C" w:rsidRPr="00F57314" w:rsidRDefault="00E4428C" w:rsidP="00E4428C">
      <w:pPr>
        <w:pStyle w:val="ListParagraph"/>
        <w:numPr>
          <w:ilvl w:val="0"/>
          <w:numId w:val="2"/>
        </w:numPr>
        <w:spacing w:line="360" w:lineRule="auto"/>
        <w:jc w:val="both"/>
        <w:rPr>
          <w:rFonts w:ascii="Arial" w:hAnsi="Arial" w:cs="Arial"/>
          <w:b/>
          <w:bCs/>
          <w:i/>
          <w:iCs/>
          <w:sz w:val="20"/>
          <w:szCs w:val="20"/>
        </w:rPr>
      </w:pPr>
      <w:r w:rsidRPr="00F57314">
        <w:rPr>
          <w:rFonts w:ascii="Arial" w:hAnsi="Arial" w:cs="Arial"/>
          <w:b/>
          <w:bCs/>
          <w:i/>
          <w:iCs/>
          <w:sz w:val="20"/>
          <w:szCs w:val="20"/>
        </w:rPr>
        <w:t>Geometric mean diameter</w:t>
      </w:r>
    </w:p>
    <w:p w14:paraId="2D604931" w14:textId="2AFA430F"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The Geometric mean diameter</w:t>
      </w:r>
      <w:r w:rsidRPr="00526B0F">
        <w:rPr>
          <w:rFonts w:ascii="Arial" w:hAnsi="Arial" w:cs="Arial"/>
          <w:b/>
          <w:bCs/>
          <w:sz w:val="20"/>
          <w:szCs w:val="20"/>
        </w:rPr>
        <w:t xml:space="preserve"> </w:t>
      </w:r>
      <w:r w:rsidRPr="00526B0F">
        <w:rPr>
          <w:rFonts w:ascii="Arial" w:hAnsi="Arial" w:cs="Arial"/>
          <w:sz w:val="20"/>
          <w:szCs w:val="20"/>
        </w:rPr>
        <w:t>(GMD) was measured according to (</w:t>
      </w:r>
      <w:proofErr w:type="spellStart"/>
      <w:r w:rsidRPr="00526B0F">
        <w:rPr>
          <w:rFonts w:ascii="Arial" w:hAnsi="Arial" w:cs="Arial"/>
          <w:sz w:val="20"/>
          <w:szCs w:val="20"/>
        </w:rPr>
        <w:t>Mpotokwane</w:t>
      </w:r>
      <w:proofErr w:type="spellEnd"/>
      <w:r w:rsidRPr="00526B0F">
        <w:rPr>
          <w:rFonts w:ascii="Arial" w:hAnsi="Arial" w:cs="Arial"/>
          <w:sz w:val="20"/>
          <w:szCs w:val="20"/>
        </w:rPr>
        <w:t xml:space="preserve"> et al. 2008) and determined as the equivalent diameter. </w:t>
      </w:r>
    </w:p>
    <w:p w14:paraId="61E49DFD" w14:textId="77777777" w:rsidR="00E4428C" w:rsidRPr="00526B0F" w:rsidRDefault="00E4428C" w:rsidP="00E4428C">
      <w:pPr>
        <w:spacing w:line="360" w:lineRule="auto"/>
        <w:jc w:val="both"/>
        <w:rPr>
          <w:rFonts w:ascii="Arial" w:eastAsiaTheme="minorEastAsia" w:hAnsi="Arial" w:cs="Arial"/>
          <w:sz w:val="20"/>
          <w:szCs w:val="20"/>
        </w:rPr>
      </w:pPr>
      <m:oMath>
        <m:r>
          <w:rPr>
            <w:rFonts w:ascii="Cambria Math" w:hAnsi="Cambria Math" w:cs="Arial"/>
            <w:sz w:val="20"/>
            <w:szCs w:val="20"/>
          </w:rPr>
          <m:t>Geometric mean diameter</m:t>
        </m:r>
        <m:r>
          <m:rPr>
            <m:sty m:val="bi"/>
          </m:rPr>
          <w:rPr>
            <w:rFonts w:ascii="Cambria Math" w:hAnsi="Cambria Math" w:cs="Arial"/>
            <w:sz w:val="20"/>
            <w:szCs w:val="20"/>
          </w:rPr>
          <m:t>=</m:t>
        </m:r>
        <m:r>
          <w:rPr>
            <w:rFonts w:ascii="Cambria Math" w:hAnsi="Cambria Math" w:cs="Arial"/>
            <w:sz w:val="20"/>
            <w:szCs w:val="20"/>
          </w:rPr>
          <m:t>(L×W×T)1/3</m:t>
        </m:r>
      </m:oMath>
      <w:r w:rsidRPr="00F57314">
        <w:rPr>
          <w:rFonts w:ascii="Arial" w:eastAsiaTheme="minorEastAsia" w:hAnsi="Arial" w:cs="Arial"/>
          <w:sz w:val="20"/>
          <w:szCs w:val="20"/>
        </w:rPr>
        <w:tab/>
      </w:r>
      <w:r w:rsidRPr="006214F7">
        <w:rPr>
          <w:rFonts w:ascii="Times New Roman" w:eastAsiaTheme="minorEastAsia" w:hAnsi="Times New Roman" w:cs="Times New Roman"/>
          <w:sz w:val="20"/>
          <w:szCs w:val="20"/>
        </w:rPr>
        <w:tab/>
      </w:r>
      <w:r w:rsidRPr="006214F7">
        <w:rPr>
          <w:rFonts w:ascii="Times New Roman" w:eastAsiaTheme="minorEastAsia" w:hAnsi="Times New Roman" w:cs="Times New Roman"/>
          <w:sz w:val="20"/>
          <w:szCs w:val="20"/>
        </w:rPr>
        <w:tab/>
      </w:r>
      <w:r w:rsidRPr="006214F7">
        <w:rPr>
          <w:rFonts w:ascii="Times New Roman" w:eastAsiaTheme="minorEastAsia" w:hAnsi="Times New Roman" w:cs="Times New Roman"/>
          <w:sz w:val="20"/>
          <w:szCs w:val="20"/>
        </w:rPr>
        <w:tab/>
      </w:r>
      <w:r w:rsidRPr="006214F7">
        <w:rPr>
          <w:rFonts w:ascii="Times New Roman" w:eastAsiaTheme="minorEastAsia" w:hAnsi="Times New Roman" w:cs="Times New Roman"/>
          <w:sz w:val="20"/>
          <w:szCs w:val="20"/>
        </w:rPr>
        <w:tab/>
      </w:r>
      <w:r w:rsidRPr="006214F7">
        <w:rPr>
          <w:rFonts w:ascii="Times New Roman" w:eastAsiaTheme="minorEastAsia" w:hAnsi="Times New Roman" w:cs="Times New Roman"/>
          <w:sz w:val="20"/>
          <w:szCs w:val="20"/>
        </w:rPr>
        <w:tab/>
      </w:r>
      <w:r w:rsidRPr="006214F7">
        <w:rPr>
          <w:rFonts w:ascii="Times New Roman" w:eastAsiaTheme="minorEastAsia" w:hAnsi="Times New Roman" w:cs="Times New Roman"/>
          <w:sz w:val="20"/>
          <w:szCs w:val="20"/>
        </w:rPr>
        <w:tab/>
      </w:r>
      <w:r w:rsidRPr="00526B0F">
        <w:rPr>
          <w:rFonts w:ascii="Arial" w:eastAsiaTheme="minorEastAsia" w:hAnsi="Arial" w:cs="Arial"/>
          <w:sz w:val="20"/>
          <w:szCs w:val="20"/>
        </w:rPr>
        <w:t>(2)</w:t>
      </w:r>
    </w:p>
    <w:p w14:paraId="1A8DCDCD" w14:textId="77777777" w:rsidR="00E4428C" w:rsidRPr="00F57314" w:rsidRDefault="00E4428C" w:rsidP="00E4428C">
      <w:pPr>
        <w:pStyle w:val="ListParagraph"/>
        <w:numPr>
          <w:ilvl w:val="0"/>
          <w:numId w:val="2"/>
        </w:numPr>
        <w:spacing w:line="360" w:lineRule="auto"/>
        <w:jc w:val="both"/>
        <w:rPr>
          <w:rFonts w:ascii="Arial" w:hAnsi="Arial" w:cs="Arial"/>
          <w:b/>
          <w:bCs/>
          <w:i/>
          <w:iCs/>
          <w:sz w:val="20"/>
          <w:szCs w:val="20"/>
        </w:rPr>
      </w:pPr>
      <w:r w:rsidRPr="00F57314">
        <w:rPr>
          <w:rFonts w:ascii="Arial" w:hAnsi="Arial" w:cs="Arial"/>
          <w:b/>
          <w:bCs/>
          <w:i/>
          <w:iCs/>
          <w:sz w:val="20"/>
          <w:szCs w:val="20"/>
        </w:rPr>
        <w:t xml:space="preserve">Thousand kernel weight and volume </w:t>
      </w:r>
    </w:p>
    <w:p w14:paraId="4D1CF19C" w14:textId="77777777"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 xml:space="preserve">An analytical weighing balance was used to calculate the average weight of 1000 grains of little millet and barnyard millet. Random samples of 1000 grains were selected and their volume was measured in a graduated cylinder. </w:t>
      </w:r>
    </w:p>
    <w:p w14:paraId="6A6DDA17" w14:textId="77777777" w:rsidR="00E4428C" w:rsidRPr="00F57314" w:rsidRDefault="00E4428C" w:rsidP="00E4428C">
      <w:pPr>
        <w:pStyle w:val="ListParagraph"/>
        <w:numPr>
          <w:ilvl w:val="0"/>
          <w:numId w:val="2"/>
        </w:numPr>
        <w:spacing w:line="360" w:lineRule="auto"/>
        <w:jc w:val="both"/>
        <w:rPr>
          <w:rFonts w:ascii="Arial" w:hAnsi="Arial" w:cs="Arial"/>
          <w:b/>
          <w:bCs/>
          <w:i/>
          <w:iCs/>
          <w:sz w:val="20"/>
          <w:szCs w:val="20"/>
        </w:rPr>
      </w:pPr>
      <w:r w:rsidRPr="00F57314">
        <w:rPr>
          <w:rFonts w:ascii="Arial" w:hAnsi="Arial" w:cs="Arial"/>
          <w:b/>
          <w:bCs/>
          <w:i/>
          <w:iCs/>
          <w:sz w:val="20"/>
          <w:szCs w:val="20"/>
        </w:rPr>
        <w:t xml:space="preserve">Density </w:t>
      </w:r>
    </w:p>
    <w:p w14:paraId="13549E31" w14:textId="683A1DF4"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The density (g/m</w:t>
      </w:r>
      <w:r w:rsidR="009A20AC" w:rsidRPr="00526B0F">
        <w:rPr>
          <w:rFonts w:ascii="Arial" w:hAnsi="Arial" w:cs="Arial"/>
          <w:sz w:val="20"/>
          <w:szCs w:val="20"/>
        </w:rPr>
        <w:t>L</w:t>
      </w:r>
      <w:r w:rsidRPr="00526B0F">
        <w:rPr>
          <w:rFonts w:ascii="Arial" w:hAnsi="Arial" w:cs="Arial"/>
          <w:sz w:val="20"/>
          <w:szCs w:val="20"/>
        </w:rPr>
        <w:t>) of the grains was calculated by dividing the thousand kernel weight by volume.</w:t>
      </w:r>
    </w:p>
    <w:p w14:paraId="30457E9D" w14:textId="77777777" w:rsidR="00E4428C" w:rsidRPr="00F57314" w:rsidRDefault="00E4428C" w:rsidP="00E4428C">
      <w:pPr>
        <w:pStyle w:val="ListParagraph"/>
        <w:numPr>
          <w:ilvl w:val="0"/>
          <w:numId w:val="2"/>
        </w:numPr>
        <w:spacing w:line="360" w:lineRule="auto"/>
        <w:jc w:val="both"/>
        <w:rPr>
          <w:rFonts w:ascii="Arial" w:hAnsi="Arial" w:cs="Arial"/>
          <w:b/>
          <w:bCs/>
          <w:i/>
          <w:iCs/>
          <w:sz w:val="20"/>
          <w:szCs w:val="20"/>
        </w:rPr>
      </w:pPr>
      <w:r w:rsidRPr="00F57314">
        <w:rPr>
          <w:rFonts w:ascii="Arial" w:hAnsi="Arial" w:cs="Arial"/>
          <w:b/>
          <w:bCs/>
          <w:i/>
          <w:iCs/>
          <w:sz w:val="20"/>
          <w:szCs w:val="20"/>
        </w:rPr>
        <w:t xml:space="preserve">Bulk density </w:t>
      </w:r>
    </w:p>
    <w:p w14:paraId="75172B71" w14:textId="3715D974"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Bulk density (Kg/m</w:t>
      </w:r>
      <w:r w:rsidRPr="00526B0F">
        <w:rPr>
          <w:rFonts w:ascii="Arial" w:hAnsi="Arial" w:cs="Arial"/>
          <w:sz w:val="20"/>
          <w:szCs w:val="20"/>
          <w:vertAlign w:val="superscript"/>
        </w:rPr>
        <w:t>3</w:t>
      </w:r>
      <w:r w:rsidRPr="00526B0F">
        <w:rPr>
          <w:rFonts w:ascii="Arial" w:hAnsi="Arial" w:cs="Arial"/>
          <w:sz w:val="20"/>
          <w:szCs w:val="20"/>
        </w:rPr>
        <w:t>) is defined as the ratio of sample mass to total volume (</w:t>
      </w:r>
      <w:proofErr w:type="spellStart"/>
      <w:r w:rsidRPr="00526B0F">
        <w:rPr>
          <w:rFonts w:ascii="Arial" w:hAnsi="Arial" w:cs="Arial"/>
          <w:sz w:val="20"/>
          <w:szCs w:val="20"/>
        </w:rPr>
        <w:t>Vanrnamkhasti</w:t>
      </w:r>
      <w:proofErr w:type="spellEnd"/>
      <w:r w:rsidRPr="00526B0F">
        <w:rPr>
          <w:rFonts w:ascii="Arial" w:hAnsi="Arial" w:cs="Arial"/>
          <w:sz w:val="20"/>
          <w:szCs w:val="20"/>
        </w:rPr>
        <w:t xml:space="preserve"> et al., 2008). The determination was made by filling a 500 ml cylinder with grains using the </w:t>
      </w:r>
      <w:r w:rsidR="006214F7" w:rsidRPr="00526B0F">
        <w:rPr>
          <w:rFonts w:ascii="Arial" w:hAnsi="Arial" w:cs="Arial"/>
          <w:sz w:val="20"/>
          <w:szCs w:val="20"/>
        </w:rPr>
        <w:t>(Mariotti, Alamprese, Pagani, and Lucisano 2006)</w:t>
      </w:r>
      <w:r w:rsidRPr="00526B0F">
        <w:rPr>
          <w:rFonts w:ascii="Arial" w:hAnsi="Arial" w:cs="Arial"/>
          <w:sz w:val="20"/>
          <w:szCs w:val="20"/>
        </w:rPr>
        <w:t xml:space="preserve"> method. The bulk density (kg/m</w:t>
      </w:r>
      <w:r w:rsidRPr="00526B0F">
        <w:rPr>
          <w:rFonts w:ascii="Arial" w:hAnsi="Arial" w:cs="Arial"/>
          <w:sz w:val="20"/>
          <w:szCs w:val="20"/>
          <w:vertAlign w:val="superscript"/>
        </w:rPr>
        <w:t>3</w:t>
      </w:r>
      <w:r w:rsidRPr="00526B0F">
        <w:rPr>
          <w:rFonts w:ascii="Arial" w:hAnsi="Arial" w:cs="Arial"/>
          <w:sz w:val="20"/>
          <w:szCs w:val="20"/>
        </w:rPr>
        <w:t xml:space="preserve">) was estimated by dividing the sample weight by the cylinder volume.  </w:t>
      </w:r>
    </w:p>
    <w:p w14:paraId="14EA8929" w14:textId="77777777" w:rsidR="00E4428C" w:rsidRPr="00F57314" w:rsidRDefault="00E4428C" w:rsidP="00E4428C">
      <w:pPr>
        <w:spacing w:line="360" w:lineRule="auto"/>
        <w:rPr>
          <w:rFonts w:ascii="Arial" w:hAnsi="Arial" w:cs="Arial"/>
          <w:szCs w:val="22"/>
        </w:rPr>
      </w:pPr>
      <m:oMath>
        <m:r>
          <w:rPr>
            <w:rFonts w:ascii="Cambria Math" w:hAnsi="Cambria Math" w:cs="Arial"/>
            <w:sz w:val="20"/>
            <w:szCs w:val="20"/>
          </w:rPr>
          <m:t>Bulk Density=</m:t>
        </m:r>
        <m:f>
          <m:fPr>
            <m:ctrlPr>
              <w:rPr>
                <w:rFonts w:ascii="Cambria Math" w:hAnsi="Cambria Math" w:cs="Arial"/>
                <w:i/>
                <w:sz w:val="20"/>
                <w:szCs w:val="20"/>
              </w:rPr>
            </m:ctrlPr>
          </m:fPr>
          <m:num>
            <m:r>
              <w:rPr>
                <w:rFonts w:ascii="Cambria Math" w:hAnsi="Cambria Math" w:cs="Arial"/>
                <w:sz w:val="20"/>
                <w:szCs w:val="20"/>
              </w:rPr>
              <m:t>Sample weight</m:t>
            </m:r>
          </m:num>
          <m:den>
            <m:r>
              <w:rPr>
                <w:rFonts w:ascii="Cambria Math" w:hAnsi="Cambria Math" w:cs="Arial"/>
                <w:sz w:val="20"/>
                <w:szCs w:val="20"/>
              </w:rPr>
              <m:t xml:space="preserve">Volume </m:t>
            </m:r>
          </m:den>
        </m:f>
      </m:oMath>
      <w:r w:rsidRPr="00526B0F">
        <w:rPr>
          <w:rFonts w:ascii="Arial" w:eastAsiaTheme="minorEastAsia" w:hAnsi="Arial" w:cs="Arial"/>
          <w:sz w:val="20"/>
          <w:szCs w:val="20"/>
        </w:rPr>
        <w:t xml:space="preserve"> </w:t>
      </w:r>
      <w:r w:rsidRPr="00526B0F">
        <w:rPr>
          <w:rFonts w:ascii="Arial" w:eastAsiaTheme="minorEastAsia" w:hAnsi="Arial" w:cs="Arial"/>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Arial" w:eastAsiaTheme="minorEastAsia" w:hAnsi="Arial" w:cs="Arial"/>
          <w:sz w:val="20"/>
          <w:szCs w:val="20"/>
        </w:rPr>
        <w:t>(3)</w:t>
      </w:r>
    </w:p>
    <w:p w14:paraId="049CAE28" w14:textId="77777777" w:rsidR="00E4428C" w:rsidRPr="00F57314" w:rsidRDefault="00E4428C" w:rsidP="00E4428C">
      <w:pPr>
        <w:pStyle w:val="ListParagraph"/>
        <w:numPr>
          <w:ilvl w:val="0"/>
          <w:numId w:val="2"/>
        </w:numPr>
        <w:spacing w:line="360" w:lineRule="auto"/>
        <w:rPr>
          <w:rFonts w:ascii="Arial" w:hAnsi="Arial" w:cs="Arial"/>
          <w:b/>
          <w:bCs/>
          <w:i/>
          <w:iCs/>
          <w:sz w:val="20"/>
          <w:szCs w:val="20"/>
        </w:rPr>
      </w:pPr>
      <w:r w:rsidRPr="00F57314">
        <w:rPr>
          <w:rFonts w:ascii="Arial" w:hAnsi="Arial" w:cs="Arial"/>
          <w:b/>
          <w:bCs/>
          <w:i/>
          <w:iCs/>
          <w:sz w:val="20"/>
          <w:szCs w:val="20"/>
        </w:rPr>
        <w:t xml:space="preserve">True Density </w:t>
      </w:r>
    </w:p>
    <w:p w14:paraId="09D1FA38" w14:textId="049F8523"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 xml:space="preserve">Using a top loading balance, the liquid displacement method is used to determine the true density (kg/m³). A hundred ml measuring cylinder was filled with fifty ml of water, and five grams of grains were immersed in it. Water displacement was measured </w:t>
      </w:r>
      <w:r w:rsidR="006214F7" w:rsidRPr="00526B0F">
        <w:rPr>
          <w:rFonts w:ascii="Arial" w:hAnsi="Arial" w:cs="Arial"/>
          <w:sz w:val="20"/>
          <w:szCs w:val="20"/>
        </w:rPr>
        <w:t>(</w:t>
      </w:r>
      <w:proofErr w:type="spellStart"/>
      <w:r w:rsidR="006214F7" w:rsidRPr="00526B0F">
        <w:rPr>
          <w:rFonts w:ascii="Arial" w:hAnsi="Arial" w:cs="Arial"/>
          <w:sz w:val="20"/>
          <w:szCs w:val="20"/>
        </w:rPr>
        <w:t>Karababa</w:t>
      </w:r>
      <w:proofErr w:type="spellEnd"/>
      <w:r w:rsidR="006214F7" w:rsidRPr="00526B0F">
        <w:rPr>
          <w:rFonts w:ascii="Arial" w:hAnsi="Arial" w:cs="Arial"/>
          <w:sz w:val="20"/>
          <w:szCs w:val="20"/>
        </w:rPr>
        <w:t xml:space="preserve"> &amp; </w:t>
      </w:r>
      <w:proofErr w:type="spellStart"/>
      <w:r w:rsidR="006214F7" w:rsidRPr="00526B0F">
        <w:rPr>
          <w:rFonts w:ascii="Arial" w:hAnsi="Arial" w:cs="Arial"/>
          <w:sz w:val="20"/>
          <w:szCs w:val="20"/>
        </w:rPr>
        <w:t>Coᶊkuner</w:t>
      </w:r>
      <w:proofErr w:type="spellEnd"/>
      <w:r w:rsidR="006214F7" w:rsidRPr="00526B0F">
        <w:rPr>
          <w:rFonts w:ascii="Arial" w:hAnsi="Arial" w:cs="Arial"/>
          <w:sz w:val="20"/>
          <w:szCs w:val="20"/>
        </w:rPr>
        <w:t>, 2013)</w:t>
      </w:r>
      <w:r w:rsidRPr="00526B0F">
        <w:rPr>
          <w:rFonts w:ascii="Arial" w:hAnsi="Arial" w:cs="Arial"/>
          <w:sz w:val="20"/>
          <w:szCs w:val="20"/>
        </w:rPr>
        <w:t>.</w:t>
      </w:r>
    </w:p>
    <w:p w14:paraId="5778E6F9" w14:textId="77777777" w:rsidR="00E4428C" w:rsidRPr="00526B0F" w:rsidRDefault="00E4428C" w:rsidP="00E4428C">
      <w:pPr>
        <w:spacing w:line="360" w:lineRule="auto"/>
        <w:jc w:val="both"/>
        <w:rPr>
          <w:rFonts w:ascii="Arial" w:eastAsiaTheme="minorEastAsia" w:hAnsi="Arial" w:cs="Arial"/>
          <w:sz w:val="20"/>
          <w:szCs w:val="20"/>
        </w:rPr>
      </w:pPr>
      <m:oMath>
        <m:r>
          <w:rPr>
            <w:rFonts w:ascii="Cambria Math" w:hAnsi="Cambria Math" w:cs="Arial"/>
            <w:szCs w:val="22"/>
          </w:rPr>
          <m:t>Pt=</m:t>
        </m:r>
        <m:f>
          <m:fPr>
            <m:ctrlPr>
              <w:rPr>
                <w:rFonts w:ascii="Cambria Math" w:hAnsi="Cambria Math" w:cs="Arial"/>
                <w:i/>
                <w:szCs w:val="22"/>
              </w:rPr>
            </m:ctrlPr>
          </m:fPr>
          <m:num>
            <m:r>
              <w:rPr>
                <w:rFonts w:ascii="Cambria Math" w:hAnsi="Cambria Math" w:cs="Arial"/>
                <w:szCs w:val="22"/>
              </w:rPr>
              <m:t>Sample weight</m:t>
            </m:r>
          </m:num>
          <m:den>
            <m:r>
              <w:rPr>
                <w:rFonts w:ascii="Cambria Math" w:hAnsi="Cambria Math" w:cs="Arial"/>
                <w:szCs w:val="22"/>
              </w:rPr>
              <m:t>V2-V1</m:t>
            </m:r>
          </m:den>
        </m:f>
      </m:oMath>
      <w:r w:rsidRPr="00F57314">
        <w:rPr>
          <w:rFonts w:ascii="Arial" w:eastAsiaTheme="minorEastAsia" w:hAnsi="Arial" w:cs="Arial"/>
          <w:szCs w:val="22"/>
        </w:rPr>
        <w:t xml:space="preserve"> </w:t>
      </w:r>
      <w:r w:rsidRPr="00F57314">
        <w:rPr>
          <w:rFonts w:ascii="Arial" w:eastAsiaTheme="minorEastAsia" w:hAnsi="Arial" w:cs="Arial"/>
          <w:szCs w:val="22"/>
        </w:rPr>
        <w:tab/>
      </w:r>
      <w:r w:rsidRPr="00F57314">
        <w:rPr>
          <w:rFonts w:ascii="Arial" w:eastAsiaTheme="minorEastAsia" w:hAnsi="Arial" w:cs="Arial"/>
          <w:szCs w:val="22"/>
        </w:rPr>
        <w:tab/>
      </w:r>
      <w:r w:rsidRPr="00F57314">
        <w:rPr>
          <w:rFonts w:ascii="Arial" w:eastAsiaTheme="minorEastAsia" w:hAnsi="Arial" w:cs="Arial"/>
          <w:szCs w:val="22"/>
        </w:rPr>
        <w:tab/>
      </w:r>
      <w:r w:rsidRPr="00F57314">
        <w:rPr>
          <w:rFonts w:ascii="Arial" w:eastAsiaTheme="minorEastAsia" w:hAnsi="Arial" w:cs="Arial"/>
          <w:szCs w:val="22"/>
        </w:rPr>
        <w:tab/>
      </w:r>
      <w:r w:rsidRPr="00F57314">
        <w:rPr>
          <w:rFonts w:ascii="Arial" w:eastAsiaTheme="minorEastAsia" w:hAnsi="Arial" w:cs="Arial"/>
          <w:szCs w:val="22"/>
        </w:rPr>
        <w:tab/>
      </w:r>
      <w:r w:rsidRPr="00F57314">
        <w:rPr>
          <w:rFonts w:ascii="Arial" w:eastAsiaTheme="minorEastAsia" w:hAnsi="Arial" w:cs="Arial"/>
          <w:szCs w:val="22"/>
        </w:rPr>
        <w:tab/>
      </w:r>
      <w:r w:rsidRPr="00F57314">
        <w:rPr>
          <w:rFonts w:ascii="Arial" w:eastAsiaTheme="minorEastAsia" w:hAnsi="Arial" w:cs="Arial"/>
          <w:szCs w:val="22"/>
        </w:rPr>
        <w:tab/>
      </w:r>
      <w:r w:rsidRPr="00F57314">
        <w:rPr>
          <w:rFonts w:ascii="Arial" w:eastAsiaTheme="minorEastAsia" w:hAnsi="Arial" w:cs="Arial"/>
          <w:szCs w:val="22"/>
        </w:rPr>
        <w:tab/>
      </w:r>
      <w:r w:rsidRPr="00F57314">
        <w:rPr>
          <w:rFonts w:ascii="Arial" w:eastAsiaTheme="minorEastAsia" w:hAnsi="Arial" w:cs="Arial"/>
          <w:szCs w:val="22"/>
        </w:rPr>
        <w:tab/>
      </w:r>
      <w:r w:rsidRPr="00F57314">
        <w:rPr>
          <w:rFonts w:ascii="Arial" w:eastAsiaTheme="minorEastAsia" w:hAnsi="Arial" w:cs="Arial"/>
          <w:szCs w:val="22"/>
        </w:rPr>
        <w:tab/>
      </w:r>
      <w:r w:rsidRPr="00526B0F">
        <w:rPr>
          <w:rFonts w:ascii="Arial" w:eastAsiaTheme="minorEastAsia" w:hAnsi="Arial" w:cs="Arial"/>
          <w:sz w:val="20"/>
          <w:szCs w:val="20"/>
        </w:rPr>
        <w:t>(4)</w:t>
      </w:r>
    </w:p>
    <w:p w14:paraId="5441B3E0" w14:textId="77777777" w:rsidR="00E4428C" w:rsidRPr="00526B0F" w:rsidRDefault="00E4428C" w:rsidP="00E4428C">
      <w:pPr>
        <w:spacing w:line="360" w:lineRule="auto"/>
        <w:jc w:val="both"/>
        <w:rPr>
          <w:rFonts w:ascii="Arial" w:eastAsiaTheme="minorEastAsia" w:hAnsi="Arial" w:cs="Arial"/>
          <w:sz w:val="20"/>
          <w:szCs w:val="20"/>
        </w:rPr>
      </w:pPr>
      <w:r w:rsidRPr="00526B0F">
        <w:rPr>
          <w:rFonts w:ascii="Arial" w:eastAsiaTheme="minorEastAsia" w:hAnsi="Arial" w:cs="Arial"/>
          <w:sz w:val="20"/>
          <w:szCs w:val="20"/>
        </w:rPr>
        <w:t>Where: Pt = true density, V</w:t>
      </w:r>
      <w:r w:rsidRPr="00526B0F">
        <w:rPr>
          <w:rFonts w:ascii="Arial" w:eastAsiaTheme="minorEastAsia" w:hAnsi="Arial" w:cs="Arial"/>
          <w:sz w:val="20"/>
          <w:szCs w:val="20"/>
          <w:vertAlign w:val="subscript"/>
        </w:rPr>
        <w:t xml:space="preserve">1 </w:t>
      </w:r>
      <w:r w:rsidRPr="00526B0F">
        <w:rPr>
          <w:rFonts w:ascii="Arial" w:eastAsiaTheme="minorEastAsia" w:hAnsi="Arial" w:cs="Arial"/>
          <w:sz w:val="20"/>
          <w:szCs w:val="20"/>
        </w:rPr>
        <w:t>= initial volume</w:t>
      </w:r>
      <w:r w:rsidRPr="00526B0F">
        <w:rPr>
          <w:rFonts w:ascii="Arial" w:eastAsiaTheme="minorEastAsia" w:hAnsi="Arial" w:cs="Arial"/>
          <w:sz w:val="20"/>
          <w:szCs w:val="20"/>
          <w:vertAlign w:val="subscript"/>
        </w:rPr>
        <w:t xml:space="preserve"> </w:t>
      </w:r>
      <w:r w:rsidRPr="00526B0F">
        <w:rPr>
          <w:rFonts w:ascii="Arial" w:eastAsiaTheme="minorEastAsia" w:hAnsi="Arial" w:cs="Arial"/>
          <w:sz w:val="20"/>
          <w:szCs w:val="20"/>
        </w:rPr>
        <w:t>and V</w:t>
      </w:r>
      <w:r w:rsidRPr="00526B0F">
        <w:rPr>
          <w:rFonts w:ascii="Arial" w:eastAsiaTheme="minorEastAsia" w:hAnsi="Arial" w:cs="Arial"/>
          <w:sz w:val="20"/>
          <w:szCs w:val="20"/>
          <w:vertAlign w:val="subscript"/>
        </w:rPr>
        <w:t xml:space="preserve">2 </w:t>
      </w:r>
      <w:r w:rsidRPr="00526B0F">
        <w:rPr>
          <w:rFonts w:ascii="Arial" w:eastAsiaTheme="minorEastAsia" w:hAnsi="Arial" w:cs="Arial"/>
          <w:sz w:val="20"/>
          <w:szCs w:val="20"/>
        </w:rPr>
        <w:t>= final Volume</w:t>
      </w:r>
    </w:p>
    <w:p w14:paraId="779E74E9" w14:textId="77777777" w:rsidR="00E4428C" w:rsidRPr="00F57314" w:rsidRDefault="00E4428C" w:rsidP="00E4428C">
      <w:pPr>
        <w:pStyle w:val="ListParagraph"/>
        <w:numPr>
          <w:ilvl w:val="0"/>
          <w:numId w:val="2"/>
        </w:numPr>
        <w:spacing w:line="360" w:lineRule="auto"/>
        <w:jc w:val="both"/>
        <w:rPr>
          <w:rFonts w:ascii="Arial" w:eastAsiaTheme="minorEastAsia" w:hAnsi="Arial" w:cs="Arial"/>
          <w:b/>
          <w:bCs/>
          <w:i/>
          <w:iCs/>
          <w:sz w:val="20"/>
          <w:szCs w:val="20"/>
        </w:rPr>
      </w:pPr>
      <w:r w:rsidRPr="00F57314">
        <w:rPr>
          <w:rFonts w:ascii="Arial" w:eastAsiaTheme="minorEastAsia" w:hAnsi="Arial" w:cs="Arial"/>
          <w:b/>
          <w:bCs/>
          <w:i/>
          <w:iCs/>
          <w:sz w:val="20"/>
          <w:szCs w:val="20"/>
        </w:rPr>
        <w:lastRenderedPageBreak/>
        <w:t xml:space="preserve">Porosity </w:t>
      </w:r>
    </w:p>
    <w:p w14:paraId="14F7F500" w14:textId="14B43AF7"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 xml:space="preserve">According to </w:t>
      </w:r>
      <w:r w:rsidR="006214F7" w:rsidRPr="00526B0F">
        <w:rPr>
          <w:rFonts w:ascii="Arial" w:hAnsi="Arial" w:cs="Arial"/>
          <w:sz w:val="20"/>
          <w:szCs w:val="20"/>
        </w:rPr>
        <w:t>Sangamithra et al. (2016)</w:t>
      </w:r>
      <w:r w:rsidRPr="00526B0F">
        <w:rPr>
          <w:rFonts w:ascii="Arial" w:hAnsi="Arial" w:cs="Arial"/>
          <w:sz w:val="20"/>
          <w:szCs w:val="20"/>
        </w:rPr>
        <w:t xml:space="preserve">, porosity (%) is the percentage of bulk grain space that is not occupied by the grain; it was calculated from the true density and bulk density using the </w:t>
      </w:r>
      <w:proofErr w:type="spellStart"/>
      <w:r w:rsidR="006214F7" w:rsidRPr="00526B0F">
        <w:rPr>
          <w:rFonts w:ascii="Arial" w:hAnsi="Arial" w:cs="Arial"/>
          <w:sz w:val="20"/>
          <w:szCs w:val="20"/>
        </w:rPr>
        <w:t>Vanrnamkhasti</w:t>
      </w:r>
      <w:proofErr w:type="spellEnd"/>
      <w:r w:rsidR="006214F7" w:rsidRPr="00526B0F">
        <w:rPr>
          <w:rFonts w:ascii="Arial" w:hAnsi="Arial" w:cs="Arial"/>
          <w:sz w:val="20"/>
          <w:szCs w:val="20"/>
        </w:rPr>
        <w:t xml:space="preserve"> et al. (2008)</w:t>
      </w:r>
      <w:r w:rsidRPr="00526B0F">
        <w:rPr>
          <w:rFonts w:ascii="Arial" w:hAnsi="Arial" w:cs="Arial"/>
          <w:sz w:val="20"/>
          <w:szCs w:val="20"/>
        </w:rPr>
        <w:t xml:space="preserve"> technique.</w:t>
      </w:r>
    </w:p>
    <w:p w14:paraId="077EB946" w14:textId="48B4F6D0" w:rsidR="00E4428C" w:rsidRPr="00526B0F" w:rsidRDefault="00E4428C" w:rsidP="00E4428C">
      <w:pPr>
        <w:spacing w:line="360" w:lineRule="auto"/>
        <w:rPr>
          <w:rFonts w:ascii="Arial" w:hAnsi="Arial" w:cs="Arial"/>
          <w:sz w:val="20"/>
          <w:szCs w:val="20"/>
        </w:rPr>
      </w:pPr>
      <m:oMath>
        <m:r>
          <w:rPr>
            <w:rFonts w:ascii="Cambria Math" w:hAnsi="Cambria Math" w:cs="Arial"/>
            <w:sz w:val="20"/>
            <w:szCs w:val="20"/>
          </w:rPr>
          <m:t>ε=</m:t>
        </m:r>
        <m:f>
          <m:fPr>
            <m:ctrlPr>
              <w:rPr>
                <w:rFonts w:ascii="Cambria Math" w:hAnsi="Cambria Math" w:cs="Arial"/>
                <w:i/>
                <w:sz w:val="20"/>
                <w:szCs w:val="20"/>
              </w:rPr>
            </m:ctrlPr>
          </m:fPr>
          <m:num>
            <m:r>
              <w:rPr>
                <w:rFonts w:ascii="Cambria Math" w:hAnsi="Cambria Math" w:cs="Arial"/>
                <w:sz w:val="20"/>
                <w:szCs w:val="20"/>
              </w:rPr>
              <m:t>Pt-Pb</m:t>
            </m:r>
          </m:num>
          <m:den>
            <m:r>
              <w:rPr>
                <w:rFonts w:ascii="Cambria Math" w:hAnsi="Cambria Math" w:cs="Arial"/>
                <w:sz w:val="20"/>
                <w:szCs w:val="20"/>
              </w:rPr>
              <m:t>Pt</m:t>
            </m:r>
          </m:den>
        </m:f>
        <m:r>
          <w:rPr>
            <w:rFonts w:ascii="Cambria Math" w:hAnsi="Cambria Math" w:cs="Arial"/>
            <w:sz w:val="20"/>
            <w:szCs w:val="20"/>
          </w:rPr>
          <m:t>×100</m:t>
        </m:r>
      </m:oMath>
      <w:r w:rsidRPr="00526B0F">
        <w:rPr>
          <w:rFonts w:ascii="Arial" w:eastAsiaTheme="minorEastAsia" w:hAnsi="Arial" w:cs="Arial"/>
          <w:sz w:val="20"/>
          <w:szCs w:val="20"/>
        </w:rPr>
        <w:t xml:space="preserve"> </w:t>
      </w:r>
      <w:r w:rsidRPr="00526B0F">
        <w:rPr>
          <w:rFonts w:ascii="Arial" w:eastAsiaTheme="minorEastAsia" w:hAnsi="Arial" w:cs="Arial"/>
          <w:sz w:val="20"/>
          <w:szCs w:val="20"/>
        </w:rPr>
        <w:tab/>
      </w:r>
      <w:r w:rsidRPr="00526B0F">
        <w:rPr>
          <w:rFonts w:ascii="Arial" w:eastAsiaTheme="minorEastAsia" w:hAnsi="Arial" w:cs="Arial"/>
          <w:sz w:val="20"/>
          <w:szCs w:val="20"/>
        </w:rPr>
        <w:tab/>
      </w:r>
      <w:r w:rsidRPr="00526B0F">
        <w:rPr>
          <w:rFonts w:ascii="Arial" w:eastAsiaTheme="minorEastAsia" w:hAnsi="Arial" w:cs="Arial"/>
          <w:sz w:val="20"/>
          <w:szCs w:val="20"/>
        </w:rPr>
        <w:tab/>
      </w:r>
      <w:r w:rsidRPr="00526B0F">
        <w:rPr>
          <w:rFonts w:ascii="Arial" w:eastAsiaTheme="minorEastAsia" w:hAnsi="Arial" w:cs="Arial"/>
          <w:sz w:val="20"/>
          <w:szCs w:val="20"/>
        </w:rPr>
        <w:tab/>
      </w:r>
      <w:r w:rsidRPr="00526B0F">
        <w:rPr>
          <w:rFonts w:ascii="Arial" w:eastAsiaTheme="minorEastAsia" w:hAnsi="Arial" w:cs="Arial"/>
          <w:sz w:val="20"/>
          <w:szCs w:val="20"/>
        </w:rPr>
        <w:tab/>
      </w:r>
      <w:r w:rsidRPr="00526B0F">
        <w:rPr>
          <w:rFonts w:ascii="Arial" w:eastAsiaTheme="minorEastAsia" w:hAnsi="Arial" w:cs="Arial"/>
          <w:sz w:val="20"/>
          <w:szCs w:val="20"/>
        </w:rPr>
        <w:tab/>
      </w:r>
      <w:r w:rsidRPr="00526B0F">
        <w:rPr>
          <w:rFonts w:ascii="Arial" w:eastAsiaTheme="minorEastAsia" w:hAnsi="Arial" w:cs="Arial"/>
          <w:sz w:val="20"/>
          <w:szCs w:val="20"/>
        </w:rPr>
        <w:tab/>
      </w:r>
      <w:r w:rsidRPr="00526B0F">
        <w:rPr>
          <w:rFonts w:ascii="Arial" w:eastAsiaTheme="minorEastAsia" w:hAnsi="Arial" w:cs="Arial"/>
          <w:sz w:val="20"/>
          <w:szCs w:val="20"/>
        </w:rPr>
        <w:tab/>
      </w:r>
      <w:r w:rsidRPr="00526B0F">
        <w:rPr>
          <w:rFonts w:ascii="Arial" w:eastAsiaTheme="minorEastAsia" w:hAnsi="Arial" w:cs="Arial"/>
          <w:sz w:val="20"/>
          <w:szCs w:val="20"/>
        </w:rPr>
        <w:tab/>
      </w:r>
      <w:r w:rsidRPr="00526B0F">
        <w:rPr>
          <w:rFonts w:ascii="Arial" w:eastAsiaTheme="minorEastAsia" w:hAnsi="Arial" w:cs="Arial"/>
          <w:sz w:val="20"/>
          <w:szCs w:val="20"/>
        </w:rPr>
        <w:tab/>
      </w:r>
      <w:r w:rsidR="00526B0F">
        <w:rPr>
          <w:rFonts w:ascii="Arial" w:eastAsiaTheme="minorEastAsia" w:hAnsi="Arial" w:cs="Arial"/>
          <w:sz w:val="20"/>
          <w:szCs w:val="20"/>
        </w:rPr>
        <w:tab/>
      </w:r>
      <w:r w:rsidRPr="00526B0F">
        <w:rPr>
          <w:rFonts w:ascii="Arial" w:eastAsiaTheme="minorEastAsia" w:hAnsi="Arial" w:cs="Arial"/>
          <w:sz w:val="20"/>
          <w:szCs w:val="20"/>
        </w:rPr>
        <w:t>(5)</w:t>
      </w:r>
    </w:p>
    <w:p w14:paraId="239675B8" w14:textId="77777777" w:rsidR="00E4428C" w:rsidRPr="00526B0F" w:rsidRDefault="00E4428C" w:rsidP="00E4428C">
      <w:pPr>
        <w:spacing w:line="360" w:lineRule="auto"/>
        <w:jc w:val="both"/>
        <w:rPr>
          <w:rFonts w:ascii="Arial" w:eastAsiaTheme="minorEastAsia" w:hAnsi="Arial" w:cs="Arial"/>
          <w:sz w:val="20"/>
          <w:szCs w:val="20"/>
        </w:rPr>
      </w:pPr>
      <w:r w:rsidRPr="00526B0F">
        <w:rPr>
          <w:rFonts w:ascii="Arial" w:eastAsiaTheme="minorEastAsia" w:hAnsi="Arial" w:cs="Arial"/>
          <w:sz w:val="20"/>
          <w:szCs w:val="20"/>
        </w:rPr>
        <w:t>Where: ε = porosity, Pt = true density and Pb = bulk density</w:t>
      </w:r>
    </w:p>
    <w:p w14:paraId="5E2ECBAA" w14:textId="77777777" w:rsidR="00E4428C" w:rsidRPr="00F57314" w:rsidRDefault="00E4428C" w:rsidP="00E4428C">
      <w:pPr>
        <w:pStyle w:val="ListParagraph"/>
        <w:numPr>
          <w:ilvl w:val="0"/>
          <w:numId w:val="2"/>
        </w:numPr>
        <w:spacing w:line="360" w:lineRule="auto"/>
        <w:jc w:val="both"/>
        <w:rPr>
          <w:rFonts w:ascii="Arial" w:eastAsiaTheme="minorEastAsia" w:hAnsi="Arial" w:cs="Arial"/>
          <w:b/>
          <w:bCs/>
          <w:i/>
          <w:iCs/>
          <w:sz w:val="20"/>
          <w:szCs w:val="20"/>
        </w:rPr>
      </w:pPr>
      <w:r w:rsidRPr="00F57314">
        <w:rPr>
          <w:rFonts w:ascii="Arial" w:eastAsiaTheme="minorEastAsia" w:hAnsi="Arial" w:cs="Arial"/>
          <w:b/>
          <w:bCs/>
          <w:i/>
          <w:iCs/>
          <w:sz w:val="20"/>
          <w:szCs w:val="20"/>
        </w:rPr>
        <w:t xml:space="preserve">Sphericity </w:t>
      </w:r>
    </w:p>
    <w:p w14:paraId="44481EF6" w14:textId="0875B3BE" w:rsidR="00E4428C" w:rsidRPr="00526B0F" w:rsidRDefault="00E4428C" w:rsidP="00E4428C">
      <w:pPr>
        <w:spacing w:line="360" w:lineRule="auto"/>
        <w:jc w:val="both"/>
        <w:rPr>
          <w:rFonts w:ascii="Arial" w:hAnsi="Arial" w:cs="Arial"/>
          <w:sz w:val="20"/>
          <w:szCs w:val="20"/>
        </w:rPr>
      </w:pPr>
      <w:r w:rsidRPr="00526B0F">
        <w:rPr>
          <w:rFonts w:ascii="Arial" w:hAnsi="Arial" w:cs="Arial"/>
          <w:sz w:val="20"/>
          <w:szCs w:val="20"/>
        </w:rPr>
        <w:t xml:space="preserve">Sphericity (%) was determined using the method of </w:t>
      </w:r>
      <w:r w:rsidR="006214F7" w:rsidRPr="00526B0F">
        <w:rPr>
          <w:rFonts w:ascii="Arial" w:hAnsi="Arial" w:cs="Arial"/>
          <w:sz w:val="20"/>
          <w:szCs w:val="20"/>
        </w:rPr>
        <w:t xml:space="preserve">(Hamdani et al., 2014) </w:t>
      </w:r>
      <w:r w:rsidRPr="00526B0F">
        <w:rPr>
          <w:rFonts w:ascii="Arial" w:hAnsi="Arial" w:cs="Arial"/>
          <w:sz w:val="20"/>
          <w:szCs w:val="20"/>
        </w:rPr>
        <w:t>and is defined as the ratio of the surface area of a sphere having the same volume as the grain to the surface area of the grain.</w:t>
      </w:r>
    </w:p>
    <w:p w14:paraId="1DD893EB" w14:textId="77777777" w:rsidR="00E4428C" w:rsidRPr="00526B0F" w:rsidRDefault="00E4428C" w:rsidP="00E4428C">
      <w:pPr>
        <w:spacing w:line="360" w:lineRule="auto"/>
        <w:jc w:val="both"/>
        <w:rPr>
          <w:rFonts w:ascii="Arial" w:eastAsiaTheme="minorEastAsia" w:hAnsi="Arial" w:cs="Arial"/>
          <w:sz w:val="20"/>
          <w:szCs w:val="20"/>
        </w:rPr>
      </w:pPr>
      <m:oMath>
        <m:r>
          <w:rPr>
            <w:rFonts w:ascii="Cambria Math" w:hAnsi="Cambria Math" w:cs="Arial"/>
            <w:sz w:val="20"/>
            <w:szCs w:val="20"/>
          </w:rPr>
          <m:t>Φ=</m:t>
        </m:r>
        <m:f>
          <m:fPr>
            <m:ctrlPr>
              <w:rPr>
                <w:rFonts w:ascii="Cambria Math" w:hAnsi="Cambria Math" w:cs="Arial"/>
                <w:i/>
                <w:sz w:val="20"/>
                <w:szCs w:val="20"/>
              </w:rPr>
            </m:ctrlPr>
          </m:fPr>
          <m:num>
            <m:d>
              <m:dPr>
                <m:ctrlPr>
                  <w:rPr>
                    <w:rFonts w:ascii="Cambria Math" w:hAnsi="Cambria Math" w:cs="Arial"/>
                    <w:i/>
                    <w:sz w:val="20"/>
                    <w:szCs w:val="20"/>
                  </w:rPr>
                </m:ctrlPr>
              </m:dPr>
              <m:e>
                <m:r>
                  <w:rPr>
                    <w:rFonts w:ascii="Cambria Math" w:hAnsi="Cambria Math" w:cs="Arial"/>
                    <w:sz w:val="20"/>
                    <w:szCs w:val="20"/>
                  </w:rPr>
                  <m:t>LWT</m:t>
                </m:r>
              </m:e>
            </m:d>
            <m:r>
              <w:rPr>
                <w:rFonts w:ascii="Cambria Math" w:hAnsi="Cambria Math" w:cs="Arial"/>
                <w:sz w:val="20"/>
                <w:szCs w:val="20"/>
              </w:rPr>
              <m:t>1/3</m:t>
            </m:r>
          </m:num>
          <m:den>
            <m:r>
              <w:rPr>
                <w:rFonts w:ascii="Cambria Math" w:hAnsi="Cambria Math" w:cs="Arial"/>
                <w:sz w:val="20"/>
                <w:szCs w:val="20"/>
              </w:rPr>
              <m:t>L</m:t>
            </m:r>
          </m:den>
        </m:f>
        <m:r>
          <w:rPr>
            <w:rFonts w:ascii="Cambria Math" w:hAnsi="Cambria Math" w:cs="Arial"/>
            <w:sz w:val="20"/>
            <w:szCs w:val="20"/>
          </w:rPr>
          <m:t xml:space="preserve"> ×100</m:t>
        </m:r>
      </m:oMath>
      <w:r w:rsidRPr="00526B0F">
        <w:rPr>
          <w:rFonts w:ascii="Arial" w:eastAsiaTheme="minorEastAsia" w:hAnsi="Arial" w:cs="Arial"/>
          <w:sz w:val="20"/>
          <w:szCs w:val="20"/>
        </w:rPr>
        <w:t xml:space="preserve"> </w:t>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Arial" w:eastAsiaTheme="minorEastAsia" w:hAnsi="Arial" w:cs="Arial"/>
          <w:sz w:val="20"/>
          <w:szCs w:val="20"/>
        </w:rPr>
        <w:t>(6)</w:t>
      </w:r>
    </w:p>
    <w:p w14:paraId="18AF5BF7" w14:textId="77777777" w:rsidR="00E4428C" w:rsidRPr="00526B0F" w:rsidRDefault="00E4428C" w:rsidP="00E4428C">
      <w:pPr>
        <w:spacing w:line="360" w:lineRule="auto"/>
        <w:jc w:val="both"/>
        <w:rPr>
          <w:rFonts w:ascii="Times New Roman" w:eastAsiaTheme="minorEastAsia" w:hAnsi="Times New Roman" w:cs="Times New Roman"/>
          <w:sz w:val="20"/>
          <w:szCs w:val="20"/>
        </w:rPr>
      </w:pPr>
      <w:r w:rsidRPr="00526B0F">
        <w:rPr>
          <w:rFonts w:ascii="Times New Roman" w:eastAsiaTheme="minorEastAsia" w:hAnsi="Times New Roman" w:cs="Times New Roman"/>
          <w:sz w:val="20"/>
          <w:szCs w:val="20"/>
        </w:rPr>
        <w:t>Where: Φ = Sphericity</w:t>
      </w:r>
    </w:p>
    <w:p w14:paraId="1A67D20C" w14:textId="77777777" w:rsidR="00E4428C" w:rsidRPr="00F57314" w:rsidRDefault="00E4428C" w:rsidP="00E4428C">
      <w:pPr>
        <w:pStyle w:val="ListParagraph"/>
        <w:numPr>
          <w:ilvl w:val="0"/>
          <w:numId w:val="2"/>
        </w:numPr>
        <w:spacing w:line="360" w:lineRule="auto"/>
        <w:jc w:val="both"/>
        <w:rPr>
          <w:rFonts w:ascii="Arial" w:eastAsiaTheme="minorEastAsia" w:hAnsi="Arial" w:cs="Arial"/>
          <w:b/>
          <w:bCs/>
          <w:i/>
          <w:iCs/>
          <w:sz w:val="20"/>
          <w:szCs w:val="20"/>
        </w:rPr>
      </w:pPr>
      <w:r w:rsidRPr="00F57314">
        <w:rPr>
          <w:rFonts w:ascii="Arial" w:eastAsiaTheme="minorEastAsia" w:hAnsi="Arial" w:cs="Arial"/>
          <w:b/>
          <w:bCs/>
          <w:i/>
          <w:iCs/>
          <w:sz w:val="20"/>
          <w:szCs w:val="20"/>
        </w:rPr>
        <w:t xml:space="preserve">Aspect Ratio </w:t>
      </w:r>
    </w:p>
    <w:p w14:paraId="1BF1DC7F" w14:textId="24A889BC" w:rsidR="00E4428C" w:rsidRPr="00526B0F" w:rsidRDefault="00E4428C" w:rsidP="00E4428C">
      <w:pPr>
        <w:spacing w:line="360" w:lineRule="auto"/>
        <w:jc w:val="both"/>
        <w:rPr>
          <w:rFonts w:ascii="Arial" w:eastAsiaTheme="minorEastAsia" w:hAnsi="Arial" w:cs="Arial"/>
          <w:sz w:val="20"/>
          <w:szCs w:val="20"/>
        </w:rPr>
      </w:pPr>
      <w:r w:rsidRPr="00526B0F">
        <w:rPr>
          <w:rFonts w:ascii="Arial" w:eastAsiaTheme="minorEastAsia" w:hAnsi="Arial" w:cs="Arial"/>
          <w:sz w:val="20"/>
          <w:szCs w:val="20"/>
        </w:rPr>
        <w:t xml:space="preserve">Using the </w:t>
      </w:r>
      <w:proofErr w:type="spellStart"/>
      <w:r w:rsidR="006214F7" w:rsidRPr="00526B0F">
        <w:rPr>
          <w:rFonts w:ascii="Arial" w:eastAsiaTheme="minorEastAsia" w:hAnsi="Arial" w:cs="Arial"/>
          <w:sz w:val="20"/>
          <w:szCs w:val="20"/>
        </w:rPr>
        <w:t>Vanrnamkhasti</w:t>
      </w:r>
      <w:proofErr w:type="spellEnd"/>
      <w:r w:rsidR="006214F7" w:rsidRPr="00526B0F">
        <w:rPr>
          <w:rFonts w:ascii="Arial" w:eastAsiaTheme="minorEastAsia" w:hAnsi="Arial" w:cs="Arial"/>
          <w:sz w:val="20"/>
          <w:szCs w:val="20"/>
        </w:rPr>
        <w:t xml:space="preserve"> et al. (2008)</w:t>
      </w:r>
      <w:r w:rsidRPr="00526B0F">
        <w:rPr>
          <w:rFonts w:ascii="Arial" w:eastAsiaTheme="minorEastAsia" w:hAnsi="Arial" w:cs="Arial"/>
          <w:sz w:val="20"/>
          <w:szCs w:val="20"/>
        </w:rPr>
        <w:t xml:space="preserve"> method, the aspect ratio (%) was determined as follows:</w:t>
      </w:r>
    </w:p>
    <w:p w14:paraId="28A4A837" w14:textId="77777777" w:rsidR="00E4428C" w:rsidRPr="00526B0F" w:rsidRDefault="00E4428C" w:rsidP="00E4428C">
      <w:pPr>
        <w:spacing w:line="360" w:lineRule="auto"/>
        <w:jc w:val="both"/>
        <w:rPr>
          <w:rFonts w:ascii="Arial" w:eastAsiaTheme="minorEastAsia" w:hAnsi="Arial" w:cs="Arial"/>
          <w:sz w:val="20"/>
          <w:szCs w:val="20"/>
        </w:rPr>
      </w:pPr>
      <m:oMath>
        <m:r>
          <w:rPr>
            <w:rFonts w:ascii="Cambria Math" w:eastAsiaTheme="minorEastAsia" w:hAnsi="Cambria Math" w:cs="Arial"/>
            <w:sz w:val="20"/>
            <w:szCs w:val="20"/>
          </w:rPr>
          <m:t>Aspect ratio=</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Width</m:t>
            </m:r>
          </m:num>
          <m:den>
            <m:r>
              <w:rPr>
                <w:rFonts w:ascii="Cambria Math" w:eastAsiaTheme="minorEastAsia" w:hAnsi="Cambria Math" w:cs="Arial"/>
                <w:sz w:val="20"/>
                <w:szCs w:val="20"/>
              </w:rPr>
              <m:t>Length</m:t>
            </m:r>
          </m:den>
        </m:f>
        <m:r>
          <w:rPr>
            <w:rFonts w:ascii="Cambria Math" w:eastAsiaTheme="minorEastAsia" w:hAnsi="Cambria Math" w:cs="Arial"/>
            <w:sz w:val="20"/>
            <w:szCs w:val="20"/>
          </w:rPr>
          <m:t xml:space="preserve"> ×100</m:t>
        </m:r>
      </m:oMath>
      <w:r w:rsidRPr="00526B0F">
        <w:rPr>
          <w:rFonts w:ascii="Arial" w:eastAsiaTheme="minorEastAsia" w:hAnsi="Arial" w:cs="Arial"/>
          <w:sz w:val="20"/>
          <w:szCs w:val="20"/>
        </w:rPr>
        <w:t xml:space="preserve">  </w:t>
      </w:r>
      <w:r w:rsidRPr="00526B0F">
        <w:rPr>
          <w:rFonts w:ascii="Arial" w:eastAsiaTheme="minorEastAsia" w:hAnsi="Arial" w:cs="Arial"/>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Times New Roman" w:eastAsiaTheme="minorEastAsia" w:hAnsi="Times New Roman" w:cs="Times New Roman"/>
          <w:sz w:val="20"/>
          <w:szCs w:val="20"/>
        </w:rPr>
        <w:tab/>
      </w:r>
      <w:r w:rsidRPr="00526B0F">
        <w:rPr>
          <w:rFonts w:ascii="Arial" w:eastAsiaTheme="minorEastAsia" w:hAnsi="Arial" w:cs="Arial"/>
          <w:sz w:val="20"/>
          <w:szCs w:val="20"/>
        </w:rPr>
        <w:t>(7)</w:t>
      </w:r>
    </w:p>
    <w:p w14:paraId="4FD602AC" w14:textId="77777777" w:rsidR="00E4428C" w:rsidRPr="00F57314" w:rsidRDefault="00E4428C" w:rsidP="00E4428C">
      <w:pPr>
        <w:pStyle w:val="ListParagraph"/>
        <w:numPr>
          <w:ilvl w:val="0"/>
          <w:numId w:val="2"/>
        </w:numPr>
        <w:spacing w:line="360" w:lineRule="auto"/>
        <w:jc w:val="both"/>
        <w:rPr>
          <w:rFonts w:ascii="Arial" w:eastAsiaTheme="minorEastAsia" w:hAnsi="Arial" w:cs="Arial"/>
          <w:b/>
          <w:bCs/>
          <w:i/>
          <w:iCs/>
          <w:sz w:val="20"/>
          <w:szCs w:val="20"/>
        </w:rPr>
      </w:pPr>
      <w:r w:rsidRPr="00F57314">
        <w:rPr>
          <w:rFonts w:ascii="Arial" w:eastAsiaTheme="minorEastAsia" w:hAnsi="Arial" w:cs="Arial"/>
          <w:b/>
          <w:bCs/>
          <w:i/>
          <w:iCs/>
          <w:sz w:val="20"/>
          <w:szCs w:val="20"/>
        </w:rPr>
        <w:t xml:space="preserve">Shape and colour </w:t>
      </w:r>
    </w:p>
    <w:p w14:paraId="60315F44" w14:textId="77777777" w:rsidR="00E4428C" w:rsidRPr="00FB75BB" w:rsidRDefault="00E4428C" w:rsidP="00E4428C">
      <w:pPr>
        <w:spacing w:line="360" w:lineRule="auto"/>
        <w:jc w:val="both"/>
        <w:rPr>
          <w:rFonts w:ascii="Arial" w:hAnsi="Arial" w:cs="Arial"/>
          <w:sz w:val="20"/>
          <w:szCs w:val="20"/>
        </w:rPr>
      </w:pPr>
      <w:r w:rsidRPr="00FB75BB">
        <w:rPr>
          <w:rFonts w:ascii="Arial" w:hAnsi="Arial" w:cs="Arial"/>
          <w:sz w:val="20"/>
          <w:szCs w:val="20"/>
        </w:rPr>
        <w:t xml:space="preserve">The shape and colour of little millet and barnyard millet were determined visually. </w:t>
      </w:r>
    </w:p>
    <w:p w14:paraId="6120AB49" w14:textId="77777777" w:rsidR="00E4428C" w:rsidRPr="00F57314" w:rsidRDefault="00E4428C" w:rsidP="00E4428C">
      <w:pPr>
        <w:pStyle w:val="ListParagraph"/>
        <w:numPr>
          <w:ilvl w:val="2"/>
          <w:numId w:val="1"/>
        </w:numPr>
        <w:spacing w:line="360" w:lineRule="auto"/>
        <w:jc w:val="both"/>
        <w:rPr>
          <w:rFonts w:ascii="Arial" w:eastAsiaTheme="minorEastAsia" w:hAnsi="Arial" w:cs="Arial"/>
          <w:b/>
          <w:bCs/>
          <w:sz w:val="20"/>
          <w:szCs w:val="20"/>
        </w:rPr>
      </w:pPr>
      <w:r w:rsidRPr="00F57314">
        <w:rPr>
          <w:rFonts w:ascii="Arial" w:hAnsi="Arial" w:cs="Arial"/>
          <w:b/>
          <w:bCs/>
          <w:i/>
          <w:iCs/>
          <w:sz w:val="20"/>
          <w:szCs w:val="20"/>
        </w:rPr>
        <w:t>Proximate composition</w:t>
      </w:r>
    </w:p>
    <w:p w14:paraId="3D580BD3" w14:textId="5C25B882" w:rsidR="00E4428C" w:rsidRPr="00FB75BB" w:rsidRDefault="00E4428C" w:rsidP="00E4428C">
      <w:pPr>
        <w:spacing w:line="360" w:lineRule="auto"/>
        <w:jc w:val="both"/>
        <w:rPr>
          <w:rFonts w:ascii="Arial" w:hAnsi="Arial" w:cs="Arial"/>
          <w:sz w:val="20"/>
          <w:szCs w:val="20"/>
        </w:rPr>
      </w:pPr>
      <w:r w:rsidRPr="00FB75BB">
        <w:rPr>
          <w:rFonts w:ascii="Arial" w:hAnsi="Arial" w:cs="Arial"/>
          <w:sz w:val="20"/>
          <w:szCs w:val="20"/>
        </w:rPr>
        <w:t>The proximate composition (moisture</w:t>
      </w:r>
      <w:r w:rsidR="00422B82" w:rsidRPr="00FB75BB">
        <w:rPr>
          <w:rFonts w:ascii="Arial" w:hAnsi="Arial" w:cs="Arial"/>
          <w:sz w:val="20"/>
          <w:szCs w:val="20"/>
        </w:rPr>
        <w:t xml:space="preserve"> AOAC Method 930.15</w:t>
      </w:r>
      <w:r w:rsidRPr="00FB75BB">
        <w:rPr>
          <w:rFonts w:ascii="Arial" w:hAnsi="Arial" w:cs="Arial"/>
          <w:sz w:val="20"/>
          <w:szCs w:val="20"/>
        </w:rPr>
        <w:t xml:space="preserve">, </w:t>
      </w:r>
      <w:r w:rsidR="00422B82" w:rsidRPr="00FB75BB">
        <w:rPr>
          <w:rFonts w:ascii="Arial" w:hAnsi="Arial" w:cs="Arial"/>
          <w:sz w:val="20"/>
          <w:szCs w:val="20"/>
        </w:rPr>
        <w:t xml:space="preserve">1990, </w:t>
      </w:r>
      <w:r w:rsidRPr="00FB75BB">
        <w:rPr>
          <w:rFonts w:ascii="Arial" w:hAnsi="Arial" w:cs="Arial"/>
          <w:sz w:val="20"/>
          <w:szCs w:val="20"/>
        </w:rPr>
        <w:t>protein</w:t>
      </w:r>
      <w:r w:rsidR="00422B82" w:rsidRPr="00FB75BB">
        <w:rPr>
          <w:rFonts w:ascii="Arial" w:hAnsi="Arial" w:cs="Arial"/>
          <w:sz w:val="20"/>
          <w:szCs w:val="20"/>
        </w:rPr>
        <w:t xml:space="preserve"> AOAC Method 981.10, 1990</w:t>
      </w:r>
      <w:r w:rsidRPr="00FB75BB">
        <w:rPr>
          <w:rFonts w:ascii="Arial" w:hAnsi="Arial" w:cs="Arial"/>
          <w:sz w:val="20"/>
          <w:szCs w:val="20"/>
        </w:rPr>
        <w:t>, fat</w:t>
      </w:r>
      <w:r w:rsidR="00422B82" w:rsidRPr="00FB75BB">
        <w:rPr>
          <w:rFonts w:ascii="Arial" w:hAnsi="Arial" w:cs="Arial"/>
          <w:sz w:val="20"/>
          <w:szCs w:val="20"/>
        </w:rPr>
        <w:t xml:space="preserve"> AOAC Method 920.39, 1990</w:t>
      </w:r>
      <w:r w:rsidRPr="00FB75BB">
        <w:rPr>
          <w:rFonts w:ascii="Arial" w:hAnsi="Arial" w:cs="Arial"/>
          <w:sz w:val="20"/>
          <w:szCs w:val="20"/>
        </w:rPr>
        <w:t>, and ash</w:t>
      </w:r>
      <w:r w:rsidR="000A6DE1" w:rsidRPr="00FB75BB">
        <w:rPr>
          <w:rFonts w:ascii="Arial" w:hAnsi="Arial" w:cs="Arial"/>
          <w:sz w:val="20"/>
          <w:szCs w:val="20"/>
        </w:rPr>
        <w:t xml:space="preserve"> AOAC Method 923.03, 1995</w:t>
      </w:r>
      <w:r w:rsidRPr="00FB75BB">
        <w:rPr>
          <w:rFonts w:ascii="Arial" w:hAnsi="Arial" w:cs="Arial"/>
          <w:sz w:val="20"/>
          <w:szCs w:val="20"/>
        </w:rPr>
        <w:t xml:space="preserve">) of little millet and barnyard millet was determined as per the specifications given </w:t>
      </w:r>
      <w:r w:rsidR="000A6DE1" w:rsidRPr="00FB75BB">
        <w:rPr>
          <w:rFonts w:ascii="Arial" w:hAnsi="Arial" w:cs="Arial"/>
          <w:sz w:val="20"/>
          <w:szCs w:val="20"/>
        </w:rPr>
        <w:t xml:space="preserve">above. </w:t>
      </w:r>
      <w:r w:rsidRPr="00FB75BB">
        <w:rPr>
          <w:rFonts w:ascii="Arial" w:hAnsi="Arial" w:cs="Arial"/>
          <w:sz w:val="20"/>
          <w:szCs w:val="20"/>
        </w:rPr>
        <w:t xml:space="preserve">The carbohydrate content of the little millet and barnyard millet grains was determined by difference method AOAC (1995). Calories per gram of the macronutrient are expressed as average energy. Energy levels of 4 kcal per gram (kcal/g) (17 kJ/g) for protein, 4 kcal/g for carbohydrates, and 9 kcal/g (37 kJ/g) for fat are all included in the </w:t>
      </w:r>
      <w:proofErr w:type="spellStart"/>
      <w:r w:rsidRPr="00FB75BB">
        <w:rPr>
          <w:rFonts w:ascii="Arial" w:hAnsi="Arial" w:cs="Arial"/>
          <w:sz w:val="20"/>
          <w:szCs w:val="20"/>
        </w:rPr>
        <w:t>atwater</w:t>
      </w:r>
      <w:proofErr w:type="spellEnd"/>
      <w:r w:rsidRPr="00FB75BB">
        <w:rPr>
          <w:rFonts w:ascii="Arial" w:hAnsi="Arial" w:cs="Arial"/>
          <w:sz w:val="20"/>
          <w:szCs w:val="20"/>
        </w:rPr>
        <w:t xml:space="preserve"> general factor system. It was calculated by multiplying the average values of macronutrients by 1 gram of Kcal values. </w:t>
      </w:r>
    </w:p>
    <w:p w14:paraId="75CA849A" w14:textId="77777777" w:rsidR="00E4428C" w:rsidRPr="00F57314" w:rsidRDefault="00E4428C" w:rsidP="00E4428C">
      <w:pPr>
        <w:pStyle w:val="ListParagraph"/>
        <w:numPr>
          <w:ilvl w:val="2"/>
          <w:numId w:val="1"/>
        </w:numPr>
        <w:spacing w:line="360" w:lineRule="auto"/>
        <w:jc w:val="both"/>
        <w:rPr>
          <w:rFonts w:ascii="Arial" w:hAnsi="Arial" w:cs="Arial"/>
          <w:b/>
          <w:bCs/>
          <w:i/>
          <w:iCs/>
          <w:sz w:val="20"/>
          <w:szCs w:val="20"/>
        </w:rPr>
      </w:pPr>
      <w:r w:rsidRPr="00F57314">
        <w:rPr>
          <w:rFonts w:ascii="Arial" w:hAnsi="Arial" w:cs="Arial"/>
          <w:b/>
          <w:bCs/>
          <w:i/>
          <w:iCs/>
          <w:sz w:val="20"/>
          <w:szCs w:val="20"/>
        </w:rPr>
        <w:t>Statistical analysis</w:t>
      </w:r>
    </w:p>
    <w:p w14:paraId="754DF7CF" w14:textId="77777777" w:rsidR="00E4428C" w:rsidRPr="00FB75BB" w:rsidRDefault="00E4428C" w:rsidP="00E4428C">
      <w:pPr>
        <w:spacing w:line="360" w:lineRule="auto"/>
        <w:jc w:val="both"/>
        <w:rPr>
          <w:rFonts w:ascii="Arial" w:hAnsi="Arial" w:cs="Arial"/>
          <w:sz w:val="20"/>
          <w:szCs w:val="20"/>
        </w:rPr>
      </w:pPr>
      <w:r w:rsidRPr="00FB75BB">
        <w:rPr>
          <w:rFonts w:ascii="Arial" w:hAnsi="Arial" w:cs="Arial"/>
          <w:sz w:val="20"/>
          <w:szCs w:val="20"/>
        </w:rPr>
        <w:t xml:space="preserve">The statistical analysis was performed using a one-way analysis of variance (ANOVA) with Tukey's comparison tests in Origin software (Northampton, Massachusetts, USA). A significance level of </w:t>
      </w:r>
      <w:r w:rsidRPr="00FB75BB">
        <w:rPr>
          <w:rFonts w:ascii="Arial" w:hAnsi="Arial" w:cs="Arial"/>
          <w:i/>
          <w:iCs/>
          <w:sz w:val="20"/>
          <w:szCs w:val="20"/>
        </w:rPr>
        <w:t>P &lt; 0.05</w:t>
      </w:r>
      <w:r w:rsidRPr="00FB75BB">
        <w:rPr>
          <w:rFonts w:ascii="Arial" w:hAnsi="Arial" w:cs="Arial"/>
          <w:sz w:val="20"/>
          <w:szCs w:val="20"/>
        </w:rPr>
        <w:t xml:space="preserve"> was established to determine differences among the samples.</w:t>
      </w:r>
    </w:p>
    <w:p w14:paraId="181AA897" w14:textId="77777777" w:rsidR="003D71AF" w:rsidRPr="00F57314" w:rsidRDefault="003D71AF" w:rsidP="003D71AF">
      <w:pPr>
        <w:pStyle w:val="ListParagraph"/>
        <w:numPr>
          <w:ilvl w:val="0"/>
          <w:numId w:val="1"/>
        </w:numPr>
        <w:spacing w:line="360" w:lineRule="auto"/>
        <w:jc w:val="both"/>
        <w:rPr>
          <w:rFonts w:ascii="Arial" w:eastAsiaTheme="minorEastAsia" w:hAnsi="Arial" w:cs="Arial"/>
          <w:b/>
          <w:bCs/>
          <w:szCs w:val="22"/>
        </w:rPr>
      </w:pPr>
      <w:r w:rsidRPr="00F57314">
        <w:rPr>
          <w:rFonts w:ascii="Arial" w:eastAsiaTheme="minorEastAsia" w:hAnsi="Arial" w:cs="Arial"/>
          <w:b/>
          <w:bCs/>
          <w:szCs w:val="22"/>
        </w:rPr>
        <w:t xml:space="preserve">Result and Discussion </w:t>
      </w:r>
    </w:p>
    <w:p w14:paraId="51C26F10" w14:textId="77777777" w:rsidR="003D71AF" w:rsidRPr="00F57314" w:rsidRDefault="003D71AF" w:rsidP="003D71AF">
      <w:pPr>
        <w:pStyle w:val="ListParagraph"/>
        <w:numPr>
          <w:ilvl w:val="1"/>
          <w:numId w:val="1"/>
        </w:numPr>
        <w:spacing w:line="360" w:lineRule="auto"/>
        <w:jc w:val="both"/>
        <w:rPr>
          <w:rFonts w:ascii="Arial" w:eastAsiaTheme="minorEastAsia" w:hAnsi="Arial" w:cs="Arial"/>
          <w:b/>
          <w:bCs/>
          <w:sz w:val="20"/>
          <w:szCs w:val="20"/>
        </w:rPr>
      </w:pPr>
      <w:r w:rsidRPr="00F57314">
        <w:rPr>
          <w:rFonts w:ascii="Arial" w:hAnsi="Arial" w:cs="Arial"/>
          <w:b/>
          <w:bCs/>
          <w:i/>
          <w:iCs/>
          <w:sz w:val="20"/>
          <w:szCs w:val="20"/>
        </w:rPr>
        <w:t>Dimensional and structural properties</w:t>
      </w:r>
    </w:p>
    <w:p w14:paraId="15B0C3F4" w14:textId="3BF5DCFD" w:rsidR="003D71AF" w:rsidRPr="00C448AF" w:rsidRDefault="003D71AF" w:rsidP="003D71AF">
      <w:pPr>
        <w:spacing w:after="0" w:line="360" w:lineRule="auto"/>
        <w:jc w:val="both"/>
        <w:rPr>
          <w:rFonts w:ascii="Arial" w:hAnsi="Arial" w:cs="Arial"/>
          <w:sz w:val="20"/>
          <w:szCs w:val="20"/>
        </w:rPr>
      </w:pPr>
      <w:r w:rsidRPr="00C448AF">
        <w:rPr>
          <w:rFonts w:ascii="Arial" w:eastAsia="Times New Roman" w:hAnsi="Arial" w:cs="Arial"/>
          <w:kern w:val="0"/>
          <w:sz w:val="20"/>
          <w:szCs w:val="20"/>
          <w:lang w:eastAsia="en-IN" w:bidi="ar-SA"/>
          <w14:ligatures w14:val="none"/>
        </w:rPr>
        <w:lastRenderedPageBreak/>
        <w:t>Dimensional and structural properties such as length, width, thickness, arithmetic mean diameter, geometric mean diameter, bulk density, true density, porosity, Sphericity, aspect ratio, thousand kernel weights, and others are crucial for processing and value addition. Designing handling, transportation, storage, and processing equipment requires a thorough understanding of the dimensional and structural properties of grains and seeds. In separation procedures using oscillating chafers and gravity tables, size, shape, and density are crucial. The bulk density and porosity are essential characteristics in the construction of aeration and drying systems because they influence the resistance to airflow through a stored mass (Mane et al., 2022)</w:t>
      </w:r>
      <w:r w:rsidRPr="00C448AF">
        <w:rPr>
          <w:rFonts w:ascii="Arial" w:hAnsi="Arial" w:cs="Arial"/>
          <w:sz w:val="20"/>
          <w:szCs w:val="20"/>
        </w:rPr>
        <w:t>. When it comes to cleaning, especially threshing processes, grain dimensions are crucial. Screens are required in these processes because they allow the passage of particular grain sizes and other undesirable elements (Brennan et al., 1981). Figure 1 depicts the grains of little Millet and barnyard millet.</w:t>
      </w:r>
    </w:p>
    <w:p w14:paraId="3BAA9681" w14:textId="77777777" w:rsidR="003D71AF" w:rsidRPr="003D71AF" w:rsidRDefault="003D71AF" w:rsidP="003D71AF">
      <w:pPr>
        <w:spacing w:after="0" w:line="360" w:lineRule="auto"/>
        <w:jc w:val="both"/>
        <w:rPr>
          <w:rFonts w:ascii="Times New Roman" w:hAnsi="Times New Roman" w:cs="Times New Roman"/>
          <w:sz w:val="20"/>
          <w:szCs w:val="20"/>
        </w:rPr>
      </w:pPr>
    </w:p>
    <w:p w14:paraId="395A3558" w14:textId="1A14B330" w:rsidR="003D71AF" w:rsidRPr="00057903" w:rsidRDefault="003D71AF" w:rsidP="003D71AF">
      <w:pPr>
        <w:spacing w:line="360" w:lineRule="auto"/>
        <w:jc w:val="both"/>
        <w:rPr>
          <w:rFonts w:ascii="Arial" w:hAnsi="Arial" w:cs="Arial"/>
          <w:b/>
          <w:bCs/>
          <w:sz w:val="20"/>
          <w:szCs w:val="20"/>
        </w:rPr>
      </w:pPr>
      <w:r w:rsidRPr="00057903">
        <w:rPr>
          <w:rFonts w:ascii="Arial" w:hAnsi="Arial" w:cs="Arial"/>
          <w:b/>
          <w:bCs/>
          <w:sz w:val="20"/>
          <w:szCs w:val="20"/>
        </w:rPr>
        <w:t xml:space="preserve">Figure 1: </w:t>
      </w:r>
      <w:r w:rsidR="00DF6168">
        <w:rPr>
          <w:rFonts w:ascii="Arial" w:hAnsi="Arial" w:cs="Arial"/>
          <w:b/>
          <w:bCs/>
          <w:sz w:val="20"/>
          <w:szCs w:val="20"/>
        </w:rPr>
        <w:t>Describing the structural</w:t>
      </w:r>
      <w:r w:rsidR="00763761">
        <w:rPr>
          <w:rFonts w:ascii="Arial" w:hAnsi="Arial" w:cs="Arial"/>
          <w:b/>
          <w:bCs/>
          <w:sz w:val="20"/>
          <w:szCs w:val="20"/>
        </w:rPr>
        <w:t xml:space="preserve"> properties</w:t>
      </w:r>
      <w:r w:rsidR="00DF6168">
        <w:rPr>
          <w:rFonts w:ascii="Arial" w:hAnsi="Arial" w:cs="Arial"/>
          <w:b/>
          <w:bCs/>
          <w:sz w:val="20"/>
          <w:szCs w:val="20"/>
        </w:rPr>
        <w:t xml:space="preserve"> </w:t>
      </w:r>
      <w:r w:rsidR="00763761">
        <w:rPr>
          <w:rFonts w:ascii="Arial" w:hAnsi="Arial" w:cs="Arial"/>
          <w:b/>
          <w:bCs/>
          <w:sz w:val="20"/>
          <w:szCs w:val="20"/>
        </w:rPr>
        <w:t xml:space="preserve">and proximate analysis of grains </w:t>
      </w:r>
    </w:p>
    <w:p w14:paraId="1E2EDA28" w14:textId="6D354EC3" w:rsidR="003D71AF" w:rsidRPr="001C6F6B" w:rsidRDefault="00057903" w:rsidP="003D71AF">
      <w:pPr>
        <w:spacing w:line="360" w:lineRule="auto"/>
        <w:jc w:val="both"/>
        <w:rPr>
          <w:rFonts w:ascii="Times New Roman" w:hAnsi="Times New Roman" w:cs="Times New Roman"/>
          <w:sz w:val="20"/>
          <w:szCs w:val="20"/>
        </w:rPr>
      </w:pPr>
      <w:r>
        <w:rPr>
          <w:rFonts w:ascii="Times New Roman" w:hAnsi="Times New Roman" w:cs="Times New Roman"/>
          <w:b/>
          <w:bCs/>
          <w:noProof/>
          <w:sz w:val="24"/>
          <w:szCs w:val="24"/>
        </w:rPr>
        <w:drawing>
          <wp:inline distT="0" distB="0" distL="0" distR="0" wp14:anchorId="311B884D" wp14:editId="05D21D64">
            <wp:extent cx="5788617" cy="3256016"/>
            <wp:effectExtent l="0" t="0" r="3175" b="1905"/>
            <wp:docPr id="171632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878" name="Picture 416887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05588" cy="3265562"/>
                    </a:xfrm>
                    <a:prstGeom prst="rect">
                      <a:avLst/>
                    </a:prstGeom>
                  </pic:spPr>
                </pic:pic>
              </a:graphicData>
            </a:graphic>
          </wp:inline>
        </w:drawing>
      </w:r>
    </w:p>
    <w:p w14:paraId="7248FE44" w14:textId="77777777" w:rsidR="003D71AF" w:rsidRPr="00057903" w:rsidRDefault="003D71AF" w:rsidP="00057903">
      <w:pPr>
        <w:spacing w:after="0" w:line="360" w:lineRule="auto"/>
        <w:jc w:val="both"/>
        <w:rPr>
          <w:rFonts w:ascii="Times New Roman" w:hAnsi="Times New Roman" w:cs="Times New Roman"/>
          <w:sz w:val="20"/>
          <w:szCs w:val="20"/>
        </w:rPr>
      </w:pPr>
    </w:p>
    <w:p w14:paraId="754F7687" w14:textId="77777777" w:rsidR="003D71AF" w:rsidRPr="00C448AF" w:rsidRDefault="003D71AF" w:rsidP="003D71AF">
      <w:pPr>
        <w:pStyle w:val="ListParagraph"/>
        <w:numPr>
          <w:ilvl w:val="0"/>
          <w:numId w:val="3"/>
        </w:numPr>
        <w:spacing w:after="0" w:line="360" w:lineRule="auto"/>
        <w:jc w:val="both"/>
        <w:rPr>
          <w:rFonts w:ascii="Arial" w:hAnsi="Arial" w:cs="Arial"/>
          <w:b/>
          <w:bCs/>
          <w:i/>
          <w:iCs/>
          <w:sz w:val="20"/>
          <w:szCs w:val="20"/>
        </w:rPr>
      </w:pPr>
      <w:r w:rsidRPr="00C448AF">
        <w:rPr>
          <w:rFonts w:ascii="Arial" w:hAnsi="Arial" w:cs="Arial"/>
          <w:b/>
          <w:bCs/>
          <w:i/>
          <w:iCs/>
          <w:sz w:val="20"/>
          <w:szCs w:val="20"/>
        </w:rPr>
        <w:t>Length, width and thickness</w:t>
      </w:r>
    </w:p>
    <w:p w14:paraId="048314C1" w14:textId="45CDE38C" w:rsidR="003D71AF" w:rsidRPr="00C448AF" w:rsidRDefault="003D71AF" w:rsidP="003D71AF">
      <w:pPr>
        <w:spacing w:after="0" w:line="360" w:lineRule="auto"/>
        <w:jc w:val="both"/>
        <w:rPr>
          <w:rFonts w:ascii="Arial" w:hAnsi="Arial" w:cs="Arial"/>
          <w:sz w:val="20"/>
          <w:szCs w:val="20"/>
        </w:rPr>
      </w:pPr>
      <w:r w:rsidRPr="00C448AF">
        <w:rPr>
          <w:rFonts w:ascii="Arial" w:hAnsi="Arial" w:cs="Arial"/>
          <w:sz w:val="20"/>
          <w:szCs w:val="20"/>
        </w:rPr>
        <w:t xml:space="preserve">The length (mm), width (mm) and thickness (mm) of the little millet and barnyard millet grains ranged between 3.016 ± 0.007 - 3.246 ± 0.012 mm, 1.660 ± 0.233 - 1.812 ± 0.011 mm, 1.356 ± 0.023 - 1.161 ± 0.003 mm. Similar findings of the dimensional attributes of the grains were reported by (Rao et al., 2020; </w:t>
      </w:r>
      <w:proofErr w:type="spellStart"/>
      <w:r w:rsidRPr="00C448AF">
        <w:rPr>
          <w:rFonts w:ascii="Arial" w:hAnsi="Arial" w:cs="Arial"/>
          <w:sz w:val="20"/>
          <w:szCs w:val="20"/>
        </w:rPr>
        <w:t>Dhabale</w:t>
      </w:r>
      <w:proofErr w:type="spellEnd"/>
      <w:r w:rsidRPr="00C448AF">
        <w:rPr>
          <w:rFonts w:ascii="Arial" w:hAnsi="Arial" w:cs="Arial"/>
          <w:sz w:val="20"/>
          <w:szCs w:val="20"/>
        </w:rPr>
        <w:t xml:space="preserve"> et al., 2024). </w:t>
      </w:r>
    </w:p>
    <w:p w14:paraId="33BFDF65" w14:textId="77777777" w:rsidR="003D71AF" w:rsidRPr="00057903" w:rsidRDefault="003D71AF" w:rsidP="003D71AF">
      <w:pPr>
        <w:spacing w:after="0" w:line="360" w:lineRule="auto"/>
        <w:jc w:val="both"/>
        <w:rPr>
          <w:rFonts w:ascii="Arial" w:hAnsi="Arial" w:cs="Arial"/>
          <w:sz w:val="20"/>
          <w:szCs w:val="20"/>
        </w:rPr>
      </w:pPr>
      <w:r w:rsidRPr="00057903">
        <w:rPr>
          <w:rFonts w:ascii="Arial" w:hAnsi="Arial" w:cs="Arial"/>
          <w:sz w:val="20"/>
          <w:szCs w:val="20"/>
        </w:rPr>
        <w:t xml:space="preserve"> </w:t>
      </w:r>
    </w:p>
    <w:p w14:paraId="62E9F0C5" w14:textId="77777777" w:rsidR="003D71AF" w:rsidRPr="00057903" w:rsidRDefault="003D71AF" w:rsidP="003D71AF">
      <w:pPr>
        <w:pStyle w:val="ListParagraph"/>
        <w:numPr>
          <w:ilvl w:val="0"/>
          <w:numId w:val="3"/>
        </w:numPr>
        <w:spacing w:after="0" w:line="360" w:lineRule="auto"/>
        <w:jc w:val="both"/>
        <w:rPr>
          <w:rFonts w:ascii="Arial" w:hAnsi="Arial" w:cs="Arial"/>
          <w:b/>
          <w:bCs/>
          <w:i/>
          <w:iCs/>
          <w:sz w:val="20"/>
          <w:szCs w:val="20"/>
        </w:rPr>
      </w:pPr>
      <w:r w:rsidRPr="00057903">
        <w:rPr>
          <w:rFonts w:ascii="Arial" w:hAnsi="Arial" w:cs="Arial"/>
          <w:b/>
          <w:bCs/>
          <w:i/>
          <w:iCs/>
          <w:sz w:val="20"/>
          <w:szCs w:val="20"/>
        </w:rPr>
        <w:t xml:space="preserve">Arithmetic mean diameter </w:t>
      </w:r>
    </w:p>
    <w:p w14:paraId="43C68F8E" w14:textId="4C8BB20B" w:rsidR="003D71AF" w:rsidRPr="00C448AF" w:rsidRDefault="003D71AF" w:rsidP="003D71AF">
      <w:pPr>
        <w:spacing w:after="0" w:line="360" w:lineRule="auto"/>
        <w:jc w:val="both"/>
        <w:rPr>
          <w:rFonts w:ascii="Arial" w:hAnsi="Arial" w:cs="Arial"/>
          <w:sz w:val="20"/>
          <w:szCs w:val="20"/>
        </w:rPr>
      </w:pPr>
      <w:r w:rsidRPr="00C448AF">
        <w:rPr>
          <w:rFonts w:ascii="Arial" w:hAnsi="Arial" w:cs="Arial"/>
          <w:sz w:val="20"/>
          <w:szCs w:val="20"/>
        </w:rPr>
        <w:t>The arithmetic mean diameter of the little millet and barnyard millet were calculated by the formula (L×W×T)/3. The arithmetic diameter of little millet and barnyard millet ranged between 2.263 ± 0.320</w:t>
      </w:r>
      <w:r w:rsidR="00D15C82" w:rsidRPr="00C448AF">
        <w:rPr>
          <w:rFonts w:ascii="Arial" w:hAnsi="Arial" w:cs="Arial"/>
          <w:sz w:val="20"/>
          <w:szCs w:val="20"/>
        </w:rPr>
        <w:t>mm</w:t>
      </w:r>
      <w:r w:rsidRPr="00C448AF">
        <w:rPr>
          <w:rFonts w:ascii="Arial" w:hAnsi="Arial" w:cs="Arial"/>
          <w:sz w:val="20"/>
          <w:szCs w:val="20"/>
        </w:rPr>
        <w:t xml:space="preserve"> and 2.275 ± 0.025</w:t>
      </w:r>
      <w:r w:rsidR="00D15C82" w:rsidRPr="00C448AF">
        <w:rPr>
          <w:rFonts w:ascii="Arial" w:hAnsi="Arial" w:cs="Arial"/>
          <w:sz w:val="20"/>
          <w:szCs w:val="20"/>
        </w:rPr>
        <w:t xml:space="preserve"> mm</w:t>
      </w:r>
      <w:r w:rsidRPr="00C448AF">
        <w:rPr>
          <w:rFonts w:ascii="Arial" w:hAnsi="Arial" w:cs="Arial"/>
          <w:sz w:val="20"/>
          <w:szCs w:val="20"/>
        </w:rPr>
        <w:t xml:space="preserve">. </w:t>
      </w:r>
    </w:p>
    <w:p w14:paraId="337E1A32" w14:textId="77777777" w:rsidR="003D71AF" w:rsidRPr="001C6F6B" w:rsidRDefault="003D71AF" w:rsidP="003D71AF">
      <w:pPr>
        <w:spacing w:after="0" w:line="360" w:lineRule="auto"/>
        <w:ind w:left="360"/>
        <w:jc w:val="both"/>
        <w:rPr>
          <w:rFonts w:ascii="Times New Roman" w:hAnsi="Times New Roman" w:cs="Times New Roman"/>
          <w:sz w:val="20"/>
          <w:szCs w:val="20"/>
        </w:rPr>
      </w:pPr>
    </w:p>
    <w:p w14:paraId="07BFC151" w14:textId="77777777" w:rsidR="003D71AF" w:rsidRPr="00057903" w:rsidRDefault="003D71AF" w:rsidP="003D71AF">
      <w:pPr>
        <w:pStyle w:val="ListParagraph"/>
        <w:numPr>
          <w:ilvl w:val="0"/>
          <w:numId w:val="3"/>
        </w:numPr>
        <w:spacing w:after="0" w:line="360" w:lineRule="auto"/>
        <w:jc w:val="both"/>
        <w:rPr>
          <w:rFonts w:ascii="Arial" w:hAnsi="Arial" w:cs="Arial"/>
          <w:b/>
          <w:bCs/>
          <w:i/>
          <w:iCs/>
          <w:sz w:val="20"/>
          <w:szCs w:val="20"/>
        </w:rPr>
      </w:pPr>
      <w:r w:rsidRPr="00057903">
        <w:rPr>
          <w:rFonts w:ascii="Arial" w:hAnsi="Arial" w:cs="Arial"/>
          <w:b/>
          <w:bCs/>
          <w:i/>
          <w:iCs/>
          <w:sz w:val="20"/>
          <w:szCs w:val="20"/>
        </w:rPr>
        <w:t>Geometric mean diameter</w:t>
      </w:r>
    </w:p>
    <w:p w14:paraId="6267E909" w14:textId="64A32FAA" w:rsidR="003D71AF" w:rsidRPr="00C448AF" w:rsidRDefault="003D71AF" w:rsidP="003D71AF">
      <w:pPr>
        <w:spacing w:after="0" w:line="360" w:lineRule="auto"/>
        <w:jc w:val="both"/>
        <w:rPr>
          <w:rFonts w:ascii="Arial" w:hAnsi="Arial" w:cs="Arial"/>
          <w:sz w:val="20"/>
          <w:szCs w:val="20"/>
        </w:rPr>
      </w:pPr>
      <w:r w:rsidRPr="00C448AF">
        <w:rPr>
          <w:rFonts w:ascii="Arial" w:hAnsi="Arial" w:cs="Arial"/>
          <w:sz w:val="20"/>
          <w:szCs w:val="20"/>
        </w:rPr>
        <w:t>The information of the geometric mean diameter can be employed in the assessment of cylinder concave clearance of the threshing unit (thresher). It is also a crucial factor in determining the drag coefficient and terminal velocity (</w:t>
      </w:r>
      <w:proofErr w:type="spellStart"/>
      <w:r w:rsidRPr="00C448AF">
        <w:rPr>
          <w:rFonts w:ascii="Arial" w:hAnsi="Arial" w:cs="Arial"/>
          <w:sz w:val="20"/>
          <w:szCs w:val="20"/>
        </w:rPr>
        <w:t>Mohsenin</w:t>
      </w:r>
      <w:proofErr w:type="spellEnd"/>
      <w:r w:rsidRPr="00C448AF">
        <w:rPr>
          <w:rFonts w:ascii="Arial" w:hAnsi="Arial" w:cs="Arial"/>
          <w:sz w:val="20"/>
          <w:szCs w:val="20"/>
        </w:rPr>
        <w:t>, 1986).  A slight difference in geometric mean diameter of little millet and barnyard millet was observed, 1.890 ± 0.089</w:t>
      </w:r>
      <w:r w:rsidR="00D15C82" w:rsidRPr="00C448AF">
        <w:rPr>
          <w:rFonts w:ascii="Arial" w:hAnsi="Arial" w:cs="Arial"/>
          <w:sz w:val="20"/>
          <w:szCs w:val="20"/>
        </w:rPr>
        <w:t xml:space="preserve"> mm</w:t>
      </w:r>
      <w:r w:rsidRPr="00C448AF">
        <w:rPr>
          <w:rFonts w:ascii="Arial" w:hAnsi="Arial" w:cs="Arial"/>
          <w:sz w:val="20"/>
          <w:szCs w:val="20"/>
        </w:rPr>
        <w:t xml:space="preserve"> and 1.897 ± 0.006</w:t>
      </w:r>
      <w:r w:rsidR="00D15C82" w:rsidRPr="00C448AF">
        <w:rPr>
          <w:rFonts w:ascii="Arial" w:hAnsi="Arial" w:cs="Arial"/>
          <w:sz w:val="20"/>
          <w:szCs w:val="20"/>
        </w:rPr>
        <w:t xml:space="preserve"> mm</w:t>
      </w:r>
      <w:r w:rsidRPr="00C448AF">
        <w:rPr>
          <w:rFonts w:ascii="Arial" w:hAnsi="Arial" w:cs="Arial"/>
          <w:sz w:val="20"/>
          <w:szCs w:val="20"/>
        </w:rPr>
        <w:t xml:space="preserve">. Similar findings were reported by </w:t>
      </w:r>
      <w:r w:rsidR="00B55DA4" w:rsidRPr="00C448AF">
        <w:rPr>
          <w:rFonts w:ascii="Arial" w:hAnsi="Arial" w:cs="Arial"/>
          <w:sz w:val="20"/>
          <w:szCs w:val="20"/>
        </w:rPr>
        <w:t>(Rao et al., 2020)</w:t>
      </w:r>
      <w:r w:rsidRPr="00C448AF">
        <w:rPr>
          <w:rFonts w:ascii="Arial" w:hAnsi="Arial" w:cs="Arial"/>
          <w:sz w:val="20"/>
          <w:szCs w:val="20"/>
        </w:rPr>
        <w:t>. Table 1 shows the dimensional properties of little millet and barnyard millet grains.</w:t>
      </w:r>
    </w:p>
    <w:p w14:paraId="4763E958" w14:textId="77777777" w:rsidR="003D71AF" w:rsidRPr="00057903" w:rsidRDefault="003D71AF" w:rsidP="003D71AF">
      <w:pPr>
        <w:spacing w:after="0" w:line="360" w:lineRule="auto"/>
        <w:jc w:val="both"/>
        <w:rPr>
          <w:rFonts w:ascii="Arial" w:hAnsi="Arial" w:cs="Arial"/>
          <w:szCs w:val="22"/>
        </w:rPr>
      </w:pPr>
    </w:p>
    <w:p w14:paraId="5EFB9E19" w14:textId="77777777" w:rsidR="003D71AF" w:rsidRPr="00057903" w:rsidRDefault="003D71AF" w:rsidP="003D71AF">
      <w:pPr>
        <w:spacing w:line="360" w:lineRule="auto"/>
        <w:jc w:val="both"/>
        <w:rPr>
          <w:rFonts w:ascii="Arial" w:hAnsi="Arial" w:cs="Arial"/>
          <w:b/>
          <w:bCs/>
          <w:sz w:val="20"/>
          <w:szCs w:val="20"/>
        </w:rPr>
      </w:pPr>
      <w:r w:rsidRPr="00057903">
        <w:rPr>
          <w:rFonts w:ascii="Arial" w:hAnsi="Arial" w:cs="Arial"/>
          <w:b/>
          <w:bCs/>
          <w:sz w:val="20"/>
          <w:szCs w:val="20"/>
        </w:rPr>
        <w:t>Table 1.  Dimensional properties of little millet and barnyard millet grains</w:t>
      </w:r>
    </w:p>
    <w:tbl>
      <w:tblPr>
        <w:tblStyle w:val="TableGrid"/>
        <w:tblpPr w:leftFromText="180" w:rightFromText="180" w:vertAnchor="text" w:horzAnchor="margin" w:tblpXSpec="center" w:tblpY="-3"/>
        <w:tblW w:w="10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1567"/>
        <w:gridCol w:w="1568"/>
        <w:gridCol w:w="1568"/>
        <w:gridCol w:w="1568"/>
        <w:gridCol w:w="1568"/>
      </w:tblGrid>
      <w:tr w:rsidR="003D71AF" w:rsidRPr="00057903" w14:paraId="08A17247" w14:textId="77777777" w:rsidTr="007B017C">
        <w:trPr>
          <w:trHeight w:val="980"/>
        </w:trPr>
        <w:tc>
          <w:tcPr>
            <w:tcW w:w="2285" w:type="dxa"/>
            <w:tcBorders>
              <w:top w:val="single" w:sz="4" w:space="0" w:color="auto"/>
              <w:bottom w:val="single" w:sz="4" w:space="0" w:color="auto"/>
            </w:tcBorders>
          </w:tcPr>
          <w:p w14:paraId="75ED09B5" w14:textId="77777777" w:rsidR="003D71AF" w:rsidRPr="00057903" w:rsidRDefault="003D71AF" w:rsidP="007B017C">
            <w:pPr>
              <w:pStyle w:val="NormalWeb"/>
              <w:spacing w:before="0" w:beforeAutospacing="0" w:after="0" w:afterAutospacing="0" w:line="360" w:lineRule="auto"/>
              <w:jc w:val="both"/>
              <w:rPr>
                <w:rFonts w:ascii="Arial" w:hAnsi="Arial" w:cs="Arial"/>
                <w:b/>
                <w:bCs/>
                <w:sz w:val="18"/>
                <w:szCs w:val="18"/>
              </w:rPr>
            </w:pPr>
            <w:r w:rsidRPr="00057903">
              <w:rPr>
                <w:rFonts w:ascii="Arial" w:hAnsi="Arial" w:cs="Arial"/>
                <w:b/>
                <w:bCs/>
                <w:sz w:val="18"/>
                <w:szCs w:val="18"/>
              </w:rPr>
              <w:t xml:space="preserve">Dimensional Properties </w:t>
            </w:r>
          </w:p>
        </w:tc>
        <w:tc>
          <w:tcPr>
            <w:tcW w:w="1567" w:type="dxa"/>
            <w:tcBorders>
              <w:top w:val="single" w:sz="4" w:space="0" w:color="auto"/>
              <w:bottom w:val="single" w:sz="4" w:space="0" w:color="auto"/>
            </w:tcBorders>
          </w:tcPr>
          <w:p w14:paraId="219A62C9"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Length (mm)</w:t>
            </w:r>
          </w:p>
        </w:tc>
        <w:tc>
          <w:tcPr>
            <w:tcW w:w="1568" w:type="dxa"/>
            <w:tcBorders>
              <w:top w:val="single" w:sz="4" w:space="0" w:color="auto"/>
              <w:bottom w:val="single" w:sz="4" w:space="0" w:color="auto"/>
            </w:tcBorders>
          </w:tcPr>
          <w:p w14:paraId="3ACC8094"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Width (mm)</w:t>
            </w:r>
          </w:p>
        </w:tc>
        <w:tc>
          <w:tcPr>
            <w:tcW w:w="1568" w:type="dxa"/>
            <w:tcBorders>
              <w:top w:val="single" w:sz="4" w:space="0" w:color="auto"/>
              <w:bottom w:val="single" w:sz="4" w:space="0" w:color="auto"/>
            </w:tcBorders>
          </w:tcPr>
          <w:p w14:paraId="526D7326"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Thickness (mm)</w:t>
            </w:r>
          </w:p>
        </w:tc>
        <w:tc>
          <w:tcPr>
            <w:tcW w:w="1568" w:type="dxa"/>
            <w:tcBorders>
              <w:top w:val="single" w:sz="4" w:space="0" w:color="auto"/>
              <w:bottom w:val="single" w:sz="4" w:space="0" w:color="auto"/>
            </w:tcBorders>
          </w:tcPr>
          <w:p w14:paraId="4BE75A49"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Arithmetic Mean Diameter (mm)</w:t>
            </w:r>
          </w:p>
        </w:tc>
        <w:tc>
          <w:tcPr>
            <w:tcW w:w="1568" w:type="dxa"/>
            <w:tcBorders>
              <w:top w:val="single" w:sz="4" w:space="0" w:color="auto"/>
              <w:bottom w:val="single" w:sz="4" w:space="0" w:color="auto"/>
            </w:tcBorders>
          </w:tcPr>
          <w:p w14:paraId="057F886D"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Geometric Mean Diameter (mm)</w:t>
            </w:r>
          </w:p>
        </w:tc>
      </w:tr>
      <w:tr w:rsidR="003D71AF" w:rsidRPr="00057903" w14:paraId="14D76980" w14:textId="77777777" w:rsidTr="007B017C">
        <w:trPr>
          <w:trHeight w:val="469"/>
        </w:trPr>
        <w:tc>
          <w:tcPr>
            <w:tcW w:w="2285" w:type="dxa"/>
            <w:tcBorders>
              <w:top w:val="single" w:sz="4" w:space="0" w:color="auto"/>
              <w:bottom w:val="single" w:sz="4" w:space="0" w:color="auto"/>
            </w:tcBorders>
          </w:tcPr>
          <w:p w14:paraId="34A9B582"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b/>
                <w:bCs/>
                <w:sz w:val="18"/>
                <w:szCs w:val="18"/>
              </w:rPr>
              <w:t xml:space="preserve">Little Millet </w:t>
            </w:r>
          </w:p>
        </w:tc>
        <w:tc>
          <w:tcPr>
            <w:tcW w:w="1567" w:type="dxa"/>
            <w:tcBorders>
              <w:top w:val="single" w:sz="4" w:space="0" w:color="auto"/>
              <w:bottom w:val="single" w:sz="4" w:space="0" w:color="auto"/>
            </w:tcBorders>
          </w:tcPr>
          <w:p w14:paraId="6DA4FA0A"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3.016 ± 0.007</w:t>
            </w:r>
            <w:r w:rsidRPr="00057903">
              <w:rPr>
                <w:rFonts w:ascii="Arial" w:hAnsi="Arial" w:cs="Arial"/>
                <w:sz w:val="18"/>
                <w:szCs w:val="18"/>
                <w:vertAlign w:val="superscript"/>
              </w:rPr>
              <w:t>a</w:t>
            </w:r>
          </w:p>
        </w:tc>
        <w:tc>
          <w:tcPr>
            <w:tcW w:w="1568" w:type="dxa"/>
            <w:tcBorders>
              <w:top w:val="single" w:sz="4" w:space="0" w:color="auto"/>
              <w:bottom w:val="single" w:sz="4" w:space="0" w:color="auto"/>
            </w:tcBorders>
          </w:tcPr>
          <w:p w14:paraId="6D194C37"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1.660 ± 0.233</w:t>
            </w:r>
            <w:r w:rsidRPr="00057903">
              <w:rPr>
                <w:rFonts w:ascii="Arial" w:hAnsi="Arial" w:cs="Arial"/>
                <w:sz w:val="18"/>
                <w:szCs w:val="18"/>
                <w:vertAlign w:val="superscript"/>
              </w:rPr>
              <w:t>c</w:t>
            </w:r>
          </w:p>
        </w:tc>
        <w:tc>
          <w:tcPr>
            <w:tcW w:w="1568" w:type="dxa"/>
            <w:tcBorders>
              <w:top w:val="single" w:sz="4" w:space="0" w:color="auto"/>
              <w:bottom w:val="single" w:sz="4" w:space="0" w:color="auto"/>
            </w:tcBorders>
          </w:tcPr>
          <w:p w14:paraId="7E8DBA1C"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1.356 ± 0.023</w:t>
            </w:r>
            <w:r w:rsidRPr="00057903">
              <w:rPr>
                <w:rFonts w:ascii="Arial" w:hAnsi="Arial" w:cs="Arial"/>
                <w:sz w:val="18"/>
                <w:szCs w:val="18"/>
                <w:vertAlign w:val="superscript"/>
              </w:rPr>
              <w:t>e</w:t>
            </w:r>
          </w:p>
        </w:tc>
        <w:tc>
          <w:tcPr>
            <w:tcW w:w="1568" w:type="dxa"/>
            <w:tcBorders>
              <w:top w:val="single" w:sz="4" w:space="0" w:color="auto"/>
              <w:bottom w:val="single" w:sz="4" w:space="0" w:color="auto"/>
            </w:tcBorders>
          </w:tcPr>
          <w:p w14:paraId="1E29C62D"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2.263 ± 0.320</w:t>
            </w:r>
            <w:r w:rsidRPr="00057903">
              <w:rPr>
                <w:rFonts w:ascii="Arial" w:hAnsi="Arial" w:cs="Arial"/>
                <w:sz w:val="18"/>
                <w:szCs w:val="18"/>
                <w:vertAlign w:val="superscript"/>
              </w:rPr>
              <w:t>g</w:t>
            </w:r>
          </w:p>
        </w:tc>
        <w:tc>
          <w:tcPr>
            <w:tcW w:w="1568" w:type="dxa"/>
            <w:tcBorders>
              <w:top w:val="single" w:sz="4" w:space="0" w:color="auto"/>
              <w:bottom w:val="single" w:sz="4" w:space="0" w:color="auto"/>
            </w:tcBorders>
          </w:tcPr>
          <w:p w14:paraId="43A46585"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1.890 ± 0.089</w:t>
            </w:r>
            <w:r w:rsidRPr="00057903">
              <w:rPr>
                <w:rFonts w:ascii="Arial" w:hAnsi="Arial" w:cs="Arial"/>
                <w:sz w:val="18"/>
                <w:szCs w:val="18"/>
                <w:vertAlign w:val="superscript"/>
              </w:rPr>
              <w:t>i</w:t>
            </w:r>
          </w:p>
        </w:tc>
      </w:tr>
      <w:tr w:rsidR="003D71AF" w:rsidRPr="00057903" w14:paraId="458098F6" w14:textId="77777777" w:rsidTr="007B017C">
        <w:trPr>
          <w:trHeight w:val="470"/>
        </w:trPr>
        <w:tc>
          <w:tcPr>
            <w:tcW w:w="2285" w:type="dxa"/>
            <w:tcBorders>
              <w:top w:val="single" w:sz="4" w:space="0" w:color="auto"/>
              <w:bottom w:val="single" w:sz="4" w:space="0" w:color="auto"/>
            </w:tcBorders>
          </w:tcPr>
          <w:p w14:paraId="26F7003C"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b/>
                <w:bCs/>
                <w:sz w:val="18"/>
                <w:szCs w:val="18"/>
              </w:rPr>
              <w:t xml:space="preserve">Barnyard Millet </w:t>
            </w:r>
          </w:p>
        </w:tc>
        <w:tc>
          <w:tcPr>
            <w:tcW w:w="1567" w:type="dxa"/>
            <w:tcBorders>
              <w:top w:val="single" w:sz="4" w:space="0" w:color="auto"/>
              <w:bottom w:val="single" w:sz="4" w:space="0" w:color="auto"/>
            </w:tcBorders>
          </w:tcPr>
          <w:p w14:paraId="6CD0C221"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3.246 ± 0.012</w:t>
            </w:r>
            <w:r w:rsidRPr="00057903">
              <w:rPr>
                <w:rFonts w:ascii="Arial" w:hAnsi="Arial" w:cs="Arial"/>
                <w:sz w:val="18"/>
                <w:szCs w:val="18"/>
                <w:vertAlign w:val="superscript"/>
              </w:rPr>
              <w:t>b</w:t>
            </w:r>
          </w:p>
        </w:tc>
        <w:tc>
          <w:tcPr>
            <w:tcW w:w="1568" w:type="dxa"/>
            <w:tcBorders>
              <w:top w:val="single" w:sz="4" w:space="0" w:color="auto"/>
              <w:bottom w:val="single" w:sz="4" w:space="0" w:color="auto"/>
            </w:tcBorders>
          </w:tcPr>
          <w:p w14:paraId="1FB45F01"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1.812 ± 0.011</w:t>
            </w:r>
            <w:r w:rsidRPr="00057903">
              <w:rPr>
                <w:rFonts w:ascii="Arial" w:hAnsi="Arial" w:cs="Arial"/>
                <w:sz w:val="18"/>
                <w:szCs w:val="18"/>
                <w:vertAlign w:val="superscript"/>
              </w:rPr>
              <w:t>d</w:t>
            </w:r>
          </w:p>
        </w:tc>
        <w:tc>
          <w:tcPr>
            <w:tcW w:w="1568" w:type="dxa"/>
            <w:tcBorders>
              <w:top w:val="single" w:sz="4" w:space="0" w:color="auto"/>
              <w:bottom w:val="single" w:sz="4" w:space="0" w:color="auto"/>
            </w:tcBorders>
          </w:tcPr>
          <w:p w14:paraId="65AD7C4F"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1.161 ± 0.003</w:t>
            </w:r>
            <w:r w:rsidRPr="00057903">
              <w:rPr>
                <w:rFonts w:ascii="Arial" w:hAnsi="Arial" w:cs="Arial"/>
                <w:sz w:val="18"/>
                <w:szCs w:val="18"/>
                <w:vertAlign w:val="superscript"/>
              </w:rPr>
              <w:t>f</w:t>
            </w:r>
          </w:p>
        </w:tc>
        <w:tc>
          <w:tcPr>
            <w:tcW w:w="1568" w:type="dxa"/>
            <w:tcBorders>
              <w:top w:val="single" w:sz="4" w:space="0" w:color="auto"/>
              <w:bottom w:val="single" w:sz="4" w:space="0" w:color="auto"/>
            </w:tcBorders>
          </w:tcPr>
          <w:p w14:paraId="4B86BF76"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2.275 ± 0.025</w:t>
            </w:r>
            <w:r w:rsidRPr="00057903">
              <w:rPr>
                <w:rFonts w:ascii="Arial" w:hAnsi="Arial" w:cs="Arial"/>
                <w:sz w:val="18"/>
                <w:szCs w:val="18"/>
                <w:vertAlign w:val="superscript"/>
              </w:rPr>
              <w:t>h</w:t>
            </w:r>
          </w:p>
        </w:tc>
        <w:tc>
          <w:tcPr>
            <w:tcW w:w="1568" w:type="dxa"/>
            <w:tcBorders>
              <w:top w:val="single" w:sz="4" w:space="0" w:color="auto"/>
              <w:bottom w:val="single" w:sz="4" w:space="0" w:color="auto"/>
            </w:tcBorders>
          </w:tcPr>
          <w:p w14:paraId="0B6BE6C4" w14:textId="77777777" w:rsidR="003D71AF" w:rsidRPr="00057903" w:rsidRDefault="003D71AF" w:rsidP="007B017C">
            <w:pPr>
              <w:pStyle w:val="NormalWeb"/>
              <w:spacing w:before="0" w:beforeAutospacing="0" w:after="0" w:afterAutospacing="0" w:line="360" w:lineRule="auto"/>
              <w:jc w:val="both"/>
              <w:rPr>
                <w:rFonts w:ascii="Arial" w:hAnsi="Arial" w:cs="Arial"/>
                <w:sz w:val="18"/>
                <w:szCs w:val="18"/>
              </w:rPr>
            </w:pPr>
            <w:r w:rsidRPr="00057903">
              <w:rPr>
                <w:rFonts w:ascii="Arial" w:hAnsi="Arial" w:cs="Arial"/>
                <w:sz w:val="18"/>
                <w:szCs w:val="18"/>
              </w:rPr>
              <w:t>1.897 ± 0.006</w:t>
            </w:r>
            <w:r w:rsidRPr="00057903">
              <w:rPr>
                <w:rFonts w:ascii="Arial" w:hAnsi="Arial" w:cs="Arial"/>
                <w:sz w:val="18"/>
                <w:szCs w:val="18"/>
                <w:vertAlign w:val="superscript"/>
              </w:rPr>
              <w:t>j</w:t>
            </w:r>
          </w:p>
        </w:tc>
      </w:tr>
    </w:tbl>
    <w:p w14:paraId="72EE0A43" w14:textId="4458BC9A" w:rsidR="003D71AF" w:rsidRPr="00C448AF" w:rsidRDefault="003D71AF" w:rsidP="003D71AF">
      <w:pPr>
        <w:tabs>
          <w:tab w:val="left" w:pos="2568"/>
        </w:tabs>
        <w:spacing w:line="360" w:lineRule="auto"/>
        <w:ind w:hanging="426"/>
        <w:rPr>
          <w:rFonts w:ascii="Arial" w:hAnsi="Arial" w:cs="Arial"/>
          <w:iCs/>
          <w:sz w:val="18"/>
          <w:szCs w:val="18"/>
        </w:rPr>
      </w:pPr>
      <w:r w:rsidRPr="00C448AF">
        <w:rPr>
          <w:rFonts w:ascii="Arial" w:hAnsi="Arial" w:cs="Arial"/>
          <w:iCs/>
          <w:sz w:val="18"/>
          <w:szCs w:val="18"/>
        </w:rPr>
        <w:t>Note: The letters in the same rows indicate the significant differences among the data (</w:t>
      </w:r>
      <w:r w:rsidRPr="00C448AF">
        <w:rPr>
          <w:rFonts w:ascii="Arial" w:hAnsi="Arial" w:cs="Arial"/>
          <w:i/>
          <w:sz w:val="18"/>
          <w:szCs w:val="18"/>
        </w:rPr>
        <w:t>P</w:t>
      </w:r>
      <w:r w:rsidRPr="00C448AF">
        <w:rPr>
          <w:rFonts w:ascii="Arial" w:hAnsi="Arial" w:cs="Arial"/>
          <w:iCs/>
          <w:sz w:val="18"/>
          <w:szCs w:val="18"/>
        </w:rPr>
        <w:t>&lt;0.05).</w:t>
      </w:r>
    </w:p>
    <w:p w14:paraId="310C977D" w14:textId="77777777" w:rsidR="003D71AF" w:rsidRPr="00057903" w:rsidRDefault="003D71AF" w:rsidP="003D71AF">
      <w:pPr>
        <w:pStyle w:val="ListParagraph"/>
        <w:numPr>
          <w:ilvl w:val="0"/>
          <w:numId w:val="3"/>
        </w:numPr>
        <w:spacing w:after="0" w:line="360" w:lineRule="auto"/>
        <w:jc w:val="both"/>
        <w:rPr>
          <w:rFonts w:ascii="Arial" w:hAnsi="Arial" w:cs="Arial"/>
          <w:b/>
          <w:bCs/>
          <w:sz w:val="20"/>
          <w:szCs w:val="20"/>
        </w:rPr>
      </w:pPr>
      <w:r w:rsidRPr="00057903">
        <w:rPr>
          <w:rFonts w:ascii="Arial" w:hAnsi="Arial" w:cs="Arial"/>
          <w:b/>
          <w:bCs/>
          <w:sz w:val="20"/>
          <w:szCs w:val="20"/>
        </w:rPr>
        <w:t xml:space="preserve">Thousand kernel weight and volume </w:t>
      </w:r>
    </w:p>
    <w:p w14:paraId="4B1C66A8" w14:textId="5B3ED520" w:rsidR="003D71AF" w:rsidRPr="00C448AF" w:rsidRDefault="003D71AF" w:rsidP="003D71AF">
      <w:pPr>
        <w:spacing w:after="0" w:line="360" w:lineRule="auto"/>
        <w:jc w:val="both"/>
        <w:rPr>
          <w:rFonts w:ascii="Arial" w:hAnsi="Arial" w:cs="Arial"/>
          <w:sz w:val="20"/>
          <w:szCs w:val="20"/>
        </w:rPr>
      </w:pPr>
      <w:r w:rsidRPr="00C448AF">
        <w:rPr>
          <w:rFonts w:ascii="Arial" w:hAnsi="Arial" w:cs="Arial"/>
          <w:sz w:val="20"/>
          <w:szCs w:val="20"/>
        </w:rPr>
        <w:t>Thousand kernel weight (g) reading of the little millet and barnyard millet grains lies between 3.072 ± 0.011</w:t>
      </w:r>
      <w:r w:rsidR="00D15C82" w:rsidRPr="00C448AF">
        <w:rPr>
          <w:rFonts w:ascii="Arial" w:hAnsi="Arial" w:cs="Arial"/>
          <w:sz w:val="20"/>
          <w:szCs w:val="20"/>
        </w:rPr>
        <w:t>g</w:t>
      </w:r>
      <w:r w:rsidRPr="00C448AF">
        <w:rPr>
          <w:rFonts w:ascii="Arial" w:hAnsi="Arial" w:cs="Arial"/>
          <w:sz w:val="20"/>
          <w:szCs w:val="20"/>
        </w:rPr>
        <w:t xml:space="preserve"> and 3.146 ± 0.052</w:t>
      </w:r>
      <w:r w:rsidR="00D15C82" w:rsidRPr="00C448AF">
        <w:rPr>
          <w:rFonts w:ascii="Arial" w:hAnsi="Arial" w:cs="Arial"/>
          <w:sz w:val="20"/>
          <w:szCs w:val="20"/>
        </w:rPr>
        <w:t xml:space="preserve"> g</w:t>
      </w:r>
      <w:r w:rsidRPr="00C448AF">
        <w:rPr>
          <w:rFonts w:ascii="Arial" w:hAnsi="Arial" w:cs="Arial"/>
          <w:sz w:val="20"/>
          <w:szCs w:val="20"/>
        </w:rPr>
        <w:t xml:space="preserve"> similar to </w:t>
      </w:r>
      <w:r w:rsidR="00B55DA4" w:rsidRPr="00C448AF">
        <w:rPr>
          <w:rFonts w:ascii="Arial" w:hAnsi="Arial" w:cs="Arial"/>
          <w:sz w:val="20"/>
          <w:szCs w:val="20"/>
        </w:rPr>
        <w:t>(Reddy et al. 2019; Biradar et al., 2020, and Revathi et al., 2016)</w:t>
      </w:r>
      <w:r w:rsidRPr="00C448AF">
        <w:rPr>
          <w:rFonts w:ascii="Arial" w:hAnsi="Arial" w:cs="Arial"/>
          <w:sz w:val="20"/>
          <w:szCs w:val="20"/>
        </w:rPr>
        <w:t>. The thousand kernel volume (m</w:t>
      </w:r>
      <w:r w:rsidR="00D15C82" w:rsidRPr="00C448AF">
        <w:rPr>
          <w:rFonts w:ascii="Arial" w:hAnsi="Arial" w:cs="Arial"/>
          <w:sz w:val="20"/>
          <w:szCs w:val="20"/>
        </w:rPr>
        <w:t>L</w:t>
      </w:r>
      <w:r w:rsidRPr="00C448AF">
        <w:rPr>
          <w:rFonts w:ascii="Arial" w:hAnsi="Arial" w:cs="Arial"/>
          <w:sz w:val="20"/>
          <w:szCs w:val="20"/>
        </w:rPr>
        <w:t>)   was recorded for barnyard millet 4.120 ± 0.020 m</w:t>
      </w:r>
      <w:r w:rsidR="00D15C82" w:rsidRPr="00C448AF">
        <w:rPr>
          <w:rFonts w:ascii="Arial" w:hAnsi="Arial" w:cs="Arial"/>
          <w:sz w:val="20"/>
          <w:szCs w:val="20"/>
        </w:rPr>
        <w:t>L</w:t>
      </w:r>
      <w:r w:rsidRPr="00C448AF">
        <w:rPr>
          <w:rFonts w:ascii="Arial" w:hAnsi="Arial" w:cs="Arial"/>
          <w:sz w:val="20"/>
          <w:szCs w:val="20"/>
        </w:rPr>
        <w:t xml:space="preserve">, whereas the maximum value was recorded for little millet 4.213 ± 0.042 </w:t>
      </w:r>
      <w:proofErr w:type="spellStart"/>
      <w:r w:rsidRPr="00C448AF">
        <w:rPr>
          <w:rFonts w:ascii="Arial" w:hAnsi="Arial" w:cs="Arial"/>
          <w:sz w:val="20"/>
          <w:szCs w:val="20"/>
        </w:rPr>
        <w:t>mL.</w:t>
      </w:r>
      <w:proofErr w:type="spellEnd"/>
      <w:r w:rsidRPr="00C448AF">
        <w:rPr>
          <w:rFonts w:ascii="Arial" w:hAnsi="Arial" w:cs="Arial"/>
          <w:sz w:val="20"/>
          <w:szCs w:val="20"/>
        </w:rPr>
        <w:t xml:space="preserve"> </w:t>
      </w:r>
    </w:p>
    <w:p w14:paraId="1B9B297A" w14:textId="77777777" w:rsidR="003D71AF" w:rsidRPr="001C6F6B" w:rsidRDefault="003D71AF" w:rsidP="003D71AF">
      <w:pPr>
        <w:spacing w:after="0" w:line="360" w:lineRule="auto"/>
        <w:jc w:val="both"/>
        <w:rPr>
          <w:rFonts w:ascii="Times New Roman" w:hAnsi="Times New Roman" w:cs="Times New Roman"/>
          <w:sz w:val="20"/>
          <w:szCs w:val="20"/>
        </w:rPr>
      </w:pPr>
    </w:p>
    <w:p w14:paraId="2A92FD1F" w14:textId="77777777" w:rsidR="003D71AF" w:rsidRPr="00057903" w:rsidRDefault="003D71AF" w:rsidP="003D71AF">
      <w:pPr>
        <w:pStyle w:val="ListParagraph"/>
        <w:numPr>
          <w:ilvl w:val="0"/>
          <w:numId w:val="3"/>
        </w:numPr>
        <w:spacing w:after="0" w:line="360" w:lineRule="auto"/>
        <w:jc w:val="both"/>
        <w:rPr>
          <w:rFonts w:ascii="Arial" w:hAnsi="Arial" w:cs="Arial"/>
          <w:b/>
          <w:bCs/>
          <w:i/>
          <w:iCs/>
          <w:sz w:val="20"/>
          <w:szCs w:val="20"/>
        </w:rPr>
      </w:pPr>
      <w:r w:rsidRPr="00057903">
        <w:rPr>
          <w:rFonts w:ascii="Arial" w:hAnsi="Arial" w:cs="Arial"/>
          <w:b/>
          <w:bCs/>
          <w:i/>
          <w:iCs/>
          <w:sz w:val="20"/>
          <w:szCs w:val="20"/>
        </w:rPr>
        <w:t xml:space="preserve">Density </w:t>
      </w:r>
    </w:p>
    <w:p w14:paraId="640552E5" w14:textId="5BCCDE43" w:rsidR="003D71AF" w:rsidRPr="00057903" w:rsidRDefault="003D71AF" w:rsidP="003D71AF">
      <w:pPr>
        <w:spacing w:line="360" w:lineRule="auto"/>
        <w:jc w:val="both"/>
        <w:rPr>
          <w:rFonts w:ascii="Arial" w:hAnsi="Arial" w:cs="Arial"/>
          <w:szCs w:val="22"/>
        </w:rPr>
      </w:pPr>
      <w:r w:rsidRPr="00057903">
        <w:rPr>
          <w:rFonts w:ascii="Arial" w:hAnsi="Arial" w:cs="Arial"/>
          <w:szCs w:val="22"/>
        </w:rPr>
        <w:t xml:space="preserve">An understanding of the density of agricultural products is essential for the effective separation of these products from objectionable materials, thereby determining the design of the fan. It is also employed in assessing the purity of agricultural products </w:t>
      </w:r>
      <w:r w:rsidR="00B55DA4" w:rsidRPr="00057903">
        <w:rPr>
          <w:rFonts w:ascii="Arial" w:hAnsi="Arial" w:cs="Arial"/>
          <w:szCs w:val="22"/>
        </w:rPr>
        <w:t>(Rao et al., 2020)</w:t>
      </w:r>
      <w:r w:rsidRPr="00057903">
        <w:rPr>
          <w:rFonts w:ascii="Arial" w:hAnsi="Arial" w:cs="Arial"/>
          <w:szCs w:val="22"/>
        </w:rPr>
        <w:t>.  The grain density (g/m</w:t>
      </w:r>
      <w:r w:rsidR="00D15C82" w:rsidRPr="00057903">
        <w:rPr>
          <w:rFonts w:ascii="Arial" w:hAnsi="Arial" w:cs="Arial"/>
          <w:szCs w:val="22"/>
        </w:rPr>
        <w:t>L</w:t>
      </w:r>
      <w:r w:rsidRPr="00057903">
        <w:rPr>
          <w:rFonts w:ascii="Arial" w:hAnsi="Arial" w:cs="Arial"/>
          <w:szCs w:val="22"/>
        </w:rPr>
        <w:t>) of little millet and barnyard millet was recorded to be 0.729 ± 0.008 g/m</w:t>
      </w:r>
      <w:r w:rsidR="00D15C82" w:rsidRPr="00057903">
        <w:rPr>
          <w:rFonts w:ascii="Arial" w:hAnsi="Arial" w:cs="Arial"/>
          <w:szCs w:val="22"/>
        </w:rPr>
        <w:t>L</w:t>
      </w:r>
      <w:r w:rsidRPr="00057903">
        <w:rPr>
          <w:rFonts w:ascii="Arial" w:hAnsi="Arial" w:cs="Arial"/>
          <w:szCs w:val="22"/>
        </w:rPr>
        <w:t xml:space="preserve"> and 0.763 ± 0.016 g/</w:t>
      </w:r>
      <w:proofErr w:type="spellStart"/>
      <w:r w:rsidRPr="00057903">
        <w:rPr>
          <w:rFonts w:ascii="Arial" w:hAnsi="Arial" w:cs="Arial"/>
          <w:szCs w:val="22"/>
        </w:rPr>
        <w:t>m</w:t>
      </w:r>
      <w:r w:rsidR="00D15C82" w:rsidRPr="00057903">
        <w:rPr>
          <w:rFonts w:ascii="Arial" w:hAnsi="Arial" w:cs="Arial"/>
          <w:szCs w:val="22"/>
        </w:rPr>
        <w:t>L</w:t>
      </w:r>
      <w:r w:rsidRPr="00057903">
        <w:rPr>
          <w:rFonts w:ascii="Arial" w:hAnsi="Arial" w:cs="Arial"/>
          <w:szCs w:val="22"/>
        </w:rPr>
        <w:t>.</w:t>
      </w:r>
      <w:proofErr w:type="spellEnd"/>
      <w:r w:rsidRPr="00057903">
        <w:rPr>
          <w:rFonts w:ascii="Arial" w:hAnsi="Arial" w:cs="Arial"/>
          <w:szCs w:val="22"/>
        </w:rPr>
        <w:t xml:space="preserve"> </w:t>
      </w:r>
    </w:p>
    <w:p w14:paraId="3B4A03B8" w14:textId="77777777" w:rsidR="003D71AF" w:rsidRPr="00057903" w:rsidRDefault="003D71AF" w:rsidP="003D71AF">
      <w:pPr>
        <w:pStyle w:val="ListParagraph"/>
        <w:numPr>
          <w:ilvl w:val="0"/>
          <w:numId w:val="3"/>
        </w:numPr>
        <w:spacing w:line="360" w:lineRule="auto"/>
        <w:jc w:val="both"/>
        <w:rPr>
          <w:rFonts w:ascii="Arial" w:hAnsi="Arial" w:cs="Arial"/>
          <w:b/>
          <w:bCs/>
          <w:i/>
          <w:iCs/>
          <w:sz w:val="20"/>
          <w:szCs w:val="20"/>
        </w:rPr>
      </w:pPr>
      <w:r w:rsidRPr="00057903">
        <w:rPr>
          <w:rFonts w:ascii="Arial" w:hAnsi="Arial" w:cs="Arial"/>
          <w:b/>
          <w:bCs/>
          <w:i/>
          <w:iCs/>
          <w:sz w:val="20"/>
          <w:szCs w:val="20"/>
        </w:rPr>
        <w:t xml:space="preserve">Bulk Density </w:t>
      </w:r>
    </w:p>
    <w:p w14:paraId="217D6C3B" w14:textId="4E60E186" w:rsidR="003D71AF" w:rsidRPr="00C448AF" w:rsidRDefault="003D71AF" w:rsidP="003D71AF">
      <w:pPr>
        <w:spacing w:line="360" w:lineRule="auto"/>
        <w:jc w:val="both"/>
        <w:rPr>
          <w:rFonts w:ascii="Arial" w:hAnsi="Arial" w:cs="Arial"/>
          <w:b/>
          <w:bCs/>
          <w:sz w:val="20"/>
          <w:szCs w:val="20"/>
        </w:rPr>
      </w:pPr>
      <w:r w:rsidRPr="00C448AF">
        <w:rPr>
          <w:rFonts w:ascii="Arial" w:hAnsi="Arial" w:cs="Arial"/>
          <w:sz w:val="20"/>
          <w:szCs w:val="20"/>
        </w:rPr>
        <w:t xml:space="preserve">Bulk density plays an important role in maintaining grain quality and test weight throughout drying, storage, and processing </w:t>
      </w:r>
      <w:r w:rsidR="00B55DA4" w:rsidRPr="00C448AF">
        <w:rPr>
          <w:rFonts w:ascii="Arial" w:hAnsi="Arial" w:cs="Arial"/>
          <w:sz w:val="20"/>
          <w:szCs w:val="20"/>
        </w:rPr>
        <w:t>(Adebowale et al., 2012)</w:t>
      </w:r>
      <w:r w:rsidRPr="00C448AF">
        <w:rPr>
          <w:rFonts w:ascii="Arial" w:hAnsi="Arial" w:cs="Arial"/>
          <w:sz w:val="20"/>
          <w:szCs w:val="20"/>
        </w:rPr>
        <w:t xml:space="preserve">. Given the same size and form of the grains, the bulk density data will be useful for processing and storage, suggesting higher flour yield and good quality. These differences may be due to the structure, volume, and weight development of the cells in grains and seeds </w:t>
      </w:r>
      <w:r w:rsidR="00B55DA4" w:rsidRPr="00C448AF">
        <w:rPr>
          <w:rFonts w:ascii="Arial" w:hAnsi="Arial" w:cs="Arial"/>
          <w:sz w:val="20"/>
          <w:szCs w:val="20"/>
        </w:rPr>
        <w:t>(Rajendran et al., 2023)</w:t>
      </w:r>
      <w:r w:rsidRPr="00C448AF">
        <w:rPr>
          <w:rFonts w:ascii="Arial" w:hAnsi="Arial" w:cs="Arial"/>
          <w:sz w:val="20"/>
          <w:szCs w:val="20"/>
        </w:rPr>
        <w:t>. Little millet was found to have a higher bulk density of 18.6 kg/m</w:t>
      </w:r>
      <w:r w:rsidRPr="00C448AF">
        <w:rPr>
          <w:rFonts w:ascii="Arial" w:hAnsi="Arial" w:cs="Arial"/>
          <w:sz w:val="20"/>
          <w:szCs w:val="20"/>
          <w:vertAlign w:val="superscript"/>
        </w:rPr>
        <w:t>3</w:t>
      </w:r>
      <w:r w:rsidRPr="00C448AF">
        <w:rPr>
          <w:rFonts w:ascii="Arial" w:hAnsi="Arial" w:cs="Arial"/>
          <w:sz w:val="20"/>
          <w:szCs w:val="20"/>
        </w:rPr>
        <w:t xml:space="preserve"> compared to barnyard millet. The bulk density of barnyard millet was 950.8 ± 12.297, while that of little millet was 969.4 ± 6.235 kg/m</w:t>
      </w:r>
      <w:r w:rsidRPr="00C448AF">
        <w:rPr>
          <w:rFonts w:ascii="Arial" w:hAnsi="Arial" w:cs="Arial"/>
          <w:sz w:val="20"/>
          <w:szCs w:val="20"/>
          <w:vertAlign w:val="superscript"/>
        </w:rPr>
        <w:t>3</w:t>
      </w:r>
      <w:r w:rsidRPr="00C448AF">
        <w:rPr>
          <w:rFonts w:ascii="Arial" w:hAnsi="Arial" w:cs="Arial"/>
          <w:sz w:val="20"/>
          <w:szCs w:val="20"/>
        </w:rPr>
        <w:t>.</w:t>
      </w:r>
    </w:p>
    <w:p w14:paraId="63ADEAB9" w14:textId="77777777" w:rsidR="003D71AF" w:rsidRPr="00057903" w:rsidRDefault="003D71AF" w:rsidP="003D71AF">
      <w:pPr>
        <w:pStyle w:val="ListParagraph"/>
        <w:numPr>
          <w:ilvl w:val="0"/>
          <w:numId w:val="3"/>
        </w:numPr>
        <w:spacing w:after="0" w:line="360" w:lineRule="auto"/>
        <w:jc w:val="both"/>
        <w:rPr>
          <w:rFonts w:ascii="Arial" w:hAnsi="Arial" w:cs="Arial"/>
          <w:b/>
          <w:bCs/>
          <w:i/>
          <w:iCs/>
          <w:sz w:val="20"/>
          <w:szCs w:val="20"/>
        </w:rPr>
      </w:pPr>
      <w:r w:rsidRPr="00057903">
        <w:rPr>
          <w:rFonts w:ascii="Arial" w:hAnsi="Arial" w:cs="Arial"/>
          <w:b/>
          <w:bCs/>
          <w:i/>
          <w:iCs/>
          <w:sz w:val="20"/>
          <w:szCs w:val="20"/>
        </w:rPr>
        <w:t xml:space="preserve">True Density </w:t>
      </w:r>
    </w:p>
    <w:p w14:paraId="2212AC80" w14:textId="435CE82C" w:rsidR="003D71AF" w:rsidRPr="00C448AF" w:rsidRDefault="003D71AF" w:rsidP="003D71AF">
      <w:pPr>
        <w:spacing w:after="0" w:line="360" w:lineRule="auto"/>
        <w:jc w:val="both"/>
        <w:rPr>
          <w:rFonts w:ascii="Arial" w:hAnsi="Arial" w:cs="Arial"/>
          <w:sz w:val="20"/>
          <w:szCs w:val="20"/>
        </w:rPr>
      </w:pPr>
      <w:r w:rsidRPr="00C448AF">
        <w:rPr>
          <w:rFonts w:ascii="Arial" w:hAnsi="Arial" w:cs="Arial"/>
          <w:sz w:val="20"/>
          <w:szCs w:val="20"/>
        </w:rPr>
        <w:lastRenderedPageBreak/>
        <w:t>The true density of barnyard millet and little millet were found to be 1631.5 ± 59.755 and 1309.333 ± 102.768 kg/m</w:t>
      </w:r>
      <w:r w:rsidRPr="00C448AF">
        <w:rPr>
          <w:rFonts w:ascii="Arial" w:hAnsi="Arial" w:cs="Arial"/>
          <w:sz w:val="20"/>
          <w:szCs w:val="20"/>
          <w:vertAlign w:val="superscript"/>
        </w:rPr>
        <w:t>3</w:t>
      </w:r>
      <w:r w:rsidRPr="00C448AF">
        <w:rPr>
          <w:rFonts w:ascii="Arial" w:hAnsi="Arial" w:cs="Arial"/>
          <w:sz w:val="20"/>
          <w:szCs w:val="20"/>
        </w:rPr>
        <w:t xml:space="preserve">, respectively which is higher than the values reported by </w:t>
      </w:r>
      <w:r w:rsidR="00B55DA4" w:rsidRPr="00C448AF">
        <w:rPr>
          <w:rFonts w:ascii="Arial" w:hAnsi="Arial" w:cs="Arial"/>
          <w:sz w:val="20"/>
          <w:szCs w:val="20"/>
        </w:rPr>
        <w:t>(Rao et al., 2020)</w:t>
      </w:r>
      <w:r w:rsidRPr="00C448AF">
        <w:rPr>
          <w:rFonts w:ascii="Arial" w:hAnsi="Arial" w:cs="Arial"/>
          <w:sz w:val="20"/>
          <w:szCs w:val="20"/>
        </w:rPr>
        <w:t>. Barnyard millet grains were reported 322.167 kg/m</w:t>
      </w:r>
      <w:r w:rsidRPr="00C448AF">
        <w:rPr>
          <w:rFonts w:ascii="Arial" w:hAnsi="Arial" w:cs="Arial"/>
          <w:sz w:val="20"/>
          <w:szCs w:val="20"/>
          <w:vertAlign w:val="superscript"/>
        </w:rPr>
        <w:t>3</w:t>
      </w:r>
      <w:r w:rsidRPr="00C448AF">
        <w:rPr>
          <w:rFonts w:ascii="Arial" w:hAnsi="Arial" w:cs="Arial"/>
          <w:sz w:val="20"/>
          <w:szCs w:val="20"/>
        </w:rPr>
        <w:t xml:space="preserve"> higher in true density compared to little millet grains. </w:t>
      </w:r>
    </w:p>
    <w:p w14:paraId="4170768D" w14:textId="77777777" w:rsidR="003D71AF" w:rsidRPr="00057903" w:rsidRDefault="003D71AF" w:rsidP="003D71AF">
      <w:pPr>
        <w:spacing w:after="0" w:line="360" w:lineRule="auto"/>
        <w:jc w:val="both"/>
        <w:rPr>
          <w:rFonts w:ascii="Arial" w:hAnsi="Arial" w:cs="Arial"/>
          <w:szCs w:val="22"/>
        </w:rPr>
      </w:pPr>
    </w:p>
    <w:p w14:paraId="1280E714" w14:textId="77777777" w:rsidR="003D71AF" w:rsidRPr="00057903" w:rsidRDefault="003D71AF" w:rsidP="003D71AF">
      <w:pPr>
        <w:pStyle w:val="ListParagraph"/>
        <w:numPr>
          <w:ilvl w:val="0"/>
          <w:numId w:val="3"/>
        </w:numPr>
        <w:spacing w:after="0" w:line="360" w:lineRule="auto"/>
        <w:jc w:val="both"/>
        <w:rPr>
          <w:rFonts w:ascii="Arial" w:hAnsi="Arial" w:cs="Arial"/>
          <w:b/>
          <w:bCs/>
          <w:i/>
          <w:iCs/>
          <w:sz w:val="20"/>
          <w:szCs w:val="20"/>
        </w:rPr>
      </w:pPr>
      <w:r w:rsidRPr="00057903">
        <w:rPr>
          <w:rFonts w:ascii="Arial" w:hAnsi="Arial" w:cs="Arial"/>
          <w:b/>
          <w:bCs/>
          <w:i/>
          <w:iCs/>
          <w:sz w:val="20"/>
          <w:szCs w:val="20"/>
        </w:rPr>
        <w:t xml:space="preserve">Porosity </w:t>
      </w:r>
    </w:p>
    <w:p w14:paraId="762D944C" w14:textId="00E9D4DD" w:rsidR="003D71AF" w:rsidRPr="00C448AF" w:rsidRDefault="003D71AF" w:rsidP="003D71AF">
      <w:pPr>
        <w:spacing w:after="0" w:line="360" w:lineRule="auto"/>
        <w:jc w:val="both"/>
        <w:rPr>
          <w:rFonts w:ascii="Arial" w:hAnsi="Arial" w:cs="Arial"/>
          <w:sz w:val="20"/>
          <w:szCs w:val="20"/>
        </w:rPr>
      </w:pPr>
      <w:r w:rsidRPr="00C448AF">
        <w:rPr>
          <w:rFonts w:ascii="Arial" w:hAnsi="Arial" w:cs="Arial"/>
          <w:sz w:val="20"/>
          <w:szCs w:val="20"/>
        </w:rPr>
        <w:t xml:space="preserve">Little millet grains were found with a lesser porosity % of 16.048 % compared to barnyard millet grains and both were found to have porosity % of </w:t>
      </w:r>
      <w:r w:rsidRPr="00C448AF">
        <w:rPr>
          <w:rFonts w:ascii="Arial" w:hAnsi="Arial" w:cs="Arial"/>
          <w:color w:val="000000"/>
          <w:sz w:val="20"/>
          <w:szCs w:val="20"/>
        </w:rPr>
        <w:t xml:space="preserve">25.639 </w:t>
      </w:r>
      <w:r w:rsidRPr="00C448AF">
        <w:rPr>
          <w:rFonts w:ascii="Arial" w:hAnsi="Arial" w:cs="Arial"/>
          <w:sz w:val="20"/>
          <w:szCs w:val="20"/>
        </w:rPr>
        <w:t>± 6.026 and 41.687 ± 1.41 respectively</w:t>
      </w:r>
      <w:r w:rsidR="00B55DA4" w:rsidRPr="00C448AF">
        <w:rPr>
          <w:rFonts w:ascii="Arial" w:hAnsi="Arial" w:cs="Arial"/>
          <w:sz w:val="20"/>
          <w:szCs w:val="20"/>
        </w:rPr>
        <w:t xml:space="preserve"> (Ghosh et al., 2023) </w:t>
      </w:r>
      <w:r w:rsidRPr="00C448AF">
        <w:rPr>
          <w:rFonts w:ascii="Arial" w:hAnsi="Arial" w:cs="Arial"/>
          <w:sz w:val="20"/>
          <w:szCs w:val="20"/>
        </w:rPr>
        <w:t xml:space="preserve">reported similar results for the porosity percentage of little millet, and </w:t>
      </w:r>
      <w:r w:rsidR="00B55DA4" w:rsidRPr="00C448AF">
        <w:rPr>
          <w:rFonts w:ascii="Arial" w:hAnsi="Arial" w:cs="Arial"/>
          <w:sz w:val="20"/>
          <w:szCs w:val="20"/>
        </w:rPr>
        <w:t>(Rao et al., 2020 and Rajendran et al., 2023)</w:t>
      </w:r>
      <w:r w:rsidRPr="00C448AF">
        <w:rPr>
          <w:rFonts w:ascii="Arial" w:hAnsi="Arial" w:cs="Arial"/>
          <w:sz w:val="20"/>
          <w:szCs w:val="20"/>
        </w:rPr>
        <w:t xml:space="preserve"> reported similar results for barnyard millet.</w:t>
      </w:r>
    </w:p>
    <w:p w14:paraId="4D9F23FD" w14:textId="77777777" w:rsidR="003D71AF" w:rsidRPr="001C6F6B" w:rsidRDefault="003D71AF" w:rsidP="003D71AF">
      <w:pPr>
        <w:spacing w:after="0" w:line="360" w:lineRule="auto"/>
        <w:jc w:val="both"/>
        <w:rPr>
          <w:rFonts w:ascii="Times New Roman" w:hAnsi="Times New Roman" w:cs="Times New Roman"/>
          <w:sz w:val="20"/>
          <w:szCs w:val="20"/>
        </w:rPr>
      </w:pPr>
      <w:r w:rsidRPr="001C6F6B">
        <w:rPr>
          <w:rFonts w:ascii="Times New Roman" w:hAnsi="Times New Roman" w:cs="Times New Roman"/>
          <w:sz w:val="20"/>
          <w:szCs w:val="20"/>
        </w:rPr>
        <w:t xml:space="preserve"> </w:t>
      </w:r>
    </w:p>
    <w:p w14:paraId="6D348ED4" w14:textId="77777777" w:rsidR="003D71AF" w:rsidRPr="00057903" w:rsidRDefault="003D71AF" w:rsidP="003D71AF">
      <w:pPr>
        <w:pStyle w:val="ListParagraph"/>
        <w:numPr>
          <w:ilvl w:val="0"/>
          <w:numId w:val="3"/>
        </w:numPr>
        <w:spacing w:after="0" w:line="360" w:lineRule="auto"/>
        <w:jc w:val="both"/>
        <w:rPr>
          <w:rFonts w:ascii="Arial" w:hAnsi="Arial" w:cs="Arial"/>
          <w:b/>
          <w:bCs/>
          <w:i/>
          <w:iCs/>
          <w:sz w:val="20"/>
          <w:szCs w:val="20"/>
        </w:rPr>
      </w:pPr>
      <w:r w:rsidRPr="00057903">
        <w:rPr>
          <w:rFonts w:ascii="Arial" w:hAnsi="Arial" w:cs="Arial"/>
          <w:b/>
          <w:bCs/>
          <w:i/>
          <w:iCs/>
          <w:sz w:val="20"/>
          <w:szCs w:val="20"/>
        </w:rPr>
        <w:t xml:space="preserve">Sphericity </w:t>
      </w:r>
    </w:p>
    <w:p w14:paraId="145846C4" w14:textId="3A058F33" w:rsidR="003D71AF" w:rsidRPr="00C448AF" w:rsidRDefault="003D71AF" w:rsidP="003D71AF">
      <w:pPr>
        <w:spacing w:after="0" w:line="360" w:lineRule="auto"/>
        <w:jc w:val="both"/>
        <w:rPr>
          <w:rFonts w:ascii="Arial" w:hAnsi="Arial" w:cs="Arial"/>
          <w:sz w:val="20"/>
          <w:szCs w:val="20"/>
        </w:rPr>
      </w:pPr>
      <w:r w:rsidRPr="00C448AF">
        <w:rPr>
          <w:rFonts w:ascii="Arial" w:hAnsi="Arial" w:cs="Arial"/>
          <w:sz w:val="20"/>
          <w:szCs w:val="20"/>
        </w:rPr>
        <w:t>The sphericity % of barnyard millet and little millet ranged from 58.442 ± 0.103</w:t>
      </w:r>
      <w:r w:rsidR="00D15C82" w:rsidRPr="00C448AF">
        <w:rPr>
          <w:rFonts w:ascii="Arial" w:hAnsi="Arial" w:cs="Arial"/>
          <w:sz w:val="20"/>
          <w:szCs w:val="20"/>
        </w:rPr>
        <w:t xml:space="preserve"> %</w:t>
      </w:r>
      <w:r w:rsidRPr="00C448AF">
        <w:rPr>
          <w:rFonts w:ascii="Arial" w:hAnsi="Arial" w:cs="Arial"/>
          <w:sz w:val="20"/>
          <w:szCs w:val="20"/>
        </w:rPr>
        <w:t xml:space="preserve"> to 62.688 ± 2.853</w:t>
      </w:r>
      <w:r w:rsidR="00D15C82" w:rsidRPr="00C448AF">
        <w:rPr>
          <w:rFonts w:ascii="Arial" w:hAnsi="Arial" w:cs="Arial"/>
          <w:sz w:val="20"/>
          <w:szCs w:val="20"/>
        </w:rPr>
        <w:t xml:space="preserve"> %</w:t>
      </w:r>
      <w:r w:rsidRPr="00C448AF">
        <w:rPr>
          <w:rFonts w:ascii="Arial" w:hAnsi="Arial" w:cs="Arial"/>
          <w:sz w:val="20"/>
          <w:szCs w:val="20"/>
        </w:rPr>
        <w:t xml:space="preserve">. The results of this study and those of </w:t>
      </w:r>
      <w:r w:rsidR="00B55DA4" w:rsidRPr="00C448AF">
        <w:rPr>
          <w:rFonts w:ascii="Arial" w:hAnsi="Arial" w:cs="Arial"/>
          <w:sz w:val="20"/>
          <w:szCs w:val="20"/>
        </w:rPr>
        <w:t xml:space="preserve">(Rao et al., 2020) </w:t>
      </w:r>
      <w:r w:rsidRPr="00C448AF">
        <w:rPr>
          <w:rFonts w:ascii="Arial" w:hAnsi="Arial" w:cs="Arial"/>
          <w:sz w:val="20"/>
          <w:szCs w:val="20"/>
        </w:rPr>
        <w:t xml:space="preserve">differed significantly in terms of sphericity percentage; this could be because the millet grains used in the two studies were might be of different variety, cultivars. </w:t>
      </w:r>
    </w:p>
    <w:p w14:paraId="199F8879" w14:textId="77777777" w:rsidR="003D71AF" w:rsidRPr="00057903" w:rsidRDefault="003D71AF" w:rsidP="003D71AF">
      <w:pPr>
        <w:spacing w:after="0" w:line="360" w:lineRule="auto"/>
        <w:jc w:val="both"/>
        <w:rPr>
          <w:rFonts w:ascii="Arial" w:hAnsi="Arial" w:cs="Arial"/>
          <w:szCs w:val="22"/>
        </w:rPr>
      </w:pPr>
    </w:p>
    <w:p w14:paraId="18435770" w14:textId="77777777" w:rsidR="003D71AF" w:rsidRPr="00057903" w:rsidRDefault="003D71AF" w:rsidP="003D71AF">
      <w:pPr>
        <w:pStyle w:val="ListParagraph"/>
        <w:numPr>
          <w:ilvl w:val="0"/>
          <w:numId w:val="3"/>
        </w:numPr>
        <w:spacing w:after="0" w:line="360" w:lineRule="auto"/>
        <w:jc w:val="both"/>
        <w:rPr>
          <w:rFonts w:ascii="Arial" w:hAnsi="Arial" w:cs="Arial"/>
          <w:b/>
          <w:bCs/>
          <w:i/>
          <w:iCs/>
          <w:sz w:val="20"/>
          <w:szCs w:val="20"/>
        </w:rPr>
      </w:pPr>
      <w:r w:rsidRPr="00057903">
        <w:rPr>
          <w:rFonts w:ascii="Arial" w:hAnsi="Arial" w:cs="Arial"/>
          <w:b/>
          <w:bCs/>
          <w:i/>
          <w:iCs/>
          <w:sz w:val="20"/>
          <w:szCs w:val="20"/>
        </w:rPr>
        <w:t xml:space="preserve">Aspect Ratio </w:t>
      </w:r>
    </w:p>
    <w:p w14:paraId="6A7E101E" w14:textId="0FC1A395" w:rsidR="003D71AF" w:rsidRPr="00C448AF" w:rsidRDefault="003D71AF" w:rsidP="003D71AF">
      <w:pPr>
        <w:spacing w:after="0" w:line="360" w:lineRule="auto"/>
        <w:jc w:val="both"/>
        <w:rPr>
          <w:rFonts w:ascii="Arial" w:hAnsi="Arial" w:cs="Arial"/>
          <w:sz w:val="20"/>
          <w:szCs w:val="20"/>
        </w:rPr>
      </w:pPr>
      <w:r w:rsidRPr="00C448AF">
        <w:rPr>
          <w:rFonts w:ascii="Arial" w:hAnsi="Arial" w:cs="Arial"/>
          <w:sz w:val="20"/>
          <w:szCs w:val="20"/>
        </w:rPr>
        <w:t>With only little variations in decimal values, the aspect ratio percentage for little millet and barnyard millet were found to be 55.085 ± 7.688</w:t>
      </w:r>
      <w:r w:rsidR="00D15C82" w:rsidRPr="00C448AF">
        <w:rPr>
          <w:rFonts w:ascii="Arial" w:hAnsi="Arial" w:cs="Arial"/>
          <w:sz w:val="20"/>
          <w:szCs w:val="20"/>
        </w:rPr>
        <w:t xml:space="preserve"> %</w:t>
      </w:r>
      <w:r w:rsidRPr="00C448AF">
        <w:rPr>
          <w:rFonts w:ascii="Arial" w:hAnsi="Arial" w:cs="Arial"/>
          <w:sz w:val="20"/>
          <w:szCs w:val="20"/>
        </w:rPr>
        <w:t xml:space="preserve"> and 55.816 ± 0.255</w:t>
      </w:r>
      <w:r w:rsidR="00D15C82" w:rsidRPr="00C448AF">
        <w:rPr>
          <w:rFonts w:ascii="Arial" w:hAnsi="Arial" w:cs="Arial"/>
          <w:sz w:val="20"/>
          <w:szCs w:val="20"/>
        </w:rPr>
        <w:t xml:space="preserve"> %</w:t>
      </w:r>
      <w:r w:rsidRPr="00C448AF">
        <w:rPr>
          <w:rFonts w:ascii="Arial" w:hAnsi="Arial" w:cs="Arial"/>
          <w:sz w:val="20"/>
          <w:szCs w:val="20"/>
        </w:rPr>
        <w:t>, respectively.</w:t>
      </w:r>
    </w:p>
    <w:p w14:paraId="013D4417" w14:textId="77777777" w:rsidR="003D71AF" w:rsidRPr="001C6F6B" w:rsidRDefault="003D71AF" w:rsidP="003D71AF">
      <w:pPr>
        <w:spacing w:after="0" w:line="360" w:lineRule="auto"/>
        <w:jc w:val="both"/>
        <w:rPr>
          <w:rFonts w:ascii="Times New Roman" w:hAnsi="Times New Roman" w:cs="Times New Roman"/>
          <w:sz w:val="20"/>
          <w:szCs w:val="20"/>
        </w:rPr>
      </w:pPr>
    </w:p>
    <w:p w14:paraId="2669DD21" w14:textId="77777777" w:rsidR="003D71AF" w:rsidRPr="00057903" w:rsidRDefault="003D71AF" w:rsidP="003D71AF">
      <w:pPr>
        <w:pStyle w:val="ListParagraph"/>
        <w:numPr>
          <w:ilvl w:val="0"/>
          <w:numId w:val="3"/>
        </w:numPr>
        <w:spacing w:after="0" w:line="360" w:lineRule="auto"/>
        <w:jc w:val="both"/>
        <w:rPr>
          <w:rFonts w:ascii="Arial" w:hAnsi="Arial" w:cs="Arial"/>
          <w:b/>
          <w:bCs/>
          <w:i/>
          <w:iCs/>
          <w:sz w:val="20"/>
          <w:szCs w:val="20"/>
        </w:rPr>
      </w:pPr>
      <w:r w:rsidRPr="00057903">
        <w:rPr>
          <w:rFonts w:ascii="Arial" w:hAnsi="Arial" w:cs="Arial"/>
          <w:b/>
          <w:bCs/>
          <w:i/>
          <w:iCs/>
          <w:sz w:val="20"/>
          <w:szCs w:val="20"/>
        </w:rPr>
        <w:t xml:space="preserve">Shape and Colour </w:t>
      </w:r>
    </w:p>
    <w:p w14:paraId="46550C5D" w14:textId="77777777" w:rsidR="003D71AF" w:rsidRPr="00C448AF" w:rsidRDefault="003D71AF" w:rsidP="003D71AF">
      <w:pPr>
        <w:spacing w:line="360" w:lineRule="auto"/>
        <w:jc w:val="both"/>
        <w:rPr>
          <w:rFonts w:ascii="Arial" w:hAnsi="Arial" w:cs="Arial"/>
          <w:sz w:val="20"/>
          <w:szCs w:val="20"/>
        </w:rPr>
      </w:pPr>
      <w:r w:rsidRPr="00C448AF">
        <w:rPr>
          <w:rFonts w:ascii="Arial" w:hAnsi="Arial" w:cs="Arial"/>
          <w:sz w:val="20"/>
          <w:szCs w:val="20"/>
        </w:rPr>
        <w:t>The barnyard millet was found to be dull cream in colour, while the little millet was found to be light brown. Both grains were seen to have an oval shape. Table 2 shows the structural properties of little millet and barnyard millet grains.</w:t>
      </w:r>
    </w:p>
    <w:p w14:paraId="61D2E9DE" w14:textId="216332BB" w:rsidR="003D71AF" w:rsidRPr="00057903" w:rsidRDefault="003D71AF" w:rsidP="003D71AF">
      <w:pPr>
        <w:spacing w:line="360" w:lineRule="auto"/>
        <w:ind w:hanging="993"/>
        <w:jc w:val="both"/>
        <w:rPr>
          <w:rFonts w:ascii="Arial" w:hAnsi="Arial" w:cs="Arial"/>
          <w:b/>
          <w:bCs/>
          <w:sz w:val="20"/>
          <w:szCs w:val="20"/>
        </w:rPr>
      </w:pPr>
      <w:r w:rsidRPr="001C6F6B">
        <w:rPr>
          <w:rFonts w:ascii="Times New Roman" w:hAnsi="Times New Roman" w:cs="Times New Roman"/>
          <w:sz w:val="20"/>
          <w:szCs w:val="20"/>
        </w:rPr>
        <w:t xml:space="preserve"> </w:t>
      </w:r>
      <w:r w:rsidRPr="00057903">
        <w:rPr>
          <w:rFonts w:ascii="Arial" w:hAnsi="Arial" w:cs="Arial"/>
          <w:b/>
          <w:bCs/>
          <w:sz w:val="20"/>
          <w:szCs w:val="20"/>
        </w:rPr>
        <w:t>Table 2.  Structural properties of little millet and barnyard millet grains</w:t>
      </w:r>
    </w:p>
    <w:tbl>
      <w:tblPr>
        <w:tblStyle w:val="TableGrid"/>
        <w:tblpPr w:leftFromText="180" w:rightFromText="180" w:vertAnchor="text" w:horzAnchor="margin" w:tblpXSpec="center" w:tblpY="60"/>
        <w:tblW w:w="11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4"/>
        <w:gridCol w:w="1193"/>
        <w:gridCol w:w="1017"/>
        <w:gridCol w:w="842"/>
        <w:gridCol w:w="843"/>
        <w:gridCol w:w="967"/>
        <w:gridCol w:w="886"/>
        <w:gridCol w:w="1038"/>
        <w:gridCol w:w="778"/>
        <w:gridCol w:w="737"/>
        <w:gridCol w:w="777"/>
      </w:tblGrid>
      <w:tr w:rsidR="003D71AF" w:rsidRPr="00057903" w14:paraId="1318F265" w14:textId="77777777" w:rsidTr="007B017C">
        <w:trPr>
          <w:trHeight w:val="1125"/>
        </w:trPr>
        <w:tc>
          <w:tcPr>
            <w:tcW w:w="2514" w:type="dxa"/>
            <w:tcBorders>
              <w:top w:val="single" w:sz="4" w:space="0" w:color="auto"/>
              <w:bottom w:val="single" w:sz="4" w:space="0" w:color="auto"/>
            </w:tcBorders>
          </w:tcPr>
          <w:p w14:paraId="7362CAFA"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b/>
                <w:bCs/>
                <w:sz w:val="18"/>
                <w:szCs w:val="18"/>
              </w:rPr>
              <w:t xml:space="preserve">Structural Properties </w:t>
            </w:r>
          </w:p>
        </w:tc>
        <w:tc>
          <w:tcPr>
            <w:tcW w:w="1205" w:type="dxa"/>
            <w:tcBorders>
              <w:top w:val="single" w:sz="4" w:space="0" w:color="auto"/>
              <w:bottom w:val="single" w:sz="4" w:space="0" w:color="auto"/>
            </w:tcBorders>
          </w:tcPr>
          <w:p w14:paraId="3011D727"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Thousand kernel weight (g)</w:t>
            </w:r>
          </w:p>
        </w:tc>
        <w:tc>
          <w:tcPr>
            <w:tcW w:w="1005" w:type="dxa"/>
            <w:tcBorders>
              <w:top w:val="single" w:sz="4" w:space="0" w:color="auto"/>
              <w:bottom w:val="single" w:sz="4" w:space="0" w:color="auto"/>
            </w:tcBorders>
          </w:tcPr>
          <w:p w14:paraId="3777B03C" w14:textId="23B6888E"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Thousand kernel volume (m</w:t>
            </w:r>
            <w:r w:rsidR="00D15C82" w:rsidRPr="00057903">
              <w:rPr>
                <w:rFonts w:ascii="Arial" w:hAnsi="Arial" w:cs="Arial"/>
                <w:sz w:val="18"/>
                <w:szCs w:val="18"/>
              </w:rPr>
              <w:t>L</w:t>
            </w:r>
            <w:r w:rsidRPr="00057903">
              <w:rPr>
                <w:rFonts w:ascii="Arial" w:hAnsi="Arial" w:cs="Arial"/>
                <w:sz w:val="18"/>
                <w:szCs w:val="18"/>
              </w:rPr>
              <w:t>)</w:t>
            </w:r>
          </w:p>
        </w:tc>
        <w:tc>
          <w:tcPr>
            <w:tcW w:w="844" w:type="dxa"/>
            <w:tcBorders>
              <w:top w:val="single" w:sz="4" w:space="0" w:color="auto"/>
              <w:bottom w:val="single" w:sz="4" w:space="0" w:color="auto"/>
            </w:tcBorders>
          </w:tcPr>
          <w:p w14:paraId="05B0C910" w14:textId="1A2AFEC9"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Density (g/m</w:t>
            </w:r>
            <w:r w:rsidR="00D15C82" w:rsidRPr="00057903">
              <w:rPr>
                <w:rFonts w:ascii="Arial" w:hAnsi="Arial" w:cs="Arial"/>
                <w:sz w:val="18"/>
                <w:szCs w:val="18"/>
              </w:rPr>
              <w:t>L</w:t>
            </w:r>
            <w:r w:rsidRPr="00057903">
              <w:rPr>
                <w:rFonts w:ascii="Arial" w:hAnsi="Arial" w:cs="Arial"/>
                <w:sz w:val="18"/>
                <w:szCs w:val="18"/>
              </w:rPr>
              <w:t>)</w:t>
            </w:r>
          </w:p>
        </w:tc>
        <w:tc>
          <w:tcPr>
            <w:tcW w:w="844" w:type="dxa"/>
            <w:tcBorders>
              <w:top w:val="single" w:sz="4" w:space="0" w:color="auto"/>
              <w:bottom w:val="single" w:sz="4" w:space="0" w:color="auto"/>
            </w:tcBorders>
          </w:tcPr>
          <w:p w14:paraId="6A1E276D"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Bulk Density (kg/m</w:t>
            </w:r>
            <w:r w:rsidRPr="00057903">
              <w:rPr>
                <w:rFonts w:ascii="Arial" w:hAnsi="Arial" w:cs="Arial"/>
                <w:sz w:val="18"/>
                <w:szCs w:val="18"/>
                <w:vertAlign w:val="superscript"/>
              </w:rPr>
              <w:t>3</w:t>
            </w:r>
            <w:r w:rsidRPr="00057903">
              <w:rPr>
                <w:rFonts w:ascii="Arial" w:hAnsi="Arial" w:cs="Arial"/>
                <w:sz w:val="18"/>
                <w:szCs w:val="18"/>
              </w:rPr>
              <w:t>)</w:t>
            </w:r>
          </w:p>
        </w:tc>
        <w:tc>
          <w:tcPr>
            <w:tcW w:w="891" w:type="dxa"/>
            <w:tcBorders>
              <w:top w:val="single" w:sz="4" w:space="0" w:color="auto"/>
              <w:bottom w:val="single" w:sz="4" w:space="0" w:color="auto"/>
            </w:tcBorders>
          </w:tcPr>
          <w:p w14:paraId="21DB7EC7"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True Density (kg/m</w:t>
            </w:r>
            <w:r w:rsidRPr="00057903">
              <w:rPr>
                <w:rFonts w:ascii="Arial" w:hAnsi="Arial" w:cs="Arial"/>
                <w:sz w:val="18"/>
                <w:szCs w:val="18"/>
                <w:vertAlign w:val="superscript"/>
              </w:rPr>
              <w:t>3</w:t>
            </w:r>
            <w:r w:rsidRPr="00057903">
              <w:rPr>
                <w:rFonts w:ascii="Arial" w:hAnsi="Arial" w:cs="Arial"/>
                <w:sz w:val="18"/>
                <w:szCs w:val="18"/>
              </w:rPr>
              <w:t>)</w:t>
            </w:r>
          </w:p>
        </w:tc>
        <w:tc>
          <w:tcPr>
            <w:tcW w:w="887" w:type="dxa"/>
            <w:tcBorders>
              <w:top w:val="single" w:sz="4" w:space="0" w:color="auto"/>
              <w:bottom w:val="single" w:sz="4" w:space="0" w:color="auto"/>
            </w:tcBorders>
          </w:tcPr>
          <w:p w14:paraId="7C9B6DA2"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Porosity (%)</w:t>
            </w:r>
          </w:p>
        </w:tc>
        <w:tc>
          <w:tcPr>
            <w:tcW w:w="1040" w:type="dxa"/>
            <w:tcBorders>
              <w:top w:val="single" w:sz="4" w:space="0" w:color="auto"/>
              <w:bottom w:val="single" w:sz="4" w:space="0" w:color="auto"/>
            </w:tcBorders>
          </w:tcPr>
          <w:p w14:paraId="71C9DBC8"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Sphericity (%)</w:t>
            </w:r>
          </w:p>
        </w:tc>
        <w:tc>
          <w:tcPr>
            <w:tcW w:w="779" w:type="dxa"/>
            <w:tcBorders>
              <w:top w:val="single" w:sz="4" w:space="0" w:color="auto"/>
              <w:bottom w:val="single" w:sz="4" w:space="0" w:color="auto"/>
            </w:tcBorders>
          </w:tcPr>
          <w:p w14:paraId="68017247"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Aspect ratio (%)</w:t>
            </w:r>
          </w:p>
        </w:tc>
        <w:tc>
          <w:tcPr>
            <w:tcW w:w="714" w:type="dxa"/>
            <w:tcBorders>
              <w:top w:val="single" w:sz="4" w:space="0" w:color="auto"/>
              <w:bottom w:val="single" w:sz="4" w:space="0" w:color="auto"/>
            </w:tcBorders>
          </w:tcPr>
          <w:p w14:paraId="1A89F9EB"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 xml:space="preserve">Shape </w:t>
            </w:r>
          </w:p>
        </w:tc>
        <w:tc>
          <w:tcPr>
            <w:tcW w:w="779" w:type="dxa"/>
            <w:tcBorders>
              <w:top w:val="single" w:sz="4" w:space="0" w:color="auto"/>
              <w:bottom w:val="single" w:sz="4" w:space="0" w:color="auto"/>
            </w:tcBorders>
          </w:tcPr>
          <w:p w14:paraId="3A4563F8"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 xml:space="preserve">Colour </w:t>
            </w:r>
          </w:p>
        </w:tc>
      </w:tr>
      <w:tr w:rsidR="003D71AF" w:rsidRPr="00057903" w14:paraId="07D8B0C8" w14:textId="77777777" w:rsidTr="007B017C">
        <w:trPr>
          <w:trHeight w:val="512"/>
        </w:trPr>
        <w:tc>
          <w:tcPr>
            <w:tcW w:w="2514" w:type="dxa"/>
            <w:tcBorders>
              <w:top w:val="single" w:sz="4" w:space="0" w:color="auto"/>
              <w:bottom w:val="single" w:sz="4" w:space="0" w:color="auto"/>
            </w:tcBorders>
          </w:tcPr>
          <w:p w14:paraId="3F17C33D"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b/>
                <w:bCs/>
                <w:sz w:val="18"/>
                <w:szCs w:val="18"/>
              </w:rPr>
              <w:t xml:space="preserve">Little Millet </w:t>
            </w:r>
          </w:p>
        </w:tc>
        <w:tc>
          <w:tcPr>
            <w:tcW w:w="1205" w:type="dxa"/>
            <w:tcBorders>
              <w:top w:val="single" w:sz="4" w:space="0" w:color="auto"/>
              <w:bottom w:val="single" w:sz="4" w:space="0" w:color="auto"/>
            </w:tcBorders>
          </w:tcPr>
          <w:p w14:paraId="0DA9DDFE"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3.072 ± 0.011</w:t>
            </w:r>
            <w:r w:rsidRPr="00057903">
              <w:rPr>
                <w:rFonts w:ascii="Arial" w:hAnsi="Arial" w:cs="Arial"/>
                <w:sz w:val="18"/>
                <w:szCs w:val="18"/>
                <w:vertAlign w:val="superscript"/>
              </w:rPr>
              <w:t>a</w:t>
            </w:r>
          </w:p>
        </w:tc>
        <w:tc>
          <w:tcPr>
            <w:tcW w:w="1005" w:type="dxa"/>
            <w:tcBorders>
              <w:top w:val="single" w:sz="4" w:space="0" w:color="auto"/>
              <w:bottom w:val="single" w:sz="4" w:space="0" w:color="auto"/>
            </w:tcBorders>
          </w:tcPr>
          <w:p w14:paraId="48B62327"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4.213 ± 0.042</w:t>
            </w:r>
            <w:r w:rsidRPr="00057903">
              <w:rPr>
                <w:rFonts w:ascii="Arial" w:hAnsi="Arial" w:cs="Arial"/>
                <w:sz w:val="18"/>
                <w:szCs w:val="18"/>
                <w:vertAlign w:val="superscript"/>
              </w:rPr>
              <w:t>c</w:t>
            </w:r>
          </w:p>
        </w:tc>
        <w:tc>
          <w:tcPr>
            <w:tcW w:w="844" w:type="dxa"/>
            <w:tcBorders>
              <w:top w:val="single" w:sz="4" w:space="0" w:color="auto"/>
              <w:bottom w:val="single" w:sz="4" w:space="0" w:color="auto"/>
            </w:tcBorders>
          </w:tcPr>
          <w:p w14:paraId="0E6F6CC2"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0.729 ± 0.008</w:t>
            </w:r>
            <w:r w:rsidRPr="00057903">
              <w:rPr>
                <w:rFonts w:ascii="Arial" w:hAnsi="Arial" w:cs="Arial"/>
                <w:sz w:val="18"/>
                <w:szCs w:val="18"/>
                <w:vertAlign w:val="superscript"/>
              </w:rPr>
              <w:t>e</w:t>
            </w:r>
          </w:p>
        </w:tc>
        <w:tc>
          <w:tcPr>
            <w:tcW w:w="844" w:type="dxa"/>
            <w:tcBorders>
              <w:top w:val="single" w:sz="4" w:space="0" w:color="auto"/>
              <w:bottom w:val="single" w:sz="4" w:space="0" w:color="auto"/>
            </w:tcBorders>
          </w:tcPr>
          <w:p w14:paraId="63ABFCEE"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color w:val="000000"/>
                <w:sz w:val="18"/>
                <w:szCs w:val="18"/>
              </w:rPr>
              <w:t xml:space="preserve">969.4 </w:t>
            </w:r>
            <w:r w:rsidRPr="00057903">
              <w:rPr>
                <w:rFonts w:ascii="Arial" w:hAnsi="Arial" w:cs="Arial"/>
                <w:sz w:val="18"/>
                <w:szCs w:val="18"/>
              </w:rPr>
              <w:t xml:space="preserve">± </w:t>
            </w:r>
            <w:r w:rsidRPr="00057903">
              <w:rPr>
                <w:rFonts w:ascii="Arial" w:hAnsi="Arial" w:cs="Arial"/>
                <w:color w:val="000000"/>
                <w:sz w:val="18"/>
                <w:szCs w:val="18"/>
              </w:rPr>
              <w:t>6.235</w:t>
            </w:r>
            <w:r w:rsidRPr="00057903">
              <w:rPr>
                <w:rFonts w:ascii="Arial" w:hAnsi="Arial" w:cs="Arial"/>
                <w:color w:val="000000"/>
                <w:sz w:val="18"/>
                <w:szCs w:val="18"/>
                <w:vertAlign w:val="superscript"/>
              </w:rPr>
              <w:t>g</w:t>
            </w:r>
          </w:p>
        </w:tc>
        <w:tc>
          <w:tcPr>
            <w:tcW w:w="891" w:type="dxa"/>
            <w:tcBorders>
              <w:top w:val="single" w:sz="4" w:space="0" w:color="auto"/>
              <w:bottom w:val="single" w:sz="4" w:space="0" w:color="auto"/>
            </w:tcBorders>
          </w:tcPr>
          <w:p w14:paraId="581327FA"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color w:val="000000"/>
                <w:sz w:val="18"/>
                <w:szCs w:val="18"/>
              </w:rPr>
              <w:t xml:space="preserve">1309.333 </w:t>
            </w:r>
            <w:r w:rsidRPr="00057903">
              <w:rPr>
                <w:rFonts w:ascii="Arial" w:hAnsi="Arial" w:cs="Arial"/>
                <w:sz w:val="18"/>
                <w:szCs w:val="18"/>
              </w:rPr>
              <w:t xml:space="preserve">± </w:t>
            </w:r>
            <w:r w:rsidRPr="00057903">
              <w:rPr>
                <w:rFonts w:ascii="Arial" w:hAnsi="Arial" w:cs="Arial"/>
                <w:color w:val="000000"/>
                <w:sz w:val="18"/>
                <w:szCs w:val="18"/>
              </w:rPr>
              <w:t>102.768</w:t>
            </w:r>
            <w:r w:rsidRPr="00057903">
              <w:rPr>
                <w:rFonts w:ascii="Arial" w:hAnsi="Arial" w:cs="Arial"/>
                <w:color w:val="000000"/>
                <w:sz w:val="18"/>
                <w:szCs w:val="18"/>
                <w:vertAlign w:val="superscript"/>
              </w:rPr>
              <w:t>i</w:t>
            </w:r>
          </w:p>
        </w:tc>
        <w:tc>
          <w:tcPr>
            <w:tcW w:w="887" w:type="dxa"/>
            <w:tcBorders>
              <w:top w:val="single" w:sz="4" w:space="0" w:color="auto"/>
              <w:bottom w:val="single" w:sz="4" w:space="0" w:color="auto"/>
            </w:tcBorders>
          </w:tcPr>
          <w:p w14:paraId="71F182C6"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color w:val="000000"/>
                <w:sz w:val="18"/>
                <w:szCs w:val="18"/>
              </w:rPr>
              <w:t xml:space="preserve">25.639 </w:t>
            </w:r>
            <w:r w:rsidRPr="00057903">
              <w:rPr>
                <w:rFonts w:ascii="Arial" w:hAnsi="Arial" w:cs="Arial"/>
                <w:sz w:val="18"/>
                <w:szCs w:val="18"/>
              </w:rPr>
              <w:t>± 6.026</w:t>
            </w:r>
            <w:r w:rsidRPr="00057903">
              <w:rPr>
                <w:rFonts w:ascii="Arial" w:hAnsi="Arial" w:cs="Arial"/>
                <w:sz w:val="18"/>
                <w:szCs w:val="18"/>
                <w:vertAlign w:val="superscript"/>
              </w:rPr>
              <w:t>k</w:t>
            </w:r>
          </w:p>
        </w:tc>
        <w:tc>
          <w:tcPr>
            <w:tcW w:w="1040" w:type="dxa"/>
            <w:tcBorders>
              <w:top w:val="single" w:sz="4" w:space="0" w:color="auto"/>
              <w:bottom w:val="single" w:sz="4" w:space="0" w:color="auto"/>
            </w:tcBorders>
          </w:tcPr>
          <w:p w14:paraId="5932E7C7"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62.688 ± 2.853</w:t>
            </w:r>
            <w:r w:rsidRPr="00057903">
              <w:rPr>
                <w:rFonts w:ascii="Arial" w:hAnsi="Arial" w:cs="Arial"/>
                <w:sz w:val="18"/>
                <w:szCs w:val="18"/>
                <w:vertAlign w:val="superscript"/>
              </w:rPr>
              <w:t>m</w:t>
            </w:r>
          </w:p>
        </w:tc>
        <w:tc>
          <w:tcPr>
            <w:tcW w:w="779" w:type="dxa"/>
            <w:tcBorders>
              <w:top w:val="single" w:sz="4" w:space="0" w:color="auto"/>
              <w:bottom w:val="single" w:sz="4" w:space="0" w:color="auto"/>
            </w:tcBorders>
          </w:tcPr>
          <w:p w14:paraId="10F2B542"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55.085 ± 7.688</w:t>
            </w:r>
            <w:r w:rsidRPr="00057903">
              <w:rPr>
                <w:rFonts w:ascii="Arial" w:hAnsi="Arial" w:cs="Arial"/>
                <w:sz w:val="18"/>
                <w:szCs w:val="18"/>
                <w:vertAlign w:val="superscript"/>
              </w:rPr>
              <w:t>o</w:t>
            </w:r>
          </w:p>
        </w:tc>
        <w:tc>
          <w:tcPr>
            <w:tcW w:w="714" w:type="dxa"/>
            <w:tcBorders>
              <w:top w:val="single" w:sz="4" w:space="0" w:color="auto"/>
              <w:bottom w:val="single" w:sz="4" w:space="0" w:color="auto"/>
            </w:tcBorders>
          </w:tcPr>
          <w:p w14:paraId="4A205109"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 xml:space="preserve">Oval </w:t>
            </w:r>
          </w:p>
        </w:tc>
        <w:tc>
          <w:tcPr>
            <w:tcW w:w="779" w:type="dxa"/>
            <w:tcBorders>
              <w:top w:val="single" w:sz="4" w:space="0" w:color="auto"/>
              <w:bottom w:val="single" w:sz="4" w:space="0" w:color="auto"/>
            </w:tcBorders>
          </w:tcPr>
          <w:p w14:paraId="54D1989D"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 xml:space="preserve">Light brown  </w:t>
            </w:r>
          </w:p>
        </w:tc>
      </w:tr>
      <w:tr w:rsidR="003D71AF" w:rsidRPr="00057903" w14:paraId="09F834A4" w14:textId="77777777" w:rsidTr="007B017C">
        <w:trPr>
          <w:trHeight w:val="524"/>
        </w:trPr>
        <w:tc>
          <w:tcPr>
            <w:tcW w:w="2514" w:type="dxa"/>
            <w:tcBorders>
              <w:top w:val="single" w:sz="4" w:space="0" w:color="auto"/>
              <w:bottom w:val="single" w:sz="4" w:space="0" w:color="auto"/>
            </w:tcBorders>
          </w:tcPr>
          <w:p w14:paraId="1F0291CB"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b/>
                <w:bCs/>
                <w:sz w:val="18"/>
                <w:szCs w:val="18"/>
              </w:rPr>
              <w:t xml:space="preserve">Barnyard Millet </w:t>
            </w:r>
          </w:p>
        </w:tc>
        <w:tc>
          <w:tcPr>
            <w:tcW w:w="1205" w:type="dxa"/>
            <w:tcBorders>
              <w:top w:val="single" w:sz="4" w:space="0" w:color="auto"/>
              <w:bottom w:val="single" w:sz="4" w:space="0" w:color="auto"/>
            </w:tcBorders>
          </w:tcPr>
          <w:p w14:paraId="409FE7DF" w14:textId="77777777" w:rsidR="003D71AF" w:rsidRPr="00057903" w:rsidRDefault="003D71AF" w:rsidP="007B017C">
            <w:pPr>
              <w:tabs>
                <w:tab w:val="left" w:pos="2915"/>
              </w:tabs>
              <w:spacing w:line="360" w:lineRule="auto"/>
              <w:rPr>
                <w:rFonts w:ascii="Arial" w:hAnsi="Arial" w:cs="Arial"/>
                <w:sz w:val="18"/>
                <w:szCs w:val="18"/>
                <w:vertAlign w:val="superscript"/>
                <w:lang w:eastAsia="en-IN" w:bidi="ar-SA"/>
              </w:rPr>
            </w:pPr>
            <w:r w:rsidRPr="00057903">
              <w:rPr>
                <w:rFonts w:ascii="Arial" w:hAnsi="Arial" w:cs="Arial"/>
                <w:sz w:val="18"/>
                <w:szCs w:val="18"/>
              </w:rPr>
              <w:t>3.146 ± 0.052</w:t>
            </w:r>
            <w:r w:rsidRPr="00057903">
              <w:rPr>
                <w:rFonts w:ascii="Arial" w:hAnsi="Arial" w:cs="Arial"/>
                <w:sz w:val="18"/>
                <w:szCs w:val="18"/>
                <w:vertAlign w:val="superscript"/>
              </w:rPr>
              <w:t>a</w:t>
            </w:r>
          </w:p>
        </w:tc>
        <w:tc>
          <w:tcPr>
            <w:tcW w:w="1005" w:type="dxa"/>
            <w:tcBorders>
              <w:top w:val="single" w:sz="4" w:space="0" w:color="auto"/>
              <w:bottom w:val="single" w:sz="4" w:space="0" w:color="auto"/>
            </w:tcBorders>
          </w:tcPr>
          <w:p w14:paraId="518F28A8"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4.120 ± 0.020</w:t>
            </w:r>
            <w:r w:rsidRPr="00057903">
              <w:rPr>
                <w:rFonts w:ascii="Arial" w:hAnsi="Arial" w:cs="Arial"/>
                <w:sz w:val="18"/>
                <w:szCs w:val="18"/>
                <w:vertAlign w:val="superscript"/>
              </w:rPr>
              <w:t>d</w:t>
            </w:r>
          </w:p>
        </w:tc>
        <w:tc>
          <w:tcPr>
            <w:tcW w:w="844" w:type="dxa"/>
            <w:tcBorders>
              <w:top w:val="single" w:sz="4" w:space="0" w:color="auto"/>
              <w:bottom w:val="single" w:sz="4" w:space="0" w:color="auto"/>
            </w:tcBorders>
          </w:tcPr>
          <w:p w14:paraId="7C179C47"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0.763 ± 0.016</w:t>
            </w:r>
            <w:r w:rsidRPr="00057903">
              <w:rPr>
                <w:rFonts w:ascii="Arial" w:hAnsi="Arial" w:cs="Arial"/>
                <w:sz w:val="18"/>
                <w:szCs w:val="18"/>
                <w:vertAlign w:val="superscript"/>
              </w:rPr>
              <w:t>f</w:t>
            </w:r>
          </w:p>
        </w:tc>
        <w:tc>
          <w:tcPr>
            <w:tcW w:w="844" w:type="dxa"/>
            <w:tcBorders>
              <w:top w:val="single" w:sz="4" w:space="0" w:color="auto"/>
              <w:bottom w:val="single" w:sz="4" w:space="0" w:color="auto"/>
            </w:tcBorders>
          </w:tcPr>
          <w:p w14:paraId="30D35B89"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950.8 ± 12.297</w:t>
            </w:r>
            <w:r w:rsidRPr="00057903">
              <w:rPr>
                <w:rFonts w:ascii="Arial" w:hAnsi="Arial" w:cs="Arial"/>
                <w:sz w:val="18"/>
                <w:szCs w:val="18"/>
                <w:vertAlign w:val="superscript"/>
              </w:rPr>
              <w:t>h</w:t>
            </w:r>
            <w:r w:rsidRPr="00057903">
              <w:rPr>
                <w:rFonts w:ascii="Arial" w:hAnsi="Arial" w:cs="Arial"/>
                <w:sz w:val="18"/>
                <w:szCs w:val="18"/>
              </w:rPr>
              <w:t xml:space="preserve">         </w:t>
            </w:r>
            <w:r w:rsidRPr="00057903">
              <w:rPr>
                <w:rFonts w:ascii="Arial" w:hAnsi="Arial" w:cs="Arial"/>
                <w:sz w:val="18"/>
                <w:szCs w:val="18"/>
                <w:vertAlign w:val="superscript"/>
              </w:rPr>
              <w:t xml:space="preserve">                   </w:t>
            </w:r>
          </w:p>
        </w:tc>
        <w:tc>
          <w:tcPr>
            <w:tcW w:w="891" w:type="dxa"/>
            <w:tcBorders>
              <w:top w:val="single" w:sz="4" w:space="0" w:color="auto"/>
              <w:bottom w:val="single" w:sz="4" w:space="0" w:color="auto"/>
            </w:tcBorders>
          </w:tcPr>
          <w:p w14:paraId="376B6778"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1631.5 ± 59.755</w:t>
            </w:r>
            <w:r w:rsidRPr="00057903">
              <w:rPr>
                <w:rFonts w:ascii="Arial" w:hAnsi="Arial" w:cs="Arial"/>
                <w:sz w:val="18"/>
                <w:szCs w:val="18"/>
                <w:vertAlign w:val="superscript"/>
              </w:rPr>
              <w:t>j</w:t>
            </w:r>
          </w:p>
        </w:tc>
        <w:tc>
          <w:tcPr>
            <w:tcW w:w="887" w:type="dxa"/>
            <w:tcBorders>
              <w:top w:val="single" w:sz="4" w:space="0" w:color="auto"/>
              <w:bottom w:val="single" w:sz="4" w:space="0" w:color="auto"/>
            </w:tcBorders>
          </w:tcPr>
          <w:p w14:paraId="2E6D321F"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41.687 ± 1.411</w:t>
            </w:r>
            <w:r w:rsidRPr="00057903">
              <w:rPr>
                <w:rFonts w:ascii="Arial" w:hAnsi="Arial" w:cs="Arial"/>
                <w:sz w:val="18"/>
                <w:szCs w:val="18"/>
                <w:vertAlign w:val="superscript"/>
              </w:rPr>
              <w:t>l</w:t>
            </w:r>
          </w:p>
        </w:tc>
        <w:tc>
          <w:tcPr>
            <w:tcW w:w="1040" w:type="dxa"/>
            <w:tcBorders>
              <w:top w:val="single" w:sz="4" w:space="0" w:color="auto"/>
              <w:bottom w:val="single" w:sz="4" w:space="0" w:color="auto"/>
            </w:tcBorders>
          </w:tcPr>
          <w:p w14:paraId="2E28ACB3"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58.442 ± 0.103</w:t>
            </w:r>
            <w:r w:rsidRPr="00057903">
              <w:rPr>
                <w:rFonts w:ascii="Arial" w:hAnsi="Arial" w:cs="Arial"/>
                <w:sz w:val="18"/>
                <w:szCs w:val="18"/>
                <w:vertAlign w:val="superscript"/>
              </w:rPr>
              <w:t>n</w:t>
            </w:r>
          </w:p>
        </w:tc>
        <w:tc>
          <w:tcPr>
            <w:tcW w:w="779" w:type="dxa"/>
            <w:tcBorders>
              <w:top w:val="single" w:sz="4" w:space="0" w:color="auto"/>
              <w:bottom w:val="single" w:sz="4" w:space="0" w:color="auto"/>
            </w:tcBorders>
          </w:tcPr>
          <w:p w14:paraId="697615E8" w14:textId="77777777" w:rsidR="003D71AF" w:rsidRPr="00057903" w:rsidRDefault="003D71AF" w:rsidP="007B017C">
            <w:pPr>
              <w:tabs>
                <w:tab w:val="left" w:pos="2915"/>
              </w:tabs>
              <w:spacing w:line="360" w:lineRule="auto"/>
              <w:rPr>
                <w:rFonts w:ascii="Arial" w:hAnsi="Arial" w:cs="Arial"/>
                <w:sz w:val="18"/>
                <w:szCs w:val="18"/>
                <w:vertAlign w:val="superscript"/>
                <w:lang w:eastAsia="en-IN" w:bidi="ar-SA"/>
              </w:rPr>
            </w:pPr>
            <w:r w:rsidRPr="00057903">
              <w:rPr>
                <w:rFonts w:ascii="Arial" w:hAnsi="Arial" w:cs="Arial"/>
                <w:sz w:val="18"/>
                <w:szCs w:val="18"/>
              </w:rPr>
              <w:t>55.816 ± 0.255</w:t>
            </w:r>
            <w:r w:rsidRPr="00057903">
              <w:rPr>
                <w:rFonts w:ascii="Arial" w:hAnsi="Arial" w:cs="Arial"/>
                <w:sz w:val="18"/>
                <w:szCs w:val="18"/>
                <w:vertAlign w:val="superscript"/>
              </w:rPr>
              <w:t>o</w:t>
            </w:r>
          </w:p>
        </w:tc>
        <w:tc>
          <w:tcPr>
            <w:tcW w:w="714" w:type="dxa"/>
            <w:tcBorders>
              <w:top w:val="single" w:sz="4" w:space="0" w:color="auto"/>
              <w:bottom w:val="single" w:sz="4" w:space="0" w:color="auto"/>
            </w:tcBorders>
          </w:tcPr>
          <w:p w14:paraId="72335F09"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 xml:space="preserve">Oval </w:t>
            </w:r>
          </w:p>
        </w:tc>
        <w:tc>
          <w:tcPr>
            <w:tcW w:w="779" w:type="dxa"/>
            <w:tcBorders>
              <w:top w:val="single" w:sz="4" w:space="0" w:color="auto"/>
              <w:bottom w:val="single" w:sz="4" w:space="0" w:color="auto"/>
            </w:tcBorders>
          </w:tcPr>
          <w:p w14:paraId="37D1E2D7"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 xml:space="preserve">Dull cream  </w:t>
            </w:r>
          </w:p>
        </w:tc>
      </w:tr>
    </w:tbl>
    <w:p w14:paraId="12082596" w14:textId="77777777" w:rsidR="003D71AF" w:rsidRPr="00C448AF" w:rsidRDefault="003D71AF" w:rsidP="003D71AF">
      <w:pPr>
        <w:tabs>
          <w:tab w:val="left" w:pos="2568"/>
        </w:tabs>
        <w:spacing w:line="360" w:lineRule="auto"/>
        <w:ind w:hanging="1134"/>
        <w:rPr>
          <w:rFonts w:ascii="Arial" w:hAnsi="Arial" w:cs="Arial"/>
          <w:iCs/>
          <w:spacing w:val="-5"/>
          <w:sz w:val="18"/>
          <w:szCs w:val="18"/>
        </w:rPr>
      </w:pPr>
      <w:r w:rsidRPr="00C448AF">
        <w:rPr>
          <w:rFonts w:ascii="Arial" w:hAnsi="Arial" w:cs="Arial"/>
          <w:iCs/>
          <w:sz w:val="18"/>
          <w:szCs w:val="18"/>
        </w:rPr>
        <w:t>Note: The letters in the same rows indicate the significant differences among the data (</w:t>
      </w:r>
      <w:r w:rsidRPr="00C448AF">
        <w:rPr>
          <w:rFonts w:ascii="Arial" w:hAnsi="Arial" w:cs="Arial"/>
          <w:i/>
          <w:sz w:val="18"/>
          <w:szCs w:val="18"/>
        </w:rPr>
        <w:t>P</w:t>
      </w:r>
      <w:r w:rsidRPr="00C448AF">
        <w:rPr>
          <w:rFonts w:ascii="Arial" w:hAnsi="Arial" w:cs="Arial"/>
          <w:iCs/>
          <w:sz w:val="18"/>
          <w:szCs w:val="18"/>
        </w:rPr>
        <w:t>&lt;0.05).</w:t>
      </w:r>
    </w:p>
    <w:p w14:paraId="5D96B332" w14:textId="77777777" w:rsidR="003D71AF" w:rsidRPr="00057903" w:rsidRDefault="003D71AF" w:rsidP="003D71AF">
      <w:pPr>
        <w:pStyle w:val="ListParagraph"/>
        <w:numPr>
          <w:ilvl w:val="1"/>
          <w:numId w:val="1"/>
        </w:numPr>
        <w:spacing w:after="0" w:line="360" w:lineRule="auto"/>
        <w:jc w:val="both"/>
        <w:rPr>
          <w:rFonts w:ascii="Arial" w:eastAsia="Times New Roman" w:hAnsi="Arial" w:cs="Arial"/>
          <w:b/>
          <w:bCs/>
          <w:i/>
          <w:iCs/>
          <w:kern w:val="0"/>
          <w:sz w:val="20"/>
          <w:szCs w:val="20"/>
          <w:lang w:eastAsia="en-IN" w:bidi="ar-SA"/>
          <w14:ligatures w14:val="none"/>
        </w:rPr>
      </w:pPr>
      <w:r w:rsidRPr="00057903">
        <w:rPr>
          <w:rFonts w:ascii="Arial" w:hAnsi="Arial" w:cs="Arial"/>
          <w:b/>
          <w:bCs/>
          <w:i/>
          <w:iCs/>
          <w:sz w:val="20"/>
          <w:szCs w:val="20"/>
        </w:rPr>
        <w:t>Proximate analysis</w:t>
      </w:r>
    </w:p>
    <w:p w14:paraId="34DEB25C" w14:textId="50748608" w:rsidR="00B55DA4" w:rsidRPr="00C448AF" w:rsidRDefault="003D71AF" w:rsidP="003D71AF">
      <w:pPr>
        <w:spacing w:line="360" w:lineRule="auto"/>
        <w:jc w:val="both"/>
        <w:rPr>
          <w:rFonts w:ascii="Arial" w:hAnsi="Arial" w:cs="Arial"/>
          <w:sz w:val="20"/>
          <w:szCs w:val="20"/>
        </w:rPr>
      </w:pPr>
      <w:r w:rsidRPr="00C448AF">
        <w:rPr>
          <w:rFonts w:ascii="Arial" w:hAnsi="Arial" w:cs="Arial"/>
          <w:sz w:val="20"/>
          <w:szCs w:val="20"/>
        </w:rPr>
        <w:t>The moisture content of little millet (11.147 ± 0.083</w:t>
      </w:r>
      <w:r w:rsidR="00206E2D" w:rsidRPr="00C448AF">
        <w:rPr>
          <w:rFonts w:ascii="Arial" w:hAnsi="Arial" w:cs="Arial"/>
          <w:sz w:val="20"/>
          <w:szCs w:val="20"/>
        </w:rPr>
        <w:t xml:space="preserve"> %</w:t>
      </w:r>
      <w:r w:rsidRPr="00C448AF">
        <w:rPr>
          <w:rFonts w:ascii="Arial" w:hAnsi="Arial" w:cs="Arial"/>
          <w:sz w:val="20"/>
          <w:szCs w:val="20"/>
        </w:rPr>
        <w:t>) was lower than that of barnyard millet (12.360 ± 0.060</w:t>
      </w:r>
      <w:r w:rsidR="00206E2D" w:rsidRPr="00C448AF">
        <w:rPr>
          <w:rFonts w:ascii="Arial" w:hAnsi="Arial" w:cs="Arial"/>
          <w:sz w:val="20"/>
          <w:szCs w:val="20"/>
        </w:rPr>
        <w:t xml:space="preserve"> %</w:t>
      </w:r>
      <w:r w:rsidRPr="00C448AF">
        <w:rPr>
          <w:rFonts w:ascii="Arial" w:hAnsi="Arial" w:cs="Arial"/>
          <w:sz w:val="20"/>
          <w:szCs w:val="20"/>
        </w:rPr>
        <w:t>). The protein and fat content of little millet and barnyard millet grains were in the range of 10.283 ± 0.329</w:t>
      </w:r>
      <w:r w:rsidR="009A20AC" w:rsidRPr="00C448AF">
        <w:rPr>
          <w:rFonts w:ascii="Arial" w:hAnsi="Arial" w:cs="Arial"/>
          <w:sz w:val="20"/>
          <w:szCs w:val="20"/>
        </w:rPr>
        <w:t xml:space="preserve"> %</w:t>
      </w:r>
      <w:r w:rsidRPr="00C448AF">
        <w:rPr>
          <w:rFonts w:ascii="Arial" w:hAnsi="Arial" w:cs="Arial"/>
          <w:sz w:val="20"/>
          <w:szCs w:val="20"/>
        </w:rPr>
        <w:t xml:space="preserve"> - 8.967 ± 0.042 </w:t>
      </w:r>
      <w:r w:rsidR="009A20AC" w:rsidRPr="00C448AF">
        <w:rPr>
          <w:rFonts w:ascii="Arial" w:hAnsi="Arial" w:cs="Arial"/>
          <w:sz w:val="20"/>
          <w:szCs w:val="20"/>
        </w:rPr>
        <w:t xml:space="preserve">% </w:t>
      </w:r>
      <w:r w:rsidRPr="00C448AF">
        <w:rPr>
          <w:rFonts w:ascii="Arial" w:hAnsi="Arial" w:cs="Arial"/>
          <w:sz w:val="20"/>
          <w:szCs w:val="20"/>
        </w:rPr>
        <w:t>and 4.087 ± 0.070</w:t>
      </w:r>
      <w:r w:rsidR="009A20AC" w:rsidRPr="00C448AF">
        <w:rPr>
          <w:rFonts w:ascii="Arial" w:hAnsi="Arial" w:cs="Arial"/>
          <w:sz w:val="20"/>
          <w:szCs w:val="20"/>
        </w:rPr>
        <w:t xml:space="preserve"> %</w:t>
      </w:r>
      <w:r w:rsidRPr="00C448AF">
        <w:rPr>
          <w:rFonts w:ascii="Arial" w:hAnsi="Arial" w:cs="Arial"/>
          <w:sz w:val="20"/>
          <w:szCs w:val="20"/>
        </w:rPr>
        <w:t xml:space="preserve"> - 3.140 ± 0.066</w:t>
      </w:r>
      <w:r w:rsidR="009A20AC" w:rsidRPr="00C448AF">
        <w:rPr>
          <w:rFonts w:ascii="Arial" w:hAnsi="Arial" w:cs="Arial"/>
          <w:sz w:val="20"/>
          <w:szCs w:val="20"/>
        </w:rPr>
        <w:t xml:space="preserve"> %</w:t>
      </w:r>
      <w:r w:rsidRPr="00C448AF">
        <w:rPr>
          <w:rFonts w:ascii="Arial" w:hAnsi="Arial" w:cs="Arial"/>
          <w:sz w:val="20"/>
          <w:szCs w:val="20"/>
        </w:rPr>
        <w:t xml:space="preserve">. According to these results, </w:t>
      </w:r>
      <w:r w:rsidRPr="00C448AF">
        <w:rPr>
          <w:rFonts w:ascii="Arial" w:hAnsi="Arial" w:cs="Arial"/>
          <w:sz w:val="20"/>
          <w:szCs w:val="20"/>
        </w:rPr>
        <w:lastRenderedPageBreak/>
        <w:t>it can be identified that little millet contains higher amount of protein and fat as compared to barnyard millet. The ash content of little millet was lesser in comparison as compared to barnyard millet and were 1.140 ± 0.080</w:t>
      </w:r>
      <w:r w:rsidR="009A20AC" w:rsidRPr="00C448AF">
        <w:rPr>
          <w:rFonts w:ascii="Arial" w:hAnsi="Arial" w:cs="Arial"/>
          <w:sz w:val="20"/>
          <w:szCs w:val="20"/>
        </w:rPr>
        <w:t xml:space="preserve"> %</w:t>
      </w:r>
      <w:r w:rsidRPr="00C448AF">
        <w:rPr>
          <w:rFonts w:ascii="Arial" w:hAnsi="Arial" w:cs="Arial"/>
          <w:sz w:val="20"/>
          <w:szCs w:val="20"/>
        </w:rPr>
        <w:t xml:space="preserve"> and 4.183 ± 0.040 </w:t>
      </w:r>
      <w:r w:rsidR="009A20AC" w:rsidRPr="00C448AF">
        <w:rPr>
          <w:rFonts w:ascii="Arial" w:hAnsi="Arial" w:cs="Arial"/>
          <w:sz w:val="20"/>
          <w:szCs w:val="20"/>
        </w:rPr>
        <w:t xml:space="preserve">% </w:t>
      </w:r>
      <w:r w:rsidRPr="00C448AF">
        <w:rPr>
          <w:rFonts w:ascii="Arial" w:hAnsi="Arial" w:cs="Arial"/>
          <w:sz w:val="20"/>
          <w:szCs w:val="20"/>
        </w:rPr>
        <w:t xml:space="preserve">respectively. The carbohydrate values of little millet and barnyard millet were 73.343 ± 0.264 </w:t>
      </w:r>
      <w:r w:rsidR="009A20AC" w:rsidRPr="00C448AF">
        <w:rPr>
          <w:rFonts w:ascii="Arial" w:hAnsi="Arial" w:cs="Arial"/>
          <w:sz w:val="20"/>
          <w:szCs w:val="20"/>
        </w:rPr>
        <w:t xml:space="preserve">% </w:t>
      </w:r>
      <w:r w:rsidRPr="00C448AF">
        <w:rPr>
          <w:rFonts w:ascii="Arial" w:hAnsi="Arial" w:cs="Arial"/>
          <w:sz w:val="20"/>
          <w:szCs w:val="20"/>
        </w:rPr>
        <w:t>and 71.350 ± 0.0078</w:t>
      </w:r>
      <w:r w:rsidR="009A20AC" w:rsidRPr="00C448AF">
        <w:rPr>
          <w:rFonts w:ascii="Arial" w:hAnsi="Arial" w:cs="Arial"/>
          <w:sz w:val="20"/>
          <w:szCs w:val="20"/>
        </w:rPr>
        <w:t xml:space="preserve"> %</w:t>
      </w:r>
      <w:r w:rsidRPr="00C448AF">
        <w:rPr>
          <w:rFonts w:ascii="Arial" w:hAnsi="Arial" w:cs="Arial"/>
          <w:sz w:val="20"/>
          <w:szCs w:val="20"/>
        </w:rPr>
        <w:t xml:space="preserve">. With minor adjustments, comparable values published by </w:t>
      </w:r>
      <w:r w:rsidR="00206E2D" w:rsidRPr="00C448AF">
        <w:rPr>
          <w:rFonts w:ascii="Arial" w:hAnsi="Arial" w:cs="Arial"/>
          <w:sz w:val="20"/>
          <w:szCs w:val="20"/>
        </w:rPr>
        <w:t xml:space="preserve">(Nazni et al., 2016; </w:t>
      </w:r>
      <w:proofErr w:type="spellStart"/>
      <w:r w:rsidR="00206E2D" w:rsidRPr="00C448AF">
        <w:rPr>
          <w:rFonts w:ascii="Arial" w:hAnsi="Arial" w:cs="Arial"/>
          <w:sz w:val="20"/>
          <w:szCs w:val="20"/>
        </w:rPr>
        <w:t>Dhabale</w:t>
      </w:r>
      <w:proofErr w:type="spellEnd"/>
      <w:r w:rsidR="00206E2D" w:rsidRPr="00C448AF">
        <w:rPr>
          <w:rFonts w:ascii="Arial" w:hAnsi="Arial" w:cs="Arial"/>
          <w:sz w:val="20"/>
          <w:szCs w:val="20"/>
        </w:rPr>
        <w:t xml:space="preserve"> et al., 2024)</w:t>
      </w:r>
      <w:r w:rsidRPr="00C448AF">
        <w:rPr>
          <w:rFonts w:ascii="Arial" w:hAnsi="Arial" w:cs="Arial"/>
          <w:sz w:val="20"/>
          <w:szCs w:val="20"/>
        </w:rPr>
        <w:t xml:space="preserve"> in the current study. The results obtained for the little millet's proximate composition were found to be closely consistent with those published by </w:t>
      </w:r>
      <w:r w:rsidR="00206E2D" w:rsidRPr="00C448AF">
        <w:rPr>
          <w:rFonts w:ascii="Arial" w:hAnsi="Arial" w:cs="Arial"/>
          <w:sz w:val="20"/>
          <w:szCs w:val="20"/>
        </w:rPr>
        <w:t>(Biradar et al., 2020; Indirani, 2021)</w:t>
      </w:r>
      <w:r w:rsidRPr="00C448AF">
        <w:rPr>
          <w:rFonts w:ascii="Arial" w:hAnsi="Arial" w:cs="Arial"/>
          <w:sz w:val="20"/>
          <w:szCs w:val="20"/>
        </w:rPr>
        <w:t xml:space="preserve">. The details of the proximate composition of little millet and barnyard millet are represented in </w:t>
      </w:r>
      <w:commentRangeStart w:id="6"/>
      <w:r w:rsidRPr="00C448AF">
        <w:rPr>
          <w:rFonts w:ascii="Arial" w:hAnsi="Arial" w:cs="Arial"/>
          <w:sz w:val="20"/>
          <w:szCs w:val="20"/>
        </w:rPr>
        <w:t>table</w:t>
      </w:r>
      <w:commentRangeEnd w:id="6"/>
      <w:r w:rsidR="00B278F5">
        <w:rPr>
          <w:rStyle w:val="CommentReference"/>
        </w:rPr>
        <w:commentReference w:id="6"/>
      </w:r>
      <w:r w:rsidRPr="00C448AF">
        <w:rPr>
          <w:rFonts w:ascii="Arial" w:hAnsi="Arial" w:cs="Arial"/>
          <w:sz w:val="20"/>
          <w:szCs w:val="20"/>
        </w:rPr>
        <w:t xml:space="preserve"> 3. </w:t>
      </w:r>
    </w:p>
    <w:p w14:paraId="45C02412" w14:textId="77777777" w:rsidR="003D71AF" w:rsidRPr="00057903" w:rsidRDefault="003D71AF" w:rsidP="003D71AF">
      <w:pPr>
        <w:spacing w:line="360" w:lineRule="auto"/>
        <w:ind w:hanging="851"/>
        <w:jc w:val="both"/>
        <w:rPr>
          <w:rFonts w:ascii="Arial" w:hAnsi="Arial" w:cs="Arial"/>
          <w:b/>
          <w:bCs/>
          <w:sz w:val="20"/>
          <w:szCs w:val="20"/>
        </w:rPr>
      </w:pPr>
      <w:r w:rsidRPr="00057903">
        <w:rPr>
          <w:rFonts w:ascii="Arial" w:hAnsi="Arial" w:cs="Arial"/>
          <w:b/>
          <w:bCs/>
          <w:sz w:val="20"/>
          <w:szCs w:val="20"/>
        </w:rPr>
        <w:t xml:space="preserve">Table 3.  Proximate analysis of little Millet and barnyard Millet </w:t>
      </w:r>
    </w:p>
    <w:tbl>
      <w:tblPr>
        <w:tblStyle w:val="TableGrid"/>
        <w:tblW w:w="11226" w:type="dxa"/>
        <w:tblInd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1527"/>
        <w:gridCol w:w="1526"/>
        <w:gridCol w:w="1525"/>
        <w:gridCol w:w="1525"/>
        <w:gridCol w:w="1549"/>
        <w:gridCol w:w="1703"/>
      </w:tblGrid>
      <w:tr w:rsidR="003D71AF" w:rsidRPr="00057903" w14:paraId="1E2C995C" w14:textId="77777777" w:rsidTr="007B017C">
        <w:trPr>
          <w:trHeight w:val="633"/>
        </w:trPr>
        <w:tc>
          <w:tcPr>
            <w:tcW w:w="1871" w:type="dxa"/>
            <w:tcBorders>
              <w:top w:val="single" w:sz="4" w:space="0" w:color="auto"/>
              <w:bottom w:val="single" w:sz="4" w:space="0" w:color="auto"/>
            </w:tcBorders>
          </w:tcPr>
          <w:p w14:paraId="7734AD43"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b/>
                <w:bCs/>
                <w:sz w:val="18"/>
                <w:szCs w:val="18"/>
              </w:rPr>
              <w:t xml:space="preserve">Proximate analysis </w:t>
            </w:r>
          </w:p>
        </w:tc>
        <w:tc>
          <w:tcPr>
            <w:tcW w:w="1527" w:type="dxa"/>
            <w:tcBorders>
              <w:top w:val="single" w:sz="4" w:space="0" w:color="auto"/>
              <w:bottom w:val="single" w:sz="4" w:space="0" w:color="auto"/>
            </w:tcBorders>
          </w:tcPr>
          <w:p w14:paraId="3AE7E4AB"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Moisture %</w:t>
            </w:r>
          </w:p>
        </w:tc>
        <w:tc>
          <w:tcPr>
            <w:tcW w:w="1526" w:type="dxa"/>
            <w:tcBorders>
              <w:top w:val="single" w:sz="4" w:space="0" w:color="auto"/>
              <w:bottom w:val="single" w:sz="4" w:space="0" w:color="auto"/>
            </w:tcBorders>
          </w:tcPr>
          <w:p w14:paraId="6D3C3B60"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Protein %</w:t>
            </w:r>
          </w:p>
        </w:tc>
        <w:tc>
          <w:tcPr>
            <w:tcW w:w="1525" w:type="dxa"/>
            <w:tcBorders>
              <w:top w:val="single" w:sz="4" w:space="0" w:color="auto"/>
              <w:bottom w:val="single" w:sz="4" w:space="0" w:color="auto"/>
            </w:tcBorders>
          </w:tcPr>
          <w:p w14:paraId="3ABEC81D"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Fat %</w:t>
            </w:r>
          </w:p>
        </w:tc>
        <w:tc>
          <w:tcPr>
            <w:tcW w:w="1525" w:type="dxa"/>
            <w:tcBorders>
              <w:top w:val="single" w:sz="4" w:space="0" w:color="auto"/>
              <w:bottom w:val="single" w:sz="4" w:space="0" w:color="auto"/>
            </w:tcBorders>
          </w:tcPr>
          <w:p w14:paraId="440FCC4A"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Ash %</w:t>
            </w:r>
          </w:p>
        </w:tc>
        <w:tc>
          <w:tcPr>
            <w:tcW w:w="1549" w:type="dxa"/>
            <w:tcBorders>
              <w:top w:val="single" w:sz="4" w:space="0" w:color="auto"/>
              <w:bottom w:val="single" w:sz="4" w:space="0" w:color="auto"/>
            </w:tcBorders>
          </w:tcPr>
          <w:p w14:paraId="2D1CFEDD"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Carbohydrate %</w:t>
            </w:r>
          </w:p>
        </w:tc>
        <w:tc>
          <w:tcPr>
            <w:tcW w:w="1703" w:type="dxa"/>
            <w:tcBorders>
              <w:top w:val="single" w:sz="4" w:space="0" w:color="auto"/>
              <w:bottom w:val="single" w:sz="4" w:space="0" w:color="auto"/>
            </w:tcBorders>
          </w:tcPr>
          <w:p w14:paraId="4C6A1ECE"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Energy (Kcal)</w:t>
            </w:r>
          </w:p>
        </w:tc>
      </w:tr>
      <w:tr w:rsidR="003D71AF" w:rsidRPr="00057903" w14:paraId="695DCB94" w14:textId="77777777" w:rsidTr="007B017C">
        <w:trPr>
          <w:trHeight w:val="649"/>
        </w:trPr>
        <w:tc>
          <w:tcPr>
            <w:tcW w:w="1871" w:type="dxa"/>
            <w:tcBorders>
              <w:top w:val="single" w:sz="4" w:space="0" w:color="auto"/>
              <w:bottom w:val="single" w:sz="4" w:space="0" w:color="auto"/>
            </w:tcBorders>
          </w:tcPr>
          <w:p w14:paraId="30040DB4"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b/>
                <w:bCs/>
                <w:sz w:val="18"/>
                <w:szCs w:val="18"/>
              </w:rPr>
              <w:t xml:space="preserve">Little Millet </w:t>
            </w:r>
          </w:p>
        </w:tc>
        <w:tc>
          <w:tcPr>
            <w:tcW w:w="1527" w:type="dxa"/>
            <w:tcBorders>
              <w:top w:val="single" w:sz="4" w:space="0" w:color="auto"/>
              <w:bottom w:val="single" w:sz="4" w:space="0" w:color="auto"/>
            </w:tcBorders>
          </w:tcPr>
          <w:p w14:paraId="268E7D78"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11.147 ± 0.083</w:t>
            </w:r>
            <w:r w:rsidRPr="00057903">
              <w:rPr>
                <w:rFonts w:ascii="Arial" w:hAnsi="Arial" w:cs="Arial"/>
                <w:sz w:val="18"/>
                <w:szCs w:val="18"/>
                <w:vertAlign w:val="superscript"/>
              </w:rPr>
              <w:t>a</w:t>
            </w:r>
          </w:p>
        </w:tc>
        <w:tc>
          <w:tcPr>
            <w:tcW w:w="1526" w:type="dxa"/>
            <w:tcBorders>
              <w:top w:val="single" w:sz="4" w:space="0" w:color="auto"/>
              <w:bottom w:val="single" w:sz="4" w:space="0" w:color="auto"/>
            </w:tcBorders>
          </w:tcPr>
          <w:p w14:paraId="43703E95"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10.283 ± 0.329</w:t>
            </w:r>
            <w:r w:rsidRPr="00057903">
              <w:rPr>
                <w:rFonts w:ascii="Arial" w:hAnsi="Arial" w:cs="Arial"/>
                <w:sz w:val="18"/>
                <w:szCs w:val="18"/>
                <w:vertAlign w:val="superscript"/>
              </w:rPr>
              <w:t>c</w:t>
            </w:r>
          </w:p>
        </w:tc>
        <w:tc>
          <w:tcPr>
            <w:tcW w:w="1525" w:type="dxa"/>
            <w:tcBorders>
              <w:top w:val="single" w:sz="4" w:space="0" w:color="auto"/>
              <w:bottom w:val="single" w:sz="4" w:space="0" w:color="auto"/>
            </w:tcBorders>
          </w:tcPr>
          <w:p w14:paraId="441DB9BD"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4.087 ± 0.070</w:t>
            </w:r>
            <w:r w:rsidRPr="00057903">
              <w:rPr>
                <w:rFonts w:ascii="Arial" w:hAnsi="Arial" w:cs="Arial"/>
                <w:sz w:val="18"/>
                <w:szCs w:val="18"/>
                <w:vertAlign w:val="superscript"/>
              </w:rPr>
              <w:t>e</w:t>
            </w:r>
          </w:p>
        </w:tc>
        <w:tc>
          <w:tcPr>
            <w:tcW w:w="1525" w:type="dxa"/>
            <w:tcBorders>
              <w:top w:val="single" w:sz="4" w:space="0" w:color="auto"/>
              <w:bottom w:val="single" w:sz="4" w:space="0" w:color="auto"/>
            </w:tcBorders>
          </w:tcPr>
          <w:p w14:paraId="436B58CF"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1.140 ± 0.080</w:t>
            </w:r>
            <w:r w:rsidRPr="00057903">
              <w:rPr>
                <w:rFonts w:ascii="Arial" w:hAnsi="Arial" w:cs="Arial"/>
                <w:sz w:val="18"/>
                <w:szCs w:val="18"/>
                <w:vertAlign w:val="superscript"/>
              </w:rPr>
              <w:t>g</w:t>
            </w:r>
          </w:p>
        </w:tc>
        <w:tc>
          <w:tcPr>
            <w:tcW w:w="1549" w:type="dxa"/>
            <w:tcBorders>
              <w:top w:val="single" w:sz="4" w:space="0" w:color="auto"/>
              <w:bottom w:val="single" w:sz="4" w:space="0" w:color="auto"/>
            </w:tcBorders>
          </w:tcPr>
          <w:p w14:paraId="083ACC2D"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73.343 ± 0.264</w:t>
            </w:r>
            <w:r w:rsidRPr="00057903">
              <w:rPr>
                <w:rFonts w:ascii="Arial" w:hAnsi="Arial" w:cs="Arial"/>
                <w:sz w:val="18"/>
                <w:szCs w:val="18"/>
                <w:vertAlign w:val="superscript"/>
              </w:rPr>
              <w:t>i</w:t>
            </w:r>
          </w:p>
        </w:tc>
        <w:tc>
          <w:tcPr>
            <w:tcW w:w="1703" w:type="dxa"/>
            <w:tcBorders>
              <w:top w:val="single" w:sz="4" w:space="0" w:color="auto"/>
              <w:bottom w:val="single" w:sz="4" w:space="0" w:color="auto"/>
            </w:tcBorders>
          </w:tcPr>
          <w:p w14:paraId="52B79F0E"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371.287 ± 0.932</w:t>
            </w:r>
            <w:r w:rsidRPr="00057903">
              <w:rPr>
                <w:rFonts w:ascii="Arial" w:hAnsi="Arial" w:cs="Arial"/>
                <w:sz w:val="18"/>
                <w:szCs w:val="18"/>
                <w:vertAlign w:val="superscript"/>
              </w:rPr>
              <w:t>k</w:t>
            </w:r>
            <w:r w:rsidRPr="00057903">
              <w:rPr>
                <w:rFonts w:ascii="Arial" w:hAnsi="Arial" w:cs="Arial"/>
                <w:sz w:val="18"/>
                <w:szCs w:val="18"/>
              </w:rPr>
              <w:t xml:space="preserve"> </w:t>
            </w:r>
          </w:p>
        </w:tc>
      </w:tr>
      <w:tr w:rsidR="003D71AF" w:rsidRPr="00057903" w14:paraId="36BE9220" w14:textId="77777777" w:rsidTr="007B017C">
        <w:trPr>
          <w:trHeight w:val="633"/>
        </w:trPr>
        <w:tc>
          <w:tcPr>
            <w:tcW w:w="1871" w:type="dxa"/>
            <w:tcBorders>
              <w:top w:val="single" w:sz="4" w:space="0" w:color="auto"/>
              <w:bottom w:val="single" w:sz="4" w:space="0" w:color="auto"/>
            </w:tcBorders>
          </w:tcPr>
          <w:p w14:paraId="4E57D165"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b/>
                <w:bCs/>
                <w:sz w:val="18"/>
                <w:szCs w:val="18"/>
              </w:rPr>
              <w:t xml:space="preserve">Barnyard Millet </w:t>
            </w:r>
          </w:p>
        </w:tc>
        <w:tc>
          <w:tcPr>
            <w:tcW w:w="1527" w:type="dxa"/>
            <w:tcBorders>
              <w:top w:val="single" w:sz="4" w:space="0" w:color="auto"/>
              <w:bottom w:val="single" w:sz="4" w:space="0" w:color="auto"/>
            </w:tcBorders>
          </w:tcPr>
          <w:p w14:paraId="1A08E75C"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12.360 ± 0.060</w:t>
            </w:r>
            <w:r w:rsidRPr="00057903">
              <w:rPr>
                <w:rFonts w:ascii="Arial" w:hAnsi="Arial" w:cs="Arial"/>
                <w:sz w:val="18"/>
                <w:szCs w:val="18"/>
                <w:vertAlign w:val="superscript"/>
              </w:rPr>
              <w:t>b</w:t>
            </w:r>
          </w:p>
        </w:tc>
        <w:tc>
          <w:tcPr>
            <w:tcW w:w="1526" w:type="dxa"/>
            <w:tcBorders>
              <w:top w:val="single" w:sz="4" w:space="0" w:color="auto"/>
              <w:bottom w:val="single" w:sz="4" w:space="0" w:color="auto"/>
            </w:tcBorders>
          </w:tcPr>
          <w:p w14:paraId="62A07BD4"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8.967 ± 0.042</w:t>
            </w:r>
            <w:r w:rsidRPr="00057903">
              <w:rPr>
                <w:rFonts w:ascii="Arial" w:hAnsi="Arial" w:cs="Arial"/>
                <w:sz w:val="18"/>
                <w:szCs w:val="18"/>
                <w:vertAlign w:val="superscript"/>
              </w:rPr>
              <w:t>d</w:t>
            </w:r>
          </w:p>
        </w:tc>
        <w:tc>
          <w:tcPr>
            <w:tcW w:w="1525" w:type="dxa"/>
            <w:tcBorders>
              <w:top w:val="single" w:sz="4" w:space="0" w:color="auto"/>
              <w:bottom w:val="single" w:sz="4" w:space="0" w:color="auto"/>
            </w:tcBorders>
          </w:tcPr>
          <w:p w14:paraId="41BB51D3"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3.140 ± 0.066</w:t>
            </w:r>
            <w:r w:rsidRPr="00057903">
              <w:rPr>
                <w:rFonts w:ascii="Arial" w:hAnsi="Arial" w:cs="Arial"/>
                <w:sz w:val="18"/>
                <w:szCs w:val="18"/>
                <w:vertAlign w:val="superscript"/>
              </w:rPr>
              <w:t>f</w:t>
            </w:r>
          </w:p>
        </w:tc>
        <w:tc>
          <w:tcPr>
            <w:tcW w:w="1525" w:type="dxa"/>
            <w:tcBorders>
              <w:top w:val="single" w:sz="4" w:space="0" w:color="auto"/>
              <w:bottom w:val="single" w:sz="4" w:space="0" w:color="auto"/>
            </w:tcBorders>
          </w:tcPr>
          <w:p w14:paraId="4A3EF560"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4.183 ± 0.040</w:t>
            </w:r>
            <w:r w:rsidRPr="00057903">
              <w:rPr>
                <w:rFonts w:ascii="Arial" w:hAnsi="Arial" w:cs="Arial"/>
                <w:sz w:val="18"/>
                <w:szCs w:val="18"/>
                <w:vertAlign w:val="superscript"/>
              </w:rPr>
              <w:t>h</w:t>
            </w:r>
          </w:p>
        </w:tc>
        <w:tc>
          <w:tcPr>
            <w:tcW w:w="1549" w:type="dxa"/>
            <w:tcBorders>
              <w:top w:val="single" w:sz="4" w:space="0" w:color="auto"/>
              <w:bottom w:val="single" w:sz="4" w:space="0" w:color="auto"/>
            </w:tcBorders>
          </w:tcPr>
          <w:p w14:paraId="6C584907"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71.350 ± 0.078</w:t>
            </w:r>
            <w:r w:rsidRPr="00057903">
              <w:rPr>
                <w:rFonts w:ascii="Arial" w:hAnsi="Arial" w:cs="Arial"/>
                <w:sz w:val="18"/>
                <w:szCs w:val="18"/>
                <w:vertAlign w:val="superscript"/>
              </w:rPr>
              <w:t>j</w:t>
            </w:r>
          </w:p>
        </w:tc>
        <w:tc>
          <w:tcPr>
            <w:tcW w:w="1703" w:type="dxa"/>
            <w:tcBorders>
              <w:top w:val="single" w:sz="4" w:space="0" w:color="auto"/>
              <w:bottom w:val="single" w:sz="4" w:space="0" w:color="auto"/>
            </w:tcBorders>
          </w:tcPr>
          <w:p w14:paraId="11F673A1" w14:textId="77777777" w:rsidR="003D71AF" w:rsidRPr="00057903" w:rsidRDefault="003D71AF" w:rsidP="007B017C">
            <w:pPr>
              <w:tabs>
                <w:tab w:val="left" w:pos="2915"/>
              </w:tabs>
              <w:spacing w:line="360" w:lineRule="auto"/>
              <w:rPr>
                <w:rFonts w:ascii="Arial" w:hAnsi="Arial" w:cs="Arial"/>
                <w:sz w:val="18"/>
                <w:szCs w:val="18"/>
                <w:lang w:eastAsia="en-IN" w:bidi="ar-SA"/>
              </w:rPr>
            </w:pPr>
            <w:r w:rsidRPr="00057903">
              <w:rPr>
                <w:rFonts w:ascii="Arial" w:hAnsi="Arial" w:cs="Arial"/>
                <w:sz w:val="18"/>
                <w:szCs w:val="18"/>
              </w:rPr>
              <w:t>349.527 ± 0.495</w:t>
            </w:r>
            <w:r w:rsidRPr="00057903">
              <w:rPr>
                <w:rFonts w:ascii="Arial" w:hAnsi="Arial" w:cs="Arial"/>
                <w:sz w:val="18"/>
                <w:szCs w:val="18"/>
                <w:vertAlign w:val="superscript"/>
              </w:rPr>
              <w:t>l</w:t>
            </w:r>
          </w:p>
        </w:tc>
      </w:tr>
    </w:tbl>
    <w:p w14:paraId="47F896AA" w14:textId="77777777" w:rsidR="003D71AF" w:rsidRPr="00763761" w:rsidRDefault="003D71AF" w:rsidP="003D71AF">
      <w:pPr>
        <w:tabs>
          <w:tab w:val="left" w:pos="2568"/>
        </w:tabs>
        <w:spacing w:line="360" w:lineRule="auto"/>
        <w:ind w:hanging="851"/>
        <w:rPr>
          <w:rFonts w:ascii="Arial" w:hAnsi="Arial" w:cs="Arial"/>
          <w:iCs/>
          <w:spacing w:val="-5"/>
          <w:sz w:val="18"/>
          <w:szCs w:val="18"/>
        </w:rPr>
      </w:pPr>
      <w:r w:rsidRPr="00763761">
        <w:rPr>
          <w:rFonts w:ascii="Arial" w:hAnsi="Arial" w:cs="Arial"/>
          <w:iCs/>
          <w:sz w:val="18"/>
          <w:szCs w:val="18"/>
        </w:rPr>
        <w:t>Note: The letters in the same rows indicate the significant differences among the data (</w:t>
      </w:r>
      <w:r w:rsidRPr="00763761">
        <w:rPr>
          <w:rFonts w:ascii="Arial" w:hAnsi="Arial" w:cs="Arial"/>
          <w:i/>
          <w:sz w:val="18"/>
          <w:szCs w:val="18"/>
        </w:rPr>
        <w:t>P</w:t>
      </w:r>
      <w:r w:rsidRPr="00763761">
        <w:rPr>
          <w:rFonts w:ascii="Arial" w:hAnsi="Arial" w:cs="Arial"/>
          <w:iCs/>
          <w:sz w:val="18"/>
          <w:szCs w:val="18"/>
        </w:rPr>
        <w:t>&lt;0.05).</w:t>
      </w:r>
    </w:p>
    <w:p w14:paraId="26B8C4B6" w14:textId="77777777" w:rsidR="003D71AF" w:rsidRPr="00763761" w:rsidRDefault="003D71AF" w:rsidP="003D71AF">
      <w:pPr>
        <w:pStyle w:val="ListParagraph"/>
        <w:numPr>
          <w:ilvl w:val="0"/>
          <w:numId w:val="1"/>
        </w:numPr>
        <w:spacing w:after="0" w:line="360" w:lineRule="auto"/>
        <w:jc w:val="both"/>
        <w:rPr>
          <w:rFonts w:ascii="Arial" w:eastAsia="Times New Roman" w:hAnsi="Arial" w:cs="Arial"/>
          <w:b/>
          <w:bCs/>
          <w:kern w:val="0"/>
          <w:szCs w:val="22"/>
          <w:lang w:eastAsia="en-IN" w:bidi="ar-SA"/>
          <w14:ligatures w14:val="none"/>
        </w:rPr>
      </w:pPr>
      <w:r w:rsidRPr="00763761">
        <w:rPr>
          <w:rFonts w:ascii="Arial" w:eastAsia="Times New Roman" w:hAnsi="Arial" w:cs="Arial"/>
          <w:b/>
          <w:bCs/>
          <w:kern w:val="0"/>
          <w:szCs w:val="22"/>
          <w:lang w:eastAsia="en-IN" w:bidi="ar-SA"/>
          <w14:ligatures w14:val="none"/>
        </w:rPr>
        <w:t xml:space="preserve">Conclusion </w:t>
      </w:r>
    </w:p>
    <w:p w14:paraId="195F4280" w14:textId="77777777" w:rsidR="003D71AF" w:rsidRPr="00C448AF" w:rsidRDefault="003D71AF" w:rsidP="003D71AF">
      <w:pPr>
        <w:spacing w:after="0" w:line="360" w:lineRule="auto"/>
        <w:jc w:val="both"/>
        <w:rPr>
          <w:rFonts w:ascii="Arial" w:eastAsia="Times New Roman" w:hAnsi="Arial" w:cs="Arial"/>
          <w:kern w:val="0"/>
          <w:sz w:val="20"/>
          <w:szCs w:val="20"/>
          <w:lang w:eastAsia="en-IN" w:bidi="ar-SA"/>
          <w14:ligatures w14:val="none"/>
        </w:rPr>
      </w:pPr>
      <w:r w:rsidRPr="00C448AF">
        <w:rPr>
          <w:rFonts w:ascii="Arial" w:hAnsi="Arial" w:cs="Arial"/>
          <w:sz w:val="20"/>
          <w:szCs w:val="20"/>
        </w:rPr>
        <w:t xml:space="preserve">This study highlights the dimensional, structural, and chemical characteristics of barnyard millet and little millet, emphasizing their potential as nutrient-rich grains. Slight variations in grain dimensions, bulk density, true density, porosity, and sphericity were observed between the two millets. Barnyard millet exhibited higher porosity, while little millet had greater sphericity. Both grains were oval in shape, with barnyard millet displaying a dull cream </w:t>
      </w:r>
      <w:proofErr w:type="spellStart"/>
      <w:r w:rsidRPr="00C448AF">
        <w:rPr>
          <w:rFonts w:ascii="Arial" w:hAnsi="Arial" w:cs="Arial"/>
          <w:sz w:val="20"/>
          <w:szCs w:val="20"/>
        </w:rPr>
        <w:t>color</w:t>
      </w:r>
      <w:proofErr w:type="spellEnd"/>
      <w:r w:rsidRPr="00C448AF">
        <w:rPr>
          <w:rFonts w:ascii="Arial" w:hAnsi="Arial" w:cs="Arial"/>
          <w:sz w:val="20"/>
          <w:szCs w:val="20"/>
        </w:rPr>
        <w:t xml:space="preserve"> and little millet a light brown hue.</w:t>
      </w:r>
    </w:p>
    <w:p w14:paraId="7686EDCE" w14:textId="77777777" w:rsidR="003D71AF" w:rsidRPr="00C448AF" w:rsidRDefault="003D71AF" w:rsidP="003D71AF">
      <w:pPr>
        <w:spacing w:line="360" w:lineRule="auto"/>
        <w:jc w:val="both"/>
        <w:rPr>
          <w:rFonts w:ascii="Arial" w:hAnsi="Arial" w:cs="Arial"/>
          <w:sz w:val="20"/>
          <w:szCs w:val="20"/>
        </w:rPr>
      </w:pPr>
      <w:r w:rsidRPr="00C448AF">
        <w:rPr>
          <w:rFonts w:ascii="Arial" w:hAnsi="Arial" w:cs="Arial"/>
          <w:sz w:val="20"/>
          <w:szCs w:val="20"/>
        </w:rPr>
        <w:t>Nutritionally, barnyard millet and little millet contained significant levels of protein, fat, carbohydrates, and ash, with minor differences between them. Barnyard millet had a higher ash percentage, while little millet had a slightly higher carbohydrate content. Moisture content also varied, with barnyard millet containing more moisture than little millet.</w:t>
      </w:r>
    </w:p>
    <w:p w14:paraId="315DF8B7" w14:textId="77777777" w:rsidR="003D71AF" w:rsidRPr="00C448AF" w:rsidRDefault="003D71AF" w:rsidP="003D71AF">
      <w:pPr>
        <w:spacing w:line="360" w:lineRule="auto"/>
        <w:jc w:val="both"/>
        <w:rPr>
          <w:rFonts w:ascii="Arial" w:hAnsi="Arial" w:cs="Arial"/>
          <w:sz w:val="20"/>
          <w:szCs w:val="20"/>
        </w:rPr>
      </w:pPr>
      <w:r w:rsidRPr="00C448AF">
        <w:rPr>
          <w:rFonts w:ascii="Arial" w:hAnsi="Arial" w:cs="Arial"/>
          <w:sz w:val="20"/>
          <w:szCs w:val="20"/>
        </w:rPr>
        <w:t>The findings of this study provide valuable insights for agricultural engineers, food scientists, and food processors. Understanding the physical characteristics of these grains, including their geometric mean diameter and sphericity, can aid in designing better equipment for planting, harvesting, storage, processing, and packaging. Additionally, knowledge of their structural and chemical properties can help assess and enhance the quality of millet-based products. By leveraging these insights, manufacturers can optimize processing techniques, ensuring improved efficiency and product quality for millet-based foods.</w:t>
      </w:r>
    </w:p>
    <w:p w14:paraId="381DD736" w14:textId="77777777" w:rsidR="003D71AF" w:rsidRPr="008D3622" w:rsidRDefault="003D71AF" w:rsidP="003D71AF">
      <w:pPr>
        <w:spacing w:after="240" w:line="360" w:lineRule="auto"/>
        <w:jc w:val="both"/>
        <w:rPr>
          <w:rFonts w:ascii="Arial" w:eastAsia="Times New Roman" w:hAnsi="Arial" w:cs="Arial"/>
          <w:b/>
          <w:bCs/>
          <w:kern w:val="0"/>
          <w:szCs w:val="22"/>
          <w:lang w:eastAsia="en-IN" w:bidi="ar-SA"/>
          <w14:ligatures w14:val="none"/>
        </w:rPr>
      </w:pPr>
      <w:r w:rsidRPr="008D3622">
        <w:rPr>
          <w:rFonts w:ascii="Arial" w:eastAsia="Times New Roman" w:hAnsi="Arial" w:cs="Arial"/>
          <w:b/>
          <w:bCs/>
          <w:kern w:val="0"/>
          <w:szCs w:val="22"/>
          <w:lang w:eastAsia="en-IN" w:bidi="ar-SA"/>
          <w14:ligatures w14:val="none"/>
        </w:rPr>
        <w:t>Data Availability Statement:</w:t>
      </w:r>
    </w:p>
    <w:p w14:paraId="6BD5F527" w14:textId="77777777" w:rsidR="003D71AF" w:rsidRPr="00C448AF" w:rsidRDefault="003D71AF" w:rsidP="003D71AF">
      <w:pPr>
        <w:spacing w:after="240" w:line="360" w:lineRule="auto"/>
        <w:jc w:val="both"/>
        <w:rPr>
          <w:rFonts w:ascii="Arial" w:eastAsia="Times New Roman" w:hAnsi="Arial" w:cs="Arial"/>
          <w:kern w:val="0"/>
          <w:sz w:val="20"/>
          <w:szCs w:val="20"/>
          <w:lang w:eastAsia="en-IN" w:bidi="ar-SA"/>
          <w14:ligatures w14:val="none"/>
        </w:rPr>
      </w:pPr>
      <w:r w:rsidRPr="00C448AF">
        <w:rPr>
          <w:rFonts w:ascii="Arial" w:eastAsia="Times New Roman" w:hAnsi="Arial" w:cs="Arial"/>
          <w:kern w:val="0"/>
          <w:sz w:val="20"/>
          <w:szCs w:val="20"/>
          <w:lang w:eastAsia="en-IN" w:bidi="ar-SA"/>
          <w14:ligatures w14:val="none"/>
        </w:rPr>
        <w:t>The data sets generated during and/or analysed during the current study are available from the corresponding author upon reasonable request.</w:t>
      </w:r>
    </w:p>
    <w:p w14:paraId="6061B3C9" w14:textId="4346656D" w:rsidR="009F67D5" w:rsidRPr="008D3622" w:rsidRDefault="00A34E97" w:rsidP="008D3622">
      <w:pPr>
        <w:rPr>
          <w:rFonts w:ascii="Arial" w:hAnsi="Arial" w:cs="Arial"/>
          <w:b/>
          <w:bCs/>
          <w:szCs w:val="22"/>
        </w:rPr>
      </w:pPr>
      <w:r w:rsidRPr="008D3622">
        <w:rPr>
          <w:rFonts w:ascii="Arial" w:hAnsi="Arial" w:cs="Arial"/>
          <w:b/>
          <w:bCs/>
          <w:szCs w:val="22"/>
        </w:rPr>
        <w:t xml:space="preserve">References </w:t>
      </w:r>
    </w:p>
    <w:p w14:paraId="1F3B09C0" w14:textId="15C5E83E" w:rsidR="009F67D5" w:rsidRPr="00C448AF" w:rsidRDefault="001849C6" w:rsidP="008D3622">
      <w:pPr>
        <w:pStyle w:val="ListParagraph"/>
        <w:numPr>
          <w:ilvl w:val="0"/>
          <w:numId w:val="6"/>
        </w:numPr>
        <w:spacing w:after="0" w:line="480" w:lineRule="auto"/>
        <w:ind w:left="567" w:hanging="567"/>
        <w:jc w:val="both"/>
        <w:rPr>
          <w:rFonts w:ascii="Arial" w:hAnsi="Arial" w:cs="Arial"/>
          <w:sz w:val="20"/>
          <w:szCs w:val="20"/>
        </w:rPr>
      </w:pPr>
      <w:r w:rsidRPr="001849C6">
        <w:rPr>
          <w:rFonts w:ascii="Arial" w:hAnsi="Arial" w:cs="Arial"/>
          <w:sz w:val="20"/>
          <w:szCs w:val="20"/>
        </w:rPr>
        <w:lastRenderedPageBreak/>
        <w:t xml:space="preserve">Adebowale, A. A., </w:t>
      </w:r>
      <w:proofErr w:type="spellStart"/>
      <w:r w:rsidRPr="001849C6">
        <w:rPr>
          <w:rFonts w:ascii="Arial" w:hAnsi="Arial" w:cs="Arial"/>
          <w:sz w:val="20"/>
          <w:szCs w:val="20"/>
        </w:rPr>
        <w:t>Fetuga</w:t>
      </w:r>
      <w:proofErr w:type="spellEnd"/>
      <w:r w:rsidRPr="001849C6">
        <w:rPr>
          <w:rFonts w:ascii="Arial" w:hAnsi="Arial" w:cs="Arial"/>
          <w:sz w:val="20"/>
          <w:szCs w:val="20"/>
        </w:rPr>
        <w:t xml:space="preserve">, G. O., Apata, C. B., &amp; Sanni, L. O. (2012). Effect of variety and initial moisture content on physical properties of improved millet grains. Nigerian Food Journal, 30(1), 5–10. </w:t>
      </w:r>
      <w:hyperlink r:id="rId13" w:history="1">
        <w:r w:rsidRPr="006353C7">
          <w:rPr>
            <w:rStyle w:val="Hyperlink"/>
            <w:rFonts w:ascii="Arial" w:hAnsi="Arial" w:cs="Arial"/>
            <w:sz w:val="20"/>
            <w:szCs w:val="20"/>
          </w:rPr>
          <w:t>https://doi.org/10.1016/S0189-7241(15)30007-2</w:t>
        </w:r>
      </w:hyperlink>
      <w:r>
        <w:rPr>
          <w:rFonts w:ascii="Arial" w:hAnsi="Arial" w:cs="Arial"/>
          <w:sz w:val="20"/>
          <w:szCs w:val="20"/>
        </w:rPr>
        <w:t xml:space="preserve"> </w:t>
      </w:r>
      <w:r w:rsidR="009F67D5" w:rsidRPr="00C448AF">
        <w:rPr>
          <w:rFonts w:ascii="Arial" w:hAnsi="Arial" w:cs="Arial"/>
          <w:sz w:val="20"/>
          <w:szCs w:val="20"/>
        </w:rPr>
        <w:t>.</w:t>
      </w:r>
    </w:p>
    <w:p w14:paraId="36F1DB86" w14:textId="2E5954E4" w:rsidR="009F67D5" w:rsidRPr="00C448AF" w:rsidRDefault="003E542B" w:rsidP="008D3622">
      <w:pPr>
        <w:pStyle w:val="ListParagraph"/>
        <w:numPr>
          <w:ilvl w:val="0"/>
          <w:numId w:val="6"/>
        </w:numPr>
        <w:spacing w:after="0" w:line="480" w:lineRule="auto"/>
        <w:ind w:left="567" w:hanging="567"/>
        <w:jc w:val="both"/>
        <w:rPr>
          <w:rFonts w:ascii="Arial" w:hAnsi="Arial" w:cs="Arial"/>
          <w:sz w:val="20"/>
          <w:szCs w:val="20"/>
        </w:rPr>
      </w:pPr>
      <w:r w:rsidRPr="003E542B">
        <w:rPr>
          <w:rFonts w:ascii="Arial" w:hAnsi="Arial" w:cs="Arial"/>
          <w:sz w:val="20"/>
          <w:szCs w:val="20"/>
        </w:rPr>
        <w:t xml:space="preserve">Adekunle, A. A., Ellis-Jones, J., </w:t>
      </w:r>
      <w:proofErr w:type="spellStart"/>
      <w:r w:rsidRPr="003E542B">
        <w:rPr>
          <w:rFonts w:ascii="Arial" w:hAnsi="Arial" w:cs="Arial"/>
          <w:sz w:val="20"/>
          <w:szCs w:val="20"/>
        </w:rPr>
        <w:t>Ajibefun</w:t>
      </w:r>
      <w:proofErr w:type="spellEnd"/>
      <w:r w:rsidRPr="003E542B">
        <w:rPr>
          <w:rFonts w:ascii="Arial" w:hAnsi="Arial" w:cs="Arial"/>
          <w:sz w:val="20"/>
          <w:szCs w:val="20"/>
        </w:rPr>
        <w:t xml:space="preserve">, I., </w:t>
      </w:r>
      <w:proofErr w:type="spellStart"/>
      <w:r w:rsidRPr="003E542B">
        <w:rPr>
          <w:rFonts w:ascii="Arial" w:hAnsi="Arial" w:cs="Arial"/>
          <w:sz w:val="20"/>
          <w:szCs w:val="20"/>
        </w:rPr>
        <w:t>Nyikal</w:t>
      </w:r>
      <w:proofErr w:type="spellEnd"/>
      <w:r w:rsidRPr="003E542B">
        <w:rPr>
          <w:rFonts w:ascii="Arial" w:hAnsi="Arial" w:cs="Arial"/>
          <w:sz w:val="20"/>
          <w:szCs w:val="20"/>
        </w:rPr>
        <w:t xml:space="preserve">, R. A., Bangali, S., </w:t>
      </w:r>
      <w:proofErr w:type="spellStart"/>
      <w:r w:rsidRPr="003E542B">
        <w:rPr>
          <w:rFonts w:ascii="Arial" w:hAnsi="Arial" w:cs="Arial"/>
          <w:sz w:val="20"/>
          <w:szCs w:val="20"/>
        </w:rPr>
        <w:t>Fatunbi</w:t>
      </w:r>
      <w:proofErr w:type="spellEnd"/>
      <w:r w:rsidRPr="003E542B">
        <w:rPr>
          <w:rFonts w:ascii="Arial" w:hAnsi="Arial" w:cs="Arial"/>
          <w:sz w:val="20"/>
          <w:szCs w:val="20"/>
        </w:rPr>
        <w:t xml:space="preserve">, O., &amp; Angé, A. (2012). Agricultural innovation in Sub-Saharan Africa: Experiences from multiple-stakeholder approaches. Forum for Agricultural Research in Africa. </w:t>
      </w:r>
      <w:hyperlink r:id="rId14" w:history="1">
        <w:r w:rsidRPr="006353C7">
          <w:rPr>
            <w:rStyle w:val="Hyperlink"/>
            <w:rFonts w:ascii="Arial" w:hAnsi="Arial" w:cs="Arial"/>
            <w:sz w:val="20"/>
            <w:szCs w:val="20"/>
          </w:rPr>
          <w:t>http://hdl.handle.net/11295/50938</w:t>
        </w:r>
      </w:hyperlink>
      <w:r>
        <w:rPr>
          <w:rFonts w:ascii="Arial" w:hAnsi="Arial" w:cs="Arial"/>
          <w:sz w:val="20"/>
          <w:szCs w:val="20"/>
        </w:rPr>
        <w:t xml:space="preserve"> </w:t>
      </w:r>
      <w:r w:rsidR="009F67D5" w:rsidRPr="00C448AF">
        <w:rPr>
          <w:rFonts w:ascii="Arial" w:hAnsi="Arial" w:cs="Arial"/>
          <w:sz w:val="20"/>
          <w:szCs w:val="20"/>
        </w:rPr>
        <w:t>.</w:t>
      </w:r>
    </w:p>
    <w:p w14:paraId="777F762C" w14:textId="3E1B2CD2" w:rsidR="009F67D5" w:rsidRPr="00C448AF" w:rsidRDefault="005F71EB" w:rsidP="008D3622">
      <w:pPr>
        <w:pStyle w:val="ListParagraph"/>
        <w:numPr>
          <w:ilvl w:val="0"/>
          <w:numId w:val="6"/>
        </w:numPr>
        <w:spacing w:after="0" w:line="480" w:lineRule="auto"/>
        <w:ind w:left="567" w:hanging="567"/>
        <w:jc w:val="both"/>
        <w:rPr>
          <w:rFonts w:ascii="Arial" w:hAnsi="Arial" w:cs="Arial"/>
          <w:sz w:val="20"/>
          <w:szCs w:val="20"/>
        </w:rPr>
      </w:pPr>
      <w:r w:rsidRPr="005F71EB">
        <w:rPr>
          <w:rFonts w:ascii="Arial" w:hAnsi="Arial" w:cs="Arial"/>
          <w:sz w:val="20"/>
          <w:szCs w:val="20"/>
        </w:rPr>
        <w:t xml:space="preserve">Agrawal, P., Singh, B. R., </w:t>
      </w:r>
      <w:proofErr w:type="spellStart"/>
      <w:r w:rsidRPr="005F71EB">
        <w:rPr>
          <w:rFonts w:ascii="Arial" w:hAnsi="Arial" w:cs="Arial"/>
          <w:sz w:val="20"/>
          <w:szCs w:val="20"/>
        </w:rPr>
        <w:t>Gajbe</w:t>
      </w:r>
      <w:proofErr w:type="spellEnd"/>
      <w:r w:rsidRPr="005F71EB">
        <w:rPr>
          <w:rFonts w:ascii="Arial" w:hAnsi="Arial" w:cs="Arial"/>
          <w:sz w:val="20"/>
          <w:szCs w:val="20"/>
        </w:rPr>
        <w:t xml:space="preserve">, U., </w:t>
      </w:r>
      <w:proofErr w:type="spellStart"/>
      <w:r w:rsidRPr="005F71EB">
        <w:rPr>
          <w:rFonts w:ascii="Arial" w:hAnsi="Arial" w:cs="Arial"/>
          <w:sz w:val="20"/>
          <w:szCs w:val="20"/>
        </w:rPr>
        <w:t>Kalambe</w:t>
      </w:r>
      <w:proofErr w:type="spellEnd"/>
      <w:r w:rsidRPr="005F71EB">
        <w:rPr>
          <w:rFonts w:ascii="Arial" w:hAnsi="Arial" w:cs="Arial"/>
          <w:sz w:val="20"/>
          <w:szCs w:val="20"/>
        </w:rPr>
        <w:t xml:space="preserve">, M. A., &amp; Bankar, M. (2023). Managing diabetes mellitus with millets: A new solution. Cureus. </w:t>
      </w:r>
      <w:hyperlink r:id="rId15" w:history="1">
        <w:r w:rsidRPr="006353C7">
          <w:rPr>
            <w:rStyle w:val="Hyperlink"/>
            <w:rFonts w:ascii="Arial" w:hAnsi="Arial" w:cs="Arial"/>
            <w:sz w:val="20"/>
            <w:szCs w:val="20"/>
          </w:rPr>
          <w:t>https://doi.org/10.7759/cureus.44908</w:t>
        </w:r>
      </w:hyperlink>
      <w:r>
        <w:rPr>
          <w:rFonts w:ascii="Arial" w:hAnsi="Arial" w:cs="Arial"/>
          <w:sz w:val="20"/>
          <w:szCs w:val="20"/>
        </w:rPr>
        <w:t xml:space="preserve"> </w:t>
      </w:r>
    </w:p>
    <w:p w14:paraId="6FE575A9" w14:textId="47D704B0" w:rsidR="009F67D5" w:rsidRPr="00C448AF" w:rsidRDefault="00C35012" w:rsidP="008D3622">
      <w:pPr>
        <w:pStyle w:val="ListParagraph"/>
        <w:numPr>
          <w:ilvl w:val="0"/>
          <w:numId w:val="6"/>
        </w:numPr>
        <w:spacing w:after="0" w:line="480" w:lineRule="auto"/>
        <w:ind w:left="567" w:hanging="567"/>
        <w:jc w:val="both"/>
        <w:rPr>
          <w:rFonts w:ascii="Arial" w:hAnsi="Arial" w:cs="Arial"/>
          <w:sz w:val="20"/>
          <w:szCs w:val="20"/>
        </w:rPr>
      </w:pPr>
      <w:r w:rsidRPr="00C35012">
        <w:rPr>
          <w:rFonts w:ascii="Arial" w:hAnsi="Arial" w:cs="Arial"/>
          <w:sz w:val="20"/>
          <w:szCs w:val="20"/>
        </w:rPr>
        <w:t xml:space="preserve">Amadou, I., Gbadamosi, O. S., &amp; Le, G.-W. (2011). Millet-based Traditional Processed Foods and Beverages—A Review. Cereal Foods World. </w:t>
      </w:r>
      <w:hyperlink r:id="rId16" w:history="1">
        <w:r w:rsidRPr="006353C7">
          <w:rPr>
            <w:rStyle w:val="Hyperlink"/>
            <w:rFonts w:ascii="Arial" w:hAnsi="Arial" w:cs="Arial"/>
            <w:sz w:val="20"/>
            <w:szCs w:val="20"/>
          </w:rPr>
          <w:t>https://doi.org/10.1094/CFW-56-3-0115</w:t>
        </w:r>
      </w:hyperlink>
      <w:r>
        <w:rPr>
          <w:rFonts w:ascii="Arial" w:hAnsi="Arial" w:cs="Arial"/>
          <w:sz w:val="20"/>
          <w:szCs w:val="20"/>
        </w:rPr>
        <w:t xml:space="preserve"> </w:t>
      </w:r>
    </w:p>
    <w:p w14:paraId="50DFC204" w14:textId="1B51985D" w:rsidR="009F67D5" w:rsidRPr="00C448AF" w:rsidRDefault="008A2AC3" w:rsidP="008D3622">
      <w:pPr>
        <w:pStyle w:val="ListParagraph"/>
        <w:numPr>
          <w:ilvl w:val="0"/>
          <w:numId w:val="6"/>
        </w:numPr>
        <w:spacing w:after="0" w:line="480" w:lineRule="auto"/>
        <w:ind w:left="567" w:hanging="567"/>
        <w:jc w:val="both"/>
        <w:rPr>
          <w:rFonts w:ascii="Arial" w:hAnsi="Arial" w:cs="Arial"/>
          <w:sz w:val="20"/>
          <w:szCs w:val="20"/>
        </w:rPr>
      </w:pPr>
      <w:r w:rsidRPr="008A2AC3">
        <w:rPr>
          <w:rFonts w:ascii="Arial" w:hAnsi="Arial" w:cs="Arial"/>
          <w:sz w:val="20"/>
          <w:szCs w:val="20"/>
        </w:rPr>
        <w:t>Anitha, S., Kane-</w:t>
      </w:r>
      <w:proofErr w:type="spellStart"/>
      <w:r w:rsidRPr="008A2AC3">
        <w:rPr>
          <w:rFonts w:ascii="Arial" w:hAnsi="Arial" w:cs="Arial"/>
          <w:sz w:val="20"/>
          <w:szCs w:val="20"/>
        </w:rPr>
        <w:t>Potaka</w:t>
      </w:r>
      <w:proofErr w:type="spellEnd"/>
      <w:r w:rsidRPr="008A2AC3">
        <w:rPr>
          <w:rFonts w:ascii="Arial" w:hAnsi="Arial" w:cs="Arial"/>
          <w:sz w:val="20"/>
          <w:szCs w:val="20"/>
        </w:rPr>
        <w:t xml:space="preserve">, J., </w:t>
      </w:r>
      <w:proofErr w:type="spellStart"/>
      <w:r w:rsidRPr="008A2AC3">
        <w:rPr>
          <w:rFonts w:ascii="Arial" w:hAnsi="Arial" w:cs="Arial"/>
          <w:sz w:val="20"/>
          <w:szCs w:val="20"/>
        </w:rPr>
        <w:t>Tsusaka</w:t>
      </w:r>
      <w:proofErr w:type="spellEnd"/>
      <w:r w:rsidRPr="008A2AC3">
        <w:rPr>
          <w:rFonts w:ascii="Arial" w:hAnsi="Arial" w:cs="Arial"/>
          <w:sz w:val="20"/>
          <w:szCs w:val="20"/>
        </w:rPr>
        <w:t xml:space="preserve">, T. W., Botha, R., Rajendran, A., Givens, D. I., </w:t>
      </w:r>
      <w:proofErr w:type="spellStart"/>
      <w:r w:rsidRPr="008A2AC3">
        <w:rPr>
          <w:rFonts w:ascii="Arial" w:hAnsi="Arial" w:cs="Arial"/>
          <w:sz w:val="20"/>
          <w:szCs w:val="20"/>
        </w:rPr>
        <w:t>Parasannanavar</w:t>
      </w:r>
      <w:proofErr w:type="spellEnd"/>
      <w:r w:rsidRPr="008A2AC3">
        <w:rPr>
          <w:rFonts w:ascii="Arial" w:hAnsi="Arial" w:cs="Arial"/>
          <w:sz w:val="20"/>
          <w:szCs w:val="20"/>
        </w:rPr>
        <w:t xml:space="preserve">, D. J., Subramaniam, K., Prasad, K. D. V., Vetriventhan, M., &amp; Bhandari, R. K. (2021). A systematic review and meta-analysis of the potential of millets for managing and reducing the risk of developing diabetes mellitus. Frontiers in Nutrition, 8, 687428. </w:t>
      </w:r>
      <w:hyperlink r:id="rId17" w:history="1">
        <w:r w:rsidRPr="006353C7">
          <w:rPr>
            <w:rStyle w:val="Hyperlink"/>
            <w:rFonts w:ascii="Arial" w:hAnsi="Arial" w:cs="Arial"/>
            <w:sz w:val="20"/>
            <w:szCs w:val="20"/>
          </w:rPr>
          <w:t>https://doi.org/10.3389/fnut.2021.687428</w:t>
        </w:r>
      </w:hyperlink>
      <w:r>
        <w:rPr>
          <w:rFonts w:ascii="Arial" w:hAnsi="Arial" w:cs="Arial"/>
          <w:sz w:val="20"/>
          <w:szCs w:val="20"/>
        </w:rPr>
        <w:t xml:space="preserve"> </w:t>
      </w:r>
    </w:p>
    <w:p w14:paraId="3322E367"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r w:rsidRPr="00C448AF">
        <w:rPr>
          <w:rFonts w:ascii="Arial" w:hAnsi="Arial" w:cs="Arial"/>
          <w:sz w:val="20"/>
          <w:szCs w:val="20"/>
        </w:rPr>
        <w:t>AOAC, B. A. M. (1990). </w:t>
      </w:r>
      <w:r w:rsidRPr="00C448AF">
        <w:rPr>
          <w:rFonts w:ascii="Arial" w:hAnsi="Arial" w:cs="Arial"/>
          <w:i/>
          <w:iCs/>
          <w:sz w:val="20"/>
          <w:szCs w:val="20"/>
        </w:rPr>
        <w:t>Association of official analytical chemists. Official methods of analysis</w:t>
      </w:r>
      <w:r w:rsidRPr="00C448AF">
        <w:rPr>
          <w:rFonts w:ascii="Arial" w:hAnsi="Arial" w:cs="Arial"/>
          <w:sz w:val="20"/>
          <w:szCs w:val="20"/>
        </w:rPr>
        <w:t>. Method: 930.15, 981.10, 920.39.</w:t>
      </w:r>
    </w:p>
    <w:p w14:paraId="5C7AB8FD"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r w:rsidRPr="00C448AF">
        <w:rPr>
          <w:rFonts w:ascii="Arial" w:hAnsi="Arial" w:cs="Arial"/>
          <w:i/>
          <w:iCs/>
          <w:sz w:val="20"/>
          <w:szCs w:val="20"/>
        </w:rPr>
        <w:t>Ash of flour - direct method in Official Methods of AOAC International</w:t>
      </w:r>
      <w:r w:rsidRPr="00C448AF">
        <w:rPr>
          <w:rFonts w:ascii="Arial" w:hAnsi="Arial" w:cs="Arial"/>
          <w:sz w:val="20"/>
          <w:szCs w:val="20"/>
        </w:rPr>
        <w:t xml:space="preserve">. (1995). </w:t>
      </w:r>
      <w:bookmarkStart w:id="7" w:name="_Hlk208150943"/>
      <w:r w:rsidRPr="00C448AF">
        <w:rPr>
          <w:rFonts w:ascii="Arial" w:hAnsi="Arial" w:cs="Arial"/>
          <w:sz w:val="20"/>
          <w:szCs w:val="20"/>
        </w:rPr>
        <w:t xml:space="preserve">Method 923.03 </w:t>
      </w:r>
      <w:bookmarkEnd w:id="7"/>
    </w:p>
    <w:p w14:paraId="6B17A231" w14:textId="19B33178" w:rsidR="009F67D5" w:rsidRPr="00C448AF" w:rsidRDefault="00743591" w:rsidP="008D3622">
      <w:pPr>
        <w:pStyle w:val="ListParagraph"/>
        <w:numPr>
          <w:ilvl w:val="0"/>
          <w:numId w:val="6"/>
        </w:numPr>
        <w:spacing w:after="0" w:line="480" w:lineRule="auto"/>
        <w:ind w:left="567" w:hanging="567"/>
        <w:jc w:val="both"/>
        <w:rPr>
          <w:rFonts w:ascii="Arial" w:hAnsi="Arial" w:cs="Arial"/>
          <w:sz w:val="20"/>
          <w:szCs w:val="20"/>
        </w:rPr>
      </w:pPr>
      <w:r w:rsidRPr="00743591">
        <w:rPr>
          <w:rFonts w:ascii="Arial" w:hAnsi="Arial" w:cs="Arial"/>
          <w:sz w:val="20"/>
          <w:szCs w:val="20"/>
        </w:rPr>
        <w:t xml:space="preserve">Balasubramanian, S., &amp; Viswanathan, R. (2010). Influence of moisture content on physical properties of minor millets. Journal of Food Science and Technology, 47(3), 279–284. </w:t>
      </w:r>
      <w:hyperlink r:id="rId18" w:history="1">
        <w:r w:rsidRPr="006353C7">
          <w:rPr>
            <w:rStyle w:val="Hyperlink"/>
            <w:rFonts w:ascii="Arial" w:hAnsi="Arial" w:cs="Arial"/>
            <w:sz w:val="20"/>
            <w:szCs w:val="20"/>
          </w:rPr>
          <w:t>https://doi.org/10.1007/s13197-010-0043-z</w:t>
        </w:r>
      </w:hyperlink>
      <w:r>
        <w:rPr>
          <w:rFonts w:ascii="Arial" w:hAnsi="Arial" w:cs="Arial"/>
          <w:sz w:val="20"/>
          <w:szCs w:val="20"/>
        </w:rPr>
        <w:t xml:space="preserve"> </w:t>
      </w:r>
      <w:r w:rsidR="009F67D5" w:rsidRPr="00C448AF">
        <w:rPr>
          <w:rFonts w:ascii="Arial" w:hAnsi="Arial" w:cs="Arial"/>
          <w:sz w:val="20"/>
          <w:szCs w:val="20"/>
        </w:rPr>
        <w:t>.</w:t>
      </w:r>
    </w:p>
    <w:p w14:paraId="04B61B4E" w14:textId="245227E6" w:rsidR="009F67D5" w:rsidRPr="00C448AF" w:rsidRDefault="00317994" w:rsidP="008D3622">
      <w:pPr>
        <w:pStyle w:val="ListParagraph"/>
        <w:numPr>
          <w:ilvl w:val="0"/>
          <w:numId w:val="6"/>
        </w:numPr>
        <w:spacing w:after="0" w:line="480" w:lineRule="auto"/>
        <w:ind w:left="567" w:hanging="567"/>
        <w:jc w:val="both"/>
        <w:rPr>
          <w:rFonts w:ascii="Arial" w:hAnsi="Arial" w:cs="Arial"/>
          <w:sz w:val="20"/>
          <w:szCs w:val="20"/>
        </w:rPr>
      </w:pPr>
      <w:r w:rsidRPr="00317994">
        <w:rPr>
          <w:rFonts w:ascii="Arial" w:hAnsi="Arial" w:cs="Arial"/>
          <w:sz w:val="20"/>
          <w:szCs w:val="20"/>
        </w:rPr>
        <w:t xml:space="preserve">Bhattacharya, S., &amp; Malleshi, N. G. (2012). Physical, chemical and nutritional characteristics of premature-processed and matured green legumes. Journal of Food Science and Technology, 49(4), 459–466. </w:t>
      </w:r>
      <w:hyperlink r:id="rId19" w:history="1">
        <w:r w:rsidRPr="006353C7">
          <w:rPr>
            <w:rStyle w:val="Hyperlink"/>
            <w:rFonts w:ascii="Arial" w:hAnsi="Arial" w:cs="Arial"/>
            <w:sz w:val="20"/>
            <w:szCs w:val="20"/>
          </w:rPr>
          <w:t>https://doi.org/10.1007/s13197-011-0299-y</w:t>
        </w:r>
      </w:hyperlink>
      <w:r>
        <w:rPr>
          <w:rFonts w:ascii="Arial" w:hAnsi="Arial" w:cs="Arial"/>
          <w:sz w:val="20"/>
          <w:szCs w:val="20"/>
        </w:rPr>
        <w:t xml:space="preserve"> </w:t>
      </w:r>
      <w:r w:rsidR="009F67D5" w:rsidRPr="00C448AF">
        <w:rPr>
          <w:rFonts w:ascii="Arial" w:hAnsi="Arial" w:cs="Arial"/>
          <w:sz w:val="20"/>
          <w:szCs w:val="20"/>
        </w:rPr>
        <w:t>.</w:t>
      </w:r>
    </w:p>
    <w:p w14:paraId="59422938" w14:textId="186D5407" w:rsidR="009F67D5" w:rsidRPr="00C448AF" w:rsidRDefault="00E70C91" w:rsidP="008D3622">
      <w:pPr>
        <w:pStyle w:val="ListParagraph"/>
        <w:numPr>
          <w:ilvl w:val="0"/>
          <w:numId w:val="6"/>
        </w:numPr>
        <w:spacing w:after="0" w:line="480" w:lineRule="auto"/>
        <w:ind w:left="567" w:hanging="567"/>
        <w:jc w:val="both"/>
        <w:rPr>
          <w:rFonts w:ascii="Arial" w:hAnsi="Arial" w:cs="Arial"/>
          <w:sz w:val="20"/>
          <w:szCs w:val="20"/>
        </w:rPr>
      </w:pPr>
      <w:r w:rsidRPr="00E70C91">
        <w:rPr>
          <w:rFonts w:ascii="Arial" w:hAnsi="Arial" w:cs="Arial"/>
          <w:sz w:val="20"/>
          <w:szCs w:val="20"/>
        </w:rPr>
        <w:t xml:space="preserve">Biradar, S. D., Kotecha, P. M., </w:t>
      </w:r>
      <w:proofErr w:type="spellStart"/>
      <w:r w:rsidRPr="00E70C91">
        <w:rPr>
          <w:rFonts w:ascii="Arial" w:hAnsi="Arial" w:cs="Arial"/>
          <w:sz w:val="20"/>
          <w:szCs w:val="20"/>
        </w:rPr>
        <w:t>Godase</w:t>
      </w:r>
      <w:proofErr w:type="spellEnd"/>
      <w:r w:rsidRPr="00E70C91">
        <w:rPr>
          <w:rFonts w:ascii="Arial" w:hAnsi="Arial" w:cs="Arial"/>
          <w:sz w:val="20"/>
          <w:szCs w:val="20"/>
        </w:rPr>
        <w:t xml:space="preserve">, S. N., &amp; Chavan, U. D. (2020). Studies on nutritional quality of cookies prepared by </w:t>
      </w:r>
      <w:proofErr w:type="spellStart"/>
      <w:r w:rsidRPr="00E70C91">
        <w:rPr>
          <w:rFonts w:ascii="Arial" w:hAnsi="Arial" w:cs="Arial"/>
          <w:sz w:val="20"/>
          <w:szCs w:val="20"/>
        </w:rPr>
        <w:t>maida</w:t>
      </w:r>
      <w:proofErr w:type="spellEnd"/>
      <w:r w:rsidRPr="00E70C91">
        <w:rPr>
          <w:rFonts w:ascii="Arial" w:hAnsi="Arial" w:cs="Arial"/>
          <w:sz w:val="20"/>
          <w:szCs w:val="20"/>
        </w:rPr>
        <w:t xml:space="preserve"> and little millet flour. International Journal of Current Microbiology and Applied Sciences, 11, 4090–4099. </w:t>
      </w:r>
      <w:hyperlink r:id="rId20" w:history="1">
        <w:r w:rsidRPr="006353C7">
          <w:rPr>
            <w:rStyle w:val="Hyperlink"/>
            <w:rFonts w:ascii="Arial" w:hAnsi="Arial" w:cs="Arial"/>
            <w:sz w:val="20"/>
            <w:szCs w:val="20"/>
          </w:rPr>
          <w:t>http://www.ijcmas.com/special-issue-11.php</w:t>
        </w:r>
      </w:hyperlink>
      <w:r>
        <w:rPr>
          <w:rFonts w:ascii="Arial" w:hAnsi="Arial" w:cs="Arial"/>
          <w:sz w:val="20"/>
          <w:szCs w:val="20"/>
        </w:rPr>
        <w:t xml:space="preserve"> </w:t>
      </w:r>
      <w:r w:rsidR="009F67D5" w:rsidRPr="00C448AF">
        <w:rPr>
          <w:rFonts w:ascii="Arial" w:hAnsi="Arial" w:cs="Arial"/>
          <w:sz w:val="20"/>
          <w:szCs w:val="20"/>
        </w:rPr>
        <w:t>.</w:t>
      </w:r>
    </w:p>
    <w:p w14:paraId="5A3437C9" w14:textId="54A07C9F" w:rsidR="009F67D5" w:rsidRPr="00C448AF" w:rsidRDefault="00D973BF" w:rsidP="008D3622">
      <w:pPr>
        <w:pStyle w:val="ListParagraph"/>
        <w:numPr>
          <w:ilvl w:val="0"/>
          <w:numId w:val="6"/>
        </w:numPr>
        <w:spacing w:after="0" w:line="480" w:lineRule="auto"/>
        <w:ind w:left="567" w:hanging="567"/>
        <w:jc w:val="both"/>
        <w:rPr>
          <w:rFonts w:ascii="Arial" w:hAnsi="Arial" w:cs="Arial"/>
          <w:sz w:val="20"/>
          <w:szCs w:val="20"/>
        </w:rPr>
      </w:pPr>
      <w:r w:rsidRPr="00D973BF">
        <w:rPr>
          <w:rFonts w:ascii="Arial" w:hAnsi="Arial" w:cs="Arial"/>
          <w:sz w:val="20"/>
          <w:szCs w:val="20"/>
        </w:rPr>
        <w:t>Brennan, J. G., Butters, J. R., Cowell, N. D., &amp; Lilly, A. E. V. (1979). Food engineering operations. Applied Science Publishers.</w:t>
      </w:r>
      <w:r>
        <w:rPr>
          <w:rFonts w:ascii="Arial" w:hAnsi="Arial" w:cs="Arial"/>
          <w:sz w:val="20"/>
          <w:szCs w:val="20"/>
        </w:rPr>
        <w:t xml:space="preserve"> </w:t>
      </w:r>
    </w:p>
    <w:p w14:paraId="204D102F"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r w:rsidRPr="00C448AF">
        <w:rPr>
          <w:rFonts w:ascii="Arial" w:hAnsi="Arial" w:cs="Arial"/>
          <w:sz w:val="20"/>
          <w:szCs w:val="20"/>
        </w:rPr>
        <w:lastRenderedPageBreak/>
        <w:t>Chandel, G., Meena, R., Dubey, M., &amp; Kumar, M. (2014). Nutritional properties of minor millets: Neglected cereals with potentials to combat malnutrition. </w:t>
      </w:r>
      <w:r w:rsidRPr="00C448AF">
        <w:rPr>
          <w:rFonts w:ascii="Arial" w:hAnsi="Arial" w:cs="Arial"/>
          <w:i/>
          <w:iCs/>
          <w:sz w:val="20"/>
          <w:szCs w:val="20"/>
        </w:rPr>
        <w:t>Current Science</w:t>
      </w:r>
      <w:r w:rsidRPr="00C448AF">
        <w:rPr>
          <w:rFonts w:ascii="Arial" w:hAnsi="Arial" w:cs="Arial"/>
          <w:sz w:val="20"/>
          <w:szCs w:val="20"/>
        </w:rPr>
        <w:t>, </w:t>
      </w:r>
      <w:r w:rsidRPr="00C448AF">
        <w:rPr>
          <w:rFonts w:ascii="Arial" w:hAnsi="Arial" w:cs="Arial"/>
          <w:i/>
          <w:iCs/>
          <w:sz w:val="20"/>
          <w:szCs w:val="20"/>
        </w:rPr>
        <w:t>107</w:t>
      </w:r>
      <w:r w:rsidRPr="00C448AF">
        <w:rPr>
          <w:rFonts w:ascii="Arial" w:hAnsi="Arial" w:cs="Arial"/>
          <w:sz w:val="20"/>
          <w:szCs w:val="20"/>
        </w:rPr>
        <w:t>, 1109–1111.</w:t>
      </w:r>
    </w:p>
    <w:p w14:paraId="47729FB5" w14:textId="432B405D" w:rsidR="009F67D5" w:rsidRPr="00C448AF" w:rsidRDefault="00827597" w:rsidP="008D3622">
      <w:pPr>
        <w:pStyle w:val="ListParagraph"/>
        <w:numPr>
          <w:ilvl w:val="0"/>
          <w:numId w:val="6"/>
        </w:numPr>
        <w:spacing w:after="0" w:line="480" w:lineRule="auto"/>
        <w:ind w:left="567" w:hanging="567"/>
        <w:jc w:val="both"/>
        <w:rPr>
          <w:rFonts w:ascii="Arial" w:hAnsi="Arial" w:cs="Arial"/>
          <w:sz w:val="20"/>
          <w:szCs w:val="20"/>
        </w:rPr>
      </w:pPr>
      <w:r w:rsidRPr="00827597">
        <w:rPr>
          <w:rFonts w:ascii="Arial" w:hAnsi="Arial" w:cs="Arial"/>
          <w:sz w:val="20"/>
          <w:szCs w:val="20"/>
        </w:rPr>
        <w:t xml:space="preserve">Chandrasekara, A., &amp; Shahidi, F. (2011). Antiproliferative potential and DNA scission inhibitory activity of phenolics from whole millet grains. Journal of Functional Foods, 3(3), 159–170. </w:t>
      </w:r>
      <w:hyperlink r:id="rId21" w:history="1">
        <w:r w:rsidRPr="006353C7">
          <w:rPr>
            <w:rStyle w:val="Hyperlink"/>
            <w:rFonts w:ascii="Arial" w:hAnsi="Arial" w:cs="Arial"/>
            <w:sz w:val="20"/>
            <w:szCs w:val="20"/>
          </w:rPr>
          <w:t>https://doi.org/10.1016/j.jff.2011.03.008</w:t>
        </w:r>
      </w:hyperlink>
      <w:r>
        <w:rPr>
          <w:rFonts w:ascii="Arial" w:hAnsi="Arial" w:cs="Arial"/>
          <w:sz w:val="20"/>
          <w:szCs w:val="20"/>
        </w:rPr>
        <w:t xml:space="preserve"> </w:t>
      </w:r>
    </w:p>
    <w:p w14:paraId="1365CB48" w14:textId="700D04B9" w:rsidR="009F67D5" w:rsidRPr="00C448AF" w:rsidRDefault="00F327A5" w:rsidP="008D3622">
      <w:pPr>
        <w:pStyle w:val="ListParagraph"/>
        <w:numPr>
          <w:ilvl w:val="0"/>
          <w:numId w:val="6"/>
        </w:numPr>
        <w:spacing w:after="0" w:line="480" w:lineRule="auto"/>
        <w:ind w:left="567" w:hanging="567"/>
        <w:jc w:val="both"/>
        <w:rPr>
          <w:rFonts w:ascii="Arial" w:hAnsi="Arial" w:cs="Arial"/>
          <w:sz w:val="20"/>
          <w:szCs w:val="20"/>
        </w:rPr>
      </w:pPr>
      <w:r w:rsidRPr="00F327A5">
        <w:rPr>
          <w:rFonts w:ascii="Arial" w:hAnsi="Arial" w:cs="Arial"/>
          <w:sz w:val="20"/>
          <w:szCs w:val="20"/>
        </w:rPr>
        <w:t xml:space="preserve">Devi, P. B., Vijayabharathi, R., Sathyabama, S., Malleshi, N. G., &amp; </w:t>
      </w:r>
      <w:proofErr w:type="spellStart"/>
      <w:r w:rsidRPr="00F327A5">
        <w:rPr>
          <w:rFonts w:ascii="Arial" w:hAnsi="Arial" w:cs="Arial"/>
          <w:sz w:val="20"/>
          <w:szCs w:val="20"/>
        </w:rPr>
        <w:t>Priyadarisini</w:t>
      </w:r>
      <w:proofErr w:type="spellEnd"/>
      <w:r w:rsidRPr="00F327A5">
        <w:rPr>
          <w:rFonts w:ascii="Arial" w:hAnsi="Arial" w:cs="Arial"/>
          <w:sz w:val="20"/>
          <w:szCs w:val="20"/>
        </w:rPr>
        <w:t xml:space="preserve">, V. B. (2014). Health benefits of finger millet (Eleusine coracana L.) polyphenols and dietary </w:t>
      </w:r>
      <w:proofErr w:type="spellStart"/>
      <w:r w:rsidRPr="00F327A5">
        <w:rPr>
          <w:rFonts w:ascii="Arial" w:hAnsi="Arial" w:cs="Arial"/>
          <w:sz w:val="20"/>
          <w:szCs w:val="20"/>
        </w:rPr>
        <w:t>fiber</w:t>
      </w:r>
      <w:proofErr w:type="spellEnd"/>
      <w:r w:rsidRPr="00F327A5">
        <w:rPr>
          <w:rFonts w:ascii="Arial" w:hAnsi="Arial" w:cs="Arial"/>
          <w:sz w:val="20"/>
          <w:szCs w:val="20"/>
        </w:rPr>
        <w:t xml:space="preserve">: a review. Journal of Food Science and Technology, 51(6), 1021–1040. </w:t>
      </w:r>
      <w:hyperlink r:id="rId22" w:history="1">
        <w:r w:rsidRPr="006353C7">
          <w:rPr>
            <w:rStyle w:val="Hyperlink"/>
            <w:rFonts w:ascii="Arial" w:hAnsi="Arial" w:cs="Arial"/>
            <w:sz w:val="20"/>
            <w:szCs w:val="20"/>
          </w:rPr>
          <w:t>https://doi.org/10.1007/s13197-011-0584-9</w:t>
        </w:r>
      </w:hyperlink>
      <w:r>
        <w:rPr>
          <w:rFonts w:ascii="Arial" w:hAnsi="Arial" w:cs="Arial"/>
          <w:sz w:val="20"/>
          <w:szCs w:val="20"/>
        </w:rPr>
        <w:t xml:space="preserve"> </w:t>
      </w:r>
    </w:p>
    <w:p w14:paraId="43344B8B" w14:textId="796199C2" w:rsidR="009F67D5" w:rsidRPr="00C448AF" w:rsidRDefault="00295274"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295274">
        <w:rPr>
          <w:rFonts w:ascii="Arial" w:hAnsi="Arial" w:cs="Arial"/>
          <w:sz w:val="20"/>
          <w:szCs w:val="20"/>
        </w:rPr>
        <w:t>Dhabale</w:t>
      </w:r>
      <w:proofErr w:type="spellEnd"/>
      <w:r w:rsidRPr="00295274">
        <w:rPr>
          <w:rFonts w:ascii="Arial" w:hAnsi="Arial" w:cs="Arial"/>
          <w:sz w:val="20"/>
          <w:szCs w:val="20"/>
        </w:rPr>
        <w:t xml:space="preserve">, R., Ghatge, D. P. U., Pawar, D. V. S., Wankhede, A., Pandey, R., &amp; Syed, B. (2024). Studies on physicochemical properties of barnyard millet (Echinochloa esculenta L.) and little millet (Panicum </w:t>
      </w:r>
      <w:proofErr w:type="spellStart"/>
      <w:r w:rsidRPr="00295274">
        <w:rPr>
          <w:rFonts w:ascii="Arial" w:hAnsi="Arial" w:cs="Arial"/>
          <w:sz w:val="20"/>
          <w:szCs w:val="20"/>
        </w:rPr>
        <w:t>sumatrense</w:t>
      </w:r>
      <w:proofErr w:type="spellEnd"/>
      <w:r w:rsidRPr="00295274">
        <w:rPr>
          <w:rFonts w:ascii="Arial" w:hAnsi="Arial" w:cs="Arial"/>
          <w:sz w:val="20"/>
          <w:szCs w:val="20"/>
        </w:rPr>
        <w:t xml:space="preserve"> L.). International Journal of Advanced Biochemistry Research, 8(10S), 17–21. </w:t>
      </w:r>
      <w:hyperlink r:id="rId23" w:history="1">
        <w:r w:rsidRPr="006353C7">
          <w:rPr>
            <w:rStyle w:val="Hyperlink"/>
            <w:rFonts w:ascii="Arial" w:hAnsi="Arial" w:cs="Arial"/>
            <w:sz w:val="20"/>
            <w:szCs w:val="20"/>
          </w:rPr>
          <w:t>https://doi.org/10.33545/26174693.2024.v8.i10Sa.2397</w:t>
        </w:r>
      </w:hyperlink>
      <w:r>
        <w:rPr>
          <w:rFonts w:ascii="Arial" w:hAnsi="Arial" w:cs="Arial"/>
          <w:sz w:val="20"/>
          <w:szCs w:val="20"/>
        </w:rPr>
        <w:t xml:space="preserve"> </w:t>
      </w:r>
    </w:p>
    <w:p w14:paraId="4842EACA" w14:textId="4D1DA2BB" w:rsidR="009F67D5" w:rsidRPr="00C448AF" w:rsidRDefault="00EB1AA0"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EB1AA0">
        <w:rPr>
          <w:rFonts w:ascii="Arial" w:hAnsi="Arial" w:cs="Arial"/>
          <w:sz w:val="20"/>
          <w:szCs w:val="20"/>
        </w:rPr>
        <w:t>Faleye</w:t>
      </w:r>
      <w:proofErr w:type="spellEnd"/>
      <w:r w:rsidRPr="00EB1AA0">
        <w:rPr>
          <w:rFonts w:ascii="Arial" w:hAnsi="Arial" w:cs="Arial"/>
          <w:sz w:val="20"/>
          <w:szCs w:val="20"/>
        </w:rPr>
        <w:t xml:space="preserve">, T., Atere, A. O., Oladipo, O. N., &amp; Agaja, M. O. (2013). Determination of some physical and mechanical properties of some cowpea varieties. African Journal of Agricultural Research, 8(49), 6485–6487. </w:t>
      </w:r>
      <w:hyperlink r:id="rId24" w:history="1">
        <w:r w:rsidRPr="006353C7">
          <w:rPr>
            <w:rStyle w:val="Hyperlink"/>
            <w:rFonts w:ascii="Arial" w:hAnsi="Arial" w:cs="Arial"/>
            <w:sz w:val="20"/>
            <w:szCs w:val="20"/>
          </w:rPr>
          <w:t>https://doi.org/10.5897/AJAR11.626</w:t>
        </w:r>
      </w:hyperlink>
      <w:r>
        <w:rPr>
          <w:rFonts w:ascii="Arial" w:hAnsi="Arial" w:cs="Arial"/>
          <w:sz w:val="20"/>
          <w:szCs w:val="20"/>
        </w:rPr>
        <w:t xml:space="preserve"> </w:t>
      </w:r>
      <w:r w:rsidR="009F67D5" w:rsidRPr="00C448AF">
        <w:rPr>
          <w:rFonts w:ascii="Arial" w:hAnsi="Arial" w:cs="Arial"/>
          <w:sz w:val="20"/>
          <w:szCs w:val="20"/>
        </w:rPr>
        <w:t>.</w:t>
      </w:r>
    </w:p>
    <w:p w14:paraId="4A361250" w14:textId="77C953BE" w:rsidR="009F67D5" w:rsidRPr="00C448AF" w:rsidRDefault="00726AF0" w:rsidP="008D3622">
      <w:pPr>
        <w:pStyle w:val="ListParagraph"/>
        <w:numPr>
          <w:ilvl w:val="0"/>
          <w:numId w:val="6"/>
        </w:numPr>
        <w:spacing w:after="0" w:line="480" w:lineRule="auto"/>
        <w:ind w:left="567" w:hanging="567"/>
        <w:jc w:val="both"/>
        <w:rPr>
          <w:rFonts w:ascii="Arial" w:hAnsi="Arial" w:cs="Arial"/>
          <w:sz w:val="20"/>
          <w:szCs w:val="20"/>
        </w:rPr>
      </w:pPr>
      <w:r w:rsidRPr="00726AF0">
        <w:rPr>
          <w:rFonts w:ascii="Arial" w:hAnsi="Arial" w:cs="Arial"/>
          <w:sz w:val="20"/>
          <w:szCs w:val="20"/>
        </w:rPr>
        <w:t xml:space="preserve">Ghosh, S., Patel, S., Naik, R. K., &amp; Khokhar, D. (2023). Moisture dependent physical, thermal and functional properties of little millet (Variety: BL-6). The Pharma Innovation Journal. </w:t>
      </w:r>
      <w:hyperlink r:id="rId25" w:history="1">
        <w:r w:rsidRPr="006353C7">
          <w:rPr>
            <w:rStyle w:val="Hyperlink"/>
            <w:rFonts w:ascii="Arial" w:hAnsi="Arial" w:cs="Arial"/>
            <w:sz w:val="20"/>
            <w:szCs w:val="20"/>
          </w:rPr>
          <w:t>https://www.thepharmajournal.com/archives/2023/vol12issue7/PartAL/12-7-10-900.pdf</w:t>
        </w:r>
      </w:hyperlink>
      <w:r>
        <w:rPr>
          <w:rFonts w:ascii="Arial" w:hAnsi="Arial" w:cs="Arial"/>
          <w:sz w:val="20"/>
          <w:szCs w:val="20"/>
        </w:rPr>
        <w:t xml:space="preserve"> </w:t>
      </w:r>
    </w:p>
    <w:p w14:paraId="1769531E"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r w:rsidRPr="00C448AF">
        <w:rPr>
          <w:rFonts w:ascii="Arial" w:hAnsi="Arial" w:cs="Arial"/>
          <w:sz w:val="20"/>
          <w:szCs w:val="20"/>
        </w:rPr>
        <w:t>Gopalan, C., Ramasastri, B. V., &amp; Balaubramanian, S. C. (2010). </w:t>
      </w:r>
      <w:r w:rsidRPr="00C448AF">
        <w:rPr>
          <w:rFonts w:ascii="Arial" w:hAnsi="Arial" w:cs="Arial"/>
          <w:i/>
          <w:iCs/>
          <w:sz w:val="20"/>
          <w:szCs w:val="20"/>
        </w:rPr>
        <w:t>Nutritive Value of Indian Foods</w:t>
      </w:r>
      <w:r w:rsidRPr="00C448AF">
        <w:rPr>
          <w:rFonts w:ascii="Arial" w:hAnsi="Arial" w:cs="Arial"/>
          <w:sz w:val="20"/>
          <w:szCs w:val="20"/>
        </w:rPr>
        <w:t>.</w:t>
      </w:r>
    </w:p>
    <w:p w14:paraId="3EA66763" w14:textId="1E0C9D69" w:rsidR="009F67D5" w:rsidRPr="00C448AF" w:rsidRDefault="00AE4C4C" w:rsidP="008D3622">
      <w:pPr>
        <w:pStyle w:val="ListParagraph"/>
        <w:numPr>
          <w:ilvl w:val="0"/>
          <w:numId w:val="6"/>
        </w:numPr>
        <w:spacing w:after="0" w:line="480" w:lineRule="auto"/>
        <w:ind w:left="567" w:hanging="567"/>
        <w:jc w:val="both"/>
        <w:rPr>
          <w:rFonts w:ascii="Arial" w:hAnsi="Arial" w:cs="Arial"/>
          <w:sz w:val="20"/>
          <w:szCs w:val="20"/>
        </w:rPr>
      </w:pPr>
      <w:r w:rsidRPr="00AE4C4C">
        <w:rPr>
          <w:rFonts w:ascii="Arial" w:hAnsi="Arial" w:cs="Arial"/>
          <w:sz w:val="20"/>
          <w:szCs w:val="20"/>
        </w:rPr>
        <w:t xml:space="preserve">Hamdani, A., Rather, S. A., Shah, A., Gani, A., Wani, S. M., Masoodi, F. A., &amp; Gani, A. (2014). Physical properties of barley and oats cultivars grown in high altitude Himalayan regions of India. Journal of Food Measurement and Characterization, 8, 296–304. </w:t>
      </w:r>
      <w:hyperlink r:id="rId26" w:history="1">
        <w:r w:rsidRPr="006353C7">
          <w:rPr>
            <w:rStyle w:val="Hyperlink"/>
            <w:rFonts w:ascii="Arial" w:hAnsi="Arial" w:cs="Arial"/>
            <w:sz w:val="20"/>
            <w:szCs w:val="20"/>
          </w:rPr>
          <w:t>https://doi.org/10.1007/s11694-014-9188-1</w:t>
        </w:r>
      </w:hyperlink>
      <w:r>
        <w:rPr>
          <w:rFonts w:ascii="Arial" w:hAnsi="Arial" w:cs="Arial"/>
          <w:sz w:val="20"/>
          <w:szCs w:val="20"/>
        </w:rPr>
        <w:t xml:space="preserve"> </w:t>
      </w:r>
      <w:r w:rsidR="009F67D5" w:rsidRPr="00C448AF">
        <w:rPr>
          <w:rFonts w:ascii="Arial" w:hAnsi="Arial" w:cs="Arial"/>
          <w:sz w:val="20"/>
          <w:szCs w:val="20"/>
        </w:rPr>
        <w:t>.</w:t>
      </w:r>
    </w:p>
    <w:p w14:paraId="10D9115E"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r w:rsidRPr="00C448AF">
        <w:rPr>
          <w:rFonts w:ascii="Arial" w:hAnsi="Arial" w:cs="Arial"/>
          <w:sz w:val="20"/>
          <w:szCs w:val="20"/>
        </w:rPr>
        <w:t>Indirani, K. (2021). Review on nutritional profiles and health benefits of little millets in India. </w:t>
      </w:r>
      <w:r w:rsidRPr="00C448AF">
        <w:rPr>
          <w:rFonts w:ascii="Arial" w:hAnsi="Arial" w:cs="Arial"/>
          <w:i/>
          <w:iCs/>
          <w:sz w:val="20"/>
          <w:szCs w:val="20"/>
        </w:rPr>
        <w:t>Int. J. Res Eng. Sci</w:t>
      </w:r>
      <w:r w:rsidRPr="00C448AF">
        <w:rPr>
          <w:rFonts w:ascii="Arial" w:hAnsi="Arial" w:cs="Arial"/>
          <w:sz w:val="20"/>
          <w:szCs w:val="20"/>
        </w:rPr>
        <w:t>, </w:t>
      </w:r>
      <w:r w:rsidRPr="00C448AF">
        <w:rPr>
          <w:rFonts w:ascii="Arial" w:hAnsi="Arial" w:cs="Arial"/>
          <w:i/>
          <w:iCs/>
          <w:sz w:val="20"/>
          <w:szCs w:val="20"/>
        </w:rPr>
        <w:t>9</w:t>
      </w:r>
      <w:r w:rsidRPr="00C448AF">
        <w:rPr>
          <w:rFonts w:ascii="Arial" w:hAnsi="Arial" w:cs="Arial"/>
          <w:sz w:val="20"/>
          <w:szCs w:val="20"/>
        </w:rPr>
        <w:t>, 7–11.</w:t>
      </w:r>
    </w:p>
    <w:p w14:paraId="727BF2CD" w14:textId="7A36009A" w:rsidR="009F67D5" w:rsidRPr="00C448AF" w:rsidRDefault="00004346" w:rsidP="008D3622">
      <w:pPr>
        <w:pStyle w:val="ListParagraph"/>
        <w:numPr>
          <w:ilvl w:val="0"/>
          <w:numId w:val="6"/>
        </w:numPr>
        <w:spacing w:after="0" w:line="480" w:lineRule="auto"/>
        <w:ind w:left="567" w:hanging="567"/>
        <w:jc w:val="both"/>
        <w:rPr>
          <w:rFonts w:ascii="Arial" w:hAnsi="Arial" w:cs="Arial"/>
          <w:sz w:val="20"/>
          <w:szCs w:val="20"/>
        </w:rPr>
      </w:pPr>
      <w:r w:rsidRPr="00004346">
        <w:rPr>
          <w:rFonts w:ascii="Arial" w:hAnsi="Arial" w:cs="Arial"/>
          <w:sz w:val="20"/>
          <w:szCs w:val="20"/>
        </w:rPr>
        <w:t xml:space="preserve">Izadi, Z., </w:t>
      </w:r>
      <w:proofErr w:type="spellStart"/>
      <w:r w:rsidRPr="00004346">
        <w:rPr>
          <w:rFonts w:ascii="Arial" w:hAnsi="Arial" w:cs="Arial"/>
          <w:sz w:val="20"/>
          <w:szCs w:val="20"/>
        </w:rPr>
        <w:t>Nasirpour</w:t>
      </w:r>
      <w:proofErr w:type="spellEnd"/>
      <w:r w:rsidRPr="00004346">
        <w:rPr>
          <w:rFonts w:ascii="Arial" w:hAnsi="Arial" w:cs="Arial"/>
          <w:sz w:val="20"/>
          <w:szCs w:val="20"/>
        </w:rPr>
        <w:t xml:space="preserve">, A., Izadi, M., &amp; Izadi, T. (2012). Reducing blood cholesterol by a healthy diet. International Food Research Journal, 19(1), 29–37. </w:t>
      </w:r>
      <w:hyperlink r:id="rId27" w:history="1">
        <w:r w:rsidRPr="006353C7">
          <w:rPr>
            <w:rStyle w:val="Hyperlink"/>
            <w:rFonts w:ascii="Arial" w:hAnsi="Arial" w:cs="Arial"/>
            <w:sz w:val="20"/>
            <w:szCs w:val="20"/>
          </w:rPr>
          <w:t>https://www.cabi.org/cabreviews/review/20123000029</w:t>
        </w:r>
      </w:hyperlink>
      <w:r>
        <w:rPr>
          <w:rFonts w:ascii="Arial" w:hAnsi="Arial" w:cs="Arial"/>
          <w:sz w:val="20"/>
          <w:szCs w:val="20"/>
        </w:rPr>
        <w:t xml:space="preserve"> </w:t>
      </w:r>
      <w:r w:rsidR="009F67D5" w:rsidRPr="00C448AF">
        <w:rPr>
          <w:rFonts w:ascii="Arial" w:hAnsi="Arial" w:cs="Arial"/>
          <w:sz w:val="20"/>
          <w:szCs w:val="20"/>
        </w:rPr>
        <w:t>.</w:t>
      </w:r>
    </w:p>
    <w:p w14:paraId="181E9065" w14:textId="1914AADA" w:rsidR="009F67D5" w:rsidRPr="00C448AF" w:rsidRDefault="008F4F3E"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8F4F3E">
        <w:rPr>
          <w:rFonts w:ascii="Arial" w:hAnsi="Arial" w:cs="Arial"/>
          <w:sz w:val="20"/>
          <w:szCs w:val="20"/>
        </w:rPr>
        <w:lastRenderedPageBreak/>
        <w:t>Jideani</w:t>
      </w:r>
      <w:proofErr w:type="spellEnd"/>
      <w:r w:rsidRPr="008F4F3E">
        <w:rPr>
          <w:rFonts w:ascii="Arial" w:hAnsi="Arial" w:cs="Arial"/>
          <w:sz w:val="20"/>
          <w:szCs w:val="20"/>
        </w:rPr>
        <w:t xml:space="preserve">, I. A., Takeda, Y., &amp; </w:t>
      </w:r>
      <w:proofErr w:type="spellStart"/>
      <w:r w:rsidRPr="008F4F3E">
        <w:rPr>
          <w:rFonts w:ascii="Arial" w:hAnsi="Arial" w:cs="Arial"/>
          <w:sz w:val="20"/>
          <w:szCs w:val="20"/>
        </w:rPr>
        <w:t>Hizukuri</w:t>
      </w:r>
      <w:proofErr w:type="spellEnd"/>
      <w:r w:rsidRPr="008F4F3E">
        <w:rPr>
          <w:rFonts w:ascii="Arial" w:hAnsi="Arial" w:cs="Arial"/>
          <w:sz w:val="20"/>
          <w:szCs w:val="20"/>
        </w:rPr>
        <w:t xml:space="preserve">, S. (1996). Structures and physicochemical properties of starches from </w:t>
      </w:r>
      <w:proofErr w:type="spellStart"/>
      <w:r w:rsidRPr="008F4F3E">
        <w:rPr>
          <w:rFonts w:ascii="Arial" w:hAnsi="Arial" w:cs="Arial"/>
          <w:sz w:val="20"/>
          <w:szCs w:val="20"/>
        </w:rPr>
        <w:t>acha</w:t>
      </w:r>
      <w:proofErr w:type="spellEnd"/>
      <w:r w:rsidRPr="008F4F3E">
        <w:rPr>
          <w:rFonts w:ascii="Arial" w:hAnsi="Arial" w:cs="Arial"/>
          <w:sz w:val="20"/>
          <w:szCs w:val="20"/>
        </w:rPr>
        <w:t xml:space="preserve"> (</w:t>
      </w:r>
      <w:proofErr w:type="spellStart"/>
      <w:r w:rsidRPr="008F4F3E">
        <w:rPr>
          <w:rFonts w:ascii="Arial" w:hAnsi="Arial" w:cs="Arial"/>
          <w:sz w:val="20"/>
          <w:szCs w:val="20"/>
        </w:rPr>
        <w:t>Digitaria</w:t>
      </w:r>
      <w:proofErr w:type="spellEnd"/>
      <w:r w:rsidRPr="008F4F3E">
        <w:rPr>
          <w:rFonts w:ascii="Arial" w:hAnsi="Arial" w:cs="Arial"/>
          <w:sz w:val="20"/>
          <w:szCs w:val="20"/>
        </w:rPr>
        <w:t xml:space="preserve"> exilis), </w:t>
      </w:r>
      <w:proofErr w:type="spellStart"/>
      <w:r w:rsidRPr="008F4F3E">
        <w:rPr>
          <w:rFonts w:ascii="Arial" w:hAnsi="Arial" w:cs="Arial"/>
          <w:sz w:val="20"/>
          <w:szCs w:val="20"/>
        </w:rPr>
        <w:t>iburu</w:t>
      </w:r>
      <w:proofErr w:type="spellEnd"/>
      <w:r w:rsidRPr="008F4F3E">
        <w:rPr>
          <w:rFonts w:ascii="Arial" w:hAnsi="Arial" w:cs="Arial"/>
          <w:sz w:val="20"/>
          <w:szCs w:val="20"/>
        </w:rPr>
        <w:t xml:space="preserve"> (D. </w:t>
      </w:r>
      <w:proofErr w:type="spellStart"/>
      <w:r w:rsidRPr="008F4F3E">
        <w:rPr>
          <w:rFonts w:ascii="Arial" w:hAnsi="Arial" w:cs="Arial"/>
          <w:sz w:val="20"/>
          <w:szCs w:val="20"/>
        </w:rPr>
        <w:t>iburua</w:t>
      </w:r>
      <w:proofErr w:type="spellEnd"/>
      <w:r w:rsidRPr="008F4F3E">
        <w:rPr>
          <w:rFonts w:ascii="Arial" w:hAnsi="Arial" w:cs="Arial"/>
          <w:sz w:val="20"/>
          <w:szCs w:val="20"/>
        </w:rPr>
        <w:t xml:space="preserve">), and </w:t>
      </w:r>
      <w:proofErr w:type="spellStart"/>
      <w:r w:rsidRPr="008F4F3E">
        <w:rPr>
          <w:rFonts w:ascii="Arial" w:hAnsi="Arial" w:cs="Arial"/>
          <w:sz w:val="20"/>
          <w:szCs w:val="20"/>
        </w:rPr>
        <w:t>tamba</w:t>
      </w:r>
      <w:proofErr w:type="spellEnd"/>
      <w:r w:rsidRPr="008F4F3E">
        <w:rPr>
          <w:rFonts w:ascii="Arial" w:hAnsi="Arial" w:cs="Arial"/>
          <w:sz w:val="20"/>
          <w:szCs w:val="20"/>
        </w:rPr>
        <w:t xml:space="preserve"> (Eleusine coracana). Cereal Chemistry, 73(6), 677–685. </w:t>
      </w:r>
      <w:hyperlink r:id="rId28" w:history="1">
        <w:r w:rsidRPr="006353C7">
          <w:rPr>
            <w:rStyle w:val="Hyperlink"/>
            <w:rFonts w:ascii="Arial" w:hAnsi="Arial" w:cs="Arial"/>
            <w:sz w:val="20"/>
            <w:szCs w:val="20"/>
          </w:rPr>
          <w:t>http://www.aaccnet.org/publications/cc/backissues/1996/documents/73_677.pdf</w:t>
        </w:r>
      </w:hyperlink>
      <w:r>
        <w:rPr>
          <w:rFonts w:ascii="Arial" w:hAnsi="Arial" w:cs="Arial"/>
          <w:sz w:val="20"/>
          <w:szCs w:val="20"/>
        </w:rPr>
        <w:t xml:space="preserve"> </w:t>
      </w:r>
      <w:r w:rsidR="009F67D5" w:rsidRPr="00C448AF">
        <w:rPr>
          <w:rFonts w:ascii="Arial" w:hAnsi="Arial" w:cs="Arial"/>
          <w:sz w:val="20"/>
          <w:szCs w:val="20"/>
        </w:rPr>
        <w:t>.</w:t>
      </w:r>
    </w:p>
    <w:p w14:paraId="67963826" w14:textId="4AE8F871" w:rsidR="009F67D5" w:rsidRPr="00C448AF" w:rsidRDefault="00B31BFD"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B31BFD">
        <w:rPr>
          <w:rFonts w:ascii="Arial" w:hAnsi="Arial" w:cs="Arial"/>
          <w:sz w:val="20"/>
          <w:szCs w:val="20"/>
        </w:rPr>
        <w:t>Karababa</w:t>
      </w:r>
      <w:proofErr w:type="spellEnd"/>
      <w:r w:rsidRPr="00B31BFD">
        <w:rPr>
          <w:rFonts w:ascii="Arial" w:hAnsi="Arial" w:cs="Arial"/>
          <w:sz w:val="20"/>
          <w:szCs w:val="20"/>
        </w:rPr>
        <w:t xml:space="preserve">, E., &amp; </w:t>
      </w:r>
      <w:proofErr w:type="spellStart"/>
      <w:r w:rsidRPr="00B31BFD">
        <w:rPr>
          <w:rFonts w:ascii="Arial" w:hAnsi="Arial" w:cs="Arial"/>
          <w:sz w:val="20"/>
          <w:szCs w:val="20"/>
        </w:rPr>
        <w:t>Coşkuner</w:t>
      </w:r>
      <w:proofErr w:type="spellEnd"/>
      <w:r w:rsidRPr="00B31BFD">
        <w:rPr>
          <w:rFonts w:ascii="Arial" w:hAnsi="Arial" w:cs="Arial"/>
          <w:sz w:val="20"/>
          <w:szCs w:val="20"/>
        </w:rPr>
        <w:t xml:space="preserve">, Y. (2013). Physical properties of carob bean (Ceratonia siliqua L.): An industrial gum yielding crop. Industrial Crops and Products, 42, 440–446. </w:t>
      </w:r>
      <w:hyperlink r:id="rId29" w:history="1">
        <w:r w:rsidRPr="006353C7">
          <w:rPr>
            <w:rStyle w:val="Hyperlink"/>
            <w:rFonts w:ascii="Arial" w:hAnsi="Arial" w:cs="Arial"/>
            <w:sz w:val="20"/>
            <w:szCs w:val="20"/>
          </w:rPr>
          <w:t>https://doi.org/10.1016/j.indcrop.2012.05.006</w:t>
        </w:r>
      </w:hyperlink>
      <w:r>
        <w:rPr>
          <w:rFonts w:ascii="Arial" w:hAnsi="Arial" w:cs="Arial"/>
          <w:sz w:val="20"/>
          <w:szCs w:val="20"/>
        </w:rPr>
        <w:t xml:space="preserve"> </w:t>
      </w:r>
      <w:r w:rsidR="009F67D5" w:rsidRPr="00C448AF">
        <w:rPr>
          <w:rFonts w:ascii="Arial" w:hAnsi="Arial" w:cs="Arial"/>
          <w:sz w:val="20"/>
          <w:szCs w:val="20"/>
        </w:rPr>
        <w:t>.</w:t>
      </w:r>
    </w:p>
    <w:p w14:paraId="08F4F242" w14:textId="5819FF8C" w:rsidR="009F67D5" w:rsidRPr="00C448AF" w:rsidRDefault="004D03A4" w:rsidP="008D3622">
      <w:pPr>
        <w:pStyle w:val="ListParagraph"/>
        <w:numPr>
          <w:ilvl w:val="0"/>
          <w:numId w:val="6"/>
        </w:numPr>
        <w:spacing w:after="0" w:line="480" w:lineRule="auto"/>
        <w:ind w:left="567" w:hanging="567"/>
        <w:jc w:val="both"/>
        <w:rPr>
          <w:rFonts w:ascii="Arial" w:hAnsi="Arial" w:cs="Arial"/>
          <w:sz w:val="20"/>
          <w:szCs w:val="20"/>
        </w:rPr>
      </w:pPr>
      <w:r w:rsidRPr="004D03A4">
        <w:rPr>
          <w:rFonts w:ascii="Arial" w:hAnsi="Arial" w:cs="Arial"/>
          <w:sz w:val="20"/>
          <w:szCs w:val="20"/>
        </w:rPr>
        <w:t xml:space="preserve">Kumari, N., &amp; Raghuvanshi, R. S. (2015). </w:t>
      </w:r>
      <w:proofErr w:type="spellStart"/>
      <w:r w:rsidRPr="004D03A4">
        <w:rPr>
          <w:rFonts w:ascii="Arial" w:hAnsi="Arial" w:cs="Arial"/>
          <w:sz w:val="20"/>
          <w:szCs w:val="20"/>
        </w:rPr>
        <w:t>Physico</w:t>
      </w:r>
      <w:proofErr w:type="spellEnd"/>
      <w:r w:rsidRPr="004D03A4">
        <w:rPr>
          <w:rFonts w:ascii="Arial" w:hAnsi="Arial" w:cs="Arial"/>
          <w:sz w:val="20"/>
          <w:szCs w:val="20"/>
        </w:rPr>
        <w:t xml:space="preserve">-chemical and functional properties of buckwheat (Fagopyrum esculentum Moench). Journal of Eco-Friendly Agriculture. </w:t>
      </w:r>
      <w:hyperlink r:id="rId30" w:history="1">
        <w:r w:rsidRPr="006353C7">
          <w:rPr>
            <w:rStyle w:val="Hyperlink"/>
            <w:rFonts w:ascii="Arial" w:hAnsi="Arial" w:cs="Arial"/>
            <w:sz w:val="20"/>
            <w:szCs w:val="20"/>
          </w:rPr>
          <w:t>https://www.ecoagrijournal.com</w:t>
        </w:r>
      </w:hyperlink>
      <w:r>
        <w:rPr>
          <w:rFonts w:ascii="Arial" w:hAnsi="Arial" w:cs="Arial"/>
          <w:sz w:val="20"/>
          <w:szCs w:val="20"/>
        </w:rPr>
        <w:t xml:space="preserve"> </w:t>
      </w:r>
      <w:r w:rsidR="009F67D5" w:rsidRPr="00C448AF">
        <w:rPr>
          <w:rFonts w:ascii="Arial" w:hAnsi="Arial" w:cs="Arial"/>
          <w:sz w:val="20"/>
          <w:szCs w:val="20"/>
        </w:rPr>
        <w:t>.</w:t>
      </w:r>
    </w:p>
    <w:p w14:paraId="37FE8965" w14:textId="28DB8019" w:rsidR="009F67D5" w:rsidRPr="00C448AF" w:rsidRDefault="000411E3" w:rsidP="008D3622">
      <w:pPr>
        <w:pStyle w:val="ListParagraph"/>
        <w:numPr>
          <w:ilvl w:val="0"/>
          <w:numId w:val="6"/>
        </w:numPr>
        <w:spacing w:after="0" w:line="480" w:lineRule="auto"/>
        <w:ind w:left="567" w:hanging="567"/>
        <w:jc w:val="both"/>
        <w:rPr>
          <w:rFonts w:ascii="Arial" w:hAnsi="Arial" w:cs="Arial"/>
          <w:sz w:val="20"/>
          <w:szCs w:val="20"/>
        </w:rPr>
      </w:pPr>
      <w:r w:rsidRPr="000411E3">
        <w:rPr>
          <w:rFonts w:ascii="Arial" w:hAnsi="Arial" w:cs="Arial"/>
          <w:sz w:val="20"/>
          <w:szCs w:val="20"/>
        </w:rPr>
        <w:t xml:space="preserve">Mane, R. P., </w:t>
      </w:r>
      <w:proofErr w:type="spellStart"/>
      <w:r w:rsidRPr="000411E3">
        <w:rPr>
          <w:rFonts w:ascii="Arial" w:hAnsi="Arial" w:cs="Arial"/>
          <w:sz w:val="20"/>
          <w:szCs w:val="20"/>
        </w:rPr>
        <w:t>Kshirsgar</w:t>
      </w:r>
      <w:proofErr w:type="spellEnd"/>
      <w:r w:rsidRPr="000411E3">
        <w:rPr>
          <w:rFonts w:ascii="Arial" w:hAnsi="Arial" w:cs="Arial"/>
          <w:sz w:val="20"/>
          <w:szCs w:val="20"/>
        </w:rPr>
        <w:t xml:space="preserve">, R. B., Patil, B. M., Agarkar, B. S., &amp; Katke, S. D. (2022). Physicochemical, functional and nutritional properties of millet grains. The Pharma Innovation Journal, 11(11), 1596–1600. </w:t>
      </w:r>
      <w:hyperlink r:id="rId31" w:history="1">
        <w:r w:rsidRPr="006353C7">
          <w:rPr>
            <w:rStyle w:val="Hyperlink"/>
            <w:rFonts w:ascii="Arial" w:hAnsi="Arial" w:cs="Arial"/>
            <w:sz w:val="20"/>
            <w:szCs w:val="20"/>
          </w:rPr>
          <w:t>https://www.thepharmajournal.com/archives/2022/vol11issue11/PartC/11-10-10-900.pdf</w:t>
        </w:r>
      </w:hyperlink>
      <w:r>
        <w:rPr>
          <w:rFonts w:ascii="Arial" w:hAnsi="Arial" w:cs="Arial"/>
          <w:sz w:val="20"/>
          <w:szCs w:val="20"/>
        </w:rPr>
        <w:t xml:space="preserve"> </w:t>
      </w:r>
      <w:r w:rsidR="009F67D5" w:rsidRPr="00C448AF">
        <w:rPr>
          <w:rFonts w:ascii="Arial" w:hAnsi="Arial" w:cs="Arial"/>
          <w:sz w:val="20"/>
          <w:szCs w:val="20"/>
        </w:rPr>
        <w:t>.</w:t>
      </w:r>
    </w:p>
    <w:p w14:paraId="3AE9C31B" w14:textId="40BEF57E" w:rsidR="009F67D5" w:rsidRPr="00C448AF" w:rsidRDefault="004264A3" w:rsidP="008D3622">
      <w:pPr>
        <w:pStyle w:val="ListParagraph"/>
        <w:numPr>
          <w:ilvl w:val="0"/>
          <w:numId w:val="6"/>
        </w:numPr>
        <w:spacing w:after="0" w:line="480" w:lineRule="auto"/>
        <w:ind w:left="567" w:hanging="567"/>
        <w:jc w:val="both"/>
        <w:rPr>
          <w:rFonts w:ascii="Arial" w:hAnsi="Arial" w:cs="Arial"/>
          <w:sz w:val="20"/>
          <w:szCs w:val="20"/>
        </w:rPr>
      </w:pPr>
      <w:r w:rsidRPr="004264A3">
        <w:rPr>
          <w:rFonts w:ascii="Arial" w:hAnsi="Arial" w:cs="Arial"/>
          <w:sz w:val="20"/>
          <w:szCs w:val="20"/>
        </w:rPr>
        <w:t xml:space="preserve">Mariotti, M., Alamprese, C., Pagani, M. A., &amp; Lucisano, M. (2006). Effect of puffing on ultrastructure and physical characteristics of cereal grains and flours. Journal of Cereal Science, 43, 47–56. </w:t>
      </w:r>
      <w:hyperlink r:id="rId32" w:history="1">
        <w:r w:rsidRPr="006353C7">
          <w:rPr>
            <w:rStyle w:val="Hyperlink"/>
            <w:rFonts w:ascii="Arial" w:hAnsi="Arial" w:cs="Arial"/>
            <w:sz w:val="20"/>
            <w:szCs w:val="20"/>
          </w:rPr>
          <w:t>https://doi.org/10.1016/j.jcs.2005.06.007</w:t>
        </w:r>
      </w:hyperlink>
      <w:r>
        <w:rPr>
          <w:rFonts w:ascii="Arial" w:hAnsi="Arial" w:cs="Arial"/>
          <w:sz w:val="20"/>
          <w:szCs w:val="20"/>
        </w:rPr>
        <w:t xml:space="preserve"> </w:t>
      </w:r>
      <w:r w:rsidR="009F67D5" w:rsidRPr="00C448AF">
        <w:rPr>
          <w:rFonts w:ascii="Arial" w:hAnsi="Arial" w:cs="Arial"/>
          <w:sz w:val="20"/>
          <w:szCs w:val="20"/>
        </w:rPr>
        <w:t>.</w:t>
      </w:r>
    </w:p>
    <w:p w14:paraId="34EEAD5D"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C448AF">
        <w:rPr>
          <w:rFonts w:ascii="Arial" w:hAnsi="Arial" w:cs="Arial"/>
          <w:sz w:val="20"/>
          <w:szCs w:val="20"/>
        </w:rPr>
        <w:t>Mohsenin</w:t>
      </w:r>
      <w:proofErr w:type="spellEnd"/>
      <w:r w:rsidRPr="00C448AF">
        <w:rPr>
          <w:rFonts w:ascii="Arial" w:hAnsi="Arial" w:cs="Arial"/>
          <w:sz w:val="20"/>
          <w:szCs w:val="20"/>
        </w:rPr>
        <w:t xml:space="preserve"> N </w:t>
      </w:r>
      <w:proofErr w:type="spellStart"/>
      <w:r w:rsidRPr="00C448AF">
        <w:rPr>
          <w:rFonts w:ascii="Arial" w:hAnsi="Arial" w:cs="Arial"/>
          <w:sz w:val="20"/>
          <w:szCs w:val="20"/>
        </w:rPr>
        <w:t>N</w:t>
      </w:r>
      <w:proofErr w:type="spellEnd"/>
      <w:r w:rsidRPr="00C448AF">
        <w:rPr>
          <w:rFonts w:ascii="Arial" w:hAnsi="Arial" w:cs="Arial"/>
          <w:sz w:val="20"/>
          <w:szCs w:val="20"/>
        </w:rPr>
        <w:t xml:space="preserve"> 1986 Physical Properties of Plant and Animal Materials, 2nd edition. Gordon and Breach Science Publishers, New York.</w:t>
      </w:r>
    </w:p>
    <w:p w14:paraId="437D985C" w14:textId="69E51CD0" w:rsidR="009F67D5" w:rsidRPr="00C448AF" w:rsidRDefault="00240CC6"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240CC6">
        <w:rPr>
          <w:rFonts w:ascii="Arial" w:hAnsi="Arial" w:cs="Arial"/>
          <w:sz w:val="20"/>
          <w:szCs w:val="20"/>
        </w:rPr>
        <w:t>Mpotokwane</w:t>
      </w:r>
      <w:proofErr w:type="spellEnd"/>
      <w:r w:rsidRPr="00240CC6">
        <w:rPr>
          <w:rFonts w:ascii="Arial" w:hAnsi="Arial" w:cs="Arial"/>
          <w:sz w:val="20"/>
          <w:szCs w:val="20"/>
        </w:rPr>
        <w:t xml:space="preserve">, S. M., </w:t>
      </w:r>
      <w:proofErr w:type="spellStart"/>
      <w:r w:rsidRPr="00240CC6">
        <w:rPr>
          <w:rFonts w:ascii="Arial" w:hAnsi="Arial" w:cs="Arial"/>
          <w:sz w:val="20"/>
          <w:szCs w:val="20"/>
        </w:rPr>
        <w:t>Gaditlhatlhelwe</w:t>
      </w:r>
      <w:proofErr w:type="spellEnd"/>
      <w:r w:rsidRPr="00240CC6">
        <w:rPr>
          <w:rFonts w:ascii="Arial" w:hAnsi="Arial" w:cs="Arial"/>
          <w:sz w:val="20"/>
          <w:szCs w:val="20"/>
        </w:rPr>
        <w:t xml:space="preserve">, E., </w:t>
      </w:r>
      <w:proofErr w:type="spellStart"/>
      <w:r w:rsidRPr="00240CC6">
        <w:rPr>
          <w:rFonts w:ascii="Arial" w:hAnsi="Arial" w:cs="Arial"/>
          <w:sz w:val="20"/>
          <w:szCs w:val="20"/>
        </w:rPr>
        <w:t>Sebaka</w:t>
      </w:r>
      <w:proofErr w:type="spellEnd"/>
      <w:r w:rsidRPr="00240CC6">
        <w:rPr>
          <w:rFonts w:ascii="Arial" w:hAnsi="Arial" w:cs="Arial"/>
          <w:sz w:val="20"/>
          <w:szCs w:val="20"/>
        </w:rPr>
        <w:t xml:space="preserve">, A., &amp; </w:t>
      </w:r>
      <w:proofErr w:type="spellStart"/>
      <w:r w:rsidRPr="00240CC6">
        <w:rPr>
          <w:rFonts w:ascii="Arial" w:hAnsi="Arial" w:cs="Arial"/>
          <w:sz w:val="20"/>
          <w:szCs w:val="20"/>
        </w:rPr>
        <w:t>Jideani</w:t>
      </w:r>
      <w:proofErr w:type="spellEnd"/>
      <w:r w:rsidRPr="00240CC6">
        <w:rPr>
          <w:rFonts w:ascii="Arial" w:hAnsi="Arial" w:cs="Arial"/>
          <w:sz w:val="20"/>
          <w:szCs w:val="20"/>
        </w:rPr>
        <w:t xml:space="preserve">, V. A. (2008). Physical properties of Bambara groundnuts from Botswana. Journal of Food Engineering, 89, 93–98. </w:t>
      </w:r>
      <w:hyperlink r:id="rId33" w:history="1">
        <w:r w:rsidRPr="006353C7">
          <w:rPr>
            <w:rStyle w:val="Hyperlink"/>
            <w:rFonts w:ascii="Arial" w:hAnsi="Arial" w:cs="Arial"/>
            <w:sz w:val="20"/>
            <w:szCs w:val="20"/>
          </w:rPr>
          <w:t>https://doi.org/10.1016/j.jfoodeng.2008.04.006</w:t>
        </w:r>
      </w:hyperlink>
      <w:r>
        <w:rPr>
          <w:rFonts w:ascii="Arial" w:hAnsi="Arial" w:cs="Arial"/>
          <w:sz w:val="20"/>
          <w:szCs w:val="20"/>
        </w:rPr>
        <w:t xml:space="preserve"> </w:t>
      </w:r>
      <w:r w:rsidR="009F67D5" w:rsidRPr="00C448AF">
        <w:rPr>
          <w:rFonts w:ascii="Arial" w:hAnsi="Arial" w:cs="Arial"/>
          <w:sz w:val="20"/>
          <w:szCs w:val="20"/>
        </w:rPr>
        <w:t>.</w:t>
      </w:r>
    </w:p>
    <w:p w14:paraId="444AD784" w14:textId="4F03C578" w:rsidR="009F67D5" w:rsidRPr="00C448AF" w:rsidRDefault="00DB59E0"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DB59E0">
        <w:rPr>
          <w:rFonts w:ascii="Arial" w:hAnsi="Arial" w:cs="Arial"/>
          <w:sz w:val="20"/>
          <w:szCs w:val="20"/>
        </w:rPr>
        <w:t>Nazni</w:t>
      </w:r>
      <w:proofErr w:type="spellEnd"/>
      <w:r w:rsidRPr="00DB59E0">
        <w:rPr>
          <w:rFonts w:ascii="Arial" w:hAnsi="Arial" w:cs="Arial"/>
          <w:sz w:val="20"/>
          <w:szCs w:val="20"/>
        </w:rPr>
        <w:t xml:space="preserve">, P., &amp; Shobana Devi, R. (2016). Effect of processing on the characteristics changes in barnyard and foxtail millet. Journal of Food Processing &amp; Technology, 7(3), Article 566. </w:t>
      </w:r>
      <w:hyperlink r:id="rId34" w:history="1">
        <w:r w:rsidRPr="006353C7">
          <w:rPr>
            <w:rStyle w:val="Hyperlink"/>
            <w:rFonts w:ascii="Arial" w:hAnsi="Arial" w:cs="Arial"/>
            <w:sz w:val="20"/>
            <w:szCs w:val="20"/>
          </w:rPr>
          <w:t>https://doi.org/10.4172/2157-7110.1000566</w:t>
        </w:r>
      </w:hyperlink>
      <w:r>
        <w:rPr>
          <w:rFonts w:ascii="Arial" w:hAnsi="Arial" w:cs="Arial"/>
          <w:sz w:val="20"/>
          <w:szCs w:val="20"/>
        </w:rPr>
        <w:t xml:space="preserve"> </w:t>
      </w:r>
      <w:r w:rsidR="009F67D5" w:rsidRPr="00C448AF">
        <w:rPr>
          <w:rFonts w:ascii="Arial" w:hAnsi="Arial" w:cs="Arial"/>
          <w:sz w:val="20"/>
          <w:szCs w:val="20"/>
        </w:rPr>
        <w:t>.</w:t>
      </w:r>
    </w:p>
    <w:p w14:paraId="063AB17B" w14:textId="1E6B7924" w:rsidR="009F67D5" w:rsidRPr="00C448AF" w:rsidRDefault="00237904"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237904">
        <w:rPr>
          <w:rFonts w:ascii="Arial" w:hAnsi="Arial" w:cs="Arial"/>
          <w:sz w:val="20"/>
          <w:szCs w:val="20"/>
        </w:rPr>
        <w:t>Obilana</w:t>
      </w:r>
      <w:proofErr w:type="spellEnd"/>
      <w:r w:rsidRPr="00237904">
        <w:rPr>
          <w:rFonts w:ascii="Arial" w:hAnsi="Arial" w:cs="Arial"/>
          <w:sz w:val="20"/>
          <w:szCs w:val="20"/>
        </w:rPr>
        <w:t xml:space="preserve">, A. B., &amp; </w:t>
      </w:r>
      <w:proofErr w:type="spellStart"/>
      <w:r w:rsidRPr="00237904">
        <w:rPr>
          <w:rFonts w:ascii="Arial" w:hAnsi="Arial" w:cs="Arial"/>
          <w:sz w:val="20"/>
          <w:szCs w:val="20"/>
        </w:rPr>
        <w:t>Manyasa</w:t>
      </w:r>
      <w:proofErr w:type="spellEnd"/>
      <w:r w:rsidRPr="00237904">
        <w:rPr>
          <w:rFonts w:ascii="Arial" w:hAnsi="Arial" w:cs="Arial"/>
          <w:sz w:val="20"/>
          <w:szCs w:val="20"/>
        </w:rPr>
        <w:t xml:space="preserve">, E. (2002). Millets. In P. S. Belton &amp; J. R. N. Taylor (Eds.), Pseudocereals and Less Common Cereals: Grain Properties and Utilization Potential (pp. 177–217). Springer-Verlag. </w:t>
      </w:r>
      <w:hyperlink r:id="rId35" w:history="1">
        <w:r w:rsidRPr="006353C7">
          <w:rPr>
            <w:rStyle w:val="Hyperlink"/>
            <w:rFonts w:ascii="Arial" w:hAnsi="Arial" w:cs="Arial"/>
            <w:sz w:val="20"/>
            <w:szCs w:val="20"/>
          </w:rPr>
          <w:t>https://doi.org/10.1007/978-1-4615-0617-6_7</w:t>
        </w:r>
      </w:hyperlink>
      <w:r>
        <w:rPr>
          <w:rFonts w:ascii="Arial" w:hAnsi="Arial" w:cs="Arial"/>
          <w:sz w:val="20"/>
          <w:szCs w:val="20"/>
        </w:rPr>
        <w:t xml:space="preserve"> </w:t>
      </w:r>
      <w:r w:rsidR="009F67D5" w:rsidRPr="00C448AF">
        <w:rPr>
          <w:rFonts w:ascii="Arial" w:hAnsi="Arial" w:cs="Arial"/>
          <w:sz w:val="20"/>
          <w:szCs w:val="20"/>
        </w:rPr>
        <w:t>.</w:t>
      </w:r>
    </w:p>
    <w:p w14:paraId="14B77CF3"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r w:rsidRPr="00C448AF">
        <w:rPr>
          <w:rFonts w:ascii="Arial" w:hAnsi="Arial" w:cs="Arial"/>
          <w:sz w:val="20"/>
          <w:szCs w:val="20"/>
        </w:rPr>
        <w:t xml:space="preserve">Official Methods of Analysis, 16th </w:t>
      </w:r>
      <w:proofErr w:type="spellStart"/>
      <w:r w:rsidRPr="00C448AF">
        <w:rPr>
          <w:rFonts w:ascii="Arial" w:hAnsi="Arial" w:cs="Arial"/>
          <w:sz w:val="20"/>
          <w:szCs w:val="20"/>
        </w:rPr>
        <w:t>edn</w:t>
      </w:r>
      <w:proofErr w:type="spellEnd"/>
      <w:r w:rsidRPr="00C448AF">
        <w:rPr>
          <w:rFonts w:ascii="Arial" w:hAnsi="Arial" w:cs="Arial"/>
          <w:sz w:val="20"/>
          <w:szCs w:val="20"/>
        </w:rPr>
        <w:t>. Association of Official Analytical Chemists. (1995). </w:t>
      </w:r>
      <w:r w:rsidRPr="00C448AF">
        <w:rPr>
          <w:rFonts w:ascii="Arial" w:hAnsi="Arial" w:cs="Arial"/>
          <w:i/>
          <w:iCs/>
          <w:sz w:val="20"/>
          <w:szCs w:val="20"/>
        </w:rPr>
        <w:t>AOAC</w:t>
      </w:r>
      <w:r w:rsidRPr="00C448AF">
        <w:rPr>
          <w:rFonts w:ascii="Arial" w:hAnsi="Arial" w:cs="Arial"/>
          <w:sz w:val="20"/>
          <w:szCs w:val="20"/>
        </w:rPr>
        <w:t>.</w:t>
      </w:r>
    </w:p>
    <w:p w14:paraId="5E4131C5"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r w:rsidRPr="00C448AF">
        <w:rPr>
          <w:rFonts w:ascii="Arial" w:hAnsi="Arial" w:cs="Arial"/>
          <w:sz w:val="20"/>
          <w:szCs w:val="20"/>
        </w:rPr>
        <w:lastRenderedPageBreak/>
        <w:t>Pathak, K., Saharan, P., Gupta, S. M., Kharb, P., &amp; Batra, V. S. (2019). Barnyard millet: A high-value minor cereal grain crop for health and food quality. </w:t>
      </w:r>
      <w:r w:rsidRPr="00C448AF">
        <w:rPr>
          <w:rFonts w:ascii="Arial" w:hAnsi="Arial" w:cs="Arial"/>
          <w:i/>
          <w:iCs/>
          <w:sz w:val="20"/>
          <w:szCs w:val="20"/>
        </w:rPr>
        <w:t>Food Reviews International</w:t>
      </w:r>
      <w:r w:rsidRPr="00C448AF">
        <w:rPr>
          <w:rFonts w:ascii="Arial" w:hAnsi="Arial" w:cs="Arial"/>
          <w:sz w:val="20"/>
          <w:szCs w:val="20"/>
        </w:rPr>
        <w:t>, </w:t>
      </w:r>
      <w:r w:rsidRPr="00C448AF">
        <w:rPr>
          <w:rFonts w:ascii="Arial" w:hAnsi="Arial" w:cs="Arial"/>
          <w:i/>
          <w:iCs/>
          <w:sz w:val="20"/>
          <w:szCs w:val="20"/>
        </w:rPr>
        <w:t>35</w:t>
      </w:r>
      <w:r w:rsidRPr="00C448AF">
        <w:rPr>
          <w:rFonts w:ascii="Arial" w:hAnsi="Arial" w:cs="Arial"/>
          <w:sz w:val="20"/>
          <w:szCs w:val="20"/>
        </w:rPr>
        <w:t>, 349–376.</w:t>
      </w:r>
    </w:p>
    <w:p w14:paraId="061F34F3" w14:textId="217CAC5E" w:rsidR="009F67D5" w:rsidRPr="00C448AF" w:rsidRDefault="00BD7397" w:rsidP="008D3622">
      <w:pPr>
        <w:pStyle w:val="NormalWeb"/>
        <w:numPr>
          <w:ilvl w:val="0"/>
          <w:numId w:val="6"/>
        </w:numPr>
        <w:spacing w:before="0" w:beforeAutospacing="0" w:after="0" w:afterAutospacing="0" w:line="480" w:lineRule="auto"/>
        <w:ind w:left="567" w:hanging="567"/>
        <w:jc w:val="both"/>
        <w:rPr>
          <w:rFonts w:ascii="Arial" w:hAnsi="Arial" w:cs="Arial"/>
          <w:sz w:val="20"/>
          <w:szCs w:val="20"/>
        </w:rPr>
      </w:pPr>
      <w:r w:rsidRPr="00BD7397">
        <w:rPr>
          <w:rFonts w:ascii="Arial" w:hAnsi="Arial" w:cs="Arial"/>
          <w:sz w:val="20"/>
          <w:szCs w:val="20"/>
        </w:rPr>
        <w:t xml:space="preserve">Rajendran, A., Anand, M. T., </w:t>
      </w:r>
      <w:proofErr w:type="spellStart"/>
      <w:r w:rsidRPr="00BD7397">
        <w:rPr>
          <w:rFonts w:ascii="Arial" w:hAnsi="Arial" w:cs="Arial"/>
          <w:sz w:val="20"/>
          <w:szCs w:val="20"/>
        </w:rPr>
        <w:t>Venkatachalapathy</w:t>
      </w:r>
      <w:proofErr w:type="spellEnd"/>
      <w:r w:rsidRPr="00BD7397">
        <w:rPr>
          <w:rFonts w:ascii="Arial" w:hAnsi="Arial" w:cs="Arial"/>
          <w:sz w:val="20"/>
          <w:szCs w:val="20"/>
        </w:rPr>
        <w:t xml:space="preserve">, N., &amp; Vidyalakshmi, R. (2023). Determining the physical properties of Barnyard millet (Echinochloa esculenta) and figuring out the appropriate time for soaking. The Pharma Innovation Journal, 12(12), 3688–3693. </w:t>
      </w:r>
      <w:hyperlink r:id="rId36" w:history="1">
        <w:r w:rsidRPr="006353C7">
          <w:rPr>
            <w:rStyle w:val="Hyperlink"/>
            <w:rFonts w:ascii="Arial" w:hAnsi="Arial" w:cs="Arial"/>
            <w:sz w:val="20"/>
            <w:szCs w:val="20"/>
          </w:rPr>
          <w:t>https://www.thepharmajournal.com</w:t>
        </w:r>
      </w:hyperlink>
      <w:r>
        <w:rPr>
          <w:rFonts w:ascii="Arial" w:hAnsi="Arial" w:cs="Arial"/>
          <w:sz w:val="20"/>
          <w:szCs w:val="20"/>
        </w:rPr>
        <w:t xml:space="preserve"> </w:t>
      </w:r>
    </w:p>
    <w:p w14:paraId="763F14B5" w14:textId="0D28334F" w:rsidR="009F67D5" w:rsidRPr="00C448AF" w:rsidRDefault="00784C1A" w:rsidP="008D3622">
      <w:pPr>
        <w:pStyle w:val="ListParagraph"/>
        <w:numPr>
          <w:ilvl w:val="0"/>
          <w:numId w:val="6"/>
        </w:numPr>
        <w:spacing w:after="0" w:line="480" w:lineRule="auto"/>
        <w:ind w:left="567" w:hanging="567"/>
        <w:jc w:val="both"/>
        <w:rPr>
          <w:rFonts w:ascii="Arial" w:hAnsi="Arial" w:cs="Arial"/>
          <w:sz w:val="20"/>
          <w:szCs w:val="20"/>
        </w:rPr>
      </w:pPr>
      <w:r w:rsidRPr="00784C1A">
        <w:rPr>
          <w:rFonts w:ascii="Arial" w:hAnsi="Arial" w:cs="Arial"/>
          <w:sz w:val="20"/>
          <w:szCs w:val="20"/>
        </w:rPr>
        <w:t xml:space="preserve">Rao, V. V., Swamy, S. G., Raja, D. S., &amp; Wesley, B. J. (2020). Engineering properties of certain minor millet grains. The Andhra Agricultural Journal, 67, 89–92. </w:t>
      </w:r>
      <w:hyperlink r:id="rId37" w:history="1">
        <w:r w:rsidRPr="006353C7">
          <w:rPr>
            <w:rStyle w:val="Hyperlink"/>
            <w:rFonts w:ascii="Arial" w:hAnsi="Arial" w:cs="Arial"/>
            <w:sz w:val="20"/>
            <w:szCs w:val="20"/>
          </w:rPr>
          <w:t>https://www.researchgate.net/publication/354400000_Engineering_Properties_of_Certain_Minor_Millet_Grains</w:t>
        </w:r>
      </w:hyperlink>
      <w:r>
        <w:rPr>
          <w:rFonts w:ascii="Arial" w:hAnsi="Arial" w:cs="Arial"/>
          <w:sz w:val="20"/>
          <w:szCs w:val="20"/>
        </w:rPr>
        <w:t xml:space="preserve"> </w:t>
      </w:r>
      <w:r w:rsidR="009F67D5" w:rsidRPr="00C448AF">
        <w:rPr>
          <w:rFonts w:ascii="Arial" w:hAnsi="Arial" w:cs="Arial"/>
          <w:sz w:val="20"/>
          <w:szCs w:val="20"/>
        </w:rPr>
        <w:t>.</w:t>
      </w:r>
    </w:p>
    <w:p w14:paraId="6D0A5A10" w14:textId="7AAE230A" w:rsidR="009F67D5" w:rsidRPr="00C448AF" w:rsidRDefault="00F83418" w:rsidP="008D3622">
      <w:pPr>
        <w:pStyle w:val="ListParagraph"/>
        <w:numPr>
          <w:ilvl w:val="0"/>
          <w:numId w:val="6"/>
        </w:numPr>
        <w:spacing w:after="0" w:line="480" w:lineRule="auto"/>
        <w:ind w:left="567" w:hanging="567"/>
        <w:jc w:val="both"/>
        <w:rPr>
          <w:rFonts w:ascii="Arial" w:hAnsi="Arial" w:cs="Arial"/>
          <w:sz w:val="20"/>
          <w:szCs w:val="20"/>
        </w:rPr>
      </w:pPr>
      <w:r w:rsidRPr="00F83418">
        <w:rPr>
          <w:rFonts w:ascii="Arial" w:hAnsi="Arial" w:cs="Arial"/>
          <w:sz w:val="20"/>
          <w:szCs w:val="20"/>
        </w:rPr>
        <w:t xml:space="preserve">Reddy, M., </w:t>
      </w:r>
      <w:proofErr w:type="spellStart"/>
      <w:r w:rsidRPr="00F83418">
        <w:rPr>
          <w:rFonts w:ascii="Arial" w:hAnsi="Arial" w:cs="Arial"/>
          <w:sz w:val="20"/>
          <w:szCs w:val="20"/>
        </w:rPr>
        <w:t>Shivakumara</w:t>
      </w:r>
      <w:proofErr w:type="spellEnd"/>
      <w:r w:rsidRPr="00F83418">
        <w:rPr>
          <w:rFonts w:ascii="Arial" w:hAnsi="Arial" w:cs="Arial"/>
          <w:sz w:val="20"/>
          <w:szCs w:val="20"/>
        </w:rPr>
        <w:t xml:space="preserve">, C. S., &amp; Aneesha. (2019). </w:t>
      </w:r>
      <w:proofErr w:type="spellStart"/>
      <w:r w:rsidRPr="00F83418">
        <w:rPr>
          <w:rFonts w:ascii="Arial" w:hAnsi="Arial" w:cs="Arial"/>
          <w:sz w:val="20"/>
          <w:szCs w:val="20"/>
        </w:rPr>
        <w:t>Physico</w:t>
      </w:r>
      <w:proofErr w:type="spellEnd"/>
      <w:r w:rsidRPr="00F83418">
        <w:rPr>
          <w:rFonts w:ascii="Arial" w:hAnsi="Arial" w:cs="Arial"/>
          <w:sz w:val="20"/>
          <w:szCs w:val="20"/>
        </w:rPr>
        <w:t xml:space="preserve">-Chemical properties of different millets and relationship with cooking quality of millets. International Journal of Multidisciplinary Research and Development, 6(4), 97-101. </w:t>
      </w:r>
      <w:hyperlink r:id="rId38" w:history="1">
        <w:r w:rsidRPr="006353C7">
          <w:rPr>
            <w:rStyle w:val="Hyperlink"/>
            <w:rFonts w:ascii="Arial" w:hAnsi="Arial" w:cs="Arial"/>
            <w:sz w:val="20"/>
            <w:szCs w:val="20"/>
          </w:rPr>
          <w:t>https://www.allsubjectjournal.com/archives/2019/vol6/issue4/6-4-10-100.pdf</w:t>
        </w:r>
      </w:hyperlink>
      <w:r>
        <w:rPr>
          <w:rFonts w:ascii="Arial" w:hAnsi="Arial" w:cs="Arial"/>
          <w:sz w:val="20"/>
          <w:szCs w:val="20"/>
        </w:rPr>
        <w:t xml:space="preserve"> </w:t>
      </w:r>
      <w:r w:rsidR="009F67D5" w:rsidRPr="00C448AF">
        <w:rPr>
          <w:rFonts w:ascii="Arial" w:hAnsi="Arial" w:cs="Arial"/>
          <w:sz w:val="20"/>
          <w:szCs w:val="20"/>
        </w:rPr>
        <w:t>.</w:t>
      </w:r>
    </w:p>
    <w:p w14:paraId="412E10D2"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r w:rsidRPr="00C448AF">
        <w:rPr>
          <w:rFonts w:ascii="Arial" w:hAnsi="Arial" w:cs="Arial"/>
          <w:sz w:val="20"/>
          <w:szCs w:val="20"/>
        </w:rPr>
        <w:t>Reddy, O. S. K. (2017). </w:t>
      </w:r>
      <w:r w:rsidRPr="00C448AF">
        <w:rPr>
          <w:rFonts w:ascii="Arial" w:hAnsi="Arial" w:cs="Arial"/>
          <w:i/>
          <w:iCs/>
          <w:sz w:val="20"/>
          <w:szCs w:val="20"/>
        </w:rPr>
        <w:t>Smart Millet and Human Health</w:t>
      </w:r>
      <w:r w:rsidRPr="00C448AF">
        <w:rPr>
          <w:rFonts w:ascii="Arial" w:hAnsi="Arial" w:cs="Arial"/>
          <w:sz w:val="20"/>
          <w:szCs w:val="20"/>
        </w:rPr>
        <w:t>. Green Universe Environmental Services Society.</w:t>
      </w:r>
    </w:p>
    <w:p w14:paraId="1F482F9E" w14:textId="25C79DF6" w:rsidR="009F67D5" w:rsidRPr="00C448AF" w:rsidRDefault="00831CB5" w:rsidP="008D3622">
      <w:pPr>
        <w:pStyle w:val="ListParagraph"/>
        <w:numPr>
          <w:ilvl w:val="0"/>
          <w:numId w:val="6"/>
        </w:numPr>
        <w:spacing w:after="0" w:line="480" w:lineRule="auto"/>
        <w:ind w:left="567" w:hanging="567"/>
        <w:jc w:val="both"/>
        <w:rPr>
          <w:rFonts w:ascii="Arial" w:hAnsi="Arial" w:cs="Arial"/>
          <w:sz w:val="20"/>
          <w:szCs w:val="20"/>
        </w:rPr>
      </w:pPr>
      <w:r w:rsidRPr="00831CB5">
        <w:rPr>
          <w:rFonts w:ascii="Arial" w:hAnsi="Arial" w:cs="Arial"/>
          <w:sz w:val="20"/>
          <w:szCs w:val="20"/>
        </w:rPr>
        <w:t xml:space="preserve">Renganathan, V. G., </w:t>
      </w:r>
      <w:proofErr w:type="spellStart"/>
      <w:r w:rsidRPr="00831CB5">
        <w:rPr>
          <w:rFonts w:ascii="Arial" w:hAnsi="Arial" w:cs="Arial"/>
          <w:sz w:val="20"/>
          <w:szCs w:val="20"/>
        </w:rPr>
        <w:t>Vanniarajan</w:t>
      </w:r>
      <w:proofErr w:type="spellEnd"/>
      <w:r w:rsidRPr="00831CB5">
        <w:rPr>
          <w:rFonts w:ascii="Arial" w:hAnsi="Arial" w:cs="Arial"/>
          <w:sz w:val="20"/>
          <w:szCs w:val="20"/>
        </w:rPr>
        <w:t xml:space="preserve">, C., Karthikeyan, A., &amp; Ramalingam, J. (2020). Barnyard millet for food and nutritional security: Current status and future research direction. Frontiers in Genetics. </w:t>
      </w:r>
      <w:hyperlink r:id="rId39" w:history="1">
        <w:r w:rsidRPr="006353C7">
          <w:rPr>
            <w:rStyle w:val="Hyperlink"/>
            <w:rFonts w:ascii="Arial" w:hAnsi="Arial" w:cs="Arial"/>
            <w:sz w:val="20"/>
            <w:szCs w:val="20"/>
          </w:rPr>
          <w:t>https://doi.org/10.3389/fgene.2020.00500</w:t>
        </w:r>
      </w:hyperlink>
      <w:r>
        <w:rPr>
          <w:rFonts w:ascii="Arial" w:hAnsi="Arial" w:cs="Arial"/>
          <w:sz w:val="20"/>
          <w:szCs w:val="20"/>
        </w:rPr>
        <w:t xml:space="preserve"> </w:t>
      </w:r>
    </w:p>
    <w:p w14:paraId="2F578662" w14:textId="77777777" w:rsidR="009F67D5" w:rsidRPr="00C448AF" w:rsidRDefault="009F67D5" w:rsidP="008D3622">
      <w:pPr>
        <w:pStyle w:val="ListParagraph"/>
        <w:numPr>
          <w:ilvl w:val="0"/>
          <w:numId w:val="6"/>
        </w:numPr>
        <w:spacing w:after="0" w:line="480" w:lineRule="auto"/>
        <w:ind w:left="567" w:hanging="567"/>
        <w:jc w:val="both"/>
        <w:rPr>
          <w:rFonts w:ascii="Arial" w:hAnsi="Arial" w:cs="Arial"/>
          <w:sz w:val="20"/>
          <w:szCs w:val="20"/>
        </w:rPr>
      </w:pPr>
      <w:r w:rsidRPr="00C448AF">
        <w:rPr>
          <w:rFonts w:ascii="Arial" w:hAnsi="Arial" w:cs="Arial"/>
          <w:sz w:val="20"/>
          <w:szCs w:val="20"/>
        </w:rPr>
        <w:t xml:space="preserve">Revathi, D., Hemalatha, G., Kanchana, S., Vanniarajan, C. &amp; </w:t>
      </w:r>
      <w:proofErr w:type="spellStart"/>
      <w:r w:rsidRPr="00C448AF">
        <w:rPr>
          <w:rFonts w:ascii="Arial" w:hAnsi="Arial" w:cs="Arial"/>
          <w:sz w:val="20"/>
          <w:szCs w:val="20"/>
        </w:rPr>
        <w:t>Thiyageshwari</w:t>
      </w:r>
      <w:proofErr w:type="spellEnd"/>
      <w:r w:rsidRPr="00C448AF">
        <w:rPr>
          <w:rFonts w:ascii="Arial" w:hAnsi="Arial" w:cs="Arial"/>
          <w:sz w:val="20"/>
          <w:szCs w:val="20"/>
        </w:rPr>
        <w:t>, S. (2016) Physico-chemical, functional, and fatty acid composition of selected minor millets, 5, 9806–9812.</w:t>
      </w:r>
    </w:p>
    <w:p w14:paraId="4BCB2A1A" w14:textId="3FAD8C50" w:rsidR="009F67D5" w:rsidRPr="00C448AF" w:rsidRDefault="00702280" w:rsidP="008D3622">
      <w:pPr>
        <w:pStyle w:val="ListParagraph"/>
        <w:numPr>
          <w:ilvl w:val="0"/>
          <w:numId w:val="6"/>
        </w:numPr>
        <w:spacing w:after="0" w:line="480" w:lineRule="auto"/>
        <w:ind w:left="567" w:hanging="567"/>
        <w:jc w:val="both"/>
        <w:rPr>
          <w:rFonts w:ascii="Arial" w:hAnsi="Arial" w:cs="Arial"/>
          <w:sz w:val="20"/>
          <w:szCs w:val="20"/>
        </w:rPr>
      </w:pPr>
      <w:r w:rsidRPr="00702280">
        <w:rPr>
          <w:rFonts w:ascii="Arial" w:hAnsi="Arial" w:cs="Arial"/>
          <w:sz w:val="20"/>
          <w:szCs w:val="20"/>
        </w:rPr>
        <w:t xml:space="preserve">Saleh, A. S. M., Zhang, Q., Chen, J., &amp; Shen, Q. (2013). Millet Grains: Nutritional Quality, Processing, and Potential Health Benefits. Comprehensive Reviews in Food Science and Food Safety, 12(3), 281–295. </w:t>
      </w:r>
      <w:hyperlink r:id="rId40" w:history="1">
        <w:r w:rsidRPr="006353C7">
          <w:rPr>
            <w:rStyle w:val="Hyperlink"/>
            <w:rFonts w:ascii="Arial" w:hAnsi="Arial" w:cs="Arial"/>
            <w:sz w:val="20"/>
            <w:szCs w:val="20"/>
          </w:rPr>
          <w:t>https://doi.org/10.1111/1541-4337.12012</w:t>
        </w:r>
      </w:hyperlink>
      <w:r>
        <w:rPr>
          <w:rFonts w:ascii="Arial" w:hAnsi="Arial" w:cs="Arial"/>
          <w:sz w:val="20"/>
          <w:szCs w:val="20"/>
        </w:rPr>
        <w:t xml:space="preserve"> </w:t>
      </w:r>
    </w:p>
    <w:p w14:paraId="4C1B12BE" w14:textId="114A7C7D" w:rsidR="009F67D5" w:rsidRPr="00C448AF" w:rsidRDefault="00702280" w:rsidP="008D3622">
      <w:pPr>
        <w:pStyle w:val="ListParagraph"/>
        <w:numPr>
          <w:ilvl w:val="0"/>
          <w:numId w:val="6"/>
        </w:numPr>
        <w:spacing w:after="0" w:line="480" w:lineRule="auto"/>
        <w:ind w:left="567" w:hanging="567"/>
        <w:jc w:val="both"/>
        <w:rPr>
          <w:rFonts w:ascii="Arial" w:hAnsi="Arial" w:cs="Arial"/>
          <w:sz w:val="20"/>
          <w:szCs w:val="20"/>
        </w:rPr>
      </w:pPr>
      <w:r w:rsidRPr="00702280">
        <w:rPr>
          <w:rFonts w:ascii="Arial" w:hAnsi="Arial" w:cs="Arial"/>
          <w:sz w:val="20"/>
          <w:szCs w:val="20"/>
        </w:rPr>
        <w:t xml:space="preserve">Sangamithra, A., Swamy, G. J., Sorna, P. R., Nandini, K., Kannan, K., Sasikala, S., &amp; Suganya, P. (2016). Moisture dependent physical properties of maize kernels. International Food Research Journal. </w:t>
      </w:r>
      <w:hyperlink r:id="rId41" w:history="1">
        <w:r w:rsidRPr="006353C7">
          <w:rPr>
            <w:rStyle w:val="Hyperlink"/>
            <w:rFonts w:ascii="Arial" w:hAnsi="Arial" w:cs="Arial"/>
            <w:sz w:val="20"/>
            <w:szCs w:val="20"/>
          </w:rPr>
          <w:t>http://www.ifrj.upm.edu.my/23%20(01)%202016/(17).pdf</w:t>
        </w:r>
      </w:hyperlink>
      <w:r>
        <w:rPr>
          <w:rFonts w:ascii="Arial" w:hAnsi="Arial" w:cs="Arial"/>
          <w:sz w:val="20"/>
          <w:szCs w:val="20"/>
        </w:rPr>
        <w:t xml:space="preserve"> </w:t>
      </w:r>
      <w:r w:rsidR="009F67D5" w:rsidRPr="00C448AF">
        <w:rPr>
          <w:rFonts w:ascii="Arial" w:hAnsi="Arial" w:cs="Arial"/>
          <w:sz w:val="20"/>
          <w:szCs w:val="20"/>
        </w:rPr>
        <w:t>.</w:t>
      </w:r>
    </w:p>
    <w:p w14:paraId="45AAE10F" w14:textId="0D9D4620" w:rsidR="009F67D5" w:rsidRPr="00C448AF" w:rsidRDefault="00973F93" w:rsidP="008D3622">
      <w:pPr>
        <w:pStyle w:val="ListParagraph"/>
        <w:numPr>
          <w:ilvl w:val="0"/>
          <w:numId w:val="6"/>
        </w:numPr>
        <w:spacing w:after="0" w:line="480" w:lineRule="auto"/>
        <w:ind w:left="567" w:hanging="567"/>
        <w:jc w:val="both"/>
        <w:rPr>
          <w:rFonts w:ascii="Arial" w:hAnsi="Arial" w:cs="Arial"/>
          <w:sz w:val="20"/>
          <w:szCs w:val="20"/>
        </w:rPr>
      </w:pPr>
      <w:r w:rsidRPr="00973F93">
        <w:rPr>
          <w:rFonts w:ascii="Arial" w:hAnsi="Arial" w:cs="Arial"/>
          <w:sz w:val="20"/>
          <w:szCs w:val="20"/>
        </w:rPr>
        <w:lastRenderedPageBreak/>
        <w:t xml:space="preserve">Singh, K. P., Mishra, H. N., &amp; Saha, S. (2010). Moisture-dependent properties of barnyard millet grain and kernel. Journal of Food Engineering, 96(4), 598–606. </w:t>
      </w:r>
      <w:hyperlink r:id="rId42" w:history="1">
        <w:r w:rsidRPr="006353C7">
          <w:rPr>
            <w:rStyle w:val="Hyperlink"/>
            <w:rFonts w:ascii="Arial" w:hAnsi="Arial" w:cs="Arial"/>
            <w:sz w:val="20"/>
            <w:szCs w:val="20"/>
          </w:rPr>
          <w:t>https://doi.org/10.1016/j.jfoodeng.2009.09.007</w:t>
        </w:r>
      </w:hyperlink>
      <w:r>
        <w:rPr>
          <w:rFonts w:ascii="Arial" w:hAnsi="Arial" w:cs="Arial"/>
          <w:sz w:val="20"/>
          <w:szCs w:val="20"/>
        </w:rPr>
        <w:t xml:space="preserve"> </w:t>
      </w:r>
    </w:p>
    <w:p w14:paraId="4788D4B7" w14:textId="08247ECA" w:rsidR="009F67D5" w:rsidRPr="00C448AF" w:rsidRDefault="00BE7559" w:rsidP="008D3622">
      <w:pPr>
        <w:pStyle w:val="ListParagraph"/>
        <w:numPr>
          <w:ilvl w:val="0"/>
          <w:numId w:val="6"/>
        </w:numPr>
        <w:spacing w:after="0" w:line="480" w:lineRule="auto"/>
        <w:ind w:left="567" w:hanging="567"/>
        <w:jc w:val="both"/>
        <w:rPr>
          <w:rFonts w:ascii="Arial" w:hAnsi="Arial" w:cs="Arial"/>
          <w:sz w:val="20"/>
          <w:szCs w:val="20"/>
        </w:rPr>
      </w:pPr>
      <w:r w:rsidRPr="00BE7559">
        <w:rPr>
          <w:rFonts w:ascii="Arial" w:hAnsi="Arial" w:cs="Arial"/>
          <w:sz w:val="20"/>
          <w:szCs w:val="20"/>
        </w:rPr>
        <w:t xml:space="preserve">Tripathi, T., &amp; Vyas, D. S. (2023). From ancient grains to modern solutions: A history of millets and their significance in agriculture and food security. International Journal of Home Science, 9(2), 72–78. </w:t>
      </w:r>
      <w:hyperlink r:id="rId43" w:history="1">
        <w:r w:rsidRPr="006353C7">
          <w:rPr>
            <w:rStyle w:val="Hyperlink"/>
            <w:rFonts w:ascii="Arial" w:hAnsi="Arial" w:cs="Arial"/>
            <w:sz w:val="20"/>
            <w:szCs w:val="20"/>
          </w:rPr>
          <w:t>https://doi.org/10.22271/23957476.2023.v9.i2b.1466</w:t>
        </w:r>
      </w:hyperlink>
      <w:r>
        <w:rPr>
          <w:rFonts w:ascii="Arial" w:hAnsi="Arial" w:cs="Arial"/>
          <w:sz w:val="20"/>
          <w:szCs w:val="20"/>
        </w:rPr>
        <w:t xml:space="preserve"> </w:t>
      </w:r>
    </w:p>
    <w:p w14:paraId="67554945" w14:textId="2AFFF85C" w:rsidR="009F67D5" w:rsidRPr="00C448AF" w:rsidRDefault="000138DC" w:rsidP="008D3622">
      <w:pPr>
        <w:pStyle w:val="ListParagraph"/>
        <w:numPr>
          <w:ilvl w:val="0"/>
          <w:numId w:val="6"/>
        </w:numPr>
        <w:spacing w:after="0" w:line="480" w:lineRule="auto"/>
        <w:ind w:left="567" w:hanging="567"/>
        <w:jc w:val="both"/>
        <w:rPr>
          <w:rFonts w:ascii="Arial" w:hAnsi="Arial" w:cs="Arial"/>
          <w:sz w:val="20"/>
          <w:szCs w:val="20"/>
        </w:rPr>
      </w:pPr>
      <w:proofErr w:type="spellStart"/>
      <w:r w:rsidRPr="000138DC">
        <w:rPr>
          <w:rFonts w:ascii="Arial" w:hAnsi="Arial" w:cs="Arial"/>
          <w:sz w:val="20"/>
          <w:szCs w:val="20"/>
        </w:rPr>
        <w:t>Varnamkhasti</w:t>
      </w:r>
      <w:proofErr w:type="spellEnd"/>
      <w:r w:rsidRPr="000138DC">
        <w:rPr>
          <w:rFonts w:ascii="Arial" w:hAnsi="Arial" w:cs="Arial"/>
          <w:sz w:val="20"/>
          <w:szCs w:val="20"/>
        </w:rPr>
        <w:t xml:space="preserve">, M. G., </w:t>
      </w:r>
      <w:proofErr w:type="spellStart"/>
      <w:r w:rsidRPr="000138DC">
        <w:rPr>
          <w:rFonts w:ascii="Arial" w:hAnsi="Arial" w:cs="Arial"/>
          <w:sz w:val="20"/>
          <w:szCs w:val="20"/>
        </w:rPr>
        <w:t>Mobli</w:t>
      </w:r>
      <w:proofErr w:type="spellEnd"/>
      <w:r w:rsidRPr="000138DC">
        <w:rPr>
          <w:rFonts w:ascii="Arial" w:hAnsi="Arial" w:cs="Arial"/>
          <w:sz w:val="20"/>
          <w:szCs w:val="20"/>
        </w:rPr>
        <w:t xml:space="preserve">, H., Jafari, A., </w:t>
      </w:r>
      <w:proofErr w:type="spellStart"/>
      <w:r w:rsidRPr="000138DC">
        <w:rPr>
          <w:rFonts w:ascii="Arial" w:hAnsi="Arial" w:cs="Arial"/>
          <w:sz w:val="20"/>
          <w:szCs w:val="20"/>
        </w:rPr>
        <w:t>Keyhani</w:t>
      </w:r>
      <w:proofErr w:type="spellEnd"/>
      <w:r w:rsidRPr="000138DC">
        <w:rPr>
          <w:rFonts w:ascii="Arial" w:hAnsi="Arial" w:cs="Arial"/>
          <w:sz w:val="20"/>
          <w:szCs w:val="20"/>
        </w:rPr>
        <w:t xml:space="preserve">, A. R., </w:t>
      </w:r>
      <w:proofErr w:type="spellStart"/>
      <w:r w:rsidRPr="000138DC">
        <w:rPr>
          <w:rFonts w:ascii="Arial" w:hAnsi="Arial" w:cs="Arial"/>
          <w:sz w:val="20"/>
          <w:szCs w:val="20"/>
        </w:rPr>
        <w:t>Soltanabadi</w:t>
      </w:r>
      <w:proofErr w:type="spellEnd"/>
      <w:r w:rsidRPr="000138DC">
        <w:rPr>
          <w:rFonts w:ascii="Arial" w:hAnsi="Arial" w:cs="Arial"/>
          <w:sz w:val="20"/>
          <w:szCs w:val="20"/>
        </w:rPr>
        <w:t xml:space="preserve">, M. H., Rafiee, S., &amp; </w:t>
      </w:r>
      <w:proofErr w:type="spellStart"/>
      <w:r w:rsidRPr="000138DC">
        <w:rPr>
          <w:rFonts w:ascii="Arial" w:hAnsi="Arial" w:cs="Arial"/>
          <w:sz w:val="20"/>
          <w:szCs w:val="20"/>
        </w:rPr>
        <w:t>Kheiralipour</w:t>
      </w:r>
      <w:proofErr w:type="spellEnd"/>
      <w:r w:rsidRPr="000138DC">
        <w:rPr>
          <w:rFonts w:ascii="Arial" w:hAnsi="Arial" w:cs="Arial"/>
          <w:sz w:val="20"/>
          <w:szCs w:val="20"/>
        </w:rPr>
        <w:t xml:space="preserve">, K. (2008). Some physical properties of rough rice (Oryza Sativa L.) grain. Journal of Cereal Science, 47, 496–501. </w:t>
      </w:r>
      <w:hyperlink r:id="rId44" w:history="1">
        <w:r w:rsidRPr="006353C7">
          <w:rPr>
            <w:rStyle w:val="Hyperlink"/>
            <w:rFonts w:ascii="Arial" w:hAnsi="Arial" w:cs="Arial"/>
            <w:sz w:val="20"/>
            <w:szCs w:val="20"/>
          </w:rPr>
          <w:t>https://doi.org/10.1016/j.jcs.2007.05.014</w:t>
        </w:r>
      </w:hyperlink>
      <w:r>
        <w:rPr>
          <w:rFonts w:ascii="Arial" w:hAnsi="Arial" w:cs="Arial"/>
          <w:sz w:val="20"/>
          <w:szCs w:val="20"/>
        </w:rPr>
        <w:t xml:space="preserve"> </w:t>
      </w:r>
      <w:r w:rsidR="009F67D5" w:rsidRPr="00C448AF">
        <w:rPr>
          <w:rFonts w:ascii="Arial" w:hAnsi="Arial" w:cs="Arial"/>
          <w:sz w:val="20"/>
          <w:szCs w:val="20"/>
        </w:rPr>
        <w:t>.</w:t>
      </w:r>
    </w:p>
    <w:p w14:paraId="4DE8BF45" w14:textId="71E8B8DF" w:rsidR="009F67D5" w:rsidRPr="00C448AF" w:rsidRDefault="00EA57BC" w:rsidP="008D3622">
      <w:pPr>
        <w:pStyle w:val="ListParagraph"/>
        <w:numPr>
          <w:ilvl w:val="0"/>
          <w:numId w:val="6"/>
        </w:numPr>
        <w:spacing w:after="0" w:line="480" w:lineRule="auto"/>
        <w:ind w:left="567" w:hanging="567"/>
        <w:jc w:val="both"/>
        <w:rPr>
          <w:rFonts w:ascii="Arial" w:hAnsi="Arial" w:cs="Arial"/>
          <w:sz w:val="20"/>
          <w:szCs w:val="20"/>
        </w:rPr>
      </w:pPr>
      <w:r w:rsidRPr="00EA57BC">
        <w:rPr>
          <w:rFonts w:ascii="Arial" w:hAnsi="Arial" w:cs="Arial"/>
          <w:sz w:val="20"/>
          <w:szCs w:val="20"/>
        </w:rPr>
        <w:t xml:space="preserve">Veena, B. (2003). Nutritional, functional and utilization studies on barnyard millet (Master's thesis, University of Agricultural Sciences, Dharwad). </w:t>
      </w:r>
      <w:hyperlink r:id="rId45" w:history="1">
        <w:r w:rsidRPr="006353C7">
          <w:rPr>
            <w:rStyle w:val="Hyperlink"/>
            <w:rFonts w:ascii="Arial" w:hAnsi="Arial" w:cs="Arial"/>
            <w:sz w:val="20"/>
            <w:szCs w:val="20"/>
          </w:rPr>
          <w:t>http://krishikosh.egranth.ac.in/handle/1/5810126668</w:t>
        </w:r>
      </w:hyperlink>
      <w:r>
        <w:rPr>
          <w:rFonts w:ascii="Arial" w:hAnsi="Arial" w:cs="Arial"/>
          <w:sz w:val="20"/>
          <w:szCs w:val="20"/>
        </w:rPr>
        <w:t xml:space="preserve"> </w:t>
      </w:r>
      <w:r w:rsidR="009F67D5" w:rsidRPr="00C448AF">
        <w:rPr>
          <w:rFonts w:ascii="Arial" w:hAnsi="Arial" w:cs="Arial"/>
          <w:sz w:val="20"/>
          <w:szCs w:val="20"/>
        </w:rPr>
        <w:t>.</w:t>
      </w:r>
    </w:p>
    <w:p w14:paraId="74FEA6C9" w14:textId="01877AEE" w:rsidR="009F67D5" w:rsidRPr="008D3622" w:rsidRDefault="0050472F" w:rsidP="008D3622">
      <w:pPr>
        <w:pStyle w:val="ListParagraph"/>
        <w:numPr>
          <w:ilvl w:val="0"/>
          <w:numId w:val="6"/>
        </w:numPr>
        <w:spacing w:after="0" w:line="480" w:lineRule="auto"/>
        <w:ind w:left="567" w:hanging="567"/>
        <w:jc w:val="both"/>
        <w:rPr>
          <w:rFonts w:ascii="Arial" w:hAnsi="Arial" w:cs="Arial"/>
          <w:szCs w:val="22"/>
        </w:rPr>
      </w:pPr>
      <w:r w:rsidRPr="0050472F">
        <w:rPr>
          <w:rFonts w:ascii="Arial" w:hAnsi="Arial" w:cs="Arial"/>
          <w:sz w:val="20"/>
          <w:szCs w:val="20"/>
        </w:rPr>
        <w:t xml:space="preserve">Yang, X., Wan, Z., Perry, L., Lu, H., Wang, Q., Zhao, C., Li, J., Xie, F., Yu, J., Cui, T., Wang, T., Li, M., &amp; Ge, Q. (2012). Early millet </w:t>
      </w:r>
      <w:proofErr w:type="gramStart"/>
      <w:r w:rsidRPr="0050472F">
        <w:rPr>
          <w:rFonts w:ascii="Arial" w:hAnsi="Arial" w:cs="Arial"/>
          <w:sz w:val="20"/>
          <w:szCs w:val="20"/>
        </w:rPr>
        <w:t>use</w:t>
      </w:r>
      <w:proofErr w:type="gramEnd"/>
      <w:r w:rsidRPr="0050472F">
        <w:rPr>
          <w:rFonts w:ascii="Arial" w:hAnsi="Arial" w:cs="Arial"/>
          <w:sz w:val="20"/>
          <w:szCs w:val="20"/>
        </w:rPr>
        <w:t xml:space="preserve"> in northern China. Proceedings of the National Academy of Sciences of the United States of America, 109(10), 3726–3730. </w:t>
      </w:r>
      <w:hyperlink r:id="rId46" w:history="1">
        <w:r w:rsidRPr="006353C7">
          <w:rPr>
            <w:rStyle w:val="Hyperlink"/>
            <w:rFonts w:ascii="Arial" w:hAnsi="Arial" w:cs="Arial"/>
            <w:sz w:val="20"/>
            <w:szCs w:val="20"/>
          </w:rPr>
          <w:t>https://doi.org/10.1073/pnas.1115430109</w:t>
        </w:r>
      </w:hyperlink>
      <w:r>
        <w:rPr>
          <w:rFonts w:ascii="Arial" w:hAnsi="Arial" w:cs="Arial"/>
          <w:sz w:val="20"/>
          <w:szCs w:val="20"/>
        </w:rPr>
        <w:t xml:space="preserve"> </w:t>
      </w:r>
    </w:p>
    <w:sectPr w:rsidR="009F67D5" w:rsidRPr="008D3622" w:rsidSect="00164816">
      <w:headerReference w:type="even" r:id="rId47"/>
      <w:headerReference w:type="default" r:id="rId48"/>
      <w:footerReference w:type="even" r:id="rId49"/>
      <w:footerReference w:type="default" r:id="rId50"/>
      <w:headerReference w:type="first" r:id="rId51"/>
      <w:footerReference w:type="first" r:id="rId52"/>
      <w:type w:val="continuous"/>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arthika Periyasamy" w:date="2025-12-09T22:41:00Z" w:initials="KP">
    <w:p w14:paraId="653836F2" w14:textId="78E7C806" w:rsidR="00B278F5" w:rsidRDefault="00B278F5">
      <w:pPr>
        <w:pStyle w:val="CommentText"/>
      </w:pPr>
      <w:r>
        <w:rPr>
          <w:rStyle w:val="CommentReference"/>
        </w:rPr>
        <w:annotationRef/>
      </w:r>
      <w:r>
        <w:t>Make it italic throughout the manuscript</w:t>
      </w:r>
    </w:p>
  </w:comment>
  <w:comment w:id="3" w:author="Karthika Periyasamy" w:date="2025-12-09T22:42:00Z" w:initials="KP">
    <w:p w14:paraId="7A6640D2" w14:textId="77777777" w:rsidR="00B278F5" w:rsidRDefault="00B278F5">
      <w:pPr>
        <w:pStyle w:val="CommentText"/>
      </w:pPr>
      <w:r>
        <w:rPr>
          <w:rStyle w:val="CommentReference"/>
        </w:rPr>
        <w:annotationRef/>
      </w:r>
      <w:r>
        <w:t>It would be better if you include research gap before the objective</w:t>
      </w:r>
    </w:p>
    <w:p w14:paraId="5B27CEDB" w14:textId="1BA0CE23" w:rsidR="00B278F5" w:rsidRDefault="00B278F5">
      <w:pPr>
        <w:pStyle w:val="CommentText"/>
      </w:pPr>
    </w:p>
  </w:comment>
  <w:comment w:id="4" w:author="Karthika Periyasamy" w:date="2025-12-09T22:43:00Z" w:initials="KP">
    <w:p w14:paraId="27E5C565" w14:textId="4C996EFF" w:rsidR="00B278F5" w:rsidRDefault="00B278F5">
      <w:pPr>
        <w:pStyle w:val="CommentText"/>
      </w:pPr>
      <w:r>
        <w:rPr>
          <w:rStyle w:val="CommentReference"/>
        </w:rPr>
        <w:annotationRef/>
      </w:r>
      <w:r>
        <w:t>Check this</w:t>
      </w:r>
    </w:p>
  </w:comment>
  <w:comment w:id="5" w:author="Karthika Periyasamy" w:date="2025-12-09T22:43:00Z" w:initials="KP">
    <w:p w14:paraId="412A2F84" w14:textId="01EA565C" w:rsidR="00B278F5" w:rsidRDefault="00B278F5">
      <w:pPr>
        <w:pStyle w:val="CommentText"/>
      </w:pPr>
      <w:r>
        <w:rPr>
          <w:rStyle w:val="CommentReference"/>
        </w:rPr>
        <w:annotationRef/>
      </w:r>
      <w:r>
        <w:t>Update the reference throughout the manuscript</w:t>
      </w:r>
    </w:p>
  </w:comment>
  <w:comment w:id="6" w:author="Karthika Periyasamy" w:date="2025-12-09T22:45:00Z" w:initials="KP">
    <w:p w14:paraId="0B819DC4" w14:textId="580FD84A" w:rsidR="00B278F5" w:rsidRDefault="00B278F5">
      <w:pPr>
        <w:pStyle w:val="CommentText"/>
      </w:pPr>
      <w:r>
        <w:rPr>
          <w:rStyle w:val="CommentReference"/>
        </w:rPr>
        <w:annotationRef/>
      </w:r>
      <w:r>
        <w:t xml:space="preserve">It would be better if you compare your more results with recent reports.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3836F2" w15:done="0"/>
  <w15:commentEx w15:paraId="5B27CEDB" w15:done="0"/>
  <w15:commentEx w15:paraId="27E5C565" w15:done="0"/>
  <w15:commentEx w15:paraId="412A2F84" w15:done="0"/>
  <w15:commentEx w15:paraId="0B819D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611F6B" w16cex:dateUtc="2025-12-09T17:11:00Z"/>
  <w16cex:commentExtensible w16cex:durableId="5560DF23" w16cex:dateUtc="2025-12-09T17:12:00Z"/>
  <w16cex:commentExtensible w16cex:durableId="307F6A31" w16cex:dateUtc="2025-12-09T17:13:00Z"/>
  <w16cex:commentExtensible w16cex:durableId="7F66EEF8" w16cex:dateUtc="2025-12-09T17:13:00Z"/>
  <w16cex:commentExtensible w16cex:durableId="366CE4D0" w16cex:dateUtc="2025-12-09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3836F2" w16cid:durableId="7D611F6B"/>
  <w16cid:commentId w16cid:paraId="5B27CEDB" w16cid:durableId="5560DF23"/>
  <w16cid:commentId w16cid:paraId="27E5C565" w16cid:durableId="307F6A31"/>
  <w16cid:commentId w16cid:paraId="412A2F84" w16cid:durableId="7F66EEF8"/>
  <w16cid:commentId w16cid:paraId="0B819DC4" w16cid:durableId="366CE4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2B1AA" w14:textId="77777777" w:rsidR="00840E1B" w:rsidRDefault="00840E1B" w:rsidP="00277B0C">
      <w:pPr>
        <w:spacing w:after="0" w:line="240" w:lineRule="auto"/>
      </w:pPr>
      <w:r>
        <w:separator/>
      </w:r>
    </w:p>
  </w:endnote>
  <w:endnote w:type="continuationSeparator" w:id="0">
    <w:p w14:paraId="2ED3DD21" w14:textId="77777777" w:rsidR="00840E1B" w:rsidRDefault="00840E1B" w:rsidP="00277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FC24" w14:textId="77777777" w:rsidR="00277B0C" w:rsidRDefault="00277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F6A02" w14:textId="77777777" w:rsidR="00277B0C" w:rsidRDefault="00277B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1C39" w14:textId="77777777" w:rsidR="00277B0C" w:rsidRDefault="00277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ECBFB" w14:textId="77777777" w:rsidR="00840E1B" w:rsidRDefault="00840E1B" w:rsidP="00277B0C">
      <w:pPr>
        <w:spacing w:after="0" w:line="240" w:lineRule="auto"/>
      </w:pPr>
      <w:r>
        <w:separator/>
      </w:r>
    </w:p>
  </w:footnote>
  <w:footnote w:type="continuationSeparator" w:id="0">
    <w:p w14:paraId="55EF9C60" w14:textId="77777777" w:rsidR="00840E1B" w:rsidRDefault="00840E1B" w:rsidP="00277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2646" w14:textId="30AC67D8" w:rsidR="00277B0C" w:rsidRDefault="00000000">
    <w:pPr>
      <w:pStyle w:val="Header"/>
    </w:pPr>
    <w:r>
      <w:rPr>
        <w:noProof/>
      </w:rPr>
      <w:pict w14:anchorId="53564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09242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596D" w14:textId="2C81CBE2" w:rsidR="00277B0C" w:rsidRDefault="00000000">
    <w:pPr>
      <w:pStyle w:val="Header"/>
    </w:pPr>
    <w:r>
      <w:rPr>
        <w:noProof/>
      </w:rPr>
      <w:pict w14:anchorId="37435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09242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0B8E" w14:textId="22037CE2" w:rsidR="00277B0C" w:rsidRDefault="00000000">
    <w:pPr>
      <w:pStyle w:val="Header"/>
    </w:pPr>
    <w:r>
      <w:rPr>
        <w:noProof/>
      </w:rPr>
      <w:pict w14:anchorId="08F7B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09242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D01FE"/>
    <w:multiLevelType w:val="hybridMultilevel"/>
    <w:tmpl w:val="2BDE3F84"/>
    <w:lvl w:ilvl="0" w:tplc="B61280A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DF61F7F"/>
    <w:multiLevelType w:val="hybridMultilevel"/>
    <w:tmpl w:val="1842EBE2"/>
    <w:lvl w:ilvl="0" w:tplc="AC0E345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DF912CD"/>
    <w:multiLevelType w:val="hybridMultilevel"/>
    <w:tmpl w:val="236A16C0"/>
    <w:lvl w:ilvl="0" w:tplc="0C64DDA0">
      <w:start w:val="1"/>
      <w:numFmt w:val="decimal"/>
      <w:lvlText w:val="%1."/>
      <w:lvlJc w:val="left"/>
      <w:pPr>
        <w:ind w:left="720" w:hanging="360"/>
      </w:pPr>
      <w:rPr>
        <w:b/>
        <w:bCs/>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31436AD"/>
    <w:multiLevelType w:val="hybridMultilevel"/>
    <w:tmpl w:val="C05E6CC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C91586E"/>
    <w:multiLevelType w:val="hybridMultilevel"/>
    <w:tmpl w:val="9158435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75E5206A"/>
    <w:multiLevelType w:val="multilevel"/>
    <w:tmpl w:val="55527B28"/>
    <w:lvl w:ilvl="0">
      <w:start w:val="1"/>
      <w:numFmt w:val="decimal"/>
      <w:lvlText w:val="%1."/>
      <w:lvlJc w:val="left"/>
      <w:pPr>
        <w:ind w:left="720" w:hanging="360"/>
      </w:pPr>
    </w:lvl>
    <w:lvl w:ilvl="1">
      <w:start w:val="1"/>
      <w:numFmt w:val="decimal"/>
      <w:isLgl/>
      <w:lvlText w:val="%1.%2"/>
      <w:lvlJc w:val="left"/>
      <w:pPr>
        <w:ind w:left="720" w:hanging="360"/>
      </w:pPr>
      <w:rPr>
        <w:rFonts w:hint="default"/>
        <w:b/>
        <w:bCs/>
        <w:i/>
        <w:iCs/>
      </w:rPr>
    </w:lvl>
    <w:lvl w:ilvl="2">
      <w:start w:val="1"/>
      <w:numFmt w:val="decimal"/>
      <w:isLgl/>
      <w:lvlText w:val="%1.%2.%3"/>
      <w:lvlJc w:val="left"/>
      <w:pPr>
        <w:ind w:left="1080" w:hanging="720"/>
      </w:pPr>
      <w:rPr>
        <w:rFonts w:hint="default"/>
        <w:b/>
        <w:bCs/>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94174247">
    <w:abstractNumId w:val="5"/>
  </w:num>
  <w:num w:numId="2" w16cid:durableId="1926499675">
    <w:abstractNumId w:val="3"/>
  </w:num>
  <w:num w:numId="3" w16cid:durableId="130951169">
    <w:abstractNumId w:val="1"/>
  </w:num>
  <w:num w:numId="4" w16cid:durableId="1258714746">
    <w:abstractNumId w:val="2"/>
  </w:num>
  <w:num w:numId="5" w16cid:durableId="484932549">
    <w:abstractNumId w:val="0"/>
  </w:num>
  <w:num w:numId="6" w16cid:durableId="78272386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thika Periyasamy">
    <w15:presenceInfo w15:providerId="Windows Live" w15:userId="0752010cb8eb00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78"/>
    <w:rsid w:val="00004346"/>
    <w:rsid w:val="000138DC"/>
    <w:rsid w:val="000411E3"/>
    <w:rsid w:val="00057903"/>
    <w:rsid w:val="000A6DE1"/>
    <w:rsid w:val="001105DB"/>
    <w:rsid w:val="00145EDF"/>
    <w:rsid w:val="00163B6F"/>
    <w:rsid w:val="00164816"/>
    <w:rsid w:val="00164DB4"/>
    <w:rsid w:val="001849C6"/>
    <w:rsid w:val="001B466C"/>
    <w:rsid w:val="001E408C"/>
    <w:rsid w:val="00206E2D"/>
    <w:rsid w:val="00237904"/>
    <w:rsid w:val="00240CC6"/>
    <w:rsid w:val="00277B0C"/>
    <w:rsid w:val="00295274"/>
    <w:rsid w:val="002C38C2"/>
    <w:rsid w:val="00317994"/>
    <w:rsid w:val="003D71AF"/>
    <w:rsid w:val="003E542B"/>
    <w:rsid w:val="003F3218"/>
    <w:rsid w:val="00422B82"/>
    <w:rsid w:val="004264A3"/>
    <w:rsid w:val="00455D01"/>
    <w:rsid w:val="0047514C"/>
    <w:rsid w:val="004A5693"/>
    <w:rsid w:val="004D03A4"/>
    <w:rsid w:val="004D41EE"/>
    <w:rsid w:val="0050472F"/>
    <w:rsid w:val="00526B0F"/>
    <w:rsid w:val="005F71EB"/>
    <w:rsid w:val="006214F7"/>
    <w:rsid w:val="0062164B"/>
    <w:rsid w:val="00657E19"/>
    <w:rsid w:val="00657EBD"/>
    <w:rsid w:val="006A6578"/>
    <w:rsid w:val="00702280"/>
    <w:rsid w:val="00703DCA"/>
    <w:rsid w:val="00720878"/>
    <w:rsid w:val="00726AF0"/>
    <w:rsid w:val="00743591"/>
    <w:rsid w:val="00763761"/>
    <w:rsid w:val="00784C1A"/>
    <w:rsid w:val="007A7FF6"/>
    <w:rsid w:val="007F5E42"/>
    <w:rsid w:val="00827597"/>
    <w:rsid w:val="00831CB5"/>
    <w:rsid w:val="00840E1B"/>
    <w:rsid w:val="00874615"/>
    <w:rsid w:val="008809D3"/>
    <w:rsid w:val="008832AD"/>
    <w:rsid w:val="008A2AC3"/>
    <w:rsid w:val="008D3622"/>
    <w:rsid w:val="008F4F3E"/>
    <w:rsid w:val="00942E3F"/>
    <w:rsid w:val="00973F93"/>
    <w:rsid w:val="009A20AC"/>
    <w:rsid w:val="009F67D5"/>
    <w:rsid w:val="00A34E97"/>
    <w:rsid w:val="00A95D01"/>
    <w:rsid w:val="00AE4C4C"/>
    <w:rsid w:val="00B05309"/>
    <w:rsid w:val="00B278F5"/>
    <w:rsid w:val="00B31BFD"/>
    <w:rsid w:val="00B55DA4"/>
    <w:rsid w:val="00BD7397"/>
    <w:rsid w:val="00BE7559"/>
    <w:rsid w:val="00BF144C"/>
    <w:rsid w:val="00C35012"/>
    <w:rsid w:val="00C448AF"/>
    <w:rsid w:val="00C50D19"/>
    <w:rsid w:val="00CD69DF"/>
    <w:rsid w:val="00D15C82"/>
    <w:rsid w:val="00D973BF"/>
    <w:rsid w:val="00DA7DF1"/>
    <w:rsid w:val="00DB1C20"/>
    <w:rsid w:val="00DB59E0"/>
    <w:rsid w:val="00DF48A6"/>
    <w:rsid w:val="00DF6168"/>
    <w:rsid w:val="00E038BF"/>
    <w:rsid w:val="00E4428C"/>
    <w:rsid w:val="00E70C91"/>
    <w:rsid w:val="00EA2AFF"/>
    <w:rsid w:val="00EA57BC"/>
    <w:rsid w:val="00EB1AA0"/>
    <w:rsid w:val="00F30B9C"/>
    <w:rsid w:val="00F327A5"/>
    <w:rsid w:val="00F57314"/>
    <w:rsid w:val="00F83418"/>
    <w:rsid w:val="00FB75BB"/>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1DD98"/>
  <w15:chartTrackingRefBased/>
  <w15:docId w15:val="{A282A19D-DC98-4AE3-B7ED-0ECEBCAE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EDF"/>
  </w:style>
  <w:style w:type="paragraph" w:styleId="Heading1">
    <w:name w:val="heading 1"/>
    <w:basedOn w:val="Normal"/>
    <w:next w:val="Normal"/>
    <w:link w:val="Heading1Char"/>
    <w:uiPriority w:val="9"/>
    <w:qFormat/>
    <w:rsid w:val="006A6578"/>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A6578"/>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A6578"/>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A65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65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65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5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5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5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578"/>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A6578"/>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A6578"/>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A65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65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65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5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5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578"/>
    <w:rPr>
      <w:rFonts w:eastAsiaTheme="majorEastAsia" w:cstheme="majorBidi"/>
      <w:color w:val="272727" w:themeColor="text1" w:themeTint="D8"/>
    </w:rPr>
  </w:style>
  <w:style w:type="paragraph" w:styleId="Title">
    <w:name w:val="Title"/>
    <w:basedOn w:val="Normal"/>
    <w:next w:val="Normal"/>
    <w:link w:val="TitleChar"/>
    <w:uiPriority w:val="10"/>
    <w:qFormat/>
    <w:rsid w:val="006A657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A657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A657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A657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A6578"/>
    <w:pPr>
      <w:spacing w:before="160"/>
      <w:jc w:val="center"/>
    </w:pPr>
    <w:rPr>
      <w:i/>
      <w:iCs/>
      <w:color w:val="404040" w:themeColor="text1" w:themeTint="BF"/>
    </w:rPr>
  </w:style>
  <w:style w:type="character" w:customStyle="1" w:styleId="QuoteChar">
    <w:name w:val="Quote Char"/>
    <w:basedOn w:val="DefaultParagraphFont"/>
    <w:link w:val="Quote"/>
    <w:uiPriority w:val="29"/>
    <w:rsid w:val="006A6578"/>
    <w:rPr>
      <w:i/>
      <w:iCs/>
      <w:color w:val="404040" w:themeColor="text1" w:themeTint="BF"/>
    </w:rPr>
  </w:style>
  <w:style w:type="paragraph" w:styleId="ListParagraph">
    <w:name w:val="List Paragraph"/>
    <w:basedOn w:val="Normal"/>
    <w:uiPriority w:val="34"/>
    <w:qFormat/>
    <w:rsid w:val="006A6578"/>
    <w:pPr>
      <w:ind w:left="720"/>
      <w:contextualSpacing/>
    </w:pPr>
  </w:style>
  <w:style w:type="character" w:styleId="IntenseEmphasis">
    <w:name w:val="Intense Emphasis"/>
    <w:basedOn w:val="DefaultParagraphFont"/>
    <w:uiPriority w:val="21"/>
    <w:qFormat/>
    <w:rsid w:val="006A6578"/>
    <w:rPr>
      <w:i/>
      <w:iCs/>
      <w:color w:val="2F5496" w:themeColor="accent1" w:themeShade="BF"/>
    </w:rPr>
  </w:style>
  <w:style w:type="paragraph" w:styleId="IntenseQuote">
    <w:name w:val="Intense Quote"/>
    <w:basedOn w:val="Normal"/>
    <w:next w:val="Normal"/>
    <w:link w:val="IntenseQuoteChar"/>
    <w:uiPriority w:val="30"/>
    <w:qFormat/>
    <w:rsid w:val="006A65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6578"/>
    <w:rPr>
      <w:i/>
      <w:iCs/>
      <w:color w:val="2F5496" w:themeColor="accent1" w:themeShade="BF"/>
    </w:rPr>
  </w:style>
  <w:style w:type="character" w:styleId="IntenseReference">
    <w:name w:val="Intense Reference"/>
    <w:basedOn w:val="DefaultParagraphFont"/>
    <w:uiPriority w:val="32"/>
    <w:qFormat/>
    <w:rsid w:val="006A6578"/>
    <w:rPr>
      <w:b/>
      <w:bCs/>
      <w:smallCaps/>
      <w:color w:val="2F5496" w:themeColor="accent1" w:themeShade="BF"/>
      <w:spacing w:val="5"/>
    </w:rPr>
  </w:style>
  <w:style w:type="paragraph" w:styleId="BodyText">
    <w:name w:val="Body Text"/>
    <w:basedOn w:val="Normal"/>
    <w:link w:val="BodyTextChar"/>
    <w:uiPriority w:val="1"/>
    <w:qFormat/>
    <w:rsid w:val="00E4428C"/>
    <w:pPr>
      <w:widowControl w:val="0"/>
      <w:autoSpaceDE w:val="0"/>
      <w:autoSpaceDN w:val="0"/>
      <w:spacing w:after="0" w:line="240" w:lineRule="auto"/>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rsid w:val="00E4428C"/>
    <w:rPr>
      <w:rFonts w:ascii="Times New Roman" w:eastAsia="Times New Roman" w:hAnsi="Times New Roman" w:cs="Times New Roman"/>
      <w:kern w:val="0"/>
      <w:sz w:val="24"/>
      <w:szCs w:val="24"/>
      <w:lang w:val="en-US" w:bidi="ar-SA"/>
      <w14:ligatures w14:val="none"/>
    </w:rPr>
  </w:style>
  <w:style w:type="table" w:styleId="TableGrid">
    <w:name w:val="Table Grid"/>
    <w:basedOn w:val="TableNormal"/>
    <w:uiPriority w:val="39"/>
    <w:rsid w:val="003D7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D71AF"/>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Hyperlink">
    <w:name w:val="Hyperlink"/>
    <w:basedOn w:val="DefaultParagraphFont"/>
    <w:uiPriority w:val="99"/>
    <w:unhideWhenUsed/>
    <w:rsid w:val="003D71AF"/>
    <w:rPr>
      <w:color w:val="0563C1" w:themeColor="hyperlink"/>
      <w:u w:val="single"/>
    </w:rPr>
  </w:style>
  <w:style w:type="character" w:customStyle="1" w:styleId="url">
    <w:name w:val="url"/>
    <w:basedOn w:val="DefaultParagraphFont"/>
    <w:rsid w:val="00A34E97"/>
  </w:style>
  <w:style w:type="character" w:styleId="UnresolvedMention">
    <w:name w:val="Unresolved Mention"/>
    <w:basedOn w:val="DefaultParagraphFont"/>
    <w:uiPriority w:val="99"/>
    <w:semiHidden/>
    <w:unhideWhenUsed/>
    <w:rsid w:val="003F3218"/>
    <w:rPr>
      <w:color w:val="605E5C"/>
      <w:shd w:val="clear" w:color="auto" w:fill="E1DFDD"/>
    </w:rPr>
  </w:style>
  <w:style w:type="paragraph" w:styleId="Header">
    <w:name w:val="header"/>
    <w:basedOn w:val="Normal"/>
    <w:link w:val="HeaderChar"/>
    <w:uiPriority w:val="99"/>
    <w:unhideWhenUsed/>
    <w:rsid w:val="00277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B0C"/>
  </w:style>
  <w:style w:type="paragraph" w:styleId="Footer">
    <w:name w:val="footer"/>
    <w:basedOn w:val="Normal"/>
    <w:link w:val="FooterChar"/>
    <w:uiPriority w:val="99"/>
    <w:unhideWhenUsed/>
    <w:rsid w:val="00277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B0C"/>
  </w:style>
  <w:style w:type="paragraph" w:styleId="Revision">
    <w:name w:val="Revision"/>
    <w:hidden/>
    <w:uiPriority w:val="99"/>
    <w:semiHidden/>
    <w:rsid w:val="00B278F5"/>
    <w:pPr>
      <w:spacing w:after="0" w:line="240" w:lineRule="auto"/>
    </w:pPr>
  </w:style>
  <w:style w:type="character" w:styleId="CommentReference">
    <w:name w:val="annotation reference"/>
    <w:basedOn w:val="DefaultParagraphFont"/>
    <w:uiPriority w:val="99"/>
    <w:semiHidden/>
    <w:unhideWhenUsed/>
    <w:rsid w:val="00B278F5"/>
    <w:rPr>
      <w:sz w:val="16"/>
      <w:szCs w:val="16"/>
    </w:rPr>
  </w:style>
  <w:style w:type="paragraph" w:styleId="CommentText">
    <w:name w:val="annotation text"/>
    <w:basedOn w:val="Normal"/>
    <w:link w:val="CommentTextChar"/>
    <w:uiPriority w:val="99"/>
    <w:semiHidden/>
    <w:unhideWhenUsed/>
    <w:rsid w:val="00B278F5"/>
    <w:pPr>
      <w:spacing w:line="240" w:lineRule="auto"/>
    </w:pPr>
    <w:rPr>
      <w:sz w:val="20"/>
      <w:szCs w:val="25"/>
    </w:rPr>
  </w:style>
  <w:style w:type="character" w:customStyle="1" w:styleId="CommentTextChar">
    <w:name w:val="Comment Text Char"/>
    <w:basedOn w:val="DefaultParagraphFont"/>
    <w:link w:val="CommentText"/>
    <w:uiPriority w:val="99"/>
    <w:semiHidden/>
    <w:rsid w:val="00B278F5"/>
    <w:rPr>
      <w:sz w:val="20"/>
      <w:szCs w:val="25"/>
    </w:rPr>
  </w:style>
  <w:style w:type="paragraph" w:styleId="CommentSubject">
    <w:name w:val="annotation subject"/>
    <w:basedOn w:val="CommentText"/>
    <w:next w:val="CommentText"/>
    <w:link w:val="CommentSubjectChar"/>
    <w:uiPriority w:val="99"/>
    <w:semiHidden/>
    <w:unhideWhenUsed/>
    <w:rsid w:val="00B278F5"/>
    <w:rPr>
      <w:b/>
      <w:bCs/>
    </w:rPr>
  </w:style>
  <w:style w:type="character" w:customStyle="1" w:styleId="CommentSubjectChar">
    <w:name w:val="Comment Subject Char"/>
    <w:basedOn w:val="CommentTextChar"/>
    <w:link w:val="CommentSubject"/>
    <w:uiPriority w:val="99"/>
    <w:semiHidden/>
    <w:rsid w:val="00B278F5"/>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189-7241(15)30007-2" TargetMode="External"/><Relationship Id="rId18" Type="http://schemas.openxmlformats.org/officeDocument/2006/relationships/hyperlink" Target="https://doi.org/10.1007/s13197-010-0043-z" TargetMode="External"/><Relationship Id="rId26" Type="http://schemas.openxmlformats.org/officeDocument/2006/relationships/hyperlink" Target="https://doi.org/10.1007/s11694-014-9188-1" TargetMode="External"/><Relationship Id="rId39" Type="http://schemas.openxmlformats.org/officeDocument/2006/relationships/hyperlink" Target="https://doi.org/10.3389/fgene.2020.00500" TargetMode="External"/><Relationship Id="rId21" Type="http://schemas.openxmlformats.org/officeDocument/2006/relationships/hyperlink" Target="https://doi.org/10.1016/j.jff.2011.03.008" TargetMode="External"/><Relationship Id="rId34" Type="http://schemas.openxmlformats.org/officeDocument/2006/relationships/hyperlink" Target="https://doi.org/10.4172/2157-7110.1000566" TargetMode="External"/><Relationship Id="rId42" Type="http://schemas.openxmlformats.org/officeDocument/2006/relationships/hyperlink" Target="https://doi.org/10.1016/j.jfoodeng.2009.09.007"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4/CFW-56-3-0115" TargetMode="External"/><Relationship Id="rId29" Type="http://schemas.openxmlformats.org/officeDocument/2006/relationships/hyperlink" Target="https://doi.org/10.1016/j.indcrop.2012.05.006" TargetMode="External"/><Relationship Id="rId11" Type="http://schemas.microsoft.com/office/2018/08/relationships/commentsExtensible" Target="commentsExtensible.xml"/><Relationship Id="rId24" Type="http://schemas.openxmlformats.org/officeDocument/2006/relationships/hyperlink" Target="https://doi.org/10.5897/AJAR11.626" TargetMode="External"/><Relationship Id="rId32" Type="http://schemas.openxmlformats.org/officeDocument/2006/relationships/hyperlink" Target="https://doi.org/10.1016/j.jcs.2005.06.007" TargetMode="External"/><Relationship Id="rId37" Type="http://schemas.openxmlformats.org/officeDocument/2006/relationships/hyperlink" Target="https://www.researchgate.net/publication/354400000_Engineering_Properties_of_Certain_Minor_Millet_Grains" TargetMode="External"/><Relationship Id="rId40" Type="http://schemas.openxmlformats.org/officeDocument/2006/relationships/hyperlink" Target="https://doi.org/10.1111/1541-4337.12012" TargetMode="External"/><Relationship Id="rId45" Type="http://schemas.openxmlformats.org/officeDocument/2006/relationships/hyperlink" Target="http://krishikosh.egranth.ac.in/handle/1/5810126668"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19" Type="http://schemas.openxmlformats.org/officeDocument/2006/relationships/hyperlink" Target="https://doi.org/10.1007/s13197-011-0299-y" TargetMode="External"/><Relationship Id="rId31" Type="http://schemas.openxmlformats.org/officeDocument/2006/relationships/hyperlink" Target="https://www.thepharmajournal.com/archives/2022/vol11issue11/PartC/11-10-10-900.pdf" TargetMode="External"/><Relationship Id="rId44" Type="http://schemas.openxmlformats.org/officeDocument/2006/relationships/hyperlink" Target="https://doi.org/10.1016/j.jcs.2007.05.014" TargetMode="External"/><Relationship Id="rId52"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hdl.handle.net/11295/50938" TargetMode="External"/><Relationship Id="rId22" Type="http://schemas.openxmlformats.org/officeDocument/2006/relationships/hyperlink" Target="https://doi.org/10.1007/s13197-011-0584-9" TargetMode="External"/><Relationship Id="rId27" Type="http://schemas.openxmlformats.org/officeDocument/2006/relationships/hyperlink" Target="https://www.cabi.org/cabreviews/review/20123000029" TargetMode="External"/><Relationship Id="rId30" Type="http://schemas.openxmlformats.org/officeDocument/2006/relationships/hyperlink" Target="https://www.ecoagrijournal.com" TargetMode="External"/><Relationship Id="rId35" Type="http://schemas.openxmlformats.org/officeDocument/2006/relationships/hyperlink" Target="https://doi.org/10.1007/978-1-4615-0617-6_7" TargetMode="External"/><Relationship Id="rId43" Type="http://schemas.openxmlformats.org/officeDocument/2006/relationships/hyperlink" Target="https://doi.org/10.22271/23957476.2023.v9.i2b.1466" TargetMode="External"/><Relationship Id="rId48" Type="http://schemas.openxmlformats.org/officeDocument/2006/relationships/header" Target="header2.xml"/><Relationship Id="rId8" Type="http://schemas.openxmlformats.org/officeDocument/2006/relationships/comments" Target="comments.xm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3389/fnut.2021.687428" TargetMode="External"/><Relationship Id="rId25" Type="http://schemas.openxmlformats.org/officeDocument/2006/relationships/hyperlink" Target="https://www.thepharmajournal.com/archives/2023/vol12issue7/PartAL/12-7-10-900.pdf" TargetMode="External"/><Relationship Id="rId33" Type="http://schemas.openxmlformats.org/officeDocument/2006/relationships/hyperlink" Target="https://doi.org/10.1016/j.jfoodeng.2008.04.006" TargetMode="External"/><Relationship Id="rId38" Type="http://schemas.openxmlformats.org/officeDocument/2006/relationships/hyperlink" Target="https://www.allsubjectjournal.com/archives/2019/vol6/issue4/6-4-10-100.pdf" TargetMode="External"/><Relationship Id="rId46" Type="http://schemas.openxmlformats.org/officeDocument/2006/relationships/hyperlink" Target="https://doi.org/10.1073/pnas.1115430109" TargetMode="External"/><Relationship Id="rId20" Type="http://schemas.openxmlformats.org/officeDocument/2006/relationships/hyperlink" Target="http://www.ijcmas.com/special-issue-11.php" TargetMode="External"/><Relationship Id="rId41" Type="http://schemas.openxmlformats.org/officeDocument/2006/relationships/hyperlink" Target="http://www.ifrj.upm.edu.my/23%20(01)%202016/(17).pdf"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7759/cureus.44908" TargetMode="External"/><Relationship Id="rId23" Type="http://schemas.openxmlformats.org/officeDocument/2006/relationships/hyperlink" Target="https://doi.org/10.33545/26174693.2024.v8.i10Sa.2397" TargetMode="External"/><Relationship Id="rId28" Type="http://schemas.openxmlformats.org/officeDocument/2006/relationships/hyperlink" Target="http://www.aaccnet.org/publications/cc/backissues/1996/documents/73_677.pdf" TargetMode="External"/><Relationship Id="rId36" Type="http://schemas.openxmlformats.org/officeDocument/2006/relationships/hyperlink" Target="https://www.thepharmajournal.com"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DE56E-7015-4A84-8EA3-1A99B00B5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14</Pages>
  <Words>5331</Words>
  <Characters>30391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Chaudhary Mohd Kashim</dc:creator>
  <cp:keywords/>
  <dc:description/>
  <cp:lastModifiedBy>Karthika Periyasamy</cp:lastModifiedBy>
  <cp:revision>66</cp:revision>
  <dcterms:created xsi:type="dcterms:W3CDTF">2025-05-28T10:56:00Z</dcterms:created>
  <dcterms:modified xsi:type="dcterms:W3CDTF">2025-12-09T17:15:00Z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2ab048b8-22b3-44da-b31e-94455c7a542e</vt:lpwstr>
  </property>
</Properties>
</file>