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44BA" w14:textId="77777777" w:rsidR="00FA39E2" w:rsidRPr="00C966FA" w:rsidRDefault="00FA39E2">
      <w:pPr>
        <w:pStyle w:val="Title"/>
        <w:spacing w:after="0"/>
        <w:jc w:val="both"/>
        <w:rPr>
          <w:rFonts w:ascii="Arial" w:hAnsi="Arial" w:cs="Arial"/>
        </w:rPr>
      </w:pPr>
    </w:p>
    <w:p w14:paraId="1430708F" w14:textId="10750211" w:rsidR="00FA39E2" w:rsidRPr="00C966FA" w:rsidRDefault="00E070FD" w:rsidP="00113E94">
      <w:pPr>
        <w:spacing w:line="480" w:lineRule="auto"/>
        <w:jc w:val="right"/>
        <w:rPr>
          <w:rFonts w:ascii="Arial" w:hAnsi="Arial" w:cs="Arial"/>
          <w:b/>
          <w:sz w:val="22"/>
          <w:szCs w:val="22"/>
        </w:rPr>
      </w:pPr>
      <w:r w:rsidRPr="00C966FA">
        <w:rPr>
          <w:rFonts w:ascii="Arial" w:hAnsi="Arial" w:cs="Arial"/>
          <w:b/>
          <w:sz w:val="22"/>
          <w:szCs w:val="22"/>
        </w:rPr>
        <w:t xml:space="preserve">A COMPARATIVE ASSESSMENT OF THE EFFECTIVENESS OF IRON-FOLIC ACID AND MULTIPLE MICRONUTRIENT SUPPLEMENTS </w:t>
      </w:r>
      <w:r w:rsidR="0031655B">
        <w:rPr>
          <w:rFonts w:ascii="Arial" w:hAnsi="Arial" w:cs="Arial"/>
          <w:b/>
          <w:sz w:val="22"/>
          <w:szCs w:val="22"/>
        </w:rPr>
        <w:t xml:space="preserve">ON HEMOGLOBIN AND </w:t>
      </w:r>
      <w:r w:rsidR="00BB075E">
        <w:rPr>
          <w:rFonts w:ascii="Arial" w:hAnsi="Arial" w:cs="Arial"/>
          <w:b/>
          <w:sz w:val="22"/>
          <w:szCs w:val="22"/>
        </w:rPr>
        <w:t xml:space="preserve">RELATED </w:t>
      </w:r>
      <w:r w:rsidR="0031655B">
        <w:rPr>
          <w:rFonts w:ascii="Arial" w:hAnsi="Arial" w:cs="Arial"/>
          <w:b/>
          <w:sz w:val="22"/>
          <w:szCs w:val="22"/>
        </w:rPr>
        <w:t>BLOOD MARKERS</w:t>
      </w:r>
      <w:r w:rsidRPr="00C966FA">
        <w:rPr>
          <w:rFonts w:ascii="Arial" w:hAnsi="Arial" w:cs="Arial"/>
          <w:b/>
          <w:sz w:val="22"/>
          <w:szCs w:val="22"/>
        </w:rPr>
        <w:t xml:space="preserve"> AMONG PREGNANT WOMEN IN NASARAWA STATE</w:t>
      </w:r>
    </w:p>
    <w:p w14:paraId="05AF5549" w14:textId="07E130FA" w:rsidR="00FA39E2" w:rsidRDefault="00FA39E2">
      <w:pPr>
        <w:pStyle w:val="Affiliation"/>
        <w:spacing w:after="0" w:line="240" w:lineRule="auto"/>
        <w:jc w:val="both"/>
        <w:rPr>
          <w:rFonts w:ascii="Arial" w:hAnsi="Arial" w:cs="Arial"/>
        </w:rPr>
      </w:pPr>
    </w:p>
    <w:p w14:paraId="65208AA2" w14:textId="77777777" w:rsidR="0055318E" w:rsidRPr="00C966FA" w:rsidRDefault="0055318E">
      <w:pPr>
        <w:pStyle w:val="Affiliation"/>
        <w:spacing w:after="0" w:line="240" w:lineRule="auto"/>
        <w:jc w:val="both"/>
        <w:rPr>
          <w:rFonts w:ascii="Arial" w:hAnsi="Arial" w:cs="Arial"/>
        </w:rPr>
      </w:pPr>
    </w:p>
    <w:p w14:paraId="32678DFD" w14:textId="0BF1193E" w:rsidR="00FA39E2" w:rsidRPr="00C966FA" w:rsidRDefault="00E070FD">
      <w:pPr>
        <w:pStyle w:val="Copyright"/>
        <w:spacing w:after="0" w:line="240" w:lineRule="auto"/>
        <w:jc w:val="both"/>
        <w:rPr>
          <w:rFonts w:ascii="Arial" w:hAnsi="Arial" w:cs="Arial"/>
        </w:rPr>
        <w:sectPr w:rsidR="00FA39E2" w:rsidRPr="00C966FA" w:rsidSect="00471F7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C966FA">
        <w:rPr>
          <w:rFonts w:ascii="Arial" w:hAnsi="Arial" w:cs="Arial"/>
          <w:noProof/>
        </w:rPr>
        <mc:AlternateContent>
          <mc:Choice Requires="wps">
            <w:drawing>
              <wp:inline distT="0" distB="0" distL="0" distR="0" wp14:anchorId="16124AC4" wp14:editId="56CAEDC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p>
    <w:p w14:paraId="3C8EDEF8" w14:textId="77777777" w:rsidR="00FA39E2" w:rsidRPr="00C966FA" w:rsidRDefault="00FA39E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A39E2" w:rsidRPr="00C966FA" w14:paraId="323347AF" w14:textId="77777777">
        <w:tc>
          <w:tcPr>
            <w:tcW w:w="8198" w:type="dxa"/>
            <w:shd w:val="clear" w:color="auto" w:fill="F2F2F2"/>
          </w:tcPr>
          <w:p w14:paraId="101F702A" w14:textId="741F03E4" w:rsidR="00FA39E2" w:rsidRPr="00C966FA" w:rsidRDefault="00E070FD" w:rsidP="0008126A">
            <w:pPr>
              <w:pStyle w:val="Body"/>
              <w:spacing w:after="0" w:line="480" w:lineRule="auto"/>
              <w:jc w:val="left"/>
              <w:rPr>
                <w:rFonts w:ascii="Arial" w:eastAsia="Calibri" w:hAnsi="Arial" w:cs="Arial"/>
                <w:b/>
                <w:sz w:val="22"/>
                <w:szCs w:val="22"/>
              </w:rPr>
            </w:pPr>
            <w:r w:rsidRPr="00C966FA">
              <w:rPr>
                <w:rFonts w:ascii="Arial" w:eastAsia="Calibri" w:hAnsi="Arial" w:cs="Arial"/>
                <w:b/>
                <w:sz w:val="22"/>
                <w:szCs w:val="22"/>
              </w:rPr>
              <w:t>ABSTRACT:</w:t>
            </w:r>
          </w:p>
          <w:p w14:paraId="211EB5DB" w14:textId="04F4DB8F" w:rsidR="00FA39E2" w:rsidRPr="00C966FA" w:rsidRDefault="00BE4697" w:rsidP="0008126A">
            <w:pPr>
              <w:spacing w:line="480" w:lineRule="auto"/>
              <w:jc w:val="both"/>
              <w:rPr>
                <w:rFonts w:ascii="Arial" w:hAnsi="Arial" w:cs="Arial"/>
              </w:rPr>
            </w:pPr>
            <w:r>
              <w:rPr>
                <w:rFonts w:ascii="Arial" w:hAnsi="Arial" w:cs="Arial"/>
              </w:rPr>
              <w:t xml:space="preserve">Anemia in </w:t>
            </w:r>
            <w:r w:rsidR="00E070FD" w:rsidRPr="00C966FA">
              <w:rPr>
                <w:rFonts w:ascii="Arial" w:hAnsi="Arial" w:cs="Arial"/>
              </w:rPr>
              <w:t>pregnancy is one of the most persistent nutritional challenges in low</w:t>
            </w:r>
            <w:r w:rsidR="006D12FC">
              <w:rPr>
                <w:rFonts w:ascii="Arial" w:hAnsi="Arial" w:cs="Arial"/>
              </w:rPr>
              <w:t xml:space="preserve"> and middle-income </w:t>
            </w:r>
            <w:r w:rsidR="008B29C5">
              <w:rPr>
                <w:rFonts w:ascii="Arial" w:hAnsi="Arial" w:cs="Arial"/>
              </w:rPr>
              <w:t>countries</w:t>
            </w:r>
            <w:r>
              <w:rPr>
                <w:rFonts w:ascii="Arial" w:hAnsi="Arial" w:cs="Arial"/>
              </w:rPr>
              <w:t xml:space="preserve">. </w:t>
            </w:r>
            <w:r>
              <w:t>D</w:t>
            </w:r>
            <w:r w:rsidR="006D12FC">
              <w:t xml:space="preserve">ebate </w:t>
            </w:r>
            <w:r w:rsidR="00202D0C">
              <w:t xml:space="preserve">concerning </w:t>
            </w:r>
            <w:r w:rsidR="006D12FC">
              <w:t xml:space="preserve">optimal supplementation strategy, either </w:t>
            </w:r>
            <w:r w:rsidR="00202D0C">
              <w:t>Iron Folic Acid (</w:t>
            </w:r>
            <w:r w:rsidR="006D12FC">
              <w:t>IFA</w:t>
            </w:r>
            <w:r w:rsidR="00202D0C">
              <w:t>)</w:t>
            </w:r>
            <w:r w:rsidR="006D12FC">
              <w:t xml:space="preserve"> or </w:t>
            </w:r>
            <w:r w:rsidR="00202D0C">
              <w:t>Multiple Micronutrient Supplement (</w:t>
            </w:r>
            <w:r w:rsidR="006D12FC">
              <w:t>MMS</w:t>
            </w:r>
            <w:r w:rsidR="00202D0C">
              <w:t>)</w:t>
            </w:r>
            <w:r w:rsidR="006D12FC">
              <w:t xml:space="preserve"> </w:t>
            </w:r>
            <w:r w:rsidR="008B29C5">
              <w:t xml:space="preserve">is critical for </w:t>
            </w:r>
            <w:r w:rsidR="006D12FC">
              <w:t>policy-making</w:t>
            </w:r>
            <w:r w:rsidR="00BB075E">
              <w:rPr>
                <w:rFonts w:ascii="Arial" w:hAnsi="Arial" w:cs="Arial"/>
              </w:rPr>
              <w:t>. This</w:t>
            </w:r>
            <w:r w:rsidR="00E070FD" w:rsidRPr="00C966FA">
              <w:rPr>
                <w:rFonts w:ascii="Arial" w:hAnsi="Arial" w:cs="Arial"/>
              </w:rPr>
              <w:t xml:space="preserve"> study compared the effects of IFA and MMS on </w:t>
            </w:r>
            <w:proofErr w:type="spellStart"/>
            <w:r w:rsidR="00113E94" w:rsidRPr="00C966FA">
              <w:rPr>
                <w:rFonts w:ascii="Arial" w:hAnsi="Arial" w:cs="Arial"/>
              </w:rPr>
              <w:t>h</w:t>
            </w:r>
            <w:r w:rsidR="00113E94">
              <w:rPr>
                <w:rFonts w:ascii="Arial" w:hAnsi="Arial" w:cs="Arial"/>
              </w:rPr>
              <w:t>ea</w:t>
            </w:r>
            <w:r w:rsidR="00113E94" w:rsidRPr="00C966FA">
              <w:rPr>
                <w:rFonts w:ascii="Arial" w:hAnsi="Arial" w:cs="Arial"/>
              </w:rPr>
              <w:t>moglobin</w:t>
            </w:r>
            <w:proofErr w:type="spellEnd"/>
            <w:r w:rsidR="00E070FD" w:rsidRPr="00C966FA">
              <w:rPr>
                <w:rFonts w:ascii="Arial" w:hAnsi="Arial" w:cs="Arial"/>
              </w:rPr>
              <w:t xml:space="preserve"> and related blood markers among pregnant women in Nasarawa State,</w:t>
            </w:r>
            <w:r w:rsidR="006D12FC">
              <w:rPr>
                <w:rFonts w:ascii="Arial" w:hAnsi="Arial" w:cs="Arial"/>
              </w:rPr>
              <w:t xml:space="preserve"> </w:t>
            </w:r>
            <w:r w:rsidR="00E070FD" w:rsidRPr="00C966FA">
              <w:rPr>
                <w:rFonts w:ascii="Arial" w:hAnsi="Arial" w:cs="Arial"/>
              </w:rPr>
              <w:t xml:space="preserve">Nigeria. </w:t>
            </w:r>
            <w:r w:rsidR="00E070FD" w:rsidRPr="00C966FA">
              <w:rPr>
                <w:rFonts w:ascii="Arial" w:eastAsia="Calibri" w:hAnsi="Arial" w:cs="Arial"/>
              </w:rPr>
              <w:t>Th</w:t>
            </w:r>
            <w:r w:rsidR="00C03F3C">
              <w:rPr>
                <w:rFonts w:ascii="Arial" w:eastAsia="Calibri" w:hAnsi="Arial" w:cs="Arial"/>
              </w:rPr>
              <w:t>e study was conducted in three Primary H</w:t>
            </w:r>
            <w:r w:rsidR="00E070FD" w:rsidRPr="00C966FA">
              <w:rPr>
                <w:rFonts w:ascii="Arial" w:eastAsia="Calibri" w:hAnsi="Arial" w:cs="Arial"/>
              </w:rPr>
              <w:t>ealthcare</w:t>
            </w:r>
            <w:r w:rsidR="00C03F3C">
              <w:rPr>
                <w:rFonts w:ascii="Arial" w:eastAsia="Calibri" w:hAnsi="Arial" w:cs="Arial"/>
              </w:rPr>
              <w:t xml:space="preserve"> (PHC)</w:t>
            </w:r>
            <w:r w:rsidR="00E070FD" w:rsidRPr="00C966FA">
              <w:rPr>
                <w:rFonts w:ascii="Arial" w:eastAsia="Calibri" w:hAnsi="Arial" w:cs="Arial"/>
              </w:rPr>
              <w:t xml:space="preserve"> facilities and community in Nasarawa State from July to October 2024. </w:t>
            </w:r>
            <w:r w:rsidR="00E070FD" w:rsidRPr="00C966FA">
              <w:rPr>
                <w:rFonts w:ascii="Arial" w:hAnsi="Arial" w:cs="Arial"/>
              </w:rPr>
              <w:t>Thirty-six women</w:t>
            </w:r>
            <w:r w:rsidR="00BB075E">
              <w:rPr>
                <w:rFonts w:ascii="Arial" w:hAnsi="Arial" w:cs="Arial"/>
              </w:rPr>
              <w:t xml:space="preserve">, </w:t>
            </w:r>
            <w:r w:rsidR="006D12FC">
              <w:rPr>
                <w:rFonts w:ascii="Arial" w:hAnsi="Arial" w:cs="Arial"/>
              </w:rPr>
              <w:t>in their second trimester,</w:t>
            </w:r>
            <w:r w:rsidR="00E070FD" w:rsidRPr="00C966FA">
              <w:rPr>
                <w:rFonts w:ascii="Arial" w:hAnsi="Arial" w:cs="Arial"/>
              </w:rPr>
              <w:t xml:space="preserve"> were enrolled from </w:t>
            </w:r>
            <w:r w:rsidR="008B29C5">
              <w:rPr>
                <w:rFonts w:ascii="Arial" w:hAnsi="Arial" w:cs="Arial"/>
              </w:rPr>
              <w:t xml:space="preserve">the </w:t>
            </w:r>
            <w:r w:rsidR="00BB075E">
              <w:rPr>
                <w:rFonts w:ascii="Arial" w:hAnsi="Arial" w:cs="Arial"/>
              </w:rPr>
              <w:t>health facilities and assigned</w:t>
            </w:r>
            <w:r w:rsidR="00E070FD" w:rsidRPr="00C966FA">
              <w:rPr>
                <w:rFonts w:ascii="Arial" w:hAnsi="Arial" w:cs="Arial"/>
              </w:rPr>
              <w:t xml:space="preserve"> into three groups: IFA (n </w:t>
            </w:r>
            <w:r w:rsidR="00BB075E">
              <w:rPr>
                <w:rFonts w:ascii="Arial" w:hAnsi="Arial" w:cs="Arial"/>
              </w:rPr>
              <w:t xml:space="preserve">= 13), MMS (n = 13), and </w:t>
            </w:r>
            <w:r w:rsidR="00E070FD" w:rsidRPr="00C966FA">
              <w:rPr>
                <w:rFonts w:ascii="Arial" w:hAnsi="Arial" w:cs="Arial"/>
              </w:rPr>
              <w:t xml:space="preserve">control group (n = 10). Interventions lasted for three months. Blood samples </w:t>
            </w:r>
            <w:r w:rsidR="00B25A96" w:rsidRPr="00C966FA">
              <w:rPr>
                <w:rFonts w:ascii="Arial" w:hAnsi="Arial" w:cs="Arial"/>
              </w:rPr>
              <w:t xml:space="preserve">were </w:t>
            </w:r>
            <w:r w:rsidR="00E070FD" w:rsidRPr="00C966FA">
              <w:rPr>
                <w:rFonts w:ascii="Arial" w:hAnsi="Arial" w:cs="Arial"/>
              </w:rPr>
              <w:t xml:space="preserve">taken at baseline and end line to assess </w:t>
            </w:r>
            <w:commentRangeStart w:id="0"/>
            <w:proofErr w:type="spellStart"/>
            <w:r w:rsidR="00113E94" w:rsidRPr="00C966FA">
              <w:rPr>
                <w:rFonts w:ascii="Arial" w:hAnsi="Arial" w:cs="Arial"/>
              </w:rPr>
              <w:t>H</w:t>
            </w:r>
            <w:r w:rsidR="00113E94">
              <w:rPr>
                <w:rFonts w:ascii="Arial" w:hAnsi="Arial" w:cs="Arial"/>
              </w:rPr>
              <w:t>e</w:t>
            </w:r>
            <w:r w:rsidR="00113E94" w:rsidRPr="00C966FA">
              <w:rPr>
                <w:rFonts w:ascii="Arial" w:hAnsi="Arial" w:cs="Arial"/>
              </w:rPr>
              <w:t>amoglobin</w:t>
            </w:r>
            <w:commentRangeEnd w:id="0"/>
            <w:proofErr w:type="spellEnd"/>
            <w:r w:rsidR="00F56203">
              <w:rPr>
                <w:rStyle w:val="CommentReference"/>
                <w:rFonts w:ascii="Times New Roman" w:hAnsi="Times New Roman"/>
                <w:lang w:val="nb-NO" w:eastAsia="nb-NO"/>
              </w:rPr>
              <w:commentReference w:id="0"/>
            </w:r>
            <w:r w:rsidR="00E070FD" w:rsidRPr="00C966FA">
              <w:rPr>
                <w:rFonts w:ascii="Arial" w:hAnsi="Arial" w:cs="Arial"/>
              </w:rPr>
              <w:t xml:space="preserve"> (HB), Red Blood Cells (RBC), Packed Cell Volume (PCV), Serum Iron, Ferritin, and White Blood Cell (WBC) Differentials. </w:t>
            </w:r>
            <w:r w:rsidR="00E070FD" w:rsidRPr="00C966FA">
              <w:rPr>
                <w:rFonts w:ascii="Arial" w:hAnsi="Arial" w:cs="Arial"/>
                <w:bCs/>
              </w:rPr>
              <w:t xml:space="preserve">A quantitative immunoassay analyzer was used to measure HB concentration and WBC differentials. Serum iron concentration was determined using a fully automated chemistry analyzer with the ferrozine colorimetric method, and serum ferritin concentration was </w:t>
            </w:r>
            <w:r w:rsidR="00E070FD" w:rsidRPr="008B29C5">
              <w:rPr>
                <w:rFonts w:ascii="Arial" w:hAnsi="Arial" w:cs="Arial"/>
                <w:bCs/>
              </w:rPr>
              <w:t xml:space="preserve">measured using the </w:t>
            </w:r>
            <w:proofErr w:type="spellStart"/>
            <w:r w:rsidR="00E070FD" w:rsidRPr="008B29C5">
              <w:rPr>
                <w:rFonts w:ascii="Arial" w:hAnsi="Arial" w:cs="Arial"/>
                <w:bCs/>
              </w:rPr>
              <w:t>iCHROMA</w:t>
            </w:r>
            <w:r w:rsidR="00E070FD" w:rsidRPr="008B29C5">
              <w:rPr>
                <w:rFonts w:ascii="Arial" w:hAnsi="Arial" w:cs="Arial"/>
                <w:bCs/>
                <w:vertAlign w:val="superscript"/>
              </w:rPr>
              <w:t>TM</w:t>
            </w:r>
            <w:proofErr w:type="spellEnd"/>
            <w:r w:rsidR="00E070FD" w:rsidRPr="008B29C5">
              <w:rPr>
                <w:rStyle w:val="Strong"/>
                <w:rFonts w:ascii="Arial" w:hAnsi="Arial" w:cs="Arial"/>
                <w:b w:val="0"/>
              </w:rPr>
              <w:t xml:space="preserve"> ii analyzer</w:t>
            </w:r>
            <w:r w:rsidR="00E070FD" w:rsidRPr="00F60F85">
              <w:rPr>
                <w:rStyle w:val="Strong"/>
                <w:rFonts w:ascii="Arial" w:hAnsi="Arial" w:cs="Arial"/>
                <w:b w:val="0"/>
              </w:rPr>
              <w:t xml:space="preserve">. </w:t>
            </w:r>
            <w:r w:rsidR="00F60F85" w:rsidRPr="00F60F85">
              <w:rPr>
                <w:rFonts w:ascii="Arial" w:eastAsia="Arial" w:hAnsi="Arial" w:cs="Arial"/>
              </w:rPr>
              <w:t>Results showed that IFA significantly   improved HB (9.82 ± 0.68 to 10.93 ± 1.30 g/dl</w:t>
            </w:r>
            <w:r w:rsidR="00E57487">
              <w:rPr>
                <w:rFonts w:ascii="Arial" w:eastAsia="Arial" w:hAnsi="Arial" w:cs="Arial"/>
              </w:rPr>
              <w:t xml:space="preserve">, </w:t>
            </w:r>
            <w:r w:rsidR="00E57487" w:rsidRPr="00E57487">
              <w:rPr>
                <w:rFonts w:ascii="Arial" w:eastAsia="Arial" w:hAnsi="Arial" w:cs="Arial"/>
                <w:i/>
              </w:rPr>
              <w:t xml:space="preserve">P </w:t>
            </w:r>
            <w:r w:rsidR="00E57487">
              <w:rPr>
                <w:rFonts w:ascii="Arial" w:eastAsia="Arial" w:hAnsi="Arial" w:cs="Arial"/>
              </w:rPr>
              <w:t>=</w:t>
            </w:r>
            <w:r w:rsidR="00BB075E">
              <w:rPr>
                <w:rFonts w:ascii="Arial" w:eastAsia="Arial" w:hAnsi="Arial" w:cs="Arial"/>
              </w:rPr>
              <w:t xml:space="preserve"> </w:t>
            </w:r>
            <w:r w:rsidR="00E57487">
              <w:rPr>
                <w:rFonts w:ascii="Arial" w:eastAsia="Arial" w:hAnsi="Arial" w:cs="Arial"/>
              </w:rPr>
              <w:t>.01</w:t>
            </w:r>
            <w:r w:rsidR="00F60F85" w:rsidRPr="00F60F85">
              <w:rPr>
                <w:rFonts w:ascii="Arial" w:eastAsia="Arial" w:hAnsi="Arial" w:cs="Arial"/>
              </w:rPr>
              <w:t>) and RBC coun</w:t>
            </w:r>
            <w:r w:rsidR="00BB075E">
              <w:rPr>
                <w:rFonts w:ascii="Arial" w:eastAsia="Arial" w:hAnsi="Arial" w:cs="Arial"/>
              </w:rPr>
              <w:t>ts,</w:t>
            </w:r>
            <w:r w:rsidR="00BB075E" w:rsidRPr="00BB075E">
              <w:rPr>
                <w:rFonts w:ascii="Arial" w:eastAsia="Arial" w:hAnsi="Arial" w:cs="Arial"/>
                <w:i/>
              </w:rPr>
              <w:t xml:space="preserve"> </w:t>
            </w:r>
            <w:r w:rsidR="00BB075E" w:rsidRPr="00BB075E">
              <w:rPr>
                <w:rFonts w:ascii="Arial" w:hAnsi="Arial" w:cs="Arial"/>
                <w:i/>
                <w:iCs/>
                <w:szCs w:val="24"/>
              </w:rPr>
              <w:t>P</w:t>
            </w:r>
            <w:r w:rsidR="00BB075E" w:rsidRPr="00BB075E">
              <w:rPr>
                <w:rFonts w:ascii="Arial" w:hAnsi="Arial" w:cs="Arial"/>
                <w:iCs/>
                <w:szCs w:val="24"/>
              </w:rPr>
              <w:t xml:space="preserve"> </w:t>
            </w:r>
            <w:r w:rsidR="00BB075E">
              <w:rPr>
                <w:rFonts w:ascii="Arial" w:hAnsi="Arial" w:cs="Arial"/>
                <w:iCs/>
                <w:szCs w:val="24"/>
              </w:rPr>
              <w:t xml:space="preserve">= </w:t>
            </w:r>
            <w:r w:rsidR="00BB075E" w:rsidRPr="00BB075E">
              <w:rPr>
                <w:rFonts w:ascii="Arial" w:hAnsi="Arial" w:cs="Arial"/>
                <w:iCs/>
                <w:szCs w:val="24"/>
              </w:rPr>
              <w:t>.02</w:t>
            </w:r>
            <w:r w:rsidR="00BB075E">
              <w:rPr>
                <w:rFonts w:ascii="Arial" w:hAnsi="Arial" w:cs="Arial"/>
                <w:iCs/>
                <w:szCs w:val="24"/>
              </w:rPr>
              <w:t xml:space="preserve"> </w:t>
            </w:r>
            <w:r w:rsidR="00BB075E">
              <w:rPr>
                <w:rFonts w:ascii="Arial" w:eastAsia="Arial" w:hAnsi="Arial" w:cs="Arial"/>
              </w:rPr>
              <w:t xml:space="preserve">(3.80 ± 0.55 to 4.38 ± 0.57 </w:t>
            </w:r>
            <w:r w:rsidR="00F60F85" w:rsidRPr="00F60F85">
              <w:rPr>
                <w:rFonts w:ascii="Arial" w:eastAsia="Arial" w:hAnsi="Arial" w:cs="Arial"/>
              </w:rPr>
              <w:t xml:space="preserve">×10^12/L) while MMS showed no significant HB improvement but led to increased lymphocytes </w:t>
            </w:r>
            <w:r w:rsidR="00F60F85">
              <w:rPr>
                <w:rFonts w:ascii="Arial" w:eastAsia="Arial" w:hAnsi="Arial" w:cs="Arial"/>
              </w:rPr>
              <w:t>(</w:t>
            </w:r>
            <w:r w:rsidR="00F60F85" w:rsidRPr="00F60F85">
              <w:rPr>
                <w:rFonts w:ascii="Arial" w:eastAsia="Arial" w:hAnsi="Arial" w:cs="Arial"/>
              </w:rPr>
              <w:t xml:space="preserve">32.53 ± 8.42 to 39.61 ± 8.87%) while neutrophils reduced from 63.00 ± 7.65 to 55.69 ± 9.01(%). In the </w:t>
            </w:r>
            <w:r w:rsidR="00F60F85" w:rsidRPr="00F60F85">
              <w:rPr>
                <w:rFonts w:ascii="Arial" w:eastAsia="Arial" w:hAnsi="Arial" w:cs="Arial"/>
              </w:rPr>
              <w:lastRenderedPageBreak/>
              <w:t xml:space="preserve">control group, ferritin rose unexpectedly (30.89 ± 6.46 to 67.07 ± 29.88 ng/ml) </w:t>
            </w:r>
            <w:r w:rsidR="00E070FD" w:rsidRPr="00F60F85">
              <w:rPr>
                <w:rFonts w:ascii="Arial" w:hAnsi="Arial" w:cs="Arial"/>
              </w:rPr>
              <w:t>though other parameters remained stable.</w:t>
            </w:r>
            <w:r w:rsidR="00E070FD" w:rsidRPr="00C966FA">
              <w:rPr>
                <w:rFonts w:ascii="Arial" w:hAnsi="Arial" w:cs="Arial"/>
              </w:rPr>
              <w:t xml:space="preserve"> In conclusion</w:t>
            </w:r>
            <w:r w:rsidR="009E50F7">
              <w:rPr>
                <w:rFonts w:ascii="Arial" w:hAnsi="Arial" w:cs="Arial"/>
              </w:rPr>
              <w:t>,</w:t>
            </w:r>
            <w:r w:rsidR="00E070FD" w:rsidRPr="00C966FA">
              <w:rPr>
                <w:rFonts w:ascii="Arial" w:hAnsi="Arial" w:cs="Arial"/>
              </w:rPr>
              <w:t xml:space="preserve"> IFA was more effective in improving anemia-related indices, while MMS conferred modest immunological benefits. These findings reaffirm the central role of IFA in antenatal care but also point to a potential complementary role for MMS in supporting maternal immune health.</w:t>
            </w:r>
          </w:p>
        </w:tc>
      </w:tr>
    </w:tbl>
    <w:p w14:paraId="7451D618" w14:textId="77777777" w:rsidR="00FA39E2" w:rsidRPr="00C966FA" w:rsidRDefault="00FA39E2" w:rsidP="0008126A">
      <w:pPr>
        <w:pStyle w:val="Body"/>
        <w:spacing w:after="0" w:line="480" w:lineRule="auto"/>
        <w:rPr>
          <w:rFonts w:ascii="Arial" w:hAnsi="Arial" w:cs="Arial"/>
          <w:i/>
        </w:rPr>
      </w:pPr>
    </w:p>
    <w:p w14:paraId="64F07B05" w14:textId="62B08043" w:rsidR="000E65C9" w:rsidRPr="0008126A" w:rsidRDefault="00E070FD" w:rsidP="0008126A">
      <w:pPr>
        <w:pStyle w:val="Body"/>
        <w:spacing w:after="0" w:line="480" w:lineRule="auto"/>
        <w:jc w:val="left"/>
        <w:rPr>
          <w:rFonts w:ascii="Arial" w:hAnsi="Arial" w:cs="Arial"/>
          <w:i/>
        </w:rPr>
      </w:pPr>
      <w:r w:rsidRPr="00C966FA">
        <w:rPr>
          <w:rFonts w:ascii="Arial" w:hAnsi="Arial" w:cs="Arial"/>
          <w:i/>
        </w:rPr>
        <w:t xml:space="preserve">Keywords: </w:t>
      </w:r>
      <w:r w:rsidRPr="00C966FA">
        <w:rPr>
          <w:rFonts w:ascii="Arial" w:hAnsi="Arial" w:cs="Arial"/>
        </w:rPr>
        <w:t>Iron–Folic Acid; Multiple Micronutrients; anemia; pregnancy; iron status; Nigeria</w:t>
      </w:r>
      <w:r w:rsidRPr="00C966FA">
        <w:rPr>
          <w:rFonts w:ascii="Arial" w:hAnsi="Arial" w:cs="Arial"/>
          <w:i/>
        </w:rPr>
        <w:t xml:space="preserve"> </w:t>
      </w:r>
    </w:p>
    <w:p w14:paraId="78AC6340" w14:textId="77777777" w:rsidR="006A111E" w:rsidRPr="00113E94" w:rsidRDefault="00E070FD" w:rsidP="0008126A">
      <w:pPr>
        <w:pStyle w:val="ListParagraph"/>
        <w:numPr>
          <w:ilvl w:val="0"/>
          <w:numId w:val="2"/>
        </w:numPr>
        <w:spacing w:after="120" w:line="480" w:lineRule="auto"/>
        <w:ind w:hanging="720"/>
        <w:rPr>
          <w:rFonts w:ascii="Arial" w:hAnsi="Arial" w:cs="Arial"/>
        </w:rPr>
      </w:pPr>
      <w:r w:rsidRPr="00113E94">
        <w:rPr>
          <w:rFonts w:ascii="Arial" w:hAnsi="Arial" w:cs="Arial"/>
          <w:b/>
        </w:rPr>
        <w:t>INTRODUCTION</w:t>
      </w:r>
    </w:p>
    <w:p w14:paraId="086898CC" w14:textId="77777777" w:rsidR="00FA39E2" w:rsidRPr="00113E94" w:rsidRDefault="00E070FD" w:rsidP="0008126A">
      <w:pPr>
        <w:spacing w:after="120" w:line="480" w:lineRule="auto"/>
        <w:rPr>
          <w:rFonts w:ascii="Arial" w:hAnsi="Arial" w:cs="Arial"/>
        </w:rPr>
      </w:pPr>
      <w:r w:rsidRPr="00113E94">
        <w:rPr>
          <w:rFonts w:ascii="Arial" w:hAnsi="Arial" w:cs="Arial"/>
          <w:b/>
        </w:rPr>
        <w:t>1.0 Background of Study</w:t>
      </w:r>
    </w:p>
    <w:p w14:paraId="0F55FA6E"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Anemia remains a significant global public health issue, disproportionately affecting women and children (Kassebaum </w:t>
      </w:r>
      <w:r w:rsidRPr="001A28A8">
        <w:rPr>
          <w:rFonts w:ascii="Arial" w:hAnsi="Arial" w:cs="Arial"/>
          <w:i/>
          <w:sz w:val="20"/>
          <w:szCs w:val="20"/>
        </w:rPr>
        <w:t>et al.,</w:t>
      </w:r>
      <w:r w:rsidRPr="001A28A8">
        <w:rPr>
          <w:rFonts w:ascii="Arial" w:hAnsi="Arial" w:cs="Arial"/>
          <w:sz w:val="20"/>
          <w:szCs w:val="20"/>
        </w:rPr>
        <w:t xml:space="preserve"> 2014). It is marked by reduced hemoglobin or red blood cell levels, impairing oxygen transport and often resulting from poor nutrition, chronic diseases, or genetic disorders. Iron-deficiency anemia (IDA) is the most common type, arising primarily from inadequate dietary intake or poor absorption of iron (Kassebaum et al., 2014). The World Health Organization (WHO) defines anemia as hemoglobin concentrations below 12 g/dL for women and 13 g/dL for men (Yan et al., 2021).</w:t>
      </w:r>
    </w:p>
    <w:p w14:paraId="707514EA"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In Nigeria, anemia prevalence among pregnant women remains alarming, with the 2018 National Demographic and Health Survey (NDHS) reporting 61% prevalence nationwide, 50.3% in the North-Central region, and 65.1% in Nasarawa State (NDHS, 2018). Rural women are particularly affected, with higher prevalence than their urban counterparts. Diagnosis typically involves a complete blood count (CBC) and tests such as serum ferritin and reticulocyte counts (</w:t>
      </w:r>
      <w:proofErr w:type="spellStart"/>
      <w:r w:rsidRPr="001A28A8">
        <w:rPr>
          <w:rFonts w:ascii="Arial" w:hAnsi="Arial" w:cs="Arial"/>
          <w:sz w:val="20"/>
          <w:szCs w:val="20"/>
        </w:rPr>
        <w:t>Camaschella</w:t>
      </w:r>
      <w:proofErr w:type="spellEnd"/>
      <w:r w:rsidRPr="001A28A8">
        <w:rPr>
          <w:rFonts w:ascii="Arial" w:hAnsi="Arial" w:cs="Arial"/>
          <w:sz w:val="20"/>
          <w:szCs w:val="20"/>
        </w:rPr>
        <w:t>, 2019). Management depends on the cause—iron supplements for IDA (</w:t>
      </w:r>
      <w:proofErr w:type="spellStart"/>
      <w:r w:rsidRPr="001A28A8">
        <w:rPr>
          <w:rFonts w:ascii="Arial" w:hAnsi="Arial" w:cs="Arial"/>
          <w:sz w:val="20"/>
          <w:szCs w:val="20"/>
        </w:rPr>
        <w:t>Biesalski</w:t>
      </w:r>
      <w:proofErr w:type="spellEnd"/>
      <w:r w:rsidRPr="001A28A8">
        <w:rPr>
          <w:rFonts w:ascii="Arial" w:hAnsi="Arial" w:cs="Arial"/>
          <w:sz w:val="20"/>
          <w:szCs w:val="20"/>
        </w:rPr>
        <w:t xml:space="preserve">, 2020), vitamin B12 injections for pernicious anemia (Malouf et al., 2022), or addressing underlying diseases for anemia of chronic illness (Weiss &amp; </w:t>
      </w:r>
      <w:r w:rsidRPr="001A28A8">
        <w:rPr>
          <w:rFonts w:ascii="Arial" w:hAnsi="Arial" w:cs="Arial"/>
          <w:sz w:val="20"/>
          <w:szCs w:val="20"/>
        </w:rPr>
        <w:lastRenderedPageBreak/>
        <w:t xml:space="preserve">Goodnough, 2021). Untreated anemia can lead to fatigue, cognitive decline, and increased maternal and child morbidity and mortality (Guralnik </w:t>
      </w:r>
      <w:r w:rsidRPr="001A28A8">
        <w:rPr>
          <w:rFonts w:ascii="Arial" w:hAnsi="Arial" w:cs="Arial"/>
          <w:i/>
          <w:sz w:val="20"/>
          <w:szCs w:val="20"/>
        </w:rPr>
        <w:t xml:space="preserve">et al., </w:t>
      </w:r>
      <w:r w:rsidRPr="001A28A8">
        <w:rPr>
          <w:rFonts w:ascii="Arial" w:hAnsi="Arial" w:cs="Arial"/>
          <w:sz w:val="20"/>
          <w:szCs w:val="20"/>
        </w:rPr>
        <w:t>2021).</w:t>
      </w:r>
    </w:p>
    <w:p w14:paraId="56B055BC"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During pregnancy, iron requirements increase significantly due to fetal demands and expanded maternal blood volume (Abbaspour </w:t>
      </w:r>
      <w:r w:rsidRPr="001A28A8">
        <w:rPr>
          <w:rFonts w:ascii="Arial" w:hAnsi="Arial" w:cs="Arial"/>
          <w:i/>
          <w:sz w:val="20"/>
          <w:szCs w:val="20"/>
        </w:rPr>
        <w:t>et al.,</w:t>
      </w:r>
      <w:r w:rsidRPr="001A28A8">
        <w:rPr>
          <w:rFonts w:ascii="Arial" w:hAnsi="Arial" w:cs="Arial"/>
          <w:sz w:val="20"/>
          <w:szCs w:val="20"/>
        </w:rPr>
        <w:t xml:space="preserve"> 2014). Women with low pre-pregnancy iron stores are at higher risk of iron-deficiency anemia, which is linked to preterm birth, low birth weight, and maternal mortality. Supplementation during pregnancy has proven effective in improving maternal iron status and birth outcomes (Kassebaum et al., 2014). WHO recommends at least 90 iron-folic acid (IFA) tablets during pregnancy, though compliance challenges persist due to supply and accessibility issues (WHO, 2018; Kamau </w:t>
      </w:r>
      <w:r w:rsidRPr="001A28A8">
        <w:rPr>
          <w:rFonts w:ascii="Arial" w:hAnsi="Arial" w:cs="Arial"/>
          <w:i/>
          <w:sz w:val="20"/>
          <w:szCs w:val="20"/>
        </w:rPr>
        <w:t>et al.,</w:t>
      </w:r>
      <w:r w:rsidRPr="001A28A8">
        <w:rPr>
          <w:rFonts w:ascii="Arial" w:hAnsi="Arial" w:cs="Arial"/>
          <w:sz w:val="20"/>
          <w:szCs w:val="20"/>
        </w:rPr>
        <w:t xml:space="preserve"> 2018).</w:t>
      </w:r>
    </w:p>
    <w:p w14:paraId="45D5E989"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Given these challenges, interest has grown in Multiple Micronutrient Supplements (MMS), particularly the United Nations International Multiple Micronutrient Antenatal Preparation (UNIMMAP), which provides 15 essential vitamins and minerals, including iron and folic acid (WHO/UNICEF, 1999). MMS has been shown to be as effective as IFA in preventing anemia, with additional benefits for reducing stillbirth and preterm birth (Smith, 2017; Keats </w:t>
      </w:r>
      <w:r w:rsidRPr="001A28A8">
        <w:rPr>
          <w:rFonts w:ascii="Arial" w:hAnsi="Arial" w:cs="Arial"/>
          <w:i/>
          <w:sz w:val="20"/>
          <w:szCs w:val="20"/>
        </w:rPr>
        <w:t>et al.,</w:t>
      </w:r>
      <w:r w:rsidRPr="001A28A8">
        <w:rPr>
          <w:rFonts w:ascii="Arial" w:hAnsi="Arial" w:cs="Arial"/>
          <w:sz w:val="20"/>
          <w:szCs w:val="20"/>
        </w:rPr>
        <w:t xml:space="preserve"> 2019). Evidence suggests MMS containing 30 mg of iron performs comparably to IFA with 60 mg for preventing maternal anemia (Keats </w:t>
      </w:r>
      <w:r w:rsidRPr="001A28A8">
        <w:rPr>
          <w:rFonts w:ascii="Arial" w:hAnsi="Arial" w:cs="Arial"/>
          <w:i/>
          <w:sz w:val="20"/>
          <w:szCs w:val="20"/>
        </w:rPr>
        <w:t>et al.,</w:t>
      </w:r>
      <w:r w:rsidRPr="001A28A8">
        <w:rPr>
          <w:rFonts w:ascii="Arial" w:hAnsi="Arial" w:cs="Arial"/>
          <w:sz w:val="20"/>
          <w:szCs w:val="20"/>
        </w:rPr>
        <w:t xml:space="preserve"> 2019).</w:t>
      </w:r>
    </w:p>
    <w:p w14:paraId="62BA4686" w14:textId="13D3DD5F" w:rsidR="00FA39E2" w:rsidRPr="001770D7" w:rsidRDefault="0048540E" w:rsidP="001770D7">
      <w:pPr>
        <w:pStyle w:val="NormalWeb"/>
        <w:spacing w:line="480" w:lineRule="auto"/>
        <w:jc w:val="both"/>
        <w:rPr>
          <w:rFonts w:ascii="Arial" w:hAnsi="Arial" w:cs="Arial"/>
          <w:sz w:val="20"/>
          <w:szCs w:val="20"/>
        </w:rPr>
      </w:pPr>
      <w:r w:rsidRPr="001A28A8">
        <w:rPr>
          <w:rFonts w:ascii="Arial" w:hAnsi="Arial" w:cs="Arial"/>
          <w:sz w:val="20"/>
          <w:szCs w:val="20"/>
        </w:rPr>
        <w:t>Recent WHO guidelines support the adoption of UNIMMAP-MMS in antenatal care, with context-specific implementation guided by local research. Therefore, this study seeks to compare the effectiveness of IFA and MMS on iron status among pregnant women in Nasarawa State. Its findings aim to inform nutrition policy, guide antenatal interventions, and contribute to evidence-based maternal health strategies in Nigeria.</w:t>
      </w:r>
    </w:p>
    <w:p w14:paraId="1F305B2C" w14:textId="77777777" w:rsidR="00FA39E2" w:rsidRPr="00C966FA" w:rsidRDefault="00E070FD" w:rsidP="0008126A">
      <w:pPr>
        <w:pStyle w:val="AbstHead"/>
        <w:spacing w:after="0" w:line="480" w:lineRule="auto"/>
        <w:jc w:val="both"/>
        <w:rPr>
          <w:rFonts w:ascii="Arial" w:hAnsi="Arial" w:cs="Arial"/>
        </w:rPr>
      </w:pPr>
      <w:r w:rsidRPr="00C966FA">
        <w:rPr>
          <w:rFonts w:ascii="Arial" w:hAnsi="Arial" w:cs="Arial"/>
        </w:rPr>
        <w:t xml:space="preserve">2. material and methods </w:t>
      </w:r>
    </w:p>
    <w:p w14:paraId="1D266E52" w14:textId="3A2747E6" w:rsidR="00FA39E2" w:rsidRPr="00C966FA" w:rsidRDefault="00E070FD" w:rsidP="0008126A">
      <w:pPr>
        <w:pStyle w:val="NormalWeb"/>
        <w:spacing w:line="480" w:lineRule="auto"/>
        <w:jc w:val="both"/>
        <w:rPr>
          <w:rFonts w:ascii="Arial" w:hAnsi="Arial" w:cs="Arial"/>
          <w:sz w:val="20"/>
          <w:szCs w:val="20"/>
        </w:rPr>
      </w:pPr>
      <w:r w:rsidRPr="00C966FA">
        <w:rPr>
          <w:rFonts w:ascii="Arial" w:hAnsi="Arial" w:cs="Arial"/>
          <w:sz w:val="20"/>
          <w:szCs w:val="20"/>
        </w:rPr>
        <w:t xml:space="preserve">This study employed a quasi-experimental design with two intervention arms: one group received Iron-Folic Acid (IFA) supplementation received one tablet daily containing iron (60 </w:t>
      </w:r>
      <w:r w:rsidRPr="00C966FA">
        <w:rPr>
          <w:rFonts w:ascii="Arial" w:hAnsi="Arial" w:cs="Arial"/>
          <w:sz w:val="20"/>
          <w:szCs w:val="20"/>
        </w:rPr>
        <w:lastRenderedPageBreak/>
        <w:t xml:space="preserve">mg) and folic acid (400 µg) for 90 days, while the other group received Multiple Micronutrient Supplements (MMS) one tablet daily of UNIMMAP formulation containing 15 vitamins and minerals, including 30 mg iron and 400 µg folic acid for 90 days. Follow-up visits were carried out to monitor compliance and to collect blood samples at baseline and after the intervention period. </w:t>
      </w:r>
      <w:r w:rsidR="0048540E">
        <w:rPr>
          <w:rFonts w:ascii="Arial" w:hAnsi="Arial" w:cs="Arial"/>
          <w:sz w:val="20"/>
          <w:szCs w:val="20"/>
        </w:rPr>
        <w:t>The control group received</w:t>
      </w:r>
      <w:r w:rsidRPr="00C966FA">
        <w:rPr>
          <w:rFonts w:ascii="Arial" w:hAnsi="Arial" w:cs="Arial"/>
          <w:sz w:val="20"/>
          <w:szCs w:val="20"/>
        </w:rPr>
        <w:t xml:space="preserve"> no supplementation during the study period. The design allowed for the comparison of the impact of these two interventions on the iron status of pregnant women over a specified period.</w:t>
      </w:r>
    </w:p>
    <w:p w14:paraId="6662F044" w14:textId="77777777" w:rsidR="00FA39E2" w:rsidRPr="00C966FA"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2.1 Eligibility Criteria</w:t>
      </w:r>
    </w:p>
    <w:p w14:paraId="7CA84E8B" w14:textId="04FE5A3D" w:rsidR="00FA39E2" w:rsidRPr="00C966FA" w:rsidRDefault="00E070FD" w:rsidP="0008126A">
      <w:pPr>
        <w:spacing w:before="100" w:beforeAutospacing="1" w:after="100" w:afterAutospacing="1" w:line="480" w:lineRule="auto"/>
        <w:jc w:val="both"/>
        <w:rPr>
          <w:rFonts w:ascii="Arial" w:hAnsi="Arial" w:cs="Arial"/>
          <w:szCs w:val="24"/>
        </w:rPr>
      </w:pPr>
      <w:r w:rsidRPr="00C966FA">
        <w:rPr>
          <w:rFonts w:ascii="Arial" w:hAnsi="Arial" w:cs="Arial"/>
          <w:bCs/>
          <w:szCs w:val="24"/>
        </w:rPr>
        <w:t>Inclusion Criteria</w:t>
      </w:r>
      <w:r w:rsidRPr="00C966FA">
        <w:rPr>
          <w:rFonts w:ascii="Arial" w:hAnsi="Arial" w:cs="Arial"/>
          <w:b/>
          <w:bCs/>
          <w:szCs w:val="24"/>
        </w:rPr>
        <w:t xml:space="preserve"> </w:t>
      </w:r>
      <w:r w:rsidRPr="00C966FA">
        <w:rPr>
          <w:rFonts w:ascii="Arial" w:hAnsi="Arial" w:cs="Arial"/>
          <w:bCs/>
          <w:szCs w:val="24"/>
        </w:rPr>
        <w:t>were</w:t>
      </w:r>
      <w:r w:rsidRPr="00C966FA">
        <w:rPr>
          <w:rFonts w:ascii="Arial" w:hAnsi="Arial" w:cs="Arial"/>
          <w:b/>
          <w:bCs/>
          <w:szCs w:val="24"/>
        </w:rPr>
        <w:t xml:space="preserve"> </w:t>
      </w:r>
      <w:r w:rsidR="001770D7" w:rsidRPr="00C966FA">
        <w:rPr>
          <w:rFonts w:ascii="Arial" w:hAnsi="Arial" w:cs="Arial"/>
          <w:szCs w:val="24"/>
        </w:rPr>
        <w:t>pregnant</w:t>
      </w:r>
      <w:r w:rsidRPr="00C966FA">
        <w:rPr>
          <w:rFonts w:ascii="Arial" w:hAnsi="Arial" w:cs="Arial"/>
          <w:szCs w:val="24"/>
        </w:rPr>
        <w:t xml:space="preserve"> women in their </w:t>
      </w:r>
      <w:r w:rsidRPr="00C966FA">
        <w:rPr>
          <w:rFonts w:ascii="Arial" w:hAnsi="Arial" w:cs="Arial"/>
          <w:bCs/>
          <w:szCs w:val="24"/>
        </w:rPr>
        <w:t>second trimester</w:t>
      </w:r>
      <w:r w:rsidRPr="00C966FA">
        <w:rPr>
          <w:rFonts w:ascii="Arial" w:hAnsi="Arial" w:cs="Arial"/>
          <w:szCs w:val="24"/>
        </w:rPr>
        <w:t xml:space="preserve"> who had registered</w:t>
      </w:r>
      <w:r w:rsidR="0048540E">
        <w:rPr>
          <w:rFonts w:ascii="Arial" w:hAnsi="Arial" w:cs="Arial"/>
          <w:szCs w:val="24"/>
        </w:rPr>
        <w:t>. They were</w:t>
      </w:r>
      <w:r w:rsidRPr="00C966FA">
        <w:rPr>
          <w:rFonts w:ascii="Arial" w:hAnsi="Arial" w:cs="Arial"/>
          <w:szCs w:val="24"/>
        </w:rPr>
        <w:t xml:space="preserve"> attending </w:t>
      </w:r>
      <w:r w:rsidRPr="00C966FA">
        <w:rPr>
          <w:rFonts w:ascii="Arial" w:hAnsi="Arial" w:cs="Arial"/>
          <w:bCs/>
          <w:szCs w:val="24"/>
        </w:rPr>
        <w:t>ANC</w:t>
      </w:r>
      <w:r w:rsidRPr="00C966FA">
        <w:rPr>
          <w:rFonts w:ascii="Arial" w:hAnsi="Arial" w:cs="Arial"/>
          <w:szCs w:val="24"/>
        </w:rPr>
        <w:t xml:space="preserve"> at one of the selected PHC centers and gave</w:t>
      </w:r>
      <w:r w:rsidRPr="00C966FA">
        <w:rPr>
          <w:rFonts w:ascii="Arial" w:hAnsi="Arial" w:cs="Arial"/>
          <w:bCs/>
          <w:szCs w:val="24"/>
        </w:rPr>
        <w:t xml:space="preserve"> consent</w:t>
      </w:r>
      <w:r w:rsidRPr="00C966FA">
        <w:rPr>
          <w:rFonts w:ascii="Arial" w:hAnsi="Arial" w:cs="Arial"/>
          <w:szCs w:val="24"/>
        </w:rPr>
        <w:t xml:space="preserve"> to participate in the study.</w:t>
      </w:r>
      <w:r w:rsidR="005B11C9">
        <w:rPr>
          <w:rFonts w:ascii="Arial" w:hAnsi="Arial" w:cs="Arial"/>
          <w:szCs w:val="24"/>
        </w:rPr>
        <w:t xml:space="preserve"> </w:t>
      </w:r>
      <w:r w:rsidRPr="00C966FA">
        <w:rPr>
          <w:rFonts w:ascii="Arial" w:hAnsi="Arial" w:cs="Arial"/>
          <w:szCs w:val="24"/>
        </w:rPr>
        <w:t>This statement is inconclusive</w:t>
      </w:r>
      <w:r w:rsidR="00EF52FA">
        <w:rPr>
          <w:rFonts w:ascii="Arial" w:hAnsi="Arial" w:cs="Arial"/>
          <w:szCs w:val="24"/>
        </w:rPr>
        <w:t>.</w:t>
      </w:r>
      <w:r w:rsidRPr="00C966FA">
        <w:rPr>
          <w:rFonts w:ascii="Arial" w:hAnsi="Arial" w:cs="Arial"/>
          <w:szCs w:val="24"/>
        </w:rPr>
        <w:t xml:space="preserve"> </w:t>
      </w:r>
    </w:p>
    <w:p w14:paraId="15252268" w14:textId="77777777" w:rsidR="0048540E"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2.2 Study Ar</w:t>
      </w:r>
      <w:r w:rsidR="0048540E">
        <w:rPr>
          <w:rFonts w:ascii="Arial" w:hAnsi="Arial" w:cs="Arial"/>
          <w:b/>
          <w:sz w:val="20"/>
          <w:szCs w:val="22"/>
          <w:shd w:val="clear" w:color="auto" w:fill="FFFFFF"/>
        </w:rPr>
        <w:t>ea</w:t>
      </w:r>
    </w:p>
    <w:p w14:paraId="514893E4" w14:textId="3CD49C5B" w:rsidR="00FA39E2" w:rsidRPr="009E50F7" w:rsidRDefault="00E070FD" w:rsidP="0008126A">
      <w:pPr>
        <w:pStyle w:val="NormalWeb"/>
        <w:spacing w:line="480" w:lineRule="auto"/>
        <w:jc w:val="both"/>
        <w:rPr>
          <w:rFonts w:ascii="Arial" w:hAnsi="Arial" w:cs="Arial"/>
          <w:sz w:val="20"/>
        </w:rPr>
      </w:pPr>
      <w:r w:rsidRPr="00C966FA">
        <w:rPr>
          <w:rFonts w:ascii="Arial" w:hAnsi="Arial" w:cs="Arial"/>
          <w:sz w:val="20"/>
        </w:rPr>
        <w:t xml:space="preserve">The study was conducted in Nasarawa State, Nigeria. </w:t>
      </w:r>
      <w:r w:rsidR="00EF52FA">
        <w:rPr>
          <w:rFonts w:ascii="Arial" w:hAnsi="Arial" w:cs="Arial"/>
          <w:sz w:val="20"/>
        </w:rPr>
        <w:t>Respondents</w:t>
      </w:r>
      <w:r w:rsidR="00EF52FA" w:rsidRPr="00C966FA">
        <w:rPr>
          <w:rFonts w:ascii="Arial" w:hAnsi="Arial" w:cs="Arial"/>
          <w:sz w:val="20"/>
        </w:rPr>
        <w:t xml:space="preserve"> </w:t>
      </w:r>
      <w:r w:rsidRPr="00C966FA">
        <w:rPr>
          <w:rFonts w:ascii="Arial" w:hAnsi="Arial" w:cs="Arial"/>
          <w:sz w:val="20"/>
        </w:rPr>
        <w:t>were selected from across three Basic Healthcare Facilities</w:t>
      </w:r>
      <w:r w:rsidR="00EF52FA">
        <w:rPr>
          <w:rFonts w:ascii="Arial" w:hAnsi="Arial" w:cs="Arial"/>
          <w:sz w:val="20"/>
        </w:rPr>
        <w:t xml:space="preserve"> </w:t>
      </w:r>
      <w:r w:rsidRPr="00C966FA">
        <w:rPr>
          <w:rFonts w:ascii="Arial" w:hAnsi="Arial" w:cs="Arial"/>
          <w:sz w:val="20"/>
        </w:rPr>
        <w:t xml:space="preserve">(PHC Sabon Gari, PHC </w:t>
      </w:r>
      <w:proofErr w:type="spellStart"/>
      <w:r w:rsidRPr="00C966FA">
        <w:rPr>
          <w:rFonts w:ascii="Arial" w:hAnsi="Arial" w:cs="Arial"/>
          <w:sz w:val="20"/>
        </w:rPr>
        <w:t>Adogi</w:t>
      </w:r>
      <w:proofErr w:type="spellEnd"/>
      <w:r w:rsidRPr="00C966FA">
        <w:rPr>
          <w:rFonts w:ascii="Arial" w:hAnsi="Arial" w:cs="Arial"/>
          <w:sz w:val="20"/>
        </w:rPr>
        <w:t>, M</w:t>
      </w:r>
      <w:r w:rsidR="00202D0C">
        <w:rPr>
          <w:rFonts w:ascii="Arial" w:hAnsi="Arial" w:cs="Arial"/>
          <w:sz w:val="20"/>
        </w:rPr>
        <w:t xml:space="preserve">odel </w:t>
      </w:r>
      <w:r w:rsidRPr="00C966FA">
        <w:rPr>
          <w:rFonts w:ascii="Arial" w:hAnsi="Arial" w:cs="Arial"/>
          <w:sz w:val="20"/>
        </w:rPr>
        <w:t>PHC Wamba</w:t>
      </w:r>
      <w:r w:rsidR="008D2D4E">
        <w:rPr>
          <w:rFonts w:ascii="Arial" w:hAnsi="Arial" w:cs="Arial"/>
          <w:sz w:val="20"/>
        </w:rPr>
        <w:t>)</w:t>
      </w:r>
      <w:r w:rsidRPr="00C966FA">
        <w:rPr>
          <w:rFonts w:ascii="Arial" w:hAnsi="Arial" w:cs="Arial"/>
          <w:sz w:val="20"/>
        </w:rPr>
        <w:t xml:space="preserve"> in the state</w:t>
      </w:r>
      <w:r w:rsidR="008D2D4E">
        <w:rPr>
          <w:rFonts w:ascii="Arial" w:hAnsi="Arial" w:cs="Arial"/>
          <w:sz w:val="20"/>
        </w:rPr>
        <w:t>. The</w:t>
      </w:r>
      <w:r w:rsidRPr="00C966FA">
        <w:rPr>
          <w:rFonts w:ascii="Arial" w:hAnsi="Arial" w:cs="Arial"/>
          <w:sz w:val="20"/>
        </w:rPr>
        <w:t xml:space="preserve"> </w:t>
      </w:r>
      <w:r w:rsidR="00EF52FA">
        <w:rPr>
          <w:rFonts w:ascii="Arial" w:hAnsi="Arial" w:cs="Arial"/>
          <w:sz w:val="20"/>
        </w:rPr>
        <w:t>PHCs</w:t>
      </w:r>
      <w:r w:rsidR="00EF52FA" w:rsidRPr="00C966FA">
        <w:rPr>
          <w:rFonts w:ascii="Arial" w:hAnsi="Arial" w:cs="Arial"/>
          <w:sz w:val="20"/>
        </w:rPr>
        <w:t xml:space="preserve"> </w:t>
      </w:r>
      <w:r w:rsidRPr="00C966FA">
        <w:rPr>
          <w:rFonts w:ascii="Arial" w:hAnsi="Arial" w:cs="Arial"/>
          <w:sz w:val="20"/>
        </w:rPr>
        <w:t xml:space="preserve">are located in the rural communities of selected locations, with a total </w:t>
      </w:r>
      <w:r w:rsidR="00EF52FA">
        <w:rPr>
          <w:rFonts w:ascii="Arial" w:hAnsi="Arial" w:cs="Arial"/>
          <w:sz w:val="20"/>
        </w:rPr>
        <w:t xml:space="preserve">monthly </w:t>
      </w:r>
      <w:r w:rsidR="00133D23">
        <w:rPr>
          <w:rFonts w:ascii="Arial" w:hAnsi="Arial" w:cs="Arial"/>
          <w:sz w:val="20"/>
        </w:rPr>
        <w:t xml:space="preserve">ANC attendance </w:t>
      </w:r>
      <w:r w:rsidRPr="00C966FA">
        <w:rPr>
          <w:rFonts w:ascii="Arial" w:hAnsi="Arial" w:cs="Arial"/>
          <w:sz w:val="20"/>
        </w:rPr>
        <w:t xml:space="preserve">of </w:t>
      </w:r>
      <w:r w:rsidR="005D111E">
        <w:rPr>
          <w:rFonts w:ascii="Arial" w:hAnsi="Arial" w:cs="Arial"/>
          <w:sz w:val="20"/>
        </w:rPr>
        <w:t>106</w:t>
      </w:r>
      <w:r w:rsidR="008D2D4E">
        <w:rPr>
          <w:rFonts w:ascii="Arial" w:hAnsi="Arial" w:cs="Arial"/>
          <w:sz w:val="20"/>
        </w:rPr>
        <w:t xml:space="preserve"> </w:t>
      </w:r>
      <w:r w:rsidRPr="00C966FA">
        <w:rPr>
          <w:rFonts w:ascii="Arial" w:hAnsi="Arial" w:cs="Arial"/>
          <w:sz w:val="20"/>
        </w:rPr>
        <w:t>women</w:t>
      </w:r>
      <w:r w:rsidR="00EF52FA">
        <w:rPr>
          <w:rFonts w:ascii="Arial" w:hAnsi="Arial" w:cs="Arial"/>
          <w:sz w:val="20"/>
        </w:rPr>
        <w:t xml:space="preserve"> </w:t>
      </w:r>
      <w:r w:rsidRPr="00C966FA">
        <w:rPr>
          <w:rFonts w:ascii="Arial" w:hAnsi="Arial" w:cs="Arial"/>
          <w:sz w:val="20"/>
        </w:rPr>
        <w:t>for ANC in the three PHCs.</w:t>
      </w:r>
    </w:p>
    <w:p w14:paraId="685E7E52" w14:textId="77777777" w:rsidR="00FA39E2" w:rsidRPr="00C966FA" w:rsidRDefault="00E070FD" w:rsidP="0008126A">
      <w:pPr>
        <w:pStyle w:val="NormalWeb"/>
        <w:spacing w:line="480" w:lineRule="auto"/>
        <w:jc w:val="both"/>
        <w:rPr>
          <w:rFonts w:ascii="Arial" w:hAnsi="Arial" w:cs="Arial"/>
          <w:b/>
          <w:sz w:val="20"/>
          <w:szCs w:val="28"/>
          <w:shd w:val="clear" w:color="auto" w:fill="FFFFFF"/>
        </w:rPr>
      </w:pPr>
      <w:r w:rsidRPr="00C966FA">
        <w:rPr>
          <w:rFonts w:ascii="Arial" w:hAnsi="Arial" w:cs="Arial"/>
          <w:b/>
          <w:sz w:val="20"/>
          <w:szCs w:val="28"/>
          <w:shd w:val="clear" w:color="auto" w:fill="FFFFFF"/>
        </w:rPr>
        <w:t>2.3 Sample Size</w:t>
      </w:r>
    </w:p>
    <w:p w14:paraId="0C211098" w14:textId="77777777" w:rsidR="00FA39E2" w:rsidRPr="00C966FA" w:rsidRDefault="00E070FD" w:rsidP="0008126A">
      <w:pPr>
        <w:autoSpaceDE w:val="0"/>
        <w:autoSpaceDN w:val="0"/>
        <w:adjustRightInd w:val="0"/>
        <w:spacing w:line="480" w:lineRule="auto"/>
        <w:rPr>
          <w:rFonts w:ascii="Arial" w:hAnsi="Arial" w:cs="Arial"/>
          <w:lang w:val="en-GB"/>
        </w:rPr>
      </w:pPr>
      <w:r w:rsidRPr="00C966FA">
        <w:rPr>
          <w:rFonts w:ascii="Arial" w:hAnsi="Arial" w:cs="Arial"/>
        </w:rPr>
        <w:t xml:space="preserve">Sample size was calculated </w:t>
      </w:r>
      <w:r w:rsidRPr="00C966FA">
        <w:rPr>
          <w:rFonts w:ascii="Arial" w:hAnsi="Arial" w:cs="Arial"/>
          <w:lang w:val="en-GB"/>
        </w:rPr>
        <w:t>using Taro Yamane’s formula to determine the recommended number of women to participate in the study:</w:t>
      </w:r>
    </w:p>
    <w:p w14:paraId="1B4DF06E" w14:textId="4D7C22FD" w:rsidR="00FA39E2" w:rsidRPr="005C7D3B" w:rsidRDefault="00E070FD" w:rsidP="005C7D3B">
      <w:pPr>
        <w:spacing w:line="480" w:lineRule="auto"/>
        <w:ind w:firstLine="720"/>
        <w:rPr>
          <w:rStyle w:val="mjx-char"/>
          <w:rFonts w:ascii="Arial" w:hAnsi="Arial" w:cs="Arial"/>
          <w:u w:val="single"/>
        </w:rPr>
      </w:pPr>
      <w:r w:rsidRPr="00C966FA">
        <w:rPr>
          <w:rStyle w:val="mjx-char"/>
          <w:rFonts w:ascii="Arial" w:hAnsi="Arial" w:cs="Arial"/>
        </w:rPr>
        <w:t xml:space="preserve">n= </w:t>
      </w:r>
      <w:r w:rsidRPr="00C966FA">
        <w:rPr>
          <w:rStyle w:val="mjx-char"/>
          <w:rFonts w:ascii="Arial" w:hAnsi="Arial" w:cs="Arial"/>
        </w:rPr>
        <w:tab/>
      </w:r>
      <w:r w:rsidRPr="005C7D3B">
        <w:rPr>
          <w:rFonts w:ascii="Arial" w:hAnsi="Arial" w:cs="Arial"/>
        </w:rPr>
        <w:t>N</w:t>
      </w:r>
      <w:r w:rsidR="005C7D3B" w:rsidRPr="005C7D3B">
        <w:rPr>
          <w:rFonts w:ascii="Arial" w:hAnsi="Arial" w:cs="Arial"/>
        </w:rPr>
        <w:t>/</w:t>
      </w:r>
      <w:r w:rsidRPr="00C966FA">
        <w:rPr>
          <w:rFonts w:ascii="Arial" w:hAnsi="Arial" w:cs="Arial"/>
        </w:rPr>
        <w:t>1+N.e</w:t>
      </w:r>
      <w:r w:rsidRPr="00C966FA">
        <w:rPr>
          <w:rFonts w:ascii="Arial" w:hAnsi="Arial" w:cs="Arial"/>
          <w:vertAlign w:val="superscript"/>
        </w:rPr>
        <w:t>2</w:t>
      </w:r>
    </w:p>
    <w:p w14:paraId="180D7D43" w14:textId="77777777" w:rsidR="00FA39E2" w:rsidRPr="00C966FA" w:rsidRDefault="00E070FD" w:rsidP="0008126A">
      <w:pPr>
        <w:pStyle w:val="NormalWeb"/>
        <w:shd w:val="clear" w:color="auto" w:fill="FFFFFF"/>
        <w:spacing w:before="240" w:beforeAutospacing="0" w:line="480" w:lineRule="auto"/>
        <w:ind w:left="720"/>
        <w:textAlignment w:val="baseline"/>
        <w:rPr>
          <w:rFonts w:ascii="Arial" w:hAnsi="Arial" w:cs="Arial"/>
          <w:sz w:val="20"/>
          <w:szCs w:val="20"/>
        </w:rPr>
      </w:pPr>
      <w:r w:rsidRPr="00C966FA">
        <w:rPr>
          <w:rStyle w:val="mjx-char"/>
          <w:rFonts w:ascii="Arial" w:hAnsi="Arial" w:cs="Arial"/>
          <w:sz w:val="20"/>
          <w:szCs w:val="20"/>
        </w:rPr>
        <w:t>n - Sample size</w:t>
      </w:r>
      <w:r w:rsidRPr="00C966FA">
        <w:rPr>
          <w:rFonts w:ascii="Arial" w:hAnsi="Arial" w:cs="Arial"/>
          <w:sz w:val="20"/>
          <w:szCs w:val="20"/>
        </w:rPr>
        <w:t xml:space="preserve">, </w:t>
      </w:r>
      <w:r w:rsidRPr="00C966FA">
        <w:rPr>
          <w:rStyle w:val="Emphasis"/>
          <w:rFonts w:ascii="Arial" w:hAnsi="Arial" w:cs="Arial"/>
          <w:sz w:val="20"/>
          <w:szCs w:val="20"/>
        </w:rPr>
        <w:t>N</w:t>
      </w:r>
      <w:r w:rsidRPr="00C966FA">
        <w:rPr>
          <w:rFonts w:ascii="Arial" w:hAnsi="Arial" w:cs="Arial"/>
          <w:sz w:val="20"/>
          <w:szCs w:val="20"/>
        </w:rPr>
        <w:t xml:space="preserve"> - Population size, </w:t>
      </w:r>
      <w:r w:rsidRPr="00C966FA">
        <w:rPr>
          <w:rStyle w:val="Emphasis"/>
          <w:rFonts w:ascii="Arial" w:hAnsi="Arial" w:cs="Arial"/>
          <w:sz w:val="20"/>
          <w:szCs w:val="20"/>
        </w:rPr>
        <w:t>e</w:t>
      </w:r>
      <w:r w:rsidRPr="00C966FA">
        <w:rPr>
          <w:rFonts w:ascii="Arial" w:hAnsi="Arial" w:cs="Arial"/>
          <w:sz w:val="20"/>
          <w:szCs w:val="20"/>
        </w:rPr>
        <w:t> - Level of precision</w:t>
      </w:r>
    </w:p>
    <w:p w14:paraId="4AF4497D" w14:textId="73E16C54"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t xml:space="preserve">n= </w:t>
      </w:r>
      <w:r w:rsidRPr="00C966FA">
        <w:rPr>
          <w:rFonts w:ascii="Arial" w:hAnsi="Arial" w:cs="Arial"/>
        </w:rPr>
        <w:tab/>
      </w:r>
      <w:r w:rsidR="005D111E" w:rsidRPr="005C7D3B">
        <w:rPr>
          <w:rFonts w:ascii="Arial" w:hAnsi="Arial" w:cs="Arial"/>
        </w:rPr>
        <w:t>106</w:t>
      </w:r>
      <w:r w:rsidR="005C7D3B" w:rsidRPr="005C7D3B">
        <w:rPr>
          <w:rFonts w:ascii="Arial" w:hAnsi="Arial" w:cs="Arial"/>
        </w:rPr>
        <w:t>/</w:t>
      </w:r>
      <w:r w:rsidR="005C7D3B">
        <w:rPr>
          <w:rFonts w:ascii="Arial" w:hAnsi="Arial" w:cs="Arial"/>
        </w:rPr>
        <w:t xml:space="preserve"> </w:t>
      </w:r>
      <w:r w:rsidRPr="00C966FA">
        <w:rPr>
          <w:rFonts w:ascii="Arial" w:hAnsi="Arial" w:cs="Arial"/>
        </w:rPr>
        <w:t>1+</w:t>
      </w:r>
      <w:r w:rsidR="00E813EA">
        <w:rPr>
          <w:rFonts w:ascii="Arial" w:hAnsi="Arial" w:cs="Arial"/>
        </w:rPr>
        <w:t>106</w:t>
      </w:r>
      <w:r w:rsidRPr="00C966FA">
        <w:rPr>
          <w:rFonts w:ascii="Arial" w:hAnsi="Arial" w:cs="Arial"/>
        </w:rPr>
        <w:t>x0.05</w:t>
      </w:r>
      <w:r w:rsidRPr="00C966FA">
        <w:rPr>
          <w:rFonts w:ascii="Arial" w:hAnsi="Arial" w:cs="Arial"/>
          <w:vertAlign w:val="superscript"/>
        </w:rPr>
        <w:t>2</w:t>
      </w:r>
    </w:p>
    <w:p w14:paraId="121F17A9" w14:textId="55AE1BBB"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lastRenderedPageBreak/>
        <w:t xml:space="preserve">n= </w:t>
      </w:r>
      <w:r w:rsidRPr="00C966FA">
        <w:rPr>
          <w:rFonts w:ascii="Arial" w:hAnsi="Arial" w:cs="Arial"/>
        </w:rPr>
        <w:tab/>
      </w:r>
      <w:r w:rsidR="005D111E" w:rsidRPr="005C7D3B">
        <w:rPr>
          <w:rFonts w:ascii="Arial" w:hAnsi="Arial" w:cs="Arial"/>
        </w:rPr>
        <w:t>106</w:t>
      </w:r>
      <w:r w:rsidR="005C7D3B">
        <w:rPr>
          <w:rFonts w:ascii="Arial" w:hAnsi="Arial" w:cs="Arial"/>
        </w:rPr>
        <w:t xml:space="preserve"> </w:t>
      </w:r>
      <w:r w:rsidR="005C7D3B" w:rsidRPr="005C7D3B">
        <w:rPr>
          <w:rFonts w:ascii="Arial" w:hAnsi="Arial" w:cs="Arial"/>
        </w:rPr>
        <w:t>/</w:t>
      </w:r>
      <w:r w:rsidRPr="00C966FA">
        <w:rPr>
          <w:rFonts w:ascii="Arial" w:hAnsi="Arial" w:cs="Arial"/>
        </w:rPr>
        <w:t>1+</w:t>
      </w:r>
      <w:r w:rsidR="00E813EA">
        <w:rPr>
          <w:rFonts w:ascii="Arial" w:hAnsi="Arial" w:cs="Arial"/>
        </w:rPr>
        <w:t>106</w:t>
      </w:r>
      <w:r w:rsidRPr="00C966FA">
        <w:rPr>
          <w:rFonts w:ascii="Arial" w:hAnsi="Arial" w:cs="Arial"/>
        </w:rPr>
        <w:t>x0.0025</w:t>
      </w:r>
    </w:p>
    <w:p w14:paraId="75578D65" w14:textId="2AC5A368" w:rsidR="00FA39E2" w:rsidRPr="005C7D3B" w:rsidRDefault="00E070FD" w:rsidP="005C7D3B">
      <w:pPr>
        <w:spacing w:line="480" w:lineRule="auto"/>
        <w:ind w:firstLine="720"/>
        <w:rPr>
          <w:rStyle w:val="mjx-char"/>
          <w:rFonts w:ascii="Arial" w:hAnsi="Arial" w:cs="Arial"/>
          <w:u w:val="single"/>
        </w:rPr>
      </w:pPr>
      <w:r w:rsidRPr="00C966FA">
        <w:rPr>
          <w:rFonts w:ascii="Arial" w:hAnsi="Arial" w:cs="Arial"/>
        </w:rPr>
        <w:t xml:space="preserve">n= </w:t>
      </w:r>
      <w:r w:rsidRPr="00C966FA">
        <w:rPr>
          <w:rFonts w:ascii="Arial" w:hAnsi="Arial" w:cs="Arial"/>
        </w:rPr>
        <w:tab/>
      </w:r>
      <w:r w:rsidR="005D111E" w:rsidRPr="005C7D3B">
        <w:rPr>
          <w:rFonts w:ascii="Arial" w:hAnsi="Arial" w:cs="Arial"/>
        </w:rPr>
        <w:t>106</w:t>
      </w:r>
      <w:r w:rsidR="005C7D3B">
        <w:rPr>
          <w:rFonts w:ascii="Arial" w:hAnsi="Arial" w:cs="Arial"/>
        </w:rPr>
        <w:t xml:space="preserve"> </w:t>
      </w:r>
      <w:r w:rsidR="005C7D3B" w:rsidRPr="005C7D3B">
        <w:rPr>
          <w:rFonts w:ascii="Arial" w:hAnsi="Arial" w:cs="Arial"/>
        </w:rPr>
        <w:t>/</w:t>
      </w:r>
      <w:r w:rsidRPr="00C966FA">
        <w:rPr>
          <w:rFonts w:ascii="Arial" w:hAnsi="Arial" w:cs="Arial"/>
        </w:rPr>
        <w:t xml:space="preserve"> 1+</w:t>
      </w:r>
      <w:r w:rsidR="00E813EA">
        <w:rPr>
          <w:rFonts w:ascii="Arial" w:hAnsi="Arial" w:cs="Arial"/>
        </w:rPr>
        <w:t>2.265</w:t>
      </w:r>
    </w:p>
    <w:p w14:paraId="3AD85394" w14:textId="77777777" w:rsidR="00FA39E2" w:rsidRPr="00C966FA" w:rsidRDefault="00E070FD" w:rsidP="0008126A">
      <w:pPr>
        <w:pStyle w:val="NormalWeb"/>
        <w:shd w:val="clear" w:color="auto" w:fill="FFFFFF"/>
        <w:spacing w:before="240" w:beforeAutospacing="0" w:line="480" w:lineRule="auto"/>
        <w:ind w:left="720"/>
        <w:textAlignment w:val="baseline"/>
        <w:rPr>
          <w:rFonts w:ascii="Arial" w:hAnsi="Arial" w:cs="Arial"/>
          <w:sz w:val="20"/>
        </w:rPr>
      </w:pPr>
      <w:r w:rsidRPr="00C966FA">
        <w:rPr>
          <w:rFonts w:ascii="Arial" w:hAnsi="Arial" w:cs="Arial"/>
          <w:sz w:val="20"/>
        </w:rPr>
        <w:t xml:space="preserve">n= </w:t>
      </w:r>
      <w:r w:rsidR="00E813EA">
        <w:rPr>
          <w:rFonts w:ascii="Arial" w:hAnsi="Arial" w:cs="Arial"/>
          <w:sz w:val="20"/>
        </w:rPr>
        <w:t>46</w:t>
      </w:r>
      <w:r w:rsidRPr="00C966FA">
        <w:rPr>
          <w:rFonts w:ascii="Arial" w:hAnsi="Arial" w:cs="Arial"/>
          <w:sz w:val="20"/>
        </w:rPr>
        <w:t xml:space="preserve"> </w:t>
      </w:r>
    </w:p>
    <w:p w14:paraId="180B2039" w14:textId="77777777" w:rsidR="00FA39E2" w:rsidRPr="00113E94" w:rsidRDefault="00E070FD" w:rsidP="0008126A">
      <w:pPr>
        <w:pStyle w:val="NormalWeb"/>
        <w:spacing w:line="480" w:lineRule="auto"/>
        <w:jc w:val="both"/>
        <w:rPr>
          <w:rFonts w:ascii="Arial" w:hAnsi="Arial" w:cs="Arial"/>
          <w:b/>
          <w:sz w:val="20"/>
          <w:szCs w:val="20"/>
          <w:shd w:val="clear" w:color="auto" w:fill="FFFFFF"/>
        </w:rPr>
      </w:pPr>
      <w:r w:rsidRPr="00113E94">
        <w:rPr>
          <w:rFonts w:ascii="Arial" w:hAnsi="Arial" w:cs="Arial"/>
          <w:b/>
          <w:sz w:val="20"/>
          <w:szCs w:val="20"/>
        </w:rPr>
        <w:t>2.4. Data Collection</w:t>
      </w:r>
    </w:p>
    <w:p w14:paraId="7DDFDACF"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A structured and pre-tested questionnaire was used to obtain information on participants’ socio-demographic characteristics, dietary habits, and obstetric history. The instrument contained both closed- and open-ended questions designed to generate standardized and comparable data. Trained research assistants administered the questionnaires during antenatal clinic visits after obtaining informed consent.</w:t>
      </w:r>
    </w:p>
    <w:p w14:paraId="3F5315C6" w14:textId="705E9CA1" w:rsidR="00FA39E2" w:rsidRPr="0008126A" w:rsidRDefault="0026656C" w:rsidP="0008126A">
      <w:pPr>
        <w:pStyle w:val="NormalWeb"/>
        <w:spacing w:line="480" w:lineRule="auto"/>
        <w:jc w:val="both"/>
      </w:pPr>
      <w:r w:rsidRPr="001A7F7F">
        <w:rPr>
          <w:rFonts w:ascii="Arial" w:hAnsi="Arial" w:cs="Arial"/>
          <w:sz w:val="20"/>
          <w:szCs w:val="20"/>
        </w:rPr>
        <w:t>Each completed form was review</w:t>
      </w:r>
      <w:r>
        <w:rPr>
          <w:rFonts w:ascii="Arial" w:hAnsi="Arial" w:cs="Arial"/>
          <w:sz w:val="20"/>
          <w:szCs w:val="20"/>
        </w:rPr>
        <w:t xml:space="preserve">ed daily </w:t>
      </w:r>
      <w:r w:rsidRPr="001A7F7F">
        <w:rPr>
          <w:rFonts w:ascii="Arial" w:hAnsi="Arial" w:cs="Arial"/>
          <w:sz w:val="20"/>
          <w:szCs w:val="20"/>
        </w:rPr>
        <w:t>to ensure completeness and accuracy. Data were coded and entered into the Statistical Package for Social Sciences (SPSS, version 25). Variables such as age, educational level, parity, dietary habits, supplement use, and rest hours</w:t>
      </w:r>
      <w:r w:rsidR="008D2D4E">
        <w:rPr>
          <w:rFonts w:ascii="Arial" w:hAnsi="Arial" w:cs="Arial"/>
          <w:sz w:val="20"/>
          <w:szCs w:val="20"/>
        </w:rPr>
        <w:t xml:space="preserve"> </w:t>
      </w:r>
      <w:r w:rsidRPr="001A7F7F">
        <w:rPr>
          <w:rFonts w:ascii="Arial" w:hAnsi="Arial" w:cs="Arial"/>
          <w:sz w:val="20"/>
          <w:szCs w:val="20"/>
        </w:rPr>
        <w:t xml:space="preserve">were </w:t>
      </w:r>
      <w:proofErr w:type="spellStart"/>
      <w:r w:rsidR="008D2D4E">
        <w:rPr>
          <w:rFonts w:ascii="Arial" w:hAnsi="Arial" w:cs="Arial"/>
          <w:sz w:val="20"/>
          <w:szCs w:val="20"/>
        </w:rPr>
        <w:t>analysed</w:t>
      </w:r>
      <w:proofErr w:type="spellEnd"/>
      <w:r w:rsidRPr="001A7F7F">
        <w:rPr>
          <w:rFonts w:ascii="Arial" w:hAnsi="Arial" w:cs="Arial"/>
          <w:sz w:val="20"/>
          <w:szCs w:val="20"/>
        </w:rPr>
        <w:t xml:space="preserve"> using descriptive statistics (frequencies and percentages). Associations between categorical variables and intervention groups were examined through cross-tabulations and Chi-square tests.</w:t>
      </w:r>
    </w:p>
    <w:p w14:paraId="71771143" w14:textId="77777777" w:rsidR="00FA39E2" w:rsidRPr="00113E94" w:rsidRDefault="00E070FD" w:rsidP="0008126A">
      <w:pPr>
        <w:spacing w:line="480" w:lineRule="auto"/>
        <w:jc w:val="both"/>
        <w:rPr>
          <w:rFonts w:ascii="Arial" w:hAnsi="Arial" w:cs="Arial"/>
          <w:b/>
        </w:rPr>
      </w:pPr>
      <w:r w:rsidRPr="00113E94">
        <w:rPr>
          <w:rFonts w:ascii="Arial" w:hAnsi="Arial" w:cs="Arial"/>
          <w:b/>
        </w:rPr>
        <w:t>2.5 Laboratory Analyses</w:t>
      </w:r>
    </w:p>
    <w:p w14:paraId="7FDE2A5A" w14:textId="3B1697D7" w:rsidR="0026656C" w:rsidRPr="006729CB" w:rsidRDefault="006729CB" w:rsidP="0008126A">
      <w:pPr>
        <w:pStyle w:val="Heading3"/>
        <w:spacing w:line="480" w:lineRule="auto"/>
        <w:jc w:val="both"/>
        <w:rPr>
          <w:rFonts w:ascii="Arial" w:hAnsi="Arial" w:cs="Arial"/>
          <w:i/>
          <w:color w:val="auto"/>
          <w:sz w:val="20"/>
          <w:szCs w:val="20"/>
        </w:rPr>
      </w:pPr>
      <w:r w:rsidRPr="006729CB">
        <w:rPr>
          <w:rStyle w:val="Strong"/>
          <w:rFonts w:ascii="Arial" w:hAnsi="Arial" w:cs="Arial"/>
          <w:bCs w:val="0"/>
          <w:i/>
          <w:color w:val="auto"/>
          <w:sz w:val="20"/>
          <w:szCs w:val="20"/>
        </w:rPr>
        <w:t>2</w:t>
      </w:r>
      <w:r>
        <w:rPr>
          <w:rStyle w:val="Strong"/>
          <w:rFonts w:ascii="Arial" w:hAnsi="Arial" w:cs="Arial"/>
          <w:bCs w:val="0"/>
          <w:i/>
          <w:color w:val="auto"/>
          <w:sz w:val="20"/>
          <w:szCs w:val="20"/>
        </w:rPr>
        <w:t>.</w:t>
      </w:r>
      <w:r w:rsidRPr="006729CB">
        <w:rPr>
          <w:rStyle w:val="Strong"/>
          <w:rFonts w:ascii="Arial" w:hAnsi="Arial" w:cs="Arial"/>
          <w:bCs w:val="0"/>
          <w:i/>
          <w:color w:val="auto"/>
          <w:sz w:val="20"/>
          <w:szCs w:val="20"/>
        </w:rPr>
        <w:t xml:space="preserve">5.1 </w:t>
      </w:r>
      <w:r w:rsidR="0026656C" w:rsidRPr="006729CB">
        <w:rPr>
          <w:rStyle w:val="Strong"/>
          <w:rFonts w:ascii="Arial" w:hAnsi="Arial" w:cs="Arial"/>
          <w:bCs w:val="0"/>
          <w:i/>
          <w:color w:val="auto"/>
          <w:sz w:val="20"/>
          <w:szCs w:val="20"/>
        </w:rPr>
        <w:t>Sample Collection and Handling</w:t>
      </w:r>
    </w:p>
    <w:p w14:paraId="090BB802"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Venous blood samples were coll</w:t>
      </w:r>
      <w:r>
        <w:rPr>
          <w:rFonts w:ascii="Arial" w:hAnsi="Arial" w:cs="Arial"/>
          <w:sz w:val="20"/>
          <w:szCs w:val="20"/>
        </w:rPr>
        <w:t xml:space="preserve">ected by a trained laboratory technician </w:t>
      </w:r>
      <w:r w:rsidRPr="001A7F7F">
        <w:rPr>
          <w:rFonts w:ascii="Arial" w:hAnsi="Arial" w:cs="Arial"/>
          <w:sz w:val="20"/>
          <w:szCs w:val="20"/>
        </w:rPr>
        <w:t xml:space="preserve">under strict aseptic conditions, following the </w:t>
      </w:r>
      <w:r w:rsidRPr="001A7F7F">
        <w:rPr>
          <w:rStyle w:val="Strong"/>
          <w:rFonts w:ascii="Arial" w:hAnsi="Arial" w:cs="Arial"/>
          <w:b w:val="0"/>
          <w:sz w:val="20"/>
          <w:szCs w:val="20"/>
        </w:rPr>
        <w:t>World Health Organization (WHO, 2010)</w:t>
      </w:r>
      <w:r w:rsidRPr="001A7F7F">
        <w:rPr>
          <w:rFonts w:ascii="Arial" w:hAnsi="Arial" w:cs="Arial"/>
          <w:sz w:val="20"/>
          <w:szCs w:val="20"/>
        </w:rPr>
        <w:t xml:space="preserve"> and </w:t>
      </w:r>
      <w:r w:rsidRPr="001A7F7F">
        <w:rPr>
          <w:rStyle w:val="Strong"/>
          <w:rFonts w:ascii="Arial" w:hAnsi="Arial" w:cs="Arial"/>
          <w:b w:val="0"/>
          <w:sz w:val="20"/>
          <w:szCs w:val="20"/>
        </w:rPr>
        <w:t>Clinical and Laboratory Standards Institute (CLSI GP41, 2017)</w:t>
      </w:r>
      <w:r w:rsidRPr="001A7F7F">
        <w:rPr>
          <w:rFonts w:ascii="Arial" w:hAnsi="Arial" w:cs="Arial"/>
          <w:sz w:val="20"/>
          <w:szCs w:val="20"/>
        </w:rPr>
        <w:t xml:space="preserve"> guidelines. Approximately 3–5 mL of venous blood was drawn from each participant into Ethylenediaminetetraacetic acid (EDTA) tubes for hematological analysis and into plain vacutainer tubes for biochemical assays.</w:t>
      </w:r>
    </w:p>
    <w:p w14:paraId="219EDB34"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lastRenderedPageBreak/>
        <w:t>Each sample was appropriately labeled with participant identification codes, date, and time of collection. The samples were stored in a cool box at 2–8 °C and transported to the partner laboratory within 24 hours to ensure stability of the measured parameters. Used needles and materials were discarded in puncture-proof sharps containers in line with biomedical waste management protocols.</w:t>
      </w:r>
    </w:p>
    <w:p w14:paraId="664C0F63" w14:textId="77777777" w:rsidR="0026656C" w:rsidRPr="006A111E" w:rsidRDefault="008C3517" w:rsidP="0008126A">
      <w:pPr>
        <w:pStyle w:val="NormalWeb"/>
        <w:spacing w:line="480" w:lineRule="auto"/>
        <w:jc w:val="both"/>
        <w:rPr>
          <w:rFonts w:ascii="Arial" w:hAnsi="Arial" w:cs="Arial"/>
          <w:i/>
          <w:sz w:val="20"/>
          <w:szCs w:val="20"/>
        </w:rPr>
      </w:pPr>
      <w:r w:rsidRPr="006A111E">
        <w:rPr>
          <w:rStyle w:val="Strong"/>
          <w:rFonts w:ascii="Arial" w:hAnsi="Arial" w:cs="Arial"/>
          <w:bCs w:val="0"/>
          <w:i/>
          <w:sz w:val="20"/>
          <w:szCs w:val="20"/>
        </w:rPr>
        <w:t xml:space="preserve">2.5.1 </w:t>
      </w:r>
      <w:r w:rsidR="0026656C" w:rsidRPr="006A111E">
        <w:rPr>
          <w:rStyle w:val="Strong"/>
          <w:rFonts w:ascii="Arial" w:hAnsi="Arial" w:cs="Arial"/>
          <w:bCs w:val="0"/>
          <w:i/>
          <w:sz w:val="20"/>
          <w:szCs w:val="20"/>
        </w:rPr>
        <w:t>Hematological Analysis</w:t>
      </w:r>
    </w:p>
    <w:p w14:paraId="0EF73D55"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Hematological parameters—including hemoglobin concentration (Hb), packed cell volume (PCV), red blood cell count (RBC), white blood cell count (WBC), platelet count, and red cell indices (MCV, MCH, MCHC)—were determined using an automated hematology analyzer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KT-series,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Biotech Inc., China</w:t>
      </w:r>
      <w:r w:rsidRPr="001A7F7F">
        <w:rPr>
          <w:rFonts w:ascii="Arial" w:hAnsi="Arial" w:cs="Arial"/>
          <w:sz w:val="20"/>
          <w:szCs w:val="20"/>
        </w:rPr>
        <w:t>).</w:t>
      </w:r>
    </w:p>
    <w:p w14:paraId="3DF89CBA" w14:textId="77777777" w:rsidR="0026656C" w:rsidRDefault="0026656C" w:rsidP="0008126A">
      <w:pPr>
        <w:pStyle w:val="NormalWeb"/>
        <w:spacing w:line="480" w:lineRule="auto"/>
        <w:jc w:val="both"/>
        <w:rPr>
          <w:rFonts w:ascii="Arial" w:hAnsi="Arial" w:cs="Arial"/>
          <w:sz w:val="20"/>
          <w:szCs w:val="20"/>
        </w:rPr>
      </w:pPr>
      <w:r>
        <w:rPr>
          <w:rFonts w:ascii="Arial" w:hAnsi="Arial" w:cs="Arial"/>
          <w:sz w:val="20"/>
          <w:szCs w:val="20"/>
        </w:rPr>
        <w:t xml:space="preserve">The analyzer operates with </w:t>
      </w:r>
      <w:r w:rsidRPr="001A7F7F">
        <w:rPr>
          <w:rFonts w:ascii="Arial" w:hAnsi="Arial" w:cs="Arial"/>
          <w:sz w:val="20"/>
          <w:szCs w:val="20"/>
        </w:rPr>
        <w:t xml:space="preserve">the </w:t>
      </w:r>
      <w:r w:rsidRPr="001A7F7F">
        <w:rPr>
          <w:rStyle w:val="Strong"/>
          <w:rFonts w:ascii="Arial" w:hAnsi="Arial" w:cs="Arial"/>
          <w:b w:val="0"/>
          <w:sz w:val="20"/>
          <w:szCs w:val="20"/>
        </w:rPr>
        <w:t>electrical impedance (Coulter) principle</w:t>
      </w:r>
      <w:r w:rsidRPr="001A7F7F">
        <w:rPr>
          <w:rFonts w:ascii="Arial" w:hAnsi="Arial" w:cs="Arial"/>
          <w:sz w:val="20"/>
          <w:szCs w:val="20"/>
        </w:rPr>
        <w:t xml:space="preserve"> for counting and sizing blood cells, and </w:t>
      </w:r>
      <w:r w:rsidRPr="001A7F7F">
        <w:rPr>
          <w:rStyle w:val="Strong"/>
          <w:rFonts w:ascii="Arial" w:hAnsi="Arial" w:cs="Arial"/>
          <w:b w:val="0"/>
          <w:sz w:val="20"/>
          <w:szCs w:val="20"/>
        </w:rPr>
        <w:t>photometric analysis</w:t>
      </w:r>
      <w:r w:rsidRPr="001A7F7F">
        <w:rPr>
          <w:rFonts w:ascii="Arial" w:hAnsi="Arial" w:cs="Arial"/>
          <w:sz w:val="20"/>
          <w:szCs w:val="20"/>
        </w:rPr>
        <w:t xml:space="preserve"> for hemoglobin determination. Routine calibration and internal quality control were performed daily using low, medium, and high control materials before analysis. Results were displayed and automatically flagged for val</w:t>
      </w:r>
      <w:r>
        <w:rPr>
          <w:rFonts w:ascii="Arial" w:hAnsi="Arial" w:cs="Arial"/>
          <w:sz w:val="20"/>
          <w:szCs w:val="20"/>
        </w:rPr>
        <w:t xml:space="preserve">ues outside the reference range. </w:t>
      </w:r>
    </w:p>
    <w:p w14:paraId="05A163EA" w14:textId="77777777" w:rsidR="0026656C" w:rsidRPr="006A111E" w:rsidRDefault="008C3517" w:rsidP="0008126A">
      <w:pPr>
        <w:pStyle w:val="NormalWeb"/>
        <w:spacing w:line="480" w:lineRule="auto"/>
        <w:jc w:val="both"/>
        <w:rPr>
          <w:rStyle w:val="Strong"/>
          <w:rFonts w:ascii="Arial" w:hAnsi="Arial" w:cs="Arial"/>
          <w:bCs w:val="0"/>
          <w:i/>
          <w:sz w:val="20"/>
          <w:szCs w:val="20"/>
        </w:rPr>
      </w:pPr>
      <w:r w:rsidRPr="006A111E">
        <w:rPr>
          <w:rStyle w:val="Strong"/>
          <w:rFonts w:ascii="Arial" w:hAnsi="Arial" w:cs="Arial"/>
          <w:bCs w:val="0"/>
          <w:i/>
          <w:sz w:val="20"/>
          <w:szCs w:val="20"/>
        </w:rPr>
        <w:t>2.5.2.</w:t>
      </w:r>
      <w:r w:rsidR="006A111E">
        <w:rPr>
          <w:rStyle w:val="Strong"/>
          <w:rFonts w:ascii="Arial" w:hAnsi="Arial" w:cs="Arial"/>
          <w:bCs w:val="0"/>
          <w:i/>
          <w:sz w:val="20"/>
          <w:szCs w:val="20"/>
        </w:rPr>
        <w:t xml:space="preserve"> </w:t>
      </w:r>
      <w:r w:rsidR="0026656C" w:rsidRPr="006A111E">
        <w:rPr>
          <w:rStyle w:val="Strong"/>
          <w:rFonts w:ascii="Arial" w:hAnsi="Arial" w:cs="Arial"/>
          <w:bCs w:val="0"/>
          <w:i/>
          <w:sz w:val="20"/>
          <w:szCs w:val="20"/>
        </w:rPr>
        <w:t xml:space="preserve">Biochemical Assays </w:t>
      </w:r>
    </w:p>
    <w:p w14:paraId="1B82C168" w14:textId="1CB12822"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2.5.2.1 </w:t>
      </w:r>
      <w:r w:rsidR="0026656C" w:rsidRPr="006729CB">
        <w:rPr>
          <w:rStyle w:val="Strong"/>
          <w:rFonts w:ascii="Arial" w:hAnsi="Arial" w:cs="Arial"/>
          <w:bCs w:val="0"/>
          <w:i/>
          <w:sz w:val="20"/>
          <w:szCs w:val="20"/>
        </w:rPr>
        <w:t>Determination of Serum Iron</w:t>
      </w:r>
    </w:p>
    <w:p w14:paraId="02426B82"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iron concentration was measured using a fully automated chemistry analyzer based on the </w:t>
      </w:r>
      <w:r w:rsidRPr="001A7F7F">
        <w:rPr>
          <w:rStyle w:val="Strong"/>
          <w:rFonts w:ascii="Arial" w:hAnsi="Arial" w:cs="Arial"/>
          <w:b w:val="0"/>
          <w:sz w:val="20"/>
          <w:szCs w:val="20"/>
        </w:rPr>
        <w:t>ferrozine colorimetric method</w:t>
      </w:r>
      <w:r>
        <w:rPr>
          <w:rStyle w:val="Strong"/>
          <w:rFonts w:ascii="Arial" w:hAnsi="Arial" w:cs="Arial"/>
          <w:b w:val="0"/>
          <w:sz w:val="20"/>
          <w:szCs w:val="20"/>
        </w:rPr>
        <w:t xml:space="preserve"> </w:t>
      </w:r>
      <w:r w:rsidRPr="009E50F7">
        <w:rPr>
          <w:rFonts w:ascii="Arial" w:hAnsi="Arial" w:cs="Arial"/>
          <w:sz w:val="20"/>
        </w:rPr>
        <w:t>(Stookey, 1970)</w:t>
      </w:r>
      <w:r w:rsidRPr="001A7F7F">
        <w:rPr>
          <w:rFonts w:ascii="Arial" w:hAnsi="Arial" w:cs="Arial"/>
          <w:sz w:val="20"/>
          <w:szCs w:val="20"/>
        </w:rPr>
        <w:t>. In this procedure, iron is released from transferrin, reduced to its ferrous form, and subsequently reacts with ferrozine to form a purple complex measured photometrically at 560 nm. Calibration standards and quality control sera supplied by the manufacturer were analyzed concurrently with each batch. Results were expressed in micrograms per deciliter (µg/dL).</w:t>
      </w:r>
    </w:p>
    <w:p w14:paraId="4922FA98" w14:textId="510E206B"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lastRenderedPageBreak/>
        <w:t xml:space="preserve">2.5.2.2 </w:t>
      </w:r>
      <w:r w:rsidR="0026656C" w:rsidRPr="006729CB">
        <w:rPr>
          <w:rStyle w:val="Strong"/>
          <w:rFonts w:ascii="Arial" w:hAnsi="Arial" w:cs="Arial"/>
          <w:bCs w:val="0"/>
          <w:i/>
          <w:sz w:val="20"/>
          <w:szCs w:val="20"/>
        </w:rPr>
        <w:t>Determination of Serum Ferritin</w:t>
      </w:r>
    </w:p>
    <w:p w14:paraId="5DF4850B"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ferritin levels were determined using the </w:t>
      </w:r>
      <w:proofErr w:type="spellStart"/>
      <w:r w:rsidRPr="001A7F7F">
        <w:rPr>
          <w:rStyle w:val="Strong"/>
          <w:rFonts w:ascii="Arial" w:hAnsi="Arial" w:cs="Arial"/>
          <w:b w:val="0"/>
          <w:sz w:val="20"/>
          <w:szCs w:val="20"/>
        </w:rPr>
        <w:t>iCHROMA</w:t>
      </w:r>
      <w:proofErr w:type="spellEnd"/>
      <w:r w:rsidRPr="001A7F7F">
        <w:rPr>
          <w:rStyle w:val="Strong"/>
          <w:rFonts w:ascii="Arial" w:hAnsi="Arial" w:cs="Arial"/>
          <w:b w:val="0"/>
          <w:sz w:val="20"/>
          <w:szCs w:val="20"/>
        </w:rPr>
        <w:t>™ II Analyzer</w:t>
      </w:r>
      <w:r w:rsidRPr="001A7F7F">
        <w:rPr>
          <w:rFonts w:ascii="Arial" w:hAnsi="Arial" w:cs="Arial"/>
          <w:sz w:val="20"/>
          <w:szCs w:val="20"/>
        </w:rPr>
        <w:t xml:space="preserve"> (</w:t>
      </w:r>
      <w:proofErr w:type="spellStart"/>
      <w:r w:rsidRPr="001A7F7F">
        <w:rPr>
          <w:rFonts w:ascii="Arial" w:hAnsi="Arial" w:cs="Arial"/>
          <w:sz w:val="20"/>
          <w:szCs w:val="20"/>
        </w:rPr>
        <w:t>Boditech</w:t>
      </w:r>
      <w:proofErr w:type="spellEnd"/>
      <w:r w:rsidRPr="001A7F7F">
        <w:rPr>
          <w:rFonts w:ascii="Arial" w:hAnsi="Arial" w:cs="Arial"/>
          <w:sz w:val="20"/>
          <w:szCs w:val="20"/>
        </w:rPr>
        <w:t xml:space="preserve"> Med Inc., South Korea), a fluorescence-based immunoassay analyzer. The method employs a sandwich immunoassay principle, whereby ferritin in the sample binds to two monoclonal antibodies—one labeled with a fluorescent dye and the other immobilized on a test cartridge. After incubation, fluorescence intensity proportional to ferritin concentration is detected by the instrument’s optical system.</w:t>
      </w:r>
    </w:p>
    <w:p w14:paraId="08A0D017"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Internal quality controls were run daily to ensure accuracy, and results were expressed quantitatively in nanograms per milliliter (ng/mL). Ferritin values below the reference range (&lt;15 ng/mL) were considered indicative of depleted iron stores, while elevated levels reflected adequate or excessive stores or possible inflammatory responses.</w:t>
      </w:r>
    </w:p>
    <w:p w14:paraId="1C5BB4B6" w14:textId="42426841"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2.5.2.3 </w:t>
      </w:r>
      <w:r w:rsidR="0026656C" w:rsidRPr="006729CB">
        <w:rPr>
          <w:rStyle w:val="Strong"/>
          <w:rFonts w:ascii="Arial" w:hAnsi="Arial" w:cs="Arial"/>
          <w:bCs w:val="0"/>
          <w:i/>
          <w:sz w:val="20"/>
          <w:szCs w:val="20"/>
        </w:rPr>
        <w:t>Quality Assurance</w:t>
      </w:r>
    </w:p>
    <w:p w14:paraId="05305FFF" w14:textId="77777777" w:rsidR="00FA39E2" w:rsidRPr="00C966FA" w:rsidRDefault="0026656C" w:rsidP="0008126A">
      <w:pPr>
        <w:pStyle w:val="NormalWeb"/>
        <w:spacing w:line="480" w:lineRule="auto"/>
        <w:jc w:val="both"/>
      </w:pPr>
      <w:r w:rsidRPr="001A7F7F">
        <w:rPr>
          <w:rFonts w:ascii="Arial" w:hAnsi="Arial" w:cs="Arial"/>
          <w:sz w:val="20"/>
          <w:szCs w:val="20"/>
        </w:rPr>
        <w:t>All analyses were performed at the designated partner laboratory using standardized operating procedures and in compliance with the manufacturers’ instructions for each assay. Daily calibration and internal controls were conducted for both hematological and biochemical analyses to maintain accuracy and reproducibility. Biosafety practices and proper waste disposal procedures were strictly observed throughout the study period.</w:t>
      </w:r>
    </w:p>
    <w:p w14:paraId="331C7DB8" w14:textId="746DB6C7" w:rsidR="00FA39E2" w:rsidRPr="0008126A" w:rsidRDefault="00E070FD" w:rsidP="0008126A">
      <w:pPr>
        <w:pStyle w:val="Heading2"/>
        <w:spacing w:line="480" w:lineRule="auto"/>
        <w:jc w:val="both"/>
        <w:rPr>
          <w:rFonts w:ascii="Arial" w:hAnsi="Arial" w:cs="Arial"/>
          <w:b/>
          <w:color w:val="auto"/>
          <w:sz w:val="22"/>
          <w:szCs w:val="20"/>
        </w:rPr>
      </w:pPr>
      <w:r w:rsidRPr="00C966FA">
        <w:rPr>
          <w:rFonts w:ascii="Arial" w:hAnsi="Arial" w:cs="Arial"/>
          <w:b/>
          <w:color w:val="auto"/>
          <w:sz w:val="22"/>
          <w:szCs w:val="20"/>
        </w:rPr>
        <w:t>2.6 Statistical Analysis</w:t>
      </w:r>
    </w:p>
    <w:p w14:paraId="6593CB99" w14:textId="43B7B25C" w:rsidR="0026656C" w:rsidRPr="0008126A" w:rsidRDefault="00E070FD" w:rsidP="0008126A">
      <w:pPr>
        <w:shd w:val="clear" w:color="auto" w:fill="FFFFFF"/>
        <w:spacing w:line="480" w:lineRule="auto"/>
        <w:jc w:val="both"/>
        <w:rPr>
          <w:rFonts w:ascii="Arial" w:hAnsi="Arial" w:cs="Arial"/>
          <w:sz w:val="24"/>
          <w:szCs w:val="24"/>
        </w:rPr>
      </w:pPr>
      <w:r w:rsidRPr="00C966FA">
        <w:rPr>
          <w:rFonts w:ascii="Arial" w:hAnsi="Arial" w:cs="Arial"/>
        </w:rPr>
        <w:t xml:space="preserve">Data were analyzed using SPSS version 25. </w:t>
      </w:r>
      <w:r w:rsidRPr="00C966FA">
        <w:rPr>
          <w:rFonts w:ascii="Arial" w:hAnsi="Arial" w:cs="Arial"/>
          <w:shd w:val="clear" w:color="auto" w:fill="FFFFFF"/>
        </w:rPr>
        <w:t xml:space="preserve">Frequency and percentage were used to summarize categorical variables such as age, Education, occupation, dietary habits, health seeking, and parity. </w:t>
      </w:r>
      <w:r w:rsidRPr="00C966FA">
        <w:rPr>
          <w:rFonts w:ascii="Arial" w:hAnsi="Arial" w:cs="Arial"/>
        </w:rPr>
        <w:t>Descriptive statistics were presented as mean ± standard deviation. Paired t-tests compared baseline and endline values within groups, while ANOVA c</w:t>
      </w:r>
      <w:r w:rsidR="00FC7F05">
        <w:rPr>
          <w:rFonts w:ascii="Arial" w:hAnsi="Arial" w:cs="Arial"/>
        </w:rPr>
        <w:t>ompared changes across groups,</w:t>
      </w:r>
      <w:r w:rsidRPr="00C966FA">
        <w:rPr>
          <w:rFonts w:ascii="Arial" w:hAnsi="Arial" w:cs="Arial"/>
        </w:rPr>
        <w:t xml:space="preserve"> </w:t>
      </w:r>
      <w:r w:rsidRPr="00C966FA">
        <w:rPr>
          <w:rFonts w:ascii="Arial" w:hAnsi="Arial" w:cs="Arial"/>
          <w:i/>
        </w:rPr>
        <w:t>P</w:t>
      </w:r>
      <w:r w:rsidR="00FC7F05">
        <w:rPr>
          <w:rFonts w:ascii="Arial" w:hAnsi="Arial" w:cs="Arial"/>
          <w:i/>
        </w:rPr>
        <w:t xml:space="preserve">= </w:t>
      </w:r>
      <w:r w:rsidRPr="00C966FA">
        <w:rPr>
          <w:rFonts w:ascii="Arial" w:hAnsi="Arial" w:cs="Arial"/>
        </w:rPr>
        <w:t xml:space="preserve">.05 was considered statistically significant. </w:t>
      </w:r>
      <w:r w:rsidRPr="00C966FA">
        <w:rPr>
          <w:rFonts w:ascii="Arial" w:hAnsi="Arial" w:cs="Arial"/>
          <w:szCs w:val="25"/>
        </w:rPr>
        <w:t>Results were presented in tables and charts.</w:t>
      </w:r>
    </w:p>
    <w:p w14:paraId="1C27B109" w14:textId="4719B0CE" w:rsidR="008975BC" w:rsidRPr="00C966FA" w:rsidRDefault="00E070FD" w:rsidP="0008126A">
      <w:pPr>
        <w:pStyle w:val="Head1"/>
        <w:spacing w:after="0" w:line="480" w:lineRule="auto"/>
        <w:jc w:val="both"/>
        <w:rPr>
          <w:rFonts w:ascii="Arial" w:hAnsi="Arial" w:cs="Arial"/>
        </w:rPr>
      </w:pPr>
      <w:r w:rsidRPr="00C966FA">
        <w:rPr>
          <w:rFonts w:ascii="Arial" w:hAnsi="Arial" w:cs="Arial"/>
        </w:rPr>
        <w:lastRenderedPageBreak/>
        <w:t>3. results and discussion</w:t>
      </w:r>
    </w:p>
    <w:p w14:paraId="39BF607D" w14:textId="4C146C5D" w:rsidR="00FA39E2" w:rsidRPr="00113E94" w:rsidRDefault="00E070FD" w:rsidP="0008126A">
      <w:pPr>
        <w:pStyle w:val="Caption"/>
        <w:spacing w:line="480" w:lineRule="auto"/>
        <w:rPr>
          <w:rFonts w:ascii="Arial" w:hAnsi="Arial" w:cs="Arial"/>
          <w:b/>
          <w:bCs/>
          <w:i w:val="0"/>
          <w:iCs w:val="0"/>
          <w:color w:val="auto"/>
          <w:sz w:val="20"/>
          <w:szCs w:val="20"/>
        </w:rPr>
      </w:pPr>
      <w:bookmarkStart w:id="1" w:name="_Toc209781906"/>
      <w:r w:rsidRPr="00113E94">
        <w:rPr>
          <w:rFonts w:ascii="Arial" w:hAnsi="Arial" w:cs="Arial"/>
          <w:b/>
          <w:bCs/>
          <w:i w:val="0"/>
          <w:iCs w:val="0"/>
          <w:color w:val="auto"/>
          <w:sz w:val="20"/>
          <w:szCs w:val="20"/>
        </w:rPr>
        <w:t>3.1 Socio-Demographic Characteristics of Study Parti</w:t>
      </w:r>
      <w:r w:rsidR="00C12F4E">
        <w:rPr>
          <w:rFonts w:ascii="Arial" w:hAnsi="Arial" w:cs="Arial"/>
          <w:b/>
          <w:bCs/>
          <w:i w:val="0"/>
          <w:iCs w:val="0"/>
          <w:color w:val="auto"/>
          <w:sz w:val="20"/>
          <w:szCs w:val="20"/>
        </w:rPr>
        <w:t>cipants by Intervention Group (n</w:t>
      </w:r>
      <w:r w:rsidRPr="00113E94">
        <w:rPr>
          <w:rFonts w:ascii="Arial" w:hAnsi="Arial" w:cs="Arial"/>
          <w:b/>
          <w:bCs/>
          <w:i w:val="0"/>
          <w:iCs w:val="0"/>
          <w:color w:val="auto"/>
          <w:sz w:val="20"/>
          <w:szCs w:val="20"/>
        </w:rPr>
        <w:t>=</w:t>
      </w:r>
      <w:commentRangeStart w:id="2"/>
      <w:r w:rsidRPr="00113E94">
        <w:rPr>
          <w:rFonts w:ascii="Arial" w:hAnsi="Arial" w:cs="Arial"/>
          <w:b/>
          <w:bCs/>
          <w:i w:val="0"/>
          <w:iCs w:val="0"/>
          <w:color w:val="auto"/>
          <w:sz w:val="20"/>
          <w:szCs w:val="20"/>
        </w:rPr>
        <w:t>36</w:t>
      </w:r>
      <w:commentRangeEnd w:id="2"/>
      <w:r w:rsidR="00F56C66">
        <w:rPr>
          <w:rStyle w:val="CommentReference"/>
          <w:rFonts w:ascii="Times New Roman" w:eastAsia="Times New Roman" w:hAnsi="Times New Roman" w:cs="Times New Roman"/>
          <w:i w:val="0"/>
          <w:iCs w:val="0"/>
          <w:color w:val="auto"/>
          <w:lang w:val="nb-NO" w:eastAsia="nb-NO"/>
        </w:rPr>
        <w:commentReference w:id="2"/>
      </w:r>
      <w:r w:rsidRPr="00113E94">
        <w:rPr>
          <w:rFonts w:ascii="Arial" w:hAnsi="Arial" w:cs="Arial"/>
          <w:b/>
          <w:bCs/>
          <w:i w:val="0"/>
          <w:iCs w:val="0"/>
          <w:color w:val="auto"/>
          <w:sz w:val="20"/>
          <w:szCs w:val="20"/>
        </w:rPr>
        <w:t>)</w:t>
      </w:r>
      <w:bookmarkEnd w:id="1"/>
      <w:r w:rsidR="00F56C66">
        <w:rPr>
          <w:rFonts w:ascii="Arial" w:hAnsi="Arial" w:cs="Arial"/>
          <w:b/>
          <w:bCs/>
          <w:i w:val="0"/>
          <w:iCs w:val="0"/>
          <w:color w:val="auto"/>
          <w:sz w:val="20"/>
          <w:szCs w:val="20"/>
        </w:rPr>
        <w:t xml:space="preserve"> </w:t>
      </w:r>
    </w:p>
    <w:p w14:paraId="679640FF" w14:textId="3CC60992" w:rsidR="00FA39E2" w:rsidRPr="00C966FA" w:rsidRDefault="00E070FD" w:rsidP="0008126A">
      <w:pPr>
        <w:spacing w:line="480" w:lineRule="auto"/>
        <w:rPr>
          <w:rFonts w:ascii="Arial" w:hAnsi="Arial" w:cs="Arial"/>
          <w:b/>
        </w:rPr>
      </w:pPr>
      <w:r w:rsidRPr="00C966FA">
        <w:rPr>
          <w:rFonts w:ascii="Arial" w:hAnsi="Arial" w:cs="Arial"/>
          <w:b/>
        </w:rPr>
        <w:t xml:space="preserve">3.1.1 Age of Respondents </w:t>
      </w:r>
    </w:p>
    <w:p w14:paraId="169703B7" w14:textId="65D64A2A" w:rsidR="00910D18" w:rsidRPr="0008126A" w:rsidRDefault="00B03586" w:rsidP="0008126A">
      <w:pPr>
        <w:pStyle w:val="Title"/>
        <w:spacing w:line="480" w:lineRule="auto"/>
        <w:jc w:val="both"/>
        <w:rPr>
          <w:rFonts w:ascii="Arial" w:hAnsi="Arial" w:cs="Arial"/>
          <w:b w:val="0"/>
          <w:spacing w:val="-2"/>
          <w:sz w:val="20"/>
        </w:rPr>
      </w:pPr>
      <w:r>
        <w:rPr>
          <w:rFonts w:ascii="Arial" w:hAnsi="Arial" w:cs="Arial"/>
          <w:b w:val="0"/>
          <w:sz w:val="20"/>
        </w:rPr>
        <w:t xml:space="preserve">The Age of respondents as shown in </w:t>
      </w:r>
      <w:r w:rsidR="00E070FD" w:rsidRPr="00C966FA">
        <w:rPr>
          <w:rFonts w:ascii="Arial" w:hAnsi="Arial" w:cs="Arial"/>
          <w:b w:val="0"/>
          <w:sz w:val="20"/>
        </w:rPr>
        <w:t>Figure 1 reveals a right-skewed distribution</w:t>
      </w:r>
      <w:r>
        <w:rPr>
          <w:rFonts w:ascii="Arial" w:hAnsi="Arial" w:cs="Arial"/>
          <w:b w:val="0"/>
          <w:sz w:val="20"/>
        </w:rPr>
        <w:t>, with most</w:t>
      </w:r>
      <w:r w:rsidR="00EC5A33" w:rsidRPr="00C966FA">
        <w:rPr>
          <w:rFonts w:ascii="Arial" w:hAnsi="Arial" w:cs="Arial"/>
          <w:b w:val="0"/>
          <w:sz w:val="20"/>
        </w:rPr>
        <w:t xml:space="preserve"> </w:t>
      </w:r>
      <w:r w:rsidR="00FD1A4A">
        <w:rPr>
          <w:rFonts w:ascii="Arial" w:hAnsi="Arial" w:cs="Arial"/>
          <w:b w:val="0"/>
          <w:sz w:val="20"/>
        </w:rPr>
        <w:t>(</w:t>
      </w:r>
      <w:r w:rsidR="00EC5A33" w:rsidRPr="00C966FA">
        <w:rPr>
          <w:rFonts w:ascii="Arial" w:hAnsi="Arial" w:cs="Arial"/>
          <w:b w:val="0"/>
          <w:sz w:val="20"/>
        </w:rPr>
        <w:t>58%</w:t>
      </w:r>
      <w:r w:rsidR="00FD1A4A">
        <w:rPr>
          <w:rFonts w:ascii="Arial" w:hAnsi="Arial" w:cs="Arial"/>
          <w:b w:val="0"/>
          <w:sz w:val="20"/>
        </w:rPr>
        <w:t xml:space="preserve">) </w:t>
      </w:r>
      <w:r w:rsidR="00EC5A33" w:rsidRPr="00C966FA">
        <w:rPr>
          <w:rFonts w:ascii="Arial" w:hAnsi="Arial" w:cs="Arial"/>
          <w:b w:val="0"/>
          <w:sz w:val="20"/>
        </w:rPr>
        <w:t>between 20-29 years</w:t>
      </w:r>
      <w:r w:rsidR="00E070FD" w:rsidRPr="00C966FA">
        <w:rPr>
          <w:rFonts w:ascii="Arial" w:hAnsi="Arial" w:cs="Arial"/>
          <w:b w:val="0"/>
          <w:sz w:val="20"/>
        </w:rPr>
        <w:t xml:space="preserve">, reflecting a young reproductive population typical in low-income </w:t>
      </w:r>
      <w:r w:rsidR="00535ACD" w:rsidRPr="00C966FA">
        <w:rPr>
          <w:rFonts w:ascii="Arial" w:hAnsi="Arial" w:cs="Arial"/>
          <w:b w:val="0"/>
          <w:sz w:val="20"/>
        </w:rPr>
        <w:t xml:space="preserve">settings. </w:t>
      </w:r>
      <w:r w:rsidR="00FD1A4A">
        <w:rPr>
          <w:rFonts w:ascii="Arial" w:hAnsi="Arial" w:cs="Arial"/>
          <w:b w:val="0"/>
          <w:sz w:val="20"/>
        </w:rPr>
        <w:t>This suggests that</w:t>
      </w:r>
      <w:r w:rsidR="00E070FD" w:rsidRPr="00C966FA">
        <w:rPr>
          <w:rFonts w:ascii="Arial" w:hAnsi="Arial" w:cs="Arial"/>
          <w:b w:val="0"/>
          <w:sz w:val="20"/>
        </w:rPr>
        <w:t xml:space="preserve"> many women </w:t>
      </w:r>
      <w:r w:rsidR="00EC5A33" w:rsidRPr="00C966FA">
        <w:rPr>
          <w:rFonts w:ascii="Arial" w:hAnsi="Arial" w:cs="Arial"/>
          <w:b w:val="0"/>
          <w:sz w:val="20"/>
        </w:rPr>
        <w:t>were</w:t>
      </w:r>
      <w:r w:rsidR="00E070FD" w:rsidRPr="00C966FA">
        <w:rPr>
          <w:rFonts w:ascii="Arial" w:hAnsi="Arial" w:cs="Arial"/>
          <w:b w:val="0"/>
          <w:sz w:val="20"/>
        </w:rPr>
        <w:t xml:space="preserve"> in their prime childbearing years, which may influence nutritional needs and intervention adherence. </w:t>
      </w:r>
      <w:r w:rsidR="00C12F4E" w:rsidRPr="00C966FA">
        <w:rPr>
          <w:rFonts w:ascii="Arial" w:hAnsi="Arial" w:cs="Arial"/>
          <w:b w:val="0"/>
          <w:sz w:val="20"/>
        </w:rPr>
        <w:t>The frequency</w:t>
      </w:r>
      <w:r w:rsidR="00EC5A33" w:rsidRPr="00C966FA">
        <w:rPr>
          <w:rFonts w:ascii="Arial" w:hAnsi="Arial" w:cs="Arial"/>
          <w:b w:val="0"/>
          <w:sz w:val="20"/>
        </w:rPr>
        <w:t xml:space="preserve"> in the older age groups &gt;30 years, n=8 (22%), indicating</w:t>
      </w:r>
      <w:r w:rsidR="00E070FD" w:rsidRPr="00C966FA">
        <w:rPr>
          <w:rFonts w:ascii="Arial" w:hAnsi="Arial" w:cs="Arial"/>
          <w:b w:val="0"/>
          <w:sz w:val="20"/>
        </w:rPr>
        <w:t xml:space="preserve"> limited representation of older pregnant women</w:t>
      </w:r>
      <w:r w:rsidR="004F6F6C" w:rsidRPr="00C966FA">
        <w:rPr>
          <w:rFonts w:ascii="Arial" w:hAnsi="Arial" w:cs="Arial"/>
          <w:b w:val="0"/>
          <w:sz w:val="20"/>
        </w:rPr>
        <w:t>.</w:t>
      </w:r>
    </w:p>
    <w:p w14:paraId="03F81D87" w14:textId="1D42D423" w:rsidR="006A111E" w:rsidRPr="0008126A" w:rsidRDefault="00774D99" w:rsidP="0008126A">
      <w:pPr>
        <w:pStyle w:val="Title"/>
        <w:spacing w:after="0" w:line="480" w:lineRule="auto"/>
        <w:jc w:val="both"/>
        <w:rPr>
          <w:rFonts w:ascii="Arial" w:hAnsi="Arial" w:cs="Arial"/>
          <w:b w:val="0"/>
          <w:spacing w:val="-2"/>
          <w:sz w:val="18"/>
        </w:rPr>
      </w:pPr>
      <w:r w:rsidRPr="009E50F7">
        <w:rPr>
          <w:rFonts w:ascii="Arial" w:hAnsi="Arial" w:cs="Arial"/>
          <w:noProof/>
        </w:rPr>
        <w:drawing>
          <wp:inline distT="0" distB="0" distL="0" distR="0" wp14:anchorId="421114C8" wp14:editId="3937AB65">
            <wp:extent cx="4572000" cy="1905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40054F" w14:textId="37632103" w:rsidR="0055731B" w:rsidRPr="0008126A" w:rsidRDefault="00E070FD" w:rsidP="0008126A">
      <w:pPr>
        <w:pStyle w:val="Title"/>
        <w:spacing w:after="0" w:line="480" w:lineRule="auto"/>
        <w:jc w:val="both"/>
        <w:rPr>
          <w:rFonts w:ascii="Arial" w:hAnsi="Arial" w:cs="Arial"/>
          <w:bCs/>
          <w:kern w:val="0"/>
          <w:sz w:val="18"/>
        </w:rPr>
      </w:pPr>
      <w:r w:rsidRPr="00C966FA">
        <w:rPr>
          <w:rFonts w:ascii="Arial" w:hAnsi="Arial" w:cs="Arial"/>
          <w:spacing w:val="-2"/>
          <w:sz w:val="18"/>
        </w:rPr>
        <w:t xml:space="preserve">Figure 1. </w:t>
      </w:r>
      <w:r w:rsidRPr="00C966FA">
        <w:rPr>
          <w:rFonts w:ascii="Arial" w:hAnsi="Arial" w:cs="Arial"/>
          <w:bCs/>
          <w:sz w:val="18"/>
        </w:rPr>
        <w:t>Age of respondents</w:t>
      </w:r>
    </w:p>
    <w:p w14:paraId="0A7F04B2" w14:textId="584F9604" w:rsidR="006A111E" w:rsidRPr="0008126A" w:rsidRDefault="00E070FD" w:rsidP="0008126A">
      <w:pPr>
        <w:pStyle w:val="Body"/>
        <w:spacing w:after="0" w:line="480" w:lineRule="auto"/>
        <w:rPr>
          <w:rFonts w:ascii="Arial" w:hAnsi="Arial" w:cs="Arial"/>
          <w:b/>
          <w:bCs/>
        </w:rPr>
      </w:pPr>
      <w:r w:rsidRPr="006A111E">
        <w:rPr>
          <w:rFonts w:ascii="Arial" w:hAnsi="Arial" w:cs="Arial"/>
          <w:b/>
        </w:rPr>
        <w:t xml:space="preserve">3.1.2 </w:t>
      </w:r>
      <w:r w:rsidRPr="00113E94">
        <w:rPr>
          <w:rFonts w:ascii="Arial" w:hAnsi="Arial" w:cs="Arial"/>
          <w:b/>
        </w:rPr>
        <w:t>Parity</w:t>
      </w:r>
      <w:r w:rsidR="00F1149E" w:rsidRPr="00113E94">
        <w:rPr>
          <w:rFonts w:ascii="Arial" w:hAnsi="Arial" w:cs="Arial"/>
          <w:b/>
        </w:rPr>
        <w:t xml:space="preserve"> </w:t>
      </w:r>
      <w:r w:rsidR="0055731B" w:rsidRPr="00113E94">
        <w:rPr>
          <w:rFonts w:ascii="Arial" w:hAnsi="Arial" w:cs="Arial"/>
          <w:b/>
        </w:rPr>
        <w:t>(</w:t>
      </w:r>
      <w:r w:rsidR="00910D18" w:rsidRPr="00113E94">
        <w:rPr>
          <w:rFonts w:ascii="Arial" w:hAnsi="Arial" w:cs="Arial"/>
          <w:b/>
        </w:rPr>
        <w:t>Number</w:t>
      </w:r>
      <w:r w:rsidR="0055731B" w:rsidRPr="00113E94">
        <w:rPr>
          <w:rFonts w:ascii="Arial" w:hAnsi="Arial" w:cs="Arial"/>
          <w:b/>
        </w:rPr>
        <w:t xml:space="preserve"> of</w:t>
      </w:r>
      <w:r w:rsidR="00910D18" w:rsidRPr="00113E94">
        <w:rPr>
          <w:rFonts w:ascii="Arial" w:hAnsi="Arial" w:cs="Arial"/>
          <w:b/>
        </w:rPr>
        <w:t xml:space="preserve"> pregnancy outcomes)</w:t>
      </w:r>
      <w:r w:rsidRPr="00113E94">
        <w:rPr>
          <w:rFonts w:ascii="Arial" w:hAnsi="Arial" w:cs="Arial"/>
          <w:b/>
        </w:rPr>
        <w:t xml:space="preserve"> </w:t>
      </w:r>
      <w:r w:rsidRPr="00113E94">
        <w:rPr>
          <w:rFonts w:ascii="Arial" w:hAnsi="Arial" w:cs="Arial"/>
          <w:b/>
          <w:bCs/>
        </w:rPr>
        <w:t>of respondents</w:t>
      </w:r>
    </w:p>
    <w:p w14:paraId="366144DB" w14:textId="30A2F011" w:rsidR="00141D68" w:rsidRPr="0008126A" w:rsidRDefault="00B03586" w:rsidP="0008126A">
      <w:pPr>
        <w:spacing w:line="480" w:lineRule="auto"/>
        <w:jc w:val="both"/>
        <w:rPr>
          <w:rFonts w:ascii="Arial" w:hAnsi="Arial" w:cs="Arial"/>
          <w:szCs w:val="24"/>
        </w:rPr>
      </w:pPr>
      <w:r w:rsidRPr="009E50F7">
        <w:rPr>
          <w:rFonts w:ascii="Arial" w:hAnsi="Arial" w:cs="Arial"/>
          <w:sz w:val="18"/>
          <w:szCs w:val="18"/>
        </w:rPr>
        <w:t xml:space="preserve">Number of </w:t>
      </w:r>
      <w:r w:rsidRPr="00B03586">
        <w:rPr>
          <w:rFonts w:ascii="Arial" w:hAnsi="Arial" w:cs="Arial"/>
          <w:sz w:val="18"/>
          <w:szCs w:val="18"/>
        </w:rPr>
        <w:t>women’s</w:t>
      </w:r>
      <w:r w:rsidRPr="009E50F7">
        <w:rPr>
          <w:rFonts w:ascii="Arial" w:hAnsi="Arial" w:cs="Arial"/>
          <w:sz w:val="18"/>
          <w:szCs w:val="18"/>
        </w:rPr>
        <w:t xml:space="preserve"> pregnancy outcomes</w:t>
      </w:r>
      <w:r>
        <w:rPr>
          <w:rFonts w:ascii="Arial" w:hAnsi="Arial" w:cs="Arial"/>
          <w:b/>
          <w:sz w:val="18"/>
          <w:szCs w:val="18"/>
        </w:rPr>
        <w:t xml:space="preserve"> a seen in </w:t>
      </w:r>
      <w:r w:rsidR="00E070FD" w:rsidRPr="00C966FA">
        <w:rPr>
          <w:rFonts w:ascii="Arial" w:hAnsi="Arial" w:cs="Arial"/>
          <w:szCs w:val="24"/>
        </w:rPr>
        <w:t xml:space="preserve">Figure 2 shows the distribution of parity (number of previous births) among </w:t>
      </w:r>
      <w:r w:rsidR="00141D68" w:rsidRPr="00C966FA">
        <w:rPr>
          <w:rFonts w:ascii="Arial" w:hAnsi="Arial" w:cs="Arial"/>
          <w:szCs w:val="24"/>
        </w:rPr>
        <w:t xml:space="preserve">the </w:t>
      </w:r>
      <w:r w:rsidR="00E070FD" w:rsidRPr="00C966FA">
        <w:rPr>
          <w:rFonts w:ascii="Arial" w:hAnsi="Arial" w:cs="Arial"/>
          <w:szCs w:val="24"/>
        </w:rPr>
        <w:t xml:space="preserve">sample group, ranging from 0 to 5, segmented into single-unit intervals. It shows a relatively uniform distribution between </w:t>
      </w:r>
      <w:r w:rsidR="003747EC" w:rsidRPr="00C966FA">
        <w:rPr>
          <w:rFonts w:ascii="Arial" w:hAnsi="Arial" w:cs="Arial"/>
          <w:szCs w:val="24"/>
        </w:rPr>
        <w:t>0</w:t>
      </w:r>
      <w:r w:rsidR="0055731B">
        <w:rPr>
          <w:rFonts w:ascii="Arial" w:hAnsi="Arial" w:cs="Arial"/>
          <w:szCs w:val="24"/>
        </w:rPr>
        <w:t xml:space="preserve"> </w:t>
      </w:r>
      <w:r w:rsidR="00E070FD" w:rsidRPr="00C966FA">
        <w:rPr>
          <w:rFonts w:ascii="Arial" w:hAnsi="Arial" w:cs="Arial"/>
          <w:szCs w:val="24"/>
        </w:rPr>
        <w:t xml:space="preserve">and </w:t>
      </w:r>
      <w:r w:rsidR="003747EC" w:rsidRPr="00C966FA">
        <w:rPr>
          <w:rFonts w:ascii="Arial" w:hAnsi="Arial" w:cs="Arial"/>
          <w:szCs w:val="24"/>
        </w:rPr>
        <w:t>1</w:t>
      </w:r>
      <w:r w:rsidR="00E070FD" w:rsidRPr="00C966FA">
        <w:rPr>
          <w:rFonts w:ascii="Arial" w:hAnsi="Arial" w:cs="Arial"/>
          <w:szCs w:val="24"/>
        </w:rPr>
        <w:t xml:space="preserve"> previous births </w:t>
      </w:r>
      <w:r>
        <w:rPr>
          <w:rFonts w:ascii="Arial" w:hAnsi="Arial" w:cs="Arial"/>
          <w:szCs w:val="24"/>
        </w:rPr>
        <w:t>52% of women having between 2-3 pregnancy outcome n</w:t>
      </w:r>
      <w:r w:rsidR="00141D68" w:rsidRPr="00C966FA">
        <w:rPr>
          <w:rFonts w:ascii="Arial" w:hAnsi="Arial" w:cs="Arial"/>
          <w:szCs w:val="24"/>
        </w:rPr>
        <w:t>=1</w:t>
      </w:r>
      <w:r w:rsidR="003747EC" w:rsidRPr="00C966FA">
        <w:rPr>
          <w:rFonts w:ascii="Arial" w:hAnsi="Arial" w:cs="Arial"/>
          <w:szCs w:val="24"/>
        </w:rPr>
        <w:t>9</w:t>
      </w:r>
      <w:r>
        <w:rPr>
          <w:rFonts w:ascii="Arial" w:hAnsi="Arial" w:cs="Arial"/>
          <w:szCs w:val="24"/>
        </w:rPr>
        <w:t xml:space="preserve">. With other distributed among 0-1 and &gt; 4. </w:t>
      </w:r>
      <w:r w:rsidR="00E070FD" w:rsidRPr="00C966FA">
        <w:rPr>
          <w:rFonts w:ascii="Arial" w:hAnsi="Arial" w:cs="Arial"/>
          <w:szCs w:val="24"/>
        </w:rPr>
        <w:t xml:space="preserve">This suggests a mix of primiparous and multiparous women, which is critical for interpreting intervention effects, as higher parity may increase risks of nutritional deficiencies (e.g., iron depletion). The distribution supports the study’s relevance to populations with a high </w:t>
      </w:r>
      <w:r w:rsidR="00E070FD" w:rsidRPr="00C966FA">
        <w:rPr>
          <w:rFonts w:ascii="Arial" w:hAnsi="Arial" w:cs="Arial"/>
          <w:szCs w:val="24"/>
        </w:rPr>
        <w:lastRenderedPageBreak/>
        <w:t xml:space="preserve">frequency of pregnancies. </w:t>
      </w:r>
      <w:r w:rsidR="00E070FD" w:rsidRPr="00C966FA">
        <w:rPr>
          <w:rFonts w:ascii="Arial" w:hAnsi="Arial" w:cs="Arial"/>
        </w:rPr>
        <w:t>Parity distribution was similar across the study arms</w:t>
      </w:r>
      <w:r w:rsidR="00FC7F05">
        <w:rPr>
          <w:rFonts w:ascii="Arial" w:hAnsi="Arial" w:cs="Arial"/>
        </w:rPr>
        <w:t xml:space="preserve">, with </w:t>
      </w:r>
      <w:r w:rsidR="00E070FD" w:rsidRPr="00C966FA">
        <w:rPr>
          <w:rFonts w:ascii="Arial" w:hAnsi="Arial" w:cs="Arial"/>
        </w:rPr>
        <w:t xml:space="preserve">trend </w:t>
      </w:r>
      <w:r w:rsidR="00FC7F05">
        <w:rPr>
          <w:rFonts w:ascii="Arial" w:hAnsi="Arial" w:cs="Arial"/>
        </w:rPr>
        <w:t>more child birth</w:t>
      </w:r>
      <w:r w:rsidR="00E070FD" w:rsidRPr="00C966FA">
        <w:rPr>
          <w:rFonts w:ascii="Arial" w:hAnsi="Arial" w:cs="Arial"/>
          <w:spacing w:val="-2"/>
        </w:rPr>
        <w:t xml:space="preserve"> in the MMS group, reflecting possible greater experience with antenatal care and nutritional needs.</w:t>
      </w:r>
    </w:p>
    <w:p w14:paraId="7C38054C" w14:textId="5A381DC6" w:rsidR="006A111E" w:rsidRDefault="00141D68" w:rsidP="0008126A">
      <w:pPr>
        <w:pStyle w:val="Body"/>
        <w:spacing w:after="0" w:line="480" w:lineRule="auto"/>
        <w:rPr>
          <w:rFonts w:ascii="Arial" w:hAnsi="Arial" w:cs="Arial"/>
        </w:rPr>
      </w:pPr>
      <w:r w:rsidRPr="009E50F7">
        <w:rPr>
          <w:rFonts w:ascii="Arial" w:hAnsi="Arial" w:cs="Arial"/>
          <w:noProof/>
        </w:rPr>
        <w:drawing>
          <wp:inline distT="0" distB="0" distL="0" distR="0" wp14:anchorId="3B492058" wp14:editId="77BB6255">
            <wp:extent cx="4572000" cy="17335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10ABED" w14:textId="77E2BD67" w:rsidR="00FA39E2" w:rsidRPr="0069575F" w:rsidRDefault="00E070FD" w:rsidP="0008126A">
      <w:pPr>
        <w:pStyle w:val="Body"/>
        <w:spacing w:after="0" w:line="480" w:lineRule="auto"/>
        <w:rPr>
          <w:rFonts w:ascii="Arial" w:hAnsi="Arial" w:cs="Arial"/>
          <w:b/>
          <w:sz w:val="18"/>
          <w:szCs w:val="18"/>
          <w:highlight w:val="yellow"/>
        </w:rPr>
      </w:pPr>
      <w:r w:rsidRPr="0069575F">
        <w:rPr>
          <w:rFonts w:ascii="Arial" w:hAnsi="Arial" w:cs="Arial"/>
          <w:b/>
          <w:sz w:val="18"/>
          <w:szCs w:val="18"/>
        </w:rPr>
        <w:t xml:space="preserve">Figure 2. Parity </w:t>
      </w:r>
      <w:r w:rsidRPr="0069575F">
        <w:rPr>
          <w:rFonts w:ascii="Arial" w:hAnsi="Arial" w:cs="Arial"/>
          <w:b/>
          <w:bCs/>
          <w:sz w:val="18"/>
          <w:szCs w:val="18"/>
        </w:rPr>
        <w:t>of respondents</w:t>
      </w:r>
    </w:p>
    <w:p w14:paraId="20FEDA39" w14:textId="609BD5C4" w:rsidR="00FA39E2" w:rsidRPr="0008126A" w:rsidRDefault="00E070FD" w:rsidP="0008126A">
      <w:pPr>
        <w:pStyle w:val="Body"/>
        <w:spacing w:after="0" w:line="480" w:lineRule="auto"/>
        <w:rPr>
          <w:rFonts w:ascii="Arial" w:hAnsi="Arial" w:cs="Arial"/>
          <w:b/>
          <w:bCs/>
        </w:rPr>
      </w:pPr>
      <w:r w:rsidRPr="00113E94">
        <w:rPr>
          <w:rFonts w:ascii="Arial" w:hAnsi="Arial" w:cs="Arial"/>
          <w:b/>
        </w:rPr>
        <w:t xml:space="preserve">3.1.3 Educational level </w:t>
      </w:r>
      <w:r w:rsidRPr="00113E94">
        <w:rPr>
          <w:rFonts w:ascii="Arial" w:hAnsi="Arial" w:cs="Arial"/>
          <w:b/>
          <w:bCs/>
        </w:rPr>
        <w:t>of respondents</w:t>
      </w:r>
    </w:p>
    <w:p w14:paraId="2B2BAE9B" w14:textId="15BE0CBE" w:rsidR="00FA39E2" w:rsidRPr="0008126A" w:rsidRDefault="001B2EB5" w:rsidP="0008126A">
      <w:pPr>
        <w:spacing w:line="480" w:lineRule="auto"/>
        <w:jc w:val="both"/>
        <w:rPr>
          <w:rFonts w:ascii="Arial" w:hAnsi="Arial" w:cs="Arial"/>
          <w:sz w:val="24"/>
          <w:szCs w:val="24"/>
        </w:rPr>
      </w:pPr>
      <w:r>
        <w:rPr>
          <w:rFonts w:ascii="Arial" w:hAnsi="Arial" w:cs="Arial"/>
        </w:rPr>
        <w:t xml:space="preserve">Education level as depicted from </w:t>
      </w:r>
      <w:r w:rsidR="00E070FD" w:rsidRPr="00C966FA">
        <w:rPr>
          <w:rFonts w:ascii="Arial" w:hAnsi="Arial" w:cs="Arial"/>
        </w:rPr>
        <w:t>Figure 3</w:t>
      </w:r>
      <w:r>
        <w:rPr>
          <w:rFonts w:ascii="Arial" w:hAnsi="Arial" w:cs="Arial"/>
        </w:rPr>
        <w:t xml:space="preserve"> Shows</w:t>
      </w:r>
      <w:r w:rsidR="00E070FD" w:rsidRPr="00C966FA">
        <w:rPr>
          <w:rFonts w:ascii="Arial" w:hAnsi="Arial" w:cs="Arial"/>
        </w:rPr>
        <w:t xml:space="preserve"> the distribution of edu</w:t>
      </w:r>
      <w:r w:rsidR="009277A2">
        <w:rPr>
          <w:rFonts w:ascii="Arial" w:hAnsi="Arial" w:cs="Arial"/>
        </w:rPr>
        <w:t>cational status</w:t>
      </w:r>
      <w:r w:rsidR="00E070FD" w:rsidRPr="00C966FA">
        <w:rPr>
          <w:rFonts w:ascii="Arial" w:hAnsi="Arial" w:cs="Arial"/>
        </w:rPr>
        <w:t>. It shows more women with secondary education</w:t>
      </w:r>
      <w:r>
        <w:rPr>
          <w:rFonts w:ascii="Arial" w:hAnsi="Arial" w:cs="Arial"/>
        </w:rPr>
        <w:t xml:space="preserve"> </w:t>
      </w:r>
      <w:r w:rsidR="00E070FD" w:rsidRPr="00C966FA">
        <w:rPr>
          <w:rFonts w:ascii="Arial" w:hAnsi="Arial" w:cs="Arial"/>
        </w:rPr>
        <w:t>67%, indicating a relatively educated sample</w:t>
      </w:r>
      <w:r>
        <w:rPr>
          <w:rFonts w:ascii="Arial" w:hAnsi="Arial" w:cs="Arial"/>
        </w:rPr>
        <w:t xml:space="preserve"> and few </w:t>
      </w:r>
      <w:r w:rsidR="00E070FD" w:rsidRPr="00C966FA">
        <w:rPr>
          <w:rFonts w:ascii="Arial" w:hAnsi="Arial" w:cs="Arial"/>
        </w:rPr>
        <w:t>participants had no education</w:t>
      </w:r>
      <w:r>
        <w:rPr>
          <w:rFonts w:ascii="Arial" w:hAnsi="Arial" w:cs="Arial"/>
        </w:rPr>
        <w:t xml:space="preserve"> and</w:t>
      </w:r>
      <w:r w:rsidR="00E070FD" w:rsidRPr="00C966FA">
        <w:rPr>
          <w:rFonts w:ascii="Arial" w:hAnsi="Arial" w:cs="Arial"/>
        </w:rPr>
        <w:t xml:space="preserve"> higher education, suggesting moderate health literacy overall. This distribution supports the feasibility of nutritional interventions requiring understanding of dietary or supplement instructions, though targeted education may be needed for the minority with no formal schooling. Whereas higher education levels are often linked to improved awareness and practices regarding maternal nutrition, which is an important factor in pregnancy outcomes. There was no significant difference in the Educational level across groups (p=0.74), </w:t>
      </w:r>
      <w:r w:rsidR="00E070FD" w:rsidRPr="00C966FA">
        <w:rPr>
          <w:rFonts w:ascii="Arial" w:hAnsi="Arial" w:cs="Arial"/>
          <w:spacing w:val="-2"/>
        </w:rPr>
        <w:t xml:space="preserve">educational attainment was mainly at the secondary level, indicating a sample with moderate health literacy and some vulnerability due to the presence of participants with no formal education (Fig 3). This highlights the importance of targeted nutrition education, particularly for less-educated women </w:t>
      </w:r>
      <w:r w:rsidR="00E070FD" w:rsidRPr="00C966FA">
        <w:rPr>
          <w:rFonts w:ascii="Arial" w:hAnsi="Arial" w:cs="Arial"/>
          <w:color w:val="1C1C1C"/>
          <w:spacing w:val="-2"/>
          <w:shd w:val="clear" w:color="auto" w:fill="FFFFFF"/>
        </w:rPr>
        <w:t xml:space="preserve">(Kabir </w:t>
      </w:r>
      <w:r w:rsidR="00E6558D" w:rsidRPr="00C966FA">
        <w:rPr>
          <w:rFonts w:ascii="Arial" w:hAnsi="Arial" w:cs="Arial"/>
          <w:i/>
        </w:rPr>
        <w:t>et al</w:t>
      </w:r>
      <w:r w:rsidR="00E070FD" w:rsidRPr="00C966FA">
        <w:rPr>
          <w:rFonts w:ascii="Arial" w:hAnsi="Arial" w:cs="Arial"/>
          <w:color w:val="1C1C1C"/>
          <w:spacing w:val="-2"/>
          <w:shd w:val="clear" w:color="auto" w:fill="FFFFFF"/>
        </w:rPr>
        <w:t xml:space="preserve"> 2020; Agu </w:t>
      </w:r>
      <w:r w:rsidR="00E6558D" w:rsidRPr="00C966FA">
        <w:rPr>
          <w:rFonts w:ascii="Arial" w:hAnsi="Arial" w:cs="Arial"/>
          <w:i/>
        </w:rPr>
        <w:t>et al</w:t>
      </w:r>
      <w:r w:rsidR="00E070FD" w:rsidRPr="00C966FA">
        <w:rPr>
          <w:rFonts w:ascii="Arial" w:hAnsi="Arial" w:cs="Arial"/>
          <w:color w:val="1C1C1C"/>
          <w:spacing w:val="-2"/>
          <w:shd w:val="clear" w:color="auto" w:fill="FFFFFF"/>
        </w:rPr>
        <w:t xml:space="preserve"> 2015)</w:t>
      </w:r>
      <w:r w:rsidR="00E070FD" w:rsidRPr="00C966FA">
        <w:rPr>
          <w:rFonts w:ascii="Arial" w:hAnsi="Arial" w:cs="Arial"/>
          <w:spacing w:val="-2"/>
        </w:rPr>
        <w:t>.</w:t>
      </w:r>
      <w:r w:rsidR="00E070FD" w:rsidRPr="00C966FA">
        <w:rPr>
          <w:rFonts w:ascii="Arial" w:hAnsi="Arial" w:cs="Arial"/>
        </w:rPr>
        <w:t xml:space="preserve"> </w:t>
      </w:r>
    </w:p>
    <w:p w14:paraId="45D6388A" w14:textId="77777777" w:rsidR="000C0EC8" w:rsidRPr="00C966FA" w:rsidRDefault="000C0EC8" w:rsidP="0008126A">
      <w:pPr>
        <w:pStyle w:val="Body"/>
        <w:spacing w:after="0" w:line="480" w:lineRule="auto"/>
        <w:rPr>
          <w:rFonts w:ascii="Arial" w:hAnsi="Arial" w:cs="Arial"/>
        </w:rPr>
      </w:pPr>
    </w:p>
    <w:p w14:paraId="35899E68" w14:textId="53D174C2" w:rsidR="006A111E" w:rsidRDefault="000C0EC8" w:rsidP="0008126A">
      <w:pPr>
        <w:pStyle w:val="Body"/>
        <w:spacing w:after="0" w:line="480" w:lineRule="auto"/>
        <w:rPr>
          <w:rFonts w:ascii="Arial" w:hAnsi="Arial" w:cs="Arial"/>
        </w:rPr>
      </w:pPr>
      <w:r w:rsidRPr="009E50F7">
        <w:rPr>
          <w:rFonts w:ascii="Arial" w:hAnsi="Arial" w:cs="Arial"/>
          <w:noProof/>
        </w:rPr>
        <w:lastRenderedPageBreak/>
        <w:drawing>
          <wp:inline distT="0" distB="0" distL="0" distR="0" wp14:anchorId="3A7436B3" wp14:editId="1782107D">
            <wp:extent cx="4572000" cy="18351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7172B" w14:textId="309EA755" w:rsidR="00FA39E2" w:rsidRPr="0069575F" w:rsidRDefault="00E070FD" w:rsidP="0008126A">
      <w:pPr>
        <w:pStyle w:val="Body"/>
        <w:spacing w:after="0" w:line="480" w:lineRule="auto"/>
        <w:rPr>
          <w:rFonts w:ascii="Arial" w:hAnsi="Arial" w:cs="Arial"/>
          <w:b/>
          <w:bCs/>
          <w:sz w:val="18"/>
          <w:szCs w:val="24"/>
        </w:rPr>
      </w:pPr>
      <w:r w:rsidRPr="0069575F">
        <w:rPr>
          <w:rFonts w:ascii="Arial" w:hAnsi="Arial" w:cs="Arial"/>
          <w:b/>
        </w:rPr>
        <w:t xml:space="preserve">Figure 3. </w:t>
      </w:r>
      <w:r w:rsidRPr="0069575F">
        <w:rPr>
          <w:rFonts w:ascii="Arial" w:hAnsi="Arial" w:cs="Arial"/>
          <w:b/>
          <w:sz w:val="18"/>
          <w:szCs w:val="24"/>
        </w:rPr>
        <w:t xml:space="preserve">Educational level </w:t>
      </w:r>
      <w:r w:rsidRPr="0069575F">
        <w:rPr>
          <w:rFonts w:ascii="Arial" w:hAnsi="Arial" w:cs="Arial"/>
          <w:b/>
          <w:bCs/>
          <w:sz w:val="18"/>
          <w:szCs w:val="24"/>
        </w:rPr>
        <w:t>of respondents</w:t>
      </w:r>
    </w:p>
    <w:p w14:paraId="77023F97" w14:textId="6109ED7F" w:rsidR="00FA39E2" w:rsidRPr="0008126A" w:rsidRDefault="00E070FD" w:rsidP="0008126A">
      <w:pPr>
        <w:pStyle w:val="Heading2"/>
        <w:spacing w:line="480" w:lineRule="auto"/>
        <w:rPr>
          <w:rFonts w:ascii="Arial" w:hAnsi="Arial" w:cs="Arial"/>
          <w:b/>
          <w:color w:val="auto"/>
          <w:sz w:val="20"/>
          <w:szCs w:val="20"/>
        </w:rPr>
      </w:pPr>
      <w:r w:rsidRPr="00C966FA">
        <w:rPr>
          <w:rFonts w:ascii="Arial" w:hAnsi="Arial" w:cs="Arial"/>
          <w:b/>
          <w:color w:val="auto"/>
          <w:sz w:val="20"/>
          <w:szCs w:val="20"/>
        </w:rPr>
        <w:t>3.1.4 Gestational age of respondents</w:t>
      </w:r>
    </w:p>
    <w:p w14:paraId="0CA05BBE" w14:textId="62383854" w:rsidR="00FA39E2" w:rsidRPr="0008126A" w:rsidRDefault="00E070FD" w:rsidP="0008126A">
      <w:pPr>
        <w:spacing w:line="480" w:lineRule="auto"/>
        <w:jc w:val="both"/>
        <w:rPr>
          <w:rFonts w:ascii="Arial" w:hAnsi="Arial" w:cs="Arial"/>
        </w:rPr>
      </w:pPr>
      <w:r w:rsidRPr="00C966FA">
        <w:rPr>
          <w:rFonts w:ascii="Arial" w:hAnsi="Arial" w:cs="Arial"/>
        </w:rPr>
        <w:t>Figure 4 illustrates the gestational age at enrollment,</w:t>
      </w:r>
      <w:r w:rsidR="00BA7ED5">
        <w:rPr>
          <w:rFonts w:ascii="Arial" w:hAnsi="Arial" w:cs="Arial"/>
        </w:rPr>
        <w:t xml:space="preserve"> categorized into three groups:</w:t>
      </w:r>
      <w:r w:rsidR="00441F21">
        <w:rPr>
          <w:rFonts w:ascii="Arial" w:hAnsi="Arial" w:cs="Arial"/>
        </w:rPr>
        <w:t xml:space="preserve"> </w:t>
      </w:r>
      <w:r w:rsidR="00D76297" w:rsidRPr="00C966FA">
        <w:rPr>
          <w:rFonts w:ascii="Arial" w:hAnsi="Arial" w:cs="Arial"/>
        </w:rPr>
        <w:t xml:space="preserve">The gestational age shows a cluster of </w:t>
      </w:r>
      <w:r w:rsidR="00D76297" w:rsidRPr="009E50F7">
        <w:rPr>
          <w:rFonts w:ascii="Arial" w:hAnsi="Arial" w:cs="Arial"/>
        </w:rPr>
        <w:t>participants n=16 (44%) enrolled at 4 months and 50% en</w:t>
      </w:r>
      <w:r w:rsidR="00441F21" w:rsidRPr="00441F21">
        <w:rPr>
          <w:rFonts w:ascii="Arial" w:hAnsi="Arial" w:cs="Arial"/>
        </w:rPr>
        <w:t>rolled at 4-5 months and only 6%</w:t>
      </w:r>
      <w:r w:rsidR="00D76297" w:rsidRPr="009E50F7">
        <w:rPr>
          <w:rFonts w:ascii="Arial" w:hAnsi="Arial" w:cs="Arial"/>
        </w:rPr>
        <w:t xml:space="preserve"> enrolled at 5 months. </w:t>
      </w:r>
      <w:r w:rsidRPr="00C966FA">
        <w:rPr>
          <w:rFonts w:ascii="Arial" w:hAnsi="Arial" w:cs="Arial"/>
        </w:rPr>
        <w:t>This cluster in the second trimester is ideal for nutritional interventions but limits insights into early or late pregnancy effects. The distribution supports the study’s design for assessing mid-pregnancy outcomes.</w:t>
      </w:r>
    </w:p>
    <w:p w14:paraId="7EEC5160" w14:textId="77777777" w:rsidR="000F322C" w:rsidRPr="00C966FA" w:rsidRDefault="000F322C" w:rsidP="0008126A">
      <w:pPr>
        <w:pStyle w:val="Body"/>
        <w:spacing w:after="0" w:line="480" w:lineRule="auto"/>
        <w:rPr>
          <w:rFonts w:ascii="Arial" w:hAnsi="Arial" w:cs="Arial"/>
          <w:sz w:val="18"/>
          <w:szCs w:val="18"/>
          <w:highlight w:val="yellow"/>
        </w:rPr>
      </w:pPr>
    </w:p>
    <w:p w14:paraId="120D8C73" w14:textId="4E6A15F7" w:rsidR="006A111E" w:rsidRPr="001770D7" w:rsidRDefault="000F322C" w:rsidP="001770D7">
      <w:pPr>
        <w:pStyle w:val="Body"/>
        <w:spacing w:after="0" w:line="480" w:lineRule="auto"/>
        <w:rPr>
          <w:rFonts w:ascii="Arial" w:hAnsi="Arial" w:cs="Arial"/>
          <w:sz w:val="18"/>
          <w:szCs w:val="18"/>
          <w:highlight w:val="yellow"/>
        </w:rPr>
      </w:pPr>
      <w:r w:rsidRPr="009E50F7">
        <w:rPr>
          <w:rFonts w:ascii="Arial" w:hAnsi="Arial" w:cs="Arial"/>
          <w:noProof/>
        </w:rPr>
        <w:drawing>
          <wp:inline distT="0" distB="0" distL="0" distR="0" wp14:anchorId="5575CCC1" wp14:editId="362BD88D">
            <wp:extent cx="4572000" cy="170180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D1E04F" w14:textId="77777777" w:rsidR="00FA39E2" w:rsidRPr="0069575F" w:rsidRDefault="00E070FD" w:rsidP="0008126A">
      <w:pPr>
        <w:spacing w:line="480" w:lineRule="auto"/>
        <w:ind w:left="-360" w:right="-720" w:firstLine="360"/>
        <w:jc w:val="both"/>
        <w:rPr>
          <w:rFonts w:ascii="Arial" w:hAnsi="Arial" w:cs="Arial"/>
          <w:b/>
          <w:bCs/>
          <w:sz w:val="18"/>
          <w:szCs w:val="18"/>
        </w:rPr>
      </w:pPr>
      <w:r w:rsidRPr="0069575F">
        <w:rPr>
          <w:rFonts w:ascii="Arial" w:hAnsi="Arial" w:cs="Arial"/>
          <w:b/>
          <w:sz w:val="18"/>
          <w:szCs w:val="18"/>
        </w:rPr>
        <w:t xml:space="preserve">Figure 4. Gestational Age </w:t>
      </w:r>
      <w:r w:rsidRPr="0069575F">
        <w:rPr>
          <w:rFonts w:ascii="Arial" w:hAnsi="Arial" w:cs="Arial"/>
          <w:b/>
          <w:bCs/>
          <w:sz w:val="18"/>
          <w:szCs w:val="18"/>
        </w:rPr>
        <w:t>of respondents</w:t>
      </w:r>
    </w:p>
    <w:p w14:paraId="6D22935A" w14:textId="580E174C" w:rsidR="00525780" w:rsidRPr="001972CB" w:rsidRDefault="008975BC" w:rsidP="0008126A">
      <w:pPr>
        <w:pStyle w:val="Title"/>
        <w:spacing w:line="480" w:lineRule="auto"/>
        <w:jc w:val="both"/>
        <w:rPr>
          <w:rFonts w:ascii="Arial" w:hAnsi="Arial" w:cs="Arial"/>
          <w:spacing w:val="-2"/>
          <w:sz w:val="22"/>
          <w:szCs w:val="22"/>
        </w:rPr>
      </w:pPr>
      <w:r w:rsidRPr="001972CB">
        <w:rPr>
          <w:rFonts w:ascii="Arial" w:hAnsi="Arial" w:cs="Arial"/>
          <w:spacing w:val="-2"/>
          <w:sz w:val="22"/>
          <w:szCs w:val="22"/>
        </w:rPr>
        <w:t>3.1.5</w:t>
      </w:r>
      <w:r w:rsidR="00525780" w:rsidRPr="001972CB">
        <w:rPr>
          <w:rFonts w:ascii="Arial" w:hAnsi="Arial" w:cs="Arial"/>
          <w:spacing w:val="-2"/>
          <w:sz w:val="22"/>
          <w:szCs w:val="22"/>
        </w:rPr>
        <w:t xml:space="preserve"> </w:t>
      </w:r>
      <w:r w:rsidR="001972CB" w:rsidRPr="001972CB">
        <w:rPr>
          <w:rFonts w:ascii="Arial" w:hAnsi="Arial" w:cs="Arial"/>
          <w:bCs/>
          <w:iCs/>
          <w:sz w:val="22"/>
          <w:szCs w:val="22"/>
        </w:rPr>
        <w:t>Occupation and ANC Enrollment</w:t>
      </w:r>
    </w:p>
    <w:p w14:paraId="5F655B2F" w14:textId="1E1C4FCE" w:rsidR="004748B0" w:rsidRPr="00525780" w:rsidRDefault="008975BC" w:rsidP="0008126A">
      <w:pPr>
        <w:pStyle w:val="Title"/>
        <w:spacing w:line="480" w:lineRule="auto"/>
        <w:jc w:val="both"/>
        <w:rPr>
          <w:rFonts w:ascii="Arial" w:hAnsi="Arial" w:cs="Arial"/>
          <w:spacing w:val="-2"/>
          <w:sz w:val="22"/>
          <w:szCs w:val="22"/>
        </w:rPr>
      </w:pPr>
      <w:r w:rsidRPr="00C966FA">
        <w:rPr>
          <w:rFonts w:ascii="Arial" w:hAnsi="Arial" w:cs="Arial"/>
          <w:b w:val="0"/>
          <w:spacing w:val="-2"/>
          <w:sz w:val="20"/>
        </w:rPr>
        <w:t xml:space="preserve">Occupation and ANC enrollment patterns revealed that employed women were more represented in the control group, while intervention groups included more </w:t>
      </w:r>
      <w:r>
        <w:rPr>
          <w:rFonts w:ascii="Arial" w:hAnsi="Arial" w:cs="Arial"/>
          <w:b w:val="0"/>
          <w:spacing w:val="-2"/>
          <w:sz w:val="20"/>
        </w:rPr>
        <w:t>stay-at-home</w:t>
      </w:r>
      <w:r w:rsidRPr="00C966FA">
        <w:rPr>
          <w:rFonts w:ascii="Arial" w:hAnsi="Arial" w:cs="Arial"/>
          <w:b w:val="0"/>
          <w:spacing w:val="-2"/>
          <w:sz w:val="20"/>
        </w:rPr>
        <w:t xml:space="preserve"> women </w:t>
      </w:r>
      <w:r w:rsidRPr="00C966FA">
        <w:rPr>
          <w:rFonts w:ascii="Arial" w:hAnsi="Arial" w:cs="Arial"/>
          <w:b w:val="0"/>
          <w:spacing w:val="-2"/>
          <w:sz w:val="20"/>
        </w:rPr>
        <w:lastRenderedPageBreak/>
        <w:t>with consistent clinic attendance. This disparity in ANC enrollment</w:t>
      </w:r>
      <w:r w:rsidR="0043118F">
        <w:rPr>
          <w:rFonts w:ascii="Arial" w:hAnsi="Arial" w:cs="Arial"/>
          <w:b w:val="0"/>
          <w:spacing w:val="-2"/>
          <w:sz w:val="20"/>
        </w:rPr>
        <w:t xml:space="preserve"> (</w:t>
      </w:r>
      <w:r w:rsidR="0043118F" w:rsidRPr="0043118F">
        <w:rPr>
          <w:rFonts w:ascii="Arial" w:hAnsi="Arial" w:cs="Arial"/>
          <w:b w:val="0"/>
          <w:i/>
          <w:spacing w:val="-2"/>
          <w:sz w:val="20"/>
        </w:rPr>
        <w:t xml:space="preserve">P </w:t>
      </w:r>
      <w:r w:rsidR="0043118F">
        <w:rPr>
          <w:rFonts w:ascii="Arial" w:hAnsi="Arial" w:cs="Arial"/>
          <w:b w:val="0"/>
          <w:spacing w:val="-2"/>
          <w:sz w:val="20"/>
        </w:rPr>
        <w:t>=0.001) may</w:t>
      </w:r>
      <w:r w:rsidRPr="00C966FA">
        <w:rPr>
          <w:rFonts w:ascii="Arial" w:hAnsi="Arial" w:cs="Arial"/>
          <w:b w:val="0"/>
          <w:spacing w:val="-2"/>
          <w:sz w:val="20"/>
        </w:rPr>
        <w:t xml:space="preserve"> highlights barriers to healthcare access for working women.</w:t>
      </w:r>
    </w:p>
    <w:p w14:paraId="4E6804D9" w14:textId="432C0F91" w:rsidR="008975BC" w:rsidRPr="00B108F8" w:rsidRDefault="008975BC" w:rsidP="005C2D8A">
      <w:pPr>
        <w:pStyle w:val="Title"/>
        <w:spacing w:after="0" w:line="480" w:lineRule="auto"/>
        <w:jc w:val="both"/>
        <w:rPr>
          <w:rFonts w:ascii="Arial" w:hAnsi="Arial" w:cs="Arial"/>
          <w:spacing w:val="-2"/>
          <w:sz w:val="20"/>
        </w:rPr>
      </w:pPr>
      <w:r w:rsidRPr="00B108F8">
        <w:rPr>
          <w:rFonts w:ascii="Arial" w:hAnsi="Arial" w:cs="Arial"/>
          <w:bCs/>
          <w:i/>
          <w:iCs/>
          <w:sz w:val="20"/>
        </w:rPr>
        <w:t xml:space="preserve">Table </w:t>
      </w:r>
      <w:r w:rsidRPr="00B108F8">
        <w:rPr>
          <w:rFonts w:ascii="Arial" w:hAnsi="Arial" w:cs="Arial"/>
          <w:bCs/>
          <w:i/>
          <w:iCs/>
          <w:sz w:val="20"/>
        </w:rPr>
        <w:fldChar w:fldCharType="begin"/>
      </w:r>
      <w:r w:rsidRPr="00B108F8">
        <w:rPr>
          <w:rFonts w:ascii="Arial" w:hAnsi="Arial" w:cs="Arial"/>
          <w:bCs/>
          <w:i/>
          <w:iCs/>
          <w:sz w:val="20"/>
        </w:rPr>
        <w:instrText xml:space="preserve"> SEQ Table_4. \* ARABIC </w:instrText>
      </w:r>
      <w:r w:rsidRPr="00B108F8">
        <w:rPr>
          <w:rFonts w:ascii="Arial" w:hAnsi="Arial" w:cs="Arial"/>
          <w:bCs/>
          <w:i/>
          <w:iCs/>
          <w:sz w:val="20"/>
        </w:rPr>
        <w:fldChar w:fldCharType="separate"/>
      </w:r>
      <w:r w:rsidR="00E57487">
        <w:rPr>
          <w:rFonts w:ascii="Arial" w:hAnsi="Arial" w:cs="Arial"/>
          <w:bCs/>
          <w:i/>
          <w:iCs/>
          <w:noProof/>
          <w:sz w:val="20"/>
        </w:rPr>
        <w:t>1</w:t>
      </w:r>
      <w:r w:rsidRPr="00B108F8">
        <w:rPr>
          <w:rFonts w:ascii="Arial" w:hAnsi="Arial" w:cs="Arial"/>
          <w:bCs/>
          <w:i/>
          <w:iCs/>
          <w:sz w:val="20"/>
        </w:rPr>
        <w:fldChar w:fldCharType="end"/>
      </w:r>
      <w:r w:rsidRPr="00B108F8">
        <w:rPr>
          <w:rFonts w:ascii="Arial" w:hAnsi="Arial" w:cs="Arial"/>
          <w:bCs/>
          <w:i/>
          <w:iCs/>
          <w:sz w:val="20"/>
        </w:rPr>
        <w:t xml:space="preserve">: </w:t>
      </w:r>
      <w:r w:rsidR="005C2D8A" w:rsidRPr="00B108F8">
        <w:rPr>
          <w:rFonts w:ascii="Arial" w:hAnsi="Arial" w:cs="Arial"/>
          <w:bCs/>
          <w:iCs/>
          <w:sz w:val="20"/>
        </w:rPr>
        <w:t xml:space="preserve">Occupation and ANC Enrollment </w:t>
      </w:r>
      <w:r w:rsidR="00B108F8" w:rsidRPr="00B108F8">
        <w:rPr>
          <w:rFonts w:ascii="Arial" w:hAnsi="Arial" w:cs="Arial"/>
          <w:bCs/>
          <w:i/>
          <w:iCs/>
          <w:sz w:val="20"/>
        </w:rPr>
        <w:t>(n</w:t>
      </w:r>
      <w:r w:rsidRPr="00B108F8">
        <w:rPr>
          <w:rFonts w:ascii="Arial" w:hAnsi="Arial" w:cs="Arial"/>
          <w:bCs/>
          <w:i/>
          <w:iCs/>
          <w:sz w:val="20"/>
        </w:rPr>
        <w:t>=36)</w:t>
      </w:r>
      <w:bookmarkStart w:id="3" w:name="_Toc209860498"/>
    </w:p>
    <w:tbl>
      <w:tblPr>
        <w:tblW w:w="8583" w:type="dxa"/>
        <w:tblLook w:val="04A0" w:firstRow="1" w:lastRow="0" w:firstColumn="1" w:lastColumn="0" w:noHBand="0" w:noVBand="1"/>
      </w:tblPr>
      <w:tblGrid>
        <w:gridCol w:w="3045"/>
        <w:gridCol w:w="195"/>
        <w:gridCol w:w="1260"/>
        <w:gridCol w:w="235"/>
        <w:gridCol w:w="1170"/>
        <w:gridCol w:w="315"/>
        <w:gridCol w:w="612"/>
        <w:gridCol w:w="995"/>
        <w:gridCol w:w="756"/>
      </w:tblGrid>
      <w:tr w:rsidR="008975BC" w:rsidRPr="00134D5A" w14:paraId="230BAACB" w14:textId="77777777" w:rsidTr="00BA7ED5">
        <w:trPr>
          <w:trHeight w:val="496"/>
        </w:trPr>
        <w:tc>
          <w:tcPr>
            <w:tcW w:w="3045" w:type="dxa"/>
            <w:tcBorders>
              <w:top w:val="single" w:sz="8" w:space="0" w:color="000000"/>
              <w:left w:val="nil"/>
              <w:bottom w:val="single" w:sz="8" w:space="0" w:color="000000"/>
              <w:right w:val="nil"/>
            </w:tcBorders>
            <w:vAlign w:val="center"/>
            <w:hideMark/>
          </w:tcPr>
          <w:p w14:paraId="078ECC75"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Characteristic</w:t>
            </w:r>
          </w:p>
        </w:tc>
        <w:tc>
          <w:tcPr>
            <w:tcW w:w="1455" w:type="dxa"/>
            <w:gridSpan w:val="2"/>
            <w:tcBorders>
              <w:top w:val="single" w:sz="8" w:space="0" w:color="000000"/>
              <w:left w:val="nil"/>
              <w:bottom w:val="single" w:sz="8" w:space="0" w:color="000000"/>
              <w:right w:val="nil"/>
            </w:tcBorders>
            <w:vAlign w:val="center"/>
            <w:hideMark/>
          </w:tcPr>
          <w:p w14:paraId="0C464CE5"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MMS (n=13)</w:t>
            </w:r>
          </w:p>
        </w:tc>
        <w:tc>
          <w:tcPr>
            <w:tcW w:w="1405" w:type="dxa"/>
            <w:gridSpan w:val="2"/>
            <w:tcBorders>
              <w:top w:val="single" w:sz="8" w:space="0" w:color="000000"/>
              <w:left w:val="nil"/>
              <w:bottom w:val="single" w:sz="8" w:space="0" w:color="000000"/>
              <w:right w:val="nil"/>
            </w:tcBorders>
            <w:vAlign w:val="center"/>
            <w:hideMark/>
          </w:tcPr>
          <w:p w14:paraId="00009D00"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IFA (n=13)</w:t>
            </w:r>
          </w:p>
        </w:tc>
        <w:tc>
          <w:tcPr>
            <w:tcW w:w="927" w:type="dxa"/>
            <w:gridSpan w:val="2"/>
            <w:tcBorders>
              <w:top w:val="single" w:sz="8" w:space="0" w:color="000000"/>
              <w:left w:val="nil"/>
              <w:bottom w:val="single" w:sz="8" w:space="0" w:color="000000"/>
              <w:right w:val="nil"/>
            </w:tcBorders>
            <w:vAlign w:val="center"/>
            <w:hideMark/>
          </w:tcPr>
          <w:p w14:paraId="3293B822" w14:textId="77777777" w:rsidR="008975BC" w:rsidRPr="00134D5A" w:rsidRDefault="008975BC" w:rsidP="0008126A">
            <w:pPr>
              <w:spacing w:line="480" w:lineRule="auto"/>
              <w:jc w:val="both"/>
              <w:rPr>
                <w:rFonts w:ascii="Arial" w:hAnsi="Arial" w:cs="Arial"/>
                <w:b/>
                <w:bCs/>
              </w:rPr>
            </w:pPr>
            <w:r w:rsidRPr="00134D5A">
              <w:rPr>
                <w:rFonts w:ascii="Arial" w:hAnsi="Arial" w:cs="Arial"/>
                <w:b/>
                <w:bCs/>
              </w:rPr>
              <w:t>Control (n=10)</w:t>
            </w:r>
          </w:p>
        </w:tc>
        <w:tc>
          <w:tcPr>
            <w:tcW w:w="1751" w:type="dxa"/>
            <w:gridSpan w:val="2"/>
            <w:tcBorders>
              <w:top w:val="single" w:sz="8" w:space="0" w:color="000000"/>
              <w:left w:val="nil"/>
              <w:bottom w:val="single" w:sz="8" w:space="0" w:color="000000"/>
              <w:right w:val="nil"/>
            </w:tcBorders>
            <w:vAlign w:val="center"/>
            <w:hideMark/>
          </w:tcPr>
          <w:p w14:paraId="680BAD7E" w14:textId="77777777" w:rsidR="008975BC" w:rsidRPr="00134D5A" w:rsidRDefault="008975BC" w:rsidP="00BA7ED5">
            <w:pPr>
              <w:spacing w:line="480" w:lineRule="auto"/>
              <w:ind w:left="315" w:firstLine="360"/>
              <w:jc w:val="both"/>
              <w:rPr>
                <w:rFonts w:ascii="Arial" w:hAnsi="Arial" w:cs="Arial"/>
                <w:b/>
                <w:bCs/>
              </w:rPr>
            </w:pPr>
            <w:r w:rsidRPr="00134D5A">
              <w:rPr>
                <w:rFonts w:ascii="Arial" w:hAnsi="Arial" w:cs="Arial"/>
                <w:b/>
                <w:bCs/>
              </w:rPr>
              <w:t>p-value</w:t>
            </w:r>
          </w:p>
        </w:tc>
      </w:tr>
      <w:tr w:rsidR="008975BC" w:rsidRPr="00134D5A" w14:paraId="2243494D" w14:textId="77777777" w:rsidTr="00BA7ED5">
        <w:trPr>
          <w:trHeight w:val="252"/>
        </w:trPr>
        <w:tc>
          <w:tcPr>
            <w:tcW w:w="3045" w:type="dxa"/>
            <w:tcBorders>
              <w:top w:val="nil"/>
              <w:left w:val="nil"/>
              <w:bottom w:val="nil"/>
              <w:right w:val="nil"/>
            </w:tcBorders>
            <w:noWrap/>
            <w:vAlign w:val="bottom"/>
            <w:hideMark/>
          </w:tcPr>
          <w:p w14:paraId="11A3F66E" w14:textId="77777777" w:rsidR="008975BC" w:rsidRPr="00134D5A" w:rsidRDefault="008975BC" w:rsidP="0008126A">
            <w:pPr>
              <w:spacing w:line="480" w:lineRule="auto"/>
              <w:jc w:val="both"/>
              <w:rPr>
                <w:rFonts w:ascii="Arial" w:hAnsi="Arial" w:cs="Arial"/>
              </w:rPr>
            </w:pPr>
            <w:r w:rsidRPr="00134D5A">
              <w:rPr>
                <w:rFonts w:ascii="Arial" w:hAnsi="Arial" w:cs="Arial"/>
              </w:rPr>
              <w:t>Occupation, n (%)</w:t>
            </w:r>
          </w:p>
        </w:tc>
        <w:tc>
          <w:tcPr>
            <w:tcW w:w="1455" w:type="dxa"/>
            <w:gridSpan w:val="2"/>
            <w:tcBorders>
              <w:top w:val="nil"/>
              <w:left w:val="nil"/>
              <w:bottom w:val="nil"/>
              <w:right w:val="nil"/>
            </w:tcBorders>
            <w:noWrap/>
            <w:vAlign w:val="bottom"/>
            <w:hideMark/>
          </w:tcPr>
          <w:p w14:paraId="5A3194C7" w14:textId="77777777" w:rsidR="008975BC" w:rsidRPr="00134D5A" w:rsidRDefault="008975BC" w:rsidP="0008126A">
            <w:pPr>
              <w:spacing w:line="480" w:lineRule="auto"/>
              <w:jc w:val="both"/>
              <w:rPr>
                <w:rFonts w:ascii="Arial" w:hAnsi="Arial" w:cs="Arial"/>
              </w:rPr>
            </w:pPr>
          </w:p>
        </w:tc>
        <w:tc>
          <w:tcPr>
            <w:tcW w:w="1405" w:type="dxa"/>
            <w:gridSpan w:val="2"/>
            <w:tcBorders>
              <w:top w:val="nil"/>
              <w:left w:val="nil"/>
              <w:bottom w:val="nil"/>
              <w:right w:val="nil"/>
            </w:tcBorders>
            <w:noWrap/>
            <w:vAlign w:val="bottom"/>
            <w:hideMark/>
          </w:tcPr>
          <w:p w14:paraId="3B2586B0" w14:textId="77777777" w:rsidR="008975BC" w:rsidRPr="00134D5A" w:rsidRDefault="008975BC" w:rsidP="0008126A">
            <w:pPr>
              <w:spacing w:line="480" w:lineRule="auto"/>
              <w:jc w:val="both"/>
              <w:rPr>
                <w:rFonts w:ascii="Arial" w:hAnsi="Arial" w:cs="Arial"/>
              </w:rPr>
            </w:pPr>
            <w:r w:rsidRPr="00134D5A">
              <w:rPr>
                <w:rFonts w:ascii="Arial" w:hAnsi="Arial" w:cs="Arial"/>
              </w:rPr>
              <w:t>0.187</w:t>
            </w:r>
          </w:p>
        </w:tc>
        <w:tc>
          <w:tcPr>
            <w:tcW w:w="927" w:type="dxa"/>
            <w:gridSpan w:val="2"/>
            <w:tcBorders>
              <w:top w:val="nil"/>
              <w:left w:val="nil"/>
              <w:bottom w:val="nil"/>
              <w:right w:val="nil"/>
            </w:tcBorders>
            <w:noWrap/>
            <w:vAlign w:val="bottom"/>
            <w:hideMark/>
          </w:tcPr>
          <w:p w14:paraId="29ACD319" w14:textId="77777777" w:rsidR="008975BC" w:rsidRPr="00134D5A" w:rsidRDefault="008975BC" w:rsidP="0008126A">
            <w:pPr>
              <w:spacing w:line="480" w:lineRule="auto"/>
              <w:jc w:val="both"/>
              <w:rPr>
                <w:rFonts w:ascii="Arial" w:hAnsi="Arial" w:cs="Arial"/>
              </w:rPr>
            </w:pPr>
          </w:p>
        </w:tc>
        <w:tc>
          <w:tcPr>
            <w:tcW w:w="1751" w:type="dxa"/>
            <w:gridSpan w:val="2"/>
            <w:tcBorders>
              <w:top w:val="nil"/>
              <w:left w:val="nil"/>
              <w:bottom w:val="nil"/>
              <w:right w:val="nil"/>
            </w:tcBorders>
            <w:noWrap/>
            <w:vAlign w:val="bottom"/>
            <w:hideMark/>
          </w:tcPr>
          <w:p w14:paraId="662B32A8" w14:textId="77777777" w:rsidR="008975BC" w:rsidRPr="00134D5A" w:rsidRDefault="008975BC" w:rsidP="0008126A">
            <w:pPr>
              <w:spacing w:line="480" w:lineRule="auto"/>
              <w:jc w:val="both"/>
              <w:rPr>
                <w:rFonts w:ascii="Arial" w:hAnsi="Arial" w:cs="Arial"/>
              </w:rPr>
            </w:pPr>
          </w:p>
        </w:tc>
      </w:tr>
      <w:tr w:rsidR="008975BC" w:rsidRPr="00134D5A" w14:paraId="7062903E" w14:textId="77777777" w:rsidTr="00BA7ED5">
        <w:trPr>
          <w:trHeight w:val="252"/>
        </w:trPr>
        <w:tc>
          <w:tcPr>
            <w:tcW w:w="3045" w:type="dxa"/>
            <w:tcBorders>
              <w:top w:val="nil"/>
              <w:left w:val="nil"/>
              <w:bottom w:val="nil"/>
              <w:right w:val="nil"/>
            </w:tcBorders>
            <w:noWrap/>
            <w:vAlign w:val="bottom"/>
            <w:hideMark/>
          </w:tcPr>
          <w:p w14:paraId="0A5FC287" w14:textId="77777777" w:rsidR="008975BC" w:rsidRPr="00134D5A" w:rsidRDefault="008975BC" w:rsidP="0008126A">
            <w:pPr>
              <w:spacing w:line="480" w:lineRule="auto"/>
              <w:jc w:val="both"/>
              <w:rPr>
                <w:rFonts w:ascii="Arial" w:hAnsi="Arial" w:cs="Arial"/>
              </w:rPr>
            </w:pPr>
            <w:r w:rsidRPr="00134D5A">
              <w:rPr>
                <w:rFonts w:ascii="Arial" w:hAnsi="Arial" w:cs="Arial"/>
              </w:rPr>
              <w:t>Housewife</w:t>
            </w:r>
          </w:p>
        </w:tc>
        <w:tc>
          <w:tcPr>
            <w:tcW w:w="1455" w:type="dxa"/>
            <w:gridSpan w:val="2"/>
            <w:tcBorders>
              <w:top w:val="nil"/>
              <w:left w:val="nil"/>
              <w:bottom w:val="nil"/>
              <w:right w:val="nil"/>
            </w:tcBorders>
            <w:noWrap/>
            <w:vAlign w:val="bottom"/>
            <w:hideMark/>
          </w:tcPr>
          <w:p w14:paraId="16B66753" w14:textId="77777777" w:rsidR="008975BC" w:rsidRPr="00134D5A" w:rsidRDefault="008975BC" w:rsidP="0008126A">
            <w:pPr>
              <w:spacing w:line="480" w:lineRule="auto"/>
              <w:jc w:val="both"/>
              <w:rPr>
                <w:rFonts w:ascii="Arial" w:hAnsi="Arial" w:cs="Arial"/>
              </w:rPr>
            </w:pPr>
            <w:r w:rsidRPr="00134D5A">
              <w:rPr>
                <w:rFonts w:ascii="Arial" w:hAnsi="Arial" w:cs="Arial"/>
              </w:rPr>
              <w:t>7 (53.8)</w:t>
            </w:r>
          </w:p>
        </w:tc>
        <w:tc>
          <w:tcPr>
            <w:tcW w:w="1405" w:type="dxa"/>
            <w:gridSpan w:val="2"/>
            <w:tcBorders>
              <w:top w:val="nil"/>
              <w:left w:val="nil"/>
              <w:bottom w:val="nil"/>
              <w:right w:val="nil"/>
            </w:tcBorders>
            <w:noWrap/>
            <w:vAlign w:val="bottom"/>
            <w:hideMark/>
          </w:tcPr>
          <w:p w14:paraId="6EA68A0E" w14:textId="77777777" w:rsidR="008975BC" w:rsidRPr="00134D5A" w:rsidRDefault="008975BC" w:rsidP="0008126A">
            <w:pPr>
              <w:spacing w:line="480" w:lineRule="auto"/>
              <w:jc w:val="both"/>
              <w:rPr>
                <w:rFonts w:ascii="Arial" w:hAnsi="Arial" w:cs="Arial"/>
              </w:rPr>
            </w:pPr>
            <w:r w:rsidRPr="00134D5A">
              <w:rPr>
                <w:rFonts w:ascii="Arial" w:hAnsi="Arial" w:cs="Arial"/>
              </w:rPr>
              <w:t>7 (53.8)</w:t>
            </w:r>
          </w:p>
        </w:tc>
        <w:tc>
          <w:tcPr>
            <w:tcW w:w="927" w:type="dxa"/>
            <w:gridSpan w:val="2"/>
            <w:tcBorders>
              <w:top w:val="nil"/>
              <w:left w:val="nil"/>
              <w:bottom w:val="nil"/>
              <w:right w:val="nil"/>
            </w:tcBorders>
            <w:noWrap/>
            <w:vAlign w:val="bottom"/>
            <w:hideMark/>
          </w:tcPr>
          <w:p w14:paraId="060B300E" w14:textId="77777777" w:rsidR="008975BC" w:rsidRPr="00134D5A" w:rsidRDefault="008975BC" w:rsidP="0008126A">
            <w:pPr>
              <w:spacing w:line="480" w:lineRule="auto"/>
              <w:jc w:val="both"/>
              <w:rPr>
                <w:rFonts w:ascii="Arial" w:hAnsi="Arial" w:cs="Arial"/>
              </w:rPr>
            </w:pPr>
            <w:r w:rsidRPr="00134D5A">
              <w:rPr>
                <w:rFonts w:ascii="Arial" w:hAnsi="Arial" w:cs="Arial"/>
              </w:rPr>
              <w:t>2 (20.0)</w:t>
            </w:r>
          </w:p>
        </w:tc>
        <w:tc>
          <w:tcPr>
            <w:tcW w:w="1751" w:type="dxa"/>
            <w:gridSpan w:val="2"/>
            <w:tcBorders>
              <w:top w:val="nil"/>
              <w:left w:val="nil"/>
              <w:bottom w:val="nil"/>
              <w:right w:val="nil"/>
            </w:tcBorders>
            <w:noWrap/>
            <w:vAlign w:val="bottom"/>
            <w:hideMark/>
          </w:tcPr>
          <w:p w14:paraId="763F2B07" w14:textId="77777777" w:rsidR="008975BC" w:rsidRPr="00134D5A" w:rsidRDefault="008975BC" w:rsidP="0008126A">
            <w:pPr>
              <w:spacing w:line="480" w:lineRule="auto"/>
              <w:jc w:val="both"/>
              <w:rPr>
                <w:rFonts w:ascii="Arial" w:hAnsi="Arial" w:cs="Arial"/>
              </w:rPr>
            </w:pPr>
          </w:p>
        </w:tc>
      </w:tr>
      <w:tr w:rsidR="008975BC" w:rsidRPr="00134D5A" w14:paraId="531D5C95" w14:textId="77777777" w:rsidTr="00BA7ED5">
        <w:trPr>
          <w:trHeight w:val="252"/>
        </w:trPr>
        <w:tc>
          <w:tcPr>
            <w:tcW w:w="3045" w:type="dxa"/>
            <w:tcBorders>
              <w:top w:val="nil"/>
              <w:left w:val="nil"/>
              <w:bottom w:val="nil"/>
              <w:right w:val="nil"/>
            </w:tcBorders>
            <w:noWrap/>
            <w:vAlign w:val="bottom"/>
            <w:hideMark/>
          </w:tcPr>
          <w:p w14:paraId="10449F86" w14:textId="77777777" w:rsidR="008975BC" w:rsidRPr="00134D5A" w:rsidRDefault="008975BC" w:rsidP="0008126A">
            <w:pPr>
              <w:spacing w:line="480" w:lineRule="auto"/>
              <w:jc w:val="both"/>
              <w:rPr>
                <w:rFonts w:ascii="Arial" w:hAnsi="Arial" w:cs="Arial"/>
              </w:rPr>
            </w:pPr>
            <w:r w:rsidRPr="00134D5A">
              <w:rPr>
                <w:rFonts w:ascii="Arial" w:hAnsi="Arial" w:cs="Arial"/>
              </w:rPr>
              <w:t>Employed</w:t>
            </w:r>
          </w:p>
        </w:tc>
        <w:tc>
          <w:tcPr>
            <w:tcW w:w="1455" w:type="dxa"/>
            <w:gridSpan w:val="2"/>
            <w:tcBorders>
              <w:top w:val="nil"/>
              <w:left w:val="nil"/>
              <w:bottom w:val="nil"/>
              <w:right w:val="nil"/>
            </w:tcBorders>
            <w:noWrap/>
            <w:vAlign w:val="bottom"/>
            <w:hideMark/>
          </w:tcPr>
          <w:p w14:paraId="33A89B0B" w14:textId="77777777" w:rsidR="008975BC" w:rsidRPr="00134D5A" w:rsidRDefault="008975BC" w:rsidP="0008126A">
            <w:pPr>
              <w:spacing w:line="480" w:lineRule="auto"/>
              <w:jc w:val="both"/>
              <w:rPr>
                <w:rFonts w:ascii="Arial" w:hAnsi="Arial" w:cs="Arial"/>
              </w:rPr>
            </w:pPr>
            <w:r w:rsidRPr="00134D5A">
              <w:rPr>
                <w:rFonts w:ascii="Arial" w:hAnsi="Arial" w:cs="Arial"/>
              </w:rPr>
              <w:t>6 (46.2)</w:t>
            </w:r>
          </w:p>
        </w:tc>
        <w:tc>
          <w:tcPr>
            <w:tcW w:w="1405" w:type="dxa"/>
            <w:gridSpan w:val="2"/>
            <w:tcBorders>
              <w:top w:val="nil"/>
              <w:left w:val="nil"/>
              <w:bottom w:val="nil"/>
              <w:right w:val="nil"/>
            </w:tcBorders>
            <w:noWrap/>
            <w:vAlign w:val="bottom"/>
            <w:hideMark/>
          </w:tcPr>
          <w:p w14:paraId="6650B3C9" w14:textId="77777777" w:rsidR="008975BC" w:rsidRPr="00134D5A" w:rsidRDefault="008975BC" w:rsidP="0008126A">
            <w:pPr>
              <w:spacing w:line="480" w:lineRule="auto"/>
              <w:jc w:val="both"/>
              <w:rPr>
                <w:rFonts w:ascii="Arial" w:hAnsi="Arial" w:cs="Arial"/>
              </w:rPr>
            </w:pPr>
            <w:r w:rsidRPr="00134D5A">
              <w:rPr>
                <w:rFonts w:ascii="Arial" w:hAnsi="Arial" w:cs="Arial"/>
              </w:rPr>
              <w:t>6 (46.2)</w:t>
            </w:r>
          </w:p>
        </w:tc>
        <w:tc>
          <w:tcPr>
            <w:tcW w:w="927" w:type="dxa"/>
            <w:gridSpan w:val="2"/>
            <w:tcBorders>
              <w:top w:val="nil"/>
              <w:left w:val="nil"/>
              <w:bottom w:val="nil"/>
              <w:right w:val="nil"/>
            </w:tcBorders>
            <w:noWrap/>
            <w:vAlign w:val="bottom"/>
            <w:hideMark/>
          </w:tcPr>
          <w:p w14:paraId="410E081A" w14:textId="77777777" w:rsidR="008975BC" w:rsidRPr="00134D5A" w:rsidRDefault="008975BC" w:rsidP="0008126A">
            <w:pPr>
              <w:spacing w:line="480" w:lineRule="auto"/>
              <w:jc w:val="both"/>
              <w:rPr>
                <w:rFonts w:ascii="Arial" w:hAnsi="Arial" w:cs="Arial"/>
              </w:rPr>
            </w:pPr>
            <w:r w:rsidRPr="00134D5A">
              <w:rPr>
                <w:rFonts w:ascii="Arial" w:hAnsi="Arial" w:cs="Arial"/>
              </w:rPr>
              <w:t>8 (80.0)</w:t>
            </w:r>
          </w:p>
        </w:tc>
        <w:tc>
          <w:tcPr>
            <w:tcW w:w="1751" w:type="dxa"/>
            <w:gridSpan w:val="2"/>
            <w:tcBorders>
              <w:top w:val="nil"/>
              <w:left w:val="nil"/>
              <w:bottom w:val="nil"/>
              <w:right w:val="nil"/>
            </w:tcBorders>
            <w:noWrap/>
            <w:vAlign w:val="bottom"/>
            <w:hideMark/>
          </w:tcPr>
          <w:p w14:paraId="52599E5E" w14:textId="77777777" w:rsidR="008975BC" w:rsidRPr="00134D5A" w:rsidRDefault="008975BC" w:rsidP="0008126A">
            <w:pPr>
              <w:spacing w:line="480" w:lineRule="auto"/>
              <w:jc w:val="both"/>
              <w:rPr>
                <w:rFonts w:ascii="Arial" w:hAnsi="Arial" w:cs="Arial"/>
              </w:rPr>
            </w:pPr>
          </w:p>
        </w:tc>
      </w:tr>
      <w:tr w:rsidR="008975BC" w:rsidRPr="00134D5A" w14:paraId="37210B8C" w14:textId="77777777" w:rsidTr="00BA7ED5">
        <w:trPr>
          <w:trHeight w:val="252"/>
        </w:trPr>
        <w:tc>
          <w:tcPr>
            <w:tcW w:w="3045" w:type="dxa"/>
            <w:tcBorders>
              <w:top w:val="nil"/>
              <w:left w:val="nil"/>
              <w:bottom w:val="nil"/>
              <w:right w:val="nil"/>
            </w:tcBorders>
            <w:noWrap/>
            <w:vAlign w:val="bottom"/>
            <w:hideMark/>
          </w:tcPr>
          <w:p w14:paraId="28759134" w14:textId="77777777" w:rsidR="008975BC" w:rsidRPr="00134D5A" w:rsidRDefault="008975BC" w:rsidP="0008126A">
            <w:pPr>
              <w:spacing w:line="480" w:lineRule="auto"/>
              <w:jc w:val="both"/>
              <w:rPr>
                <w:rFonts w:ascii="Arial" w:hAnsi="Arial" w:cs="Arial"/>
              </w:rPr>
            </w:pPr>
            <w:r w:rsidRPr="00134D5A">
              <w:rPr>
                <w:rFonts w:ascii="Arial" w:hAnsi="Arial" w:cs="Arial"/>
              </w:rPr>
              <w:t>Enrolled in ANC, n (%)</w:t>
            </w:r>
          </w:p>
        </w:tc>
        <w:tc>
          <w:tcPr>
            <w:tcW w:w="1455" w:type="dxa"/>
            <w:gridSpan w:val="2"/>
            <w:tcBorders>
              <w:top w:val="nil"/>
              <w:left w:val="nil"/>
              <w:bottom w:val="nil"/>
              <w:right w:val="nil"/>
            </w:tcBorders>
            <w:noWrap/>
            <w:vAlign w:val="bottom"/>
            <w:hideMark/>
          </w:tcPr>
          <w:p w14:paraId="41503FE6" w14:textId="77777777" w:rsidR="008975BC" w:rsidRPr="00134D5A" w:rsidRDefault="008975BC" w:rsidP="0008126A">
            <w:pPr>
              <w:spacing w:line="480" w:lineRule="auto"/>
              <w:jc w:val="both"/>
              <w:rPr>
                <w:rFonts w:ascii="Arial" w:hAnsi="Arial" w:cs="Arial"/>
              </w:rPr>
            </w:pPr>
            <w:r w:rsidRPr="00134D5A">
              <w:rPr>
                <w:rFonts w:ascii="Arial" w:hAnsi="Arial" w:cs="Arial"/>
              </w:rPr>
              <w:t>13 (100.0)</w:t>
            </w:r>
          </w:p>
        </w:tc>
        <w:tc>
          <w:tcPr>
            <w:tcW w:w="1405" w:type="dxa"/>
            <w:gridSpan w:val="2"/>
            <w:tcBorders>
              <w:top w:val="nil"/>
              <w:left w:val="nil"/>
              <w:bottom w:val="nil"/>
              <w:right w:val="nil"/>
            </w:tcBorders>
            <w:noWrap/>
            <w:vAlign w:val="bottom"/>
            <w:hideMark/>
          </w:tcPr>
          <w:p w14:paraId="3EB02363" w14:textId="09D33E1A" w:rsidR="008975BC" w:rsidRPr="00134D5A" w:rsidRDefault="008975BC" w:rsidP="0008126A">
            <w:pPr>
              <w:spacing w:line="480" w:lineRule="auto"/>
              <w:jc w:val="both"/>
              <w:rPr>
                <w:rFonts w:ascii="Arial" w:hAnsi="Arial" w:cs="Arial"/>
              </w:rPr>
            </w:pPr>
            <w:r w:rsidRPr="00134D5A">
              <w:rPr>
                <w:rFonts w:ascii="Arial" w:hAnsi="Arial" w:cs="Arial"/>
              </w:rPr>
              <w:t>13 (100.0)</w:t>
            </w:r>
          </w:p>
        </w:tc>
        <w:tc>
          <w:tcPr>
            <w:tcW w:w="927" w:type="dxa"/>
            <w:gridSpan w:val="2"/>
            <w:tcBorders>
              <w:top w:val="nil"/>
              <w:left w:val="nil"/>
              <w:bottom w:val="nil"/>
              <w:right w:val="nil"/>
            </w:tcBorders>
            <w:noWrap/>
            <w:vAlign w:val="bottom"/>
            <w:hideMark/>
          </w:tcPr>
          <w:p w14:paraId="064A55B9" w14:textId="77777777" w:rsidR="008975BC" w:rsidRPr="00134D5A" w:rsidRDefault="008975BC" w:rsidP="0008126A">
            <w:pPr>
              <w:spacing w:line="480" w:lineRule="auto"/>
              <w:jc w:val="both"/>
              <w:rPr>
                <w:rFonts w:ascii="Arial" w:hAnsi="Arial" w:cs="Arial"/>
              </w:rPr>
            </w:pPr>
            <w:r w:rsidRPr="00134D5A">
              <w:rPr>
                <w:rFonts w:ascii="Arial" w:hAnsi="Arial" w:cs="Arial"/>
              </w:rPr>
              <w:t>1 (10)</w:t>
            </w:r>
          </w:p>
        </w:tc>
        <w:tc>
          <w:tcPr>
            <w:tcW w:w="1751" w:type="dxa"/>
            <w:gridSpan w:val="2"/>
            <w:tcBorders>
              <w:top w:val="nil"/>
              <w:left w:val="nil"/>
              <w:bottom w:val="nil"/>
              <w:right w:val="nil"/>
            </w:tcBorders>
            <w:noWrap/>
            <w:vAlign w:val="bottom"/>
            <w:hideMark/>
          </w:tcPr>
          <w:p w14:paraId="6CC75BFE" w14:textId="77777777" w:rsidR="008975BC" w:rsidRPr="00134D5A" w:rsidRDefault="008975BC" w:rsidP="00BA7ED5">
            <w:pPr>
              <w:spacing w:line="480" w:lineRule="auto"/>
              <w:ind w:left="675"/>
              <w:jc w:val="both"/>
              <w:rPr>
                <w:rFonts w:ascii="Arial" w:hAnsi="Arial" w:cs="Arial"/>
              </w:rPr>
            </w:pPr>
            <w:r w:rsidRPr="00134D5A">
              <w:rPr>
                <w:rFonts w:ascii="Arial" w:hAnsi="Arial" w:cs="Arial"/>
              </w:rPr>
              <w:t>&lt;0.</w:t>
            </w:r>
            <w:commentRangeStart w:id="4"/>
            <w:r w:rsidRPr="00134D5A">
              <w:rPr>
                <w:rFonts w:ascii="Arial" w:hAnsi="Arial" w:cs="Arial"/>
              </w:rPr>
              <w:t>001</w:t>
            </w:r>
            <w:commentRangeEnd w:id="4"/>
            <w:r w:rsidR="00F56C66">
              <w:rPr>
                <w:rStyle w:val="CommentReference"/>
                <w:rFonts w:ascii="Times New Roman" w:hAnsi="Times New Roman"/>
                <w:lang w:val="nb-NO" w:eastAsia="nb-NO"/>
              </w:rPr>
              <w:commentReference w:id="4"/>
            </w:r>
          </w:p>
        </w:tc>
      </w:tr>
      <w:tr w:rsidR="00BA7ED5" w:rsidRPr="00BA7ED5" w14:paraId="0B862D09" w14:textId="77777777" w:rsidTr="00BA7ED5">
        <w:trPr>
          <w:trHeight w:val="287"/>
        </w:trPr>
        <w:tc>
          <w:tcPr>
            <w:tcW w:w="6220" w:type="dxa"/>
            <w:gridSpan w:val="6"/>
            <w:tcBorders>
              <w:top w:val="nil"/>
              <w:left w:val="nil"/>
              <w:right w:val="nil"/>
            </w:tcBorders>
            <w:noWrap/>
            <w:vAlign w:val="center"/>
            <w:hideMark/>
          </w:tcPr>
          <w:p w14:paraId="16F93FB3" w14:textId="77777777" w:rsidR="00BA7ED5" w:rsidRPr="00BA7ED5" w:rsidRDefault="00BA7ED5" w:rsidP="00B216A9">
            <w:pPr>
              <w:spacing w:line="480" w:lineRule="auto"/>
              <w:jc w:val="both"/>
              <w:rPr>
                <w:rFonts w:ascii="Arial" w:hAnsi="Arial" w:cs="Arial"/>
              </w:rPr>
            </w:pPr>
            <w:r w:rsidRPr="00BA7ED5">
              <w:rPr>
                <w:rFonts w:ascii="Arial" w:hAnsi="Arial" w:cs="Arial"/>
              </w:rPr>
              <w:t>Green Leafy Vegetables in Meals, n (</w:t>
            </w:r>
            <w:proofErr w:type="gramStart"/>
            <w:r w:rsidRPr="00BA7ED5">
              <w:rPr>
                <w:rFonts w:ascii="Arial" w:hAnsi="Arial" w:cs="Arial"/>
              </w:rPr>
              <w:t xml:space="preserve">%)   </w:t>
            </w:r>
            <w:proofErr w:type="gramEnd"/>
            <w:r w:rsidRPr="00BA7ED5">
              <w:rPr>
                <w:rFonts w:ascii="Arial" w:hAnsi="Arial" w:cs="Arial"/>
              </w:rPr>
              <w:t xml:space="preserve">                                   </w:t>
            </w:r>
          </w:p>
        </w:tc>
        <w:tc>
          <w:tcPr>
            <w:tcW w:w="1607" w:type="dxa"/>
            <w:gridSpan w:val="2"/>
            <w:tcBorders>
              <w:top w:val="nil"/>
              <w:left w:val="nil"/>
              <w:right w:val="nil"/>
            </w:tcBorders>
            <w:noWrap/>
            <w:vAlign w:val="bottom"/>
            <w:hideMark/>
          </w:tcPr>
          <w:p w14:paraId="730D6A53" w14:textId="77777777" w:rsidR="00BA7ED5" w:rsidRPr="00BA7ED5" w:rsidRDefault="00BA7ED5" w:rsidP="00B216A9">
            <w:pPr>
              <w:spacing w:line="480" w:lineRule="auto"/>
              <w:jc w:val="both"/>
              <w:rPr>
                <w:rFonts w:ascii="Arial" w:hAnsi="Arial" w:cs="Arial"/>
              </w:rPr>
            </w:pPr>
          </w:p>
        </w:tc>
        <w:tc>
          <w:tcPr>
            <w:tcW w:w="756" w:type="dxa"/>
            <w:tcBorders>
              <w:top w:val="nil"/>
              <w:left w:val="nil"/>
              <w:right w:val="nil"/>
            </w:tcBorders>
            <w:noWrap/>
            <w:vAlign w:val="bottom"/>
            <w:hideMark/>
          </w:tcPr>
          <w:p w14:paraId="64B4EA1C" w14:textId="77777777" w:rsidR="00BA7ED5" w:rsidRPr="00BA7ED5" w:rsidRDefault="00BA7ED5" w:rsidP="00B216A9">
            <w:pPr>
              <w:spacing w:line="480" w:lineRule="auto"/>
              <w:jc w:val="both"/>
              <w:rPr>
                <w:rFonts w:ascii="Arial" w:hAnsi="Arial" w:cs="Arial"/>
              </w:rPr>
            </w:pPr>
          </w:p>
        </w:tc>
      </w:tr>
      <w:tr w:rsidR="00BA7ED5" w:rsidRPr="00BA7ED5" w14:paraId="6E6A967B" w14:textId="77777777" w:rsidTr="00BA7ED5">
        <w:trPr>
          <w:trHeight w:val="287"/>
        </w:trPr>
        <w:tc>
          <w:tcPr>
            <w:tcW w:w="3240" w:type="dxa"/>
            <w:gridSpan w:val="2"/>
            <w:tcBorders>
              <w:top w:val="nil"/>
              <w:left w:val="nil"/>
              <w:bottom w:val="single" w:sz="4" w:space="0" w:color="auto"/>
              <w:right w:val="nil"/>
            </w:tcBorders>
            <w:noWrap/>
            <w:vAlign w:val="center"/>
            <w:hideMark/>
          </w:tcPr>
          <w:p w14:paraId="357A6539" w14:textId="75297DD6" w:rsidR="00BA7ED5" w:rsidRPr="00BA7ED5" w:rsidRDefault="00BA7ED5" w:rsidP="00B216A9">
            <w:pPr>
              <w:spacing w:line="480" w:lineRule="auto"/>
              <w:jc w:val="both"/>
              <w:rPr>
                <w:rFonts w:ascii="Arial" w:hAnsi="Arial" w:cs="Arial"/>
              </w:rPr>
            </w:pPr>
            <w:r w:rsidRPr="00BA7ED5">
              <w:rPr>
                <w:rFonts w:ascii="Arial" w:hAnsi="Arial" w:cs="Arial"/>
              </w:rPr>
              <w:t>Ye</w:t>
            </w:r>
            <w:r>
              <w:rPr>
                <w:rFonts w:ascii="Arial" w:hAnsi="Arial" w:cs="Arial"/>
              </w:rPr>
              <w:t>s</w:t>
            </w:r>
          </w:p>
        </w:tc>
        <w:tc>
          <w:tcPr>
            <w:tcW w:w="1495" w:type="dxa"/>
            <w:gridSpan w:val="2"/>
            <w:tcBorders>
              <w:top w:val="nil"/>
              <w:left w:val="nil"/>
              <w:bottom w:val="single" w:sz="4" w:space="0" w:color="auto"/>
              <w:right w:val="nil"/>
            </w:tcBorders>
            <w:noWrap/>
            <w:vAlign w:val="bottom"/>
            <w:hideMark/>
          </w:tcPr>
          <w:p w14:paraId="338A02F7" w14:textId="77777777" w:rsidR="00BA7ED5" w:rsidRPr="00BA7ED5" w:rsidRDefault="00BA7ED5" w:rsidP="00BA7ED5">
            <w:pPr>
              <w:spacing w:line="480" w:lineRule="auto"/>
              <w:ind w:left="-155"/>
              <w:jc w:val="both"/>
              <w:rPr>
                <w:rFonts w:ascii="Arial" w:hAnsi="Arial" w:cs="Arial"/>
              </w:rPr>
            </w:pPr>
            <w:r w:rsidRPr="00BA7ED5">
              <w:rPr>
                <w:rFonts w:ascii="Arial" w:hAnsi="Arial" w:cs="Arial"/>
              </w:rPr>
              <w:t xml:space="preserve">13 (100.0) </w:t>
            </w:r>
          </w:p>
        </w:tc>
        <w:tc>
          <w:tcPr>
            <w:tcW w:w="1485" w:type="dxa"/>
            <w:gridSpan w:val="2"/>
            <w:tcBorders>
              <w:top w:val="nil"/>
              <w:left w:val="nil"/>
              <w:bottom w:val="single" w:sz="4" w:space="0" w:color="auto"/>
              <w:right w:val="nil"/>
            </w:tcBorders>
            <w:noWrap/>
            <w:vAlign w:val="center"/>
            <w:hideMark/>
          </w:tcPr>
          <w:p w14:paraId="50A08D9A" w14:textId="68870AFE" w:rsidR="00BA7ED5" w:rsidRPr="00BA7ED5" w:rsidRDefault="00BA7ED5" w:rsidP="00BA7ED5">
            <w:pPr>
              <w:spacing w:line="480" w:lineRule="auto"/>
              <w:ind w:left="-198" w:firstLine="90"/>
              <w:jc w:val="both"/>
              <w:rPr>
                <w:rFonts w:ascii="Arial" w:hAnsi="Arial" w:cs="Arial"/>
              </w:rPr>
            </w:pPr>
            <w:r w:rsidRPr="00BA7ED5">
              <w:rPr>
                <w:rFonts w:ascii="Arial" w:hAnsi="Arial" w:cs="Arial"/>
              </w:rPr>
              <w:t xml:space="preserve">13 (100.0)            </w:t>
            </w:r>
          </w:p>
        </w:tc>
        <w:tc>
          <w:tcPr>
            <w:tcW w:w="1607" w:type="dxa"/>
            <w:gridSpan w:val="2"/>
            <w:tcBorders>
              <w:top w:val="nil"/>
              <w:left w:val="nil"/>
              <w:bottom w:val="single" w:sz="4" w:space="0" w:color="auto"/>
              <w:right w:val="nil"/>
            </w:tcBorders>
            <w:noWrap/>
            <w:vAlign w:val="bottom"/>
            <w:hideMark/>
          </w:tcPr>
          <w:p w14:paraId="3A653EE9" w14:textId="77777777" w:rsidR="00BA7ED5" w:rsidRPr="00BA7ED5" w:rsidRDefault="00BA7ED5" w:rsidP="00BA7ED5">
            <w:pPr>
              <w:spacing w:line="480" w:lineRule="auto"/>
              <w:jc w:val="both"/>
              <w:rPr>
                <w:rFonts w:ascii="Arial" w:hAnsi="Arial" w:cs="Arial"/>
              </w:rPr>
            </w:pPr>
            <w:r w:rsidRPr="00BA7ED5">
              <w:rPr>
                <w:rFonts w:ascii="Arial" w:hAnsi="Arial" w:cs="Arial"/>
              </w:rPr>
              <w:t xml:space="preserve">10 (100.0) </w:t>
            </w:r>
          </w:p>
        </w:tc>
        <w:tc>
          <w:tcPr>
            <w:tcW w:w="756" w:type="dxa"/>
            <w:tcBorders>
              <w:top w:val="nil"/>
              <w:left w:val="nil"/>
              <w:bottom w:val="single" w:sz="4" w:space="0" w:color="auto"/>
              <w:right w:val="nil"/>
            </w:tcBorders>
            <w:noWrap/>
            <w:vAlign w:val="bottom"/>
            <w:hideMark/>
          </w:tcPr>
          <w:p w14:paraId="592B550C" w14:textId="77777777" w:rsidR="00BA7ED5" w:rsidRPr="00BA7ED5" w:rsidRDefault="00BA7ED5" w:rsidP="00BA7ED5">
            <w:pPr>
              <w:spacing w:line="480" w:lineRule="auto"/>
              <w:ind w:left="-50"/>
              <w:jc w:val="both"/>
              <w:rPr>
                <w:rFonts w:ascii="Arial" w:hAnsi="Arial" w:cs="Arial"/>
              </w:rPr>
            </w:pPr>
            <w:r w:rsidRPr="00BA7ED5">
              <w:rPr>
                <w:rFonts w:ascii="Arial" w:hAnsi="Arial" w:cs="Arial"/>
              </w:rPr>
              <w:t>1.000</w:t>
            </w:r>
          </w:p>
        </w:tc>
      </w:tr>
    </w:tbl>
    <w:p w14:paraId="5BF22E9E" w14:textId="1E1D4555" w:rsidR="00FA39E2" w:rsidRPr="00525780" w:rsidRDefault="008975BC" w:rsidP="0008126A">
      <w:pPr>
        <w:spacing w:line="480" w:lineRule="auto"/>
        <w:jc w:val="both"/>
        <w:rPr>
          <w:rFonts w:ascii="Arial" w:hAnsi="Arial" w:cs="Arial"/>
          <w:sz w:val="18"/>
          <w:szCs w:val="18"/>
        </w:rPr>
      </w:pPr>
      <w:r w:rsidRPr="00525780">
        <w:rPr>
          <w:rFonts w:ascii="Arial" w:hAnsi="Arial" w:cs="Arial"/>
          <w:sz w:val="18"/>
          <w:szCs w:val="18"/>
        </w:rPr>
        <w:t>Notes: SD = standard deviation; ANC = antenatal care; p-values derived from ANOVA for continuous variables (age, parity) and chi-square tests for categorical variables.</w:t>
      </w:r>
      <w:bookmarkEnd w:id="3"/>
    </w:p>
    <w:p w14:paraId="32759F5A" w14:textId="2B63DB39" w:rsidR="00FA39E2" w:rsidRPr="0008126A" w:rsidRDefault="00E070FD" w:rsidP="0008126A">
      <w:pPr>
        <w:pStyle w:val="Heading2"/>
        <w:spacing w:before="0" w:line="480" w:lineRule="auto"/>
        <w:rPr>
          <w:rFonts w:ascii="Arial" w:hAnsi="Arial" w:cs="Arial"/>
          <w:b/>
          <w:color w:val="auto"/>
          <w:sz w:val="20"/>
          <w:szCs w:val="20"/>
        </w:rPr>
      </w:pPr>
      <w:r w:rsidRPr="00C966FA">
        <w:rPr>
          <w:rFonts w:ascii="Arial" w:hAnsi="Arial" w:cs="Arial"/>
          <w:b/>
          <w:color w:val="auto"/>
          <w:sz w:val="20"/>
          <w:szCs w:val="20"/>
        </w:rPr>
        <w:t>3.1.</w:t>
      </w:r>
      <w:r w:rsidR="008975BC">
        <w:rPr>
          <w:rFonts w:ascii="Arial" w:hAnsi="Arial" w:cs="Arial"/>
          <w:b/>
          <w:color w:val="auto"/>
          <w:sz w:val="20"/>
          <w:szCs w:val="20"/>
        </w:rPr>
        <w:t>6</w:t>
      </w:r>
      <w:r w:rsidRPr="00C966FA">
        <w:rPr>
          <w:rFonts w:ascii="Arial" w:hAnsi="Arial" w:cs="Arial"/>
          <w:b/>
          <w:color w:val="auto"/>
          <w:sz w:val="20"/>
          <w:szCs w:val="20"/>
        </w:rPr>
        <w:t xml:space="preserve"> Inclusion of green leafy vegetables in meals</w:t>
      </w:r>
    </w:p>
    <w:p w14:paraId="5C297B05" w14:textId="5107CAD2" w:rsidR="00FA39E2" w:rsidRDefault="00E070FD" w:rsidP="0008126A">
      <w:pPr>
        <w:spacing w:line="480" w:lineRule="auto"/>
        <w:jc w:val="both"/>
        <w:rPr>
          <w:rFonts w:ascii="Arial" w:hAnsi="Arial" w:cs="Arial"/>
        </w:rPr>
      </w:pPr>
      <w:r w:rsidRPr="00C966FA">
        <w:rPr>
          <w:rFonts w:ascii="Arial" w:hAnsi="Arial" w:cs="Arial"/>
        </w:rPr>
        <w:t xml:space="preserve">100% of respondents (36) reported including green leafy vegetables in their meals. This suggests strong cultural or personal adherence to vegetable intake, which is beneficial for micronutrient support during pregnancy, particularly for iron and folate and an encouraging finding. </w:t>
      </w:r>
      <w:r w:rsidRPr="00C966FA">
        <w:rPr>
          <w:rFonts w:ascii="Arial" w:hAnsi="Arial" w:cs="Arial"/>
          <w:color w:val="505050"/>
          <w:szCs w:val="27"/>
          <w:shd w:val="clear" w:color="auto" w:fill="FFFFFF"/>
        </w:rPr>
        <w:t xml:space="preserve">Dietary patterns were similar across groups, characterized by a high consumption of leafy vegetables and a limited intake of animal-source foods (Table 1). Such nutritional habits align with findings </w:t>
      </w:r>
      <w:r w:rsidRPr="00C966FA">
        <w:rPr>
          <w:rFonts w:ascii="Arial" w:hAnsi="Arial" w:cs="Arial"/>
          <w:color w:val="505050"/>
          <w:shd w:val="clear" w:color="auto" w:fill="FFFFFF"/>
        </w:rPr>
        <w:t xml:space="preserve">from other Nigerian and Sub-Saharan African settings, where economic and cultural factors limit dietary diversity and iron bioavailability </w:t>
      </w:r>
      <w:r w:rsidRPr="00C966FA">
        <w:rPr>
          <w:rFonts w:ascii="Arial" w:hAnsi="Arial" w:cs="Arial"/>
          <w:color w:val="1C1C1C"/>
          <w:spacing w:val="-2"/>
          <w:shd w:val="clear" w:color="auto" w:fill="FFFFFF"/>
        </w:rPr>
        <w:t>(</w:t>
      </w:r>
      <w:proofErr w:type="spellStart"/>
      <w:r w:rsidRPr="00C966FA">
        <w:rPr>
          <w:rFonts w:ascii="Arial" w:hAnsi="Arial" w:cs="Arial"/>
          <w:color w:val="1C1C1C"/>
          <w:spacing w:val="-2"/>
          <w:shd w:val="clear" w:color="auto" w:fill="FFFFFF"/>
        </w:rPr>
        <w:t>Balarajan</w:t>
      </w:r>
      <w:proofErr w:type="spellEnd"/>
      <w:r w:rsidRPr="00C966FA">
        <w:rPr>
          <w:rFonts w:ascii="Arial" w:hAnsi="Arial" w:cs="Arial"/>
          <w:color w:val="1C1C1C"/>
          <w:spacing w:val="-2"/>
          <w:shd w:val="clear" w:color="auto" w:fill="FFFFFF"/>
        </w:rPr>
        <w:t xml:space="preserve"> </w:t>
      </w:r>
      <w:r w:rsidR="00E6558D" w:rsidRPr="00C966FA">
        <w:rPr>
          <w:rFonts w:ascii="Arial" w:hAnsi="Arial" w:cs="Arial"/>
          <w:i/>
        </w:rPr>
        <w:t>et al</w:t>
      </w:r>
      <w:r w:rsidRPr="00C966FA">
        <w:rPr>
          <w:rFonts w:ascii="Arial" w:hAnsi="Arial" w:cs="Arial"/>
          <w:color w:val="1C1C1C"/>
          <w:spacing w:val="-2"/>
          <w:shd w:val="clear" w:color="auto" w:fill="FFFFFF"/>
        </w:rPr>
        <w:t xml:space="preserve"> </w:t>
      </w:r>
      <w:proofErr w:type="gramStart"/>
      <w:r w:rsidRPr="00C966FA">
        <w:rPr>
          <w:rFonts w:ascii="Arial" w:hAnsi="Arial" w:cs="Arial"/>
          <w:color w:val="1C1C1C"/>
          <w:spacing w:val="-2"/>
          <w:shd w:val="clear" w:color="auto" w:fill="FFFFFF"/>
        </w:rPr>
        <w:t>2011;,</w:t>
      </w:r>
      <w:proofErr w:type="gramEnd"/>
      <w:r w:rsidRPr="00C966FA">
        <w:rPr>
          <w:rFonts w:ascii="Arial" w:hAnsi="Arial" w:cs="Arial"/>
          <w:color w:val="1C1C1C"/>
          <w:spacing w:val="-2"/>
          <w:shd w:val="clear" w:color="auto" w:fill="FFFFFF"/>
        </w:rPr>
        <w:t xml:space="preserve"> </w:t>
      </w:r>
      <w:proofErr w:type="gramStart"/>
      <w:r w:rsidRPr="00C966FA">
        <w:rPr>
          <w:rFonts w:ascii="Arial" w:hAnsi="Arial" w:cs="Arial"/>
          <w:color w:val="1C1C1C"/>
          <w:spacing w:val="-2"/>
          <w:shd w:val="clear" w:color="auto" w:fill="FFFFFF"/>
        </w:rPr>
        <w:t>Ugwu ,</w:t>
      </w:r>
      <w:r w:rsidR="00E6558D" w:rsidRPr="00C966FA">
        <w:rPr>
          <w:rFonts w:ascii="Arial" w:hAnsi="Arial" w:cs="Arial"/>
          <w:i/>
        </w:rPr>
        <w:t>et</w:t>
      </w:r>
      <w:proofErr w:type="gramEnd"/>
      <w:r w:rsidR="00E6558D" w:rsidRPr="00C966FA">
        <w:rPr>
          <w:rFonts w:ascii="Arial" w:hAnsi="Arial" w:cs="Arial"/>
          <w:i/>
        </w:rPr>
        <w:t xml:space="preserve"> al</w:t>
      </w:r>
      <w:r w:rsidRPr="00C966FA">
        <w:rPr>
          <w:rFonts w:ascii="Arial" w:hAnsi="Arial" w:cs="Arial"/>
          <w:color w:val="1C1C1C"/>
          <w:spacing w:val="-2"/>
          <w:shd w:val="clear" w:color="auto" w:fill="FFFFFF"/>
        </w:rPr>
        <w:t xml:space="preserve"> 2020).</w:t>
      </w:r>
    </w:p>
    <w:p w14:paraId="068B828D" w14:textId="77777777" w:rsidR="0008126A" w:rsidRPr="00C966FA" w:rsidRDefault="0008126A" w:rsidP="0008126A">
      <w:pPr>
        <w:spacing w:line="480" w:lineRule="auto"/>
        <w:jc w:val="both"/>
        <w:rPr>
          <w:rFonts w:ascii="Arial" w:hAnsi="Arial" w:cs="Arial"/>
        </w:rPr>
      </w:pPr>
    </w:p>
    <w:p w14:paraId="39B67275" w14:textId="734860DD" w:rsidR="00FA39E2" w:rsidRPr="00C966FA" w:rsidRDefault="00E070FD" w:rsidP="0008126A">
      <w:pPr>
        <w:spacing w:line="480" w:lineRule="auto"/>
        <w:jc w:val="both"/>
        <w:rPr>
          <w:rFonts w:ascii="Arial" w:hAnsi="Arial" w:cs="Arial"/>
          <w:szCs w:val="24"/>
        </w:rPr>
      </w:pPr>
      <w:r w:rsidRPr="00C966FA">
        <w:rPr>
          <w:rFonts w:ascii="Arial" w:hAnsi="Arial" w:cs="Arial"/>
          <w:noProof/>
          <w:sz w:val="24"/>
          <w:szCs w:val="24"/>
        </w:rPr>
        <w:lastRenderedPageBreak/>
        <w:drawing>
          <wp:inline distT="0" distB="0" distL="0" distR="0" wp14:anchorId="717BA1E5" wp14:editId="6635E59D">
            <wp:extent cx="5159375" cy="1327150"/>
            <wp:effectExtent l="0" t="0" r="3175"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51BC9C" w14:textId="77777777" w:rsidR="00FA39E2" w:rsidRPr="00C966FA" w:rsidRDefault="00E070FD" w:rsidP="0008126A">
      <w:pPr>
        <w:spacing w:line="480" w:lineRule="auto"/>
        <w:jc w:val="both"/>
        <w:rPr>
          <w:rFonts w:ascii="Arial" w:hAnsi="Arial" w:cs="Arial"/>
          <w:b/>
          <w:sz w:val="22"/>
        </w:rPr>
      </w:pPr>
      <w:r w:rsidRPr="00C966FA">
        <w:rPr>
          <w:rFonts w:ascii="Arial" w:hAnsi="Arial" w:cs="Arial"/>
          <w:sz w:val="18"/>
          <w:szCs w:val="24"/>
          <w:lang w:val="en-GB"/>
        </w:rPr>
        <w:t>Figure 5. Include green leafy vegetables in meals</w:t>
      </w:r>
    </w:p>
    <w:p w14:paraId="50D018ED" w14:textId="035A7839" w:rsidR="00FA39E2" w:rsidRPr="0008126A" w:rsidRDefault="00E070FD" w:rsidP="0008126A">
      <w:pPr>
        <w:spacing w:line="480" w:lineRule="auto"/>
        <w:jc w:val="both"/>
        <w:rPr>
          <w:rFonts w:ascii="Arial" w:hAnsi="Arial" w:cs="Arial"/>
          <w:b/>
          <w:sz w:val="22"/>
        </w:rPr>
      </w:pPr>
      <w:r w:rsidRPr="00C966FA">
        <w:rPr>
          <w:rFonts w:ascii="Arial" w:hAnsi="Arial" w:cs="Arial"/>
          <w:b/>
          <w:sz w:val="22"/>
        </w:rPr>
        <w:t xml:space="preserve">3.2 Effect of Iron Folic Acid supplementation on </w:t>
      </w:r>
      <w:proofErr w:type="spellStart"/>
      <w:r w:rsidRPr="00C966FA">
        <w:rPr>
          <w:rFonts w:ascii="Arial" w:hAnsi="Arial" w:cs="Arial"/>
          <w:b/>
          <w:sz w:val="22"/>
        </w:rPr>
        <w:t>Haemoglobin</w:t>
      </w:r>
      <w:proofErr w:type="spellEnd"/>
      <w:r w:rsidRPr="00C966FA">
        <w:rPr>
          <w:rFonts w:ascii="Arial" w:hAnsi="Arial" w:cs="Arial"/>
          <w:b/>
          <w:sz w:val="22"/>
        </w:rPr>
        <w:t xml:space="preserve"> and Blood Parameters before and after 3 Months. Always present your table</w:t>
      </w:r>
    </w:p>
    <w:p w14:paraId="2A62DF0E" w14:textId="28D9E93B" w:rsidR="00FA39E2" w:rsidRPr="00C966FA" w:rsidRDefault="00E070FD" w:rsidP="0008126A">
      <w:pPr>
        <w:spacing w:line="480" w:lineRule="auto"/>
        <w:jc w:val="both"/>
        <w:rPr>
          <w:rFonts w:ascii="Arial" w:hAnsi="Arial" w:cs="Arial"/>
          <w:szCs w:val="24"/>
        </w:rPr>
      </w:pPr>
      <w:r w:rsidRPr="00C966FA">
        <w:rPr>
          <w:rFonts w:ascii="Arial" w:hAnsi="Arial" w:cs="Arial"/>
          <w:szCs w:val="24"/>
        </w:rPr>
        <w:t>The results for effects of Iron folic acid supplementation on blood parameters</w:t>
      </w:r>
      <w:r w:rsidR="00EE3F43">
        <w:rPr>
          <w:rFonts w:ascii="Arial" w:hAnsi="Arial" w:cs="Arial"/>
          <w:szCs w:val="24"/>
        </w:rPr>
        <w:t>, as presented</w:t>
      </w:r>
      <w:r w:rsidRPr="00C966FA">
        <w:rPr>
          <w:rFonts w:ascii="Arial" w:hAnsi="Arial" w:cs="Arial"/>
          <w:szCs w:val="24"/>
        </w:rPr>
        <w:t xml:space="preserve"> </w:t>
      </w:r>
      <w:r w:rsidR="00EE3F43">
        <w:rPr>
          <w:rFonts w:ascii="Arial" w:hAnsi="Arial" w:cs="Arial"/>
          <w:szCs w:val="24"/>
        </w:rPr>
        <w:t xml:space="preserve">in Table 2, </w:t>
      </w:r>
      <w:r w:rsidRPr="00C966FA">
        <w:rPr>
          <w:rFonts w:ascii="Arial" w:hAnsi="Arial" w:cs="Arial"/>
          <w:szCs w:val="24"/>
        </w:rPr>
        <w:t>revealed that the IFA group showed significant improvements (</w:t>
      </w:r>
      <w:r w:rsidRPr="00C966FA">
        <w:rPr>
          <w:rFonts w:ascii="Arial" w:hAnsi="Arial" w:cs="Arial"/>
          <w:i/>
          <w:szCs w:val="24"/>
        </w:rPr>
        <w:t>P</w:t>
      </w:r>
      <w:r w:rsidRPr="00C966FA">
        <w:rPr>
          <w:rFonts w:ascii="Arial" w:hAnsi="Arial" w:cs="Arial"/>
          <w:szCs w:val="24"/>
        </w:rPr>
        <w:t>=0.01) in hemoglobin (Hb) and red blood cell (RBC) counts (</w:t>
      </w:r>
      <w:r w:rsidRPr="00C966FA">
        <w:rPr>
          <w:rFonts w:ascii="Arial" w:hAnsi="Arial" w:cs="Arial"/>
          <w:i/>
          <w:szCs w:val="24"/>
        </w:rPr>
        <w:t>P</w:t>
      </w:r>
      <w:r w:rsidRPr="00C966FA">
        <w:rPr>
          <w:rFonts w:ascii="Arial" w:hAnsi="Arial" w:cs="Arial"/>
          <w:szCs w:val="24"/>
        </w:rPr>
        <w:t xml:space="preserve">=0.02), supporting global evidence that IFA is effective in reducing anemia during pregnancy. These findings are consistent with prior research indicating IFA’s role as a primary intervention for iron-deficiency anemia (Abbaspour </w:t>
      </w:r>
      <w:r w:rsidR="00E6558D" w:rsidRPr="00C966FA">
        <w:rPr>
          <w:rFonts w:ascii="Arial" w:hAnsi="Arial" w:cs="Arial"/>
          <w:i/>
        </w:rPr>
        <w:t>et al</w:t>
      </w:r>
      <w:r w:rsidR="00EE3F43">
        <w:rPr>
          <w:rFonts w:ascii="Arial" w:hAnsi="Arial" w:cs="Arial"/>
          <w:i/>
        </w:rPr>
        <w:t>,</w:t>
      </w:r>
      <w:r w:rsidRPr="00C966FA">
        <w:rPr>
          <w:rFonts w:ascii="Arial" w:hAnsi="Arial" w:cs="Arial"/>
          <w:szCs w:val="24"/>
        </w:rPr>
        <w:t xml:space="preserve"> 2014; WHO, 2021).</w:t>
      </w:r>
    </w:p>
    <w:p w14:paraId="7B4F13A4" w14:textId="77777777" w:rsidR="00F704F3" w:rsidRDefault="00F704F3" w:rsidP="00F704F3">
      <w:pPr>
        <w:spacing w:line="480" w:lineRule="auto"/>
        <w:jc w:val="both"/>
        <w:rPr>
          <w:rFonts w:ascii="Arial" w:eastAsia="Arial" w:hAnsi="Arial" w:cs="Arial"/>
        </w:rPr>
      </w:pPr>
      <w:r>
        <w:rPr>
          <w:rFonts w:ascii="Arial" w:eastAsia="Arial" w:hAnsi="Arial" w:cs="Arial"/>
          <w:b/>
        </w:rPr>
        <w:t xml:space="preserve">Table 2. The Effect of Iron Folic Acid on </w:t>
      </w:r>
      <w:proofErr w:type="spellStart"/>
      <w:r>
        <w:rPr>
          <w:rFonts w:ascii="Arial" w:eastAsia="Arial" w:hAnsi="Arial" w:cs="Arial"/>
          <w:b/>
        </w:rPr>
        <w:t>Haemoglobin</w:t>
      </w:r>
      <w:proofErr w:type="spellEnd"/>
      <w:r>
        <w:rPr>
          <w:rFonts w:ascii="Arial" w:eastAsia="Arial" w:hAnsi="Arial" w:cs="Arial"/>
          <w:b/>
        </w:rPr>
        <w:t xml:space="preserve"> and other Blood Parameters </w:t>
      </w:r>
    </w:p>
    <w:tbl>
      <w:tblPr>
        <w:tblW w:w="8528" w:type="dxa"/>
        <w:tblInd w:w="-25" w:type="dxa"/>
        <w:tblLayout w:type="fixed"/>
        <w:tblLook w:val="0400" w:firstRow="0" w:lastRow="0" w:firstColumn="0" w:lastColumn="0" w:noHBand="0" w:noVBand="1"/>
      </w:tblPr>
      <w:tblGrid>
        <w:gridCol w:w="2725"/>
        <w:gridCol w:w="1800"/>
        <w:gridCol w:w="1620"/>
        <w:gridCol w:w="900"/>
        <w:gridCol w:w="1222"/>
        <w:gridCol w:w="261"/>
      </w:tblGrid>
      <w:tr w:rsidR="00F704F3" w14:paraId="391C255F" w14:textId="77777777" w:rsidTr="00F73C34">
        <w:trPr>
          <w:gridAfter w:val="1"/>
          <w:wAfter w:w="261" w:type="dxa"/>
          <w:trHeight w:val="171"/>
        </w:trPr>
        <w:tc>
          <w:tcPr>
            <w:tcW w:w="2725" w:type="dxa"/>
            <w:tcBorders>
              <w:top w:val="single" w:sz="4" w:space="0" w:color="000000"/>
              <w:left w:val="nil"/>
              <w:bottom w:val="single" w:sz="4" w:space="0" w:color="000000"/>
              <w:right w:val="nil"/>
            </w:tcBorders>
          </w:tcPr>
          <w:p w14:paraId="23B16BA6"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1800" w:type="dxa"/>
            <w:tcBorders>
              <w:top w:val="single" w:sz="4" w:space="0" w:color="000000"/>
              <w:left w:val="nil"/>
              <w:bottom w:val="single" w:sz="4" w:space="0" w:color="000000"/>
              <w:right w:val="nil"/>
            </w:tcBorders>
          </w:tcPr>
          <w:p w14:paraId="687B7686"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637EEDDC"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620" w:type="dxa"/>
            <w:tcBorders>
              <w:top w:val="single" w:sz="4" w:space="0" w:color="000000"/>
              <w:left w:val="nil"/>
              <w:bottom w:val="single" w:sz="4" w:space="0" w:color="000000"/>
              <w:right w:val="nil"/>
            </w:tcBorders>
          </w:tcPr>
          <w:p w14:paraId="17780271"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900" w:type="dxa"/>
            <w:tcBorders>
              <w:top w:val="single" w:sz="4" w:space="0" w:color="000000"/>
              <w:left w:val="nil"/>
              <w:bottom w:val="single" w:sz="4" w:space="0" w:color="000000"/>
              <w:right w:val="nil"/>
            </w:tcBorders>
          </w:tcPr>
          <w:p w14:paraId="720263A4"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22" w:type="dxa"/>
            <w:tcBorders>
              <w:top w:val="single" w:sz="4" w:space="0" w:color="000000"/>
              <w:left w:val="nil"/>
              <w:bottom w:val="single" w:sz="4" w:space="0" w:color="000000"/>
              <w:right w:val="nil"/>
            </w:tcBorders>
          </w:tcPr>
          <w:p w14:paraId="60B58C6D"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p w14:paraId="2FD9298F" w14:textId="77777777" w:rsidR="00F704F3" w:rsidRDefault="00F704F3" w:rsidP="00F73C34">
            <w:pPr>
              <w:spacing w:line="480" w:lineRule="auto"/>
              <w:jc w:val="center"/>
              <w:rPr>
                <w:rFonts w:ascii="Arial" w:eastAsia="Arial" w:hAnsi="Arial" w:cs="Arial"/>
                <w:b/>
              </w:rPr>
            </w:pPr>
          </w:p>
        </w:tc>
      </w:tr>
      <w:tr w:rsidR="00F704F3" w14:paraId="47E338C1" w14:textId="77777777" w:rsidTr="00F73C34">
        <w:trPr>
          <w:gridAfter w:val="1"/>
          <w:wAfter w:w="261" w:type="dxa"/>
          <w:trHeight w:val="473"/>
        </w:trPr>
        <w:tc>
          <w:tcPr>
            <w:tcW w:w="2725" w:type="dxa"/>
            <w:tcBorders>
              <w:top w:val="single" w:sz="4" w:space="0" w:color="000000"/>
              <w:left w:val="nil"/>
              <w:bottom w:val="nil"/>
              <w:right w:val="nil"/>
            </w:tcBorders>
          </w:tcPr>
          <w:p w14:paraId="07D27FD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800" w:type="dxa"/>
            <w:tcBorders>
              <w:top w:val="single" w:sz="4" w:space="0" w:color="000000"/>
              <w:left w:val="nil"/>
              <w:bottom w:val="nil"/>
              <w:right w:val="nil"/>
            </w:tcBorders>
          </w:tcPr>
          <w:p w14:paraId="317FE64D" w14:textId="77777777" w:rsidR="00F704F3" w:rsidRDefault="00F704F3" w:rsidP="00F73C34">
            <w:pPr>
              <w:spacing w:line="480" w:lineRule="auto"/>
              <w:jc w:val="center"/>
              <w:rPr>
                <w:rFonts w:ascii="Arial" w:eastAsia="Arial" w:hAnsi="Arial" w:cs="Arial"/>
              </w:rPr>
            </w:pPr>
            <w:r>
              <w:rPr>
                <w:rFonts w:ascii="Arial" w:eastAsia="Arial" w:hAnsi="Arial" w:cs="Arial"/>
              </w:rPr>
              <w:t>31.54 ± 2.44</w:t>
            </w:r>
          </w:p>
        </w:tc>
        <w:tc>
          <w:tcPr>
            <w:tcW w:w="1620" w:type="dxa"/>
            <w:tcBorders>
              <w:top w:val="single" w:sz="4" w:space="0" w:color="000000"/>
              <w:left w:val="nil"/>
              <w:bottom w:val="nil"/>
              <w:right w:val="nil"/>
            </w:tcBorders>
          </w:tcPr>
          <w:p w14:paraId="12B2E77A" w14:textId="77777777" w:rsidR="00F704F3" w:rsidRDefault="00F704F3" w:rsidP="00F73C34">
            <w:pPr>
              <w:spacing w:line="480" w:lineRule="auto"/>
              <w:jc w:val="center"/>
              <w:rPr>
                <w:rFonts w:ascii="Arial" w:eastAsia="Arial" w:hAnsi="Arial" w:cs="Arial"/>
              </w:rPr>
            </w:pPr>
            <w:r>
              <w:rPr>
                <w:rFonts w:ascii="Arial" w:eastAsia="Arial" w:hAnsi="Arial" w:cs="Arial"/>
              </w:rPr>
              <w:t>32.92 ± 3.77</w:t>
            </w:r>
          </w:p>
        </w:tc>
        <w:tc>
          <w:tcPr>
            <w:tcW w:w="900" w:type="dxa"/>
            <w:tcBorders>
              <w:top w:val="single" w:sz="4" w:space="0" w:color="000000"/>
              <w:left w:val="nil"/>
              <w:bottom w:val="nil"/>
              <w:right w:val="nil"/>
            </w:tcBorders>
            <w:vAlign w:val="center"/>
          </w:tcPr>
          <w:p w14:paraId="7466DC14" w14:textId="77777777" w:rsidR="00F704F3" w:rsidRDefault="00F704F3" w:rsidP="00F73C34">
            <w:pPr>
              <w:spacing w:line="480" w:lineRule="auto"/>
              <w:jc w:val="center"/>
              <w:rPr>
                <w:rFonts w:ascii="Arial" w:eastAsia="Arial" w:hAnsi="Arial" w:cs="Arial"/>
              </w:rPr>
            </w:pPr>
            <w:r>
              <w:rPr>
                <w:rFonts w:ascii="Arial" w:eastAsia="Arial" w:hAnsi="Arial" w:cs="Arial"/>
              </w:rPr>
              <w:t>0.22</w:t>
            </w:r>
          </w:p>
        </w:tc>
        <w:tc>
          <w:tcPr>
            <w:tcW w:w="1222" w:type="dxa"/>
            <w:tcBorders>
              <w:top w:val="single" w:sz="4" w:space="0" w:color="000000"/>
              <w:left w:val="nil"/>
              <w:bottom w:val="nil"/>
              <w:right w:val="nil"/>
            </w:tcBorders>
            <w:vAlign w:val="center"/>
          </w:tcPr>
          <w:p w14:paraId="2915E447" w14:textId="77777777" w:rsidR="00F704F3" w:rsidRDefault="00F704F3" w:rsidP="00F73C34">
            <w:pPr>
              <w:spacing w:line="480" w:lineRule="auto"/>
              <w:jc w:val="center"/>
              <w:rPr>
                <w:rFonts w:ascii="Arial" w:eastAsia="Arial" w:hAnsi="Arial" w:cs="Arial"/>
              </w:rPr>
            </w:pPr>
            <w:r>
              <w:rPr>
                <w:rFonts w:ascii="Arial" w:eastAsia="Arial" w:hAnsi="Arial" w:cs="Arial"/>
              </w:rPr>
              <w:t>-1.29</w:t>
            </w:r>
          </w:p>
        </w:tc>
      </w:tr>
      <w:tr w:rsidR="00F704F3" w14:paraId="57137298" w14:textId="77777777" w:rsidTr="00F73C34">
        <w:trPr>
          <w:trHeight w:val="463"/>
        </w:trPr>
        <w:tc>
          <w:tcPr>
            <w:tcW w:w="2725" w:type="dxa"/>
            <w:tcBorders>
              <w:top w:val="nil"/>
              <w:left w:val="nil"/>
              <w:bottom w:val="nil"/>
              <w:right w:val="nil"/>
            </w:tcBorders>
          </w:tcPr>
          <w:p w14:paraId="73053075"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800" w:type="dxa"/>
            <w:tcBorders>
              <w:top w:val="nil"/>
              <w:left w:val="nil"/>
              <w:bottom w:val="nil"/>
              <w:right w:val="nil"/>
            </w:tcBorders>
          </w:tcPr>
          <w:p w14:paraId="2920EB5F" w14:textId="77777777" w:rsidR="00F704F3" w:rsidRDefault="00F704F3" w:rsidP="00F73C34">
            <w:pPr>
              <w:spacing w:line="480" w:lineRule="auto"/>
              <w:jc w:val="center"/>
              <w:rPr>
                <w:rFonts w:ascii="Arial" w:eastAsia="Arial" w:hAnsi="Arial" w:cs="Arial"/>
              </w:rPr>
            </w:pPr>
            <w:r>
              <w:rPr>
                <w:rFonts w:ascii="Arial" w:eastAsia="Arial" w:hAnsi="Arial" w:cs="Arial"/>
              </w:rPr>
              <w:t>9.82 ± 0.68</w:t>
            </w:r>
          </w:p>
        </w:tc>
        <w:tc>
          <w:tcPr>
            <w:tcW w:w="1620" w:type="dxa"/>
            <w:tcBorders>
              <w:top w:val="nil"/>
              <w:left w:val="nil"/>
              <w:bottom w:val="nil"/>
              <w:right w:val="nil"/>
            </w:tcBorders>
          </w:tcPr>
          <w:p w14:paraId="6EF26085" w14:textId="77777777" w:rsidR="00F704F3" w:rsidRDefault="00F704F3" w:rsidP="00F73C34">
            <w:pPr>
              <w:spacing w:line="480" w:lineRule="auto"/>
              <w:jc w:val="center"/>
              <w:rPr>
                <w:rFonts w:ascii="Arial" w:eastAsia="Arial" w:hAnsi="Arial" w:cs="Arial"/>
              </w:rPr>
            </w:pPr>
            <w:r>
              <w:rPr>
                <w:rFonts w:ascii="Arial" w:eastAsia="Arial" w:hAnsi="Arial" w:cs="Arial"/>
              </w:rPr>
              <w:t>10.93 ± 1.30</w:t>
            </w:r>
          </w:p>
        </w:tc>
        <w:tc>
          <w:tcPr>
            <w:tcW w:w="900" w:type="dxa"/>
            <w:tcBorders>
              <w:top w:val="nil"/>
              <w:left w:val="nil"/>
              <w:bottom w:val="nil"/>
              <w:right w:val="nil"/>
            </w:tcBorders>
            <w:vAlign w:val="center"/>
          </w:tcPr>
          <w:p w14:paraId="636DB351"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028524F0"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48E6BDFD" w14:textId="77777777" w:rsidR="00F704F3" w:rsidRDefault="00F704F3" w:rsidP="00F73C34">
            <w:pPr>
              <w:spacing w:line="480" w:lineRule="auto"/>
              <w:rPr>
                <w:rFonts w:ascii="Arial" w:eastAsia="Arial" w:hAnsi="Arial" w:cs="Arial"/>
              </w:rPr>
            </w:pPr>
          </w:p>
        </w:tc>
      </w:tr>
      <w:tr w:rsidR="00F704F3" w14:paraId="15C35873" w14:textId="77777777" w:rsidTr="00F73C34">
        <w:trPr>
          <w:trHeight w:val="473"/>
        </w:trPr>
        <w:tc>
          <w:tcPr>
            <w:tcW w:w="2725" w:type="dxa"/>
            <w:tcBorders>
              <w:top w:val="nil"/>
              <w:left w:val="nil"/>
              <w:bottom w:val="nil"/>
              <w:right w:val="nil"/>
            </w:tcBorders>
          </w:tcPr>
          <w:p w14:paraId="2020205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800" w:type="dxa"/>
            <w:tcBorders>
              <w:top w:val="nil"/>
              <w:left w:val="nil"/>
              <w:bottom w:val="nil"/>
              <w:right w:val="nil"/>
            </w:tcBorders>
          </w:tcPr>
          <w:p w14:paraId="0B856B65" w14:textId="77777777" w:rsidR="00F704F3" w:rsidRDefault="00F704F3" w:rsidP="00F73C34">
            <w:pPr>
              <w:spacing w:line="480" w:lineRule="auto"/>
              <w:jc w:val="center"/>
              <w:rPr>
                <w:rFonts w:ascii="Arial" w:eastAsia="Arial" w:hAnsi="Arial" w:cs="Arial"/>
              </w:rPr>
            </w:pPr>
            <w:r>
              <w:rPr>
                <w:rFonts w:ascii="Arial" w:eastAsia="Arial" w:hAnsi="Arial" w:cs="Arial"/>
              </w:rPr>
              <w:t>3.80 ± 0.55</w:t>
            </w:r>
          </w:p>
        </w:tc>
        <w:tc>
          <w:tcPr>
            <w:tcW w:w="1620" w:type="dxa"/>
            <w:tcBorders>
              <w:top w:val="nil"/>
              <w:left w:val="nil"/>
              <w:bottom w:val="nil"/>
              <w:right w:val="nil"/>
            </w:tcBorders>
          </w:tcPr>
          <w:p w14:paraId="1875C79A" w14:textId="77777777" w:rsidR="00F704F3" w:rsidRDefault="00F704F3" w:rsidP="00F73C34">
            <w:pPr>
              <w:spacing w:line="480" w:lineRule="auto"/>
              <w:jc w:val="center"/>
              <w:rPr>
                <w:rFonts w:ascii="Arial" w:eastAsia="Arial" w:hAnsi="Arial" w:cs="Arial"/>
              </w:rPr>
            </w:pPr>
            <w:r>
              <w:rPr>
                <w:rFonts w:ascii="Arial" w:eastAsia="Arial" w:hAnsi="Arial" w:cs="Arial"/>
              </w:rPr>
              <w:t>4.38 ± 0.57</w:t>
            </w:r>
          </w:p>
        </w:tc>
        <w:tc>
          <w:tcPr>
            <w:tcW w:w="900" w:type="dxa"/>
            <w:tcBorders>
              <w:top w:val="nil"/>
              <w:left w:val="nil"/>
              <w:bottom w:val="nil"/>
              <w:right w:val="nil"/>
            </w:tcBorders>
            <w:vAlign w:val="center"/>
          </w:tcPr>
          <w:p w14:paraId="7977247A" w14:textId="77777777" w:rsidR="00F704F3" w:rsidRDefault="00F704F3" w:rsidP="00F73C34">
            <w:pPr>
              <w:spacing w:line="480" w:lineRule="auto"/>
              <w:jc w:val="center"/>
              <w:rPr>
                <w:rFonts w:ascii="Arial" w:eastAsia="Arial" w:hAnsi="Arial" w:cs="Arial"/>
              </w:rPr>
            </w:pPr>
            <w:r>
              <w:rPr>
                <w:rFonts w:ascii="Arial" w:eastAsia="Arial" w:hAnsi="Arial" w:cs="Arial"/>
              </w:rPr>
              <w:t>0.02*</w:t>
            </w:r>
          </w:p>
        </w:tc>
        <w:tc>
          <w:tcPr>
            <w:tcW w:w="1222" w:type="dxa"/>
            <w:tcBorders>
              <w:top w:val="nil"/>
              <w:left w:val="nil"/>
              <w:bottom w:val="nil"/>
              <w:right w:val="nil"/>
            </w:tcBorders>
            <w:vAlign w:val="center"/>
          </w:tcPr>
          <w:p w14:paraId="6ABF4BBD" w14:textId="77777777" w:rsidR="00F704F3" w:rsidRDefault="00F704F3" w:rsidP="00F73C34">
            <w:pPr>
              <w:spacing w:line="480" w:lineRule="auto"/>
              <w:jc w:val="center"/>
              <w:rPr>
                <w:rFonts w:ascii="Arial" w:eastAsia="Arial" w:hAnsi="Arial" w:cs="Arial"/>
              </w:rPr>
            </w:pPr>
            <w:r>
              <w:rPr>
                <w:rFonts w:ascii="Arial" w:eastAsia="Arial" w:hAnsi="Arial" w:cs="Arial"/>
              </w:rPr>
              <w:t>-2.58</w:t>
            </w:r>
          </w:p>
        </w:tc>
        <w:tc>
          <w:tcPr>
            <w:tcW w:w="261" w:type="dxa"/>
            <w:tcBorders>
              <w:top w:val="nil"/>
              <w:left w:val="nil"/>
              <w:bottom w:val="nil"/>
              <w:right w:val="nil"/>
            </w:tcBorders>
          </w:tcPr>
          <w:p w14:paraId="47C96F65" w14:textId="77777777" w:rsidR="00F704F3" w:rsidRDefault="00F704F3" w:rsidP="00F73C34">
            <w:pPr>
              <w:spacing w:line="480" w:lineRule="auto"/>
              <w:rPr>
                <w:rFonts w:ascii="Arial" w:eastAsia="Arial" w:hAnsi="Arial" w:cs="Arial"/>
              </w:rPr>
            </w:pPr>
          </w:p>
        </w:tc>
      </w:tr>
      <w:tr w:rsidR="00F704F3" w14:paraId="4D4E3BA9" w14:textId="77777777" w:rsidTr="00F73C34">
        <w:trPr>
          <w:trHeight w:val="473"/>
        </w:trPr>
        <w:tc>
          <w:tcPr>
            <w:tcW w:w="2725" w:type="dxa"/>
            <w:tcBorders>
              <w:top w:val="nil"/>
              <w:left w:val="nil"/>
              <w:bottom w:val="nil"/>
              <w:right w:val="nil"/>
            </w:tcBorders>
          </w:tcPr>
          <w:p w14:paraId="0224F6B1"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800" w:type="dxa"/>
            <w:tcBorders>
              <w:top w:val="nil"/>
              <w:left w:val="nil"/>
              <w:bottom w:val="nil"/>
              <w:right w:val="nil"/>
            </w:tcBorders>
            <w:vAlign w:val="center"/>
          </w:tcPr>
          <w:p w14:paraId="5F189FA4" w14:textId="77777777" w:rsidR="00F704F3" w:rsidRDefault="00F704F3" w:rsidP="00F73C34">
            <w:pPr>
              <w:spacing w:line="480" w:lineRule="auto"/>
              <w:jc w:val="center"/>
              <w:rPr>
                <w:rFonts w:ascii="Arial" w:eastAsia="Arial" w:hAnsi="Arial" w:cs="Arial"/>
              </w:rPr>
            </w:pPr>
            <w:r>
              <w:rPr>
                <w:rFonts w:ascii="Arial" w:eastAsia="Arial" w:hAnsi="Arial" w:cs="Arial"/>
              </w:rPr>
              <w:t>81.61 ± 5.91</w:t>
            </w:r>
          </w:p>
        </w:tc>
        <w:tc>
          <w:tcPr>
            <w:tcW w:w="1620" w:type="dxa"/>
            <w:tcBorders>
              <w:top w:val="nil"/>
              <w:left w:val="nil"/>
              <w:bottom w:val="nil"/>
              <w:right w:val="nil"/>
            </w:tcBorders>
          </w:tcPr>
          <w:p w14:paraId="4EB15163" w14:textId="77777777" w:rsidR="00F704F3" w:rsidRDefault="00F704F3" w:rsidP="00F73C34">
            <w:pPr>
              <w:spacing w:line="480" w:lineRule="auto"/>
              <w:jc w:val="center"/>
              <w:rPr>
                <w:rFonts w:ascii="Arial" w:eastAsia="Arial" w:hAnsi="Arial" w:cs="Arial"/>
              </w:rPr>
            </w:pPr>
            <w:r>
              <w:rPr>
                <w:rFonts w:ascii="Arial" w:eastAsia="Arial" w:hAnsi="Arial" w:cs="Arial"/>
              </w:rPr>
              <w:t>81.46 ± 7.26</w:t>
            </w:r>
          </w:p>
        </w:tc>
        <w:tc>
          <w:tcPr>
            <w:tcW w:w="900" w:type="dxa"/>
            <w:tcBorders>
              <w:top w:val="nil"/>
              <w:left w:val="nil"/>
              <w:bottom w:val="nil"/>
              <w:right w:val="nil"/>
            </w:tcBorders>
            <w:vAlign w:val="center"/>
          </w:tcPr>
          <w:p w14:paraId="038C28A6" w14:textId="77777777" w:rsidR="00F704F3" w:rsidRDefault="00F704F3" w:rsidP="00F73C34">
            <w:pPr>
              <w:spacing w:line="480" w:lineRule="auto"/>
              <w:jc w:val="center"/>
              <w:rPr>
                <w:rFonts w:ascii="Arial" w:eastAsia="Arial" w:hAnsi="Arial" w:cs="Arial"/>
              </w:rPr>
            </w:pPr>
            <w:r>
              <w:rPr>
                <w:rFonts w:ascii="Arial" w:eastAsia="Arial" w:hAnsi="Arial" w:cs="Arial"/>
              </w:rPr>
              <w:t>0.94</w:t>
            </w:r>
          </w:p>
        </w:tc>
        <w:tc>
          <w:tcPr>
            <w:tcW w:w="1222" w:type="dxa"/>
            <w:tcBorders>
              <w:top w:val="nil"/>
              <w:left w:val="nil"/>
              <w:bottom w:val="nil"/>
              <w:right w:val="nil"/>
            </w:tcBorders>
            <w:vAlign w:val="center"/>
          </w:tcPr>
          <w:p w14:paraId="33000813" w14:textId="77777777" w:rsidR="00F704F3" w:rsidRDefault="00F704F3" w:rsidP="00F73C34">
            <w:pPr>
              <w:spacing w:line="480" w:lineRule="auto"/>
              <w:jc w:val="center"/>
              <w:rPr>
                <w:rFonts w:ascii="Arial" w:eastAsia="Arial" w:hAnsi="Arial" w:cs="Arial"/>
              </w:rPr>
            </w:pPr>
            <w:r>
              <w:rPr>
                <w:rFonts w:ascii="Arial" w:eastAsia="Arial" w:hAnsi="Arial" w:cs="Arial"/>
              </w:rPr>
              <w:t>0.07</w:t>
            </w:r>
          </w:p>
        </w:tc>
        <w:tc>
          <w:tcPr>
            <w:tcW w:w="261" w:type="dxa"/>
            <w:tcBorders>
              <w:top w:val="nil"/>
              <w:left w:val="nil"/>
              <w:bottom w:val="nil"/>
              <w:right w:val="nil"/>
            </w:tcBorders>
          </w:tcPr>
          <w:p w14:paraId="23429B58" w14:textId="77777777" w:rsidR="00F704F3" w:rsidRDefault="00F704F3" w:rsidP="00F73C34">
            <w:pPr>
              <w:spacing w:line="480" w:lineRule="auto"/>
              <w:rPr>
                <w:rFonts w:ascii="Arial" w:eastAsia="Arial" w:hAnsi="Arial" w:cs="Arial"/>
              </w:rPr>
            </w:pPr>
          </w:p>
        </w:tc>
      </w:tr>
      <w:tr w:rsidR="00F704F3" w14:paraId="3B006815" w14:textId="77777777" w:rsidTr="00F73C34">
        <w:trPr>
          <w:trHeight w:val="463"/>
        </w:trPr>
        <w:tc>
          <w:tcPr>
            <w:tcW w:w="2725" w:type="dxa"/>
            <w:tcBorders>
              <w:top w:val="nil"/>
              <w:left w:val="nil"/>
              <w:bottom w:val="nil"/>
              <w:right w:val="nil"/>
            </w:tcBorders>
          </w:tcPr>
          <w:p w14:paraId="4D53A12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800" w:type="dxa"/>
            <w:tcBorders>
              <w:top w:val="nil"/>
              <w:left w:val="nil"/>
              <w:bottom w:val="nil"/>
              <w:right w:val="nil"/>
            </w:tcBorders>
          </w:tcPr>
          <w:p w14:paraId="1C5B32F0" w14:textId="77777777" w:rsidR="00F704F3" w:rsidRDefault="00F704F3" w:rsidP="00F73C34">
            <w:pPr>
              <w:spacing w:line="480" w:lineRule="auto"/>
              <w:jc w:val="center"/>
              <w:rPr>
                <w:rFonts w:ascii="Arial" w:eastAsia="Arial" w:hAnsi="Arial" w:cs="Arial"/>
              </w:rPr>
            </w:pPr>
            <w:r>
              <w:rPr>
                <w:rFonts w:ascii="Arial" w:eastAsia="Arial" w:hAnsi="Arial" w:cs="Arial"/>
              </w:rPr>
              <w:t>24.62 ± 1.61</w:t>
            </w:r>
          </w:p>
        </w:tc>
        <w:tc>
          <w:tcPr>
            <w:tcW w:w="1620" w:type="dxa"/>
            <w:tcBorders>
              <w:top w:val="nil"/>
              <w:left w:val="nil"/>
              <w:bottom w:val="nil"/>
              <w:right w:val="nil"/>
            </w:tcBorders>
          </w:tcPr>
          <w:p w14:paraId="71BDD0C4" w14:textId="77777777" w:rsidR="00F704F3" w:rsidRDefault="00F704F3" w:rsidP="00F73C34">
            <w:pPr>
              <w:spacing w:line="480" w:lineRule="auto"/>
              <w:jc w:val="center"/>
              <w:rPr>
                <w:rFonts w:ascii="Arial" w:eastAsia="Arial" w:hAnsi="Arial" w:cs="Arial"/>
              </w:rPr>
            </w:pPr>
            <w:r>
              <w:rPr>
                <w:rFonts w:ascii="Arial" w:eastAsia="Arial" w:hAnsi="Arial" w:cs="Arial"/>
              </w:rPr>
              <w:t>24.31 ± 1.65</w:t>
            </w:r>
          </w:p>
        </w:tc>
        <w:tc>
          <w:tcPr>
            <w:tcW w:w="900" w:type="dxa"/>
            <w:tcBorders>
              <w:top w:val="nil"/>
              <w:left w:val="nil"/>
              <w:bottom w:val="nil"/>
              <w:right w:val="nil"/>
            </w:tcBorders>
            <w:vAlign w:val="center"/>
          </w:tcPr>
          <w:p w14:paraId="19FED628" w14:textId="77777777" w:rsidR="00F704F3" w:rsidRDefault="00F704F3" w:rsidP="00F73C34">
            <w:pPr>
              <w:spacing w:line="480" w:lineRule="auto"/>
              <w:jc w:val="center"/>
              <w:rPr>
                <w:rFonts w:ascii="Arial" w:eastAsia="Arial" w:hAnsi="Arial" w:cs="Arial"/>
              </w:rPr>
            </w:pPr>
            <w:r>
              <w:rPr>
                <w:rFonts w:ascii="Arial" w:eastAsia="Arial" w:hAnsi="Arial" w:cs="Arial"/>
              </w:rPr>
              <w:t>0.67</w:t>
            </w:r>
          </w:p>
        </w:tc>
        <w:tc>
          <w:tcPr>
            <w:tcW w:w="1222" w:type="dxa"/>
            <w:tcBorders>
              <w:top w:val="nil"/>
              <w:left w:val="nil"/>
              <w:bottom w:val="nil"/>
              <w:right w:val="nil"/>
            </w:tcBorders>
            <w:vAlign w:val="center"/>
          </w:tcPr>
          <w:p w14:paraId="606A862F" w14:textId="77777777" w:rsidR="00F704F3" w:rsidRDefault="00F704F3" w:rsidP="00F73C34">
            <w:pPr>
              <w:spacing w:line="480" w:lineRule="auto"/>
              <w:jc w:val="center"/>
              <w:rPr>
                <w:rFonts w:ascii="Arial" w:eastAsia="Arial" w:hAnsi="Arial" w:cs="Arial"/>
              </w:rPr>
            </w:pPr>
            <w:r>
              <w:rPr>
                <w:rFonts w:ascii="Arial" w:eastAsia="Arial" w:hAnsi="Arial" w:cs="Arial"/>
              </w:rPr>
              <w:t>0.43</w:t>
            </w:r>
          </w:p>
        </w:tc>
        <w:tc>
          <w:tcPr>
            <w:tcW w:w="261" w:type="dxa"/>
            <w:tcBorders>
              <w:top w:val="nil"/>
              <w:left w:val="nil"/>
              <w:bottom w:val="nil"/>
              <w:right w:val="nil"/>
            </w:tcBorders>
          </w:tcPr>
          <w:p w14:paraId="71AAA81E" w14:textId="77777777" w:rsidR="00F704F3" w:rsidRDefault="00F704F3" w:rsidP="00F73C34">
            <w:pPr>
              <w:spacing w:line="480" w:lineRule="auto"/>
              <w:rPr>
                <w:rFonts w:ascii="Arial" w:eastAsia="Arial" w:hAnsi="Arial" w:cs="Arial"/>
              </w:rPr>
            </w:pPr>
          </w:p>
        </w:tc>
      </w:tr>
      <w:tr w:rsidR="00F704F3" w14:paraId="7E3BB866" w14:textId="77777777" w:rsidTr="00F73C34">
        <w:trPr>
          <w:trHeight w:val="538"/>
        </w:trPr>
        <w:tc>
          <w:tcPr>
            <w:tcW w:w="2725" w:type="dxa"/>
            <w:tcBorders>
              <w:top w:val="nil"/>
              <w:left w:val="nil"/>
              <w:bottom w:val="nil"/>
              <w:right w:val="nil"/>
            </w:tcBorders>
          </w:tcPr>
          <w:p w14:paraId="19A5B7BC"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0586736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800" w:type="dxa"/>
            <w:tcBorders>
              <w:top w:val="nil"/>
              <w:left w:val="nil"/>
              <w:bottom w:val="nil"/>
              <w:right w:val="nil"/>
            </w:tcBorders>
          </w:tcPr>
          <w:p w14:paraId="1206E50E" w14:textId="77777777" w:rsidR="00F704F3" w:rsidRDefault="00F704F3" w:rsidP="00F73C34">
            <w:pPr>
              <w:spacing w:line="480" w:lineRule="auto"/>
              <w:jc w:val="center"/>
              <w:rPr>
                <w:rFonts w:ascii="Arial" w:eastAsia="Arial" w:hAnsi="Arial" w:cs="Arial"/>
              </w:rPr>
            </w:pPr>
            <w:r>
              <w:rPr>
                <w:rFonts w:ascii="Arial" w:eastAsia="Arial" w:hAnsi="Arial" w:cs="Arial"/>
              </w:rPr>
              <w:t>30.46 ± 0.66</w:t>
            </w:r>
          </w:p>
        </w:tc>
        <w:tc>
          <w:tcPr>
            <w:tcW w:w="1620" w:type="dxa"/>
            <w:tcBorders>
              <w:top w:val="nil"/>
              <w:left w:val="nil"/>
              <w:bottom w:val="nil"/>
              <w:right w:val="nil"/>
            </w:tcBorders>
          </w:tcPr>
          <w:p w14:paraId="2D8E165D" w14:textId="77777777" w:rsidR="00F704F3" w:rsidRDefault="00F704F3" w:rsidP="00F73C34">
            <w:pPr>
              <w:spacing w:line="480" w:lineRule="auto"/>
              <w:jc w:val="center"/>
              <w:rPr>
                <w:rFonts w:ascii="Arial" w:eastAsia="Arial" w:hAnsi="Arial" w:cs="Arial"/>
              </w:rPr>
            </w:pPr>
            <w:r>
              <w:rPr>
                <w:rFonts w:ascii="Arial" w:eastAsia="Arial" w:hAnsi="Arial" w:cs="Arial"/>
              </w:rPr>
              <w:t>29.54 ± 2.57</w:t>
            </w:r>
          </w:p>
        </w:tc>
        <w:tc>
          <w:tcPr>
            <w:tcW w:w="900" w:type="dxa"/>
            <w:tcBorders>
              <w:top w:val="nil"/>
              <w:left w:val="nil"/>
              <w:bottom w:val="nil"/>
              <w:right w:val="nil"/>
            </w:tcBorders>
            <w:vAlign w:val="center"/>
          </w:tcPr>
          <w:p w14:paraId="3EFCC42E" w14:textId="77777777" w:rsidR="00F704F3" w:rsidRDefault="00F704F3" w:rsidP="00F73C34">
            <w:pPr>
              <w:spacing w:line="480" w:lineRule="auto"/>
              <w:jc w:val="center"/>
              <w:rPr>
                <w:rFonts w:ascii="Arial" w:eastAsia="Arial" w:hAnsi="Arial" w:cs="Arial"/>
              </w:rPr>
            </w:pPr>
            <w:r>
              <w:rPr>
                <w:rFonts w:ascii="Arial" w:eastAsia="Arial" w:hAnsi="Arial" w:cs="Arial"/>
              </w:rPr>
              <w:t>0.25</w:t>
            </w:r>
          </w:p>
        </w:tc>
        <w:tc>
          <w:tcPr>
            <w:tcW w:w="1222" w:type="dxa"/>
            <w:tcBorders>
              <w:top w:val="nil"/>
              <w:left w:val="nil"/>
              <w:bottom w:val="nil"/>
              <w:right w:val="nil"/>
            </w:tcBorders>
            <w:vAlign w:val="center"/>
          </w:tcPr>
          <w:p w14:paraId="01FEDCC0" w14:textId="77777777" w:rsidR="00F704F3" w:rsidRDefault="00F704F3" w:rsidP="00F73C34">
            <w:pPr>
              <w:spacing w:line="480" w:lineRule="auto"/>
              <w:jc w:val="center"/>
              <w:rPr>
                <w:rFonts w:ascii="Arial" w:eastAsia="Arial" w:hAnsi="Arial" w:cs="Arial"/>
              </w:rPr>
            </w:pPr>
            <w:r>
              <w:rPr>
                <w:rFonts w:ascii="Arial" w:eastAsia="Arial" w:hAnsi="Arial" w:cs="Arial"/>
              </w:rPr>
              <w:t>1.21</w:t>
            </w:r>
          </w:p>
        </w:tc>
        <w:tc>
          <w:tcPr>
            <w:tcW w:w="261" w:type="dxa"/>
            <w:tcBorders>
              <w:top w:val="nil"/>
              <w:left w:val="nil"/>
              <w:bottom w:val="nil"/>
              <w:right w:val="nil"/>
            </w:tcBorders>
          </w:tcPr>
          <w:p w14:paraId="29676288" w14:textId="77777777" w:rsidR="00F704F3" w:rsidRDefault="00F704F3" w:rsidP="00F73C34">
            <w:pPr>
              <w:spacing w:line="480" w:lineRule="auto"/>
              <w:rPr>
                <w:rFonts w:ascii="Arial" w:eastAsia="Arial" w:hAnsi="Arial" w:cs="Arial"/>
              </w:rPr>
            </w:pPr>
          </w:p>
        </w:tc>
      </w:tr>
      <w:tr w:rsidR="00F704F3" w14:paraId="19767C9A" w14:textId="77777777" w:rsidTr="00F73C34">
        <w:trPr>
          <w:trHeight w:val="473"/>
        </w:trPr>
        <w:tc>
          <w:tcPr>
            <w:tcW w:w="2725" w:type="dxa"/>
            <w:tcBorders>
              <w:top w:val="nil"/>
              <w:left w:val="nil"/>
              <w:bottom w:val="nil"/>
              <w:right w:val="nil"/>
            </w:tcBorders>
          </w:tcPr>
          <w:p w14:paraId="541E0C5A"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800" w:type="dxa"/>
            <w:tcBorders>
              <w:top w:val="nil"/>
              <w:left w:val="nil"/>
              <w:bottom w:val="nil"/>
              <w:right w:val="nil"/>
            </w:tcBorders>
          </w:tcPr>
          <w:p w14:paraId="1FCCB6BC" w14:textId="77777777" w:rsidR="00F704F3" w:rsidRDefault="00F704F3" w:rsidP="00F73C34">
            <w:pPr>
              <w:spacing w:line="480" w:lineRule="auto"/>
              <w:jc w:val="center"/>
              <w:rPr>
                <w:rFonts w:ascii="Arial" w:eastAsia="Arial" w:hAnsi="Arial" w:cs="Arial"/>
              </w:rPr>
            </w:pPr>
            <w:r>
              <w:rPr>
                <w:rFonts w:ascii="Arial" w:eastAsia="Arial" w:hAnsi="Arial" w:cs="Arial"/>
              </w:rPr>
              <w:t>65.74 ± 35.05</w:t>
            </w:r>
          </w:p>
        </w:tc>
        <w:tc>
          <w:tcPr>
            <w:tcW w:w="1620" w:type="dxa"/>
            <w:tcBorders>
              <w:top w:val="nil"/>
              <w:left w:val="nil"/>
              <w:bottom w:val="nil"/>
              <w:right w:val="nil"/>
            </w:tcBorders>
          </w:tcPr>
          <w:p w14:paraId="0B8AFC34" w14:textId="77777777" w:rsidR="00F704F3" w:rsidRDefault="00F704F3" w:rsidP="00F73C34">
            <w:pPr>
              <w:spacing w:line="480" w:lineRule="auto"/>
              <w:jc w:val="center"/>
              <w:rPr>
                <w:rFonts w:ascii="Arial" w:eastAsia="Arial" w:hAnsi="Arial" w:cs="Arial"/>
              </w:rPr>
            </w:pPr>
            <w:r>
              <w:rPr>
                <w:rFonts w:ascii="Arial" w:eastAsia="Arial" w:hAnsi="Arial" w:cs="Arial"/>
              </w:rPr>
              <w:t>68.40 ± 26.99</w:t>
            </w:r>
          </w:p>
        </w:tc>
        <w:tc>
          <w:tcPr>
            <w:tcW w:w="900" w:type="dxa"/>
            <w:tcBorders>
              <w:top w:val="nil"/>
              <w:left w:val="nil"/>
              <w:bottom w:val="nil"/>
              <w:right w:val="nil"/>
            </w:tcBorders>
            <w:vAlign w:val="center"/>
          </w:tcPr>
          <w:p w14:paraId="6DFA0951" w14:textId="77777777" w:rsidR="00F704F3" w:rsidRDefault="00F704F3" w:rsidP="00F73C34">
            <w:pPr>
              <w:spacing w:line="480" w:lineRule="auto"/>
              <w:jc w:val="center"/>
              <w:rPr>
                <w:rFonts w:ascii="Arial" w:eastAsia="Arial" w:hAnsi="Arial" w:cs="Arial"/>
              </w:rPr>
            </w:pPr>
            <w:r>
              <w:rPr>
                <w:rFonts w:ascii="Arial" w:eastAsia="Arial" w:hAnsi="Arial" w:cs="Arial"/>
              </w:rPr>
              <w:t>0.41</w:t>
            </w:r>
          </w:p>
        </w:tc>
        <w:tc>
          <w:tcPr>
            <w:tcW w:w="1222" w:type="dxa"/>
            <w:tcBorders>
              <w:top w:val="nil"/>
              <w:left w:val="nil"/>
              <w:bottom w:val="nil"/>
              <w:right w:val="nil"/>
            </w:tcBorders>
            <w:vAlign w:val="center"/>
          </w:tcPr>
          <w:p w14:paraId="2C444BA2" w14:textId="77777777" w:rsidR="00F704F3" w:rsidRDefault="00F704F3" w:rsidP="00F73C34">
            <w:pPr>
              <w:spacing w:line="480" w:lineRule="auto"/>
              <w:jc w:val="center"/>
              <w:rPr>
                <w:rFonts w:ascii="Arial" w:eastAsia="Arial" w:hAnsi="Arial" w:cs="Arial"/>
              </w:rPr>
            </w:pPr>
            <w:r>
              <w:rPr>
                <w:rFonts w:ascii="Arial" w:eastAsia="Arial" w:hAnsi="Arial" w:cs="Arial"/>
              </w:rPr>
              <w:t>0.85</w:t>
            </w:r>
          </w:p>
        </w:tc>
        <w:tc>
          <w:tcPr>
            <w:tcW w:w="261" w:type="dxa"/>
            <w:tcBorders>
              <w:top w:val="nil"/>
              <w:left w:val="nil"/>
              <w:bottom w:val="nil"/>
              <w:right w:val="nil"/>
            </w:tcBorders>
          </w:tcPr>
          <w:p w14:paraId="53164C35" w14:textId="77777777" w:rsidR="00F704F3" w:rsidRDefault="00F704F3" w:rsidP="00F73C34">
            <w:pPr>
              <w:spacing w:line="480" w:lineRule="auto"/>
              <w:rPr>
                <w:rFonts w:ascii="Arial" w:eastAsia="Arial" w:hAnsi="Arial" w:cs="Arial"/>
              </w:rPr>
            </w:pPr>
          </w:p>
        </w:tc>
      </w:tr>
      <w:tr w:rsidR="00F704F3" w14:paraId="0509E74F" w14:textId="77777777" w:rsidTr="00F73C34">
        <w:trPr>
          <w:trHeight w:val="463"/>
        </w:trPr>
        <w:tc>
          <w:tcPr>
            <w:tcW w:w="2725" w:type="dxa"/>
            <w:tcBorders>
              <w:top w:val="nil"/>
              <w:left w:val="nil"/>
              <w:bottom w:val="nil"/>
              <w:right w:val="nil"/>
            </w:tcBorders>
          </w:tcPr>
          <w:p w14:paraId="7196D045"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Serum iron(µg/dL) </w:t>
            </w:r>
          </w:p>
        </w:tc>
        <w:tc>
          <w:tcPr>
            <w:tcW w:w="1800" w:type="dxa"/>
            <w:tcBorders>
              <w:top w:val="nil"/>
              <w:left w:val="nil"/>
              <w:bottom w:val="nil"/>
              <w:right w:val="nil"/>
            </w:tcBorders>
          </w:tcPr>
          <w:p w14:paraId="41C0ED57" w14:textId="77777777" w:rsidR="00F704F3" w:rsidRDefault="00F704F3" w:rsidP="00F73C34">
            <w:pPr>
              <w:spacing w:line="480" w:lineRule="auto"/>
              <w:jc w:val="center"/>
              <w:rPr>
                <w:rFonts w:ascii="Arial" w:eastAsia="Arial" w:hAnsi="Arial" w:cs="Arial"/>
              </w:rPr>
            </w:pPr>
            <w:r>
              <w:rPr>
                <w:rFonts w:ascii="Arial" w:eastAsia="Arial" w:hAnsi="Arial" w:cs="Arial"/>
              </w:rPr>
              <w:t>61.83 ± 8.35</w:t>
            </w:r>
          </w:p>
        </w:tc>
        <w:tc>
          <w:tcPr>
            <w:tcW w:w="1620" w:type="dxa"/>
            <w:tcBorders>
              <w:top w:val="nil"/>
              <w:left w:val="nil"/>
              <w:bottom w:val="nil"/>
              <w:right w:val="nil"/>
            </w:tcBorders>
          </w:tcPr>
          <w:p w14:paraId="215DE944" w14:textId="77777777" w:rsidR="00F704F3" w:rsidRDefault="00F704F3" w:rsidP="00F73C34">
            <w:pPr>
              <w:spacing w:line="480" w:lineRule="auto"/>
              <w:jc w:val="center"/>
              <w:rPr>
                <w:rFonts w:ascii="Arial" w:eastAsia="Arial" w:hAnsi="Arial" w:cs="Arial"/>
              </w:rPr>
            </w:pPr>
            <w:r>
              <w:rPr>
                <w:rFonts w:ascii="Arial" w:eastAsia="Arial" w:hAnsi="Arial" w:cs="Arial"/>
              </w:rPr>
              <w:t>59.52 ± 16.26</w:t>
            </w:r>
          </w:p>
        </w:tc>
        <w:tc>
          <w:tcPr>
            <w:tcW w:w="900" w:type="dxa"/>
            <w:tcBorders>
              <w:top w:val="nil"/>
              <w:left w:val="nil"/>
              <w:bottom w:val="nil"/>
              <w:right w:val="nil"/>
            </w:tcBorders>
            <w:vAlign w:val="center"/>
          </w:tcPr>
          <w:p w14:paraId="2ACA9432" w14:textId="77777777" w:rsidR="00F704F3" w:rsidRDefault="00F704F3" w:rsidP="00F73C34">
            <w:pPr>
              <w:spacing w:line="480" w:lineRule="auto"/>
              <w:jc w:val="center"/>
              <w:rPr>
                <w:rFonts w:ascii="Arial" w:eastAsia="Arial" w:hAnsi="Arial" w:cs="Arial"/>
              </w:rPr>
            </w:pPr>
            <w:r>
              <w:rPr>
                <w:rFonts w:ascii="Arial" w:eastAsia="Arial" w:hAnsi="Arial" w:cs="Arial"/>
              </w:rPr>
              <w:t>0.37</w:t>
            </w:r>
          </w:p>
        </w:tc>
        <w:tc>
          <w:tcPr>
            <w:tcW w:w="1222" w:type="dxa"/>
            <w:tcBorders>
              <w:top w:val="nil"/>
              <w:left w:val="nil"/>
              <w:bottom w:val="nil"/>
              <w:right w:val="nil"/>
            </w:tcBorders>
            <w:vAlign w:val="center"/>
          </w:tcPr>
          <w:p w14:paraId="38A4085F" w14:textId="77777777" w:rsidR="00F704F3" w:rsidRDefault="00F704F3" w:rsidP="00F73C34">
            <w:pPr>
              <w:spacing w:line="480" w:lineRule="auto"/>
              <w:jc w:val="center"/>
              <w:rPr>
                <w:rFonts w:ascii="Arial" w:eastAsia="Arial" w:hAnsi="Arial" w:cs="Arial"/>
              </w:rPr>
            </w:pPr>
            <w:r>
              <w:rPr>
                <w:rFonts w:ascii="Arial" w:eastAsia="Arial" w:hAnsi="Arial" w:cs="Arial"/>
              </w:rPr>
              <w:t>-0.93</w:t>
            </w:r>
          </w:p>
        </w:tc>
        <w:tc>
          <w:tcPr>
            <w:tcW w:w="261" w:type="dxa"/>
            <w:tcBorders>
              <w:top w:val="nil"/>
              <w:left w:val="nil"/>
              <w:bottom w:val="nil"/>
              <w:right w:val="nil"/>
            </w:tcBorders>
          </w:tcPr>
          <w:p w14:paraId="07E205EC" w14:textId="77777777" w:rsidR="00F704F3" w:rsidRDefault="00F704F3" w:rsidP="00F73C34">
            <w:pPr>
              <w:spacing w:line="480" w:lineRule="auto"/>
              <w:rPr>
                <w:rFonts w:ascii="Arial" w:eastAsia="Arial" w:hAnsi="Arial" w:cs="Arial"/>
              </w:rPr>
            </w:pPr>
          </w:p>
        </w:tc>
      </w:tr>
      <w:tr w:rsidR="00F704F3" w14:paraId="052DACDA" w14:textId="77777777" w:rsidTr="00F73C34">
        <w:trPr>
          <w:trHeight w:val="352"/>
        </w:trPr>
        <w:tc>
          <w:tcPr>
            <w:tcW w:w="2725" w:type="dxa"/>
            <w:tcBorders>
              <w:top w:val="nil"/>
              <w:left w:val="nil"/>
              <w:bottom w:val="nil"/>
              <w:right w:val="nil"/>
            </w:tcBorders>
          </w:tcPr>
          <w:p w14:paraId="67FB7A7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800" w:type="dxa"/>
            <w:tcBorders>
              <w:top w:val="nil"/>
              <w:left w:val="nil"/>
              <w:bottom w:val="nil"/>
              <w:right w:val="nil"/>
            </w:tcBorders>
          </w:tcPr>
          <w:p w14:paraId="359727D7" w14:textId="77777777" w:rsidR="00F704F3" w:rsidRDefault="00F704F3" w:rsidP="00F73C34">
            <w:pPr>
              <w:spacing w:line="480" w:lineRule="auto"/>
              <w:jc w:val="center"/>
              <w:rPr>
                <w:rFonts w:ascii="Arial" w:eastAsia="Arial" w:hAnsi="Arial" w:cs="Arial"/>
              </w:rPr>
            </w:pPr>
            <w:r>
              <w:rPr>
                <w:rFonts w:ascii="Arial" w:eastAsia="Arial" w:hAnsi="Arial" w:cs="Arial"/>
              </w:rPr>
              <w:t>224.69 ± 36.82</w:t>
            </w:r>
          </w:p>
        </w:tc>
        <w:tc>
          <w:tcPr>
            <w:tcW w:w="1620" w:type="dxa"/>
            <w:tcBorders>
              <w:top w:val="nil"/>
              <w:left w:val="nil"/>
              <w:bottom w:val="nil"/>
              <w:right w:val="nil"/>
            </w:tcBorders>
          </w:tcPr>
          <w:p w14:paraId="02E02472" w14:textId="77777777" w:rsidR="00F704F3" w:rsidRDefault="00F704F3" w:rsidP="00F73C34">
            <w:pPr>
              <w:spacing w:line="480" w:lineRule="auto"/>
              <w:rPr>
                <w:rFonts w:ascii="Arial" w:eastAsia="Arial" w:hAnsi="Arial" w:cs="Arial"/>
              </w:rPr>
            </w:pPr>
            <w:r>
              <w:rPr>
                <w:rFonts w:ascii="Arial" w:eastAsia="Arial" w:hAnsi="Arial" w:cs="Arial"/>
              </w:rPr>
              <w:t>204.23 ± 58.24</w:t>
            </w:r>
          </w:p>
        </w:tc>
        <w:tc>
          <w:tcPr>
            <w:tcW w:w="900" w:type="dxa"/>
            <w:tcBorders>
              <w:top w:val="nil"/>
              <w:left w:val="nil"/>
              <w:bottom w:val="nil"/>
              <w:right w:val="nil"/>
            </w:tcBorders>
            <w:vAlign w:val="center"/>
          </w:tcPr>
          <w:p w14:paraId="6BE2EBE0" w14:textId="77777777" w:rsidR="00F704F3" w:rsidRDefault="00F704F3" w:rsidP="00F73C34">
            <w:pPr>
              <w:spacing w:line="480" w:lineRule="auto"/>
              <w:jc w:val="center"/>
              <w:rPr>
                <w:rFonts w:ascii="Arial" w:eastAsia="Arial" w:hAnsi="Arial" w:cs="Arial"/>
              </w:rPr>
            </w:pPr>
            <w:r>
              <w:rPr>
                <w:rFonts w:ascii="Arial" w:eastAsia="Arial" w:hAnsi="Arial" w:cs="Arial"/>
              </w:rPr>
              <w:t>0.33</w:t>
            </w:r>
          </w:p>
        </w:tc>
        <w:tc>
          <w:tcPr>
            <w:tcW w:w="1222" w:type="dxa"/>
            <w:tcBorders>
              <w:top w:val="nil"/>
              <w:left w:val="nil"/>
              <w:bottom w:val="nil"/>
              <w:right w:val="nil"/>
            </w:tcBorders>
            <w:vAlign w:val="center"/>
          </w:tcPr>
          <w:p w14:paraId="7B7FCEA2" w14:textId="77777777" w:rsidR="00F704F3" w:rsidRDefault="00F704F3" w:rsidP="00F73C34">
            <w:pPr>
              <w:spacing w:line="480" w:lineRule="auto"/>
              <w:jc w:val="center"/>
              <w:rPr>
                <w:rFonts w:ascii="Arial" w:eastAsia="Arial" w:hAnsi="Arial" w:cs="Arial"/>
              </w:rPr>
            </w:pPr>
            <w:r>
              <w:rPr>
                <w:rFonts w:ascii="Arial" w:eastAsia="Arial" w:hAnsi="Arial" w:cs="Arial"/>
              </w:rPr>
              <w:t>1.02</w:t>
            </w:r>
          </w:p>
        </w:tc>
        <w:tc>
          <w:tcPr>
            <w:tcW w:w="261" w:type="dxa"/>
            <w:tcBorders>
              <w:top w:val="nil"/>
              <w:left w:val="nil"/>
              <w:bottom w:val="nil"/>
              <w:right w:val="nil"/>
            </w:tcBorders>
          </w:tcPr>
          <w:p w14:paraId="71272119" w14:textId="77777777" w:rsidR="00F704F3" w:rsidRDefault="00F704F3" w:rsidP="00F73C34">
            <w:pPr>
              <w:spacing w:line="480" w:lineRule="auto"/>
              <w:rPr>
                <w:rFonts w:ascii="Arial" w:eastAsia="Arial" w:hAnsi="Arial" w:cs="Arial"/>
                <w:highlight w:val="yellow"/>
              </w:rPr>
            </w:pPr>
          </w:p>
        </w:tc>
      </w:tr>
      <w:tr w:rsidR="00F704F3" w14:paraId="4DC5A042" w14:textId="77777777" w:rsidTr="00F73C34">
        <w:trPr>
          <w:trHeight w:val="473"/>
        </w:trPr>
        <w:tc>
          <w:tcPr>
            <w:tcW w:w="2725" w:type="dxa"/>
            <w:tcBorders>
              <w:top w:val="nil"/>
              <w:left w:val="nil"/>
              <w:bottom w:val="nil"/>
              <w:right w:val="nil"/>
            </w:tcBorders>
          </w:tcPr>
          <w:p w14:paraId="444CE8E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800" w:type="dxa"/>
            <w:tcBorders>
              <w:top w:val="nil"/>
              <w:left w:val="nil"/>
              <w:bottom w:val="nil"/>
              <w:right w:val="nil"/>
            </w:tcBorders>
          </w:tcPr>
          <w:p w14:paraId="558FF195" w14:textId="77777777" w:rsidR="00F704F3" w:rsidRDefault="00F704F3" w:rsidP="00F73C34">
            <w:pPr>
              <w:spacing w:line="480" w:lineRule="auto"/>
              <w:jc w:val="center"/>
              <w:rPr>
                <w:rFonts w:ascii="Arial" w:eastAsia="Arial" w:hAnsi="Arial" w:cs="Arial"/>
              </w:rPr>
            </w:pPr>
            <w:r>
              <w:rPr>
                <w:rFonts w:ascii="Arial" w:eastAsia="Arial" w:hAnsi="Arial" w:cs="Arial"/>
              </w:rPr>
              <w:t>7.15 ± 1.78</w:t>
            </w:r>
          </w:p>
        </w:tc>
        <w:tc>
          <w:tcPr>
            <w:tcW w:w="1620" w:type="dxa"/>
            <w:tcBorders>
              <w:top w:val="nil"/>
              <w:left w:val="nil"/>
              <w:bottom w:val="nil"/>
              <w:right w:val="nil"/>
            </w:tcBorders>
          </w:tcPr>
          <w:p w14:paraId="0E33D126" w14:textId="77777777" w:rsidR="00F704F3" w:rsidRDefault="00F704F3" w:rsidP="00F73C34">
            <w:pPr>
              <w:spacing w:line="480" w:lineRule="auto"/>
              <w:jc w:val="center"/>
              <w:rPr>
                <w:rFonts w:ascii="Arial" w:eastAsia="Arial" w:hAnsi="Arial" w:cs="Arial"/>
              </w:rPr>
            </w:pPr>
            <w:r>
              <w:rPr>
                <w:rFonts w:ascii="Arial" w:eastAsia="Arial" w:hAnsi="Arial" w:cs="Arial"/>
              </w:rPr>
              <w:t>6.90 ± 2.41</w:t>
            </w:r>
          </w:p>
        </w:tc>
        <w:tc>
          <w:tcPr>
            <w:tcW w:w="900" w:type="dxa"/>
            <w:tcBorders>
              <w:top w:val="nil"/>
              <w:left w:val="nil"/>
              <w:bottom w:val="nil"/>
              <w:right w:val="nil"/>
            </w:tcBorders>
            <w:vAlign w:val="center"/>
          </w:tcPr>
          <w:p w14:paraId="74EB677B" w14:textId="77777777" w:rsidR="00F704F3" w:rsidRDefault="00F704F3" w:rsidP="00F73C34">
            <w:pPr>
              <w:spacing w:line="480" w:lineRule="auto"/>
              <w:jc w:val="center"/>
              <w:rPr>
                <w:rFonts w:ascii="Arial" w:eastAsia="Arial" w:hAnsi="Arial" w:cs="Arial"/>
              </w:rPr>
            </w:pPr>
            <w:r>
              <w:rPr>
                <w:rFonts w:ascii="Arial" w:eastAsia="Arial" w:hAnsi="Arial" w:cs="Arial"/>
              </w:rPr>
              <w:t>0.75</w:t>
            </w:r>
          </w:p>
        </w:tc>
        <w:tc>
          <w:tcPr>
            <w:tcW w:w="1222" w:type="dxa"/>
            <w:tcBorders>
              <w:top w:val="nil"/>
              <w:left w:val="nil"/>
              <w:bottom w:val="nil"/>
              <w:right w:val="nil"/>
            </w:tcBorders>
            <w:vAlign w:val="center"/>
          </w:tcPr>
          <w:p w14:paraId="05EDE13C" w14:textId="77777777" w:rsidR="00F704F3" w:rsidRDefault="00F704F3" w:rsidP="00F73C34">
            <w:pPr>
              <w:spacing w:line="480" w:lineRule="auto"/>
              <w:jc w:val="center"/>
              <w:rPr>
                <w:rFonts w:ascii="Arial" w:eastAsia="Arial" w:hAnsi="Arial" w:cs="Arial"/>
              </w:rPr>
            </w:pPr>
            <w:r>
              <w:rPr>
                <w:rFonts w:ascii="Arial" w:eastAsia="Arial" w:hAnsi="Arial" w:cs="Arial"/>
              </w:rPr>
              <w:t>0.31</w:t>
            </w:r>
          </w:p>
        </w:tc>
        <w:tc>
          <w:tcPr>
            <w:tcW w:w="261" w:type="dxa"/>
            <w:tcBorders>
              <w:top w:val="nil"/>
              <w:left w:val="nil"/>
              <w:bottom w:val="nil"/>
              <w:right w:val="nil"/>
            </w:tcBorders>
          </w:tcPr>
          <w:p w14:paraId="11E65E8A" w14:textId="77777777" w:rsidR="00F704F3" w:rsidRDefault="00F704F3" w:rsidP="00F73C34">
            <w:pPr>
              <w:spacing w:line="480" w:lineRule="auto"/>
              <w:rPr>
                <w:rFonts w:ascii="Arial" w:eastAsia="Arial" w:hAnsi="Arial" w:cs="Arial"/>
                <w:highlight w:val="yellow"/>
              </w:rPr>
            </w:pPr>
          </w:p>
        </w:tc>
      </w:tr>
      <w:tr w:rsidR="00F704F3" w14:paraId="71258CC6" w14:textId="77777777" w:rsidTr="00F73C34">
        <w:trPr>
          <w:trHeight w:val="473"/>
        </w:trPr>
        <w:tc>
          <w:tcPr>
            <w:tcW w:w="2725" w:type="dxa"/>
            <w:tcBorders>
              <w:top w:val="nil"/>
              <w:left w:val="nil"/>
              <w:bottom w:val="nil"/>
              <w:right w:val="nil"/>
            </w:tcBorders>
          </w:tcPr>
          <w:p w14:paraId="31A1F2CC"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800" w:type="dxa"/>
            <w:tcBorders>
              <w:top w:val="nil"/>
              <w:left w:val="nil"/>
              <w:bottom w:val="nil"/>
              <w:right w:val="nil"/>
            </w:tcBorders>
          </w:tcPr>
          <w:p w14:paraId="2CEC4863" w14:textId="77777777" w:rsidR="00F704F3" w:rsidRDefault="00F704F3" w:rsidP="00F73C34">
            <w:pPr>
              <w:spacing w:line="480" w:lineRule="auto"/>
              <w:jc w:val="center"/>
              <w:rPr>
                <w:rFonts w:ascii="Arial" w:eastAsia="Arial" w:hAnsi="Arial" w:cs="Arial"/>
              </w:rPr>
            </w:pPr>
            <w:r>
              <w:rPr>
                <w:rFonts w:ascii="Arial" w:eastAsia="Arial" w:hAnsi="Arial" w:cs="Arial"/>
              </w:rPr>
              <w:t>62.53 ± 12.02</w:t>
            </w:r>
          </w:p>
        </w:tc>
        <w:tc>
          <w:tcPr>
            <w:tcW w:w="1620" w:type="dxa"/>
            <w:tcBorders>
              <w:top w:val="nil"/>
              <w:left w:val="nil"/>
              <w:bottom w:val="nil"/>
              <w:right w:val="nil"/>
            </w:tcBorders>
          </w:tcPr>
          <w:p w14:paraId="7FA1D45B" w14:textId="77777777" w:rsidR="00F704F3" w:rsidRDefault="00F704F3" w:rsidP="00F73C34">
            <w:pPr>
              <w:spacing w:line="480" w:lineRule="auto"/>
              <w:jc w:val="center"/>
              <w:rPr>
                <w:rFonts w:ascii="Arial" w:eastAsia="Arial" w:hAnsi="Arial" w:cs="Arial"/>
              </w:rPr>
            </w:pPr>
            <w:r>
              <w:rPr>
                <w:rFonts w:ascii="Arial" w:eastAsia="Arial" w:hAnsi="Arial" w:cs="Arial"/>
              </w:rPr>
              <w:t>52.31 ± 9.21</w:t>
            </w:r>
          </w:p>
        </w:tc>
        <w:tc>
          <w:tcPr>
            <w:tcW w:w="900" w:type="dxa"/>
            <w:tcBorders>
              <w:top w:val="nil"/>
              <w:left w:val="nil"/>
              <w:bottom w:val="nil"/>
              <w:right w:val="nil"/>
            </w:tcBorders>
            <w:vAlign w:val="center"/>
          </w:tcPr>
          <w:p w14:paraId="7E5C917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40450CA5" w14:textId="77777777" w:rsidR="00F704F3" w:rsidRDefault="00F704F3" w:rsidP="00F73C34">
            <w:pPr>
              <w:spacing w:line="480" w:lineRule="auto"/>
              <w:jc w:val="center"/>
              <w:rPr>
                <w:rFonts w:ascii="Arial" w:eastAsia="Arial" w:hAnsi="Arial" w:cs="Arial"/>
              </w:rPr>
            </w:pPr>
            <w:r>
              <w:rPr>
                <w:rFonts w:ascii="Arial" w:eastAsia="Arial" w:hAnsi="Arial" w:cs="Arial"/>
              </w:rPr>
              <w:t>2.94</w:t>
            </w:r>
          </w:p>
        </w:tc>
        <w:tc>
          <w:tcPr>
            <w:tcW w:w="261" w:type="dxa"/>
            <w:tcBorders>
              <w:top w:val="nil"/>
              <w:left w:val="nil"/>
              <w:bottom w:val="nil"/>
              <w:right w:val="nil"/>
            </w:tcBorders>
          </w:tcPr>
          <w:p w14:paraId="3402F95F" w14:textId="77777777" w:rsidR="00F704F3" w:rsidRDefault="00F704F3" w:rsidP="00F73C34">
            <w:pPr>
              <w:spacing w:line="480" w:lineRule="auto"/>
              <w:rPr>
                <w:rFonts w:ascii="Arial" w:eastAsia="Arial" w:hAnsi="Arial" w:cs="Arial"/>
                <w:highlight w:val="yellow"/>
              </w:rPr>
            </w:pPr>
          </w:p>
        </w:tc>
      </w:tr>
      <w:tr w:rsidR="00F704F3" w14:paraId="29957A3C" w14:textId="77777777" w:rsidTr="00F73C34">
        <w:trPr>
          <w:trHeight w:val="463"/>
        </w:trPr>
        <w:tc>
          <w:tcPr>
            <w:tcW w:w="2725" w:type="dxa"/>
            <w:tcBorders>
              <w:top w:val="nil"/>
              <w:left w:val="nil"/>
              <w:bottom w:val="nil"/>
              <w:right w:val="nil"/>
            </w:tcBorders>
          </w:tcPr>
          <w:p w14:paraId="48966AE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800" w:type="dxa"/>
            <w:tcBorders>
              <w:top w:val="nil"/>
              <w:left w:val="nil"/>
              <w:bottom w:val="nil"/>
              <w:right w:val="nil"/>
            </w:tcBorders>
          </w:tcPr>
          <w:p w14:paraId="4D904489" w14:textId="77777777" w:rsidR="00F704F3" w:rsidRDefault="00F704F3" w:rsidP="00F73C34">
            <w:pPr>
              <w:spacing w:line="480" w:lineRule="auto"/>
              <w:jc w:val="center"/>
              <w:rPr>
                <w:rFonts w:ascii="Arial" w:eastAsia="Arial" w:hAnsi="Arial" w:cs="Arial"/>
              </w:rPr>
            </w:pPr>
            <w:r>
              <w:rPr>
                <w:rFonts w:ascii="Arial" w:eastAsia="Arial" w:hAnsi="Arial" w:cs="Arial"/>
              </w:rPr>
              <w:t>32.11 ± 1.74</w:t>
            </w:r>
          </w:p>
        </w:tc>
        <w:tc>
          <w:tcPr>
            <w:tcW w:w="1620" w:type="dxa"/>
            <w:tcBorders>
              <w:top w:val="nil"/>
              <w:left w:val="nil"/>
              <w:bottom w:val="nil"/>
              <w:right w:val="nil"/>
            </w:tcBorders>
          </w:tcPr>
          <w:p w14:paraId="32A21815" w14:textId="77777777" w:rsidR="00F704F3" w:rsidRDefault="00F704F3" w:rsidP="00F73C34">
            <w:pPr>
              <w:spacing w:line="480" w:lineRule="auto"/>
              <w:jc w:val="center"/>
              <w:rPr>
                <w:rFonts w:ascii="Arial" w:eastAsia="Arial" w:hAnsi="Arial" w:cs="Arial"/>
              </w:rPr>
            </w:pPr>
            <w:r>
              <w:rPr>
                <w:rFonts w:ascii="Arial" w:eastAsia="Arial" w:hAnsi="Arial" w:cs="Arial"/>
              </w:rPr>
              <w:t>42.31 ± 7.39</w:t>
            </w:r>
          </w:p>
        </w:tc>
        <w:tc>
          <w:tcPr>
            <w:tcW w:w="900" w:type="dxa"/>
            <w:tcBorders>
              <w:top w:val="nil"/>
              <w:left w:val="nil"/>
              <w:bottom w:val="nil"/>
              <w:right w:val="nil"/>
            </w:tcBorders>
            <w:vAlign w:val="center"/>
          </w:tcPr>
          <w:p w14:paraId="0F82AF1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238356C1"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00A3DE58" w14:textId="77777777" w:rsidR="00F704F3" w:rsidRDefault="00F704F3" w:rsidP="00F73C34">
            <w:pPr>
              <w:spacing w:line="480" w:lineRule="auto"/>
              <w:rPr>
                <w:rFonts w:ascii="Arial" w:eastAsia="Arial" w:hAnsi="Arial" w:cs="Arial"/>
                <w:highlight w:val="yellow"/>
              </w:rPr>
            </w:pPr>
          </w:p>
        </w:tc>
      </w:tr>
      <w:tr w:rsidR="00F704F3" w14:paraId="32779EB7" w14:textId="77777777" w:rsidTr="00F73C34">
        <w:trPr>
          <w:trHeight w:val="473"/>
        </w:trPr>
        <w:tc>
          <w:tcPr>
            <w:tcW w:w="2725" w:type="dxa"/>
            <w:tcBorders>
              <w:top w:val="nil"/>
              <w:left w:val="nil"/>
              <w:bottom w:val="nil"/>
              <w:right w:val="nil"/>
            </w:tcBorders>
          </w:tcPr>
          <w:p w14:paraId="667F2657"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800" w:type="dxa"/>
            <w:tcBorders>
              <w:top w:val="nil"/>
              <w:left w:val="nil"/>
              <w:bottom w:val="nil"/>
              <w:right w:val="nil"/>
            </w:tcBorders>
          </w:tcPr>
          <w:p w14:paraId="36EEB514" w14:textId="77777777" w:rsidR="00F704F3" w:rsidRDefault="00F704F3" w:rsidP="00F73C34">
            <w:pPr>
              <w:spacing w:line="480" w:lineRule="auto"/>
              <w:jc w:val="center"/>
              <w:rPr>
                <w:rFonts w:ascii="Arial" w:eastAsia="Arial" w:hAnsi="Arial" w:cs="Arial"/>
              </w:rPr>
            </w:pPr>
            <w:r>
              <w:rPr>
                <w:rFonts w:ascii="Arial" w:eastAsia="Arial" w:hAnsi="Arial" w:cs="Arial"/>
              </w:rPr>
              <w:t>3.23 ± 1.73</w:t>
            </w:r>
          </w:p>
        </w:tc>
        <w:tc>
          <w:tcPr>
            <w:tcW w:w="1620" w:type="dxa"/>
            <w:tcBorders>
              <w:top w:val="nil"/>
              <w:left w:val="nil"/>
              <w:bottom w:val="nil"/>
              <w:right w:val="nil"/>
            </w:tcBorders>
            <w:vAlign w:val="center"/>
          </w:tcPr>
          <w:p w14:paraId="7EA59DC6" w14:textId="77777777" w:rsidR="00F704F3" w:rsidRDefault="00F704F3" w:rsidP="00F73C34">
            <w:pPr>
              <w:spacing w:line="480" w:lineRule="auto"/>
              <w:jc w:val="center"/>
              <w:rPr>
                <w:rFonts w:ascii="Arial" w:eastAsia="Arial" w:hAnsi="Arial" w:cs="Arial"/>
              </w:rPr>
            </w:pPr>
            <w:r>
              <w:rPr>
                <w:rFonts w:ascii="Arial" w:eastAsia="Arial" w:hAnsi="Arial" w:cs="Arial"/>
              </w:rPr>
              <w:t>3.69 ± 1.49</w:t>
            </w:r>
          </w:p>
        </w:tc>
        <w:tc>
          <w:tcPr>
            <w:tcW w:w="900" w:type="dxa"/>
            <w:tcBorders>
              <w:top w:val="nil"/>
              <w:left w:val="nil"/>
              <w:bottom w:val="nil"/>
              <w:right w:val="nil"/>
            </w:tcBorders>
            <w:vAlign w:val="center"/>
          </w:tcPr>
          <w:p w14:paraId="32A2A925" w14:textId="77777777" w:rsidR="00F704F3" w:rsidRDefault="00F704F3" w:rsidP="00F73C34">
            <w:pPr>
              <w:spacing w:line="480" w:lineRule="auto"/>
              <w:jc w:val="center"/>
              <w:rPr>
                <w:rFonts w:ascii="Arial" w:eastAsia="Arial" w:hAnsi="Arial" w:cs="Arial"/>
              </w:rPr>
            </w:pPr>
            <w:r>
              <w:rPr>
                <w:rFonts w:ascii="Arial" w:eastAsia="Arial" w:hAnsi="Arial" w:cs="Arial"/>
              </w:rPr>
              <w:t>0.29</w:t>
            </w:r>
          </w:p>
        </w:tc>
        <w:tc>
          <w:tcPr>
            <w:tcW w:w="1222" w:type="dxa"/>
            <w:tcBorders>
              <w:top w:val="nil"/>
              <w:left w:val="nil"/>
              <w:bottom w:val="nil"/>
              <w:right w:val="nil"/>
            </w:tcBorders>
            <w:vAlign w:val="center"/>
          </w:tcPr>
          <w:p w14:paraId="253FBFCB" w14:textId="77777777" w:rsidR="00F704F3" w:rsidRDefault="00F704F3" w:rsidP="00F73C34">
            <w:pPr>
              <w:spacing w:line="480" w:lineRule="auto"/>
              <w:jc w:val="center"/>
              <w:rPr>
                <w:rFonts w:ascii="Arial" w:eastAsia="Arial" w:hAnsi="Arial" w:cs="Arial"/>
              </w:rPr>
            </w:pPr>
            <w:r>
              <w:rPr>
                <w:rFonts w:ascii="Arial" w:eastAsia="Arial" w:hAnsi="Arial" w:cs="Arial"/>
              </w:rPr>
              <w:t>-1.11</w:t>
            </w:r>
          </w:p>
        </w:tc>
        <w:tc>
          <w:tcPr>
            <w:tcW w:w="261" w:type="dxa"/>
            <w:tcBorders>
              <w:top w:val="nil"/>
              <w:left w:val="nil"/>
              <w:bottom w:val="nil"/>
              <w:right w:val="nil"/>
            </w:tcBorders>
          </w:tcPr>
          <w:p w14:paraId="19AD8FF0" w14:textId="77777777" w:rsidR="00F704F3" w:rsidRDefault="00F704F3" w:rsidP="00F73C34">
            <w:pPr>
              <w:spacing w:line="480" w:lineRule="auto"/>
              <w:rPr>
                <w:rFonts w:ascii="Arial" w:eastAsia="Arial" w:hAnsi="Arial" w:cs="Arial"/>
                <w:highlight w:val="yellow"/>
              </w:rPr>
            </w:pPr>
          </w:p>
        </w:tc>
      </w:tr>
      <w:tr w:rsidR="00F704F3" w14:paraId="11430747" w14:textId="77777777" w:rsidTr="00F73C34">
        <w:trPr>
          <w:trHeight w:val="60"/>
        </w:trPr>
        <w:tc>
          <w:tcPr>
            <w:tcW w:w="2725" w:type="dxa"/>
            <w:tcBorders>
              <w:top w:val="nil"/>
              <w:left w:val="nil"/>
              <w:bottom w:val="single" w:sz="4" w:space="0" w:color="000000"/>
              <w:right w:val="nil"/>
            </w:tcBorders>
          </w:tcPr>
          <w:p w14:paraId="3210929F"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800" w:type="dxa"/>
            <w:tcBorders>
              <w:top w:val="nil"/>
              <w:left w:val="nil"/>
              <w:bottom w:val="single" w:sz="4" w:space="0" w:color="000000"/>
              <w:right w:val="nil"/>
            </w:tcBorders>
          </w:tcPr>
          <w:p w14:paraId="40D5A3D2" w14:textId="77777777" w:rsidR="00F704F3" w:rsidRDefault="00F704F3" w:rsidP="00F73C34">
            <w:pPr>
              <w:spacing w:line="480" w:lineRule="auto"/>
              <w:jc w:val="center"/>
              <w:rPr>
                <w:rFonts w:ascii="Arial" w:eastAsia="Arial" w:hAnsi="Arial" w:cs="Arial"/>
              </w:rPr>
            </w:pPr>
            <w:r>
              <w:rPr>
                <w:rFonts w:ascii="Arial" w:eastAsia="Arial" w:hAnsi="Arial" w:cs="Arial"/>
              </w:rPr>
              <w:t>1.54 ± 0.88</w:t>
            </w:r>
          </w:p>
        </w:tc>
        <w:tc>
          <w:tcPr>
            <w:tcW w:w="1620" w:type="dxa"/>
            <w:tcBorders>
              <w:top w:val="nil"/>
              <w:left w:val="nil"/>
              <w:bottom w:val="single" w:sz="4" w:space="0" w:color="000000"/>
              <w:right w:val="nil"/>
            </w:tcBorders>
          </w:tcPr>
          <w:p w14:paraId="5EFA82C2" w14:textId="77777777" w:rsidR="00F704F3" w:rsidRDefault="00F704F3" w:rsidP="00F73C34">
            <w:pPr>
              <w:spacing w:line="480" w:lineRule="auto"/>
              <w:jc w:val="center"/>
              <w:rPr>
                <w:rFonts w:ascii="Arial" w:eastAsia="Arial" w:hAnsi="Arial" w:cs="Arial"/>
              </w:rPr>
            </w:pPr>
            <w:r>
              <w:rPr>
                <w:rFonts w:ascii="Arial" w:eastAsia="Arial" w:hAnsi="Arial" w:cs="Arial"/>
              </w:rPr>
              <w:t>1.46 ± 1.98</w:t>
            </w:r>
          </w:p>
        </w:tc>
        <w:tc>
          <w:tcPr>
            <w:tcW w:w="900" w:type="dxa"/>
            <w:tcBorders>
              <w:top w:val="nil"/>
              <w:left w:val="nil"/>
              <w:bottom w:val="single" w:sz="4" w:space="0" w:color="000000"/>
              <w:right w:val="nil"/>
            </w:tcBorders>
            <w:vAlign w:val="center"/>
          </w:tcPr>
          <w:p w14:paraId="4B7733A7" w14:textId="77777777" w:rsidR="00F704F3" w:rsidRDefault="00F704F3" w:rsidP="00F73C34">
            <w:pPr>
              <w:spacing w:line="480" w:lineRule="auto"/>
              <w:jc w:val="center"/>
              <w:rPr>
                <w:rFonts w:ascii="Arial" w:eastAsia="Arial" w:hAnsi="Arial" w:cs="Arial"/>
              </w:rPr>
            </w:pPr>
            <w:r>
              <w:rPr>
                <w:rFonts w:ascii="Arial" w:eastAsia="Arial" w:hAnsi="Arial" w:cs="Arial"/>
              </w:rPr>
              <w:t>0.88</w:t>
            </w:r>
          </w:p>
        </w:tc>
        <w:tc>
          <w:tcPr>
            <w:tcW w:w="1222" w:type="dxa"/>
            <w:tcBorders>
              <w:top w:val="nil"/>
              <w:left w:val="nil"/>
              <w:bottom w:val="single" w:sz="4" w:space="0" w:color="000000"/>
              <w:right w:val="nil"/>
            </w:tcBorders>
            <w:vAlign w:val="center"/>
          </w:tcPr>
          <w:p w14:paraId="37056C14" w14:textId="77777777" w:rsidR="00F704F3" w:rsidRDefault="00F704F3" w:rsidP="00F73C34">
            <w:pPr>
              <w:spacing w:line="480" w:lineRule="auto"/>
              <w:jc w:val="center"/>
              <w:rPr>
                <w:rFonts w:ascii="Arial" w:eastAsia="Arial" w:hAnsi="Arial" w:cs="Arial"/>
              </w:rPr>
            </w:pPr>
            <w:r>
              <w:rPr>
                <w:rFonts w:ascii="Arial" w:eastAsia="Arial" w:hAnsi="Arial" w:cs="Arial"/>
              </w:rPr>
              <w:t>0.15</w:t>
            </w:r>
          </w:p>
        </w:tc>
        <w:tc>
          <w:tcPr>
            <w:tcW w:w="261" w:type="dxa"/>
            <w:tcBorders>
              <w:top w:val="nil"/>
              <w:left w:val="nil"/>
              <w:bottom w:val="single" w:sz="4" w:space="0" w:color="000000"/>
              <w:right w:val="nil"/>
            </w:tcBorders>
          </w:tcPr>
          <w:p w14:paraId="66101002" w14:textId="77777777" w:rsidR="00F704F3" w:rsidRDefault="00F704F3" w:rsidP="00F73C34">
            <w:pPr>
              <w:spacing w:line="480" w:lineRule="auto"/>
              <w:rPr>
                <w:rFonts w:ascii="Arial" w:eastAsia="Arial" w:hAnsi="Arial" w:cs="Arial"/>
                <w:highlight w:val="yellow"/>
              </w:rPr>
            </w:pPr>
          </w:p>
        </w:tc>
      </w:tr>
    </w:tbl>
    <w:p w14:paraId="537AED82" w14:textId="36079216" w:rsidR="00F704F3" w:rsidRPr="00525780" w:rsidRDefault="00F704F3" w:rsidP="00F704F3">
      <w:pPr>
        <w:spacing w:line="480" w:lineRule="auto"/>
        <w:jc w:val="both"/>
        <w:rPr>
          <w:rFonts w:ascii="Arial" w:eastAsia="Arial" w:hAnsi="Arial" w:cs="Arial"/>
          <w:sz w:val="22"/>
          <w:szCs w:val="22"/>
        </w:rPr>
      </w:pPr>
      <w:r w:rsidRPr="00525780">
        <w:rPr>
          <w:rFonts w:ascii="Arial" w:eastAsia="Arial" w:hAnsi="Arial" w:cs="Arial"/>
          <w:sz w:val="18"/>
          <w:szCs w:val="18"/>
        </w:rPr>
        <w:t>Baseline</w:t>
      </w:r>
      <w:r w:rsidRPr="00525780">
        <w:rPr>
          <w:rFonts w:ascii="Arial" w:eastAsia="Arial" w:hAnsi="Arial" w:cs="Arial"/>
          <w:i/>
          <w:sz w:val="18"/>
          <w:szCs w:val="18"/>
        </w:rPr>
        <w:t xml:space="preserve">: Result </w:t>
      </w:r>
      <w:proofErr w:type="spellStart"/>
      <w:r w:rsidRPr="00525780">
        <w:rPr>
          <w:rFonts w:ascii="Arial" w:eastAsia="Arial" w:hAnsi="Arial" w:cs="Arial"/>
          <w:i/>
          <w:sz w:val="18"/>
          <w:szCs w:val="18"/>
        </w:rPr>
        <w:t>haemoglobin</w:t>
      </w:r>
      <w:proofErr w:type="spellEnd"/>
      <w:r w:rsidRPr="00525780">
        <w:rPr>
          <w:rFonts w:ascii="Arial" w:eastAsia="Arial" w:hAnsi="Arial" w:cs="Arial"/>
          <w:i/>
          <w:sz w:val="18"/>
          <w:szCs w:val="18"/>
        </w:rPr>
        <w:t xml:space="preserve"> parameters before taking IFA, End result: Result </w:t>
      </w:r>
      <w:proofErr w:type="spellStart"/>
      <w:r w:rsidRPr="00525780">
        <w:rPr>
          <w:rFonts w:ascii="Arial" w:eastAsia="Arial" w:hAnsi="Arial" w:cs="Arial"/>
          <w:i/>
          <w:sz w:val="18"/>
          <w:szCs w:val="18"/>
        </w:rPr>
        <w:t>haemoglobin</w:t>
      </w:r>
      <w:proofErr w:type="spellEnd"/>
      <w:r w:rsidRPr="00525780">
        <w:rPr>
          <w:rFonts w:ascii="Arial" w:eastAsia="Arial" w:hAnsi="Arial" w:cs="Arial"/>
          <w:i/>
          <w:sz w:val="18"/>
          <w:szCs w:val="18"/>
        </w:rPr>
        <w:t xml:space="preserve"> parameters after taking IFA for 3 months </w:t>
      </w:r>
      <w:r w:rsidRPr="00525780">
        <w:rPr>
          <w:rFonts w:ascii="Arial" w:eastAsia="Arial" w:hAnsi="Arial" w:cs="Arial"/>
          <w:sz w:val="18"/>
          <w:szCs w:val="18"/>
        </w:rPr>
        <w:t xml:space="preserve">MD = mean difference; t-value = t-test value; </w:t>
      </w:r>
      <w:r w:rsidRPr="00525780">
        <w:rPr>
          <w:rFonts w:ascii="Arial" w:eastAsia="Arial" w:hAnsi="Arial" w:cs="Arial"/>
          <w:i/>
          <w:sz w:val="18"/>
          <w:szCs w:val="18"/>
        </w:rPr>
        <w:t>P-Value:</w:t>
      </w:r>
      <w:r w:rsidR="00525780" w:rsidRPr="00525780">
        <w:rPr>
          <w:rFonts w:ascii="Arial" w:eastAsia="Arial" w:hAnsi="Arial" w:cs="Arial"/>
          <w:i/>
          <w:sz w:val="18"/>
          <w:szCs w:val="18"/>
        </w:rPr>
        <w:t xml:space="preserve"> Significance level *P=0.05, **P=</w:t>
      </w:r>
      <w:r w:rsidRPr="00525780">
        <w:rPr>
          <w:rFonts w:ascii="Arial" w:eastAsia="Arial" w:hAnsi="Arial" w:cs="Arial"/>
          <w:i/>
          <w:sz w:val="18"/>
          <w:szCs w:val="18"/>
        </w:rPr>
        <w:t>0.001</w:t>
      </w:r>
    </w:p>
    <w:p w14:paraId="2DF66F57"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 xml:space="preserve">3.3 Effect of Multiple Micronutrient Supplements on </w:t>
      </w:r>
      <w:proofErr w:type="spellStart"/>
      <w:r>
        <w:rPr>
          <w:rFonts w:ascii="Arial" w:eastAsia="Arial" w:hAnsi="Arial" w:cs="Arial"/>
          <w:b/>
          <w:sz w:val="22"/>
          <w:szCs w:val="22"/>
        </w:rPr>
        <w:t>Haemoglobin</w:t>
      </w:r>
      <w:proofErr w:type="spellEnd"/>
      <w:r>
        <w:rPr>
          <w:rFonts w:ascii="Arial" w:eastAsia="Arial" w:hAnsi="Arial" w:cs="Arial"/>
          <w:b/>
          <w:sz w:val="22"/>
          <w:szCs w:val="22"/>
        </w:rPr>
        <w:t xml:space="preserve"> and Blood Parameters</w:t>
      </w:r>
    </w:p>
    <w:p w14:paraId="621A31A6" w14:textId="77777777" w:rsidR="00F704F3" w:rsidRDefault="00F704F3" w:rsidP="00F704F3">
      <w:pPr>
        <w:spacing w:line="480" w:lineRule="auto"/>
        <w:jc w:val="both"/>
        <w:rPr>
          <w:rFonts w:ascii="Arial" w:eastAsia="Arial" w:hAnsi="Arial" w:cs="Arial"/>
          <w:sz w:val="18"/>
          <w:szCs w:val="18"/>
        </w:rPr>
      </w:pPr>
      <w:r>
        <w:rPr>
          <w:rFonts w:ascii="Arial" w:eastAsia="Arial" w:hAnsi="Arial" w:cs="Arial"/>
        </w:rPr>
        <w:t xml:space="preserve">MMS supplementation as shown in Table 3did not significantly increase Hb or ferritin levels. However, it was associated with a decrease in serum iron, possibly due to micronutrient interactions within the supplement or differences in iron dosage. Nevertheless, MMS improved immune cell profiles, suggesting broader health benefits beyond anemia prevention </w:t>
      </w:r>
      <w:r>
        <w:rPr>
          <w:rFonts w:ascii="Arial" w:eastAsia="Arial" w:hAnsi="Arial" w:cs="Arial"/>
          <w:color w:val="1C1C1C"/>
          <w:highlight w:val="white"/>
        </w:rPr>
        <w:t xml:space="preserve">(Smith </w:t>
      </w:r>
      <w:r>
        <w:rPr>
          <w:rFonts w:ascii="Arial" w:eastAsia="Arial" w:hAnsi="Arial" w:cs="Arial"/>
          <w:i/>
        </w:rPr>
        <w:t>et al</w:t>
      </w:r>
      <w:r>
        <w:rPr>
          <w:rFonts w:ascii="Arial" w:eastAsia="Arial" w:hAnsi="Arial" w:cs="Arial"/>
          <w:color w:val="1C1C1C"/>
          <w:highlight w:val="white"/>
        </w:rPr>
        <w:t xml:space="preserve"> 2017)</w:t>
      </w:r>
      <w:r>
        <w:rPr>
          <w:rFonts w:ascii="Arial" w:eastAsia="Arial" w:hAnsi="Arial" w:cs="Arial"/>
        </w:rPr>
        <w:t xml:space="preserve">. </w:t>
      </w:r>
    </w:p>
    <w:p w14:paraId="21EF8D5D" w14:textId="77777777" w:rsidR="00F704F3" w:rsidRDefault="00F704F3" w:rsidP="00F704F3">
      <w:pPr>
        <w:spacing w:line="480" w:lineRule="auto"/>
        <w:jc w:val="both"/>
        <w:rPr>
          <w:rFonts w:ascii="Arial" w:eastAsia="Arial" w:hAnsi="Arial" w:cs="Arial"/>
        </w:rPr>
      </w:pPr>
      <w:r>
        <w:rPr>
          <w:rFonts w:ascii="Arial" w:eastAsia="Arial" w:hAnsi="Arial" w:cs="Arial"/>
          <w:b/>
        </w:rPr>
        <w:t>Table 3. The Effect of Multiple Micronutrient Supplements on Hemoglobin and other Blood Parameters</w:t>
      </w:r>
    </w:p>
    <w:tbl>
      <w:tblPr>
        <w:tblW w:w="8820" w:type="dxa"/>
        <w:tblBorders>
          <w:top w:val="single" w:sz="4" w:space="0" w:color="000000"/>
          <w:bottom w:val="single" w:sz="4" w:space="0" w:color="000000"/>
        </w:tblBorders>
        <w:tblLayout w:type="fixed"/>
        <w:tblLook w:val="0400" w:firstRow="0" w:lastRow="0" w:firstColumn="0" w:lastColumn="0" w:noHBand="0" w:noVBand="1"/>
      </w:tblPr>
      <w:tblGrid>
        <w:gridCol w:w="2790"/>
        <w:gridCol w:w="1620"/>
        <w:gridCol w:w="1800"/>
        <w:gridCol w:w="876"/>
        <w:gridCol w:w="174"/>
        <w:gridCol w:w="261"/>
        <w:gridCol w:w="1299"/>
      </w:tblGrid>
      <w:tr w:rsidR="00F704F3" w14:paraId="62DFBF0F" w14:textId="77777777" w:rsidTr="00F73C34">
        <w:trPr>
          <w:trHeight w:val="674"/>
        </w:trPr>
        <w:tc>
          <w:tcPr>
            <w:tcW w:w="2790" w:type="dxa"/>
            <w:tcBorders>
              <w:top w:val="single" w:sz="4" w:space="0" w:color="000000"/>
              <w:bottom w:val="single" w:sz="4" w:space="0" w:color="000000"/>
            </w:tcBorders>
          </w:tcPr>
          <w:p w14:paraId="7E0EFD60" w14:textId="77777777" w:rsidR="00F704F3" w:rsidRDefault="00F704F3" w:rsidP="00F73C34">
            <w:pPr>
              <w:spacing w:line="480" w:lineRule="auto"/>
              <w:ind w:left="-108"/>
              <w:rPr>
                <w:rFonts w:ascii="Arial" w:eastAsia="Arial" w:hAnsi="Arial" w:cs="Arial"/>
                <w:b/>
              </w:rPr>
            </w:pPr>
            <w:r>
              <w:rPr>
                <w:rFonts w:ascii="Arial" w:eastAsia="Arial" w:hAnsi="Arial" w:cs="Arial"/>
                <w:b/>
              </w:rPr>
              <w:t xml:space="preserve">Parameters </w:t>
            </w:r>
          </w:p>
        </w:tc>
        <w:tc>
          <w:tcPr>
            <w:tcW w:w="1620" w:type="dxa"/>
            <w:tcBorders>
              <w:top w:val="single" w:sz="4" w:space="0" w:color="000000"/>
              <w:bottom w:val="single" w:sz="4" w:space="0" w:color="000000"/>
            </w:tcBorders>
          </w:tcPr>
          <w:p w14:paraId="201B4EDA"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52ACC827"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800" w:type="dxa"/>
            <w:tcBorders>
              <w:top w:val="single" w:sz="4" w:space="0" w:color="000000"/>
              <w:bottom w:val="single" w:sz="4" w:space="0" w:color="000000"/>
            </w:tcBorders>
          </w:tcPr>
          <w:p w14:paraId="49875A88"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1311" w:type="dxa"/>
            <w:gridSpan w:val="3"/>
            <w:tcBorders>
              <w:top w:val="single" w:sz="4" w:space="0" w:color="000000"/>
              <w:bottom w:val="single" w:sz="4" w:space="0" w:color="000000"/>
            </w:tcBorders>
          </w:tcPr>
          <w:p w14:paraId="68A8EF7E"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99" w:type="dxa"/>
            <w:tcBorders>
              <w:top w:val="single" w:sz="4" w:space="0" w:color="000000"/>
              <w:bottom w:val="single" w:sz="4" w:space="0" w:color="000000"/>
            </w:tcBorders>
          </w:tcPr>
          <w:p w14:paraId="33F897AE"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3F3F0EFB" w14:textId="77777777" w:rsidTr="00F73C34">
        <w:tc>
          <w:tcPr>
            <w:tcW w:w="2790" w:type="dxa"/>
            <w:tcBorders>
              <w:top w:val="single" w:sz="4" w:space="0" w:color="000000"/>
            </w:tcBorders>
          </w:tcPr>
          <w:p w14:paraId="3CB17BE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20" w:type="dxa"/>
            <w:tcBorders>
              <w:top w:val="single" w:sz="4" w:space="0" w:color="000000"/>
            </w:tcBorders>
          </w:tcPr>
          <w:p w14:paraId="7FEB9533" w14:textId="77777777" w:rsidR="00F704F3" w:rsidRDefault="00F704F3" w:rsidP="00F73C34">
            <w:pPr>
              <w:spacing w:line="480" w:lineRule="auto"/>
              <w:jc w:val="center"/>
              <w:rPr>
                <w:rFonts w:ascii="Arial" w:eastAsia="Arial" w:hAnsi="Arial" w:cs="Arial"/>
              </w:rPr>
            </w:pPr>
            <w:r>
              <w:rPr>
                <w:rFonts w:ascii="Arial" w:eastAsia="Arial" w:hAnsi="Arial" w:cs="Arial"/>
              </w:rPr>
              <w:t>32.69 ± 3.06</w:t>
            </w:r>
          </w:p>
        </w:tc>
        <w:tc>
          <w:tcPr>
            <w:tcW w:w="1800" w:type="dxa"/>
            <w:tcBorders>
              <w:top w:val="single" w:sz="4" w:space="0" w:color="000000"/>
            </w:tcBorders>
          </w:tcPr>
          <w:p w14:paraId="0BC7B387" w14:textId="77777777" w:rsidR="00F704F3" w:rsidRDefault="00F704F3" w:rsidP="00F73C34">
            <w:pPr>
              <w:spacing w:line="480" w:lineRule="auto"/>
              <w:jc w:val="center"/>
              <w:rPr>
                <w:rFonts w:ascii="Arial" w:eastAsia="Arial" w:hAnsi="Arial" w:cs="Arial"/>
              </w:rPr>
            </w:pPr>
            <w:r>
              <w:rPr>
                <w:rFonts w:ascii="Arial" w:eastAsia="Arial" w:hAnsi="Arial" w:cs="Arial"/>
              </w:rPr>
              <w:t>31.69 ± 3.49</w:t>
            </w:r>
          </w:p>
        </w:tc>
        <w:tc>
          <w:tcPr>
            <w:tcW w:w="876" w:type="dxa"/>
            <w:tcBorders>
              <w:top w:val="single" w:sz="4" w:space="0" w:color="000000"/>
            </w:tcBorders>
            <w:vAlign w:val="center"/>
          </w:tcPr>
          <w:p w14:paraId="073EE809" w14:textId="77777777" w:rsidR="00F704F3" w:rsidRDefault="00F704F3" w:rsidP="00F73C34">
            <w:pPr>
              <w:spacing w:line="480" w:lineRule="auto"/>
              <w:jc w:val="center"/>
              <w:rPr>
                <w:rFonts w:ascii="Arial" w:eastAsia="Arial" w:hAnsi="Arial" w:cs="Arial"/>
              </w:rPr>
            </w:pPr>
            <w:r>
              <w:rPr>
                <w:rFonts w:ascii="Arial" w:eastAsia="Arial" w:hAnsi="Arial" w:cs="Arial"/>
              </w:rPr>
              <w:t>0.360</w:t>
            </w:r>
          </w:p>
        </w:tc>
        <w:tc>
          <w:tcPr>
            <w:tcW w:w="1734" w:type="dxa"/>
            <w:gridSpan w:val="3"/>
            <w:tcBorders>
              <w:top w:val="single" w:sz="4" w:space="0" w:color="000000"/>
            </w:tcBorders>
            <w:vAlign w:val="center"/>
          </w:tcPr>
          <w:p w14:paraId="13585845" w14:textId="77777777" w:rsidR="00F704F3" w:rsidRDefault="00F704F3" w:rsidP="00F73C34">
            <w:pPr>
              <w:tabs>
                <w:tab w:val="left" w:pos="475"/>
              </w:tabs>
              <w:spacing w:line="480" w:lineRule="auto"/>
              <w:jc w:val="center"/>
              <w:rPr>
                <w:rFonts w:ascii="Arial" w:eastAsia="Arial" w:hAnsi="Arial" w:cs="Arial"/>
              </w:rPr>
            </w:pPr>
            <w:r>
              <w:rPr>
                <w:rFonts w:ascii="Arial" w:eastAsia="Arial" w:hAnsi="Arial" w:cs="Arial"/>
              </w:rPr>
              <w:t>0.952</w:t>
            </w:r>
          </w:p>
        </w:tc>
      </w:tr>
      <w:tr w:rsidR="00F704F3" w14:paraId="740321A9" w14:textId="77777777" w:rsidTr="00F73C34">
        <w:tc>
          <w:tcPr>
            <w:tcW w:w="2790" w:type="dxa"/>
          </w:tcPr>
          <w:p w14:paraId="712E8AB2"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20" w:type="dxa"/>
          </w:tcPr>
          <w:p w14:paraId="218BD4DD" w14:textId="77777777" w:rsidR="00F704F3" w:rsidRDefault="00F704F3" w:rsidP="00F73C34">
            <w:pPr>
              <w:spacing w:line="480" w:lineRule="auto"/>
              <w:jc w:val="center"/>
              <w:rPr>
                <w:rFonts w:ascii="Arial" w:eastAsia="Arial" w:hAnsi="Arial" w:cs="Arial"/>
              </w:rPr>
            </w:pPr>
            <w:r>
              <w:rPr>
                <w:rFonts w:ascii="Arial" w:eastAsia="Arial" w:hAnsi="Arial" w:cs="Arial"/>
              </w:rPr>
              <w:t>10.36 ± 1.03</w:t>
            </w:r>
          </w:p>
        </w:tc>
        <w:tc>
          <w:tcPr>
            <w:tcW w:w="1800" w:type="dxa"/>
          </w:tcPr>
          <w:p w14:paraId="0C71E20D" w14:textId="77777777" w:rsidR="00F704F3" w:rsidRDefault="00F704F3" w:rsidP="00F73C34">
            <w:pPr>
              <w:spacing w:line="480" w:lineRule="auto"/>
              <w:jc w:val="center"/>
              <w:rPr>
                <w:rFonts w:ascii="Arial" w:eastAsia="Arial" w:hAnsi="Arial" w:cs="Arial"/>
              </w:rPr>
            </w:pPr>
            <w:r>
              <w:rPr>
                <w:rFonts w:ascii="Arial" w:eastAsia="Arial" w:hAnsi="Arial" w:cs="Arial"/>
              </w:rPr>
              <w:t>10.43 ± 1.07</w:t>
            </w:r>
          </w:p>
        </w:tc>
        <w:tc>
          <w:tcPr>
            <w:tcW w:w="1050" w:type="dxa"/>
            <w:gridSpan w:val="2"/>
            <w:vAlign w:val="center"/>
          </w:tcPr>
          <w:p w14:paraId="07F9D64E" w14:textId="77777777" w:rsidR="00F704F3" w:rsidRDefault="00F704F3" w:rsidP="00F73C34">
            <w:pPr>
              <w:spacing w:line="480" w:lineRule="auto"/>
              <w:rPr>
                <w:rFonts w:ascii="Arial" w:eastAsia="Arial" w:hAnsi="Arial" w:cs="Arial"/>
              </w:rPr>
            </w:pPr>
            <w:r>
              <w:rPr>
                <w:rFonts w:ascii="Arial" w:eastAsia="Arial" w:hAnsi="Arial" w:cs="Arial"/>
              </w:rPr>
              <w:t xml:space="preserve"> 0.337</w:t>
            </w:r>
          </w:p>
        </w:tc>
        <w:tc>
          <w:tcPr>
            <w:tcW w:w="1560" w:type="dxa"/>
            <w:gridSpan w:val="2"/>
            <w:vAlign w:val="center"/>
          </w:tcPr>
          <w:p w14:paraId="169F300D" w14:textId="77777777" w:rsidR="00F704F3" w:rsidRDefault="00F704F3" w:rsidP="00F73C34">
            <w:pPr>
              <w:spacing w:line="480" w:lineRule="auto"/>
              <w:rPr>
                <w:rFonts w:ascii="Arial" w:eastAsia="Arial" w:hAnsi="Arial" w:cs="Arial"/>
              </w:rPr>
            </w:pPr>
            <w:r>
              <w:rPr>
                <w:rFonts w:ascii="Arial" w:eastAsia="Arial" w:hAnsi="Arial" w:cs="Arial"/>
              </w:rPr>
              <w:t xml:space="preserve">         1.000</w:t>
            </w:r>
          </w:p>
        </w:tc>
      </w:tr>
      <w:tr w:rsidR="00F704F3" w14:paraId="44B0523A" w14:textId="77777777" w:rsidTr="00F73C34">
        <w:tc>
          <w:tcPr>
            <w:tcW w:w="2790" w:type="dxa"/>
          </w:tcPr>
          <w:p w14:paraId="372F406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20" w:type="dxa"/>
          </w:tcPr>
          <w:p w14:paraId="2AC6EB44" w14:textId="77777777" w:rsidR="00F704F3" w:rsidRDefault="00F704F3" w:rsidP="00F73C34">
            <w:pPr>
              <w:spacing w:line="480" w:lineRule="auto"/>
              <w:jc w:val="center"/>
              <w:rPr>
                <w:rFonts w:ascii="Arial" w:eastAsia="Arial" w:hAnsi="Arial" w:cs="Arial"/>
              </w:rPr>
            </w:pPr>
            <w:r>
              <w:rPr>
                <w:rFonts w:ascii="Arial" w:eastAsia="Arial" w:hAnsi="Arial" w:cs="Arial"/>
              </w:rPr>
              <w:t>3.94 ± 0.54</w:t>
            </w:r>
          </w:p>
        </w:tc>
        <w:tc>
          <w:tcPr>
            <w:tcW w:w="1800" w:type="dxa"/>
          </w:tcPr>
          <w:p w14:paraId="2C3C517E" w14:textId="77777777" w:rsidR="00F704F3" w:rsidRDefault="00F704F3" w:rsidP="00F73C34">
            <w:pPr>
              <w:spacing w:line="480" w:lineRule="auto"/>
              <w:jc w:val="center"/>
              <w:rPr>
                <w:rFonts w:ascii="Arial" w:eastAsia="Arial" w:hAnsi="Arial" w:cs="Arial"/>
              </w:rPr>
            </w:pPr>
            <w:r>
              <w:rPr>
                <w:rFonts w:ascii="Arial" w:eastAsia="Arial" w:hAnsi="Arial" w:cs="Arial"/>
              </w:rPr>
              <w:t>4.36 ±0.58</w:t>
            </w:r>
          </w:p>
        </w:tc>
        <w:tc>
          <w:tcPr>
            <w:tcW w:w="876" w:type="dxa"/>
            <w:vAlign w:val="center"/>
          </w:tcPr>
          <w:p w14:paraId="210F14AF" w14:textId="77777777" w:rsidR="00F704F3" w:rsidRDefault="00F704F3" w:rsidP="00F73C34">
            <w:pPr>
              <w:spacing w:line="480" w:lineRule="auto"/>
              <w:jc w:val="center"/>
              <w:rPr>
                <w:rFonts w:ascii="Arial" w:eastAsia="Arial" w:hAnsi="Arial" w:cs="Arial"/>
              </w:rPr>
            </w:pPr>
            <w:r>
              <w:rPr>
                <w:rFonts w:ascii="Arial" w:eastAsia="Arial" w:hAnsi="Arial" w:cs="Arial"/>
              </w:rPr>
              <w:t>0.065</w:t>
            </w:r>
          </w:p>
        </w:tc>
        <w:tc>
          <w:tcPr>
            <w:tcW w:w="1734" w:type="dxa"/>
            <w:gridSpan w:val="3"/>
            <w:vAlign w:val="center"/>
          </w:tcPr>
          <w:p w14:paraId="5A99431B" w14:textId="77777777" w:rsidR="00F704F3" w:rsidRDefault="00F704F3" w:rsidP="00F73C34">
            <w:pPr>
              <w:spacing w:line="480" w:lineRule="auto"/>
              <w:jc w:val="center"/>
              <w:rPr>
                <w:rFonts w:ascii="Arial" w:eastAsia="Arial" w:hAnsi="Arial" w:cs="Arial"/>
              </w:rPr>
            </w:pPr>
            <w:r>
              <w:rPr>
                <w:rFonts w:ascii="Arial" w:eastAsia="Arial" w:hAnsi="Arial" w:cs="Arial"/>
              </w:rPr>
              <w:t>-2.029</w:t>
            </w:r>
          </w:p>
        </w:tc>
      </w:tr>
      <w:tr w:rsidR="00F704F3" w14:paraId="53E600F0" w14:textId="77777777" w:rsidTr="00F73C34">
        <w:tc>
          <w:tcPr>
            <w:tcW w:w="2790" w:type="dxa"/>
          </w:tcPr>
          <w:p w14:paraId="3B4F58BB"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20" w:type="dxa"/>
          </w:tcPr>
          <w:p w14:paraId="6E0BD9B8" w14:textId="77777777" w:rsidR="00F704F3" w:rsidRDefault="00F704F3" w:rsidP="00F73C34">
            <w:pPr>
              <w:spacing w:line="480" w:lineRule="auto"/>
              <w:jc w:val="center"/>
              <w:rPr>
                <w:rFonts w:ascii="Arial" w:eastAsia="Arial" w:hAnsi="Arial" w:cs="Arial"/>
              </w:rPr>
            </w:pPr>
            <w:r>
              <w:rPr>
                <w:rFonts w:ascii="Arial" w:eastAsia="Arial" w:hAnsi="Arial" w:cs="Arial"/>
              </w:rPr>
              <w:t>82.92 ±7.48</w:t>
            </w:r>
          </w:p>
        </w:tc>
        <w:tc>
          <w:tcPr>
            <w:tcW w:w="1800" w:type="dxa"/>
          </w:tcPr>
          <w:p w14:paraId="57AC553D" w14:textId="77777777" w:rsidR="00F704F3" w:rsidRDefault="00F704F3" w:rsidP="00F73C34">
            <w:pPr>
              <w:spacing w:line="480" w:lineRule="auto"/>
              <w:jc w:val="center"/>
              <w:rPr>
                <w:rFonts w:ascii="Arial" w:eastAsia="Arial" w:hAnsi="Arial" w:cs="Arial"/>
              </w:rPr>
            </w:pPr>
            <w:r>
              <w:rPr>
                <w:rFonts w:ascii="Arial" w:eastAsia="Arial" w:hAnsi="Arial" w:cs="Arial"/>
              </w:rPr>
              <w:t>79.85 ± 9.20</w:t>
            </w:r>
          </w:p>
        </w:tc>
        <w:tc>
          <w:tcPr>
            <w:tcW w:w="876" w:type="dxa"/>
            <w:vAlign w:val="center"/>
          </w:tcPr>
          <w:p w14:paraId="094EE67F" w14:textId="77777777" w:rsidR="00F704F3" w:rsidRDefault="00F704F3" w:rsidP="00F73C34">
            <w:pPr>
              <w:spacing w:line="480" w:lineRule="auto"/>
              <w:jc w:val="center"/>
              <w:rPr>
                <w:rFonts w:ascii="Arial" w:eastAsia="Arial" w:hAnsi="Arial" w:cs="Arial"/>
              </w:rPr>
            </w:pPr>
            <w:r>
              <w:rPr>
                <w:rFonts w:ascii="Arial" w:eastAsia="Arial" w:hAnsi="Arial" w:cs="Arial"/>
              </w:rPr>
              <w:t>0.364</w:t>
            </w:r>
          </w:p>
        </w:tc>
        <w:tc>
          <w:tcPr>
            <w:tcW w:w="1734" w:type="dxa"/>
            <w:gridSpan w:val="3"/>
            <w:vAlign w:val="center"/>
          </w:tcPr>
          <w:p w14:paraId="32ED47BE" w14:textId="77777777" w:rsidR="00F704F3" w:rsidRDefault="00F704F3" w:rsidP="00F73C34">
            <w:pPr>
              <w:spacing w:line="480" w:lineRule="auto"/>
              <w:jc w:val="center"/>
              <w:rPr>
                <w:rFonts w:ascii="Arial" w:eastAsia="Arial" w:hAnsi="Arial" w:cs="Arial"/>
              </w:rPr>
            </w:pPr>
            <w:r>
              <w:rPr>
                <w:rFonts w:ascii="Arial" w:eastAsia="Arial" w:hAnsi="Arial" w:cs="Arial"/>
              </w:rPr>
              <w:t>0.943</w:t>
            </w:r>
          </w:p>
        </w:tc>
      </w:tr>
      <w:tr w:rsidR="00F704F3" w14:paraId="3CA39AFD" w14:textId="77777777" w:rsidTr="00F73C34">
        <w:trPr>
          <w:trHeight w:val="297"/>
        </w:trPr>
        <w:tc>
          <w:tcPr>
            <w:tcW w:w="2790" w:type="dxa"/>
          </w:tcPr>
          <w:p w14:paraId="39BEEAE1"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20" w:type="dxa"/>
          </w:tcPr>
          <w:p w14:paraId="6C457E98" w14:textId="77777777" w:rsidR="00F704F3" w:rsidRDefault="00F704F3" w:rsidP="00F73C34">
            <w:pPr>
              <w:spacing w:line="480" w:lineRule="auto"/>
              <w:jc w:val="center"/>
              <w:rPr>
                <w:rFonts w:ascii="Arial" w:eastAsia="Arial" w:hAnsi="Arial" w:cs="Arial"/>
              </w:rPr>
            </w:pPr>
            <w:r>
              <w:rPr>
                <w:rFonts w:ascii="Arial" w:eastAsia="Arial" w:hAnsi="Arial" w:cs="Arial"/>
              </w:rPr>
              <w:t>25.54 ± 1.94</w:t>
            </w:r>
          </w:p>
        </w:tc>
        <w:tc>
          <w:tcPr>
            <w:tcW w:w="1800" w:type="dxa"/>
          </w:tcPr>
          <w:p w14:paraId="41168AA6" w14:textId="77777777" w:rsidR="00F704F3" w:rsidRDefault="00F704F3" w:rsidP="00F73C34">
            <w:pPr>
              <w:spacing w:line="480" w:lineRule="auto"/>
              <w:jc w:val="center"/>
              <w:rPr>
                <w:rFonts w:ascii="Arial" w:eastAsia="Arial" w:hAnsi="Arial" w:cs="Arial"/>
              </w:rPr>
            </w:pPr>
            <w:r>
              <w:rPr>
                <w:rFonts w:ascii="Arial" w:eastAsia="Arial" w:hAnsi="Arial" w:cs="Arial"/>
              </w:rPr>
              <w:t>23.85 ± 2.30</w:t>
            </w:r>
          </w:p>
        </w:tc>
        <w:tc>
          <w:tcPr>
            <w:tcW w:w="876" w:type="dxa"/>
            <w:vAlign w:val="center"/>
          </w:tcPr>
          <w:p w14:paraId="18D1DED8" w14:textId="77777777" w:rsidR="00F704F3" w:rsidRDefault="00F704F3" w:rsidP="00F73C34">
            <w:pPr>
              <w:spacing w:line="480" w:lineRule="auto"/>
              <w:jc w:val="center"/>
              <w:rPr>
                <w:rFonts w:ascii="Arial" w:eastAsia="Arial" w:hAnsi="Arial" w:cs="Arial"/>
              </w:rPr>
            </w:pPr>
            <w:r>
              <w:rPr>
                <w:rFonts w:ascii="Arial" w:eastAsia="Arial" w:hAnsi="Arial" w:cs="Arial"/>
              </w:rPr>
              <w:t>0.104</w:t>
            </w:r>
          </w:p>
        </w:tc>
        <w:tc>
          <w:tcPr>
            <w:tcW w:w="1734" w:type="dxa"/>
            <w:gridSpan w:val="3"/>
            <w:vAlign w:val="center"/>
          </w:tcPr>
          <w:p w14:paraId="465EC475" w14:textId="77777777" w:rsidR="00F704F3" w:rsidRDefault="00F704F3" w:rsidP="00F73C34">
            <w:pPr>
              <w:spacing w:line="480" w:lineRule="auto"/>
              <w:jc w:val="center"/>
              <w:rPr>
                <w:rFonts w:ascii="Arial" w:eastAsia="Arial" w:hAnsi="Arial" w:cs="Arial"/>
              </w:rPr>
            </w:pPr>
            <w:r>
              <w:rPr>
                <w:rFonts w:ascii="Arial" w:eastAsia="Arial" w:hAnsi="Arial" w:cs="Arial"/>
              </w:rPr>
              <w:t>1.757</w:t>
            </w:r>
          </w:p>
        </w:tc>
      </w:tr>
      <w:tr w:rsidR="00F704F3" w14:paraId="472D633A" w14:textId="77777777" w:rsidTr="00F73C34">
        <w:trPr>
          <w:trHeight w:val="360"/>
        </w:trPr>
        <w:tc>
          <w:tcPr>
            <w:tcW w:w="2790" w:type="dxa"/>
          </w:tcPr>
          <w:p w14:paraId="6B7DB79F"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50FA3530"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20" w:type="dxa"/>
          </w:tcPr>
          <w:p w14:paraId="29D757F8" w14:textId="77777777" w:rsidR="00F704F3" w:rsidRDefault="00F704F3" w:rsidP="00F73C34">
            <w:pPr>
              <w:spacing w:line="480" w:lineRule="auto"/>
              <w:jc w:val="center"/>
              <w:rPr>
                <w:rFonts w:ascii="Arial" w:eastAsia="Arial" w:hAnsi="Arial" w:cs="Arial"/>
              </w:rPr>
            </w:pPr>
            <w:r>
              <w:rPr>
                <w:rFonts w:ascii="Arial" w:eastAsia="Arial" w:hAnsi="Arial" w:cs="Arial"/>
              </w:rPr>
              <w:t>31.15 ± 0.98</w:t>
            </w:r>
          </w:p>
        </w:tc>
        <w:tc>
          <w:tcPr>
            <w:tcW w:w="1800" w:type="dxa"/>
          </w:tcPr>
          <w:p w14:paraId="45567D4A" w14:textId="77777777" w:rsidR="00F704F3" w:rsidRDefault="00F704F3" w:rsidP="00F73C34">
            <w:pPr>
              <w:spacing w:line="480" w:lineRule="auto"/>
              <w:jc w:val="center"/>
              <w:rPr>
                <w:rFonts w:ascii="Arial" w:eastAsia="Arial" w:hAnsi="Arial" w:cs="Arial"/>
              </w:rPr>
            </w:pPr>
            <w:r>
              <w:rPr>
                <w:rFonts w:ascii="Arial" w:eastAsia="Arial" w:hAnsi="Arial" w:cs="Arial"/>
              </w:rPr>
              <w:t>29.85 ± 3.00</w:t>
            </w:r>
          </w:p>
        </w:tc>
        <w:tc>
          <w:tcPr>
            <w:tcW w:w="876" w:type="dxa"/>
            <w:vAlign w:val="center"/>
          </w:tcPr>
          <w:p w14:paraId="22116291" w14:textId="77777777" w:rsidR="00F704F3" w:rsidRDefault="00F704F3" w:rsidP="00F73C34">
            <w:pPr>
              <w:spacing w:line="480" w:lineRule="auto"/>
              <w:jc w:val="center"/>
              <w:rPr>
                <w:rFonts w:ascii="Arial" w:eastAsia="Arial" w:hAnsi="Arial" w:cs="Arial"/>
              </w:rPr>
            </w:pPr>
            <w:r>
              <w:rPr>
                <w:rFonts w:ascii="Arial" w:eastAsia="Arial" w:hAnsi="Arial" w:cs="Arial"/>
              </w:rPr>
              <w:t>0.116</w:t>
            </w:r>
          </w:p>
        </w:tc>
        <w:tc>
          <w:tcPr>
            <w:tcW w:w="1734" w:type="dxa"/>
            <w:gridSpan w:val="3"/>
            <w:vAlign w:val="center"/>
          </w:tcPr>
          <w:p w14:paraId="0FFF109F" w14:textId="77777777" w:rsidR="00F704F3" w:rsidRDefault="00F704F3" w:rsidP="00F73C34">
            <w:pPr>
              <w:spacing w:line="480" w:lineRule="auto"/>
              <w:jc w:val="center"/>
              <w:rPr>
                <w:rFonts w:ascii="Arial" w:eastAsia="Arial" w:hAnsi="Arial" w:cs="Arial"/>
              </w:rPr>
            </w:pPr>
            <w:r>
              <w:rPr>
                <w:rFonts w:ascii="Arial" w:eastAsia="Arial" w:hAnsi="Arial" w:cs="Arial"/>
              </w:rPr>
              <w:t>1.696</w:t>
            </w:r>
          </w:p>
        </w:tc>
      </w:tr>
      <w:tr w:rsidR="00F704F3" w14:paraId="51CE15C9" w14:textId="77777777" w:rsidTr="00F73C34">
        <w:tc>
          <w:tcPr>
            <w:tcW w:w="2790" w:type="dxa"/>
          </w:tcPr>
          <w:p w14:paraId="33447C24"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20" w:type="dxa"/>
          </w:tcPr>
          <w:p w14:paraId="655B4346" w14:textId="77777777" w:rsidR="00F704F3" w:rsidRDefault="00F704F3" w:rsidP="00F73C34">
            <w:pPr>
              <w:spacing w:line="480" w:lineRule="auto"/>
              <w:jc w:val="center"/>
              <w:rPr>
                <w:rFonts w:ascii="Arial" w:eastAsia="Arial" w:hAnsi="Arial" w:cs="Arial"/>
              </w:rPr>
            </w:pPr>
            <w:r>
              <w:rPr>
                <w:rFonts w:ascii="Arial" w:eastAsia="Arial" w:hAnsi="Arial" w:cs="Arial"/>
              </w:rPr>
              <w:t>74.16 ± 34.36</w:t>
            </w:r>
          </w:p>
        </w:tc>
        <w:tc>
          <w:tcPr>
            <w:tcW w:w="1800" w:type="dxa"/>
          </w:tcPr>
          <w:p w14:paraId="7930B83B" w14:textId="77777777" w:rsidR="00F704F3" w:rsidRDefault="00F704F3" w:rsidP="00F73C34">
            <w:pPr>
              <w:spacing w:line="480" w:lineRule="auto"/>
              <w:jc w:val="center"/>
              <w:rPr>
                <w:rFonts w:ascii="Arial" w:eastAsia="Arial" w:hAnsi="Arial" w:cs="Arial"/>
              </w:rPr>
            </w:pPr>
            <w:r>
              <w:rPr>
                <w:rFonts w:ascii="Arial" w:eastAsia="Arial" w:hAnsi="Arial" w:cs="Arial"/>
              </w:rPr>
              <w:t>63.62 ± 22.68</w:t>
            </w:r>
          </w:p>
        </w:tc>
        <w:tc>
          <w:tcPr>
            <w:tcW w:w="876" w:type="dxa"/>
            <w:vAlign w:val="center"/>
          </w:tcPr>
          <w:p w14:paraId="5D18AD89" w14:textId="77777777" w:rsidR="00F704F3" w:rsidRDefault="00F704F3" w:rsidP="00F73C34">
            <w:pPr>
              <w:spacing w:line="480" w:lineRule="auto"/>
              <w:jc w:val="center"/>
              <w:rPr>
                <w:rFonts w:ascii="Arial" w:eastAsia="Arial" w:hAnsi="Arial" w:cs="Arial"/>
              </w:rPr>
            </w:pPr>
            <w:r>
              <w:rPr>
                <w:rFonts w:ascii="Arial" w:eastAsia="Arial" w:hAnsi="Arial" w:cs="Arial"/>
              </w:rPr>
              <w:t>0.235</w:t>
            </w:r>
          </w:p>
        </w:tc>
        <w:tc>
          <w:tcPr>
            <w:tcW w:w="1734" w:type="dxa"/>
            <w:gridSpan w:val="3"/>
            <w:vAlign w:val="center"/>
          </w:tcPr>
          <w:p w14:paraId="16C65596" w14:textId="77777777" w:rsidR="00F704F3" w:rsidRDefault="00F704F3" w:rsidP="00F73C34">
            <w:pPr>
              <w:spacing w:line="480" w:lineRule="auto"/>
              <w:jc w:val="center"/>
              <w:rPr>
                <w:rFonts w:ascii="Arial" w:eastAsia="Arial" w:hAnsi="Arial" w:cs="Arial"/>
              </w:rPr>
            </w:pPr>
            <w:r>
              <w:rPr>
                <w:rFonts w:ascii="Arial" w:eastAsia="Arial" w:hAnsi="Arial" w:cs="Arial"/>
              </w:rPr>
              <w:t>1.252</w:t>
            </w:r>
          </w:p>
        </w:tc>
      </w:tr>
      <w:tr w:rsidR="00F704F3" w14:paraId="3C544C85" w14:textId="77777777" w:rsidTr="00F73C34">
        <w:tc>
          <w:tcPr>
            <w:tcW w:w="2790" w:type="dxa"/>
          </w:tcPr>
          <w:p w14:paraId="6A26A5FF"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20" w:type="dxa"/>
          </w:tcPr>
          <w:p w14:paraId="67BB09A4" w14:textId="77777777" w:rsidR="00F704F3" w:rsidRDefault="00F704F3" w:rsidP="00F73C34">
            <w:pPr>
              <w:spacing w:line="480" w:lineRule="auto"/>
              <w:jc w:val="center"/>
              <w:rPr>
                <w:rFonts w:ascii="Arial" w:eastAsia="Arial" w:hAnsi="Arial" w:cs="Arial"/>
              </w:rPr>
            </w:pPr>
            <w:r>
              <w:rPr>
                <w:rFonts w:ascii="Arial" w:eastAsia="Arial" w:hAnsi="Arial" w:cs="Arial"/>
              </w:rPr>
              <w:t>68.04 ± 20.19</w:t>
            </w:r>
          </w:p>
        </w:tc>
        <w:tc>
          <w:tcPr>
            <w:tcW w:w="1800" w:type="dxa"/>
          </w:tcPr>
          <w:p w14:paraId="0D6DC8E6" w14:textId="77777777" w:rsidR="00F704F3" w:rsidRDefault="00F704F3" w:rsidP="00F73C34">
            <w:pPr>
              <w:spacing w:line="480" w:lineRule="auto"/>
              <w:jc w:val="center"/>
              <w:rPr>
                <w:rFonts w:ascii="Arial" w:eastAsia="Arial" w:hAnsi="Arial" w:cs="Arial"/>
              </w:rPr>
            </w:pPr>
            <w:r>
              <w:rPr>
                <w:rFonts w:ascii="Arial" w:eastAsia="Arial" w:hAnsi="Arial" w:cs="Arial"/>
              </w:rPr>
              <w:t>53.74 ± 17.51</w:t>
            </w:r>
          </w:p>
        </w:tc>
        <w:tc>
          <w:tcPr>
            <w:tcW w:w="876" w:type="dxa"/>
            <w:vAlign w:val="center"/>
          </w:tcPr>
          <w:p w14:paraId="47C0DDBF"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1734" w:type="dxa"/>
            <w:gridSpan w:val="3"/>
            <w:vAlign w:val="center"/>
          </w:tcPr>
          <w:p w14:paraId="4D07B916" w14:textId="77777777" w:rsidR="00F704F3" w:rsidRDefault="00F704F3" w:rsidP="00F73C34">
            <w:pPr>
              <w:spacing w:line="480" w:lineRule="auto"/>
              <w:jc w:val="center"/>
              <w:rPr>
                <w:rFonts w:ascii="Arial" w:eastAsia="Arial" w:hAnsi="Arial" w:cs="Arial"/>
              </w:rPr>
            </w:pPr>
            <w:r>
              <w:rPr>
                <w:rFonts w:ascii="Arial" w:eastAsia="Arial" w:hAnsi="Arial" w:cs="Arial"/>
              </w:rPr>
              <w:t>3.124</w:t>
            </w:r>
          </w:p>
        </w:tc>
      </w:tr>
      <w:tr w:rsidR="00F704F3" w14:paraId="320A998C" w14:textId="77777777" w:rsidTr="00F73C34">
        <w:tc>
          <w:tcPr>
            <w:tcW w:w="2790" w:type="dxa"/>
          </w:tcPr>
          <w:p w14:paraId="090867C1"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20" w:type="dxa"/>
          </w:tcPr>
          <w:p w14:paraId="22811DFF" w14:textId="77777777" w:rsidR="00F704F3" w:rsidRDefault="00F704F3" w:rsidP="00F73C34">
            <w:pPr>
              <w:spacing w:line="480" w:lineRule="auto"/>
              <w:jc w:val="center"/>
              <w:rPr>
                <w:rFonts w:ascii="Arial" w:eastAsia="Arial" w:hAnsi="Arial" w:cs="Arial"/>
              </w:rPr>
            </w:pPr>
            <w:r>
              <w:rPr>
                <w:rFonts w:ascii="Arial" w:eastAsia="Arial" w:hAnsi="Arial" w:cs="Arial"/>
              </w:rPr>
              <w:t>204.00 ±68.12</w:t>
            </w:r>
          </w:p>
        </w:tc>
        <w:tc>
          <w:tcPr>
            <w:tcW w:w="1800" w:type="dxa"/>
          </w:tcPr>
          <w:p w14:paraId="4E689308" w14:textId="77777777" w:rsidR="00F704F3" w:rsidRDefault="00F704F3" w:rsidP="00F73C34">
            <w:pPr>
              <w:spacing w:line="480" w:lineRule="auto"/>
              <w:jc w:val="center"/>
              <w:rPr>
                <w:rFonts w:ascii="Arial" w:eastAsia="Arial" w:hAnsi="Arial" w:cs="Arial"/>
              </w:rPr>
            </w:pPr>
            <w:r>
              <w:rPr>
                <w:rFonts w:ascii="Arial" w:eastAsia="Arial" w:hAnsi="Arial" w:cs="Arial"/>
              </w:rPr>
              <w:t>216.15 ± 65.58</w:t>
            </w:r>
          </w:p>
        </w:tc>
        <w:tc>
          <w:tcPr>
            <w:tcW w:w="876" w:type="dxa"/>
            <w:vAlign w:val="center"/>
          </w:tcPr>
          <w:p w14:paraId="1CDD7A1E"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1734" w:type="dxa"/>
            <w:gridSpan w:val="3"/>
            <w:vAlign w:val="center"/>
          </w:tcPr>
          <w:p w14:paraId="77A28D10" w14:textId="77777777" w:rsidR="00F704F3" w:rsidRDefault="00F704F3" w:rsidP="00F73C34">
            <w:pPr>
              <w:spacing w:line="480" w:lineRule="auto"/>
              <w:jc w:val="center"/>
              <w:rPr>
                <w:rFonts w:ascii="Arial" w:eastAsia="Arial" w:hAnsi="Arial" w:cs="Arial"/>
              </w:rPr>
            </w:pPr>
            <w:r>
              <w:rPr>
                <w:rFonts w:ascii="Arial" w:eastAsia="Arial" w:hAnsi="Arial" w:cs="Arial"/>
              </w:rPr>
              <w:t>-0.644</w:t>
            </w:r>
          </w:p>
        </w:tc>
      </w:tr>
      <w:tr w:rsidR="00F704F3" w14:paraId="75058A2C" w14:textId="77777777" w:rsidTr="00F73C34">
        <w:tc>
          <w:tcPr>
            <w:tcW w:w="2790" w:type="dxa"/>
          </w:tcPr>
          <w:p w14:paraId="5BB157B7"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20" w:type="dxa"/>
          </w:tcPr>
          <w:p w14:paraId="3D7EE8BD" w14:textId="77777777" w:rsidR="00F704F3" w:rsidRDefault="00F704F3" w:rsidP="00F73C34">
            <w:pPr>
              <w:spacing w:line="480" w:lineRule="auto"/>
              <w:jc w:val="center"/>
              <w:rPr>
                <w:rFonts w:ascii="Arial" w:eastAsia="Arial" w:hAnsi="Arial" w:cs="Arial"/>
              </w:rPr>
            </w:pPr>
            <w:r>
              <w:rPr>
                <w:rFonts w:ascii="Arial" w:eastAsia="Arial" w:hAnsi="Arial" w:cs="Arial"/>
              </w:rPr>
              <w:t>7.57 ± 2.23</w:t>
            </w:r>
          </w:p>
        </w:tc>
        <w:tc>
          <w:tcPr>
            <w:tcW w:w="1800" w:type="dxa"/>
          </w:tcPr>
          <w:p w14:paraId="48B36BA8" w14:textId="77777777" w:rsidR="00F704F3" w:rsidRDefault="00F704F3" w:rsidP="00F73C34">
            <w:pPr>
              <w:spacing w:line="480" w:lineRule="auto"/>
              <w:jc w:val="center"/>
              <w:rPr>
                <w:rFonts w:ascii="Arial" w:eastAsia="Arial" w:hAnsi="Arial" w:cs="Arial"/>
              </w:rPr>
            </w:pPr>
            <w:r>
              <w:rPr>
                <w:rFonts w:ascii="Arial" w:eastAsia="Arial" w:hAnsi="Arial" w:cs="Arial"/>
              </w:rPr>
              <w:t>6.67 ± 2.26</w:t>
            </w:r>
          </w:p>
        </w:tc>
        <w:tc>
          <w:tcPr>
            <w:tcW w:w="876" w:type="dxa"/>
            <w:vAlign w:val="center"/>
          </w:tcPr>
          <w:p w14:paraId="2635F36F" w14:textId="77777777" w:rsidR="00F704F3" w:rsidRDefault="00F704F3" w:rsidP="00F73C34">
            <w:pPr>
              <w:spacing w:line="480" w:lineRule="auto"/>
              <w:jc w:val="center"/>
              <w:rPr>
                <w:rFonts w:ascii="Arial" w:eastAsia="Arial" w:hAnsi="Arial" w:cs="Arial"/>
              </w:rPr>
            </w:pPr>
            <w:r>
              <w:rPr>
                <w:rFonts w:ascii="Arial" w:eastAsia="Arial" w:hAnsi="Arial" w:cs="Arial"/>
              </w:rPr>
              <w:t>0.383</w:t>
            </w:r>
          </w:p>
        </w:tc>
        <w:tc>
          <w:tcPr>
            <w:tcW w:w="1734" w:type="dxa"/>
            <w:gridSpan w:val="3"/>
            <w:vAlign w:val="center"/>
          </w:tcPr>
          <w:p w14:paraId="7EC8B646" w14:textId="77777777" w:rsidR="00F704F3" w:rsidRDefault="00F704F3" w:rsidP="00F73C34">
            <w:pPr>
              <w:spacing w:line="480" w:lineRule="auto"/>
              <w:jc w:val="center"/>
              <w:rPr>
                <w:rFonts w:ascii="Arial" w:eastAsia="Arial" w:hAnsi="Arial" w:cs="Arial"/>
              </w:rPr>
            </w:pPr>
            <w:r>
              <w:rPr>
                <w:rFonts w:ascii="Arial" w:eastAsia="Arial" w:hAnsi="Arial" w:cs="Arial"/>
              </w:rPr>
              <w:t>0.906</w:t>
            </w:r>
          </w:p>
        </w:tc>
      </w:tr>
      <w:tr w:rsidR="00F704F3" w14:paraId="2FD3A477" w14:textId="77777777" w:rsidTr="00F73C34">
        <w:tc>
          <w:tcPr>
            <w:tcW w:w="2790" w:type="dxa"/>
          </w:tcPr>
          <w:p w14:paraId="7092A5CE"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620" w:type="dxa"/>
          </w:tcPr>
          <w:p w14:paraId="44EFB85C" w14:textId="77777777" w:rsidR="00F704F3" w:rsidRDefault="00F704F3" w:rsidP="00F73C34">
            <w:pPr>
              <w:spacing w:line="480" w:lineRule="auto"/>
              <w:jc w:val="center"/>
              <w:rPr>
                <w:rFonts w:ascii="Arial" w:eastAsia="Arial" w:hAnsi="Arial" w:cs="Arial"/>
              </w:rPr>
            </w:pPr>
            <w:r>
              <w:rPr>
                <w:rFonts w:ascii="Arial" w:eastAsia="Arial" w:hAnsi="Arial" w:cs="Arial"/>
              </w:rPr>
              <w:t>63.00 ± 7.65</w:t>
            </w:r>
          </w:p>
        </w:tc>
        <w:tc>
          <w:tcPr>
            <w:tcW w:w="1800" w:type="dxa"/>
          </w:tcPr>
          <w:p w14:paraId="3B808A3F" w14:textId="77777777" w:rsidR="00F704F3" w:rsidRDefault="00F704F3" w:rsidP="00F73C34">
            <w:pPr>
              <w:spacing w:line="480" w:lineRule="auto"/>
              <w:jc w:val="center"/>
              <w:rPr>
                <w:rFonts w:ascii="Arial" w:eastAsia="Arial" w:hAnsi="Arial" w:cs="Arial"/>
              </w:rPr>
            </w:pPr>
            <w:r>
              <w:rPr>
                <w:rFonts w:ascii="Arial" w:eastAsia="Arial" w:hAnsi="Arial" w:cs="Arial"/>
              </w:rPr>
              <w:t>55.69 ± 9.01</w:t>
            </w:r>
          </w:p>
        </w:tc>
        <w:tc>
          <w:tcPr>
            <w:tcW w:w="876" w:type="dxa"/>
            <w:vAlign w:val="center"/>
          </w:tcPr>
          <w:p w14:paraId="4D447125" w14:textId="77777777" w:rsidR="00F704F3" w:rsidRDefault="00F704F3" w:rsidP="00F73C34">
            <w:pPr>
              <w:spacing w:line="480" w:lineRule="auto"/>
              <w:jc w:val="center"/>
              <w:rPr>
                <w:rFonts w:ascii="Arial" w:eastAsia="Arial" w:hAnsi="Arial" w:cs="Arial"/>
              </w:rPr>
            </w:pPr>
            <w:r>
              <w:rPr>
                <w:rFonts w:ascii="Arial" w:eastAsia="Arial" w:hAnsi="Arial" w:cs="Arial"/>
              </w:rPr>
              <w:t>0.031</w:t>
            </w:r>
          </w:p>
        </w:tc>
        <w:tc>
          <w:tcPr>
            <w:tcW w:w="1734" w:type="dxa"/>
            <w:gridSpan w:val="3"/>
            <w:vAlign w:val="center"/>
          </w:tcPr>
          <w:p w14:paraId="55B5859C" w14:textId="77777777" w:rsidR="00F704F3" w:rsidRDefault="00F704F3" w:rsidP="00F73C34">
            <w:pPr>
              <w:spacing w:line="480" w:lineRule="auto"/>
              <w:jc w:val="center"/>
              <w:rPr>
                <w:rFonts w:ascii="Arial" w:eastAsia="Arial" w:hAnsi="Arial" w:cs="Arial"/>
              </w:rPr>
            </w:pPr>
            <w:r>
              <w:rPr>
                <w:rFonts w:ascii="Arial" w:eastAsia="Arial" w:hAnsi="Arial" w:cs="Arial"/>
              </w:rPr>
              <w:t>2.435</w:t>
            </w:r>
          </w:p>
        </w:tc>
      </w:tr>
      <w:tr w:rsidR="00F704F3" w14:paraId="31E30B79" w14:textId="77777777" w:rsidTr="00F73C34">
        <w:tc>
          <w:tcPr>
            <w:tcW w:w="2790" w:type="dxa"/>
          </w:tcPr>
          <w:p w14:paraId="65592732"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20" w:type="dxa"/>
          </w:tcPr>
          <w:p w14:paraId="28418B52" w14:textId="77777777" w:rsidR="00F704F3" w:rsidRDefault="00F704F3" w:rsidP="00F73C34">
            <w:pPr>
              <w:spacing w:line="480" w:lineRule="auto"/>
              <w:jc w:val="center"/>
              <w:rPr>
                <w:rFonts w:ascii="Arial" w:eastAsia="Arial" w:hAnsi="Arial" w:cs="Arial"/>
              </w:rPr>
            </w:pPr>
            <w:r>
              <w:rPr>
                <w:rFonts w:ascii="Arial" w:eastAsia="Arial" w:hAnsi="Arial" w:cs="Arial"/>
              </w:rPr>
              <w:t>32.53 ± 8.42</w:t>
            </w:r>
          </w:p>
        </w:tc>
        <w:tc>
          <w:tcPr>
            <w:tcW w:w="1800" w:type="dxa"/>
          </w:tcPr>
          <w:p w14:paraId="758AA0AD" w14:textId="77777777" w:rsidR="00F704F3" w:rsidRDefault="00F704F3" w:rsidP="00F73C34">
            <w:pPr>
              <w:spacing w:line="480" w:lineRule="auto"/>
              <w:jc w:val="center"/>
              <w:rPr>
                <w:rFonts w:ascii="Arial" w:eastAsia="Arial" w:hAnsi="Arial" w:cs="Arial"/>
              </w:rPr>
            </w:pPr>
            <w:r>
              <w:rPr>
                <w:rFonts w:ascii="Arial" w:eastAsia="Arial" w:hAnsi="Arial" w:cs="Arial"/>
              </w:rPr>
              <w:t>39.61 ± 8.87</w:t>
            </w:r>
          </w:p>
        </w:tc>
        <w:tc>
          <w:tcPr>
            <w:tcW w:w="876" w:type="dxa"/>
            <w:vAlign w:val="center"/>
          </w:tcPr>
          <w:p w14:paraId="62430F85" w14:textId="77777777" w:rsidR="00F704F3" w:rsidRDefault="00F704F3" w:rsidP="00F73C34">
            <w:pPr>
              <w:spacing w:line="480" w:lineRule="auto"/>
              <w:jc w:val="center"/>
              <w:rPr>
                <w:rFonts w:ascii="Arial" w:eastAsia="Arial" w:hAnsi="Arial" w:cs="Arial"/>
              </w:rPr>
            </w:pPr>
            <w:r>
              <w:rPr>
                <w:rFonts w:ascii="Arial" w:eastAsia="Arial" w:hAnsi="Arial" w:cs="Arial"/>
              </w:rPr>
              <w:t>0.018</w:t>
            </w:r>
          </w:p>
        </w:tc>
        <w:tc>
          <w:tcPr>
            <w:tcW w:w="1734" w:type="dxa"/>
            <w:gridSpan w:val="3"/>
            <w:vAlign w:val="center"/>
          </w:tcPr>
          <w:p w14:paraId="41B75921" w14:textId="77777777" w:rsidR="00F704F3" w:rsidRDefault="00F704F3" w:rsidP="00F73C34">
            <w:pPr>
              <w:spacing w:line="480" w:lineRule="auto"/>
              <w:jc w:val="center"/>
              <w:rPr>
                <w:rFonts w:ascii="Arial" w:eastAsia="Arial" w:hAnsi="Arial" w:cs="Arial"/>
              </w:rPr>
            </w:pPr>
            <w:r>
              <w:rPr>
                <w:rFonts w:ascii="Arial" w:eastAsia="Arial" w:hAnsi="Arial" w:cs="Arial"/>
              </w:rPr>
              <w:t>-2.734</w:t>
            </w:r>
          </w:p>
        </w:tc>
      </w:tr>
      <w:tr w:rsidR="00F704F3" w14:paraId="0DB790EF" w14:textId="77777777" w:rsidTr="00F73C34">
        <w:tc>
          <w:tcPr>
            <w:tcW w:w="2790" w:type="dxa"/>
          </w:tcPr>
          <w:p w14:paraId="6E3BFB8B"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20" w:type="dxa"/>
          </w:tcPr>
          <w:p w14:paraId="0E2DF47E" w14:textId="77777777" w:rsidR="00F704F3" w:rsidRDefault="00F704F3" w:rsidP="00F73C34">
            <w:pPr>
              <w:spacing w:line="480" w:lineRule="auto"/>
              <w:jc w:val="center"/>
              <w:rPr>
                <w:rFonts w:ascii="Arial" w:eastAsia="Arial" w:hAnsi="Arial" w:cs="Arial"/>
              </w:rPr>
            </w:pPr>
            <w:r>
              <w:rPr>
                <w:rFonts w:ascii="Arial" w:eastAsia="Arial" w:hAnsi="Arial" w:cs="Arial"/>
              </w:rPr>
              <w:t>2.53 ± 0.88</w:t>
            </w:r>
          </w:p>
        </w:tc>
        <w:tc>
          <w:tcPr>
            <w:tcW w:w="1800" w:type="dxa"/>
          </w:tcPr>
          <w:p w14:paraId="140935F5" w14:textId="77777777" w:rsidR="00F704F3" w:rsidRDefault="00F704F3" w:rsidP="00F73C34">
            <w:pPr>
              <w:spacing w:line="480" w:lineRule="auto"/>
              <w:jc w:val="center"/>
              <w:rPr>
                <w:rFonts w:ascii="Arial" w:eastAsia="Arial" w:hAnsi="Arial" w:cs="Arial"/>
              </w:rPr>
            </w:pPr>
            <w:r>
              <w:rPr>
                <w:rFonts w:ascii="Arial" w:eastAsia="Arial" w:hAnsi="Arial" w:cs="Arial"/>
              </w:rPr>
              <w:t>3.69 ± 2.32</w:t>
            </w:r>
          </w:p>
        </w:tc>
        <w:tc>
          <w:tcPr>
            <w:tcW w:w="876" w:type="dxa"/>
            <w:vAlign w:val="center"/>
          </w:tcPr>
          <w:p w14:paraId="4067A39D" w14:textId="77777777" w:rsidR="00F704F3" w:rsidRDefault="00F704F3" w:rsidP="00F73C34">
            <w:pPr>
              <w:spacing w:line="480" w:lineRule="auto"/>
              <w:jc w:val="center"/>
              <w:rPr>
                <w:rFonts w:ascii="Arial" w:eastAsia="Arial" w:hAnsi="Arial" w:cs="Arial"/>
              </w:rPr>
            </w:pPr>
            <w:r>
              <w:rPr>
                <w:rFonts w:ascii="Arial" w:eastAsia="Arial" w:hAnsi="Arial" w:cs="Arial"/>
              </w:rPr>
              <w:t>0.110</w:t>
            </w:r>
          </w:p>
        </w:tc>
        <w:tc>
          <w:tcPr>
            <w:tcW w:w="1734" w:type="dxa"/>
            <w:gridSpan w:val="3"/>
            <w:vAlign w:val="center"/>
          </w:tcPr>
          <w:p w14:paraId="62FC8CEF" w14:textId="77777777" w:rsidR="00F704F3" w:rsidRDefault="00F704F3" w:rsidP="00F73C34">
            <w:pPr>
              <w:spacing w:line="480" w:lineRule="auto"/>
              <w:jc w:val="center"/>
              <w:rPr>
                <w:rFonts w:ascii="Arial" w:eastAsia="Arial" w:hAnsi="Arial" w:cs="Arial"/>
              </w:rPr>
            </w:pPr>
            <w:r>
              <w:rPr>
                <w:rFonts w:ascii="Arial" w:eastAsia="Arial" w:hAnsi="Arial" w:cs="Arial"/>
              </w:rPr>
              <w:t>-1.726</w:t>
            </w:r>
          </w:p>
        </w:tc>
      </w:tr>
      <w:tr w:rsidR="00F704F3" w14:paraId="6C962401" w14:textId="77777777" w:rsidTr="00F73C34">
        <w:tc>
          <w:tcPr>
            <w:tcW w:w="2790" w:type="dxa"/>
          </w:tcPr>
          <w:p w14:paraId="563FC7B6"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20" w:type="dxa"/>
          </w:tcPr>
          <w:p w14:paraId="67DD755E" w14:textId="77777777" w:rsidR="00F704F3" w:rsidRDefault="00F704F3" w:rsidP="00F73C34">
            <w:pPr>
              <w:spacing w:line="480" w:lineRule="auto"/>
              <w:jc w:val="center"/>
              <w:rPr>
                <w:rFonts w:ascii="Arial" w:eastAsia="Arial" w:hAnsi="Arial" w:cs="Arial"/>
              </w:rPr>
            </w:pPr>
            <w:r>
              <w:rPr>
                <w:rFonts w:ascii="Arial" w:eastAsia="Arial" w:hAnsi="Arial" w:cs="Arial"/>
              </w:rPr>
              <w:t>1.84 ± 0.25</w:t>
            </w:r>
          </w:p>
        </w:tc>
        <w:tc>
          <w:tcPr>
            <w:tcW w:w="1800" w:type="dxa"/>
          </w:tcPr>
          <w:p w14:paraId="35EC98B3" w14:textId="77777777" w:rsidR="00F704F3" w:rsidRDefault="00F704F3" w:rsidP="00F73C34">
            <w:pPr>
              <w:spacing w:line="480" w:lineRule="auto"/>
              <w:jc w:val="center"/>
              <w:rPr>
                <w:rFonts w:ascii="Arial" w:eastAsia="Arial" w:hAnsi="Arial" w:cs="Arial"/>
              </w:rPr>
            </w:pPr>
            <w:r>
              <w:rPr>
                <w:rFonts w:ascii="Arial" w:eastAsia="Arial" w:hAnsi="Arial" w:cs="Arial"/>
              </w:rPr>
              <w:t>1.07 ± 1.49</w:t>
            </w:r>
          </w:p>
        </w:tc>
        <w:tc>
          <w:tcPr>
            <w:tcW w:w="876" w:type="dxa"/>
            <w:vAlign w:val="center"/>
          </w:tcPr>
          <w:p w14:paraId="50AAE70A" w14:textId="77777777" w:rsidR="00F704F3" w:rsidRDefault="00F704F3" w:rsidP="00F73C34">
            <w:pPr>
              <w:spacing w:line="480" w:lineRule="auto"/>
              <w:jc w:val="center"/>
              <w:rPr>
                <w:rFonts w:ascii="Arial" w:eastAsia="Arial" w:hAnsi="Arial" w:cs="Arial"/>
              </w:rPr>
            </w:pPr>
            <w:r>
              <w:rPr>
                <w:rFonts w:ascii="Arial" w:eastAsia="Arial" w:hAnsi="Arial" w:cs="Arial"/>
              </w:rPr>
              <w:t>0.156</w:t>
            </w:r>
          </w:p>
        </w:tc>
        <w:tc>
          <w:tcPr>
            <w:tcW w:w="1734" w:type="dxa"/>
            <w:gridSpan w:val="3"/>
            <w:vAlign w:val="center"/>
          </w:tcPr>
          <w:p w14:paraId="476E4692" w14:textId="77777777" w:rsidR="00F704F3" w:rsidRDefault="00F704F3" w:rsidP="00F73C34">
            <w:pPr>
              <w:spacing w:line="480" w:lineRule="auto"/>
              <w:jc w:val="center"/>
              <w:rPr>
                <w:rFonts w:ascii="Arial" w:eastAsia="Arial" w:hAnsi="Arial" w:cs="Arial"/>
              </w:rPr>
            </w:pPr>
            <w:r>
              <w:rPr>
                <w:rFonts w:ascii="Arial" w:eastAsia="Arial" w:hAnsi="Arial" w:cs="Arial"/>
              </w:rPr>
              <w:t>1.513</w:t>
            </w:r>
          </w:p>
        </w:tc>
      </w:tr>
    </w:tbl>
    <w:p w14:paraId="56F039D1" w14:textId="0BA9FCAC" w:rsidR="00F704F3" w:rsidRPr="0034256B" w:rsidRDefault="00F704F3" w:rsidP="00F704F3">
      <w:pPr>
        <w:spacing w:line="480" w:lineRule="auto"/>
        <w:jc w:val="both"/>
        <w:rPr>
          <w:rFonts w:ascii="Arial" w:eastAsia="Arial" w:hAnsi="Arial" w:cs="Arial"/>
          <w:i/>
          <w:sz w:val="18"/>
          <w:szCs w:val="18"/>
        </w:rPr>
      </w:pPr>
      <w:r w:rsidRPr="0034256B">
        <w:rPr>
          <w:rFonts w:ascii="Arial" w:eastAsia="Arial" w:hAnsi="Arial" w:cs="Arial"/>
          <w:sz w:val="18"/>
          <w:szCs w:val="18"/>
        </w:rPr>
        <w:t>Baseline</w:t>
      </w:r>
      <w:r w:rsidRPr="0034256B">
        <w:rPr>
          <w:rFonts w:ascii="Arial" w:eastAsia="Arial" w:hAnsi="Arial" w:cs="Arial"/>
          <w:i/>
          <w:sz w:val="18"/>
          <w:szCs w:val="18"/>
        </w:rPr>
        <w:t xml:space="preserve">: Result </w:t>
      </w:r>
      <w:proofErr w:type="spellStart"/>
      <w:r w:rsidRPr="0034256B">
        <w:rPr>
          <w:rFonts w:ascii="Arial" w:eastAsia="Arial" w:hAnsi="Arial" w:cs="Arial"/>
          <w:i/>
          <w:sz w:val="18"/>
          <w:szCs w:val="18"/>
        </w:rPr>
        <w:t>haemoglobin</w:t>
      </w:r>
      <w:proofErr w:type="spellEnd"/>
      <w:r w:rsidRPr="0034256B">
        <w:rPr>
          <w:rFonts w:ascii="Arial" w:eastAsia="Arial" w:hAnsi="Arial" w:cs="Arial"/>
          <w:i/>
          <w:sz w:val="18"/>
          <w:szCs w:val="18"/>
        </w:rPr>
        <w:t xml:space="preserve"> other blood parameters before taking MMS, End result: Result </w:t>
      </w:r>
      <w:proofErr w:type="spellStart"/>
      <w:r w:rsidRPr="0034256B">
        <w:rPr>
          <w:rFonts w:ascii="Arial" w:eastAsia="Arial" w:hAnsi="Arial" w:cs="Arial"/>
          <w:i/>
          <w:sz w:val="18"/>
          <w:szCs w:val="18"/>
        </w:rPr>
        <w:t>haemoglobin</w:t>
      </w:r>
      <w:proofErr w:type="spellEnd"/>
      <w:r w:rsidRPr="0034256B">
        <w:rPr>
          <w:rFonts w:ascii="Arial" w:eastAsia="Arial" w:hAnsi="Arial" w:cs="Arial"/>
          <w:i/>
          <w:sz w:val="18"/>
          <w:szCs w:val="18"/>
        </w:rPr>
        <w:t xml:space="preserve"> other blood parameters after taking MMS for 3 months </w:t>
      </w:r>
      <w:r w:rsidRPr="0034256B">
        <w:rPr>
          <w:rFonts w:ascii="Arial" w:eastAsia="Arial" w:hAnsi="Arial" w:cs="Arial"/>
          <w:sz w:val="18"/>
          <w:szCs w:val="18"/>
        </w:rPr>
        <w:t xml:space="preserve">MD = mean difference; t-value = t-test value; </w:t>
      </w:r>
      <w:r w:rsidRPr="0034256B">
        <w:rPr>
          <w:rFonts w:ascii="Arial" w:eastAsia="Arial" w:hAnsi="Arial" w:cs="Arial"/>
          <w:i/>
          <w:sz w:val="18"/>
          <w:szCs w:val="18"/>
        </w:rPr>
        <w:t xml:space="preserve">P-Value: </w:t>
      </w:r>
      <w:r w:rsidR="0034256B">
        <w:rPr>
          <w:rFonts w:ascii="Arial" w:eastAsia="Arial" w:hAnsi="Arial" w:cs="Arial"/>
          <w:i/>
          <w:sz w:val="18"/>
          <w:szCs w:val="18"/>
        </w:rPr>
        <w:t>Significance level *P=0.05, **P=</w:t>
      </w:r>
      <w:r w:rsidRPr="0034256B">
        <w:rPr>
          <w:rFonts w:ascii="Arial" w:eastAsia="Arial" w:hAnsi="Arial" w:cs="Arial"/>
          <w:i/>
          <w:sz w:val="18"/>
          <w:szCs w:val="18"/>
        </w:rPr>
        <w:t>0.001</w:t>
      </w:r>
    </w:p>
    <w:p w14:paraId="58E6DFB7"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i/>
          <w:sz w:val="22"/>
          <w:szCs w:val="22"/>
        </w:rPr>
        <w:t xml:space="preserve"> </w:t>
      </w:r>
      <w:r>
        <w:rPr>
          <w:rFonts w:ascii="Arial" w:eastAsia="Arial" w:hAnsi="Arial" w:cs="Arial"/>
          <w:b/>
          <w:sz w:val="22"/>
          <w:szCs w:val="22"/>
        </w:rPr>
        <w:t>3.4 Hemoglobin and Blood Parameters in Control group</w:t>
      </w:r>
    </w:p>
    <w:p w14:paraId="2C2152B0" w14:textId="77777777" w:rsidR="00F704F3" w:rsidRDefault="00F704F3" w:rsidP="00F704F3">
      <w:pPr>
        <w:spacing w:line="480" w:lineRule="auto"/>
        <w:jc w:val="both"/>
        <w:rPr>
          <w:rFonts w:ascii="Arial" w:eastAsia="Arial" w:hAnsi="Arial" w:cs="Arial"/>
        </w:rPr>
      </w:pPr>
      <w:r>
        <w:rPr>
          <w:rFonts w:ascii="Arial" w:eastAsia="Arial" w:hAnsi="Arial" w:cs="Arial"/>
        </w:rPr>
        <w:t xml:space="preserve">Assessing the control group, Table 4 showed that, participants who received no supplementation, exhibited increases in ferritin </w:t>
      </w:r>
      <w:r>
        <w:rPr>
          <w:rFonts w:ascii="Arial" w:eastAsia="Arial" w:hAnsi="Arial" w:cs="Arial"/>
          <w:i/>
        </w:rPr>
        <w:t>P</w:t>
      </w:r>
      <w:r>
        <w:rPr>
          <w:rFonts w:ascii="Arial" w:eastAsia="Arial" w:hAnsi="Arial" w:cs="Arial"/>
        </w:rPr>
        <w:t xml:space="preserve">=.009 and lymphocytes, possibly due to natural physiological changes or unmeasured dietary improvements. However, the lack of improvement in Hb or RBC highlights the importance of supplementation for maintaining optimal iron status during pregnancy </w:t>
      </w:r>
      <w:r>
        <w:rPr>
          <w:rFonts w:ascii="Arial" w:eastAsia="Arial" w:hAnsi="Arial" w:cs="Arial"/>
          <w:color w:val="1C1C1C"/>
          <w:highlight w:val="white"/>
        </w:rPr>
        <w:t>(World Health Organization, 2016</w:t>
      </w:r>
      <w:proofErr w:type="gramStart"/>
      <w:r>
        <w:rPr>
          <w:rFonts w:ascii="Arial" w:eastAsia="Arial" w:hAnsi="Arial" w:cs="Arial"/>
          <w:color w:val="1C1C1C"/>
          <w:highlight w:val="white"/>
        </w:rPr>
        <w:t>)</w:t>
      </w:r>
      <w:r>
        <w:rPr>
          <w:rFonts w:ascii="Arial" w:eastAsia="Arial" w:hAnsi="Arial" w:cs="Arial"/>
        </w:rPr>
        <w:t>.</w:t>
      </w:r>
      <w:commentRangeStart w:id="5"/>
      <w:r>
        <w:rPr>
          <w:rFonts w:ascii="Arial" w:eastAsia="Arial" w:hAnsi="Arial" w:cs="Arial"/>
        </w:rPr>
        <w:t>results</w:t>
      </w:r>
      <w:commentRangeEnd w:id="5"/>
      <w:proofErr w:type="gramEnd"/>
      <w:r w:rsidR="00897296">
        <w:rPr>
          <w:rStyle w:val="CommentReference"/>
          <w:rFonts w:ascii="Times New Roman" w:hAnsi="Times New Roman"/>
          <w:lang w:val="nb-NO" w:eastAsia="nb-NO"/>
        </w:rPr>
        <w:commentReference w:id="5"/>
      </w:r>
      <w:r>
        <w:rPr>
          <w:rFonts w:ascii="Arial" w:eastAsia="Arial" w:hAnsi="Arial" w:cs="Arial"/>
        </w:rPr>
        <w:t xml:space="preserve"> also indicate that baseline ferritin levels were significantly lower in the control group than in the intervention arms, suggesting depleted iron stores prior to intervention. </w:t>
      </w:r>
    </w:p>
    <w:p w14:paraId="156DF04C" w14:textId="77777777" w:rsidR="00F704F3" w:rsidRDefault="00F704F3" w:rsidP="00F704F3">
      <w:pPr>
        <w:spacing w:line="480" w:lineRule="auto"/>
        <w:jc w:val="both"/>
        <w:rPr>
          <w:rFonts w:ascii="Arial" w:eastAsia="Arial" w:hAnsi="Arial" w:cs="Arial"/>
          <w:b/>
        </w:rPr>
      </w:pPr>
      <w:r>
        <w:rPr>
          <w:rFonts w:ascii="Arial" w:eastAsia="Arial" w:hAnsi="Arial" w:cs="Arial"/>
          <w:b/>
        </w:rPr>
        <w:t>Table 4. Hemoglobin and Blood Parameters in Control group</w:t>
      </w:r>
    </w:p>
    <w:tbl>
      <w:tblPr>
        <w:tblW w:w="8100" w:type="dxa"/>
        <w:tblLayout w:type="fixed"/>
        <w:tblLook w:val="0400" w:firstRow="0" w:lastRow="0" w:firstColumn="0" w:lastColumn="0" w:noHBand="0" w:noVBand="1"/>
      </w:tblPr>
      <w:tblGrid>
        <w:gridCol w:w="2430"/>
        <w:gridCol w:w="270"/>
        <w:gridCol w:w="1710"/>
        <w:gridCol w:w="270"/>
        <w:gridCol w:w="1440"/>
        <w:gridCol w:w="990"/>
        <w:gridCol w:w="180"/>
        <w:gridCol w:w="810"/>
      </w:tblGrid>
      <w:tr w:rsidR="00F704F3" w14:paraId="6640A924" w14:textId="77777777" w:rsidTr="00F73C34">
        <w:trPr>
          <w:trHeight w:val="645"/>
        </w:trPr>
        <w:tc>
          <w:tcPr>
            <w:tcW w:w="2430" w:type="dxa"/>
            <w:tcBorders>
              <w:top w:val="single" w:sz="8" w:space="0" w:color="000000"/>
              <w:left w:val="nil"/>
              <w:bottom w:val="single" w:sz="8" w:space="0" w:color="000000"/>
              <w:right w:val="nil"/>
            </w:tcBorders>
            <w:vAlign w:val="center"/>
          </w:tcPr>
          <w:p w14:paraId="35A85C97"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2250" w:type="dxa"/>
            <w:gridSpan w:val="3"/>
            <w:tcBorders>
              <w:top w:val="single" w:sz="8" w:space="0" w:color="000000"/>
              <w:left w:val="nil"/>
              <w:bottom w:val="single" w:sz="8" w:space="0" w:color="000000"/>
              <w:right w:val="nil"/>
            </w:tcBorders>
            <w:vAlign w:val="center"/>
          </w:tcPr>
          <w:p w14:paraId="16F4E38D"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4BCA51C4"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440" w:type="dxa"/>
            <w:tcBorders>
              <w:top w:val="single" w:sz="8" w:space="0" w:color="000000"/>
              <w:left w:val="nil"/>
              <w:bottom w:val="single" w:sz="8" w:space="0" w:color="000000"/>
              <w:right w:val="nil"/>
            </w:tcBorders>
            <w:vAlign w:val="center"/>
          </w:tcPr>
          <w:p w14:paraId="2BAFB93A"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w:t>
            </w:r>
          </w:p>
          <w:p w14:paraId="0F61A490" w14:textId="77777777" w:rsidR="00F704F3" w:rsidRDefault="00F704F3" w:rsidP="00F73C34">
            <w:pPr>
              <w:spacing w:line="480" w:lineRule="auto"/>
              <w:jc w:val="center"/>
              <w:rPr>
                <w:rFonts w:ascii="Arial" w:eastAsia="Arial" w:hAnsi="Arial" w:cs="Arial"/>
                <w:b/>
              </w:rPr>
            </w:pPr>
            <w:r>
              <w:rPr>
                <w:rFonts w:ascii="Arial" w:eastAsia="Arial" w:hAnsi="Arial" w:cs="Arial"/>
                <w:b/>
              </w:rPr>
              <w:t>(3 month)</w:t>
            </w:r>
          </w:p>
        </w:tc>
        <w:tc>
          <w:tcPr>
            <w:tcW w:w="1170" w:type="dxa"/>
            <w:gridSpan w:val="2"/>
            <w:tcBorders>
              <w:top w:val="single" w:sz="8" w:space="0" w:color="000000"/>
              <w:left w:val="nil"/>
              <w:bottom w:val="single" w:sz="8" w:space="0" w:color="000000"/>
              <w:right w:val="nil"/>
            </w:tcBorders>
            <w:vAlign w:val="center"/>
          </w:tcPr>
          <w:p w14:paraId="2FF2EE86"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810" w:type="dxa"/>
            <w:tcBorders>
              <w:top w:val="single" w:sz="8" w:space="0" w:color="000000"/>
              <w:left w:val="nil"/>
              <w:bottom w:val="single" w:sz="8" w:space="0" w:color="000000"/>
              <w:right w:val="nil"/>
            </w:tcBorders>
            <w:vAlign w:val="center"/>
          </w:tcPr>
          <w:p w14:paraId="15B545BA"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292EB7CB" w14:textId="77777777" w:rsidTr="00F73C34">
        <w:trPr>
          <w:trHeight w:val="411"/>
        </w:trPr>
        <w:tc>
          <w:tcPr>
            <w:tcW w:w="2700" w:type="dxa"/>
            <w:gridSpan w:val="2"/>
            <w:tcBorders>
              <w:top w:val="nil"/>
              <w:left w:val="nil"/>
              <w:bottom w:val="nil"/>
              <w:right w:val="nil"/>
            </w:tcBorders>
          </w:tcPr>
          <w:p w14:paraId="59A5A93C"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lastRenderedPageBreak/>
              <w:t xml:space="preserve">Packed cell volume (%) </w:t>
            </w:r>
          </w:p>
        </w:tc>
        <w:tc>
          <w:tcPr>
            <w:tcW w:w="1710" w:type="dxa"/>
            <w:tcBorders>
              <w:top w:val="nil"/>
              <w:left w:val="nil"/>
              <w:bottom w:val="nil"/>
              <w:right w:val="nil"/>
            </w:tcBorders>
            <w:vAlign w:val="center"/>
          </w:tcPr>
          <w:p w14:paraId="435A56DC" w14:textId="77777777" w:rsidR="00F704F3" w:rsidRDefault="00F704F3" w:rsidP="00F73C34">
            <w:pPr>
              <w:spacing w:line="480" w:lineRule="auto"/>
              <w:jc w:val="center"/>
              <w:rPr>
                <w:rFonts w:ascii="Arial" w:eastAsia="Arial" w:hAnsi="Arial" w:cs="Arial"/>
              </w:rPr>
            </w:pPr>
            <w:r>
              <w:rPr>
                <w:rFonts w:ascii="Arial" w:eastAsia="Arial" w:hAnsi="Arial" w:cs="Arial"/>
              </w:rPr>
              <w:t>32.30 ± 4.72</w:t>
            </w:r>
          </w:p>
        </w:tc>
        <w:tc>
          <w:tcPr>
            <w:tcW w:w="1710" w:type="dxa"/>
            <w:gridSpan w:val="2"/>
            <w:tcBorders>
              <w:top w:val="nil"/>
              <w:left w:val="nil"/>
              <w:bottom w:val="nil"/>
              <w:right w:val="nil"/>
            </w:tcBorders>
            <w:vAlign w:val="center"/>
          </w:tcPr>
          <w:p w14:paraId="7BC31D9F" w14:textId="77777777" w:rsidR="00F704F3" w:rsidRDefault="00F704F3" w:rsidP="00F73C34">
            <w:pPr>
              <w:spacing w:line="480" w:lineRule="auto"/>
              <w:jc w:val="center"/>
              <w:rPr>
                <w:rFonts w:ascii="Arial" w:eastAsia="Arial" w:hAnsi="Arial" w:cs="Arial"/>
              </w:rPr>
            </w:pPr>
            <w:r>
              <w:rPr>
                <w:rFonts w:ascii="Arial" w:eastAsia="Arial" w:hAnsi="Arial" w:cs="Arial"/>
              </w:rPr>
              <w:t>31.69 ± 2.85</w:t>
            </w:r>
          </w:p>
        </w:tc>
        <w:tc>
          <w:tcPr>
            <w:tcW w:w="990" w:type="dxa"/>
            <w:tcBorders>
              <w:top w:val="nil"/>
              <w:left w:val="nil"/>
              <w:bottom w:val="nil"/>
              <w:right w:val="nil"/>
            </w:tcBorders>
            <w:vAlign w:val="center"/>
          </w:tcPr>
          <w:p w14:paraId="07544597" w14:textId="77777777" w:rsidR="00F704F3" w:rsidRDefault="00F704F3" w:rsidP="00F73C34">
            <w:pPr>
              <w:spacing w:line="480" w:lineRule="auto"/>
              <w:jc w:val="center"/>
              <w:rPr>
                <w:rFonts w:ascii="Arial" w:eastAsia="Arial" w:hAnsi="Arial" w:cs="Arial"/>
              </w:rPr>
            </w:pPr>
            <w:r>
              <w:rPr>
                <w:rFonts w:ascii="Arial" w:eastAsia="Arial" w:hAnsi="Arial" w:cs="Arial"/>
              </w:rPr>
              <w:t>0.626</w:t>
            </w:r>
          </w:p>
        </w:tc>
        <w:tc>
          <w:tcPr>
            <w:tcW w:w="990" w:type="dxa"/>
            <w:gridSpan w:val="2"/>
            <w:tcBorders>
              <w:top w:val="nil"/>
              <w:left w:val="nil"/>
              <w:bottom w:val="nil"/>
              <w:right w:val="nil"/>
            </w:tcBorders>
            <w:vAlign w:val="center"/>
          </w:tcPr>
          <w:p w14:paraId="46FE69D4" w14:textId="77777777" w:rsidR="00F704F3" w:rsidRDefault="00F704F3" w:rsidP="00F73C34">
            <w:pPr>
              <w:spacing w:line="480" w:lineRule="auto"/>
              <w:jc w:val="center"/>
              <w:rPr>
                <w:rFonts w:ascii="Arial" w:eastAsia="Arial" w:hAnsi="Arial" w:cs="Arial"/>
              </w:rPr>
            </w:pPr>
            <w:r>
              <w:rPr>
                <w:rFonts w:ascii="Arial" w:eastAsia="Arial" w:hAnsi="Arial" w:cs="Arial"/>
              </w:rPr>
              <w:t>-0.504</w:t>
            </w:r>
          </w:p>
        </w:tc>
      </w:tr>
      <w:tr w:rsidR="00F704F3" w14:paraId="420FAAC6" w14:textId="77777777" w:rsidTr="00F73C34">
        <w:trPr>
          <w:trHeight w:val="188"/>
        </w:trPr>
        <w:tc>
          <w:tcPr>
            <w:tcW w:w="2700" w:type="dxa"/>
            <w:gridSpan w:val="2"/>
            <w:tcBorders>
              <w:top w:val="nil"/>
              <w:left w:val="nil"/>
              <w:bottom w:val="nil"/>
              <w:right w:val="nil"/>
            </w:tcBorders>
          </w:tcPr>
          <w:p w14:paraId="004DAF0E" w14:textId="77777777" w:rsidR="00F704F3" w:rsidRPr="00711671" w:rsidRDefault="00F704F3" w:rsidP="00F73C34">
            <w:pPr>
              <w:spacing w:line="480" w:lineRule="auto"/>
              <w:rPr>
                <w:rFonts w:ascii="Arial" w:eastAsia="Arial" w:hAnsi="Arial" w:cs="Arial"/>
                <w:b/>
              </w:rPr>
            </w:pPr>
            <w:proofErr w:type="spellStart"/>
            <w:proofErr w:type="gramStart"/>
            <w:r w:rsidRPr="00711671">
              <w:rPr>
                <w:rFonts w:ascii="Arial" w:eastAsia="Arial" w:hAnsi="Arial" w:cs="Arial"/>
                <w:b/>
              </w:rPr>
              <w:t>Haemoglobin</w:t>
            </w:r>
            <w:proofErr w:type="spellEnd"/>
            <w:r w:rsidRPr="00711671">
              <w:rPr>
                <w:rFonts w:ascii="Arial" w:eastAsia="Arial" w:hAnsi="Arial" w:cs="Arial"/>
                <w:b/>
              </w:rPr>
              <w:t xml:space="preserve">  (</w:t>
            </w:r>
            <w:proofErr w:type="gramEnd"/>
            <w:r w:rsidRPr="00711671">
              <w:rPr>
                <w:rFonts w:ascii="Arial" w:eastAsia="Arial" w:hAnsi="Arial" w:cs="Arial"/>
                <w:b/>
              </w:rPr>
              <w:t xml:space="preserve">g/dL) </w:t>
            </w:r>
          </w:p>
        </w:tc>
        <w:tc>
          <w:tcPr>
            <w:tcW w:w="1710" w:type="dxa"/>
            <w:tcBorders>
              <w:top w:val="nil"/>
              <w:left w:val="nil"/>
              <w:bottom w:val="nil"/>
              <w:right w:val="nil"/>
            </w:tcBorders>
            <w:vAlign w:val="center"/>
          </w:tcPr>
          <w:p w14:paraId="3F416A6D" w14:textId="77777777" w:rsidR="00F704F3" w:rsidRDefault="00F704F3" w:rsidP="00F73C34">
            <w:pPr>
              <w:spacing w:line="480" w:lineRule="auto"/>
              <w:jc w:val="center"/>
              <w:rPr>
                <w:rFonts w:ascii="Arial" w:eastAsia="Arial" w:hAnsi="Arial" w:cs="Arial"/>
              </w:rPr>
            </w:pPr>
            <w:r>
              <w:rPr>
                <w:rFonts w:ascii="Arial" w:eastAsia="Arial" w:hAnsi="Arial" w:cs="Arial"/>
              </w:rPr>
              <w:t>10.80 ± 1.50</w:t>
            </w:r>
          </w:p>
        </w:tc>
        <w:tc>
          <w:tcPr>
            <w:tcW w:w="1710" w:type="dxa"/>
            <w:gridSpan w:val="2"/>
            <w:tcBorders>
              <w:top w:val="nil"/>
              <w:left w:val="nil"/>
              <w:bottom w:val="nil"/>
              <w:right w:val="nil"/>
            </w:tcBorders>
            <w:vAlign w:val="center"/>
          </w:tcPr>
          <w:p w14:paraId="4B9CB63C" w14:textId="77777777" w:rsidR="00F704F3" w:rsidRDefault="00F704F3" w:rsidP="00F73C34">
            <w:pPr>
              <w:spacing w:line="480" w:lineRule="auto"/>
              <w:jc w:val="center"/>
              <w:rPr>
                <w:rFonts w:ascii="Arial" w:eastAsia="Arial" w:hAnsi="Arial" w:cs="Arial"/>
              </w:rPr>
            </w:pPr>
            <w:r>
              <w:rPr>
                <w:rFonts w:ascii="Arial" w:eastAsia="Arial" w:hAnsi="Arial" w:cs="Arial"/>
              </w:rPr>
              <w:t>10.85 ± 0.95</w:t>
            </w:r>
          </w:p>
        </w:tc>
        <w:tc>
          <w:tcPr>
            <w:tcW w:w="990" w:type="dxa"/>
            <w:tcBorders>
              <w:top w:val="nil"/>
              <w:left w:val="nil"/>
              <w:bottom w:val="nil"/>
              <w:right w:val="nil"/>
            </w:tcBorders>
            <w:vAlign w:val="center"/>
          </w:tcPr>
          <w:p w14:paraId="5607ED78" w14:textId="77777777" w:rsidR="00F704F3" w:rsidRDefault="00F704F3" w:rsidP="00F73C34">
            <w:pPr>
              <w:spacing w:line="480" w:lineRule="auto"/>
              <w:jc w:val="center"/>
              <w:rPr>
                <w:rFonts w:ascii="Arial" w:eastAsia="Arial" w:hAnsi="Arial" w:cs="Arial"/>
              </w:rPr>
            </w:pPr>
            <w:r>
              <w:rPr>
                <w:rFonts w:ascii="Arial" w:eastAsia="Arial" w:hAnsi="Arial" w:cs="Arial"/>
              </w:rPr>
              <w:t>0.883</w:t>
            </w:r>
          </w:p>
        </w:tc>
        <w:tc>
          <w:tcPr>
            <w:tcW w:w="990" w:type="dxa"/>
            <w:gridSpan w:val="2"/>
            <w:tcBorders>
              <w:top w:val="nil"/>
              <w:left w:val="nil"/>
              <w:bottom w:val="nil"/>
              <w:right w:val="nil"/>
            </w:tcBorders>
            <w:vAlign w:val="center"/>
          </w:tcPr>
          <w:p w14:paraId="092DEDFD" w14:textId="77777777" w:rsidR="00F704F3" w:rsidRDefault="00F704F3" w:rsidP="00F73C34">
            <w:pPr>
              <w:spacing w:line="480" w:lineRule="auto"/>
              <w:jc w:val="center"/>
              <w:rPr>
                <w:rFonts w:ascii="Arial" w:eastAsia="Arial" w:hAnsi="Arial" w:cs="Arial"/>
              </w:rPr>
            </w:pPr>
            <w:r>
              <w:rPr>
                <w:rFonts w:ascii="Arial" w:eastAsia="Arial" w:hAnsi="Arial" w:cs="Arial"/>
              </w:rPr>
              <w:t>-0.151</w:t>
            </w:r>
          </w:p>
        </w:tc>
      </w:tr>
      <w:tr w:rsidR="00F704F3" w14:paraId="0A039062" w14:textId="77777777" w:rsidTr="00F73C34">
        <w:trPr>
          <w:trHeight w:val="440"/>
        </w:trPr>
        <w:tc>
          <w:tcPr>
            <w:tcW w:w="2700" w:type="dxa"/>
            <w:gridSpan w:val="2"/>
            <w:tcBorders>
              <w:top w:val="nil"/>
              <w:left w:val="nil"/>
              <w:bottom w:val="nil"/>
              <w:right w:val="nil"/>
            </w:tcBorders>
          </w:tcPr>
          <w:p w14:paraId="6E1739A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Red blood cell (×10^12/L) </w:t>
            </w:r>
          </w:p>
        </w:tc>
        <w:tc>
          <w:tcPr>
            <w:tcW w:w="1710" w:type="dxa"/>
            <w:tcBorders>
              <w:top w:val="nil"/>
              <w:left w:val="nil"/>
              <w:bottom w:val="nil"/>
              <w:right w:val="nil"/>
            </w:tcBorders>
            <w:vAlign w:val="center"/>
          </w:tcPr>
          <w:p w14:paraId="0C0CBA8E" w14:textId="77777777" w:rsidR="00F704F3" w:rsidRDefault="00F704F3" w:rsidP="00F73C34">
            <w:pPr>
              <w:spacing w:line="480" w:lineRule="auto"/>
              <w:jc w:val="center"/>
              <w:rPr>
                <w:rFonts w:ascii="Arial" w:eastAsia="Arial" w:hAnsi="Arial" w:cs="Arial"/>
              </w:rPr>
            </w:pPr>
            <w:r>
              <w:rPr>
                <w:rFonts w:ascii="Arial" w:eastAsia="Arial" w:hAnsi="Arial" w:cs="Arial"/>
              </w:rPr>
              <w:t>4.30 ± 0.66</w:t>
            </w:r>
          </w:p>
        </w:tc>
        <w:tc>
          <w:tcPr>
            <w:tcW w:w="1710" w:type="dxa"/>
            <w:gridSpan w:val="2"/>
            <w:tcBorders>
              <w:top w:val="nil"/>
              <w:left w:val="nil"/>
              <w:bottom w:val="nil"/>
              <w:right w:val="nil"/>
            </w:tcBorders>
            <w:vAlign w:val="center"/>
          </w:tcPr>
          <w:p w14:paraId="5F5D9441" w14:textId="77777777" w:rsidR="00F704F3" w:rsidRDefault="00F704F3" w:rsidP="00F73C34">
            <w:pPr>
              <w:spacing w:line="480" w:lineRule="auto"/>
              <w:jc w:val="center"/>
              <w:rPr>
                <w:rFonts w:ascii="Arial" w:eastAsia="Arial" w:hAnsi="Arial" w:cs="Arial"/>
              </w:rPr>
            </w:pPr>
            <w:r>
              <w:rPr>
                <w:rFonts w:ascii="Arial" w:eastAsia="Arial" w:hAnsi="Arial" w:cs="Arial"/>
              </w:rPr>
              <w:t>4.19 ± 0.50</w:t>
            </w:r>
          </w:p>
        </w:tc>
        <w:tc>
          <w:tcPr>
            <w:tcW w:w="990" w:type="dxa"/>
            <w:tcBorders>
              <w:top w:val="nil"/>
              <w:left w:val="nil"/>
              <w:bottom w:val="nil"/>
              <w:right w:val="nil"/>
            </w:tcBorders>
            <w:vAlign w:val="center"/>
          </w:tcPr>
          <w:p w14:paraId="240D6412" w14:textId="77777777" w:rsidR="00F704F3" w:rsidRDefault="00F704F3" w:rsidP="00F73C34">
            <w:pPr>
              <w:spacing w:line="480" w:lineRule="auto"/>
              <w:jc w:val="center"/>
              <w:rPr>
                <w:rFonts w:ascii="Arial" w:eastAsia="Arial" w:hAnsi="Arial" w:cs="Arial"/>
              </w:rPr>
            </w:pPr>
            <w:r>
              <w:rPr>
                <w:rFonts w:ascii="Arial" w:eastAsia="Arial" w:hAnsi="Arial" w:cs="Arial"/>
              </w:rPr>
              <w:t>0.565</w:t>
            </w:r>
          </w:p>
        </w:tc>
        <w:tc>
          <w:tcPr>
            <w:tcW w:w="990" w:type="dxa"/>
            <w:gridSpan w:val="2"/>
            <w:tcBorders>
              <w:top w:val="nil"/>
              <w:left w:val="nil"/>
              <w:bottom w:val="nil"/>
              <w:right w:val="nil"/>
            </w:tcBorders>
            <w:vAlign w:val="center"/>
          </w:tcPr>
          <w:p w14:paraId="30C4D3F1" w14:textId="77777777" w:rsidR="00F704F3" w:rsidRDefault="00F704F3" w:rsidP="00F73C34">
            <w:pPr>
              <w:spacing w:line="480" w:lineRule="auto"/>
              <w:jc w:val="center"/>
              <w:rPr>
                <w:rFonts w:ascii="Arial" w:eastAsia="Arial" w:hAnsi="Arial" w:cs="Arial"/>
              </w:rPr>
            </w:pPr>
            <w:r>
              <w:rPr>
                <w:rFonts w:ascii="Arial" w:eastAsia="Arial" w:hAnsi="Arial" w:cs="Arial"/>
              </w:rPr>
              <w:t>0.598</w:t>
            </w:r>
          </w:p>
        </w:tc>
      </w:tr>
      <w:tr w:rsidR="00F704F3" w14:paraId="16F0CD05" w14:textId="77777777" w:rsidTr="00F73C34">
        <w:trPr>
          <w:trHeight w:val="368"/>
        </w:trPr>
        <w:tc>
          <w:tcPr>
            <w:tcW w:w="2700" w:type="dxa"/>
            <w:gridSpan w:val="2"/>
            <w:tcBorders>
              <w:top w:val="nil"/>
              <w:left w:val="nil"/>
              <w:bottom w:val="nil"/>
              <w:right w:val="nil"/>
            </w:tcBorders>
          </w:tcPr>
          <w:p w14:paraId="45C6AC2F"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Mean cell volume (</w:t>
            </w:r>
            <w:proofErr w:type="spellStart"/>
            <w:r w:rsidRPr="00711671">
              <w:rPr>
                <w:rFonts w:ascii="Arial" w:eastAsia="Arial" w:hAnsi="Arial" w:cs="Arial"/>
                <w:b/>
              </w:rPr>
              <w:t>fL</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71C863D5" w14:textId="77777777" w:rsidR="00F704F3" w:rsidRDefault="00F704F3" w:rsidP="00F73C34">
            <w:pPr>
              <w:spacing w:line="480" w:lineRule="auto"/>
              <w:jc w:val="center"/>
              <w:rPr>
                <w:rFonts w:ascii="Arial" w:eastAsia="Arial" w:hAnsi="Arial" w:cs="Arial"/>
              </w:rPr>
            </w:pPr>
            <w:r>
              <w:rPr>
                <w:rFonts w:ascii="Arial" w:eastAsia="Arial" w:hAnsi="Arial" w:cs="Arial"/>
              </w:rPr>
              <w:t>81.80 ± 5.83</w:t>
            </w:r>
          </w:p>
        </w:tc>
        <w:tc>
          <w:tcPr>
            <w:tcW w:w="1710" w:type="dxa"/>
            <w:gridSpan w:val="2"/>
            <w:tcBorders>
              <w:top w:val="nil"/>
              <w:left w:val="nil"/>
              <w:bottom w:val="nil"/>
              <w:right w:val="nil"/>
            </w:tcBorders>
            <w:vAlign w:val="center"/>
          </w:tcPr>
          <w:p w14:paraId="2FAADDA3" w14:textId="77777777" w:rsidR="00F704F3" w:rsidRDefault="00F704F3" w:rsidP="00F73C34">
            <w:pPr>
              <w:spacing w:line="480" w:lineRule="auto"/>
              <w:jc w:val="center"/>
              <w:rPr>
                <w:rFonts w:ascii="Arial" w:eastAsia="Arial" w:hAnsi="Arial" w:cs="Arial"/>
              </w:rPr>
            </w:pPr>
            <w:r>
              <w:rPr>
                <w:rFonts w:ascii="Arial" w:eastAsia="Arial" w:hAnsi="Arial" w:cs="Arial"/>
              </w:rPr>
              <w:t>78.90 ± 5.40</w:t>
            </w:r>
          </w:p>
        </w:tc>
        <w:tc>
          <w:tcPr>
            <w:tcW w:w="990" w:type="dxa"/>
            <w:tcBorders>
              <w:top w:val="nil"/>
              <w:left w:val="nil"/>
              <w:bottom w:val="nil"/>
              <w:right w:val="nil"/>
            </w:tcBorders>
            <w:vAlign w:val="center"/>
          </w:tcPr>
          <w:p w14:paraId="49058869" w14:textId="77777777" w:rsidR="00F704F3" w:rsidRDefault="00F704F3" w:rsidP="00F73C34">
            <w:pPr>
              <w:spacing w:line="480" w:lineRule="auto"/>
              <w:jc w:val="center"/>
              <w:rPr>
                <w:rFonts w:ascii="Arial" w:eastAsia="Arial" w:hAnsi="Arial" w:cs="Arial"/>
              </w:rPr>
            </w:pPr>
            <w:r>
              <w:rPr>
                <w:rFonts w:ascii="Arial" w:eastAsia="Arial" w:hAnsi="Arial" w:cs="Arial"/>
              </w:rPr>
              <w:t>0.209</w:t>
            </w:r>
          </w:p>
        </w:tc>
        <w:tc>
          <w:tcPr>
            <w:tcW w:w="990" w:type="dxa"/>
            <w:gridSpan w:val="2"/>
            <w:tcBorders>
              <w:top w:val="nil"/>
              <w:left w:val="nil"/>
              <w:bottom w:val="nil"/>
              <w:right w:val="nil"/>
            </w:tcBorders>
            <w:vAlign w:val="center"/>
          </w:tcPr>
          <w:p w14:paraId="744F07F2" w14:textId="77777777" w:rsidR="00F704F3" w:rsidRDefault="00F704F3" w:rsidP="00F73C34">
            <w:pPr>
              <w:spacing w:line="480" w:lineRule="auto"/>
              <w:jc w:val="center"/>
              <w:rPr>
                <w:rFonts w:ascii="Arial" w:eastAsia="Arial" w:hAnsi="Arial" w:cs="Arial"/>
              </w:rPr>
            </w:pPr>
            <w:r>
              <w:rPr>
                <w:rFonts w:ascii="Arial" w:eastAsia="Arial" w:hAnsi="Arial" w:cs="Arial"/>
              </w:rPr>
              <w:t>10.354</w:t>
            </w:r>
          </w:p>
        </w:tc>
      </w:tr>
      <w:tr w:rsidR="00F704F3" w14:paraId="6656E0C1" w14:textId="77777777" w:rsidTr="00F73C34">
        <w:trPr>
          <w:trHeight w:val="288"/>
        </w:trPr>
        <w:tc>
          <w:tcPr>
            <w:tcW w:w="2700" w:type="dxa"/>
            <w:gridSpan w:val="2"/>
            <w:tcBorders>
              <w:top w:val="nil"/>
              <w:left w:val="nil"/>
              <w:bottom w:val="nil"/>
              <w:right w:val="nil"/>
            </w:tcBorders>
          </w:tcPr>
          <w:p w14:paraId="2EF60745"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Pr="00711671">
              <w:rPr>
                <w:rFonts w:ascii="Arial" w:eastAsia="Arial" w:hAnsi="Arial" w:cs="Arial"/>
                <w:b/>
              </w:rPr>
              <w:t>haemoglobin</w:t>
            </w:r>
            <w:proofErr w:type="spellEnd"/>
            <w:r w:rsidRPr="00711671">
              <w:rPr>
                <w:rFonts w:ascii="Arial" w:eastAsia="Arial" w:hAnsi="Arial" w:cs="Arial"/>
                <w:b/>
              </w:rPr>
              <w:t xml:space="preserve"> (</w:t>
            </w:r>
            <w:proofErr w:type="spellStart"/>
            <w:r w:rsidRPr="00711671">
              <w:rPr>
                <w:rFonts w:ascii="Arial" w:eastAsia="Arial" w:hAnsi="Arial" w:cs="Arial"/>
                <w:b/>
              </w:rPr>
              <w:t>pg</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2F819C5D" w14:textId="77777777" w:rsidR="00F704F3" w:rsidRDefault="00F704F3" w:rsidP="00F73C34">
            <w:pPr>
              <w:spacing w:line="480" w:lineRule="auto"/>
              <w:jc w:val="center"/>
              <w:rPr>
                <w:rFonts w:ascii="Arial" w:eastAsia="Arial" w:hAnsi="Arial" w:cs="Arial"/>
              </w:rPr>
            </w:pPr>
            <w:r>
              <w:rPr>
                <w:rFonts w:ascii="Arial" w:eastAsia="Arial" w:hAnsi="Arial" w:cs="Arial"/>
              </w:rPr>
              <w:t>24.60 ± 3.13</w:t>
            </w:r>
          </w:p>
        </w:tc>
        <w:tc>
          <w:tcPr>
            <w:tcW w:w="1710" w:type="dxa"/>
            <w:gridSpan w:val="2"/>
            <w:tcBorders>
              <w:top w:val="nil"/>
              <w:left w:val="nil"/>
              <w:bottom w:val="nil"/>
              <w:right w:val="nil"/>
            </w:tcBorders>
            <w:vAlign w:val="center"/>
          </w:tcPr>
          <w:p w14:paraId="1A585B67" w14:textId="77777777" w:rsidR="00F704F3" w:rsidRDefault="00F704F3" w:rsidP="00F73C34">
            <w:pPr>
              <w:spacing w:line="480" w:lineRule="auto"/>
              <w:jc w:val="center"/>
              <w:rPr>
                <w:rFonts w:ascii="Arial" w:eastAsia="Arial" w:hAnsi="Arial" w:cs="Arial"/>
              </w:rPr>
            </w:pPr>
            <w:r>
              <w:rPr>
                <w:rFonts w:ascii="Arial" w:eastAsia="Arial" w:hAnsi="Arial" w:cs="Arial"/>
              </w:rPr>
              <w:t>22.50 ± 2.50</w:t>
            </w:r>
          </w:p>
        </w:tc>
        <w:tc>
          <w:tcPr>
            <w:tcW w:w="990" w:type="dxa"/>
            <w:tcBorders>
              <w:top w:val="nil"/>
              <w:left w:val="nil"/>
              <w:bottom w:val="nil"/>
              <w:right w:val="nil"/>
            </w:tcBorders>
            <w:vAlign w:val="center"/>
          </w:tcPr>
          <w:p w14:paraId="4AB73A10" w14:textId="77777777" w:rsidR="00F704F3" w:rsidRDefault="00F704F3" w:rsidP="00F73C34">
            <w:pPr>
              <w:spacing w:line="480" w:lineRule="auto"/>
              <w:jc w:val="center"/>
              <w:rPr>
                <w:rFonts w:ascii="Arial" w:eastAsia="Arial" w:hAnsi="Arial" w:cs="Arial"/>
              </w:rPr>
            </w:pPr>
            <w:r>
              <w:rPr>
                <w:rFonts w:ascii="Arial" w:eastAsia="Arial" w:hAnsi="Arial" w:cs="Arial"/>
              </w:rPr>
              <w:t>0.128</w:t>
            </w:r>
          </w:p>
        </w:tc>
        <w:tc>
          <w:tcPr>
            <w:tcW w:w="990" w:type="dxa"/>
            <w:gridSpan w:val="2"/>
            <w:tcBorders>
              <w:top w:val="nil"/>
              <w:left w:val="nil"/>
              <w:bottom w:val="nil"/>
              <w:right w:val="nil"/>
            </w:tcBorders>
            <w:vAlign w:val="center"/>
          </w:tcPr>
          <w:p w14:paraId="723B41C4" w14:textId="77777777" w:rsidR="00F704F3" w:rsidRDefault="00F704F3" w:rsidP="00F73C34">
            <w:pPr>
              <w:spacing w:line="480" w:lineRule="auto"/>
              <w:jc w:val="center"/>
              <w:rPr>
                <w:rFonts w:ascii="Arial" w:eastAsia="Arial" w:hAnsi="Arial" w:cs="Arial"/>
              </w:rPr>
            </w:pPr>
            <w:r>
              <w:rPr>
                <w:rFonts w:ascii="Arial" w:eastAsia="Arial" w:hAnsi="Arial" w:cs="Arial"/>
              </w:rPr>
              <w:t>10.678</w:t>
            </w:r>
          </w:p>
        </w:tc>
      </w:tr>
      <w:tr w:rsidR="00F704F3" w14:paraId="3788399F" w14:textId="77777777" w:rsidTr="00F73C34">
        <w:trPr>
          <w:trHeight w:val="540"/>
        </w:trPr>
        <w:tc>
          <w:tcPr>
            <w:tcW w:w="2700" w:type="dxa"/>
            <w:gridSpan w:val="2"/>
            <w:tcBorders>
              <w:top w:val="nil"/>
              <w:left w:val="nil"/>
              <w:bottom w:val="nil"/>
              <w:right w:val="nil"/>
            </w:tcBorders>
          </w:tcPr>
          <w:p w14:paraId="2DF94353"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Pr="00711671">
              <w:rPr>
                <w:rFonts w:ascii="Arial" w:eastAsia="Arial" w:hAnsi="Arial" w:cs="Arial"/>
                <w:b/>
              </w:rPr>
              <w:t>haemoglobin</w:t>
            </w:r>
            <w:proofErr w:type="spellEnd"/>
            <w:r w:rsidRPr="00711671">
              <w:rPr>
                <w:rFonts w:ascii="Arial" w:eastAsia="Arial" w:hAnsi="Arial" w:cs="Arial"/>
                <w:b/>
              </w:rPr>
              <w:t xml:space="preserve"> </w:t>
            </w:r>
          </w:p>
          <w:p w14:paraId="4E98A09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Concentration (g/dL) </w:t>
            </w:r>
          </w:p>
        </w:tc>
        <w:tc>
          <w:tcPr>
            <w:tcW w:w="1710" w:type="dxa"/>
            <w:tcBorders>
              <w:top w:val="nil"/>
              <w:left w:val="nil"/>
              <w:bottom w:val="nil"/>
              <w:right w:val="nil"/>
            </w:tcBorders>
            <w:vAlign w:val="center"/>
          </w:tcPr>
          <w:p w14:paraId="5056A297" w14:textId="77777777" w:rsidR="00F704F3" w:rsidRDefault="00F704F3" w:rsidP="00F73C34">
            <w:pPr>
              <w:spacing w:line="480" w:lineRule="auto"/>
              <w:jc w:val="center"/>
              <w:rPr>
                <w:rFonts w:ascii="Arial" w:eastAsia="Arial" w:hAnsi="Arial" w:cs="Arial"/>
              </w:rPr>
            </w:pPr>
            <w:r>
              <w:rPr>
                <w:rFonts w:ascii="Arial" w:eastAsia="Arial" w:hAnsi="Arial" w:cs="Arial"/>
              </w:rPr>
              <w:t>30.60 ± 1.07</w:t>
            </w:r>
          </w:p>
        </w:tc>
        <w:tc>
          <w:tcPr>
            <w:tcW w:w="1710" w:type="dxa"/>
            <w:gridSpan w:val="2"/>
            <w:tcBorders>
              <w:top w:val="nil"/>
              <w:left w:val="nil"/>
              <w:bottom w:val="nil"/>
              <w:right w:val="nil"/>
            </w:tcBorders>
            <w:vAlign w:val="center"/>
          </w:tcPr>
          <w:p w14:paraId="26A868DA" w14:textId="77777777" w:rsidR="00F704F3" w:rsidRDefault="00F704F3" w:rsidP="00F73C34">
            <w:pPr>
              <w:spacing w:line="480" w:lineRule="auto"/>
              <w:jc w:val="center"/>
              <w:rPr>
                <w:rFonts w:ascii="Arial" w:eastAsia="Arial" w:hAnsi="Arial" w:cs="Arial"/>
              </w:rPr>
            </w:pPr>
            <w:r>
              <w:rPr>
                <w:rFonts w:ascii="Arial" w:eastAsia="Arial" w:hAnsi="Arial" w:cs="Arial"/>
              </w:rPr>
              <w:t>30.60 ± 1.26</w:t>
            </w:r>
          </w:p>
        </w:tc>
        <w:tc>
          <w:tcPr>
            <w:tcW w:w="990" w:type="dxa"/>
            <w:tcBorders>
              <w:top w:val="nil"/>
              <w:left w:val="nil"/>
              <w:bottom w:val="nil"/>
              <w:right w:val="nil"/>
            </w:tcBorders>
            <w:vAlign w:val="center"/>
          </w:tcPr>
          <w:p w14:paraId="25CB3F8D" w14:textId="77777777" w:rsidR="00F704F3" w:rsidRDefault="00F704F3" w:rsidP="00F73C34">
            <w:pPr>
              <w:spacing w:line="480" w:lineRule="auto"/>
              <w:jc w:val="center"/>
              <w:rPr>
                <w:rFonts w:ascii="Arial" w:eastAsia="Arial" w:hAnsi="Arial" w:cs="Arial"/>
              </w:rPr>
            </w:pPr>
            <w:r>
              <w:rPr>
                <w:rFonts w:ascii="Arial" w:eastAsia="Arial" w:hAnsi="Arial" w:cs="Arial"/>
              </w:rPr>
              <w:t>10</w:t>
            </w:r>
          </w:p>
        </w:tc>
        <w:tc>
          <w:tcPr>
            <w:tcW w:w="990" w:type="dxa"/>
            <w:gridSpan w:val="2"/>
            <w:tcBorders>
              <w:top w:val="nil"/>
              <w:left w:val="nil"/>
              <w:bottom w:val="nil"/>
              <w:right w:val="nil"/>
            </w:tcBorders>
            <w:vAlign w:val="center"/>
          </w:tcPr>
          <w:p w14:paraId="0151BB39" w14:textId="77777777" w:rsidR="00F704F3" w:rsidRDefault="00F704F3" w:rsidP="00F73C34">
            <w:pPr>
              <w:spacing w:line="480" w:lineRule="auto"/>
              <w:jc w:val="center"/>
              <w:rPr>
                <w:rFonts w:ascii="Arial" w:eastAsia="Arial" w:hAnsi="Arial" w:cs="Arial"/>
              </w:rPr>
            </w:pPr>
            <w:r>
              <w:rPr>
                <w:rFonts w:ascii="Arial" w:eastAsia="Arial" w:hAnsi="Arial" w:cs="Arial"/>
              </w:rPr>
              <w:t>0</w:t>
            </w:r>
          </w:p>
        </w:tc>
      </w:tr>
      <w:tr w:rsidR="00F704F3" w14:paraId="55E53B08" w14:textId="77777777" w:rsidTr="00F73C34">
        <w:trPr>
          <w:trHeight w:val="359"/>
        </w:trPr>
        <w:tc>
          <w:tcPr>
            <w:tcW w:w="2700" w:type="dxa"/>
            <w:gridSpan w:val="2"/>
            <w:tcBorders>
              <w:top w:val="nil"/>
              <w:left w:val="nil"/>
              <w:bottom w:val="nil"/>
              <w:right w:val="nil"/>
            </w:tcBorders>
          </w:tcPr>
          <w:p w14:paraId="0017604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Ferritin</w:t>
            </w:r>
          </w:p>
        </w:tc>
        <w:tc>
          <w:tcPr>
            <w:tcW w:w="1710" w:type="dxa"/>
            <w:tcBorders>
              <w:top w:val="nil"/>
              <w:left w:val="nil"/>
              <w:bottom w:val="nil"/>
              <w:right w:val="nil"/>
            </w:tcBorders>
            <w:vAlign w:val="center"/>
          </w:tcPr>
          <w:p w14:paraId="1BD56F18" w14:textId="77777777" w:rsidR="00F704F3" w:rsidRDefault="00F704F3" w:rsidP="00F73C34">
            <w:pPr>
              <w:spacing w:line="480" w:lineRule="auto"/>
              <w:jc w:val="center"/>
              <w:rPr>
                <w:rFonts w:ascii="Arial" w:eastAsia="Arial" w:hAnsi="Arial" w:cs="Arial"/>
              </w:rPr>
            </w:pPr>
            <w:r>
              <w:rPr>
                <w:rFonts w:ascii="Arial" w:eastAsia="Arial" w:hAnsi="Arial" w:cs="Arial"/>
              </w:rPr>
              <w:t>30.89 ± 6.47</w:t>
            </w:r>
          </w:p>
        </w:tc>
        <w:tc>
          <w:tcPr>
            <w:tcW w:w="1710" w:type="dxa"/>
            <w:gridSpan w:val="2"/>
            <w:tcBorders>
              <w:top w:val="nil"/>
              <w:left w:val="nil"/>
              <w:bottom w:val="nil"/>
              <w:right w:val="nil"/>
            </w:tcBorders>
            <w:vAlign w:val="center"/>
          </w:tcPr>
          <w:p w14:paraId="6613A364" w14:textId="77777777" w:rsidR="00F704F3" w:rsidRDefault="00F704F3" w:rsidP="00F73C34">
            <w:pPr>
              <w:spacing w:line="480" w:lineRule="auto"/>
              <w:jc w:val="center"/>
              <w:rPr>
                <w:rFonts w:ascii="Arial" w:eastAsia="Arial" w:hAnsi="Arial" w:cs="Arial"/>
              </w:rPr>
            </w:pPr>
            <w:r>
              <w:rPr>
                <w:rFonts w:ascii="Arial" w:eastAsia="Arial" w:hAnsi="Arial" w:cs="Arial"/>
              </w:rPr>
              <w:t>67.07 ± 29.88</w:t>
            </w:r>
          </w:p>
        </w:tc>
        <w:tc>
          <w:tcPr>
            <w:tcW w:w="990" w:type="dxa"/>
            <w:tcBorders>
              <w:top w:val="nil"/>
              <w:left w:val="nil"/>
              <w:bottom w:val="nil"/>
              <w:right w:val="nil"/>
            </w:tcBorders>
            <w:vAlign w:val="center"/>
          </w:tcPr>
          <w:p w14:paraId="1A70193C"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990" w:type="dxa"/>
            <w:gridSpan w:val="2"/>
            <w:tcBorders>
              <w:top w:val="nil"/>
              <w:left w:val="nil"/>
              <w:bottom w:val="nil"/>
              <w:right w:val="nil"/>
            </w:tcBorders>
            <w:vAlign w:val="center"/>
          </w:tcPr>
          <w:p w14:paraId="5984C778" w14:textId="77777777" w:rsidR="00F704F3" w:rsidRDefault="00F704F3" w:rsidP="00F73C34">
            <w:pPr>
              <w:spacing w:line="480" w:lineRule="auto"/>
              <w:jc w:val="center"/>
              <w:rPr>
                <w:rFonts w:ascii="Arial" w:eastAsia="Arial" w:hAnsi="Arial" w:cs="Arial"/>
              </w:rPr>
            </w:pPr>
            <w:r>
              <w:rPr>
                <w:rFonts w:ascii="Arial" w:eastAsia="Arial" w:hAnsi="Arial" w:cs="Arial"/>
              </w:rPr>
              <w:t>-30.323</w:t>
            </w:r>
          </w:p>
        </w:tc>
      </w:tr>
      <w:tr w:rsidR="00F704F3" w14:paraId="34FED9EB" w14:textId="77777777" w:rsidTr="00F73C34">
        <w:trPr>
          <w:trHeight w:val="359"/>
        </w:trPr>
        <w:tc>
          <w:tcPr>
            <w:tcW w:w="2700" w:type="dxa"/>
            <w:gridSpan w:val="2"/>
            <w:tcBorders>
              <w:top w:val="nil"/>
              <w:left w:val="nil"/>
              <w:bottom w:val="nil"/>
              <w:right w:val="nil"/>
            </w:tcBorders>
          </w:tcPr>
          <w:p w14:paraId="5616861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Serum iron(µg/dL) </w:t>
            </w:r>
          </w:p>
        </w:tc>
        <w:tc>
          <w:tcPr>
            <w:tcW w:w="1710" w:type="dxa"/>
            <w:tcBorders>
              <w:top w:val="nil"/>
              <w:left w:val="nil"/>
              <w:bottom w:val="nil"/>
              <w:right w:val="nil"/>
            </w:tcBorders>
            <w:vAlign w:val="center"/>
          </w:tcPr>
          <w:p w14:paraId="3922CE36" w14:textId="77777777" w:rsidR="00F704F3" w:rsidRDefault="00F704F3" w:rsidP="00F73C34">
            <w:pPr>
              <w:spacing w:line="480" w:lineRule="auto"/>
              <w:jc w:val="center"/>
              <w:rPr>
                <w:rFonts w:ascii="Arial" w:eastAsia="Arial" w:hAnsi="Arial" w:cs="Arial"/>
              </w:rPr>
            </w:pPr>
            <w:r>
              <w:rPr>
                <w:rFonts w:ascii="Arial" w:eastAsia="Arial" w:hAnsi="Arial" w:cs="Arial"/>
              </w:rPr>
              <w:t>58.12 ± 9.43</w:t>
            </w:r>
          </w:p>
        </w:tc>
        <w:tc>
          <w:tcPr>
            <w:tcW w:w="1710" w:type="dxa"/>
            <w:gridSpan w:val="2"/>
            <w:tcBorders>
              <w:top w:val="nil"/>
              <w:left w:val="nil"/>
              <w:bottom w:val="nil"/>
              <w:right w:val="nil"/>
            </w:tcBorders>
            <w:vAlign w:val="center"/>
          </w:tcPr>
          <w:p w14:paraId="074DCDC1" w14:textId="77777777" w:rsidR="00F704F3" w:rsidRDefault="00F704F3" w:rsidP="00F73C34">
            <w:pPr>
              <w:spacing w:line="480" w:lineRule="auto"/>
              <w:jc w:val="center"/>
              <w:rPr>
                <w:rFonts w:ascii="Arial" w:eastAsia="Arial" w:hAnsi="Arial" w:cs="Arial"/>
              </w:rPr>
            </w:pPr>
            <w:r>
              <w:rPr>
                <w:rFonts w:ascii="Arial" w:eastAsia="Arial" w:hAnsi="Arial" w:cs="Arial"/>
              </w:rPr>
              <w:t>61.22 ± 18.70</w:t>
            </w:r>
          </w:p>
        </w:tc>
        <w:tc>
          <w:tcPr>
            <w:tcW w:w="990" w:type="dxa"/>
            <w:tcBorders>
              <w:top w:val="nil"/>
              <w:left w:val="nil"/>
              <w:bottom w:val="nil"/>
              <w:right w:val="nil"/>
            </w:tcBorders>
            <w:vAlign w:val="center"/>
          </w:tcPr>
          <w:p w14:paraId="4EDB1A50" w14:textId="77777777" w:rsidR="00F704F3" w:rsidRDefault="00F704F3" w:rsidP="00F73C34">
            <w:pPr>
              <w:spacing w:line="480" w:lineRule="auto"/>
              <w:jc w:val="center"/>
              <w:rPr>
                <w:rFonts w:ascii="Arial" w:eastAsia="Arial" w:hAnsi="Arial" w:cs="Arial"/>
              </w:rPr>
            </w:pPr>
            <w:r>
              <w:rPr>
                <w:rFonts w:ascii="Arial" w:eastAsia="Arial" w:hAnsi="Arial" w:cs="Arial"/>
              </w:rPr>
              <w:t>0.56</w:t>
            </w:r>
          </w:p>
        </w:tc>
        <w:tc>
          <w:tcPr>
            <w:tcW w:w="990" w:type="dxa"/>
            <w:gridSpan w:val="2"/>
            <w:tcBorders>
              <w:top w:val="nil"/>
              <w:left w:val="nil"/>
              <w:bottom w:val="nil"/>
              <w:right w:val="nil"/>
            </w:tcBorders>
            <w:vAlign w:val="center"/>
          </w:tcPr>
          <w:p w14:paraId="468D478E" w14:textId="77777777" w:rsidR="00F704F3" w:rsidRDefault="00F704F3" w:rsidP="00F73C34">
            <w:pPr>
              <w:spacing w:line="480" w:lineRule="auto"/>
              <w:jc w:val="center"/>
              <w:rPr>
                <w:rFonts w:ascii="Arial" w:eastAsia="Arial" w:hAnsi="Arial" w:cs="Arial"/>
              </w:rPr>
            </w:pPr>
            <w:r>
              <w:rPr>
                <w:rFonts w:ascii="Arial" w:eastAsia="Arial" w:hAnsi="Arial" w:cs="Arial"/>
              </w:rPr>
              <w:t>-0.606</w:t>
            </w:r>
          </w:p>
        </w:tc>
      </w:tr>
      <w:tr w:rsidR="00F704F3" w14:paraId="686C48BD" w14:textId="77777777" w:rsidTr="00F73C34">
        <w:trPr>
          <w:trHeight w:val="449"/>
        </w:trPr>
        <w:tc>
          <w:tcPr>
            <w:tcW w:w="2700" w:type="dxa"/>
            <w:gridSpan w:val="2"/>
            <w:tcBorders>
              <w:top w:val="nil"/>
              <w:left w:val="nil"/>
              <w:bottom w:val="nil"/>
              <w:right w:val="nil"/>
            </w:tcBorders>
          </w:tcPr>
          <w:p w14:paraId="2FFAE337"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platelet count(×10^9/L)</w:t>
            </w:r>
          </w:p>
        </w:tc>
        <w:tc>
          <w:tcPr>
            <w:tcW w:w="1710" w:type="dxa"/>
            <w:tcBorders>
              <w:top w:val="nil"/>
              <w:left w:val="nil"/>
              <w:bottom w:val="nil"/>
              <w:right w:val="nil"/>
            </w:tcBorders>
            <w:vAlign w:val="center"/>
          </w:tcPr>
          <w:p w14:paraId="46EB7C76" w14:textId="77777777" w:rsidR="00F704F3" w:rsidRDefault="00F704F3" w:rsidP="00F73C34">
            <w:pPr>
              <w:spacing w:line="480" w:lineRule="auto"/>
              <w:jc w:val="center"/>
              <w:rPr>
                <w:rFonts w:ascii="Arial" w:eastAsia="Arial" w:hAnsi="Arial" w:cs="Arial"/>
              </w:rPr>
            </w:pPr>
            <w:r>
              <w:rPr>
                <w:rFonts w:ascii="Arial" w:eastAsia="Arial" w:hAnsi="Arial" w:cs="Arial"/>
              </w:rPr>
              <w:t>218.40 ± 101.72</w:t>
            </w:r>
          </w:p>
        </w:tc>
        <w:tc>
          <w:tcPr>
            <w:tcW w:w="1710" w:type="dxa"/>
            <w:gridSpan w:val="2"/>
            <w:tcBorders>
              <w:top w:val="nil"/>
              <w:left w:val="nil"/>
              <w:bottom w:val="nil"/>
              <w:right w:val="nil"/>
            </w:tcBorders>
            <w:vAlign w:val="center"/>
          </w:tcPr>
          <w:p w14:paraId="53129FA5" w14:textId="77777777" w:rsidR="00F704F3" w:rsidRDefault="00F704F3" w:rsidP="00F73C34">
            <w:pPr>
              <w:spacing w:line="480" w:lineRule="auto"/>
              <w:jc w:val="center"/>
              <w:rPr>
                <w:rFonts w:ascii="Arial" w:eastAsia="Arial" w:hAnsi="Arial" w:cs="Arial"/>
              </w:rPr>
            </w:pPr>
            <w:r>
              <w:rPr>
                <w:rFonts w:ascii="Arial" w:eastAsia="Arial" w:hAnsi="Arial" w:cs="Arial"/>
              </w:rPr>
              <w:t>241.30 ± 49.33</w:t>
            </w:r>
          </w:p>
        </w:tc>
        <w:tc>
          <w:tcPr>
            <w:tcW w:w="990" w:type="dxa"/>
            <w:tcBorders>
              <w:top w:val="nil"/>
              <w:left w:val="nil"/>
              <w:bottom w:val="nil"/>
              <w:right w:val="nil"/>
            </w:tcBorders>
            <w:vAlign w:val="center"/>
          </w:tcPr>
          <w:p w14:paraId="0C83628C" w14:textId="77777777" w:rsidR="00F704F3" w:rsidRDefault="00F704F3" w:rsidP="00F73C34">
            <w:pPr>
              <w:spacing w:line="480" w:lineRule="auto"/>
              <w:jc w:val="center"/>
              <w:rPr>
                <w:rFonts w:ascii="Arial" w:eastAsia="Arial" w:hAnsi="Arial" w:cs="Arial"/>
              </w:rPr>
            </w:pPr>
            <w:r>
              <w:rPr>
                <w:rFonts w:ascii="Arial" w:eastAsia="Arial" w:hAnsi="Arial" w:cs="Arial"/>
              </w:rPr>
              <w:t>0.491</w:t>
            </w:r>
          </w:p>
        </w:tc>
        <w:tc>
          <w:tcPr>
            <w:tcW w:w="990" w:type="dxa"/>
            <w:gridSpan w:val="2"/>
            <w:tcBorders>
              <w:top w:val="nil"/>
              <w:left w:val="nil"/>
              <w:bottom w:val="nil"/>
              <w:right w:val="nil"/>
            </w:tcBorders>
            <w:vAlign w:val="center"/>
          </w:tcPr>
          <w:p w14:paraId="27685407" w14:textId="77777777" w:rsidR="00F704F3" w:rsidRDefault="00F704F3" w:rsidP="00F73C34">
            <w:pPr>
              <w:spacing w:line="480" w:lineRule="auto"/>
              <w:jc w:val="center"/>
              <w:rPr>
                <w:rFonts w:ascii="Arial" w:eastAsia="Arial" w:hAnsi="Arial" w:cs="Arial"/>
              </w:rPr>
            </w:pPr>
            <w:r>
              <w:rPr>
                <w:rFonts w:ascii="Arial" w:eastAsia="Arial" w:hAnsi="Arial" w:cs="Arial"/>
              </w:rPr>
              <w:t>-0.718</w:t>
            </w:r>
          </w:p>
        </w:tc>
      </w:tr>
      <w:tr w:rsidR="00F704F3" w14:paraId="725E0676" w14:textId="77777777" w:rsidTr="00F73C34">
        <w:trPr>
          <w:trHeight w:val="368"/>
        </w:trPr>
        <w:tc>
          <w:tcPr>
            <w:tcW w:w="2700" w:type="dxa"/>
            <w:gridSpan w:val="2"/>
            <w:tcBorders>
              <w:top w:val="nil"/>
              <w:left w:val="nil"/>
              <w:bottom w:val="nil"/>
              <w:right w:val="nil"/>
            </w:tcBorders>
          </w:tcPr>
          <w:p w14:paraId="1D2F5D58"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White blood cell(×10^9/L)</w:t>
            </w:r>
          </w:p>
        </w:tc>
        <w:tc>
          <w:tcPr>
            <w:tcW w:w="1710" w:type="dxa"/>
            <w:tcBorders>
              <w:top w:val="nil"/>
              <w:left w:val="nil"/>
              <w:bottom w:val="nil"/>
              <w:right w:val="nil"/>
            </w:tcBorders>
            <w:vAlign w:val="center"/>
          </w:tcPr>
          <w:p w14:paraId="3D1CB4E9" w14:textId="77777777" w:rsidR="00F704F3" w:rsidRDefault="00F704F3" w:rsidP="00F73C34">
            <w:pPr>
              <w:spacing w:line="480" w:lineRule="auto"/>
              <w:jc w:val="center"/>
              <w:rPr>
                <w:rFonts w:ascii="Arial" w:eastAsia="Arial" w:hAnsi="Arial" w:cs="Arial"/>
              </w:rPr>
            </w:pPr>
            <w:r>
              <w:rPr>
                <w:rFonts w:ascii="Arial" w:eastAsia="Arial" w:hAnsi="Arial" w:cs="Arial"/>
              </w:rPr>
              <w:t>7.29 ± 2.34</w:t>
            </w:r>
          </w:p>
        </w:tc>
        <w:tc>
          <w:tcPr>
            <w:tcW w:w="1710" w:type="dxa"/>
            <w:gridSpan w:val="2"/>
            <w:tcBorders>
              <w:top w:val="nil"/>
              <w:left w:val="nil"/>
              <w:bottom w:val="nil"/>
              <w:right w:val="nil"/>
            </w:tcBorders>
            <w:vAlign w:val="center"/>
          </w:tcPr>
          <w:p w14:paraId="1155347A" w14:textId="77777777" w:rsidR="00F704F3" w:rsidRDefault="00F704F3" w:rsidP="00F73C34">
            <w:pPr>
              <w:spacing w:line="480" w:lineRule="auto"/>
              <w:jc w:val="center"/>
              <w:rPr>
                <w:rFonts w:ascii="Arial" w:eastAsia="Arial" w:hAnsi="Arial" w:cs="Arial"/>
              </w:rPr>
            </w:pPr>
            <w:r>
              <w:rPr>
                <w:rFonts w:ascii="Arial" w:eastAsia="Arial" w:hAnsi="Arial" w:cs="Arial"/>
              </w:rPr>
              <w:t>6.58 ± 2.27</w:t>
            </w:r>
          </w:p>
        </w:tc>
        <w:tc>
          <w:tcPr>
            <w:tcW w:w="990" w:type="dxa"/>
            <w:tcBorders>
              <w:top w:val="nil"/>
              <w:left w:val="nil"/>
              <w:bottom w:val="nil"/>
              <w:right w:val="nil"/>
            </w:tcBorders>
            <w:vAlign w:val="center"/>
          </w:tcPr>
          <w:p w14:paraId="0CCADA08" w14:textId="77777777" w:rsidR="00F704F3" w:rsidRDefault="00F704F3" w:rsidP="00F73C34">
            <w:pPr>
              <w:spacing w:line="480" w:lineRule="auto"/>
              <w:jc w:val="center"/>
              <w:rPr>
                <w:rFonts w:ascii="Arial" w:eastAsia="Arial" w:hAnsi="Arial" w:cs="Arial"/>
              </w:rPr>
            </w:pPr>
            <w:r>
              <w:rPr>
                <w:rFonts w:ascii="Arial" w:eastAsia="Arial" w:hAnsi="Arial" w:cs="Arial"/>
              </w:rPr>
              <w:t>0.223</w:t>
            </w:r>
          </w:p>
        </w:tc>
        <w:tc>
          <w:tcPr>
            <w:tcW w:w="990" w:type="dxa"/>
            <w:gridSpan w:val="2"/>
            <w:tcBorders>
              <w:top w:val="nil"/>
              <w:left w:val="nil"/>
              <w:bottom w:val="nil"/>
              <w:right w:val="nil"/>
            </w:tcBorders>
            <w:vAlign w:val="center"/>
          </w:tcPr>
          <w:p w14:paraId="5D1B10BD" w14:textId="77777777" w:rsidR="00F704F3" w:rsidRDefault="00F704F3" w:rsidP="00F73C34">
            <w:pPr>
              <w:spacing w:line="480" w:lineRule="auto"/>
              <w:jc w:val="center"/>
              <w:rPr>
                <w:rFonts w:ascii="Arial" w:eastAsia="Arial" w:hAnsi="Arial" w:cs="Arial"/>
              </w:rPr>
            </w:pPr>
            <w:r>
              <w:rPr>
                <w:rFonts w:ascii="Arial" w:eastAsia="Arial" w:hAnsi="Arial" w:cs="Arial"/>
              </w:rPr>
              <w:t>10.308</w:t>
            </w:r>
          </w:p>
        </w:tc>
      </w:tr>
      <w:tr w:rsidR="00F704F3" w14:paraId="5B115CA8" w14:textId="77777777" w:rsidTr="00F73C34">
        <w:trPr>
          <w:trHeight w:val="440"/>
        </w:trPr>
        <w:tc>
          <w:tcPr>
            <w:tcW w:w="2700" w:type="dxa"/>
            <w:gridSpan w:val="2"/>
            <w:tcBorders>
              <w:top w:val="nil"/>
              <w:left w:val="nil"/>
              <w:bottom w:val="nil"/>
              <w:right w:val="nil"/>
            </w:tcBorders>
          </w:tcPr>
          <w:p w14:paraId="1C2ADAF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Neutrophil (%)</w:t>
            </w:r>
          </w:p>
        </w:tc>
        <w:tc>
          <w:tcPr>
            <w:tcW w:w="1710" w:type="dxa"/>
            <w:tcBorders>
              <w:top w:val="nil"/>
              <w:left w:val="nil"/>
              <w:bottom w:val="nil"/>
              <w:right w:val="nil"/>
            </w:tcBorders>
            <w:vAlign w:val="center"/>
          </w:tcPr>
          <w:p w14:paraId="331F50E8" w14:textId="77777777" w:rsidR="00F704F3" w:rsidRDefault="00F704F3" w:rsidP="00F73C34">
            <w:pPr>
              <w:spacing w:line="480" w:lineRule="auto"/>
              <w:jc w:val="center"/>
              <w:rPr>
                <w:rFonts w:ascii="Arial" w:eastAsia="Arial" w:hAnsi="Arial" w:cs="Arial"/>
              </w:rPr>
            </w:pPr>
            <w:r>
              <w:rPr>
                <w:rFonts w:ascii="Arial" w:eastAsia="Arial" w:hAnsi="Arial" w:cs="Arial"/>
              </w:rPr>
              <w:t>65.20 ± 6.12</w:t>
            </w:r>
          </w:p>
        </w:tc>
        <w:tc>
          <w:tcPr>
            <w:tcW w:w="1710" w:type="dxa"/>
            <w:gridSpan w:val="2"/>
            <w:tcBorders>
              <w:top w:val="nil"/>
              <w:left w:val="nil"/>
              <w:bottom w:val="nil"/>
              <w:right w:val="nil"/>
            </w:tcBorders>
            <w:vAlign w:val="center"/>
          </w:tcPr>
          <w:p w14:paraId="536FB4F0" w14:textId="77777777" w:rsidR="00F704F3" w:rsidRDefault="00F704F3" w:rsidP="00F73C34">
            <w:pPr>
              <w:spacing w:line="480" w:lineRule="auto"/>
              <w:jc w:val="center"/>
              <w:rPr>
                <w:rFonts w:ascii="Arial" w:eastAsia="Arial" w:hAnsi="Arial" w:cs="Arial"/>
              </w:rPr>
            </w:pPr>
            <w:r>
              <w:rPr>
                <w:rFonts w:ascii="Arial" w:eastAsia="Arial" w:hAnsi="Arial" w:cs="Arial"/>
              </w:rPr>
              <w:t>56.70 ± 10.33</w:t>
            </w:r>
          </w:p>
        </w:tc>
        <w:tc>
          <w:tcPr>
            <w:tcW w:w="990" w:type="dxa"/>
            <w:tcBorders>
              <w:top w:val="nil"/>
              <w:left w:val="nil"/>
              <w:bottom w:val="nil"/>
              <w:right w:val="nil"/>
            </w:tcBorders>
            <w:vAlign w:val="center"/>
          </w:tcPr>
          <w:p w14:paraId="7F7D4129" w14:textId="77777777" w:rsidR="00F704F3" w:rsidRDefault="00F704F3" w:rsidP="00F73C34">
            <w:pPr>
              <w:spacing w:line="480" w:lineRule="auto"/>
              <w:jc w:val="center"/>
              <w:rPr>
                <w:rFonts w:ascii="Arial" w:eastAsia="Arial" w:hAnsi="Arial" w:cs="Arial"/>
              </w:rPr>
            </w:pPr>
            <w:r>
              <w:rPr>
                <w:rFonts w:ascii="Arial" w:eastAsia="Arial" w:hAnsi="Arial" w:cs="Arial"/>
              </w:rPr>
              <w:t>0.019*</w:t>
            </w:r>
          </w:p>
        </w:tc>
        <w:tc>
          <w:tcPr>
            <w:tcW w:w="990" w:type="dxa"/>
            <w:gridSpan w:val="2"/>
            <w:tcBorders>
              <w:top w:val="nil"/>
              <w:left w:val="nil"/>
              <w:bottom w:val="nil"/>
              <w:right w:val="nil"/>
            </w:tcBorders>
            <w:vAlign w:val="center"/>
          </w:tcPr>
          <w:p w14:paraId="0339CA45" w14:textId="77777777" w:rsidR="00F704F3" w:rsidRDefault="00F704F3" w:rsidP="00F73C34">
            <w:pPr>
              <w:spacing w:line="480" w:lineRule="auto"/>
              <w:jc w:val="center"/>
              <w:rPr>
                <w:rFonts w:ascii="Arial" w:eastAsia="Arial" w:hAnsi="Arial" w:cs="Arial"/>
              </w:rPr>
            </w:pPr>
            <w:r>
              <w:rPr>
                <w:rFonts w:ascii="Arial" w:eastAsia="Arial" w:hAnsi="Arial" w:cs="Arial"/>
              </w:rPr>
              <w:t>20.868</w:t>
            </w:r>
          </w:p>
        </w:tc>
      </w:tr>
      <w:tr w:rsidR="00F704F3" w14:paraId="66A77719" w14:textId="77777777" w:rsidTr="00F73C34">
        <w:trPr>
          <w:trHeight w:val="350"/>
        </w:trPr>
        <w:tc>
          <w:tcPr>
            <w:tcW w:w="2700" w:type="dxa"/>
            <w:gridSpan w:val="2"/>
            <w:tcBorders>
              <w:top w:val="nil"/>
              <w:left w:val="nil"/>
              <w:bottom w:val="nil"/>
              <w:right w:val="nil"/>
            </w:tcBorders>
          </w:tcPr>
          <w:p w14:paraId="441C7D9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Lymphocyte (%)</w:t>
            </w:r>
          </w:p>
        </w:tc>
        <w:tc>
          <w:tcPr>
            <w:tcW w:w="1710" w:type="dxa"/>
            <w:tcBorders>
              <w:top w:val="nil"/>
              <w:left w:val="nil"/>
              <w:bottom w:val="nil"/>
              <w:right w:val="nil"/>
            </w:tcBorders>
            <w:vAlign w:val="center"/>
          </w:tcPr>
          <w:p w14:paraId="140ACB32" w14:textId="77777777" w:rsidR="00F704F3" w:rsidRDefault="00F704F3" w:rsidP="00F73C34">
            <w:pPr>
              <w:spacing w:line="480" w:lineRule="auto"/>
              <w:jc w:val="center"/>
              <w:rPr>
                <w:rFonts w:ascii="Arial" w:eastAsia="Arial" w:hAnsi="Arial" w:cs="Arial"/>
              </w:rPr>
            </w:pPr>
            <w:r>
              <w:rPr>
                <w:rFonts w:ascii="Arial" w:eastAsia="Arial" w:hAnsi="Arial" w:cs="Arial"/>
              </w:rPr>
              <w:t>29.70 ± 5.46</w:t>
            </w:r>
          </w:p>
        </w:tc>
        <w:tc>
          <w:tcPr>
            <w:tcW w:w="1710" w:type="dxa"/>
            <w:gridSpan w:val="2"/>
            <w:tcBorders>
              <w:top w:val="nil"/>
              <w:left w:val="nil"/>
              <w:bottom w:val="nil"/>
              <w:right w:val="nil"/>
            </w:tcBorders>
            <w:vAlign w:val="center"/>
          </w:tcPr>
          <w:p w14:paraId="7D21FF9F" w14:textId="77777777" w:rsidR="00F704F3" w:rsidRDefault="00F704F3" w:rsidP="00F73C34">
            <w:pPr>
              <w:spacing w:line="480" w:lineRule="auto"/>
              <w:jc w:val="center"/>
              <w:rPr>
                <w:rFonts w:ascii="Arial" w:eastAsia="Arial" w:hAnsi="Arial" w:cs="Arial"/>
              </w:rPr>
            </w:pPr>
            <w:r>
              <w:rPr>
                <w:rFonts w:ascii="Arial" w:eastAsia="Arial" w:hAnsi="Arial" w:cs="Arial"/>
              </w:rPr>
              <w:t>39.50 ± 10.43</w:t>
            </w:r>
          </w:p>
        </w:tc>
        <w:tc>
          <w:tcPr>
            <w:tcW w:w="990" w:type="dxa"/>
            <w:tcBorders>
              <w:top w:val="nil"/>
              <w:left w:val="nil"/>
              <w:bottom w:val="nil"/>
              <w:right w:val="nil"/>
            </w:tcBorders>
            <w:vAlign w:val="center"/>
          </w:tcPr>
          <w:p w14:paraId="1C587B63" w14:textId="77777777" w:rsidR="00F704F3" w:rsidRDefault="00F704F3" w:rsidP="00F73C34">
            <w:pPr>
              <w:spacing w:line="480" w:lineRule="auto"/>
              <w:jc w:val="center"/>
              <w:rPr>
                <w:rFonts w:ascii="Arial" w:eastAsia="Arial" w:hAnsi="Arial" w:cs="Arial"/>
              </w:rPr>
            </w:pPr>
            <w:r>
              <w:rPr>
                <w:rFonts w:ascii="Arial" w:eastAsia="Arial" w:hAnsi="Arial" w:cs="Arial"/>
              </w:rPr>
              <w:t>0.012*</w:t>
            </w:r>
          </w:p>
        </w:tc>
        <w:tc>
          <w:tcPr>
            <w:tcW w:w="990" w:type="dxa"/>
            <w:gridSpan w:val="2"/>
            <w:tcBorders>
              <w:top w:val="nil"/>
              <w:left w:val="nil"/>
              <w:bottom w:val="nil"/>
              <w:right w:val="nil"/>
            </w:tcBorders>
            <w:vAlign w:val="center"/>
          </w:tcPr>
          <w:p w14:paraId="09824BED" w14:textId="77777777" w:rsidR="00F704F3" w:rsidRDefault="00F704F3" w:rsidP="00F73C34">
            <w:pPr>
              <w:spacing w:line="480" w:lineRule="auto"/>
              <w:jc w:val="center"/>
              <w:rPr>
                <w:rFonts w:ascii="Arial" w:eastAsia="Arial" w:hAnsi="Arial" w:cs="Arial"/>
              </w:rPr>
            </w:pPr>
            <w:r>
              <w:rPr>
                <w:rFonts w:ascii="Arial" w:eastAsia="Arial" w:hAnsi="Arial" w:cs="Arial"/>
              </w:rPr>
              <w:t>-30.114</w:t>
            </w:r>
          </w:p>
        </w:tc>
      </w:tr>
      <w:tr w:rsidR="00F704F3" w14:paraId="4CBBB793" w14:textId="77777777" w:rsidTr="00F73C34">
        <w:trPr>
          <w:trHeight w:val="278"/>
        </w:trPr>
        <w:tc>
          <w:tcPr>
            <w:tcW w:w="2700" w:type="dxa"/>
            <w:gridSpan w:val="2"/>
            <w:tcBorders>
              <w:top w:val="nil"/>
              <w:left w:val="nil"/>
              <w:bottom w:val="nil"/>
              <w:right w:val="nil"/>
            </w:tcBorders>
          </w:tcPr>
          <w:p w14:paraId="4190D62B"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Monocyte (%)</w:t>
            </w:r>
          </w:p>
        </w:tc>
        <w:tc>
          <w:tcPr>
            <w:tcW w:w="1710" w:type="dxa"/>
            <w:tcBorders>
              <w:top w:val="nil"/>
              <w:left w:val="nil"/>
              <w:bottom w:val="nil"/>
              <w:right w:val="nil"/>
            </w:tcBorders>
            <w:vAlign w:val="center"/>
          </w:tcPr>
          <w:p w14:paraId="6C751286" w14:textId="77777777" w:rsidR="00F704F3" w:rsidRDefault="00F704F3" w:rsidP="00F73C34">
            <w:pPr>
              <w:spacing w:line="480" w:lineRule="auto"/>
              <w:jc w:val="center"/>
              <w:rPr>
                <w:rFonts w:ascii="Arial" w:eastAsia="Arial" w:hAnsi="Arial" w:cs="Arial"/>
              </w:rPr>
            </w:pPr>
            <w:r>
              <w:rPr>
                <w:rFonts w:ascii="Arial" w:eastAsia="Arial" w:hAnsi="Arial" w:cs="Arial"/>
              </w:rPr>
              <w:t>3.30 ± 2.54</w:t>
            </w:r>
          </w:p>
        </w:tc>
        <w:tc>
          <w:tcPr>
            <w:tcW w:w="1710" w:type="dxa"/>
            <w:gridSpan w:val="2"/>
            <w:tcBorders>
              <w:top w:val="nil"/>
              <w:left w:val="nil"/>
              <w:bottom w:val="nil"/>
              <w:right w:val="nil"/>
            </w:tcBorders>
            <w:vAlign w:val="center"/>
          </w:tcPr>
          <w:p w14:paraId="625495E4" w14:textId="77777777" w:rsidR="00F704F3" w:rsidRDefault="00F704F3" w:rsidP="00F73C34">
            <w:pPr>
              <w:spacing w:line="480" w:lineRule="auto"/>
              <w:jc w:val="center"/>
              <w:rPr>
                <w:rFonts w:ascii="Arial" w:eastAsia="Arial" w:hAnsi="Arial" w:cs="Arial"/>
              </w:rPr>
            </w:pPr>
            <w:r>
              <w:rPr>
                <w:rFonts w:ascii="Arial" w:eastAsia="Arial" w:hAnsi="Arial" w:cs="Arial"/>
              </w:rPr>
              <w:t>2.70 ± 1.83</w:t>
            </w:r>
          </w:p>
        </w:tc>
        <w:tc>
          <w:tcPr>
            <w:tcW w:w="990" w:type="dxa"/>
            <w:tcBorders>
              <w:top w:val="nil"/>
              <w:left w:val="nil"/>
              <w:bottom w:val="nil"/>
              <w:right w:val="nil"/>
            </w:tcBorders>
            <w:vAlign w:val="center"/>
          </w:tcPr>
          <w:p w14:paraId="6207255E" w14:textId="77777777" w:rsidR="00F704F3" w:rsidRDefault="00F704F3" w:rsidP="00F73C34">
            <w:pPr>
              <w:spacing w:line="480" w:lineRule="auto"/>
              <w:jc w:val="center"/>
              <w:rPr>
                <w:rFonts w:ascii="Arial" w:eastAsia="Arial" w:hAnsi="Arial" w:cs="Arial"/>
              </w:rPr>
            </w:pPr>
            <w:r>
              <w:rPr>
                <w:rFonts w:ascii="Arial" w:eastAsia="Arial" w:hAnsi="Arial" w:cs="Arial"/>
              </w:rPr>
              <w:t>0.468</w:t>
            </w:r>
          </w:p>
        </w:tc>
        <w:tc>
          <w:tcPr>
            <w:tcW w:w="990" w:type="dxa"/>
            <w:gridSpan w:val="2"/>
            <w:tcBorders>
              <w:top w:val="nil"/>
              <w:left w:val="nil"/>
              <w:bottom w:val="nil"/>
              <w:right w:val="nil"/>
            </w:tcBorders>
            <w:vAlign w:val="center"/>
          </w:tcPr>
          <w:p w14:paraId="4731634F" w14:textId="77777777" w:rsidR="00F704F3" w:rsidRDefault="00F704F3" w:rsidP="00F73C34">
            <w:pPr>
              <w:spacing w:line="480" w:lineRule="auto"/>
              <w:jc w:val="center"/>
              <w:rPr>
                <w:rFonts w:ascii="Arial" w:eastAsia="Arial" w:hAnsi="Arial" w:cs="Arial"/>
              </w:rPr>
            </w:pPr>
            <w:r>
              <w:rPr>
                <w:rFonts w:ascii="Arial" w:eastAsia="Arial" w:hAnsi="Arial" w:cs="Arial"/>
              </w:rPr>
              <w:t>0.758</w:t>
            </w:r>
          </w:p>
        </w:tc>
      </w:tr>
      <w:tr w:rsidR="00F704F3" w14:paraId="0A08F211" w14:textId="77777777" w:rsidTr="00F73C34">
        <w:trPr>
          <w:trHeight w:val="645"/>
        </w:trPr>
        <w:tc>
          <w:tcPr>
            <w:tcW w:w="2700" w:type="dxa"/>
            <w:gridSpan w:val="2"/>
            <w:tcBorders>
              <w:top w:val="nil"/>
              <w:left w:val="nil"/>
              <w:bottom w:val="single" w:sz="8" w:space="0" w:color="000000"/>
              <w:right w:val="nil"/>
            </w:tcBorders>
          </w:tcPr>
          <w:p w14:paraId="587E4F21"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Eosinophil (%)</w:t>
            </w:r>
          </w:p>
        </w:tc>
        <w:tc>
          <w:tcPr>
            <w:tcW w:w="1710" w:type="dxa"/>
            <w:tcBorders>
              <w:top w:val="nil"/>
              <w:left w:val="nil"/>
              <w:bottom w:val="single" w:sz="8" w:space="0" w:color="000000"/>
              <w:right w:val="nil"/>
            </w:tcBorders>
            <w:vAlign w:val="center"/>
          </w:tcPr>
          <w:p w14:paraId="00AE7ED5" w14:textId="77777777" w:rsidR="00F704F3" w:rsidRDefault="00F704F3" w:rsidP="00F73C34">
            <w:pPr>
              <w:spacing w:line="480" w:lineRule="auto"/>
              <w:jc w:val="center"/>
              <w:rPr>
                <w:rFonts w:ascii="Arial" w:eastAsia="Arial" w:hAnsi="Arial" w:cs="Arial"/>
              </w:rPr>
            </w:pPr>
            <w:r>
              <w:rPr>
                <w:rFonts w:ascii="Arial" w:eastAsia="Arial" w:hAnsi="Arial" w:cs="Arial"/>
              </w:rPr>
              <w:t>1.84 ± 0.90</w:t>
            </w:r>
          </w:p>
        </w:tc>
        <w:tc>
          <w:tcPr>
            <w:tcW w:w="1710" w:type="dxa"/>
            <w:gridSpan w:val="2"/>
            <w:tcBorders>
              <w:top w:val="nil"/>
              <w:left w:val="nil"/>
              <w:bottom w:val="single" w:sz="8" w:space="0" w:color="000000"/>
              <w:right w:val="nil"/>
            </w:tcBorders>
            <w:vAlign w:val="center"/>
          </w:tcPr>
          <w:p w14:paraId="41445CB0" w14:textId="77777777" w:rsidR="00F704F3" w:rsidRDefault="00F704F3" w:rsidP="00F73C34">
            <w:pPr>
              <w:spacing w:line="480" w:lineRule="auto"/>
              <w:jc w:val="center"/>
              <w:rPr>
                <w:rFonts w:ascii="Arial" w:eastAsia="Arial" w:hAnsi="Arial" w:cs="Arial"/>
              </w:rPr>
            </w:pPr>
            <w:r>
              <w:rPr>
                <w:rFonts w:ascii="Arial" w:eastAsia="Arial" w:hAnsi="Arial" w:cs="Arial"/>
              </w:rPr>
              <w:t>1.70 ± 2.45</w:t>
            </w:r>
          </w:p>
        </w:tc>
        <w:tc>
          <w:tcPr>
            <w:tcW w:w="990" w:type="dxa"/>
            <w:tcBorders>
              <w:top w:val="nil"/>
              <w:left w:val="nil"/>
              <w:bottom w:val="single" w:sz="8" w:space="0" w:color="000000"/>
              <w:right w:val="nil"/>
            </w:tcBorders>
            <w:vAlign w:val="center"/>
          </w:tcPr>
          <w:p w14:paraId="76A4A553"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990" w:type="dxa"/>
            <w:gridSpan w:val="2"/>
            <w:tcBorders>
              <w:top w:val="nil"/>
              <w:left w:val="nil"/>
              <w:bottom w:val="single" w:sz="8" w:space="0" w:color="000000"/>
              <w:right w:val="nil"/>
            </w:tcBorders>
            <w:vAlign w:val="center"/>
          </w:tcPr>
          <w:p w14:paraId="25676135" w14:textId="77777777" w:rsidR="00F704F3" w:rsidRDefault="00F704F3" w:rsidP="00F73C34">
            <w:pPr>
              <w:spacing w:line="480" w:lineRule="auto"/>
              <w:jc w:val="center"/>
              <w:rPr>
                <w:rFonts w:ascii="Arial" w:eastAsia="Arial" w:hAnsi="Arial" w:cs="Arial"/>
              </w:rPr>
            </w:pPr>
            <w:r>
              <w:rPr>
                <w:rFonts w:ascii="Arial" w:eastAsia="Arial" w:hAnsi="Arial" w:cs="Arial"/>
              </w:rPr>
              <w:t>0.651</w:t>
            </w:r>
          </w:p>
        </w:tc>
      </w:tr>
    </w:tbl>
    <w:p w14:paraId="143B386A" w14:textId="51DC83C8" w:rsidR="00F704F3" w:rsidRPr="00360930" w:rsidRDefault="00F704F3" w:rsidP="00F704F3">
      <w:pPr>
        <w:spacing w:line="480" w:lineRule="auto"/>
        <w:jc w:val="both"/>
        <w:rPr>
          <w:rFonts w:ascii="Arial" w:eastAsia="Arial" w:hAnsi="Arial" w:cs="Arial"/>
          <w:i/>
          <w:sz w:val="18"/>
          <w:szCs w:val="18"/>
        </w:rPr>
      </w:pPr>
      <w:r w:rsidRPr="00360930">
        <w:rPr>
          <w:rFonts w:ascii="Arial" w:eastAsia="Arial" w:hAnsi="Arial" w:cs="Arial"/>
          <w:sz w:val="18"/>
          <w:szCs w:val="18"/>
        </w:rPr>
        <w:t>Baseline</w:t>
      </w:r>
      <w:r w:rsidRPr="00360930">
        <w:rPr>
          <w:rFonts w:ascii="Arial" w:eastAsia="Arial" w:hAnsi="Arial" w:cs="Arial"/>
          <w:i/>
          <w:sz w:val="18"/>
          <w:szCs w:val="18"/>
        </w:rPr>
        <w:t xml:space="preserve">: Result </w:t>
      </w:r>
      <w:proofErr w:type="spellStart"/>
      <w:r w:rsidRPr="00360930">
        <w:rPr>
          <w:rFonts w:ascii="Arial" w:eastAsia="Arial" w:hAnsi="Arial" w:cs="Arial"/>
          <w:i/>
          <w:sz w:val="18"/>
          <w:szCs w:val="18"/>
        </w:rPr>
        <w:t>haemoglobin</w:t>
      </w:r>
      <w:proofErr w:type="spellEnd"/>
      <w:r w:rsidRPr="00360930">
        <w:rPr>
          <w:rFonts w:ascii="Arial" w:eastAsia="Arial" w:hAnsi="Arial" w:cs="Arial"/>
          <w:i/>
          <w:sz w:val="18"/>
          <w:szCs w:val="18"/>
        </w:rPr>
        <w:t xml:space="preserve"> and other blood parameters End result: Result </w:t>
      </w:r>
      <w:proofErr w:type="spellStart"/>
      <w:r w:rsidRPr="00360930">
        <w:rPr>
          <w:rFonts w:ascii="Arial" w:eastAsia="Arial" w:hAnsi="Arial" w:cs="Arial"/>
          <w:i/>
          <w:sz w:val="18"/>
          <w:szCs w:val="18"/>
        </w:rPr>
        <w:t>haemoglobin</w:t>
      </w:r>
      <w:proofErr w:type="spellEnd"/>
      <w:r w:rsidRPr="00360930">
        <w:rPr>
          <w:rFonts w:ascii="Arial" w:eastAsia="Arial" w:hAnsi="Arial" w:cs="Arial"/>
          <w:i/>
          <w:sz w:val="18"/>
          <w:szCs w:val="18"/>
        </w:rPr>
        <w:t xml:space="preserve"> other blood parameters </w:t>
      </w:r>
      <w:r w:rsidRPr="00360930">
        <w:rPr>
          <w:rFonts w:ascii="Arial" w:eastAsia="Arial" w:hAnsi="Arial" w:cs="Arial"/>
          <w:sz w:val="18"/>
          <w:szCs w:val="18"/>
        </w:rPr>
        <w:t xml:space="preserve">MD = mean difference; t-value = t-test value; </w:t>
      </w:r>
      <w:r w:rsidRPr="00360930">
        <w:rPr>
          <w:rFonts w:ascii="Arial" w:eastAsia="Arial" w:hAnsi="Arial" w:cs="Arial"/>
          <w:i/>
          <w:sz w:val="18"/>
          <w:szCs w:val="18"/>
        </w:rPr>
        <w:t>P-Value:</w:t>
      </w:r>
      <w:r w:rsidR="00360930">
        <w:rPr>
          <w:rFonts w:ascii="Arial" w:eastAsia="Arial" w:hAnsi="Arial" w:cs="Arial"/>
          <w:i/>
          <w:sz w:val="18"/>
          <w:szCs w:val="18"/>
        </w:rPr>
        <w:t xml:space="preserve"> Significance level *P= .05, **P= </w:t>
      </w:r>
      <w:r w:rsidRPr="00360930">
        <w:rPr>
          <w:rFonts w:ascii="Arial" w:eastAsia="Arial" w:hAnsi="Arial" w:cs="Arial"/>
          <w:i/>
          <w:sz w:val="18"/>
          <w:szCs w:val="18"/>
        </w:rPr>
        <w:t>.001</w:t>
      </w:r>
    </w:p>
    <w:p w14:paraId="3EF003DD"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3.5 Analysis of Variance for Hematological and Blood Parameters</w:t>
      </w:r>
    </w:p>
    <w:p w14:paraId="18D10875" w14:textId="10A594D9" w:rsidR="00F704F3" w:rsidRDefault="00F704F3" w:rsidP="00F704F3">
      <w:pPr>
        <w:spacing w:line="480" w:lineRule="auto"/>
        <w:jc w:val="both"/>
        <w:rPr>
          <w:rFonts w:ascii="Arial" w:eastAsia="Arial" w:hAnsi="Arial" w:cs="Arial"/>
          <w:b/>
        </w:rPr>
      </w:pPr>
      <w:r>
        <w:rPr>
          <w:rFonts w:ascii="Arial" w:eastAsia="Arial" w:hAnsi="Arial" w:cs="Arial"/>
          <w:b/>
        </w:rPr>
        <w:t xml:space="preserve">3.5.1 </w:t>
      </w:r>
      <w:r w:rsidR="00A17F3F">
        <w:rPr>
          <w:rFonts w:ascii="Arial" w:eastAsia="Arial" w:hAnsi="Arial" w:cs="Arial"/>
          <w:b/>
        </w:rPr>
        <w:t xml:space="preserve">Baseline Hematological and Blood </w:t>
      </w:r>
      <w:r>
        <w:rPr>
          <w:rFonts w:ascii="Arial" w:eastAsia="Arial" w:hAnsi="Arial" w:cs="Arial"/>
          <w:b/>
        </w:rPr>
        <w:t xml:space="preserve">Parameter indices by intervention group </w:t>
      </w:r>
    </w:p>
    <w:p w14:paraId="263E3BCF" w14:textId="77777777" w:rsidR="00F704F3" w:rsidRDefault="00F704F3" w:rsidP="00F704F3">
      <w:pPr>
        <w:tabs>
          <w:tab w:val="left" w:pos="4680"/>
          <w:tab w:val="left" w:pos="7830"/>
        </w:tabs>
        <w:spacing w:before="280" w:after="280" w:line="480" w:lineRule="auto"/>
        <w:jc w:val="both"/>
        <w:rPr>
          <w:rFonts w:ascii="Arial" w:eastAsia="Arial" w:hAnsi="Arial" w:cs="Arial"/>
        </w:rPr>
      </w:pPr>
      <w:r>
        <w:rPr>
          <w:rFonts w:ascii="Arial" w:eastAsia="Arial" w:hAnsi="Arial" w:cs="Arial"/>
        </w:rPr>
        <w:t xml:space="preserve">At baseline Table 5 analysis of variance (ANOVA) revealed no significant differences across most of the measured hematological parameters, except for serum ferritin concentration (p = 0.004). This suggests that the study groups (IFA, MMS, and control) were largely comparable before supplementation, supporting the internal validity of the intervention. </w:t>
      </w:r>
    </w:p>
    <w:p w14:paraId="3C893CBB" w14:textId="77777777" w:rsidR="00F704F3" w:rsidRDefault="00F704F3" w:rsidP="00F704F3">
      <w:pPr>
        <w:spacing w:line="480" w:lineRule="auto"/>
        <w:rPr>
          <w:rFonts w:ascii="Arial" w:eastAsia="Arial" w:hAnsi="Arial" w:cs="Arial"/>
          <w:b/>
        </w:rPr>
      </w:pPr>
      <w:r>
        <w:rPr>
          <w:rFonts w:ascii="Arial" w:eastAsia="Arial" w:hAnsi="Arial" w:cs="Arial"/>
          <w:b/>
        </w:rPr>
        <w:t>Table 5. Baseline hematological and Blood parameter indices by intervention group</w:t>
      </w:r>
    </w:p>
    <w:tbl>
      <w:tblPr>
        <w:tblW w:w="9323" w:type="dxa"/>
        <w:tblLayout w:type="fixed"/>
        <w:tblLook w:val="0400" w:firstRow="0" w:lastRow="0" w:firstColumn="0" w:lastColumn="0" w:noHBand="0" w:noVBand="1"/>
      </w:tblPr>
      <w:tblGrid>
        <w:gridCol w:w="2880"/>
        <w:gridCol w:w="1694"/>
        <w:gridCol w:w="1761"/>
        <w:gridCol w:w="1800"/>
        <w:gridCol w:w="1188"/>
      </w:tblGrid>
      <w:tr w:rsidR="00F704F3" w14:paraId="1EB503F3" w14:textId="77777777" w:rsidTr="001F4390">
        <w:trPr>
          <w:trHeight w:val="332"/>
        </w:trPr>
        <w:tc>
          <w:tcPr>
            <w:tcW w:w="2880" w:type="dxa"/>
            <w:tcBorders>
              <w:top w:val="single" w:sz="4" w:space="0" w:color="000000"/>
              <w:bottom w:val="single" w:sz="4" w:space="0" w:color="000000"/>
            </w:tcBorders>
          </w:tcPr>
          <w:p w14:paraId="77EBA52D" w14:textId="77777777" w:rsidR="00F704F3" w:rsidRDefault="00F704F3" w:rsidP="00F73C34">
            <w:pPr>
              <w:spacing w:line="480" w:lineRule="auto"/>
              <w:rPr>
                <w:rFonts w:ascii="Arial" w:eastAsia="Arial" w:hAnsi="Arial" w:cs="Arial"/>
                <w:b/>
              </w:rPr>
            </w:pPr>
            <w:r>
              <w:rPr>
                <w:rFonts w:ascii="Arial" w:eastAsia="Arial" w:hAnsi="Arial" w:cs="Arial"/>
                <w:b/>
              </w:rPr>
              <w:lastRenderedPageBreak/>
              <w:t>Variable</w:t>
            </w:r>
          </w:p>
        </w:tc>
        <w:tc>
          <w:tcPr>
            <w:tcW w:w="1694" w:type="dxa"/>
            <w:tcBorders>
              <w:top w:val="single" w:sz="4" w:space="0" w:color="000000"/>
              <w:bottom w:val="single" w:sz="4" w:space="0" w:color="000000"/>
            </w:tcBorders>
          </w:tcPr>
          <w:p w14:paraId="262CA7FC"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61" w:type="dxa"/>
            <w:tcBorders>
              <w:top w:val="single" w:sz="4" w:space="0" w:color="000000"/>
              <w:bottom w:val="single" w:sz="4" w:space="0" w:color="000000"/>
            </w:tcBorders>
          </w:tcPr>
          <w:p w14:paraId="1A35331C" w14:textId="77777777" w:rsidR="00F704F3" w:rsidRDefault="00F704F3" w:rsidP="00F73C34">
            <w:pPr>
              <w:spacing w:line="480" w:lineRule="auto"/>
              <w:rPr>
                <w:rFonts w:ascii="Arial" w:eastAsia="Arial" w:hAnsi="Arial" w:cs="Arial"/>
                <w:b/>
              </w:rPr>
            </w:pPr>
            <w:r>
              <w:rPr>
                <w:rFonts w:ascii="Arial" w:eastAsia="Arial" w:hAnsi="Arial" w:cs="Arial"/>
                <w:b/>
              </w:rPr>
              <w:t>IFAS</w:t>
            </w:r>
          </w:p>
        </w:tc>
        <w:tc>
          <w:tcPr>
            <w:tcW w:w="1800" w:type="dxa"/>
            <w:tcBorders>
              <w:top w:val="single" w:sz="4" w:space="0" w:color="000000"/>
              <w:bottom w:val="single" w:sz="4" w:space="0" w:color="000000"/>
            </w:tcBorders>
          </w:tcPr>
          <w:p w14:paraId="05F6745E"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188" w:type="dxa"/>
            <w:tcBorders>
              <w:top w:val="single" w:sz="4" w:space="0" w:color="000000"/>
              <w:bottom w:val="single" w:sz="4" w:space="0" w:color="000000"/>
            </w:tcBorders>
          </w:tcPr>
          <w:p w14:paraId="5ADB00A8" w14:textId="77777777" w:rsidR="00F704F3" w:rsidRDefault="00F704F3" w:rsidP="00F73C34">
            <w:pPr>
              <w:spacing w:line="480" w:lineRule="auto"/>
              <w:rPr>
                <w:rFonts w:ascii="Arial" w:eastAsia="Arial" w:hAnsi="Arial" w:cs="Arial"/>
                <w:b/>
              </w:rPr>
            </w:pPr>
            <w:r>
              <w:rPr>
                <w:rFonts w:ascii="Arial" w:eastAsia="Arial" w:hAnsi="Arial" w:cs="Arial"/>
                <w:b/>
              </w:rPr>
              <w:t>ANOVA</w:t>
            </w:r>
          </w:p>
        </w:tc>
      </w:tr>
      <w:tr w:rsidR="00F704F3" w14:paraId="46C79E00" w14:textId="77777777" w:rsidTr="001F4390">
        <w:tc>
          <w:tcPr>
            <w:tcW w:w="2880" w:type="dxa"/>
          </w:tcPr>
          <w:p w14:paraId="21654FB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Packed cell volume (%) </w:t>
            </w:r>
          </w:p>
        </w:tc>
        <w:tc>
          <w:tcPr>
            <w:tcW w:w="1694" w:type="dxa"/>
          </w:tcPr>
          <w:p w14:paraId="46B0733A" w14:textId="77777777" w:rsidR="00F704F3" w:rsidRDefault="00F704F3" w:rsidP="00F73C34">
            <w:pPr>
              <w:spacing w:line="480" w:lineRule="auto"/>
              <w:rPr>
                <w:rFonts w:ascii="Arial" w:eastAsia="Arial" w:hAnsi="Arial" w:cs="Arial"/>
              </w:rPr>
            </w:pPr>
            <w:r>
              <w:rPr>
                <w:rFonts w:ascii="Arial" w:eastAsia="Arial" w:hAnsi="Arial" w:cs="Arial"/>
              </w:rPr>
              <w:t>32.69 ± 3.07ᵃ</w:t>
            </w:r>
          </w:p>
        </w:tc>
        <w:tc>
          <w:tcPr>
            <w:tcW w:w="1761" w:type="dxa"/>
          </w:tcPr>
          <w:p w14:paraId="7A415E0B" w14:textId="77777777" w:rsidR="00F704F3" w:rsidRDefault="00F704F3" w:rsidP="00F73C34">
            <w:pPr>
              <w:spacing w:line="480" w:lineRule="auto"/>
              <w:rPr>
                <w:rFonts w:ascii="Arial" w:eastAsia="Arial" w:hAnsi="Arial" w:cs="Arial"/>
              </w:rPr>
            </w:pPr>
            <w:r>
              <w:rPr>
                <w:rFonts w:ascii="Arial" w:eastAsia="Arial" w:hAnsi="Arial" w:cs="Arial"/>
              </w:rPr>
              <w:t>31.54 ± 2.44ᵃ</w:t>
            </w:r>
          </w:p>
        </w:tc>
        <w:tc>
          <w:tcPr>
            <w:tcW w:w="1800" w:type="dxa"/>
          </w:tcPr>
          <w:p w14:paraId="38C1D45E" w14:textId="77777777" w:rsidR="00F704F3" w:rsidRDefault="00F704F3" w:rsidP="00F73C34">
            <w:pPr>
              <w:spacing w:line="480" w:lineRule="auto"/>
              <w:rPr>
                <w:rFonts w:ascii="Arial" w:eastAsia="Arial" w:hAnsi="Arial" w:cs="Arial"/>
              </w:rPr>
            </w:pPr>
            <w:r>
              <w:rPr>
                <w:rFonts w:ascii="Arial" w:eastAsia="Arial" w:hAnsi="Arial" w:cs="Arial"/>
              </w:rPr>
              <w:t>32.30 ± 4.72ᵃ</w:t>
            </w:r>
          </w:p>
        </w:tc>
        <w:tc>
          <w:tcPr>
            <w:tcW w:w="1188" w:type="dxa"/>
          </w:tcPr>
          <w:p w14:paraId="7EFCE419" w14:textId="77777777" w:rsidR="00F704F3" w:rsidRDefault="00F704F3" w:rsidP="00F73C34">
            <w:pPr>
              <w:spacing w:line="480" w:lineRule="auto"/>
              <w:rPr>
                <w:rFonts w:ascii="Arial" w:eastAsia="Arial" w:hAnsi="Arial" w:cs="Arial"/>
              </w:rPr>
            </w:pPr>
            <w:r>
              <w:rPr>
                <w:rFonts w:ascii="Arial" w:eastAsia="Arial" w:hAnsi="Arial" w:cs="Arial"/>
              </w:rPr>
              <w:t>p = .69</w:t>
            </w:r>
          </w:p>
        </w:tc>
      </w:tr>
      <w:tr w:rsidR="00F704F3" w14:paraId="45E536AE" w14:textId="77777777" w:rsidTr="001F4390">
        <w:tc>
          <w:tcPr>
            <w:tcW w:w="2880" w:type="dxa"/>
          </w:tcPr>
          <w:p w14:paraId="730536D8" w14:textId="77777777" w:rsidR="00F704F3" w:rsidRPr="00711671" w:rsidRDefault="00F704F3" w:rsidP="00F73C34">
            <w:pPr>
              <w:spacing w:line="480" w:lineRule="auto"/>
              <w:rPr>
                <w:rFonts w:ascii="Arial" w:eastAsia="Arial" w:hAnsi="Arial" w:cs="Arial"/>
                <w:b/>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94" w:type="dxa"/>
          </w:tcPr>
          <w:p w14:paraId="2A15FC4C" w14:textId="77777777" w:rsidR="00F704F3" w:rsidRDefault="00F704F3" w:rsidP="00F73C34">
            <w:pPr>
              <w:spacing w:line="480" w:lineRule="auto"/>
              <w:rPr>
                <w:rFonts w:ascii="Arial" w:eastAsia="Arial" w:hAnsi="Arial" w:cs="Arial"/>
              </w:rPr>
            </w:pPr>
            <w:r>
              <w:rPr>
                <w:rFonts w:ascii="Arial" w:eastAsia="Arial" w:hAnsi="Arial" w:cs="Arial"/>
              </w:rPr>
              <w:t>10.37 ± 1.03ᵃ</w:t>
            </w:r>
          </w:p>
        </w:tc>
        <w:tc>
          <w:tcPr>
            <w:tcW w:w="1761" w:type="dxa"/>
          </w:tcPr>
          <w:p w14:paraId="287CC4F4" w14:textId="77777777" w:rsidR="00F704F3" w:rsidRDefault="00F704F3" w:rsidP="00F73C34">
            <w:pPr>
              <w:spacing w:line="480" w:lineRule="auto"/>
              <w:rPr>
                <w:rFonts w:ascii="Arial" w:eastAsia="Arial" w:hAnsi="Arial" w:cs="Arial"/>
              </w:rPr>
            </w:pPr>
            <w:r>
              <w:rPr>
                <w:rFonts w:ascii="Arial" w:eastAsia="Arial" w:hAnsi="Arial" w:cs="Arial"/>
              </w:rPr>
              <w:t>9.82 ± 0.68ᵃ</w:t>
            </w:r>
          </w:p>
        </w:tc>
        <w:tc>
          <w:tcPr>
            <w:tcW w:w="1800" w:type="dxa"/>
          </w:tcPr>
          <w:p w14:paraId="559C9A35" w14:textId="77777777" w:rsidR="00F704F3" w:rsidRDefault="00F704F3" w:rsidP="00F73C34">
            <w:pPr>
              <w:spacing w:line="480" w:lineRule="auto"/>
              <w:rPr>
                <w:rFonts w:ascii="Arial" w:eastAsia="Arial" w:hAnsi="Arial" w:cs="Arial"/>
              </w:rPr>
            </w:pPr>
            <w:r>
              <w:rPr>
                <w:rFonts w:ascii="Arial" w:eastAsia="Arial" w:hAnsi="Arial" w:cs="Arial"/>
              </w:rPr>
              <w:t>10.80 ± 1.50ᵃ</w:t>
            </w:r>
          </w:p>
        </w:tc>
        <w:tc>
          <w:tcPr>
            <w:tcW w:w="1188" w:type="dxa"/>
          </w:tcPr>
          <w:p w14:paraId="73D4CDB9" w14:textId="77777777" w:rsidR="00F704F3" w:rsidRDefault="00F704F3" w:rsidP="00F73C34">
            <w:pPr>
              <w:spacing w:line="480" w:lineRule="auto"/>
              <w:rPr>
                <w:rFonts w:ascii="Arial" w:eastAsia="Arial" w:hAnsi="Arial" w:cs="Arial"/>
              </w:rPr>
            </w:pPr>
            <w:r>
              <w:rPr>
                <w:rFonts w:ascii="Arial" w:eastAsia="Arial" w:hAnsi="Arial" w:cs="Arial"/>
              </w:rPr>
              <w:t>p = .11</w:t>
            </w:r>
          </w:p>
        </w:tc>
      </w:tr>
      <w:tr w:rsidR="00F704F3" w14:paraId="7C560D4D" w14:textId="77777777" w:rsidTr="001F4390">
        <w:tc>
          <w:tcPr>
            <w:tcW w:w="2880" w:type="dxa"/>
          </w:tcPr>
          <w:p w14:paraId="056F907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Red blood cell (×10^12/L) </w:t>
            </w:r>
          </w:p>
        </w:tc>
        <w:tc>
          <w:tcPr>
            <w:tcW w:w="1694" w:type="dxa"/>
          </w:tcPr>
          <w:p w14:paraId="24053A16" w14:textId="77777777" w:rsidR="00F704F3" w:rsidRDefault="00F704F3" w:rsidP="00F73C34">
            <w:pPr>
              <w:spacing w:line="480" w:lineRule="auto"/>
              <w:rPr>
                <w:rFonts w:ascii="Arial" w:eastAsia="Arial" w:hAnsi="Arial" w:cs="Arial"/>
              </w:rPr>
            </w:pPr>
            <w:r>
              <w:rPr>
                <w:rFonts w:ascii="Arial" w:eastAsia="Arial" w:hAnsi="Arial" w:cs="Arial"/>
              </w:rPr>
              <w:t>3.94 ± 0.54ᵃ</w:t>
            </w:r>
          </w:p>
        </w:tc>
        <w:tc>
          <w:tcPr>
            <w:tcW w:w="1761" w:type="dxa"/>
          </w:tcPr>
          <w:p w14:paraId="77921B35" w14:textId="77777777" w:rsidR="00F704F3" w:rsidRDefault="00F704F3" w:rsidP="00F73C34">
            <w:pPr>
              <w:spacing w:line="480" w:lineRule="auto"/>
              <w:rPr>
                <w:rFonts w:ascii="Arial" w:eastAsia="Arial" w:hAnsi="Arial" w:cs="Arial"/>
              </w:rPr>
            </w:pPr>
            <w:r>
              <w:rPr>
                <w:rFonts w:ascii="Arial" w:eastAsia="Arial" w:hAnsi="Arial" w:cs="Arial"/>
              </w:rPr>
              <w:t>3.80 ± 0.55ᵃ</w:t>
            </w:r>
          </w:p>
        </w:tc>
        <w:tc>
          <w:tcPr>
            <w:tcW w:w="1800" w:type="dxa"/>
          </w:tcPr>
          <w:p w14:paraId="3B2AA974" w14:textId="77777777" w:rsidR="00F704F3" w:rsidRDefault="00F704F3" w:rsidP="00F73C34">
            <w:pPr>
              <w:spacing w:line="480" w:lineRule="auto"/>
              <w:rPr>
                <w:rFonts w:ascii="Arial" w:eastAsia="Arial" w:hAnsi="Arial" w:cs="Arial"/>
              </w:rPr>
            </w:pPr>
            <w:r>
              <w:rPr>
                <w:rFonts w:ascii="Arial" w:eastAsia="Arial" w:hAnsi="Arial" w:cs="Arial"/>
              </w:rPr>
              <w:t>4.30 ± 0.66ᵃ</w:t>
            </w:r>
          </w:p>
        </w:tc>
        <w:tc>
          <w:tcPr>
            <w:tcW w:w="1188" w:type="dxa"/>
          </w:tcPr>
          <w:p w14:paraId="6EB3A1E0" w14:textId="77777777" w:rsidR="00F704F3" w:rsidRDefault="00F704F3" w:rsidP="00F73C34">
            <w:pPr>
              <w:spacing w:line="480" w:lineRule="auto"/>
              <w:rPr>
                <w:rFonts w:ascii="Arial" w:eastAsia="Arial" w:hAnsi="Arial" w:cs="Arial"/>
              </w:rPr>
            </w:pPr>
            <w:r>
              <w:rPr>
                <w:rFonts w:ascii="Arial" w:eastAsia="Arial" w:hAnsi="Arial" w:cs="Arial"/>
              </w:rPr>
              <w:t>p = .13</w:t>
            </w:r>
          </w:p>
        </w:tc>
      </w:tr>
      <w:tr w:rsidR="00F704F3" w14:paraId="0690230A" w14:textId="77777777" w:rsidTr="001F4390">
        <w:tc>
          <w:tcPr>
            <w:tcW w:w="2880" w:type="dxa"/>
          </w:tcPr>
          <w:p w14:paraId="0C4937C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94" w:type="dxa"/>
          </w:tcPr>
          <w:p w14:paraId="6FEDFAC0" w14:textId="77777777" w:rsidR="00F704F3" w:rsidRDefault="00F704F3" w:rsidP="00F73C34">
            <w:pPr>
              <w:spacing w:line="480" w:lineRule="auto"/>
              <w:rPr>
                <w:rFonts w:ascii="Arial" w:eastAsia="Arial" w:hAnsi="Arial" w:cs="Arial"/>
              </w:rPr>
            </w:pPr>
            <w:r>
              <w:rPr>
                <w:rFonts w:ascii="Arial" w:eastAsia="Arial" w:hAnsi="Arial" w:cs="Arial"/>
              </w:rPr>
              <w:t>82.92 ± 7.48ᵃ</w:t>
            </w:r>
          </w:p>
        </w:tc>
        <w:tc>
          <w:tcPr>
            <w:tcW w:w="1761" w:type="dxa"/>
          </w:tcPr>
          <w:p w14:paraId="17B984B3" w14:textId="77777777" w:rsidR="00F704F3" w:rsidRDefault="00F704F3" w:rsidP="00F73C34">
            <w:pPr>
              <w:spacing w:line="480" w:lineRule="auto"/>
              <w:rPr>
                <w:rFonts w:ascii="Arial" w:eastAsia="Arial" w:hAnsi="Arial" w:cs="Arial"/>
              </w:rPr>
            </w:pPr>
            <w:r>
              <w:rPr>
                <w:rFonts w:ascii="Arial" w:eastAsia="Arial" w:hAnsi="Arial" w:cs="Arial"/>
              </w:rPr>
              <w:t>81.62 ± 5.91ᵃ</w:t>
            </w:r>
          </w:p>
        </w:tc>
        <w:tc>
          <w:tcPr>
            <w:tcW w:w="1800" w:type="dxa"/>
          </w:tcPr>
          <w:p w14:paraId="43247EB3" w14:textId="77777777" w:rsidR="00F704F3" w:rsidRDefault="00F704F3" w:rsidP="00F73C34">
            <w:pPr>
              <w:spacing w:line="480" w:lineRule="auto"/>
              <w:rPr>
                <w:rFonts w:ascii="Arial" w:eastAsia="Arial" w:hAnsi="Arial" w:cs="Arial"/>
              </w:rPr>
            </w:pPr>
            <w:r>
              <w:rPr>
                <w:rFonts w:ascii="Arial" w:eastAsia="Arial" w:hAnsi="Arial" w:cs="Arial"/>
              </w:rPr>
              <w:t>81.80 ± 5.83ᵃ</w:t>
            </w:r>
          </w:p>
        </w:tc>
        <w:tc>
          <w:tcPr>
            <w:tcW w:w="1188" w:type="dxa"/>
          </w:tcPr>
          <w:p w14:paraId="6A1D714A" w14:textId="77777777" w:rsidR="00F704F3" w:rsidRDefault="00F704F3" w:rsidP="00F73C34">
            <w:pPr>
              <w:spacing w:line="480" w:lineRule="auto"/>
              <w:rPr>
                <w:rFonts w:ascii="Arial" w:eastAsia="Arial" w:hAnsi="Arial" w:cs="Arial"/>
              </w:rPr>
            </w:pPr>
            <w:r>
              <w:rPr>
                <w:rFonts w:ascii="Arial" w:eastAsia="Arial" w:hAnsi="Arial" w:cs="Arial"/>
              </w:rPr>
              <w:t>p = .861</w:t>
            </w:r>
          </w:p>
        </w:tc>
      </w:tr>
      <w:tr w:rsidR="00F704F3" w14:paraId="7983EC3A" w14:textId="77777777" w:rsidTr="001F4390">
        <w:tc>
          <w:tcPr>
            <w:tcW w:w="2880" w:type="dxa"/>
          </w:tcPr>
          <w:p w14:paraId="629CF379" w14:textId="43AE70E2" w:rsidR="00F704F3" w:rsidRPr="00711671" w:rsidRDefault="001F4390" w:rsidP="00F73C34">
            <w:pPr>
              <w:spacing w:line="480" w:lineRule="auto"/>
              <w:rPr>
                <w:rFonts w:ascii="Arial" w:eastAsia="Arial" w:hAnsi="Arial" w:cs="Arial"/>
                <w:b/>
              </w:rPr>
            </w:pPr>
            <w:r>
              <w:rPr>
                <w:rFonts w:ascii="Arial" w:eastAsia="Arial" w:hAnsi="Arial" w:cs="Arial"/>
                <w:b/>
              </w:rPr>
              <w:t xml:space="preserve">Mean cell </w:t>
            </w:r>
            <w:proofErr w:type="spellStart"/>
            <w:r>
              <w:rPr>
                <w:rFonts w:ascii="Arial" w:eastAsia="Arial" w:hAnsi="Arial" w:cs="Arial"/>
                <w:b/>
              </w:rPr>
              <w:t>haemoglobin</w:t>
            </w:r>
            <w:proofErr w:type="spellEnd"/>
            <w:r>
              <w:rPr>
                <w:rFonts w:ascii="Arial" w:eastAsia="Arial" w:hAnsi="Arial" w:cs="Arial"/>
                <w:b/>
              </w:rPr>
              <w:t xml:space="preserve"> </w:t>
            </w:r>
            <w:r w:rsidR="00F704F3" w:rsidRPr="00B216A9">
              <w:rPr>
                <w:rFonts w:ascii="Arial" w:eastAsia="Arial" w:hAnsi="Arial" w:cs="Arial"/>
                <w:b/>
              </w:rPr>
              <w:t>(</w:t>
            </w:r>
            <w:proofErr w:type="spellStart"/>
            <w:r w:rsidR="00F704F3" w:rsidRPr="00B216A9">
              <w:rPr>
                <w:rFonts w:ascii="Arial" w:eastAsia="Arial" w:hAnsi="Arial" w:cs="Arial"/>
                <w:b/>
              </w:rPr>
              <w:t>pg</w:t>
            </w:r>
            <w:proofErr w:type="spellEnd"/>
            <w:r w:rsidR="00F704F3" w:rsidRPr="00B216A9">
              <w:rPr>
                <w:rFonts w:ascii="Arial" w:eastAsia="Arial" w:hAnsi="Arial" w:cs="Arial"/>
                <w:b/>
              </w:rPr>
              <w:t xml:space="preserve">) </w:t>
            </w:r>
          </w:p>
        </w:tc>
        <w:tc>
          <w:tcPr>
            <w:tcW w:w="1694" w:type="dxa"/>
          </w:tcPr>
          <w:p w14:paraId="3A3555AE" w14:textId="77777777" w:rsidR="00F704F3" w:rsidRDefault="00F704F3" w:rsidP="00F73C34">
            <w:pPr>
              <w:spacing w:line="480" w:lineRule="auto"/>
              <w:rPr>
                <w:rFonts w:ascii="Arial" w:eastAsia="Arial" w:hAnsi="Arial" w:cs="Arial"/>
              </w:rPr>
            </w:pPr>
            <w:r>
              <w:rPr>
                <w:rFonts w:ascii="Arial" w:eastAsia="Arial" w:hAnsi="Arial" w:cs="Arial"/>
              </w:rPr>
              <w:t>25.54 ± 1.94ᵃ</w:t>
            </w:r>
          </w:p>
        </w:tc>
        <w:tc>
          <w:tcPr>
            <w:tcW w:w="1761" w:type="dxa"/>
          </w:tcPr>
          <w:p w14:paraId="2B24BD31" w14:textId="77777777" w:rsidR="00F704F3" w:rsidRDefault="00F704F3" w:rsidP="00F73C34">
            <w:pPr>
              <w:spacing w:line="480" w:lineRule="auto"/>
              <w:rPr>
                <w:rFonts w:ascii="Arial" w:eastAsia="Arial" w:hAnsi="Arial" w:cs="Arial"/>
              </w:rPr>
            </w:pPr>
            <w:r>
              <w:rPr>
                <w:rFonts w:ascii="Arial" w:eastAsia="Arial" w:hAnsi="Arial" w:cs="Arial"/>
              </w:rPr>
              <w:t>24.62 ± 1.61ᵃ</w:t>
            </w:r>
          </w:p>
        </w:tc>
        <w:tc>
          <w:tcPr>
            <w:tcW w:w="1800" w:type="dxa"/>
          </w:tcPr>
          <w:p w14:paraId="3B7AD77E" w14:textId="77777777" w:rsidR="00F704F3" w:rsidRDefault="00F704F3" w:rsidP="00F73C34">
            <w:pPr>
              <w:spacing w:line="480" w:lineRule="auto"/>
              <w:rPr>
                <w:rFonts w:ascii="Arial" w:eastAsia="Arial" w:hAnsi="Arial" w:cs="Arial"/>
              </w:rPr>
            </w:pPr>
            <w:r>
              <w:rPr>
                <w:rFonts w:ascii="Arial" w:eastAsia="Arial" w:hAnsi="Arial" w:cs="Arial"/>
              </w:rPr>
              <w:t>24.60 ± 3.13ᵃ</w:t>
            </w:r>
          </w:p>
        </w:tc>
        <w:tc>
          <w:tcPr>
            <w:tcW w:w="1188" w:type="dxa"/>
          </w:tcPr>
          <w:p w14:paraId="72A9DCAE" w14:textId="77777777" w:rsidR="00F704F3" w:rsidRDefault="00F704F3" w:rsidP="00F73C34">
            <w:pPr>
              <w:spacing w:line="480" w:lineRule="auto"/>
              <w:rPr>
                <w:rFonts w:ascii="Arial" w:eastAsia="Arial" w:hAnsi="Arial" w:cs="Arial"/>
              </w:rPr>
            </w:pPr>
            <w:r>
              <w:rPr>
                <w:rFonts w:ascii="Arial" w:eastAsia="Arial" w:hAnsi="Arial" w:cs="Arial"/>
              </w:rPr>
              <w:t>p = .495</w:t>
            </w:r>
          </w:p>
        </w:tc>
      </w:tr>
      <w:tr w:rsidR="00F704F3" w14:paraId="5EAA57BD" w14:textId="77777777" w:rsidTr="001F4390">
        <w:tc>
          <w:tcPr>
            <w:tcW w:w="2880" w:type="dxa"/>
          </w:tcPr>
          <w:p w14:paraId="550A785C"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0DB8550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Concentration (g/dL) </w:t>
            </w:r>
          </w:p>
        </w:tc>
        <w:tc>
          <w:tcPr>
            <w:tcW w:w="1694" w:type="dxa"/>
          </w:tcPr>
          <w:p w14:paraId="73A31E85" w14:textId="77777777" w:rsidR="00F704F3" w:rsidRDefault="00F704F3" w:rsidP="00F73C34">
            <w:pPr>
              <w:spacing w:line="480" w:lineRule="auto"/>
              <w:rPr>
                <w:rFonts w:ascii="Arial" w:eastAsia="Arial" w:hAnsi="Arial" w:cs="Arial"/>
              </w:rPr>
            </w:pPr>
            <w:r>
              <w:rPr>
                <w:rFonts w:ascii="Arial" w:eastAsia="Arial" w:hAnsi="Arial" w:cs="Arial"/>
              </w:rPr>
              <w:t>31.15 ± 0.99ᵃ</w:t>
            </w:r>
          </w:p>
        </w:tc>
        <w:tc>
          <w:tcPr>
            <w:tcW w:w="1761" w:type="dxa"/>
          </w:tcPr>
          <w:p w14:paraId="53D6D5DE" w14:textId="77777777" w:rsidR="00F704F3" w:rsidRDefault="00F704F3" w:rsidP="00F73C34">
            <w:pPr>
              <w:spacing w:line="480" w:lineRule="auto"/>
              <w:rPr>
                <w:rFonts w:ascii="Arial" w:eastAsia="Arial" w:hAnsi="Arial" w:cs="Arial"/>
              </w:rPr>
            </w:pPr>
            <w:r>
              <w:rPr>
                <w:rFonts w:ascii="Arial" w:eastAsia="Arial" w:hAnsi="Arial" w:cs="Arial"/>
              </w:rPr>
              <w:t>30.46 ± 0.66ᵃ</w:t>
            </w:r>
          </w:p>
        </w:tc>
        <w:tc>
          <w:tcPr>
            <w:tcW w:w="1800" w:type="dxa"/>
          </w:tcPr>
          <w:p w14:paraId="73D781BC" w14:textId="77777777" w:rsidR="00F704F3" w:rsidRDefault="00F704F3" w:rsidP="00F73C34">
            <w:pPr>
              <w:spacing w:line="480" w:lineRule="auto"/>
              <w:rPr>
                <w:rFonts w:ascii="Arial" w:eastAsia="Arial" w:hAnsi="Arial" w:cs="Arial"/>
              </w:rPr>
            </w:pPr>
            <w:r>
              <w:rPr>
                <w:rFonts w:ascii="Arial" w:eastAsia="Arial" w:hAnsi="Arial" w:cs="Arial"/>
              </w:rPr>
              <w:t>30.60 ± 1.07ᵃ</w:t>
            </w:r>
          </w:p>
        </w:tc>
        <w:tc>
          <w:tcPr>
            <w:tcW w:w="1188" w:type="dxa"/>
          </w:tcPr>
          <w:p w14:paraId="2D98EC34" w14:textId="77777777" w:rsidR="00F704F3" w:rsidRDefault="00F704F3" w:rsidP="00F73C34">
            <w:pPr>
              <w:spacing w:line="480" w:lineRule="auto"/>
              <w:rPr>
                <w:rFonts w:ascii="Arial" w:eastAsia="Arial" w:hAnsi="Arial" w:cs="Arial"/>
              </w:rPr>
            </w:pPr>
            <w:r>
              <w:rPr>
                <w:rFonts w:ascii="Arial" w:eastAsia="Arial" w:hAnsi="Arial" w:cs="Arial"/>
              </w:rPr>
              <w:t>p = .142</w:t>
            </w:r>
          </w:p>
        </w:tc>
      </w:tr>
      <w:tr w:rsidR="00F704F3" w14:paraId="6C7B57F8" w14:textId="77777777" w:rsidTr="001F4390">
        <w:tc>
          <w:tcPr>
            <w:tcW w:w="2880" w:type="dxa"/>
          </w:tcPr>
          <w:p w14:paraId="47F4C720"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Ferritin</w:t>
            </w:r>
          </w:p>
        </w:tc>
        <w:tc>
          <w:tcPr>
            <w:tcW w:w="1694" w:type="dxa"/>
          </w:tcPr>
          <w:p w14:paraId="1487EBD2" w14:textId="77777777" w:rsidR="00F704F3" w:rsidRDefault="00F704F3" w:rsidP="00F73C34">
            <w:pPr>
              <w:spacing w:line="480" w:lineRule="auto"/>
              <w:rPr>
                <w:rFonts w:ascii="Arial" w:eastAsia="Arial" w:hAnsi="Arial" w:cs="Arial"/>
              </w:rPr>
            </w:pPr>
            <w:r>
              <w:rPr>
                <w:rFonts w:ascii="Arial" w:eastAsia="Arial" w:hAnsi="Arial" w:cs="Arial"/>
              </w:rPr>
              <w:t>74.16 ± 34.36ᵇ</w:t>
            </w:r>
          </w:p>
        </w:tc>
        <w:tc>
          <w:tcPr>
            <w:tcW w:w="1761" w:type="dxa"/>
          </w:tcPr>
          <w:p w14:paraId="3D6E9EEC" w14:textId="77777777" w:rsidR="00F704F3" w:rsidRDefault="00F704F3" w:rsidP="00F73C34">
            <w:pPr>
              <w:spacing w:line="480" w:lineRule="auto"/>
              <w:rPr>
                <w:rFonts w:ascii="Arial" w:eastAsia="Arial" w:hAnsi="Arial" w:cs="Arial"/>
              </w:rPr>
            </w:pPr>
            <w:r>
              <w:rPr>
                <w:rFonts w:ascii="Arial" w:eastAsia="Arial" w:hAnsi="Arial" w:cs="Arial"/>
              </w:rPr>
              <w:t>65.74 ± 35.05ᵇ</w:t>
            </w:r>
          </w:p>
        </w:tc>
        <w:tc>
          <w:tcPr>
            <w:tcW w:w="1800" w:type="dxa"/>
          </w:tcPr>
          <w:p w14:paraId="57D39016" w14:textId="77777777" w:rsidR="00F704F3" w:rsidRDefault="00F704F3" w:rsidP="00F73C34">
            <w:pPr>
              <w:spacing w:line="480" w:lineRule="auto"/>
              <w:rPr>
                <w:rFonts w:ascii="Arial" w:eastAsia="Arial" w:hAnsi="Arial" w:cs="Arial"/>
              </w:rPr>
            </w:pPr>
            <w:r>
              <w:rPr>
                <w:rFonts w:ascii="Arial" w:eastAsia="Arial" w:hAnsi="Arial" w:cs="Arial"/>
              </w:rPr>
              <w:t>30.89 ± 6.47ᵃ</w:t>
            </w:r>
          </w:p>
        </w:tc>
        <w:tc>
          <w:tcPr>
            <w:tcW w:w="1188" w:type="dxa"/>
          </w:tcPr>
          <w:p w14:paraId="6A4B795A" w14:textId="77777777" w:rsidR="00F704F3" w:rsidRDefault="00F704F3" w:rsidP="00F73C34">
            <w:pPr>
              <w:spacing w:line="480" w:lineRule="auto"/>
              <w:rPr>
                <w:rFonts w:ascii="Arial" w:eastAsia="Arial" w:hAnsi="Arial" w:cs="Arial"/>
              </w:rPr>
            </w:pPr>
            <w:r>
              <w:rPr>
                <w:rFonts w:ascii="Arial" w:eastAsia="Arial" w:hAnsi="Arial" w:cs="Arial"/>
              </w:rPr>
              <w:t>p = .004**</w:t>
            </w:r>
          </w:p>
        </w:tc>
      </w:tr>
      <w:tr w:rsidR="00F704F3" w14:paraId="2ADE5244" w14:textId="77777777" w:rsidTr="001F4390">
        <w:tc>
          <w:tcPr>
            <w:tcW w:w="2880" w:type="dxa"/>
          </w:tcPr>
          <w:p w14:paraId="52EAC2F9"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Serum iron(µg/dL) </w:t>
            </w:r>
          </w:p>
        </w:tc>
        <w:tc>
          <w:tcPr>
            <w:tcW w:w="1694" w:type="dxa"/>
          </w:tcPr>
          <w:p w14:paraId="1346AA4B" w14:textId="77777777" w:rsidR="00F704F3" w:rsidRDefault="00F704F3" w:rsidP="00F73C34">
            <w:pPr>
              <w:spacing w:line="480" w:lineRule="auto"/>
              <w:rPr>
                <w:rFonts w:ascii="Arial" w:eastAsia="Arial" w:hAnsi="Arial" w:cs="Arial"/>
              </w:rPr>
            </w:pPr>
            <w:r>
              <w:rPr>
                <w:rFonts w:ascii="Arial" w:eastAsia="Arial" w:hAnsi="Arial" w:cs="Arial"/>
              </w:rPr>
              <w:t>68.04 ± 20.19ᵃ</w:t>
            </w:r>
          </w:p>
        </w:tc>
        <w:tc>
          <w:tcPr>
            <w:tcW w:w="1761" w:type="dxa"/>
          </w:tcPr>
          <w:p w14:paraId="18FFBEF0" w14:textId="77777777" w:rsidR="00F704F3" w:rsidRDefault="00F704F3" w:rsidP="00F73C34">
            <w:pPr>
              <w:spacing w:line="480" w:lineRule="auto"/>
              <w:rPr>
                <w:rFonts w:ascii="Arial" w:eastAsia="Arial" w:hAnsi="Arial" w:cs="Arial"/>
              </w:rPr>
            </w:pPr>
            <w:r>
              <w:rPr>
                <w:rFonts w:ascii="Arial" w:eastAsia="Arial" w:hAnsi="Arial" w:cs="Arial"/>
              </w:rPr>
              <w:t>61.83 ± 8.35ᵃ</w:t>
            </w:r>
          </w:p>
        </w:tc>
        <w:tc>
          <w:tcPr>
            <w:tcW w:w="1800" w:type="dxa"/>
          </w:tcPr>
          <w:p w14:paraId="264CBFCD" w14:textId="77777777" w:rsidR="00F704F3" w:rsidRDefault="00F704F3" w:rsidP="00F73C34">
            <w:pPr>
              <w:spacing w:line="480" w:lineRule="auto"/>
              <w:rPr>
                <w:rFonts w:ascii="Arial" w:eastAsia="Arial" w:hAnsi="Arial" w:cs="Arial"/>
              </w:rPr>
            </w:pPr>
            <w:r>
              <w:rPr>
                <w:rFonts w:ascii="Arial" w:eastAsia="Arial" w:hAnsi="Arial" w:cs="Arial"/>
              </w:rPr>
              <w:t>58.12 ± 9.43ᵃ</w:t>
            </w:r>
          </w:p>
        </w:tc>
        <w:tc>
          <w:tcPr>
            <w:tcW w:w="1188" w:type="dxa"/>
          </w:tcPr>
          <w:p w14:paraId="6966E14E" w14:textId="77777777" w:rsidR="00F704F3" w:rsidRDefault="00F704F3" w:rsidP="00F73C34">
            <w:pPr>
              <w:spacing w:line="480" w:lineRule="auto"/>
              <w:rPr>
                <w:rFonts w:ascii="Arial" w:eastAsia="Arial" w:hAnsi="Arial" w:cs="Arial"/>
              </w:rPr>
            </w:pPr>
            <w:r>
              <w:rPr>
                <w:rFonts w:ascii="Arial" w:eastAsia="Arial" w:hAnsi="Arial" w:cs="Arial"/>
              </w:rPr>
              <w:t>p = .242</w:t>
            </w:r>
          </w:p>
        </w:tc>
      </w:tr>
      <w:tr w:rsidR="00F704F3" w14:paraId="73BCB980" w14:textId="77777777" w:rsidTr="001F4390">
        <w:tc>
          <w:tcPr>
            <w:tcW w:w="2880" w:type="dxa"/>
          </w:tcPr>
          <w:p w14:paraId="2E06C7E1"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platelet count(×10^9/L)</w:t>
            </w:r>
          </w:p>
        </w:tc>
        <w:tc>
          <w:tcPr>
            <w:tcW w:w="1694" w:type="dxa"/>
          </w:tcPr>
          <w:p w14:paraId="552EE006" w14:textId="77777777" w:rsidR="00F704F3" w:rsidRDefault="00F704F3" w:rsidP="00F73C34">
            <w:pPr>
              <w:spacing w:line="480" w:lineRule="auto"/>
              <w:rPr>
                <w:rFonts w:ascii="Arial" w:eastAsia="Arial" w:hAnsi="Arial" w:cs="Arial"/>
              </w:rPr>
            </w:pPr>
            <w:r>
              <w:rPr>
                <w:rFonts w:ascii="Arial" w:eastAsia="Arial" w:hAnsi="Arial" w:cs="Arial"/>
              </w:rPr>
              <w:t>204.00 ± 68.12ᵃ</w:t>
            </w:r>
          </w:p>
        </w:tc>
        <w:tc>
          <w:tcPr>
            <w:tcW w:w="1761" w:type="dxa"/>
          </w:tcPr>
          <w:p w14:paraId="0255257E" w14:textId="77777777" w:rsidR="00F704F3" w:rsidRDefault="00F704F3" w:rsidP="00F73C34">
            <w:pPr>
              <w:spacing w:line="480" w:lineRule="auto"/>
              <w:rPr>
                <w:rFonts w:ascii="Arial" w:eastAsia="Arial" w:hAnsi="Arial" w:cs="Arial"/>
              </w:rPr>
            </w:pPr>
            <w:r>
              <w:rPr>
                <w:rFonts w:ascii="Arial" w:eastAsia="Arial" w:hAnsi="Arial" w:cs="Arial"/>
              </w:rPr>
              <w:t>224.69 ± 36.82ᵃ</w:t>
            </w:r>
          </w:p>
        </w:tc>
        <w:tc>
          <w:tcPr>
            <w:tcW w:w="1800" w:type="dxa"/>
          </w:tcPr>
          <w:p w14:paraId="178C080D" w14:textId="77777777" w:rsidR="00F704F3" w:rsidRDefault="00F704F3" w:rsidP="00F73C34">
            <w:pPr>
              <w:spacing w:line="480" w:lineRule="auto"/>
              <w:rPr>
                <w:rFonts w:ascii="Arial" w:eastAsia="Arial" w:hAnsi="Arial" w:cs="Arial"/>
              </w:rPr>
            </w:pPr>
            <w:r>
              <w:rPr>
                <w:rFonts w:ascii="Arial" w:eastAsia="Arial" w:hAnsi="Arial" w:cs="Arial"/>
              </w:rPr>
              <w:t>218.40 ± 101.72ᵃ</w:t>
            </w:r>
          </w:p>
        </w:tc>
        <w:tc>
          <w:tcPr>
            <w:tcW w:w="1188" w:type="dxa"/>
          </w:tcPr>
          <w:p w14:paraId="721D93D1" w14:textId="77777777" w:rsidR="00F704F3" w:rsidRDefault="00F704F3" w:rsidP="00F73C34">
            <w:pPr>
              <w:spacing w:line="480" w:lineRule="auto"/>
              <w:rPr>
                <w:rFonts w:ascii="Arial" w:eastAsia="Arial" w:hAnsi="Arial" w:cs="Arial"/>
              </w:rPr>
            </w:pPr>
            <w:r>
              <w:rPr>
                <w:rFonts w:ascii="Arial" w:eastAsia="Arial" w:hAnsi="Arial" w:cs="Arial"/>
              </w:rPr>
              <w:t>p = .750</w:t>
            </w:r>
          </w:p>
        </w:tc>
      </w:tr>
      <w:tr w:rsidR="00F704F3" w14:paraId="14665865" w14:textId="77777777" w:rsidTr="001F4390">
        <w:tc>
          <w:tcPr>
            <w:tcW w:w="2880" w:type="dxa"/>
          </w:tcPr>
          <w:p w14:paraId="2A255804"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White blood cell(×10^9/L)</w:t>
            </w:r>
          </w:p>
        </w:tc>
        <w:tc>
          <w:tcPr>
            <w:tcW w:w="1694" w:type="dxa"/>
          </w:tcPr>
          <w:p w14:paraId="75AE564F" w14:textId="77777777" w:rsidR="00F704F3" w:rsidRDefault="00F704F3" w:rsidP="00F73C34">
            <w:pPr>
              <w:spacing w:line="480" w:lineRule="auto"/>
              <w:rPr>
                <w:rFonts w:ascii="Arial" w:eastAsia="Arial" w:hAnsi="Arial" w:cs="Arial"/>
              </w:rPr>
            </w:pPr>
            <w:r>
              <w:rPr>
                <w:rFonts w:ascii="Arial" w:eastAsia="Arial" w:hAnsi="Arial" w:cs="Arial"/>
              </w:rPr>
              <w:t>7.58 ± 2.24ᵃ</w:t>
            </w:r>
          </w:p>
        </w:tc>
        <w:tc>
          <w:tcPr>
            <w:tcW w:w="1761" w:type="dxa"/>
          </w:tcPr>
          <w:p w14:paraId="3C321221" w14:textId="77777777" w:rsidR="00F704F3" w:rsidRDefault="00F704F3" w:rsidP="00F73C34">
            <w:pPr>
              <w:spacing w:line="480" w:lineRule="auto"/>
              <w:rPr>
                <w:rFonts w:ascii="Arial" w:eastAsia="Arial" w:hAnsi="Arial" w:cs="Arial"/>
              </w:rPr>
            </w:pPr>
            <w:r>
              <w:rPr>
                <w:rFonts w:ascii="Arial" w:eastAsia="Arial" w:hAnsi="Arial" w:cs="Arial"/>
              </w:rPr>
              <w:t>7.15 ± 1.78ᵃ</w:t>
            </w:r>
          </w:p>
        </w:tc>
        <w:tc>
          <w:tcPr>
            <w:tcW w:w="1800" w:type="dxa"/>
          </w:tcPr>
          <w:p w14:paraId="67EE5886" w14:textId="77777777" w:rsidR="00F704F3" w:rsidRDefault="00F704F3" w:rsidP="00F73C34">
            <w:pPr>
              <w:spacing w:line="480" w:lineRule="auto"/>
              <w:rPr>
                <w:rFonts w:ascii="Arial" w:eastAsia="Arial" w:hAnsi="Arial" w:cs="Arial"/>
              </w:rPr>
            </w:pPr>
            <w:r>
              <w:rPr>
                <w:rFonts w:ascii="Arial" w:eastAsia="Arial" w:hAnsi="Arial" w:cs="Arial"/>
              </w:rPr>
              <w:t>7.29 ± 2.34ᵃ</w:t>
            </w:r>
          </w:p>
        </w:tc>
        <w:tc>
          <w:tcPr>
            <w:tcW w:w="1188" w:type="dxa"/>
          </w:tcPr>
          <w:p w14:paraId="3DC6F308" w14:textId="77777777" w:rsidR="00F704F3" w:rsidRDefault="00F704F3" w:rsidP="00F73C34">
            <w:pPr>
              <w:spacing w:line="480" w:lineRule="auto"/>
              <w:rPr>
                <w:rFonts w:ascii="Arial" w:eastAsia="Arial" w:hAnsi="Arial" w:cs="Arial"/>
              </w:rPr>
            </w:pPr>
            <w:r>
              <w:rPr>
                <w:rFonts w:ascii="Arial" w:eastAsia="Arial" w:hAnsi="Arial" w:cs="Arial"/>
              </w:rPr>
              <w:t>p = .870</w:t>
            </w:r>
          </w:p>
        </w:tc>
      </w:tr>
      <w:tr w:rsidR="00F704F3" w14:paraId="5320CF58" w14:textId="77777777" w:rsidTr="001F4390">
        <w:tc>
          <w:tcPr>
            <w:tcW w:w="2880" w:type="dxa"/>
          </w:tcPr>
          <w:p w14:paraId="3559D00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Neutrophil (%)</w:t>
            </w:r>
          </w:p>
        </w:tc>
        <w:tc>
          <w:tcPr>
            <w:tcW w:w="1694" w:type="dxa"/>
          </w:tcPr>
          <w:p w14:paraId="518EF60F" w14:textId="77777777" w:rsidR="00F704F3" w:rsidRDefault="00F704F3" w:rsidP="00F73C34">
            <w:pPr>
              <w:spacing w:line="480" w:lineRule="auto"/>
              <w:rPr>
                <w:rFonts w:ascii="Arial" w:eastAsia="Arial" w:hAnsi="Arial" w:cs="Arial"/>
              </w:rPr>
            </w:pPr>
            <w:r>
              <w:rPr>
                <w:rFonts w:ascii="Arial" w:eastAsia="Arial" w:hAnsi="Arial" w:cs="Arial"/>
              </w:rPr>
              <w:t>63.00 ± 7.66ᵃ</w:t>
            </w:r>
          </w:p>
        </w:tc>
        <w:tc>
          <w:tcPr>
            <w:tcW w:w="1761" w:type="dxa"/>
          </w:tcPr>
          <w:p w14:paraId="748282E6" w14:textId="77777777" w:rsidR="00F704F3" w:rsidRDefault="00F704F3" w:rsidP="00F73C34">
            <w:pPr>
              <w:spacing w:line="480" w:lineRule="auto"/>
              <w:rPr>
                <w:rFonts w:ascii="Arial" w:eastAsia="Arial" w:hAnsi="Arial" w:cs="Arial"/>
              </w:rPr>
            </w:pPr>
            <w:r>
              <w:rPr>
                <w:rFonts w:ascii="Arial" w:eastAsia="Arial" w:hAnsi="Arial" w:cs="Arial"/>
              </w:rPr>
              <w:t>62.54 ± 12.03ᵃ</w:t>
            </w:r>
          </w:p>
        </w:tc>
        <w:tc>
          <w:tcPr>
            <w:tcW w:w="1800" w:type="dxa"/>
          </w:tcPr>
          <w:p w14:paraId="4DE4AF82" w14:textId="77777777" w:rsidR="00F704F3" w:rsidRDefault="00F704F3" w:rsidP="00F73C34">
            <w:pPr>
              <w:spacing w:line="480" w:lineRule="auto"/>
              <w:rPr>
                <w:rFonts w:ascii="Arial" w:eastAsia="Arial" w:hAnsi="Arial" w:cs="Arial"/>
              </w:rPr>
            </w:pPr>
            <w:r>
              <w:rPr>
                <w:rFonts w:ascii="Arial" w:eastAsia="Arial" w:hAnsi="Arial" w:cs="Arial"/>
              </w:rPr>
              <w:t>65.20 ± 6.12ᵃ</w:t>
            </w:r>
          </w:p>
        </w:tc>
        <w:tc>
          <w:tcPr>
            <w:tcW w:w="1188" w:type="dxa"/>
          </w:tcPr>
          <w:p w14:paraId="592DF51A" w14:textId="77777777" w:rsidR="00F704F3" w:rsidRDefault="00F704F3" w:rsidP="00F73C34">
            <w:pPr>
              <w:spacing w:line="480" w:lineRule="auto"/>
              <w:rPr>
                <w:rFonts w:ascii="Arial" w:eastAsia="Arial" w:hAnsi="Arial" w:cs="Arial"/>
              </w:rPr>
            </w:pPr>
            <w:r>
              <w:rPr>
                <w:rFonts w:ascii="Arial" w:eastAsia="Arial" w:hAnsi="Arial" w:cs="Arial"/>
              </w:rPr>
              <w:t>p = .771</w:t>
            </w:r>
          </w:p>
        </w:tc>
      </w:tr>
      <w:tr w:rsidR="00F704F3" w14:paraId="1B78FE6C" w14:textId="77777777" w:rsidTr="001F4390">
        <w:tc>
          <w:tcPr>
            <w:tcW w:w="2880" w:type="dxa"/>
          </w:tcPr>
          <w:p w14:paraId="2CBF483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Lymphocyte (%)</w:t>
            </w:r>
          </w:p>
        </w:tc>
        <w:tc>
          <w:tcPr>
            <w:tcW w:w="1694" w:type="dxa"/>
          </w:tcPr>
          <w:p w14:paraId="41418F37" w14:textId="77777777" w:rsidR="00F704F3" w:rsidRDefault="00F704F3" w:rsidP="00F73C34">
            <w:pPr>
              <w:spacing w:line="480" w:lineRule="auto"/>
              <w:rPr>
                <w:rFonts w:ascii="Arial" w:eastAsia="Arial" w:hAnsi="Arial" w:cs="Arial"/>
              </w:rPr>
            </w:pPr>
            <w:r>
              <w:rPr>
                <w:rFonts w:ascii="Arial" w:eastAsia="Arial" w:hAnsi="Arial" w:cs="Arial"/>
              </w:rPr>
              <w:t>32.54 ± 8.42ᵃ</w:t>
            </w:r>
          </w:p>
        </w:tc>
        <w:tc>
          <w:tcPr>
            <w:tcW w:w="1761" w:type="dxa"/>
          </w:tcPr>
          <w:p w14:paraId="0B1FFDC9" w14:textId="77777777" w:rsidR="00F704F3" w:rsidRDefault="00F704F3" w:rsidP="00F73C34">
            <w:pPr>
              <w:spacing w:line="480" w:lineRule="auto"/>
              <w:rPr>
                <w:rFonts w:ascii="Arial" w:eastAsia="Arial" w:hAnsi="Arial" w:cs="Arial"/>
              </w:rPr>
            </w:pPr>
            <w:r>
              <w:rPr>
                <w:rFonts w:ascii="Arial" w:eastAsia="Arial" w:hAnsi="Arial" w:cs="Arial"/>
              </w:rPr>
              <w:t>32.62 ± 11.06ᵃ</w:t>
            </w:r>
          </w:p>
        </w:tc>
        <w:tc>
          <w:tcPr>
            <w:tcW w:w="1800" w:type="dxa"/>
          </w:tcPr>
          <w:p w14:paraId="6557C276" w14:textId="77777777" w:rsidR="00F704F3" w:rsidRDefault="00F704F3" w:rsidP="00F73C34">
            <w:pPr>
              <w:spacing w:line="480" w:lineRule="auto"/>
              <w:rPr>
                <w:rFonts w:ascii="Arial" w:eastAsia="Arial" w:hAnsi="Arial" w:cs="Arial"/>
              </w:rPr>
            </w:pPr>
            <w:r>
              <w:rPr>
                <w:rFonts w:ascii="Arial" w:eastAsia="Arial" w:hAnsi="Arial" w:cs="Arial"/>
              </w:rPr>
              <w:t>29.70 ± 5.46ᵃ</w:t>
            </w:r>
          </w:p>
        </w:tc>
        <w:tc>
          <w:tcPr>
            <w:tcW w:w="1188" w:type="dxa"/>
          </w:tcPr>
          <w:p w14:paraId="72CC1CC7" w14:textId="77777777" w:rsidR="00F704F3" w:rsidRDefault="00F704F3" w:rsidP="00F73C34">
            <w:pPr>
              <w:spacing w:line="480" w:lineRule="auto"/>
              <w:rPr>
                <w:rFonts w:ascii="Arial" w:eastAsia="Arial" w:hAnsi="Arial" w:cs="Arial"/>
              </w:rPr>
            </w:pPr>
            <w:r>
              <w:rPr>
                <w:rFonts w:ascii="Arial" w:eastAsia="Arial" w:hAnsi="Arial" w:cs="Arial"/>
              </w:rPr>
              <w:t>p = .686</w:t>
            </w:r>
          </w:p>
        </w:tc>
      </w:tr>
      <w:tr w:rsidR="00F704F3" w14:paraId="2B1DD84F" w14:textId="77777777" w:rsidTr="001F4390">
        <w:tc>
          <w:tcPr>
            <w:tcW w:w="2880" w:type="dxa"/>
          </w:tcPr>
          <w:p w14:paraId="0BC54017"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Monocyte (%)</w:t>
            </w:r>
          </w:p>
        </w:tc>
        <w:tc>
          <w:tcPr>
            <w:tcW w:w="1694" w:type="dxa"/>
          </w:tcPr>
          <w:p w14:paraId="29387771" w14:textId="77777777" w:rsidR="00F704F3" w:rsidRDefault="00F704F3" w:rsidP="00F73C34">
            <w:pPr>
              <w:spacing w:line="480" w:lineRule="auto"/>
              <w:rPr>
                <w:rFonts w:ascii="Arial" w:eastAsia="Arial" w:hAnsi="Arial" w:cs="Arial"/>
              </w:rPr>
            </w:pPr>
            <w:r>
              <w:rPr>
                <w:rFonts w:ascii="Arial" w:eastAsia="Arial" w:hAnsi="Arial" w:cs="Arial"/>
              </w:rPr>
              <w:t>2.54 ± 0.88ᵃ</w:t>
            </w:r>
          </w:p>
        </w:tc>
        <w:tc>
          <w:tcPr>
            <w:tcW w:w="1761" w:type="dxa"/>
          </w:tcPr>
          <w:p w14:paraId="764AEFA8" w14:textId="77777777" w:rsidR="00F704F3" w:rsidRDefault="00F704F3" w:rsidP="00F73C34">
            <w:pPr>
              <w:spacing w:line="480" w:lineRule="auto"/>
              <w:rPr>
                <w:rFonts w:ascii="Arial" w:eastAsia="Arial" w:hAnsi="Arial" w:cs="Arial"/>
              </w:rPr>
            </w:pPr>
            <w:r>
              <w:rPr>
                <w:rFonts w:ascii="Arial" w:eastAsia="Arial" w:hAnsi="Arial" w:cs="Arial"/>
              </w:rPr>
              <w:t>3.23 ± 1.74ᵃ</w:t>
            </w:r>
          </w:p>
        </w:tc>
        <w:tc>
          <w:tcPr>
            <w:tcW w:w="1800" w:type="dxa"/>
          </w:tcPr>
          <w:p w14:paraId="33D8F66B" w14:textId="77777777" w:rsidR="00F704F3" w:rsidRDefault="00F704F3" w:rsidP="00F73C34">
            <w:pPr>
              <w:spacing w:line="480" w:lineRule="auto"/>
              <w:rPr>
                <w:rFonts w:ascii="Arial" w:eastAsia="Arial" w:hAnsi="Arial" w:cs="Arial"/>
              </w:rPr>
            </w:pPr>
            <w:r>
              <w:rPr>
                <w:rFonts w:ascii="Arial" w:eastAsia="Arial" w:hAnsi="Arial" w:cs="Arial"/>
              </w:rPr>
              <w:t>3.30 ± 2.54ᵃ</w:t>
            </w:r>
          </w:p>
        </w:tc>
        <w:tc>
          <w:tcPr>
            <w:tcW w:w="1188" w:type="dxa"/>
          </w:tcPr>
          <w:p w14:paraId="2572406A" w14:textId="77777777" w:rsidR="00F704F3" w:rsidRDefault="00F704F3" w:rsidP="00F73C34">
            <w:pPr>
              <w:spacing w:line="480" w:lineRule="auto"/>
              <w:rPr>
                <w:rFonts w:ascii="Arial" w:eastAsia="Arial" w:hAnsi="Arial" w:cs="Arial"/>
              </w:rPr>
            </w:pPr>
            <w:r>
              <w:rPr>
                <w:rFonts w:ascii="Arial" w:eastAsia="Arial" w:hAnsi="Arial" w:cs="Arial"/>
              </w:rPr>
              <w:t>p = .507</w:t>
            </w:r>
          </w:p>
        </w:tc>
      </w:tr>
      <w:tr w:rsidR="00F704F3" w14:paraId="0308F2B9" w14:textId="77777777" w:rsidTr="001F4390">
        <w:tc>
          <w:tcPr>
            <w:tcW w:w="2880" w:type="dxa"/>
            <w:tcBorders>
              <w:bottom w:val="single" w:sz="4" w:space="0" w:color="000000"/>
            </w:tcBorders>
          </w:tcPr>
          <w:p w14:paraId="33001236"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Eosinophil (%)</w:t>
            </w:r>
          </w:p>
        </w:tc>
        <w:tc>
          <w:tcPr>
            <w:tcW w:w="1694" w:type="dxa"/>
            <w:tcBorders>
              <w:bottom w:val="single" w:sz="4" w:space="0" w:color="000000"/>
            </w:tcBorders>
          </w:tcPr>
          <w:p w14:paraId="24C76E59" w14:textId="77777777" w:rsidR="00F704F3" w:rsidRDefault="00F704F3" w:rsidP="00F73C34">
            <w:pPr>
              <w:spacing w:line="480" w:lineRule="auto"/>
              <w:rPr>
                <w:rFonts w:ascii="Arial" w:eastAsia="Arial" w:hAnsi="Arial" w:cs="Arial"/>
              </w:rPr>
            </w:pPr>
            <w:r>
              <w:rPr>
                <w:rFonts w:ascii="Arial" w:eastAsia="Arial" w:hAnsi="Arial" w:cs="Arial"/>
              </w:rPr>
              <w:t>1.85 ± 0.90ᵃ</w:t>
            </w:r>
          </w:p>
        </w:tc>
        <w:tc>
          <w:tcPr>
            <w:tcW w:w="1761" w:type="dxa"/>
            <w:tcBorders>
              <w:bottom w:val="single" w:sz="4" w:space="0" w:color="000000"/>
            </w:tcBorders>
          </w:tcPr>
          <w:p w14:paraId="11E0FFD0" w14:textId="77777777" w:rsidR="00F704F3" w:rsidRDefault="00F704F3" w:rsidP="00F73C34">
            <w:pPr>
              <w:spacing w:line="480" w:lineRule="auto"/>
              <w:rPr>
                <w:rFonts w:ascii="Arial" w:eastAsia="Arial" w:hAnsi="Arial" w:cs="Arial"/>
              </w:rPr>
            </w:pPr>
            <w:r>
              <w:rPr>
                <w:rFonts w:ascii="Arial" w:eastAsia="Arial" w:hAnsi="Arial" w:cs="Arial"/>
              </w:rPr>
              <w:t>1.54 ± 0.88ᵃ</w:t>
            </w:r>
          </w:p>
        </w:tc>
        <w:tc>
          <w:tcPr>
            <w:tcW w:w="1800" w:type="dxa"/>
            <w:tcBorders>
              <w:bottom w:val="single" w:sz="4" w:space="0" w:color="000000"/>
            </w:tcBorders>
          </w:tcPr>
          <w:p w14:paraId="7FC279DE" w14:textId="77777777" w:rsidR="00F704F3" w:rsidRDefault="00F704F3" w:rsidP="00F73C34">
            <w:pPr>
              <w:spacing w:line="480" w:lineRule="auto"/>
              <w:rPr>
                <w:rFonts w:ascii="Arial" w:eastAsia="Arial" w:hAnsi="Arial" w:cs="Arial"/>
              </w:rPr>
            </w:pPr>
            <w:r>
              <w:rPr>
                <w:rFonts w:ascii="Arial" w:eastAsia="Arial" w:hAnsi="Arial" w:cs="Arial"/>
              </w:rPr>
              <w:t>1.70 ± 2.45ᵃ</w:t>
            </w:r>
          </w:p>
        </w:tc>
        <w:tc>
          <w:tcPr>
            <w:tcW w:w="1188" w:type="dxa"/>
            <w:tcBorders>
              <w:bottom w:val="single" w:sz="4" w:space="0" w:color="000000"/>
            </w:tcBorders>
          </w:tcPr>
          <w:p w14:paraId="62CA3966" w14:textId="77777777" w:rsidR="00F704F3" w:rsidRDefault="00F704F3" w:rsidP="00F73C34">
            <w:pPr>
              <w:spacing w:line="480" w:lineRule="auto"/>
              <w:rPr>
                <w:rFonts w:ascii="Arial" w:eastAsia="Arial" w:hAnsi="Arial" w:cs="Arial"/>
              </w:rPr>
            </w:pPr>
            <w:r>
              <w:rPr>
                <w:rFonts w:ascii="Arial" w:eastAsia="Arial" w:hAnsi="Arial" w:cs="Arial"/>
              </w:rPr>
              <w:t>p = .871</w:t>
            </w:r>
          </w:p>
        </w:tc>
      </w:tr>
    </w:tbl>
    <w:p w14:paraId="516837D8" w14:textId="60726348" w:rsidR="00F704F3" w:rsidRPr="00CC5ACD" w:rsidRDefault="00360930" w:rsidP="00F704F3">
      <w:pPr>
        <w:spacing w:line="480" w:lineRule="auto"/>
        <w:rPr>
          <w:rFonts w:ascii="Arial" w:hAnsi="Arial" w:cs="Arial"/>
          <w:sz w:val="18"/>
        </w:rPr>
      </w:pPr>
      <w:r w:rsidRPr="00C966FA">
        <w:rPr>
          <w:rFonts w:ascii="Arial" w:hAnsi="Arial" w:cs="Arial"/>
          <w:sz w:val="18"/>
        </w:rPr>
        <w:t>Note. Values are Mean ± SD with per-variable n in parentheses. Superscripts ᵃ and ᵇ indicate Tukey HSD groupings at α = .05; groups that share a letter do not differ; different letters indicate p &lt; .05. 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58E8FE12" w14:textId="6C913CC6" w:rsidR="00F704F3" w:rsidRPr="00F704F3" w:rsidRDefault="00F704F3" w:rsidP="00F704F3">
      <w:pPr>
        <w:spacing w:line="480" w:lineRule="auto"/>
        <w:rPr>
          <w:rFonts w:ascii="Arial" w:eastAsia="Arial" w:hAnsi="Arial" w:cs="Arial"/>
          <w:b/>
        </w:rPr>
      </w:pPr>
      <w:r>
        <w:rPr>
          <w:rFonts w:ascii="Arial" w:eastAsia="Arial" w:hAnsi="Arial" w:cs="Arial"/>
          <w:b/>
        </w:rPr>
        <w:t xml:space="preserve">3.5.2 Endline </w:t>
      </w:r>
      <w:proofErr w:type="spellStart"/>
      <w:r>
        <w:rPr>
          <w:rFonts w:ascii="Arial" w:eastAsia="Arial" w:hAnsi="Arial" w:cs="Arial"/>
          <w:b/>
        </w:rPr>
        <w:t>Haemoglobin</w:t>
      </w:r>
      <w:proofErr w:type="spellEnd"/>
      <w:r>
        <w:rPr>
          <w:rFonts w:ascii="Arial" w:eastAsia="Arial" w:hAnsi="Arial" w:cs="Arial"/>
          <w:b/>
        </w:rPr>
        <w:t xml:space="preserve"> and Blood Parameters indices by intervention</w:t>
      </w:r>
    </w:p>
    <w:p w14:paraId="7D67D6B4" w14:textId="77777777" w:rsidR="00F704F3"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rPr>
        <w:t xml:space="preserve">In Table 6 results present </w:t>
      </w:r>
      <w:r>
        <w:rPr>
          <w:rFonts w:ascii="Arial" w:eastAsia="Arial" w:hAnsi="Arial" w:cs="Arial"/>
          <w:color w:val="000000"/>
          <w:shd w:val="clear" w:color="auto" w:fill="FCFBFB"/>
        </w:rPr>
        <w:t>the effects of multiple micronutrient supplementation (MMS), iron-folic acid (IFA), and a control on blood parameters, finding no statistically significant differences among the groups (</w:t>
      </w:r>
      <w:r w:rsidRPr="003D21D6">
        <w:rPr>
          <w:rFonts w:ascii="Arial" w:eastAsia="Arial" w:hAnsi="Arial" w:cs="Arial"/>
          <w:i/>
          <w:color w:val="000000"/>
          <w:shd w:val="clear" w:color="auto" w:fill="FCFBFB"/>
        </w:rPr>
        <w:t xml:space="preserve">P </w:t>
      </w:r>
      <w:r>
        <w:rPr>
          <w:rFonts w:ascii="Arial" w:eastAsia="Arial" w:hAnsi="Arial" w:cs="Arial"/>
          <w:color w:val="000000"/>
          <w:shd w:val="clear" w:color="auto" w:fill="FCFBFB"/>
        </w:rPr>
        <w:t xml:space="preserve">= .05), as most comparisons shared the superscript “ᵃ”. </w:t>
      </w:r>
      <w:r>
        <w:rPr>
          <w:rFonts w:ascii="Arial" w:eastAsia="Arial" w:hAnsi="Arial" w:cs="Arial"/>
        </w:rPr>
        <w:t>These findings align with those of Keats et al. (2019), suggesting that MMS and IFA may have similar anemia-prevention effects</w:t>
      </w:r>
      <w:r>
        <w:rPr>
          <w:rFonts w:ascii="Arial" w:eastAsia="Arial" w:hAnsi="Arial" w:cs="Arial"/>
          <w:color w:val="000000"/>
          <w:shd w:val="clear" w:color="auto" w:fill="FCFBFB"/>
        </w:rPr>
        <w:t xml:space="preserve">. </w:t>
      </w:r>
    </w:p>
    <w:p w14:paraId="03D73868" w14:textId="37B6A125" w:rsidR="00360930" w:rsidRPr="0050148E"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color w:val="000000"/>
          <w:shd w:val="clear" w:color="auto" w:fill="FCFBFB"/>
        </w:rPr>
        <w:lastRenderedPageBreak/>
        <w:t xml:space="preserve">IFA led to slightly higher MCV, MCH, Hb, and ferritin levels than MMS, but these differences were not significant, indicating similar overall outcomes. While MMS supports general nutrition, due added vitamins and minerals, IFA appears more effective for anemia correction. Similar findings were reported in Bangladesh, where MMS did not outperform IFA (Ahmed et al., 2019), though some studies suggest modest hemoglobin improvements with MMS due to synergistic micronutrients like Vitamin C and A (Shankar &amp; Haider, 2013; Smith et al., 2017). Variability in responses may be due to baseline differences and short intervention periods. The increase in ferritin in the control group and Hb in the IFA group reflects heterogeneous responses influenced by sample size and initial iron status (Haider et al., 2013; </w:t>
      </w:r>
      <w:proofErr w:type="spellStart"/>
      <w:r>
        <w:rPr>
          <w:rFonts w:ascii="Arial" w:eastAsia="Arial" w:hAnsi="Arial" w:cs="Arial"/>
          <w:color w:val="000000"/>
          <w:shd w:val="clear" w:color="auto" w:fill="FCFBFB"/>
        </w:rPr>
        <w:t>Pavord</w:t>
      </w:r>
      <w:proofErr w:type="spellEnd"/>
      <w:r>
        <w:rPr>
          <w:rFonts w:ascii="Arial" w:eastAsia="Arial" w:hAnsi="Arial" w:cs="Arial"/>
          <w:color w:val="000000"/>
          <w:shd w:val="clear" w:color="auto" w:fill="FCFBFB"/>
        </w:rPr>
        <w:t xml:space="preserve"> et al., 2020; Mwangi et al., 2017). Additionally, no significant changes in white blood cell differentials were observed, indicating the absence of notable immune or infectious issues in the participants, and suggesting the supplementation did not impact immune cell production, possibly due to sufficient folate and B12 levels.</w:t>
      </w:r>
    </w:p>
    <w:p w14:paraId="2E6C7344" w14:textId="77777777" w:rsidR="00F704F3" w:rsidRDefault="00F704F3" w:rsidP="00F704F3">
      <w:pPr>
        <w:tabs>
          <w:tab w:val="left" w:pos="1700"/>
          <w:tab w:val="left" w:pos="1873"/>
        </w:tabs>
        <w:spacing w:line="480" w:lineRule="auto"/>
        <w:rPr>
          <w:rFonts w:ascii="Arial" w:eastAsia="Arial" w:hAnsi="Arial" w:cs="Arial"/>
          <w:b/>
        </w:rPr>
      </w:pPr>
      <w:r>
        <w:rPr>
          <w:rFonts w:ascii="Arial" w:eastAsia="Arial" w:hAnsi="Arial" w:cs="Arial"/>
          <w:b/>
        </w:rPr>
        <w:t xml:space="preserve">Table 6. Endline </w:t>
      </w:r>
      <w:proofErr w:type="spellStart"/>
      <w:r>
        <w:rPr>
          <w:rFonts w:ascii="Arial" w:eastAsia="Arial" w:hAnsi="Arial" w:cs="Arial"/>
          <w:b/>
        </w:rPr>
        <w:t>Haemoglobin</w:t>
      </w:r>
      <w:proofErr w:type="spellEnd"/>
      <w:r>
        <w:rPr>
          <w:rFonts w:ascii="Arial" w:eastAsia="Arial" w:hAnsi="Arial" w:cs="Arial"/>
          <w:b/>
        </w:rPr>
        <w:t xml:space="preserve"> and Blood Parameters indices for intervention</w:t>
      </w:r>
    </w:p>
    <w:tbl>
      <w:tblPr>
        <w:tblW w:w="9666" w:type="dxa"/>
        <w:tblLayout w:type="fixed"/>
        <w:tblLook w:val="0400" w:firstRow="0" w:lastRow="0" w:firstColumn="0" w:lastColumn="0" w:noHBand="0" w:noVBand="1"/>
      </w:tblPr>
      <w:tblGrid>
        <w:gridCol w:w="2322"/>
        <w:gridCol w:w="558"/>
        <w:gridCol w:w="1260"/>
        <w:gridCol w:w="378"/>
        <w:gridCol w:w="1332"/>
        <w:gridCol w:w="378"/>
        <w:gridCol w:w="1332"/>
        <w:gridCol w:w="378"/>
        <w:gridCol w:w="1350"/>
        <w:gridCol w:w="378"/>
      </w:tblGrid>
      <w:tr w:rsidR="00F704F3" w14:paraId="755E6DA3" w14:textId="77777777" w:rsidTr="00D14B96">
        <w:trPr>
          <w:gridAfter w:val="1"/>
          <w:wAfter w:w="378" w:type="dxa"/>
        </w:trPr>
        <w:tc>
          <w:tcPr>
            <w:tcW w:w="2322" w:type="dxa"/>
            <w:tcBorders>
              <w:top w:val="single" w:sz="4" w:space="0" w:color="000000"/>
              <w:bottom w:val="single" w:sz="4" w:space="0" w:color="000000"/>
            </w:tcBorders>
          </w:tcPr>
          <w:p w14:paraId="118EB18D" w14:textId="77777777" w:rsidR="00F704F3" w:rsidRDefault="00F704F3" w:rsidP="00F73C34">
            <w:pPr>
              <w:spacing w:line="480" w:lineRule="auto"/>
              <w:rPr>
                <w:rFonts w:ascii="Arial" w:eastAsia="Arial" w:hAnsi="Arial" w:cs="Arial"/>
                <w:b/>
              </w:rPr>
            </w:pPr>
            <w:r>
              <w:rPr>
                <w:rFonts w:ascii="Arial" w:eastAsia="Arial" w:hAnsi="Arial" w:cs="Arial"/>
                <w:b/>
              </w:rPr>
              <w:t>Variable (endline)</w:t>
            </w:r>
          </w:p>
        </w:tc>
        <w:tc>
          <w:tcPr>
            <w:tcW w:w="1818" w:type="dxa"/>
            <w:gridSpan w:val="2"/>
            <w:tcBorders>
              <w:top w:val="single" w:sz="4" w:space="0" w:color="000000"/>
              <w:bottom w:val="single" w:sz="4" w:space="0" w:color="000000"/>
            </w:tcBorders>
          </w:tcPr>
          <w:p w14:paraId="2A3E2A64"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10" w:type="dxa"/>
            <w:gridSpan w:val="2"/>
            <w:tcBorders>
              <w:top w:val="single" w:sz="4" w:space="0" w:color="000000"/>
              <w:bottom w:val="single" w:sz="4" w:space="0" w:color="000000"/>
            </w:tcBorders>
          </w:tcPr>
          <w:p w14:paraId="2DED12B3" w14:textId="77777777" w:rsidR="00F704F3" w:rsidRDefault="00F704F3" w:rsidP="00F73C34">
            <w:pPr>
              <w:spacing w:line="480" w:lineRule="auto"/>
              <w:rPr>
                <w:rFonts w:ascii="Arial" w:eastAsia="Arial" w:hAnsi="Arial" w:cs="Arial"/>
                <w:b/>
              </w:rPr>
            </w:pPr>
            <w:r>
              <w:rPr>
                <w:rFonts w:ascii="Arial" w:eastAsia="Arial" w:hAnsi="Arial" w:cs="Arial"/>
                <w:b/>
              </w:rPr>
              <w:t>IFA</w:t>
            </w:r>
          </w:p>
        </w:tc>
        <w:tc>
          <w:tcPr>
            <w:tcW w:w="1710" w:type="dxa"/>
            <w:gridSpan w:val="2"/>
            <w:tcBorders>
              <w:top w:val="single" w:sz="4" w:space="0" w:color="000000"/>
              <w:bottom w:val="single" w:sz="4" w:space="0" w:color="000000"/>
            </w:tcBorders>
          </w:tcPr>
          <w:p w14:paraId="7AF324BB"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728" w:type="dxa"/>
            <w:gridSpan w:val="2"/>
            <w:tcBorders>
              <w:top w:val="single" w:sz="4" w:space="0" w:color="000000"/>
              <w:bottom w:val="single" w:sz="4" w:space="0" w:color="000000"/>
            </w:tcBorders>
          </w:tcPr>
          <w:p w14:paraId="5CD5139E" w14:textId="77777777" w:rsidR="00F704F3" w:rsidRDefault="00F704F3" w:rsidP="00F73C34">
            <w:pPr>
              <w:spacing w:line="480" w:lineRule="auto"/>
              <w:rPr>
                <w:rFonts w:ascii="Arial" w:eastAsia="Arial" w:hAnsi="Arial" w:cs="Arial"/>
                <w:b/>
              </w:rPr>
            </w:pPr>
            <w:r>
              <w:rPr>
                <w:rFonts w:ascii="Arial" w:eastAsia="Arial" w:hAnsi="Arial" w:cs="Arial"/>
                <w:b/>
              </w:rPr>
              <w:t xml:space="preserve">ANOVA </w:t>
            </w:r>
          </w:p>
        </w:tc>
      </w:tr>
      <w:tr w:rsidR="00F704F3" w14:paraId="71EA09B4" w14:textId="77777777" w:rsidTr="00D14B96">
        <w:tc>
          <w:tcPr>
            <w:tcW w:w="2880" w:type="dxa"/>
            <w:gridSpan w:val="2"/>
            <w:tcBorders>
              <w:top w:val="single" w:sz="4" w:space="0" w:color="000000"/>
            </w:tcBorders>
          </w:tcPr>
          <w:p w14:paraId="42A0ECD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38" w:type="dxa"/>
            <w:gridSpan w:val="2"/>
            <w:tcBorders>
              <w:top w:val="single" w:sz="4" w:space="0" w:color="000000"/>
            </w:tcBorders>
          </w:tcPr>
          <w:p w14:paraId="32ABD4CB" w14:textId="77777777" w:rsidR="00F704F3" w:rsidRDefault="00F704F3" w:rsidP="00F73C34">
            <w:pPr>
              <w:spacing w:line="480" w:lineRule="auto"/>
              <w:rPr>
                <w:rFonts w:ascii="Arial" w:eastAsia="Arial" w:hAnsi="Arial" w:cs="Arial"/>
              </w:rPr>
            </w:pPr>
            <w:r>
              <w:rPr>
                <w:rFonts w:ascii="Arial" w:eastAsia="Arial" w:hAnsi="Arial" w:cs="Arial"/>
              </w:rPr>
              <w:t>31.69 ± 3.50ᵃ</w:t>
            </w:r>
          </w:p>
        </w:tc>
        <w:tc>
          <w:tcPr>
            <w:tcW w:w="1710" w:type="dxa"/>
            <w:gridSpan w:val="2"/>
            <w:tcBorders>
              <w:top w:val="single" w:sz="4" w:space="0" w:color="000000"/>
            </w:tcBorders>
          </w:tcPr>
          <w:p w14:paraId="050F48EA" w14:textId="77777777" w:rsidR="00F704F3" w:rsidRDefault="00F704F3" w:rsidP="00F73C34">
            <w:pPr>
              <w:spacing w:line="480" w:lineRule="auto"/>
              <w:rPr>
                <w:rFonts w:ascii="Arial" w:eastAsia="Arial" w:hAnsi="Arial" w:cs="Arial"/>
              </w:rPr>
            </w:pPr>
            <w:r>
              <w:rPr>
                <w:rFonts w:ascii="Arial" w:eastAsia="Arial" w:hAnsi="Arial" w:cs="Arial"/>
              </w:rPr>
              <w:t>32.92 ± 3.77ᵃ</w:t>
            </w:r>
          </w:p>
        </w:tc>
        <w:tc>
          <w:tcPr>
            <w:tcW w:w="1710" w:type="dxa"/>
            <w:gridSpan w:val="2"/>
            <w:tcBorders>
              <w:top w:val="single" w:sz="4" w:space="0" w:color="000000"/>
            </w:tcBorders>
          </w:tcPr>
          <w:p w14:paraId="366CF254" w14:textId="77777777" w:rsidR="00F704F3" w:rsidRDefault="00F704F3" w:rsidP="00F73C34">
            <w:pPr>
              <w:spacing w:line="480" w:lineRule="auto"/>
              <w:rPr>
                <w:rFonts w:ascii="Arial" w:eastAsia="Arial" w:hAnsi="Arial" w:cs="Arial"/>
              </w:rPr>
            </w:pPr>
            <w:r>
              <w:rPr>
                <w:rFonts w:ascii="Arial" w:eastAsia="Arial" w:hAnsi="Arial" w:cs="Arial"/>
              </w:rPr>
              <w:t>32.80 ± 2.86ᵃ</w:t>
            </w:r>
          </w:p>
        </w:tc>
        <w:tc>
          <w:tcPr>
            <w:tcW w:w="1728" w:type="dxa"/>
            <w:gridSpan w:val="2"/>
            <w:tcBorders>
              <w:top w:val="single" w:sz="4" w:space="0" w:color="000000"/>
            </w:tcBorders>
          </w:tcPr>
          <w:p w14:paraId="0C9958A2" w14:textId="77777777" w:rsidR="00F704F3" w:rsidRDefault="00F704F3" w:rsidP="00F73C34">
            <w:pPr>
              <w:spacing w:line="480" w:lineRule="auto"/>
              <w:rPr>
                <w:rFonts w:ascii="Arial" w:eastAsia="Arial" w:hAnsi="Arial" w:cs="Arial"/>
              </w:rPr>
            </w:pPr>
            <w:r>
              <w:rPr>
                <w:rFonts w:ascii="Arial" w:eastAsia="Arial" w:hAnsi="Arial" w:cs="Arial"/>
              </w:rPr>
              <w:t>p = .618</w:t>
            </w:r>
          </w:p>
        </w:tc>
      </w:tr>
      <w:tr w:rsidR="00F704F3" w14:paraId="44BFD161" w14:textId="77777777" w:rsidTr="00D14B96">
        <w:tc>
          <w:tcPr>
            <w:tcW w:w="2880" w:type="dxa"/>
            <w:gridSpan w:val="2"/>
          </w:tcPr>
          <w:p w14:paraId="3A8329D7" w14:textId="77777777" w:rsidR="00F704F3" w:rsidRDefault="00F704F3" w:rsidP="00F73C34">
            <w:pPr>
              <w:spacing w:line="480" w:lineRule="auto"/>
              <w:rPr>
                <w:rFonts w:ascii="Arial" w:eastAsia="Arial" w:hAnsi="Arial" w:cs="Arial"/>
              </w:rPr>
            </w:pPr>
            <w:proofErr w:type="spellStart"/>
            <w:proofErr w:type="gramStart"/>
            <w:r w:rsidRPr="00B216A9">
              <w:rPr>
                <w:rFonts w:ascii="Arial" w:eastAsia="Arial" w:hAnsi="Arial" w:cs="Arial"/>
                <w:b/>
              </w:rPr>
              <w:t>Haemoglobin</w:t>
            </w:r>
            <w:proofErr w:type="spellEnd"/>
            <w:r w:rsidRPr="00B216A9">
              <w:rPr>
                <w:rFonts w:ascii="Arial" w:eastAsia="Arial" w:hAnsi="Arial" w:cs="Arial"/>
                <w:b/>
              </w:rPr>
              <w:t xml:space="preserve">  (</w:t>
            </w:r>
            <w:proofErr w:type="gramEnd"/>
            <w:r w:rsidRPr="00B216A9">
              <w:rPr>
                <w:rFonts w:ascii="Arial" w:eastAsia="Arial" w:hAnsi="Arial" w:cs="Arial"/>
                <w:b/>
              </w:rPr>
              <w:t xml:space="preserve">g/dL) </w:t>
            </w:r>
          </w:p>
        </w:tc>
        <w:tc>
          <w:tcPr>
            <w:tcW w:w="1638" w:type="dxa"/>
            <w:gridSpan w:val="2"/>
          </w:tcPr>
          <w:p w14:paraId="54E8E2DD" w14:textId="77777777" w:rsidR="00F704F3" w:rsidRDefault="00F704F3" w:rsidP="00F73C34">
            <w:pPr>
              <w:spacing w:line="480" w:lineRule="auto"/>
              <w:rPr>
                <w:rFonts w:ascii="Arial" w:eastAsia="Arial" w:hAnsi="Arial" w:cs="Arial"/>
              </w:rPr>
            </w:pPr>
            <w:r>
              <w:rPr>
                <w:rFonts w:ascii="Arial" w:eastAsia="Arial" w:hAnsi="Arial" w:cs="Arial"/>
              </w:rPr>
              <w:t>10.43 ± 1.07ᵃ</w:t>
            </w:r>
          </w:p>
        </w:tc>
        <w:tc>
          <w:tcPr>
            <w:tcW w:w="1710" w:type="dxa"/>
            <w:gridSpan w:val="2"/>
          </w:tcPr>
          <w:p w14:paraId="05541640" w14:textId="77777777" w:rsidR="00F704F3" w:rsidRDefault="00F704F3" w:rsidP="00F73C34">
            <w:pPr>
              <w:spacing w:line="480" w:lineRule="auto"/>
              <w:rPr>
                <w:rFonts w:ascii="Arial" w:eastAsia="Arial" w:hAnsi="Arial" w:cs="Arial"/>
              </w:rPr>
            </w:pPr>
            <w:r>
              <w:rPr>
                <w:rFonts w:ascii="Arial" w:eastAsia="Arial" w:hAnsi="Arial" w:cs="Arial"/>
              </w:rPr>
              <w:t>10.93 ± 1.29ᵃ</w:t>
            </w:r>
          </w:p>
        </w:tc>
        <w:tc>
          <w:tcPr>
            <w:tcW w:w="1710" w:type="dxa"/>
            <w:gridSpan w:val="2"/>
          </w:tcPr>
          <w:p w14:paraId="05E64030" w14:textId="77777777" w:rsidR="00F704F3" w:rsidRDefault="00F704F3" w:rsidP="00F73C34">
            <w:pPr>
              <w:spacing w:line="480" w:lineRule="auto"/>
              <w:rPr>
                <w:rFonts w:ascii="Arial" w:eastAsia="Arial" w:hAnsi="Arial" w:cs="Arial"/>
              </w:rPr>
            </w:pPr>
            <w:r>
              <w:rPr>
                <w:rFonts w:ascii="Arial" w:eastAsia="Arial" w:hAnsi="Arial" w:cs="Arial"/>
              </w:rPr>
              <w:t>10.85 ± 0.95ᵃ</w:t>
            </w:r>
          </w:p>
        </w:tc>
        <w:tc>
          <w:tcPr>
            <w:tcW w:w="1728" w:type="dxa"/>
            <w:gridSpan w:val="2"/>
          </w:tcPr>
          <w:p w14:paraId="6D3927FC" w14:textId="77777777" w:rsidR="00F704F3" w:rsidRDefault="00F704F3" w:rsidP="00F73C34">
            <w:pPr>
              <w:spacing w:line="480" w:lineRule="auto"/>
              <w:rPr>
                <w:rFonts w:ascii="Arial" w:eastAsia="Arial" w:hAnsi="Arial" w:cs="Arial"/>
              </w:rPr>
            </w:pPr>
            <w:r>
              <w:rPr>
                <w:rFonts w:ascii="Arial" w:eastAsia="Arial" w:hAnsi="Arial" w:cs="Arial"/>
              </w:rPr>
              <w:t>p = .492</w:t>
            </w:r>
          </w:p>
        </w:tc>
      </w:tr>
      <w:tr w:rsidR="00F704F3" w14:paraId="2EED5F5B" w14:textId="77777777" w:rsidTr="00D14B96">
        <w:tc>
          <w:tcPr>
            <w:tcW w:w="2880" w:type="dxa"/>
            <w:gridSpan w:val="2"/>
          </w:tcPr>
          <w:p w14:paraId="0DD04032"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38" w:type="dxa"/>
            <w:gridSpan w:val="2"/>
          </w:tcPr>
          <w:p w14:paraId="093B7C5C" w14:textId="77777777" w:rsidR="00F704F3" w:rsidRDefault="00F704F3" w:rsidP="00F73C34">
            <w:pPr>
              <w:spacing w:line="480" w:lineRule="auto"/>
              <w:rPr>
                <w:rFonts w:ascii="Arial" w:eastAsia="Arial" w:hAnsi="Arial" w:cs="Arial"/>
              </w:rPr>
            </w:pPr>
            <w:r>
              <w:rPr>
                <w:rFonts w:ascii="Arial" w:eastAsia="Arial" w:hAnsi="Arial" w:cs="Arial"/>
              </w:rPr>
              <w:t>4.35 ± 0.58ᵃ</w:t>
            </w:r>
          </w:p>
        </w:tc>
        <w:tc>
          <w:tcPr>
            <w:tcW w:w="1710" w:type="dxa"/>
            <w:gridSpan w:val="2"/>
          </w:tcPr>
          <w:p w14:paraId="4A1E7FC2" w14:textId="77777777" w:rsidR="00F704F3" w:rsidRDefault="00F704F3" w:rsidP="00F73C34">
            <w:pPr>
              <w:spacing w:line="480" w:lineRule="auto"/>
              <w:rPr>
                <w:rFonts w:ascii="Arial" w:eastAsia="Arial" w:hAnsi="Arial" w:cs="Arial"/>
              </w:rPr>
            </w:pPr>
            <w:r>
              <w:rPr>
                <w:rFonts w:ascii="Arial" w:eastAsia="Arial" w:hAnsi="Arial" w:cs="Arial"/>
              </w:rPr>
              <w:t>4.38 ± 0.57ᵃ</w:t>
            </w:r>
          </w:p>
        </w:tc>
        <w:tc>
          <w:tcPr>
            <w:tcW w:w="1710" w:type="dxa"/>
            <w:gridSpan w:val="2"/>
          </w:tcPr>
          <w:p w14:paraId="0F180102" w14:textId="77777777" w:rsidR="00F704F3" w:rsidRDefault="00F704F3" w:rsidP="00F73C34">
            <w:pPr>
              <w:spacing w:line="480" w:lineRule="auto"/>
              <w:rPr>
                <w:rFonts w:ascii="Arial" w:eastAsia="Arial" w:hAnsi="Arial" w:cs="Arial"/>
              </w:rPr>
            </w:pPr>
            <w:r>
              <w:rPr>
                <w:rFonts w:ascii="Arial" w:eastAsia="Arial" w:hAnsi="Arial" w:cs="Arial"/>
              </w:rPr>
              <w:t>4.19 ± 0.50ᵃ</w:t>
            </w:r>
          </w:p>
        </w:tc>
        <w:tc>
          <w:tcPr>
            <w:tcW w:w="1728" w:type="dxa"/>
            <w:gridSpan w:val="2"/>
          </w:tcPr>
          <w:p w14:paraId="26EB60CD" w14:textId="77777777" w:rsidR="00F704F3" w:rsidRDefault="00F704F3" w:rsidP="00F73C34">
            <w:pPr>
              <w:spacing w:line="480" w:lineRule="auto"/>
              <w:rPr>
                <w:rFonts w:ascii="Arial" w:eastAsia="Arial" w:hAnsi="Arial" w:cs="Arial"/>
              </w:rPr>
            </w:pPr>
            <w:r>
              <w:rPr>
                <w:rFonts w:ascii="Arial" w:eastAsia="Arial" w:hAnsi="Arial" w:cs="Arial"/>
              </w:rPr>
              <w:t>p = .698</w:t>
            </w:r>
          </w:p>
        </w:tc>
      </w:tr>
      <w:tr w:rsidR="00F704F3" w14:paraId="2DF80AB9" w14:textId="77777777" w:rsidTr="00D14B96">
        <w:tc>
          <w:tcPr>
            <w:tcW w:w="2880" w:type="dxa"/>
            <w:gridSpan w:val="2"/>
          </w:tcPr>
          <w:p w14:paraId="636FF974"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38" w:type="dxa"/>
            <w:gridSpan w:val="2"/>
          </w:tcPr>
          <w:p w14:paraId="59C1B759" w14:textId="77777777" w:rsidR="00F704F3" w:rsidRDefault="00F704F3" w:rsidP="00F73C34">
            <w:pPr>
              <w:spacing w:line="480" w:lineRule="auto"/>
              <w:rPr>
                <w:rFonts w:ascii="Arial" w:eastAsia="Arial" w:hAnsi="Arial" w:cs="Arial"/>
              </w:rPr>
            </w:pPr>
            <w:r>
              <w:rPr>
                <w:rFonts w:ascii="Arial" w:eastAsia="Arial" w:hAnsi="Arial" w:cs="Arial"/>
              </w:rPr>
              <w:t>79.85 ± 9.21ᵃ</w:t>
            </w:r>
          </w:p>
        </w:tc>
        <w:tc>
          <w:tcPr>
            <w:tcW w:w="1710" w:type="dxa"/>
            <w:gridSpan w:val="2"/>
          </w:tcPr>
          <w:p w14:paraId="77A3B3DC" w14:textId="77777777" w:rsidR="00F704F3" w:rsidRDefault="00F704F3" w:rsidP="00F73C34">
            <w:pPr>
              <w:spacing w:line="480" w:lineRule="auto"/>
              <w:rPr>
                <w:rFonts w:ascii="Arial" w:eastAsia="Arial" w:hAnsi="Arial" w:cs="Arial"/>
              </w:rPr>
            </w:pPr>
            <w:r>
              <w:rPr>
                <w:rFonts w:ascii="Arial" w:eastAsia="Arial" w:hAnsi="Arial" w:cs="Arial"/>
              </w:rPr>
              <w:t>81.46 ± 7.26ᵃ</w:t>
            </w:r>
          </w:p>
        </w:tc>
        <w:tc>
          <w:tcPr>
            <w:tcW w:w="1710" w:type="dxa"/>
            <w:gridSpan w:val="2"/>
          </w:tcPr>
          <w:p w14:paraId="5E37F9A7" w14:textId="77777777" w:rsidR="00F704F3" w:rsidRDefault="00F704F3" w:rsidP="00F73C34">
            <w:pPr>
              <w:spacing w:line="480" w:lineRule="auto"/>
              <w:rPr>
                <w:rFonts w:ascii="Arial" w:eastAsia="Arial" w:hAnsi="Arial" w:cs="Arial"/>
              </w:rPr>
            </w:pPr>
            <w:r>
              <w:rPr>
                <w:rFonts w:ascii="Arial" w:eastAsia="Arial" w:hAnsi="Arial" w:cs="Arial"/>
              </w:rPr>
              <w:t>78.90 ± 5.40ᵃ</w:t>
            </w:r>
          </w:p>
        </w:tc>
        <w:tc>
          <w:tcPr>
            <w:tcW w:w="1728" w:type="dxa"/>
            <w:gridSpan w:val="2"/>
          </w:tcPr>
          <w:p w14:paraId="247169E4" w14:textId="77777777" w:rsidR="00F704F3" w:rsidRDefault="00F704F3" w:rsidP="00F73C34">
            <w:pPr>
              <w:spacing w:line="480" w:lineRule="auto"/>
              <w:rPr>
                <w:rFonts w:ascii="Arial" w:eastAsia="Arial" w:hAnsi="Arial" w:cs="Arial"/>
              </w:rPr>
            </w:pPr>
            <w:r>
              <w:rPr>
                <w:rFonts w:ascii="Arial" w:eastAsia="Arial" w:hAnsi="Arial" w:cs="Arial"/>
              </w:rPr>
              <w:t>p = .716</w:t>
            </w:r>
          </w:p>
        </w:tc>
      </w:tr>
      <w:tr w:rsidR="00F704F3" w14:paraId="24470A28" w14:textId="77777777" w:rsidTr="00D14B96">
        <w:tc>
          <w:tcPr>
            <w:tcW w:w="2880" w:type="dxa"/>
            <w:gridSpan w:val="2"/>
          </w:tcPr>
          <w:p w14:paraId="1FC02C35"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38" w:type="dxa"/>
            <w:gridSpan w:val="2"/>
          </w:tcPr>
          <w:p w14:paraId="2A6CAE4B" w14:textId="77777777" w:rsidR="00F704F3" w:rsidRDefault="00F704F3" w:rsidP="00F73C34">
            <w:pPr>
              <w:spacing w:line="480" w:lineRule="auto"/>
              <w:rPr>
                <w:rFonts w:ascii="Arial" w:eastAsia="Arial" w:hAnsi="Arial" w:cs="Arial"/>
              </w:rPr>
            </w:pPr>
            <w:r>
              <w:rPr>
                <w:rFonts w:ascii="Arial" w:eastAsia="Arial" w:hAnsi="Arial" w:cs="Arial"/>
              </w:rPr>
              <w:t>23.85 ± 2.30ᵃ</w:t>
            </w:r>
          </w:p>
        </w:tc>
        <w:tc>
          <w:tcPr>
            <w:tcW w:w="1710" w:type="dxa"/>
            <w:gridSpan w:val="2"/>
          </w:tcPr>
          <w:p w14:paraId="26674033" w14:textId="77777777" w:rsidR="00F704F3" w:rsidRDefault="00F704F3" w:rsidP="00F73C34">
            <w:pPr>
              <w:spacing w:line="480" w:lineRule="auto"/>
              <w:rPr>
                <w:rFonts w:ascii="Arial" w:eastAsia="Arial" w:hAnsi="Arial" w:cs="Arial"/>
              </w:rPr>
            </w:pPr>
            <w:r>
              <w:rPr>
                <w:rFonts w:ascii="Arial" w:eastAsia="Arial" w:hAnsi="Arial" w:cs="Arial"/>
              </w:rPr>
              <w:t>24.31 ± 1.65ᵃ</w:t>
            </w:r>
          </w:p>
        </w:tc>
        <w:tc>
          <w:tcPr>
            <w:tcW w:w="1710" w:type="dxa"/>
            <w:gridSpan w:val="2"/>
          </w:tcPr>
          <w:p w14:paraId="6216ACE8" w14:textId="77777777" w:rsidR="00F704F3" w:rsidRDefault="00F704F3" w:rsidP="00F73C34">
            <w:pPr>
              <w:spacing w:line="480" w:lineRule="auto"/>
              <w:rPr>
                <w:rFonts w:ascii="Arial" w:eastAsia="Arial" w:hAnsi="Arial" w:cs="Arial"/>
              </w:rPr>
            </w:pPr>
            <w:r>
              <w:rPr>
                <w:rFonts w:ascii="Arial" w:eastAsia="Arial" w:hAnsi="Arial" w:cs="Arial"/>
              </w:rPr>
              <w:t>22.50 ± 2.51ᵃ</w:t>
            </w:r>
          </w:p>
        </w:tc>
        <w:tc>
          <w:tcPr>
            <w:tcW w:w="1728" w:type="dxa"/>
            <w:gridSpan w:val="2"/>
          </w:tcPr>
          <w:p w14:paraId="1AF42BF5" w14:textId="77777777" w:rsidR="00F704F3" w:rsidRDefault="00F704F3" w:rsidP="00F73C34">
            <w:pPr>
              <w:spacing w:line="480" w:lineRule="auto"/>
              <w:rPr>
                <w:rFonts w:ascii="Arial" w:eastAsia="Arial" w:hAnsi="Arial" w:cs="Arial"/>
              </w:rPr>
            </w:pPr>
            <w:r>
              <w:rPr>
                <w:rFonts w:ascii="Arial" w:eastAsia="Arial" w:hAnsi="Arial" w:cs="Arial"/>
              </w:rPr>
              <w:t>p = .140</w:t>
            </w:r>
          </w:p>
        </w:tc>
      </w:tr>
      <w:tr w:rsidR="00F704F3" w14:paraId="53BDFDCD" w14:textId="77777777" w:rsidTr="00D14B96">
        <w:tc>
          <w:tcPr>
            <w:tcW w:w="2880" w:type="dxa"/>
            <w:gridSpan w:val="2"/>
          </w:tcPr>
          <w:p w14:paraId="545D6431" w14:textId="77777777"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Pr="00B216A9">
              <w:rPr>
                <w:rFonts w:ascii="Arial" w:eastAsia="Arial" w:hAnsi="Arial" w:cs="Arial"/>
                <w:b/>
              </w:rPr>
              <w:t>haemoglobin</w:t>
            </w:r>
            <w:proofErr w:type="spellEnd"/>
            <w:r w:rsidRPr="00B216A9">
              <w:rPr>
                <w:rFonts w:ascii="Arial" w:eastAsia="Arial" w:hAnsi="Arial" w:cs="Arial"/>
                <w:b/>
              </w:rPr>
              <w:t xml:space="preserve"> </w:t>
            </w:r>
          </w:p>
          <w:p w14:paraId="1DD9867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38" w:type="dxa"/>
            <w:gridSpan w:val="2"/>
          </w:tcPr>
          <w:p w14:paraId="3D0854D4" w14:textId="77777777" w:rsidR="00F704F3" w:rsidRDefault="00F704F3" w:rsidP="00F73C34">
            <w:pPr>
              <w:spacing w:line="480" w:lineRule="auto"/>
              <w:rPr>
                <w:rFonts w:ascii="Arial" w:eastAsia="Arial" w:hAnsi="Arial" w:cs="Arial"/>
              </w:rPr>
            </w:pPr>
            <w:r>
              <w:rPr>
                <w:rFonts w:ascii="Arial" w:eastAsia="Arial" w:hAnsi="Arial" w:cs="Arial"/>
              </w:rPr>
              <w:t>29.85 ± 3.00ᵃ</w:t>
            </w:r>
          </w:p>
        </w:tc>
        <w:tc>
          <w:tcPr>
            <w:tcW w:w="1710" w:type="dxa"/>
            <w:gridSpan w:val="2"/>
          </w:tcPr>
          <w:p w14:paraId="03AB1B71" w14:textId="77777777" w:rsidR="00F704F3" w:rsidRDefault="00F704F3" w:rsidP="00F73C34">
            <w:pPr>
              <w:spacing w:line="480" w:lineRule="auto"/>
              <w:rPr>
                <w:rFonts w:ascii="Arial" w:eastAsia="Arial" w:hAnsi="Arial" w:cs="Arial"/>
              </w:rPr>
            </w:pPr>
            <w:r>
              <w:rPr>
                <w:rFonts w:ascii="Arial" w:eastAsia="Arial" w:hAnsi="Arial" w:cs="Arial"/>
              </w:rPr>
              <w:t>29.54 ± 2.57ᵃ</w:t>
            </w:r>
          </w:p>
        </w:tc>
        <w:tc>
          <w:tcPr>
            <w:tcW w:w="1710" w:type="dxa"/>
            <w:gridSpan w:val="2"/>
          </w:tcPr>
          <w:p w14:paraId="56486A08" w14:textId="77777777" w:rsidR="00F704F3" w:rsidRDefault="00F704F3" w:rsidP="00F73C34">
            <w:pPr>
              <w:spacing w:line="480" w:lineRule="auto"/>
              <w:rPr>
                <w:rFonts w:ascii="Arial" w:eastAsia="Arial" w:hAnsi="Arial" w:cs="Arial"/>
              </w:rPr>
            </w:pPr>
            <w:r>
              <w:rPr>
                <w:rFonts w:ascii="Arial" w:eastAsia="Arial" w:hAnsi="Arial" w:cs="Arial"/>
              </w:rPr>
              <w:t>30.60 ± 1.26ᵃ</w:t>
            </w:r>
          </w:p>
        </w:tc>
        <w:tc>
          <w:tcPr>
            <w:tcW w:w="1728" w:type="dxa"/>
            <w:gridSpan w:val="2"/>
          </w:tcPr>
          <w:p w14:paraId="3318A6A6" w14:textId="77777777" w:rsidR="00F704F3" w:rsidRDefault="00F704F3" w:rsidP="00F73C34">
            <w:pPr>
              <w:spacing w:line="480" w:lineRule="auto"/>
              <w:rPr>
                <w:rFonts w:ascii="Arial" w:eastAsia="Arial" w:hAnsi="Arial" w:cs="Arial"/>
              </w:rPr>
            </w:pPr>
            <w:r>
              <w:rPr>
                <w:rFonts w:ascii="Arial" w:eastAsia="Arial" w:hAnsi="Arial" w:cs="Arial"/>
              </w:rPr>
              <w:t>p = .589</w:t>
            </w:r>
          </w:p>
        </w:tc>
      </w:tr>
      <w:tr w:rsidR="00F704F3" w14:paraId="1E094E8C" w14:textId="77777777" w:rsidTr="00D14B96">
        <w:tc>
          <w:tcPr>
            <w:tcW w:w="2880" w:type="dxa"/>
            <w:gridSpan w:val="2"/>
          </w:tcPr>
          <w:p w14:paraId="3ABE96F6"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38" w:type="dxa"/>
            <w:gridSpan w:val="2"/>
          </w:tcPr>
          <w:p w14:paraId="3CB22E03" w14:textId="77777777" w:rsidR="00F704F3" w:rsidRDefault="00F704F3" w:rsidP="00F73C34">
            <w:pPr>
              <w:spacing w:line="480" w:lineRule="auto"/>
              <w:rPr>
                <w:rFonts w:ascii="Arial" w:eastAsia="Arial" w:hAnsi="Arial" w:cs="Arial"/>
              </w:rPr>
            </w:pPr>
            <w:r>
              <w:rPr>
                <w:rFonts w:ascii="Arial" w:eastAsia="Arial" w:hAnsi="Arial" w:cs="Arial"/>
              </w:rPr>
              <w:t>63.62 ± 22.68ᵃ</w:t>
            </w:r>
          </w:p>
        </w:tc>
        <w:tc>
          <w:tcPr>
            <w:tcW w:w="1710" w:type="dxa"/>
            <w:gridSpan w:val="2"/>
          </w:tcPr>
          <w:p w14:paraId="1A9C1058" w14:textId="77777777" w:rsidR="00F704F3" w:rsidRDefault="00F704F3" w:rsidP="00F73C34">
            <w:pPr>
              <w:spacing w:line="480" w:lineRule="auto"/>
              <w:rPr>
                <w:rFonts w:ascii="Arial" w:eastAsia="Arial" w:hAnsi="Arial" w:cs="Arial"/>
              </w:rPr>
            </w:pPr>
            <w:r>
              <w:rPr>
                <w:rFonts w:ascii="Arial" w:eastAsia="Arial" w:hAnsi="Arial" w:cs="Arial"/>
              </w:rPr>
              <w:t>68.40 ± 26.99ᵃ</w:t>
            </w:r>
          </w:p>
        </w:tc>
        <w:tc>
          <w:tcPr>
            <w:tcW w:w="1710" w:type="dxa"/>
            <w:gridSpan w:val="2"/>
          </w:tcPr>
          <w:p w14:paraId="702BBEFB" w14:textId="77777777" w:rsidR="00F704F3" w:rsidRDefault="00F704F3" w:rsidP="00F73C34">
            <w:pPr>
              <w:spacing w:line="480" w:lineRule="auto"/>
              <w:rPr>
                <w:rFonts w:ascii="Arial" w:eastAsia="Arial" w:hAnsi="Arial" w:cs="Arial"/>
              </w:rPr>
            </w:pPr>
            <w:r>
              <w:rPr>
                <w:rFonts w:ascii="Arial" w:eastAsia="Arial" w:hAnsi="Arial" w:cs="Arial"/>
              </w:rPr>
              <w:t>67.07 ± 29.88ᵃ</w:t>
            </w:r>
          </w:p>
        </w:tc>
        <w:tc>
          <w:tcPr>
            <w:tcW w:w="1728" w:type="dxa"/>
            <w:gridSpan w:val="2"/>
          </w:tcPr>
          <w:p w14:paraId="594A9A2B" w14:textId="77777777" w:rsidR="00F704F3" w:rsidRDefault="00F704F3" w:rsidP="00F73C34">
            <w:pPr>
              <w:spacing w:line="480" w:lineRule="auto"/>
              <w:rPr>
                <w:rFonts w:ascii="Arial" w:eastAsia="Arial" w:hAnsi="Arial" w:cs="Arial"/>
              </w:rPr>
            </w:pPr>
            <w:r>
              <w:rPr>
                <w:rFonts w:ascii="Arial" w:eastAsia="Arial" w:hAnsi="Arial" w:cs="Arial"/>
              </w:rPr>
              <w:t>p = .894</w:t>
            </w:r>
          </w:p>
        </w:tc>
      </w:tr>
      <w:tr w:rsidR="00F704F3" w14:paraId="31730BFD" w14:textId="77777777" w:rsidTr="00D14B96">
        <w:tc>
          <w:tcPr>
            <w:tcW w:w="2880" w:type="dxa"/>
            <w:gridSpan w:val="2"/>
          </w:tcPr>
          <w:p w14:paraId="66170C0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38" w:type="dxa"/>
            <w:gridSpan w:val="2"/>
          </w:tcPr>
          <w:p w14:paraId="1D363B99" w14:textId="77777777" w:rsidR="00F704F3" w:rsidRDefault="00F704F3" w:rsidP="00F73C34">
            <w:pPr>
              <w:spacing w:line="480" w:lineRule="auto"/>
              <w:rPr>
                <w:rFonts w:ascii="Arial" w:eastAsia="Arial" w:hAnsi="Arial" w:cs="Arial"/>
              </w:rPr>
            </w:pPr>
            <w:r>
              <w:rPr>
                <w:rFonts w:ascii="Arial" w:eastAsia="Arial" w:hAnsi="Arial" w:cs="Arial"/>
              </w:rPr>
              <w:t>53.75 ± 17.52ᵃ</w:t>
            </w:r>
          </w:p>
        </w:tc>
        <w:tc>
          <w:tcPr>
            <w:tcW w:w="1710" w:type="dxa"/>
            <w:gridSpan w:val="2"/>
          </w:tcPr>
          <w:p w14:paraId="44990D23" w14:textId="77777777" w:rsidR="00F704F3" w:rsidRDefault="00F704F3" w:rsidP="00F73C34">
            <w:pPr>
              <w:spacing w:line="480" w:lineRule="auto"/>
              <w:rPr>
                <w:rFonts w:ascii="Arial" w:eastAsia="Arial" w:hAnsi="Arial" w:cs="Arial"/>
              </w:rPr>
            </w:pPr>
            <w:r>
              <w:rPr>
                <w:rFonts w:ascii="Arial" w:eastAsia="Arial" w:hAnsi="Arial" w:cs="Arial"/>
              </w:rPr>
              <w:t>59.52 ± 16.26ᵃ</w:t>
            </w:r>
          </w:p>
        </w:tc>
        <w:tc>
          <w:tcPr>
            <w:tcW w:w="1710" w:type="dxa"/>
            <w:gridSpan w:val="2"/>
          </w:tcPr>
          <w:p w14:paraId="3E99C62A" w14:textId="77777777" w:rsidR="00F704F3" w:rsidRDefault="00F704F3" w:rsidP="00F73C34">
            <w:pPr>
              <w:spacing w:line="480" w:lineRule="auto"/>
              <w:rPr>
                <w:rFonts w:ascii="Arial" w:eastAsia="Arial" w:hAnsi="Arial" w:cs="Arial"/>
              </w:rPr>
            </w:pPr>
            <w:r>
              <w:rPr>
                <w:rFonts w:ascii="Arial" w:eastAsia="Arial" w:hAnsi="Arial" w:cs="Arial"/>
              </w:rPr>
              <w:t>61.22 ± 18.70ᵃ</w:t>
            </w:r>
          </w:p>
        </w:tc>
        <w:tc>
          <w:tcPr>
            <w:tcW w:w="1728" w:type="dxa"/>
            <w:gridSpan w:val="2"/>
          </w:tcPr>
          <w:p w14:paraId="2C5419EB" w14:textId="77777777" w:rsidR="00F704F3" w:rsidRDefault="00F704F3" w:rsidP="00F73C34">
            <w:pPr>
              <w:spacing w:line="480" w:lineRule="auto"/>
              <w:rPr>
                <w:rFonts w:ascii="Arial" w:eastAsia="Arial" w:hAnsi="Arial" w:cs="Arial"/>
              </w:rPr>
            </w:pPr>
            <w:r>
              <w:rPr>
                <w:rFonts w:ascii="Arial" w:eastAsia="Arial" w:hAnsi="Arial" w:cs="Arial"/>
              </w:rPr>
              <w:t>p = .551</w:t>
            </w:r>
          </w:p>
        </w:tc>
      </w:tr>
      <w:tr w:rsidR="00F704F3" w14:paraId="0759C13E" w14:textId="77777777" w:rsidTr="00D14B96">
        <w:tc>
          <w:tcPr>
            <w:tcW w:w="2880" w:type="dxa"/>
            <w:gridSpan w:val="2"/>
          </w:tcPr>
          <w:p w14:paraId="259FA48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38" w:type="dxa"/>
            <w:gridSpan w:val="2"/>
          </w:tcPr>
          <w:p w14:paraId="7878A589" w14:textId="77777777" w:rsidR="00F704F3" w:rsidRDefault="00F704F3" w:rsidP="00F73C34">
            <w:pPr>
              <w:spacing w:line="480" w:lineRule="auto"/>
              <w:rPr>
                <w:rFonts w:ascii="Arial" w:eastAsia="Arial" w:hAnsi="Arial" w:cs="Arial"/>
              </w:rPr>
            </w:pPr>
            <w:r>
              <w:rPr>
                <w:rFonts w:ascii="Arial" w:eastAsia="Arial" w:hAnsi="Arial" w:cs="Arial"/>
              </w:rPr>
              <w:t>216.15 ± 65.58ᵃ</w:t>
            </w:r>
          </w:p>
        </w:tc>
        <w:tc>
          <w:tcPr>
            <w:tcW w:w="1710" w:type="dxa"/>
            <w:gridSpan w:val="2"/>
          </w:tcPr>
          <w:p w14:paraId="477383B0" w14:textId="77777777" w:rsidR="00F704F3" w:rsidRDefault="00F704F3" w:rsidP="00F73C34">
            <w:pPr>
              <w:spacing w:line="480" w:lineRule="auto"/>
              <w:rPr>
                <w:rFonts w:ascii="Arial" w:eastAsia="Arial" w:hAnsi="Arial" w:cs="Arial"/>
              </w:rPr>
            </w:pPr>
            <w:r>
              <w:rPr>
                <w:rFonts w:ascii="Arial" w:eastAsia="Arial" w:hAnsi="Arial" w:cs="Arial"/>
              </w:rPr>
              <w:t>204.23 ± 58.24 ᵃ</w:t>
            </w:r>
          </w:p>
        </w:tc>
        <w:tc>
          <w:tcPr>
            <w:tcW w:w="1710" w:type="dxa"/>
            <w:gridSpan w:val="2"/>
          </w:tcPr>
          <w:p w14:paraId="358FC7C9" w14:textId="77777777" w:rsidR="00F704F3" w:rsidRDefault="00F704F3" w:rsidP="00F73C34">
            <w:pPr>
              <w:spacing w:line="480" w:lineRule="auto"/>
              <w:rPr>
                <w:rFonts w:ascii="Arial" w:eastAsia="Arial" w:hAnsi="Arial" w:cs="Arial"/>
              </w:rPr>
            </w:pPr>
            <w:r>
              <w:rPr>
                <w:rFonts w:ascii="Arial" w:eastAsia="Arial" w:hAnsi="Arial" w:cs="Arial"/>
              </w:rPr>
              <w:t>241.30 ± 49.33ᵃ</w:t>
            </w:r>
          </w:p>
        </w:tc>
        <w:tc>
          <w:tcPr>
            <w:tcW w:w="1728" w:type="dxa"/>
            <w:gridSpan w:val="2"/>
          </w:tcPr>
          <w:p w14:paraId="67F0437B" w14:textId="77777777" w:rsidR="00F704F3" w:rsidRDefault="00F704F3" w:rsidP="00F73C34">
            <w:pPr>
              <w:spacing w:line="480" w:lineRule="auto"/>
              <w:rPr>
                <w:rFonts w:ascii="Arial" w:eastAsia="Arial" w:hAnsi="Arial" w:cs="Arial"/>
              </w:rPr>
            </w:pPr>
            <w:r>
              <w:rPr>
                <w:rFonts w:ascii="Arial" w:eastAsia="Arial" w:hAnsi="Arial" w:cs="Arial"/>
              </w:rPr>
              <w:t>p = .331</w:t>
            </w:r>
          </w:p>
        </w:tc>
      </w:tr>
      <w:tr w:rsidR="00F704F3" w14:paraId="384841D7" w14:textId="77777777" w:rsidTr="00D14B96">
        <w:tc>
          <w:tcPr>
            <w:tcW w:w="2880" w:type="dxa"/>
            <w:gridSpan w:val="2"/>
          </w:tcPr>
          <w:p w14:paraId="19572F2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38" w:type="dxa"/>
            <w:gridSpan w:val="2"/>
          </w:tcPr>
          <w:p w14:paraId="40B8DDE2" w14:textId="77777777" w:rsidR="00F704F3" w:rsidRDefault="00F704F3" w:rsidP="00F73C34">
            <w:pPr>
              <w:spacing w:line="480" w:lineRule="auto"/>
              <w:rPr>
                <w:rFonts w:ascii="Arial" w:eastAsia="Arial" w:hAnsi="Arial" w:cs="Arial"/>
              </w:rPr>
            </w:pPr>
            <w:r>
              <w:rPr>
                <w:rFonts w:ascii="Arial" w:eastAsia="Arial" w:hAnsi="Arial" w:cs="Arial"/>
              </w:rPr>
              <w:t>6.68 ± 2.26ᵃ</w:t>
            </w:r>
          </w:p>
        </w:tc>
        <w:tc>
          <w:tcPr>
            <w:tcW w:w="1710" w:type="dxa"/>
            <w:gridSpan w:val="2"/>
          </w:tcPr>
          <w:p w14:paraId="0F250477" w14:textId="77777777" w:rsidR="00F704F3" w:rsidRDefault="00F704F3" w:rsidP="00F73C34">
            <w:pPr>
              <w:spacing w:line="480" w:lineRule="auto"/>
              <w:rPr>
                <w:rFonts w:ascii="Arial" w:eastAsia="Arial" w:hAnsi="Arial" w:cs="Arial"/>
              </w:rPr>
            </w:pPr>
            <w:r>
              <w:rPr>
                <w:rFonts w:ascii="Arial" w:eastAsia="Arial" w:hAnsi="Arial" w:cs="Arial"/>
              </w:rPr>
              <w:t>6.90 ± 2.41ᵃ</w:t>
            </w:r>
          </w:p>
        </w:tc>
        <w:tc>
          <w:tcPr>
            <w:tcW w:w="1710" w:type="dxa"/>
            <w:gridSpan w:val="2"/>
          </w:tcPr>
          <w:p w14:paraId="1A290926" w14:textId="77777777" w:rsidR="00F704F3" w:rsidRDefault="00F704F3" w:rsidP="00F73C34">
            <w:pPr>
              <w:spacing w:line="480" w:lineRule="auto"/>
              <w:rPr>
                <w:rFonts w:ascii="Arial" w:eastAsia="Arial" w:hAnsi="Arial" w:cs="Arial"/>
              </w:rPr>
            </w:pPr>
            <w:r>
              <w:rPr>
                <w:rFonts w:ascii="Arial" w:eastAsia="Arial" w:hAnsi="Arial" w:cs="Arial"/>
              </w:rPr>
              <w:t>6.58 ± 2.27ᵃ</w:t>
            </w:r>
          </w:p>
        </w:tc>
        <w:tc>
          <w:tcPr>
            <w:tcW w:w="1728" w:type="dxa"/>
            <w:gridSpan w:val="2"/>
          </w:tcPr>
          <w:p w14:paraId="3350A7F5" w14:textId="77777777" w:rsidR="00F704F3" w:rsidRDefault="00F704F3" w:rsidP="00F73C34">
            <w:pPr>
              <w:spacing w:line="480" w:lineRule="auto"/>
              <w:rPr>
                <w:rFonts w:ascii="Arial" w:eastAsia="Arial" w:hAnsi="Arial" w:cs="Arial"/>
              </w:rPr>
            </w:pPr>
            <w:r>
              <w:rPr>
                <w:rFonts w:ascii="Arial" w:eastAsia="Arial" w:hAnsi="Arial" w:cs="Arial"/>
              </w:rPr>
              <w:t>p = .943</w:t>
            </w:r>
          </w:p>
        </w:tc>
      </w:tr>
      <w:tr w:rsidR="00F704F3" w14:paraId="09346CB3" w14:textId="77777777" w:rsidTr="00D14B96">
        <w:tc>
          <w:tcPr>
            <w:tcW w:w="2880" w:type="dxa"/>
            <w:gridSpan w:val="2"/>
          </w:tcPr>
          <w:p w14:paraId="471294CB"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Neutrophil (%)</w:t>
            </w:r>
          </w:p>
        </w:tc>
        <w:tc>
          <w:tcPr>
            <w:tcW w:w="1638" w:type="dxa"/>
            <w:gridSpan w:val="2"/>
          </w:tcPr>
          <w:p w14:paraId="2EE318B9" w14:textId="77777777" w:rsidR="00F704F3" w:rsidRDefault="00F704F3" w:rsidP="00F73C34">
            <w:pPr>
              <w:spacing w:line="480" w:lineRule="auto"/>
              <w:rPr>
                <w:rFonts w:ascii="Arial" w:eastAsia="Arial" w:hAnsi="Arial" w:cs="Arial"/>
              </w:rPr>
            </w:pPr>
            <w:r>
              <w:rPr>
                <w:rFonts w:ascii="Arial" w:eastAsia="Arial" w:hAnsi="Arial" w:cs="Arial"/>
              </w:rPr>
              <w:t>55.69 ± 9.01ᵃ</w:t>
            </w:r>
          </w:p>
        </w:tc>
        <w:tc>
          <w:tcPr>
            <w:tcW w:w="1710" w:type="dxa"/>
            <w:gridSpan w:val="2"/>
          </w:tcPr>
          <w:p w14:paraId="5938370A" w14:textId="77777777" w:rsidR="00F704F3" w:rsidRDefault="00F704F3" w:rsidP="00F73C34">
            <w:pPr>
              <w:spacing w:line="480" w:lineRule="auto"/>
              <w:rPr>
                <w:rFonts w:ascii="Arial" w:eastAsia="Arial" w:hAnsi="Arial" w:cs="Arial"/>
              </w:rPr>
            </w:pPr>
            <w:r>
              <w:rPr>
                <w:rFonts w:ascii="Arial" w:eastAsia="Arial" w:hAnsi="Arial" w:cs="Arial"/>
              </w:rPr>
              <w:t>52.31 ± 9.21ᵃ</w:t>
            </w:r>
          </w:p>
        </w:tc>
        <w:tc>
          <w:tcPr>
            <w:tcW w:w="1710" w:type="dxa"/>
            <w:gridSpan w:val="2"/>
          </w:tcPr>
          <w:p w14:paraId="5CA45F8F" w14:textId="77777777" w:rsidR="00F704F3" w:rsidRDefault="00F704F3" w:rsidP="00F73C34">
            <w:pPr>
              <w:spacing w:line="480" w:lineRule="auto"/>
              <w:rPr>
                <w:rFonts w:ascii="Arial" w:eastAsia="Arial" w:hAnsi="Arial" w:cs="Arial"/>
              </w:rPr>
            </w:pPr>
            <w:r>
              <w:rPr>
                <w:rFonts w:ascii="Arial" w:eastAsia="Arial" w:hAnsi="Arial" w:cs="Arial"/>
              </w:rPr>
              <w:t>56.70 ± 10.33ᵃ</w:t>
            </w:r>
          </w:p>
        </w:tc>
        <w:tc>
          <w:tcPr>
            <w:tcW w:w="1728" w:type="dxa"/>
            <w:gridSpan w:val="2"/>
          </w:tcPr>
          <w:p w14:paraId="28F2E47E" w14:textId="77777777" w:rsidR="00F704F3" w:rsidRDefault="00F704F3" w:rsidP="00F73C34">
            <w:pPr>
              <w:spacing w:line="480" w:lineRule="auto"/>
              <w:rPr>
                <w:rFonts w:ascii="Arial" w:eastAsia="Arial" w:hAnsi="Arial" w:cs="Arial"/>
              </w:rPr>
            </w:pPr>
            <w:r>
              <w:rPr>
                <w:rFonts w:ascii="Arial" w:eastAsia="Arial" w:hAnsi="Arial" w:cs="Arial"/>
              </w:rPr>
              <w:t>p = .499</w:t>
            </w:r>
          </w:p>
        </w:tc>
      </w:tr>
      <w:tr w:rsidR="00F704F3" w14:paraId="736FD699" w14:textId="77777777" w:rsidTr="00D14B96">
        <w:tc>
          <w:tcPr>
            <w:tcW w:w="2880" w:type="dxa"/>
            <w:gridSpan w:val="2"/>
          </w:tcPr>
          <w:p w14:paraId="3B3AC7F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38" w:type="dxa"/>
            <w:gridSpan w:val="2"/>
          </w:tcPr>
          <w:p w14:paraId="59167718" w14:textId="77777777" w:rsidR="00F704F3" w:rsidRDefault="00F704F3" w:rsidP="00F73C34">
            <w:pPr>
              <w:spacing w:line="480" w:lineRule="auto"/>
              <w:rPr>
                <w:rFonts w:ascii="Arial" w:eastAsia="Arial" w:hAnsi="Arial" w:cs="Arial"/>
              </w:rPr>
            </w:pPr>
            <w:r>
              <w:rPr>
                <w:rFonts w:ascii="Arial" w:eastAsia="Arial" w:hAnsi="Arial" w:cs="Arial"/>
              </w:rPr>
              <w:t>39.62 ± 8.87ᵃ</w:t>
            </w:r>
          </w:p>
        </w:tc>
        <w:tc>
          <w:tcPr>
            <w:tcW w:w="1710" w:type="dxa"/>
            <w:gridSpan w:val="2"/>
          </w:tcPr>
          <w:p w14:paraId="4DE3B32D" w14:textId="77777777" w:rsidR="00F704F3" w:rsidRDefault="00F704F3" w:rsidP="00F73C34">
            <w:pPr>
              <w:spacing w:line="480" w:lineRule="auto"/>
              <w:rPr>
                <w:rFonts w:ascii="Arial" w:eastAsia="Arial" w:hAnsi="Arial" w:cs="Arial"/>
              </w:rPr>
            </w:pPr>
            <w:r>
              <w:rPr>
                <w:rFonts w:ascii="Arial" w:eastAsia="Arial" w:hAnsi="Arial" w:cs="Arial"/>
              </w:rPr>
              <w:t>42.31 ± 7.39ᵃ</w:t>
            </w:r>
          </w:p>
        </w:tc>
        <w:tc>
          <w:tcPr>
            <w:tcW w:w="1710" w:type="dxa"/>
            <w:gridSpan w:val="2"/>
          </w:tcPr>
          <w:p w14:paraId="335DAEEC" w14:textId="77777777" w:rsidR="00F704F3" w:rsidRDefault="00F704F3" w:rsidP="00F73C34">
            <w:pPr>
              <w:spacing w:line="480" w:lineRule="auto"/>
              <w:rPr>
                <w:rFonts w:ascii="Arial" w:eastAsia="Arial" w:hAnsi="Arial" w:cs="Arial"/>
              </w:rPr>
            </w:pPr>
            <w:r>
              <w:rPr>
                <w:rFonts w:ascii="Arial" w:eastAsia="Arial" w:hAnsi="Arial" w:cs="Arial"/>
              </w:rPr>
              <w:t>39.50 ± 10.43ᵃ</w:t>
            </w:r>
          </w:p>
        </w:tc>
        <w:tc>
          <w:tcPr>
            <w:tcW w:w="1728" w:type="dxa"/>
            <w:gridSpan w:val="2"/>
          </w:tcPr>
          <w:p w14:paraId="2C0C6AF4" w14:textId="77777777" w:rsidR="00F704F3" w:rsidRDefault="00F704F3" w:rsidP="00F73C34">
            <w:pPr>
              <w:spacing w:line="480" w:lineRule="auto"/>
              <w:rPr>
                <w:rFonts w:ascii="Arial" w:eastAsia="Arial" w:hAnsi="Arial" w:cs="Arial"/>
              </w:rPr>
            </w:pPr>
            <w:r>
              <w:rPr>
                <w:rFonts w:ascii="Arial" w:eastAsia="Arial" w:hAnsi="Arial" w:cs="Arial"/>
              </w:rPr>
              <w:t>p = .673</w:t>
            </w:r>
          </w:p>
        </w:tc>
      </w:tr>
      <w:tr w:rsidR="00F704F3" w14:paraId="6B6571C3" w14:textId="77777777" w:rsidTr="00D14B96">
        <w:tc>
          <w:tcPr>
            <w:tcW w:w="2880" w:type="dxa"/>
            <w:gridSpan w:val="2"/>
          </w:tcPr>
          <w:p w14:paraId="2488A21F"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38" w:type="dxa"/>
            <w:gridSpan w:val="2"/>
          </w:tcPr>
          <w:p w14:paraId="28C04087" w14:textId="77777777" w:rsidR="00F704F3" w:rsidRDefault="00F704F3" w:rsidP="00F73C34">
            <w:pPr>
              <w:spacing w:line="480" w:lineRule="auto"/>
              <w:rPr>
                <w:rFonts w:ascii="Arial" w:eastAsia="Arial" w:hAnsi="Arial" w:cs="Arial"/>
              </w:rPr>
            </w:pPr>
            <w:r>
              <w:rPr>
                <w:rFonts w:ascii="Arial" w:eastAsia="Arial" w:hAnsi="Arial" w:cs="Arial"/>
              </w:rPr>
              <w:t>3.69 ± 2.32ᵃ</w:t>
            </w:r>
          </w:p>
        </w:tc>
        <w:tc>
          <w:tcPr>
            <w:tcW w:w="1710" w:type="dxa"/>
            <w:gridSpan w:val="2"/>
          </w:tcPr>
          <w:p w14:paraId="72783689" w14:textId="77777777" w:rsidR="00F704F3" w:rsidRDefault="00F704F3" w:rsidP="00F73C34">
            <w:pPr>
              <w:spacing w:line="480" w:lineRule="auto"/>
              <w:rPr>
                <w:rFonts w:ascii="Arial" w:eastAsia="Arial" w:hAnsi="Arial" w:cs="Arial"/>
              </w:rPr>
            </w:pPr>
            <w:r>
              <w:rPr>
                <w:rFonts w:ascii="Arial" w:eastAsia="Arial" w:hAnsi="Arial" w:cs="Arial"/>
              </w:rPr>
              <w:t>3.69 ± 1.49ᵃ</w:t>
            </w:r>
          </w:p>
        </w:tc>
        <w:tc>
          <w:tcPr>
            <w:tcW w:w="1710" w:type="dxa"/>
            <w:gridSpan w:val="2"/>
          </w:tcPr>
          <w:p w14:paraId="08D10827" w14:textId="77777777" w:rsidR="00F704F3" w:rsidRDefault="00F704F3" w:rsidP="00F73C34">
            <w:pPr>
              <w:spacing w:line="480" w:lineRule="auto"/>
              <w:rPr>
                <w:rFonts w:ascii="Arial" w:eastAsia="Arial" w:hAnsi="Arial" w:cs="Arial"/>
              </w:rPr>
            </w:pPr>
            <w:r>
              <w:rPr>
                <w:rFonts w:ascii="Arial" w:eastAsia="Arial" w:hAnsi="Arial" w:cs="Arial"/>
              </w:rPr>
              <w:t>2.70 ± 1.83ᵃ</w:t>
            </w:r>
          </w:p>
        </w:tc>
        <w:tc>
          <w:tcPr>
            <w:tcW w:w="1728" w:type="dxa"/>
            <w:gridSpan w:val="2"/>
          </w:tcPr>
          <w:p w14:paraId="563286AD" w14:textId="77777777" w:rsidR="00F704F3" w:rsidRDefault="00F704F3" w:rsidP="00F73C34">
            <w:pPr>
              <w:spacing w:line="480" w:lineRule="auto"/>
              <w:rPr>
                <w:rFonts w:ascii="Arial" w:eastAsia="Arial" w:hAnsi="Arial" w:cs="Arial"/>
              </w:rPr>
            </w:pPr>
            <w:r>
              <w:rPr>
                <w:rFonts w:ascii="Arial" w:eastAsia="Arial" w:hAnsi="Arial" w:cs="Arial"/>
              </w:rPr>
              <w:t>p = .392</w:t>
            </w:r>
          </w:p>
        </w:tc>
      </w:tr>
      <w:tr w:rsidR="00F704F3" w14:paraId="3D71FEC7" w14:textId="77777777" w:rsidTr="00D14B96">
        <w:tc>
          <w:tcPr>
            <w:tcW w:w="2880" w:type="dxa"/>
            <w:gridSpan w:val="2"/>
            <w:tcBorders>
              <w:bottom w:val="single" w:sz="4" w:space="0" w:color="000000"/>
            </w:tcBorders>
          </w:tcPr>
          <w:p w14:paraId="2DCA3AA8"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38" w:type="dxa"/>
            <w:gridSpan w:val="2"/>
            <w:tcBorders>
              <w:bottom w:val="single" w:sz="4" w:space="0" w:color="000000"/>
            </w:tcBorders>
          </w:tcPr>
          <w:p w14:paraId="4238F967" w14:textId="77777777" w:rsidR="00F704F3" w:rsidRDefault="00F704F3" w:rsidP="00F73C34">
            <w:pPr>
              <w:spacing w:line="480" w:lineRule="auto"/>
              <w:rPr>
                <w:rFonts w:ascii="Arial" w:eastAsia="Arial" w:hAnsi="Arial" w:cs="Arial"/>
              </w:rPr>
            </w:pPr>
            <w:r>
              <w:rPr>
                <w:rFonts w:ascii="Arial" w:eastAsia="Arial" w:hAnsi="Arial" w:cs="Arial"/>
              </w:rPr>
              <w:t>1.08 ± 1.50ᵃ</w:t>
            </w:r>
          </w:p>
        </w:tc>
        <w:tc>
          <w:tcPr>
            <w:tcW w:w="1710" w:type="dxa"/>
            <w:gridSpan w:val="2"/>
            <w:tcBorders>
              <w:bottom w:val="single" w:sz="4" w:space="0" w:color="000000"/>
            </w:tcBorders>
          </w:tcPr>
          <w:p w14:paraId="1EC4AB01" w14:textId="77777777" w:rsidR="00F704F3" w:rsidRDefault="00F704F3" w:rsidP="00F73C34">
            <w:pPr>
              <w:spacing w:line="480" w:lineRule="auto"/>
              <w:rPr>
                <w:rFonts w:ascii="Arial" w:eastAsia="Arial" w:hAnsi="Arial" w:cs="Arial"/>
              </w:rPr>
            </w:pPr>
            <w:r>
              <w:rPr>
                <w:rFonts w:ascii="Arial" w:eastAsia="Arial" w:hAnsi="Arial" w:cs="Arial"/>
              </w:rPr>
              <w:t>1.46 ± 1.98ᵃ</w:t>
            </w:r>
          </w:p>
        </w:tc>
        <w:tc>
          <w:tcPr>
            <w:tcW w:w="1710" w:type="dxa"/>
            <w:gridSpan w:val="2"/>
            <w:tcBorders>
              <w:bottom w:val="single" w:sz="4" w:space="0" w:color="000000"/>
            </w:tcBorders>
          </w:tcPr>
          <w:p w14:paraId="79E0FCE2" w14:textId="77777777" w:rsidR="00F704F3" w:rsidRDefault="00F704F3" w:rsidP="00F73C34">
            <w:pPr>
              <w:spacing w:line="480" w:lineRule="auto"/>
              <w:rPr>
                <w:rFonts w:ascii="Arial" w:eastAsia="Arial" w:hAnsi="Arial" w:cs="Arial"/>
              </w:rPr>
            </w:pPr>
            <w:r>
              <w:rPr>
                <w:rFonts w:ascii="Arial" w:eastAsia="Arial" w:hAnsi="Arial" w:cs="Arial"/>
              </w:rPr>
              <w:t>1.10 ± 1.20ᵃ</w:t>
            </w:r>
          </w:p>
        </w:tc>
        <w:tc>
          <w:tcPr>
            <w:tcW w:w="1728" w:type="dxa"/>
            <w:gridSpan w:val="2"/>
            <w:tcBorders>
              <w:bottom w:val="single" w:sz="4" w:space="0" w:color="000000"/>
            </w:tcBorders>
          </w:tcPr>
          <w:p w14:paraId="47525ACB" w14:textId="77777777" w:rsidR="00F704F3" w:rsidRDefault="00F704F3" w:rsidP="00F73C34">
            <w:pPr>
              <w:spacing w:line="480" w:lineRule="auto"/>
              <w:rPr>
                <w:rFonts w:ascii="Arial" w:eastAsia="Arial" w:hAnsi="Arial" w:cs="Arial"/>
              </w:rPr>
            </w:pPr>
            <w:r>
              <w:rPr>
                <w:rFonts w:ascii="Arial" w:eastAsia="Arial" w:hAnsi="Arial" w:cs="Arial"/>
              </w:rPr>
              <w:t>p = .803</w:t>
            </w:r>
          </w:p>
        </w:tc>
      </w:tr>
    </w:tbl>
    <w:p w14:paraId="3602739C" w14:textId="0730EAC8" w:rsidR="00555543" w:rsidRPr="0008126A" w:rsidRDefault="00555543" w:rsidP="00555543">
      <w:pPr>
        <w:spacing w:line="480" w:lineRule="auto"/>
        <w:rPr>
          <w:rFonts w:ascii="Arial" w:hAnsi="Arial" w:cs="Arial"/>
          <w:sz w:val="18"/>
        </w:rPr>
      </w:pPr>
      <w:bookmarkStart w:id="6" w:name="_jufs189pc4hy" w:colFirst="0" w:colLast="0"/>
      <w:bookmarkEnd w:id="6"/>
      <w:r w:rsidRPr="00C966FA">
        <w:rPr>
          <w:rFonts w:ascii="Arial" w:hAnsi="Arial" w:cs="Arial"/>
          <w:sz w:val="18"/>
        </w:rPr>
        <w:t xml:space="preserve">Note. Values are Mean ± SD with per-variable n in parentheses. Superscripts ᵃ and ᵇ indicate Tukey HSD groupings at α = .05; groups that share a letter do not differ; different letters </w:t>
      </w:r>
      <w:proofErr w:type="spellStart"/>
      <w:r w:rsidRPr="00C966FA">
        <w:rPr>
          <w:rFonts w:ascii="Arial" w:hAnsi="Arial" w:cs="Arial"/>
          <w:sz w:val="18"/>
        </w:rPr>
        <w:t>indicate</w:t>
      </w:r>
      <w:r w:rsidR="00360930">
        <w:rPr>
          <w:rFonts w:ascii="Arial" w:hAnsi="Arial" w:cs="Arial"/>
          <w:sz w:val="18"/>
        </w:rPr>
        <w:t>I</w:t>
      </w:r>
      <w:proofErr w:type="spellEnd"/>
      <w:r w:rsidR="00360930">
        <w:rPr>
          <w:rFonts w:ascii="Arial" w:hAnsi="Arial" w:cs="Arial"/>
          <w:sz w:val="18"/>
        </w:rPr>
        <w:t xml:space="preserve"> </w:t>
      </w:r>
      <w:r w:rsidR="00360930" w:rsidRPr="00360930">
        <w:rPr>
          <w:rFonts w:ascii="Arial" w:hAnsi="Arial" w:cs="Arial"/>
          <w:i/>
          <w:sz w:val="18"/>
        </w:rPr>
        <w:t>P</w:t>
      </w:r>
      <w:r w:rsidR="00360930">
        <w:rPr>
          <w:rFonts w:ascii="Arial" w:hAnsi="Arial" w:cs="Arial"/>
          <w:sz w:val="18"/>
        </w:rPr>
        <w:t xml:space="preserve">= .05. </w:t>
      </w:r>
      <w:r w:rsidRPr="00C966FA">
        <w:rPr>
          <w:rFonts w:ascii="Arial" w:hAnsi="Arial" w:cs="Arial"/>
          <w:sz w:val="18"/>
        </w:rPr>
        <w:t>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396B6527" w14:textId="77777777" w:rsidR="00F704F3" w:rsidRDefault="00F704F3" w:rsidP="00F704F3">
      <w:pPr>
        <w:pStyle w:val="Heading2"/>
        <w:spacing w:line="480" w:lineRule="auto"/>
        <w:rPr>
          <w:rFonts w:ascii="Arial" w:eastAsia="Arial" w:hAnsi="Arial" w:cs="Arial"/>
          <w:b/>
          <w:color w:val="000000"/>
          <w:sz w:val="22"/>
          <w:szCs w:val="22"/>
        </w:rPr>
      </w:pPr>
      <w:r>
        <w:rPr>
          <w:rFonts w:ascii="Arial" w:eastAsia="Arial" w:hAnsi="Arial" w:cs="Arial"/>
          <w:b/>
          <w:color w:val="000000"/>
          <w:sz w:val="22"/>
          <w:szCs w:val="22"/>
        </w:rPr>
        <w:t>3.6 Correlations between hematological parameters</w:t>
      </w:r>
    </w:p>
    <w:p w14:paraId="681454FE" w14:textId="77777777" w:rsidR="00F704F3" w:rsidRDefault="00F704F3" w:rsidP="00F704F3">
      <w:pPr>
        <w:spacing w:line="480" w:lineRule="auto"/>
        <w:jc w:val="both"/>
        <w:rPr>
          <w:rFonts w:ascii="Arial" w:eastAsia="Arial" w:hAnsi="Arial" w:cs="Arial"/>
        </w:rPr>
      </w:pPr>
      <w:r>
        <w:rPr>
          <w:rFonts w:ascii="Arial" w:eastAsia="Arial" w:hAnsi="Arial" w:cs="Arial"/>
        </w:rPr>
        <w:t xml:space="preserve">Tables 7-9 show a strong positive correlation between Hb and PCV, and between ferritin and serum iron, affirming their physiological interconnectedness (Olayemi et al, </w:t>
      </w:r>
      <w:r>
        <w:rPr>
          <w:rFonts w:ascii="Arial" w:eastAsia="Arial" w:hAnsi="Arial" w:cs="Arial"/>
          <w:color w:val="1C1C1C"/>
          <w:highlight w:val="white"/>
        </w:rPr>
        <w:t xml:space="preserve">2011; </w:t>
      </w:r>
      <w:proofErr w:type="spellStart"/>
      <w:r>
        <w:rPr>
          <w:rFonts w:ascii="Arial" w:eastAsia="Arial" w:hAnsi="Arial" w:cs="Arial"/>
          <w:color w:val="1C1C1C"/>
          <w:highlight w:val="white"/>
        </w:rPr>
        <w:t>Camaschella</w:t>
      </w:r>
      <w:proofErr w:type="spellEnd"/>
      <w:r>
        <w:rPr>
          <w:rFonts w:ascii="Arial" w:eastAsia="Arial" w:hAnsi="Arial" w:cs="Arial"/>
          <w:color w:val="1C1C1C"/>
          <w:highlight w:val="white"/>
        </w:rPr>
        <w:t>, 2015)</w:t>
      </w:r>
      <w:r>
        <w:rPr>
          <w:rFonts w:ascii="Arial" w:eastAsia="Arial" w:hAnsi="Arial" w:cs="Arial"/>
        </w:rPr>
        <w:t>. These associations were more robust among supplemented groups than controls, indicating supplementation’s impact on both iron stores and functional iron. Moderate correlations between baseline and post-intervention markers suggest that initial iron status influenced response to supplementation, aligning with previous studies.</w:t>
      </w:r>
    </w:p>
    <w:p w14:paraId="0E5B25D1" w14:textId="44BBA7EF" w:rsidR="00FA39E2" w:rsidRPr="007B66DF" w:rsidRDefault="00E070FD" w:rsidP="00555543">
      <w:pPr>
        <w:pStyle w:val="Heading2"/>
        <w:spacing w:line="480" w:lineRule="auto"/>
        <w:rPr>
          <w:rFonts w:ascii="Arial" w:hAnsi="Arial" w:cs="Arial"/>
          <w:b/>
          <w:bCs/>
          <w:i/>
          <w:iCs/>
          <w:color w:val="auto"/>
          <w:sz w:val="20"/>
          <w:szCs w:val="20"/>
        </w:rPr>
      </w:pPr>
      <w:bookmarkStart w:id="7" w:name="_Toc209781914"/>
      <w:r w:rsidRPr="007B66DF">
        <w:rPr>
          <w:rFonts w:ascii="Arial" w:hAnsi="Arial" w:cs="Arial"/>
          <w:b/>
          <w:bCs/>
          <w:i/>
          <w:iCs/>
          <w:color w:val="auto"/>
          <w:sz w:val="20"/>
          <w:szCs w:val="20"/>
        </w:rPr>
        <w:t xml:space="preserve">Table 7. Pearson correlation for </w:t>
      </w:r>
      <w:proofErr w:type="spellStart"/>
      <w:r w:rsidR="007B66DF">
        <w:rPr>
          <w:rFonts w:ascii="Arial" w:hAnsi="Arial" w:cs="Arial"/>
          <w:b/>
          <w:bCs/>
          <w:i/>
          <w:iCs/>
          <w:color w:val="auto"/>
          <w:sz w:val="20"/>
          <w:szCs w:val="20"/>
        </w:rPr>
        <w:t>heamoglobin</w:t>
      </w:r>
      <w:proofErr w:type="spellEnd"/>
      <w:r w:rsidRPr="007B66DF">
        <w:rPr>
          <w:rFonts w:ascii="Arial" w:hAnsi="Arial" w:cs="Arial"/>
          <w:b/>
          <w:bCs/>
          <w:i/>
          <w:iCs/>
          <w:color w:val="auto"/>
          <w:sz w:val="20"/>
          <w:szCs w:val="20"/>
        </w:rPr>
        <w:t xml:space="preserve"> variables in the IFA group (n = 36)</w:t>
      </w:r>
      <w:bookmarkEnd w:id="7"/>
    </w:p>
    <w:tbl>
      <w:tblPr>
        <w:tblStyle w:val="ListTable6Colorful1"/>
        <w:tblW w:w="9520" w:type="dxa"/>
        <w:shd w:val="clear" w:color="auto" w:fill="FFFFFF" w:themeFill="background1"/>
        <w:tblLook w:val="04A0" w:firstRow="1" w:lastRow="0" w:firstColumn="1" w:lastColumn="0" w:noHBand="0" w:noVBand="1"/>
      </w:tblPr>
      <w:tblGrid>
        <w:gridCol w:w="1531"/>
        <w:gridCol w:w="829"/>
        <w:gridCol w:w="944"/>
        <w:gridCol w:w="1100"/>
        <w:gridCol w:w="944"/>
        <w:gridCol w:w="240"/>
        <w:gridCol w:w="944"/>
        <w:gridCol w:w="944"/>
        <w:gridCol w:w="1100"/>
        <w:gridCol w:w="944"/>
      </w:tblGrid>
      <w:tr w:rsidR="00FA39E2" w:rsidRPr="00C966FA" w14:paraId="455EAD30" w14:textId="77777777" w:rsidTr="00FA39E2">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9C6841D"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829" w:type="dxa"/>
            <w:shd w:val="clear" w:color="auto" w:fill="FFFFFF" w:themeFill="background1"/>
          </w:tcPr>
          <w:p w14:paraId="2FC727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64040B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6A0058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2A585E51"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1B270A3E"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3C0A49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507649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4F9683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F1F77F8" w14:textId="77777777" w:rsidR="00FA39E2" w:rsidRPr="00C966FA" w:rsidRDefault="00FA39E2"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0" w:type="auto"/>
            <w:shd w:val="clear" w:color="auto" w:fill="FFFFFF" w:themeFill="background1"/>
          </w:tcPr>
          <w:p w14:paraId="054A40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C8E064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F9471A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3CD981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7F52261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0D8C2DAE"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55C1204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D00739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69938E20"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26DBB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829" w:type="dxa"/>
            <w:shd w:val="clear" w:color="auto" w:fill="FFFFFF" w:themeFill="background1"/>
          </w:tcPr>
          <w:p w14:paraId="59C898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F840C1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0.652**</w:t>
            </w:r>
          </w:p>
        </w:tc>
        <w:tc>
          <w:tcPr>
            <w:tcW w:w="0" w:type="auto"/>
            <w:shd w:val="clear" w:color="auto" w:fill="FFFFFF" w:themeFill="background1"/>
          </w:tcPr>
          <w:p w14:paraId="07D071E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62AD55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EB9A3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2BE719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7F17CEF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0.623**</w:t>
            </w:r>
          </w:p>
        </w:tc>
        <w:tc>
          <w:tcPr>
            <w:tcW w:w="0" w:type="auto"/>
            <w:shd w:val="clear" w:color="auto" w:fill="FFFFFF" w:themeFill="background1"/>
          </w:tcPr>
          <w:p w14:paraId="4F6CE82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0.445*</w:t>
            </w:r>
          </w:p>
        </w:tc>
        <w:tc>
          <w:tcPr>
            <w:tcW w:w="0" w:type="auto"/>
            <w:shd w:val="clear" w:color="auto" w:fill="FFFFFF" w:themeFill="background1"/>
          </w:tcPr>
          <w:p w14:paraId="2011E5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5638E22D"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C05A55"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829" w:type="dxa"/>
            <w:shd w:val="clear" w:color="auto" w:fill="FFFFFF" w:themeFill="background1"/>
          </w:tcPr>
          <w:p w14:paraId="5A56609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EC5834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3A49707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E6C57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0.362*</w:t>
            </w:r>
          </w:p>
        </w:tc>
        <w:tc>
          <w:tcPr>
            <w:tcW w:w="0" w:type="auto"/>
            <w:shd w:val="clear" w:color="auto" w:fill="FFFFFF" w:themeFill="background1"/>
          </w:tcPr>
          <w:p w14:paraId="0D7413A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21C68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0" w:type="auto"/>
            <w:shd w:val="clear" w:color="auto" w:fill="FFFFFF" w:themeFill="background1"/>
          </w:tcPr>
          <w:p w14:paraId="5FC9137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0.608**</w:t>
            </w:r>
          </w:p>
        </w:tc>
        <w:tc>
          <w:tcPr>
            <w:tcW w:w="0" w:type="auto"/>
            <w:shd w:val="clear" w:color="auto" w:fill="FFFFFF" w:themeFill="background1"/>
          </w:tcPr>
          <w:p w14:paraId="3FFD66F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0.415*</w:t>
            </w:r>
          </w:p>
        </w:tc>
        <w:tc>
          <w:tcPr>
            <w:tcW w:w="0" w:type="auto"/>
            <w:shd w:val="clear" w:color="auto" w:fill="FFFFFF" w:themeFill="background1"/>
          </w:tcPr>
          <w:p w14:paraId="776419A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0.375*</w:t>
            </w:r>
          </w:p>
        </w:tc>
      </w:tr>
      <w:tr w:rsidR="00FA39E2" w:rsidRPr="00C966FA" w14:paraId="30E1BA4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F49AF5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829" w:type="dxa"/>
            <w:shd w:val="clear" w:color="auto" w:fill="FFFFFF" w:themeFill="background1"/>
          </w:tcPr>
          <w:p w14:paraId="28D8720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29B2CB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60F4ED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4501FD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40E33CF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8A7E91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0.425*</w:t>
            </w:r>
          </w:p>
        </w:tc>
        <w:tc>
          <w:tcPr>
            <w:tcW w:w="0" w:type="auto"/>
            <w:shd w:val="clear" w:color="auto" w:fill="FFFFFF" w:themeFill="background1"/>
          </w:tcPr>
          <w:p w14:paraId="0CA4F0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2EA238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0.583**</w:t>
            </w:r>
          </w:p>
        </w:tc>
        <w:tc>
          <w:tcPr>
            <w:tcW w:w="0" w:type="auto"/>
            <w:shd w:val="clear" w:color="auto" w:fill="FFFFFF" w:themeFill="background1"/>
          </w:tcPr>
          <w:p w14:paraId="20567C0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r>
      <w:tr w:rsidR="00FA39E2" w:rsidRPr="00C966FA" w14:paraId="14532475"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EB4923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829" w:type="dxa"/>
            <w:shd w:val="clear" w:color="auto" w:fill="FFFFFF" w:themeFill="background1"/>
          </w:tcPr>
          <w:p w14:paraId="505ACA1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608647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B042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9F99C1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E6EFE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18E7C5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0245B09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46952C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0.518**</w:t>
            </w:r>
          </w:p>
        </w:tc>
        <w:tc>
          <w:tcPr>
            <w:tcW w:w="0" w:type="auto"/>
            <w:shd w:val="clear" w:color="auto" w:fill="FFFFFF" w:themeFill="background1"/>
          </w:tcPr>
          <w:p w14:paraId="63E2F16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0.603**</w:t>
            </w:r>
          </w:p>
        </w:tc>
      </w:tr>
      <w:tr w:rsidR="00FA39E2" w:rsidRPr="00C966FA" w14:paraId="5F2B8B03"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4AA468A"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829" w:type="dxa"/>
            <w:shd w:val="clear" w:color="auto" w:fill="FFFFFF" w:themeFill="background1"/>
          </w:tcPr>
          <w:p w14:paraId="2360F22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93689B9"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4E69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4397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09662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EA134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96015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0.662**</w:t>
            </w:r>
          </w:p>
        </w:tc>
        <w:tc>
          <w:tcPr>
            <w:tcW w:w="0" w:type="auto"/>
            <w:shd w:val="clear" w:color="auto" w:fill="FFFFFF" w:themeFill="background1"/>
          </w:tcPr>
          <w:p w14:paraId="162CBE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0.472*</w:t>
            </w:r>
          </w:p>
        </w:tc>
        <w:tc>
          <w:tcPr>
            <w:tcW w:w="0" w:type="auto"/>
            <w:shd w:val="clear" w:color="auto" w:fill="FFFFFF" w:themeFill="background1"/>
          </w:tcPr>
          <w:p w14:paraId="4D9EC65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0.410*</w:t>
            </w:r>
          </w:p>
        </w:tc>
      </w:tr>
      <w:tr w:rsidR="00FA39E2" w:rsidRPr="00C966FA" w14:paraId="53F6D8A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2480CDA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829" w:type="dxa"/>
            <w:shd w:val="clear" w:color="auto" w:fill="FFFFFF" w:themeFill="background1"/>
          </w:tcPr>
          <w:p w14:paraId="7C5E582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A68E43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085BE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BAE77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4F8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9B96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AD7E32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327A7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0.435*</w:t>
            </w:r>
          </w:p>
        </w:tc>
        <w:tc>
          <w:tcPr>
            <w:tcW w:w="0" w:type="auto"/>
            <w:shd w:val="clear" w:color="auto" w:fill="FFFFFF" w:themeFill="background1"/>
          </w:tcPr>
          <w:p w14:paraId="669096D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r>
      <w:tr w:rsidR="00FA39E2" w:rsidRPr="00C966FA" w14:paraId="581670B5"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3FE304E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lastRenderedPageBreak/>
              <w:t>Ferritin_after</w:t>
            </w:r>
            <w:proofErr w:type="spellEnd"/>
          </w:p>
        </w:tc>
        <w:tc>
          <w:tcPr>
            <w:tcW w:w="829" w:type="dxa"/>
            <w:shd w:val="clear" w:color="auto" w:fill="FFFFFF" w:themeFill="background1"/>
          </w:tcPr>
          <w:p w14:paraId="03407B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BC7CB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AD168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EAAC1E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DD356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C556C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3B04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23E1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685DA5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0.672**</w:t>
            </w:r>
          </w:p>
        </w:tc>
      </w:tr>
      <w:tr w:rsidR="00FA39E2" w:rsidRPr="00C966FA" w14:paraId="40BD6CEE"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6FEEAA9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829" w:type="dxa"/>
            <w:shd w:val="clear" w:color="auto" w:fill="FFFFFF" w:themeFill="background1"/>
          </w:tcPr>
          <w:p w14:paraId="32125C3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684DE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D803E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DA457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FA84C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693B17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B0C09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E018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B1A731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583275F" w14:textId="1465E08B" w:rsidR="0069575F" w:rsidRPr="00C356E3" w:rsidRDefault="00555543" w:rsidP="00C356E3">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bookmarkStart w:id="8" w:name="_Toc209781915"/>
    </w:p>
    <w:p w14:paraId="305048CB" w14:textId="5A5FF419" w:rsidR="00FA39E2" w:rsidRPr="007B66DF" w:rsidRDefault="00E070FD" w:rsidP="00A943E6">
      <w:pPr>
        <w:pStyle w:val="Caption"/>
        <w:spacing w:after="0" w:line="480" w:lineRule="auto"/>
        <w:rPr>
          <w:rFonts w:ascii="Arial" w:hAnsi="Arial" w:cs="Arial"/>
          <w:b/>
          <w:bCs/>
          <w:color w:val="auto"/>
          <w:sz w:val="20"/>
          <w:szCs w:val="20"/>
        </w:rPr>
      </w:pPr>
      <w:r w:rsidRPr="007B66DF">
        <w:rPr>
          <w:rFonts w:ascii="Arial" w:hAnsi="Arial" w:cs="Arial"/>
          <w:b/>
          <w:bCs/>
          <w:color w:val="auto"/>
          <w:sz w:val="20"/>
          <w:szCs w:val="20"/>
        </w:rPr>
        <w:t xml:space="preserve">Table 8. Pearson correlation </w:t>
      </w:r>
      <w:r w:rsidR="007B66DF">
        <w:rPr>
          <w:rFonts w:ascii="Arial" w:hAnsi="Arial" w:cs="Arial"/>
          <w:b/>
          <w:bCs/>
          <w:color w:val="auto"/>
          <w:sz w:val="20"/>
          <w:szCs w:val="20"/>
        </w:rPr>
        <w:t xml:space="preserve">for </w:t>
      </w:r>
      <w:proofErr w:type="spellStart"/>
      <w:r w:rsidR="007B66DF">
        <w:rPr>
          <w:rFonts w:ascii="Arial" w:hAnsi="Arial" w:cs="Arial"/>
          <w:b/>
          <w:bCs/>
          <w:color w:val="auto"/>
          <w:sz w:val="20"/>
          <w:szCs w:val="20"/>
        </w:rPr>
        <w:t>heamoglobin</w:t>
      </w:r>
      <w:proofErr w:type="spellEnd"/>
      <w:r w:rsidRPr="007B66DF">
        <w:rPr>
          <w:rFonts w:ascii="Arial" w:hAnsi="Arial" w:cs="Arial"/>
          <w:b/>
          <w:bCs/>
          <w:color w:val="auto"/>
          <w:sz w:val="20"/>
          <w:szCs w:val="20"/>
        </w:rPr>
        <w:t xml:space="preserve"> variables in the MMS group (n = 36)</w:t>
      </w:r>
      <w:bookmarkEnd w:id="8"/>
    </w:p>
    <w:tbl>
      <w:tblPr>
        <w:tblStyle w:val="ListTable6Colorful1"/>
        <w:tblW w:w="9624" w:type="dxa"/>
        <w:shd w:val="clear" w:color="auto" w:fill="FFFFFF" w:themeFill="background1"/>
        <w:tblLayout w:type="fixed"/>
        <w:tblLook w:val="04A0" w:firstRow="1" w:lastRow="0" w:firstColumn="1" w:lastColumn="0" w:noHBand="0" w:noVBand="1"/>
      </w:tblPr>
      <w:tblGrid>
        <w:gridCol w:w="1620"/>
        <w:gridCol w:w="900"/>
        <w:gridCol w:w="90"/>
        <w:gridCol w:w="900"/>
        <w:gridCol w:w="1080"/>
        <w:gridCol w:w="940"/>
        <w:gridCol w:w="1040"/>
        <w:gridCol w:w="990"/>
        <w:gridCol w:w="1080"/>
        <w:gridCol w:w="984"/>
      </w:tblGrid>
      <w:tr w:rsidR="00FA39E2" w:rsidRPr="00C966FA" w14:paraId="0C42A1D4" w14:textId="77777777" w:rsidTr="00FA39E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30560C7"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990" w:type="dxa"/>
            <w:gridSpan w:val="2"/>
            <w:shd w:val="clear" w:color="auto" w:fill="FFFFFF" w:themeFill="background1"/>
          </w:tcPr>
          <w:p w14:paraId="505E5B4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 before</w:t>
            </w:r>
          </w:p>
        </w:tc>
        <w:tc>
          <w:tcPr>
            <w:tcW w:w="900" w:type="dxa"/>
            <w:shd w:val="clear" w:color="auto" w:fill="FFFFFF" w:themeFill="background1"/>
          </w:tcPr>
          <w:p w14:paraId="4EE09A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r w:rsidRPr="00C966FA">
              <w:rPr>
                <w:rFonts w:ascii="Arial" w:hAnsi="Arial" w:cs="Arial"/>
                <w:sz w:val="20"/>
                <w:szCs w:val="20"/>
              </w:rPr>
              <w:br/>
              <w:t>before</w:t>
            </w:r>
          </w:p>
        </w:tc>
        <w:tc>
          <w:tcPr>
            <w:tcW w:w="1080" w:type="dxa"/>
            <w:shd w:val="clear" w:color="auto" w:fill="FFFFFF" w:themeFill="background1"/>
          </w:tcPr>
          <w:p w14:paraId="198DFC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w:t>
            </w:r>
            <w:r w:rsidRPr="00C966FA">
              <w:rPr>
                <w:rFonts w:ascii="Arial" w:hAnsi="Arial" w:cs="Arial"/>
                <w:sz w:val="20"/>
                <w:szCs w:val="20"/>
              </w:rPr>
              <w:br/>
              <w:t>before</w:t>
            </w:r>
          </w:p>
        </w:tc>
        <w:tc>
          <w:tcPr>
            <w:tcW w:w="940" w:type="dxa"/>
            <w:shd w:val="clear" w:color="auto" w:fill="FFFFFF" w:themeFill="background1"/>
          </w:tcPr>
          <w:p w14:paraId="772A440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before</w:t>
            </w:r>
          </w:p>
        </w:tc>
        <w:tc>
          <w:tcPr>
            <w:tcW w:w="1040" w:type="dxa"/>
            <w:shd w:val="clear" w:color="auto" w:fill="FFFFFF" w:themeFill="background1"/>
          </w:tcPr>
          <w:p w14:paraId="2B81DFD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w:t>
            </w:r>
            <w:r w:rsidRPr="00C966FA">
              <w:rPr>
                <w:rFonts w:ascii="Arial" w:hAnsi="Arial" w:cs="Arial"/>
                <w:sz w:val="20"/>
                <w:szCs w:val="20"/>
              </w:rPr>
              <w:br/>
              <w:t>after</w:t>
            </w:r>
          </w:p>
        </w:tc>
        <w:tc>
          <w:tcPr>
            <w:tcW w:w="990" w:type="dxa"/>
            <w:shd w:val="clear" w:color="auto" w:fill="FFFFFF" w:themeFill="background1"/>
          </w:tcPr>
          <w:p w14:paraId="3076418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 after</w:t>
            </w:r>
          </w:p>
        </w:tc>
        <w:tc>
          <w:tcPr>
            <w:tcW w:w="1080" w:type="dxa"/>
            <w:shd w:val="clear" w:color="auto" w:fill="FFFFFF" w:themeFill="background1"/>
          </w:tcPr>
          <w:p w14:paraId="43BDD2B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 after</w:t>
            </w:r>
          </w:p>
        </w:tc>
        <w:tc>
          <w:tcPr>
            <w:tcW w:w="984" w:type="dxa"/>
            <w:shd w:val="clear" w:color="auto" w:fill="FFFFFF" w:themeFill="background1"/>
          </w:tcPr>
          <w:p w14:paraId="644A2A3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after</w:t>
            </w:r>
          </w:p>
        </w:tc>
      </w:tr>
      <w:tr w:rsidR="00FA39E2" w:rsidRPr="00C966FA" w14:paraId="798D96DE"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734702A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900" w:type="dxa"/>
            <w:shd w:val="clear" w:color="auto" w:fill="FFFFFF" w:themeFill="background1"/>
          </w:tcPr>
          <w:p w14:paraId="063E9D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gridSpan w:val="2"/>
            <w:shd w:val="clear" w:color="auto" w:fill="FFFFFF" w:themeFill="background1"/>
          </w:tcPr>
          <w:p w14:paraId="2B341F9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0.642**</w:t>
            </w:r>
          </w:p>
        </w:tc>
        <w:tc>
          <w:tcPr>
            <w:tcW w:w="1080" w:type="dxa"/>
            <w:shd w:val="clear" w:color="auto" w:fill="FFFFFF" w:themeFill="background1"/>
          </w:tcPr>
          <w:p w14:paraId="09AB9AC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c>
          <w:tcPr>
            <w:tcW w:w="940" w:type="dxa"/>
            <w:shd w:val="clear" w:color="auto" w:fill="FFFFFF" w:themeFill="background1"/>
          </w:tcPr>
          <w:p w14:paraId="175C7D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0.366*</w:t>
            </w:r>
          </w:p>
        </w:tc>
        <w:tc>
          <w:tcPr>
            <w:tcW w:w="1040" w:type="dxa"/>
            <w:shd w:val="clear" w:color="auto" w:fill="FFFFFF" w:themeFill="background1"/>
          </w:tcPr>
          <w:p w14:paraId="5247C23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0.695**</w:t>
            </w:r>
          </w:p>
        </w:tc>
        <w:tc>
          <w:tcPr>
            <w:tcW w:w="990" w:type="dxa"/>
            <w:shd w:val="clear" w:color="auto" w:fill="FFFFFF" w:themeFill="background1"/>
          </w:tcPr>
          <w:p w14:paraId="25F17C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0.619**</w:t>
            </w:r>
          </w:p>
        </w:tc>
        <w:tc>
          <w:tcPr>
            <w:tcW w:w="1080" w:type="dxa"/>
            <w:shd w:val="clear" w:color="auto" w:fill="FFFFFF" w:themeFill="background1"/>
          </w:tcPr>
          <w:p w14:paraId="3C4B15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0.432*</w:t>
            </w:r>
          </w:p>
        </w:tc>
        <w:tc>
          <w:tcPr>
            <w:tcW w:w="984" w:type="dxa"/>
            <w:shd w:val="clear" w:color="auto" w:fill="FFFFFF" w:themeFill="background1"/>
          </w:tcPr>
          <w:p w14:paraId="2779751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0.389*</w:t>
            </w:r>
          </w:p>
        </w:tc>
      </w:tr>
      <w:tr w:rsidR="00FA39E2" w:rsidRPr="00C966FA" w14:paraId="6DB8ECF0"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7E1C69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900" w:type="dxa"/>
            <w:shd w:val="clear" w:color="auto" w:fill="FFFFFF" w:themeFill="background1"/>
          </w:tcPr>
          <w:p w14:paraId="3B8CB07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F5B0A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02AC6DE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c>
          <w:tcPr>
            <w:tcW w:w="940" w:type="dxa"/>
            <w:shd w:val="clear" w:color="auto" w:fill="FFFFFF" w:themeFill="background1"/>
          </w:tcPr>
          <w:p w14:paraId="2C00795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0.358*</w:t>
            </w:r>
          </w:p>
        </w:tc>
        <w:tc>
          <w:tcPr>
            <w:tcW w:w="1040" w:type="dxa"/>
            <w:shd w:val="clear" w:color="auto" w:fill="FFFFFF" w:themeFill="background1"/>
          </w:tcPr>
          <w:p w14:paraId="293B59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0.649**</w:t>
            </w:r>
          </w:p>
        </w:tc>
        <w:tc>
          <w:tcPr>
            <w:tcW w:w="990" w:type="dxa"/>
            <w:shd w:val="clear" w:color="auto" w:fill="FFFFFF" w:themeFill="background1"/>
          </w:tcPr>
          <w:p w14:paraId="64E611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0.601**</w:t>
            </w:r>
          </w:p>
        </w:tc>
        <w:tc>
          <w:tcPr>
            <w:tcW w:w="1080" w:type="dxa"/>
            <w:shd w:val="clear" w:color="auto" w:fill="FFFFFF" w:themeFill="background1"/>
          </w:tcPr>
          <w:p w14:paraId="692D6DE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984" w:type="dxa"/>
            <w:shd w:val="clear" w:color="auto" w:fill="FFFFFF" w:themeFill="background1"/>
          </w:tcPr>
          <w:p w14:paraId="0EDDCAC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0.368*</w:t>
            </w:r>
          </w:p>
        </w:tc>
      </w:tr>
      <w:tr w:rsidR="00FA39E2" w:rsidRPr="00C966FA" w14:paraId="7AA63CD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6A66995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900" w:type="dxa"/>
            <w:shd w:val="clear" w:color="auto" w:fill="FFFFFF" w:themeFill="background1"/>
          </w:tcPr>
          <w:p w14:paraId="7D1482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6CF285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244A3FE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40" w:type="dxa"/>
            <w:shd w:val="clear" w:color="auto" w:fill="FFFFFF" w:themeFill="background1"/>
          </w:tcPr>
          <w:p w14:paraId="4F818B2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0.689**</w:t>
            </w:r>
          </w:p>
        </w:tc>
        <w:tc>
          <w:tcPr>
            <w:tcW w:w="1040" w:type="dxa"/>
            <w:shd w:val="clear" w:color="auto" w:fill="FFFFFF" w:themeFill="background1"/>
          </w:tcPr>
          <w:p w14:paraId="37C35C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0.419*</w:t>
            </w:r>
          </w:p>
        </w:tc>
        <w:tc>
          <w:tcPr>
            <w:tcW w:w="990" w:type="dxa"/>
            <w:shd w:val="clear" w:color="auto" w:fill="FFFFFF" w:themeFill="background1"/>
          </w:tcPr>
          <w:p w14:paraId="5CC0DA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s</w:t>
            </w:r>
          </w:p>
        </w:tc>
        <w:tc>
          <w:tcPr>
            <w:tcW w:w="1080" w:type="dxa"/>
            <w:shd w:val="clear" w:color="auto" w:fill="FFFFFF" w:themeFill="background1"/>
          </w:tcPr>
          <w:p w14:paraId="6D7E6F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0.570**</w:t>
            </w:r>
          </w:p>
        </w:tc>
        <w:tc>
          <w:tcPr>
            <w:tcW w:w="984" w:type="dxa"/>
            <w:shd w:val="clear" w:color="auto" w:fill="FFFFFF" w:themeFill="background1"/>
          </w:tcPr>
          <w:p w14:paraId="268941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0.548**</w:t>
            </w:r>
          </w:p>
        </w:tc>
      </w:tr>
      <w:tr w:rsidR="00FA39E2" w:rsidRPr="00C966FA" w14:paraId="19B9BC19"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679993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900" w:type="dxa"/>
            <w:shd w:val="clear" w:color="auto" w:fill="FFFFFF" w:themeFill="background1"/>
          </w:tcPr>
          <w:p w14:paraId="11F6BB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418026A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C578C0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A43E6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40" w:type="dxa"/>
            <w:shd w:val="clear" w:color="auto" w:fill="FFFFFF" w:themeFill="background1"/>
          </w:tcPr>
          <w:p w14:paraId="38FA453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0.385*</w:t>
            </w:r>
          </w:p>
        </w:tc>
        <w:tc>
          <w:tcPr>
            <w:tcW w:w="990" w:type="dxa"/>
            <w:shd w:val="clear" w:color="auto" w:fill="FFFFFF" w:themeFill="background1"/>
          </w:tcPr>
          <w:p w14:paraId="743F16F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0.351*</w:t>
            </w:r>
          </w:p>
        </w:tc>
        <w:tc>
          <w:tcPr>
            <w:tcW w:w="1080" w:type="dxa"/>
            <w:shd w:val="clear" w:color="auto" w:fill="FFFFFF" w:themeFill="background1"/>
          </w:tcPr>
          <w:p w14:paraId="335FF6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0.503**</w:t>
            </w:r>
          </w:p>
        </w:tc>
        <w:tc>
          <w:tcPr>
            <w:tcW w:w="984" w:type="dxa"/>
            <w:shd w:val="clear" w:color="auto" w:fill="FFFFFF" w:themeFill="background1"/>
          </w:tcPr>
          <w:p w14:paraId="03922C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0.590**</w:t>
            </w:r>
          </w:p>
        </w:tc>
      </w:tr>
      <w:tr w:rsidR="00FA39E2" w:rsidRPr="00C966FA" w14:paraId="4C5918E2"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0571BAD1"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900" w:type="dxa"/>
            <w:shd w:val="clear" w:color="auto" w:fill="FFFFFF" w:themeFill="background1"/>
          </w:tcPr>
          <w:p w14:paraId="77188C1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3C30F9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D3B025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0BD539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E19BB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shd w:val="clear" w:color="auto" w:fill="FFFFFF" w:themeFill="background1"/>
          </w:tcPr>
          <w:p w14:paraId="0C4C9CB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1080" w:type="dxa"/>
            <w:shd w:val="clear" w:color="auto" w:fill="FFFFFF" w:themeFill="background1"/>
          </w:tcPr>
          <w:p w14:paraId="7224015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0.462*</w:t>
            </w:r>
          </w:p>
        </w:tc>
        <w:tc>
          <w:tcPr>
            <w:tcW w:w="984" w:type="dxa"/>
            <w:shd w:val="clear" w:color="auto" w:fill="FFFFFF" w:themeFill="background1"/>
          </w:tcPr>
          <w:p w14:paraId="6A54A55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r>
      <w:tr w:rsidR="00FA39E2" w:rsidRPr="00C966FA" w14:paraId="3C85349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11C7B1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900" w:type="dxa"/>
            <w:shd w:val="clear" w:color="auto" w:fill="FFFFFF" w:themeFill="background1"/>
          </w:tcPr>
          <w:p w14:paraId="0CAB8E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2C97FFC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E3D618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3D3036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13784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49D69DD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4973409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0.428*</w:t>
            </w:r>
          </w:p>
        </w:tc>
        <w:tc>
          <w:tcPr>
            <w:tcW w:w="984" w:type="dxa"/>
            <w:shd w:val="clear" w:color="auto" w:fill="FFFFFF" w:themeFill="background1"/>
          </w:tcPr>
          <w:p w14:paraId="6581B83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r>
      <w:tr w:rsidR="00FA39E2" w:rsidRPr="00C966FA" w14:paraId="76EB79CF"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D3FE63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900" w:type="dxa"/>
            <w:shd w:val="clear" w:color="auto" w:fill="FFFFFF" w:themeFill="background1"/>
          </w:tcPr>
          <w:p w14:paraId="77709A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35DF94D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D5DE3E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FC1E8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42C21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0C0FBF1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323B1C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84" w:type="dxa"/>
            <w:shd w:val="clear" w:color="auto" w:fill="FFFFFF" w:themeFill="background1"/>
          </w:tcPr>
          <w:p w14:paraId="1B67C48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0.665**</w:t>
            </w:r>
          </w:p>
        </w:tc>
      </w:tr>
      <w:tr w:rsidR="00FA39E2" w:rsidRPr="00C966FA" w14:paraId="63D9A457"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2ACE35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900" w:type="dxa"/>
            <w:shd w:val="clear" w:color="auto" w:fill="FFFFFF" w:themeFill="background1"/>
          </w:tcPr>
          <w:p w14:paraId="7D99BAF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DA7AC4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7489830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5A75605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3FDC2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191D3FA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121F34B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4" w:type="dxa"/>
            <w:shd w:val="clear" w:color="auto" w:fill="FFFFFF" w:themeFill="background1"/>
          </w:tcPr>
          <w:p w14:paraId="52355A6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535548AE" w14:textId="50C6A8FF" w:rsidR="00FA39E2"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522952DA" w14:textId="77777777" w:rsidR="004F6EF0" w:rsidRDefault="004F6EF0" w:rsidP="0008126A">
      <w:pPr>
        <w:spacing w:line="480" w:lineRule="auto"/>
        <w:jc w:val="both"/>
        <w:rPr>
          <w:rFonts w:ascii="Arial" w:hAnsi="Arial" w:cs="Arial"/>
          <w:b/>
          <w:sz w:val="22"/>
          <w:szCs w:val="22"/>
        </w:rPr>
      </w:pPr>
    </w:p>
    <w:p w14:paraId="5C2ADDA2" w14:textId="761E7EEC" w:rsidR="00FA39E2" w:rsidRPr="00C966FA" w:rsidRDefault="007B66DF" w:rsidP="0008126A">
      <w:pPr>
        <w:spacing w:line="480" w:lineRule="auto"/>
        <w:jc w:val="both"/>
        <w:rPr>
          <w:rFonts w:ascii="Arial" w:hAnsi="Arial" w:cs="Arial"/>
          <w:sz w:val="22"/>
          <w:szCs w:val="22"/>
        </w:rPr>
      </w:pPr>
      <w:r>
        <w:rPr>
          <w:rFonts w:ascii="Arial" w:hAnsi="Arial" w:cs="Arial"/>
          <w:b/>
          <w:sz w:val="22"/>
          <w:szCs w:val="22"/>
        </w:rPr>
        <w:t xml:space="preserve">3.7 </w:t>
      </w:r>
      <w:r w:rsidR="00E070FD" w:rsidRPr="00C966FA">
        <w:rPr>
          <w:rFonts w:ascii="Arial" w:hAnsi="Arial" w:cs="Arial"/>
          <w:b/>
          <w:sz w:val="22"/>
          <w:szCs w:val="22"/>
        </w:rPr>
        <w:t>Pearson correlation for iron-status variables in the control group</w:t>
      </w:r>
      <w:r w:rsidR="00E070FD" w:rsidRPr="00C966FA">
        <w:rPr>
          <w:rFonts w:ascii="Arial" w:hAnsi="Arial" w:cs="Arial"/>
          <w:sz w:val="22"/>
          <w:szCs w:val="22"/>
        </w:rPr>
        <w:t xml:space="preserve"> </w:t>
      </w:r>
    </w:p>
    <w:p w14:paraId="73857E85" w14:textId="77777777" w:rsidR="00FA39E2" w:rsidRPr="007B66DF" w:rsidRDefault="00E070FD" w:rsidP="00A943E6">
      <w:pPr>
        <w:pStyle w:val="Caption"/>
        <w:spacing w:after="0" w:line="480" w:lineRule="auto"/>
        <w:rPr>
          <w:rFonts w:ascii="Arial" w:hAnsi="Arial" w:cs="Arial"/>
          <w:b/>
          <w:bCs/>
          <w:i w:val="0"/>
          <w:iCs w:val="0"/>
          <w:color w:val="auto"/>
          <w:sz w:val="20"/>
          <w:szCs w:val="20"/>
        </w:rPr>
      </w:pPr>
      <w:bookmarkStart w:id="9" w:name="_Toc209781916"/>
      <w:r w:rsidRPr="007B66DF">
        <w:rPr>
          <w:rFonts w:ascii="Arial" w:hAnsi="Arial" w:cs="Arial"/>
          <w:b/>
          <w:bCs/>
          <w:i w:val="0"/>
          <w:iCs w:val="0"/>
          <w:color w:val="auto"/>
          <w:sz w:val="20"/>
          <w:szCs w:val="20"/>
        </w:rPr>
        <w:t xml:space="preserve">Table 9: Pearson correlation for </w:t>
      </w:r>
      <w:proofErr w:type="spellStart"/>
      <w:r w:rsidRPr="007B66DF">
        <w:rPr>
          <w:rFonts w:ascii="Arial" w:hAnsi="Arial" w:cs="Arial"/>
          <w:b/>
          <w:bCs/>
          <w:i w:val="0"/>
          <w:color w:val="auto"/>
          <w:sz w:val="20"/>
          <w:szCs w:val="20"/>
        </w:rPr>
        <w:t>heamoglobin</w:t>
      </w:r>
      <w:proofErr w:type="spellEnd"/>
      <w:r w:rsidRPr="007B66DF">
        <w:rPr>
          <w:rFonts w:ascii="Arial" w:hAnsi="Arial" w:cs="Arial"/>
          <w:b/>
          <w:bCs/>
          <w:color w:val="auto"/>
          <w:sz w:val="20"/>
          <w:szCs w:val="20"/>
        </w:rPr>
        <w:t xml:space="preserve"> </w:t>
      </w:r>
      <w:r w:rsidRPr="007B66DF">
        <w:rPr>
          <w:rFonts w:ascii="Arial" w:hAnsi="Arial" w:cs="Arial"/>
          <w:b/>
          <w:bCs/>
          <w:i w:val="0"/>
          <w:iCs w:val="0"/>
          <w:color w:val="auto"/>
          <w:sz w:val="20"/>
          <w:szCs w:val="20"/>
        </w:rPr>
        <w:t>variables in the Control group (n = 36)</w:t>
      </w:r>
      <w:bookmarkEnd w:id="9"/>
    </w:p>
    <w:tbl>
      <w:tblPr>
        <w:tblStyle w:val="ListTable6Colorful1"/>
        <w:tblW w:w="9498" w:type="dxa"/>
        <w:shd w:val="clear" w:color="auto" w:fill="FFFFFF" w:themeFill="background1"/>
        <w:tblLook w:val="04A0" w:firstRow="1" w:lastRow="0" w:firstColumn="1" w:lastColumn="0" w:noHBand="0" w:noVBand="1"/>
      </w:tblPr>
      <w:tblGrid>
        <w:gridCol w:w="1939"/>
        <w:gridCol w:w="866"/>
        <w:gridCol w:w="913"/>
        <w:gridCol w:w="1064"/>
        <w:gridCol w:w="913"/>
        <w:gridCol w:w="913"/>
        <w:gridCol w:w="913"/>
        <w:gridCol w:w="1064"/>
        <w:gridCol w:w="913"/>
      </w:tblGrid>
      <w:tr w:rsidR="00FA39E2" w:rsidRPr="00C966FA" w14:paraId="6AF44D25" w14:textId="77777777" w:rsidTr="00FA39E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3539905" w14:textId="77777777" w:rsidR="00FA39E2" w:rsidRPr="00C966FA" w:rsidRDefault="00E070FD" w:rsidP="0008126A">
            <w:pPr>
              <w:spacing w:line="480" w:lineRule="auto"/>
              <w:jc w:val="both"/>
              <w:rPr>
                <w:rFonts w:ascii="Arial" w:hAnsi="Arial" w:cs="Arial"/>
                <w:sz w:val="20"/>
                <w:szCs w:val="20"/>
              </w:rPr>
            </w:pPr>
            <w:r w:rsidRPr="00C966FA">
              <w:rPr>
                <w:rFonts w:ascii="Arial" w:hAnsi="Arial" w:cs="Arial"/>
                <w:sz w:val="20"/>
                <w:szCs w:val="20"/>
              </w:rPr>
              <w:t>Variable</w:t>
            </w:r>
          </w:p>
        </w:tc>
        <w:tc>
          <w:tcPr>
            <w:tcW w:w="0" w:type="auto"/>
            <w:shd w:val="clear" w:color="auto" w:fill="FFFFFF" w:themeFill="background1"/>
          </w:tcPr>
          <w:p w14:paraId="1922337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501CAC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0FAF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p>
          <w:p w14:paraId="2FD771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37D57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3405408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88A208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60F144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3B894F2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1DADFB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68B060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0E7247D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513A665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874AE4F"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3F4FE7F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782AB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0E110A85" w14:textId="77777777" w:rsidTr="00FA39E2">
        <w:trPr>
          <w:trHeight w:val="35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940802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0" w:type="auto"/>
            <w:shd w:val="clear" w:color="auto" w:fill="FFFFFF" w:themeFill="background1"/>
          </w:tcPr>
          <w:p w14:paraId="7A8107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30791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0.635**</w:t>
            </w:r>
          </w:p>
        </w:tc>
        <w:tc>
          <w:tcPr>
            <w:tcW w:w="0" w:type="auto"/>
            <w:shd w:val="clear" w:color="auto" w:fill="FFFFFF" w:themeFill="background1"/>
          </w:tcPr>
          <w:p w14:paraId="147358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818D27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5B4F16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0.682**</w:t>
            </w:r>
          </w:p>
        </w:tc>
        <w:tc>
          <w:tcPr>
            <w:tcW w:w="0" w:type="auto"/>
            <w:shd w:val="clear" w:color="auto" w:fill="FFFFFF" w:themeFill="background1"/>
          </w:tcPr>
          <w:p w14:paraId="0428460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0.612**</w:t>
            </w:r>
          </w:p>
        </w:tc>
        <w:tc>
          <w:tcPr>
            <w:tcW w:w="0" w:type="auto"/>
            <w:shd w:val="clear" w:color="auto" w:fill="FFFFFF" w:themeFill="background1"/>
          </w:tcPr>
          <w:p w14:paraId="181232B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0D30394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0.381*</w:t>
            </w:r>
          </w:p>
        </w:tc>
      </w:tr>
      <w:tr w:rsidR="00FA39E2" w:rsidRPr="00C966FA" w14:paraId="1DABCD03"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ECD419F"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0" w:type="auto"/>
            <w:shd w:val="clear" w:color="auto" w:fill="FFFFFF" w:themeFill="background1"/>
          </w:tcPr>
          <w:p w14:paraId="635B382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D86A76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1D210A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2D6EE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0.345*</w:t>
            </w:r>
          </w:p>
        </w:tc>
        <w:tc>
          <w:tcPr>
            <w:tcW w:w="0" w:type="auto"/>
            <w:shd w:val="clear" w:color="auto" w:fill="FFFFFF" w:themeFill="background1"/>
          </w:tcPr>
          <w:p w14:paraId="2A9137A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0.637**</w:t>
            </w:r>
          </w:p>
        </w:tc>
        <w:tc>
          <w:tcPr>
            <w:tcW w:w="0" w:type="auto"/>
            <w:shd w:val="clear" w:color="auto" w:fill="FFFFFF" w:themeFill="background1"/>
          </w:tcPr>
          <w:p w14:paraId="2010D2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0.592**</w:t>
            </w:r>
          </w:p>
        </w:tc>
        <w:tc>
          <w:tcPr>
            <w:tcW w:w="0" w:type="auto"/>
            <w:shd w:val="clear" w:color="auto" w:fill="FFFFFF" w:themeFill="background1"/>
          </w:tcPr>
          <w:p w14:paraId="406BCB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0.395*</w:t>
            </w:r>
          </w:p>
        </w:tc>
        <w:tc>
          <w:tcPr>
            <w:tcW w:w="0" w:type="auto"/>
            <w:shd w:val="clear" w:color="auto" w:fill="FFFFFF" w:themeFill="background1"/>
          </w:tcPr>
          <w:p w14:paraId="0262A6F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0.359*</w:t>
            </w:r>
          </w:p>
        </w:tc>
      </w:tr>
      <w:tr w:rsidR="00FA39E2" w:rsidRPr="00C966FA" w14:paraId="0D487F1E"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2E4B4E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0" w:type="auto"/>
            <w:shd w:val="clear" w:color="auto" w:fill="FFFFFF" w:themeFill="background1"/>
          </w:tcPr>
          <w:p w14:paraId="7AFDA17D"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F293DD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36E7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164BD7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0.678**</w:t>
            </w:r>
          </w:p>
        </w:tc>
        <w:tc>
          <w:tcPr>
            <w:tcW w:w="0" w:type="auto"/>
            <w:shd w:val="clear" w:color="auto" w:fill="FFFFFF" w:themeFill="background1"/>
          </w:tcPr>
          <w:p w14:paraId="10C436A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0" w:type="auto"/>
            <w:shd w:val="clear" w:color="auto" w:fill="FFFFFF" w:themeFill="background1"/>
          </w:tcPr>
          <w:p w14:paraId="52704FC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0.378*</w:t>
            </w:r>
          </w:p>
        </w:tc>
        <w:tc>
          <w:tcPr>
            <w:tcW w:w="0" w:type="auto"/>
            <w:shd w:val="clear" w:color="auto" w:fill="FFFFFF" w:themeFill="background1"/>
          </w:tcPr>
          <w:p w14:paraId="39B228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c>
          <w:tcPr>
            <w:tcW w:w="0" w:type="auto"/>
            <w:shd w:val="clear" w:color="auto" w:fill="FFFFFF" w:themeFill="background1"/>
          </w:tcPr>
          <w:p w14:paraId="02D700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0.540**</w:t>
            </w:r>
          </w:p>
        </w:tc>
      </w:tr>
      <w:tr w:rsidR="00FA39E2" w:rsidRPr="00C966FA" w14:paraId="2B19FD53" w14:textId="77777777" w:rsidTr="00FA39E2">
        <w:trPr>
          <w:trHeight w:val="44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141662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0" w:type="auto"/>
            <w:shd w:val="clear" w:color="auto" w:fill="FFFFFF" w:themeFill="background1"/>
          </w:tcPr>
          <w:p w14:paraId="34F90F9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1D739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8B59F1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486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4BE2F3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0.372*</w:t>
            </w:r>
          </w:p>
        </w:tc>
        <w:tc>
          <w:tcPr>
            <w:tcW w:w="0" w:type="auto"/>
            <w:shd w:val="clear" w:color="auto" w:fill="FFFFFF" w:themeFill="background1"/>
          </w:tcPr>
          <w:p w14:paraId="5F2744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0.340*</w:t>
            </w:r>
          </w:p>
        </w:tc>
        <w:tc>
          <w:tcPr>
            <w:tcW w:w="0" w:type="auto"/>
            <w:shd w:val="clear" w:color="auto" w:fill="FFFFFF" w:themeFill="background1"/>
          </w:tcPr>
          <w:p w14:paraId="008EE4E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0.492**</w:t>
            </w:r>
          </w:p>
        </w:tc>
        <w:tc>
          <w:tcPr>
            <w:tcW w:w="0" w:type="auto"/>
            <w:shd w:val="clear" w:color="auto" w:fill="FFFFFF" w:themeFill="background1"/>
          </w:tcPr>
          <w:p w14:paraId="04F0F5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0.577**</w:t>
            </w:r>
          </w:p>
        </w:tc>
      </w:tr>
      <w:tr w:rsidR="00FA39E2" w:rsidRPr="00C966FA" w14:paraId="3127781F" w14:textId="77777777" w:rsidTr="00FA39E2">
        <w:trPr>
          <w:trHeight w:val="27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1F18154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0" w:type="auto"/>
            <w:shd w:val="clear" w:color="auto" w:fill="FFFFFF" w:themeFill="background1"/>
          </w:tcPr>
          <w:p w14:paraId="79F54F3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ED1AA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D2472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A3B20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53DCC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614A9DB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0.643**</w:t>
            </w:r>
          </w:p>
        </w:tc>
        <w:tc>
          <w:tcPr>
            <w:tcW w:w="0" w:type="auto"/>
            <w:shd w:val="clear" w:color="auto" w:fill="FFFFFF" w:themeFill="background1"/>
          </w:tcPr>
          <w:p w14:paraId="0690FE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0.452*</w:t>
            </w:r>
          </w:p>
        </w:tc>
        <w:tc>
          <w:tcPr>
            <w:tcW w:w="0" w:type="auto"/>
            <w:shd w:val="clear" w:color="auto" w:fill="FFFFFF" w:themeFill="background1"/>
          </w:tcPr>
          <w:p w14:paraId="038219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6FD5D9EF"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52381D9E"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lastRenderedPageBreak/>
              <w:t>PCV_after</w:t>
            </w:r>
            <w:proofErr w:type="spellEnd"/>
          </w:p>
        </w:tc>
        <w:tc>
          <w:tcPr>
            <w:tcW w:w="0" w:type="auto"/>
            <w:shd w:val="clear" w:color="auto" w:fill="FFFFFF" w:themeFill="background1"/>
          </w:tcPr>
          <w:p w14:paraId="4DD526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40DEC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AF40C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53D20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4AD2CF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A1B7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2101BCB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0.418*</w:t>
            </w:r>
          </w:p>
        </w:tc>
        <w:tc>
          <w:tcPr>
            <w:tcW w:w="0" w:type="auto"/>
            <w:shd w:val="clear" w:color="auto" w:fill="FFFFFF" w:themeFill="background1"/>
          </w:tcPr>
          <w:p w14:paraId="5AB1BE1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0.384*</w:t>
            </w:r>
          </w:p>
        </w:tc>
      </w:tr>
      <w:tr w:rsidR="00FA39E2" w:rsidRPr="00C966FA" w14:paraId="55C00335" w14:textId="77777777" w:rsidTr="00FA39E2">
        <w:trPr>
          <w:trHeight w:val="3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7A16896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0" w:type="auto"/>
            <w:shd w:val="clear" w:color="auto" w:fill="FFFFFF" w:themeFill="background1"/>
          </w:tcPr>
          <w:p w14:paraId="4DA21DB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F59F11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8828E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390068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581EC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24E3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F9EEF6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F539D2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0.658**</w:t>
            </w:r>
          </w:p>
        </w:tc>
      </w:tr>
      <w:tr w:rsidR="00FA39E2" w:rsidRPr="00C966FA" w14:paraId="525F0897"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4247EAA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0" w:type="auto"/>
            <w:shd w:val="clear" w:color="auto" w:fill="FFFFFF" w:themeFill="background1"/>
          </w:tcPr>
          <w:p w14:paraId="5C0135A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73F14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BFB1D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B9B74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CBB09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412E3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96229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FBA8A7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7CE86456" w14:textId="60917998" w:rsidR="004017A1"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7A5E4574" w14:textId="77777777" w:rsidR="00FA39E2" w:rsidRPr="004F6EF0" w:rsidRDefault="00E070FD" w:rsidP="0008126A">
      <w:pPr>
        <w:pStyle w:val="Caption"/>
        <w:spacing w:line="480" w:lineRule="auto"/>
        <w:rPr>
          <w:rFonts w:ascii="Arial" w:hAnsi="Arial" w:cs="Arial"/>
          <w:b/>
          <w:bCs/>
          <w:i w:val="0"/>
          <w:iCs w:val="0"/>
          <w:color w:val="auto"/>
          <w:sz w:val="20"/>
          <w:szCs w:val="20"/>
        </w:rPr>
      </w:pPr>
      <w:r w:rsidRPr="004F6EF0">
        <w:rPr>
          <w:rFonts w:ascii="Arial" w:hAnsi="Arial" w:cs="Arial"/>
          <w:b/>
          <w:bCs/>
          <w:i w:val="0"/>
          <w:iCs w:val="0"/>
          <w:color w:val="auto"/>
          <w:sz w:val="20"/>
          <w:szCs w:val="20"/>
        </w:rPr>
        <w:t>3.6.1 Test of Association between Intervention Group and Variables</w:t>
      </w:r>
    </w:p>
    <w:p w14:paraId="1E3A9903" w14:textId="33D96BD1" w:rsidR="00FA39E2" w:rsidRPr="0008126A" w:rsidRDefault="00E070FD" w:rsidP="0008126A">
      <w:pPr>
        <w:spacing w:line="480" w:lineRule="auto"/>
        <w:jc w:val="both"/>
        <w:rPr>
          <w:rFonts w:ascii="Arial" w:hAnsi="Arial" w:cs="Arial"/>
        </w:rPr>
      </w:pPr>
      <w:r w:rsidRPr="00C966FA">
        <w:rPr>
          <w:rFonts w:ascii="Arial" w:hAnsi="Arial" w:cs="Arial"/>
        </w:rPr>
        <w:t xml:space="preserve">Results in Table 10 </w:t>
      </w:r>
      <w:r w:rsidR="008F6F51">
        <w:rPr>
          <w:rFonts w:ascii="Arial" w:hAnsi="Arial" w:cs="Arial"/>
        </w:rPr>
        <w:t xml:space="preserve">for </w:t>
      </w:r>
      <w:r w:rsidRPr="00C966FA">
        <w:rPr>
          <w:rFonts w:ascii="Arial" w:hAnsi="Arial" w:cs="Arial"/>
        </w:rPr>
        <w:t>Chi-square analyses showed demographic similarities across groups, supporting the study’s internal validity, though differences in ANC enrollment, gestational age at recruitment, and malaria prophylaxis uptake may have influenced outcomes. Early ANC attendance and malaria prophylaxis are recognized as critical for enhancing the effectiveness of nutritional interventions.</w:t>
      </w:r>
    </w:p>
    <w:p w14:paraId="3D26B56A" w14:textId="325EEAC2" w:rsidR="00FA39E2" w:rsidRPr="00C966FA" w:rsidRDefault="00E070FD" w:rsidP="0008126A">
      <w:pPr>
        <w:pStyle w:val="ConcHead"/>
        <w:spacing w:after="0" w:line="480" w:lineRule="auto"/>
        <w:jc w:val="both"/>
        <w:rPr>
          <w:rFonts w:ascii="Arial" w:hAnsi="Arial" w:cs="Arial"/>
        </w:rPr>
      </w:pPr>
      <w:r w:rsidRPr="00C966FA">
        <w:rPr>
          <w:rFonts w:ascii="Arial" w:hAnsi="Arial" w:cs="Arial"/>
        </w:rPr>
        <w:t xml:space="preserve">4. </w:t>
      </w:r>
      <w:commentRangeStart w:id="10"/>
      <w:r w:rsidRPr="00C966FA">
        <w:rPr>
          <w:rFonts w:ascii="Arial" w:hAnsi="Arial" w:cs="Arial"/>
        </w:rPr>
        <w:t>Conclusion</w:t>
      </w:r>
      <w:commentRangeEnd w:id="10"/>
      <w:r w:rsidR="00F56C66">
        <w:rPr>
          <w:rStyle w:val="CommentReference"/>
          <w:rFonts w:ascii="Times New Roman" w:hAnsi="Times New Roman"/>
          <w:b w:val="0"/>
          <w:caps w:val="0"/>
          <w:lang w:val="nb-NO" w:eastAsia="nb-NO"/>
        </w:rPr>
        <w:commentReference w:id="10"/>
      </w:r>
    </w:p>
    <w:p w14:paraId="1FADC753" w14:textId="47BD1C5E" w:rsidR="0069575F" w:rsidRPr="00C966FA" w:rsidRDefault="00E070FD" w:rsidP="0008126A">
      <w:pPr>
        <w:spacing w:line="480" w:lineRule="auto"/>
        <w:jc w:val="both"/>
        <w:rPr>
          <w:rFonts w:ascii="Arial" w:hAnsi="Arial" w:cs="Arial"/>
        </w:rPr>
      </w:pPr>
      <w:r w:rsidRPr="00C966FA">
        <w:rPr>
          <w:rFonts w:ascii="Arial" w:hAnsi="Arial" w:cs="Arial"/>
          <w:szCs w:val="24"/>
        </w:rPr>
        <w:t xml:space="preserve">Based on the </w:t>
      </w:r>
      <w:r w:rsidR="00466F39">
        <w:rPr>
          <w:rFonts w:ascii="Arial" w:hAnsi="Arial" w:cs="Arial"/>
          <w:szCs w:val="24"/>
        </w:rPr>
        <w:t>findings of this study, IFA supplementation provided more significant improvements in hematological markers than MMS, reinforcing its status as the cornerstone for anemia prevention in pregnancy,</w:t>
      </w:r>
      <w:r w:rsidRPr="00C966FA">
        <w:rPr>
          <w:rFonts w:ascii="Arial" w:hAnsi="Arial" w:cs="Arial"/>
        </w:rPr>
        <w:t xml:space="preserve"> </w:t>
      </w:r>
      <w:r w:rsidR="003A5859">
        <w:rPr>
          <w:rFonts w:ascii="Arial" w:hAnsi="Arial" w:cs="Arial"/>
        </w:rPr>
        <w:t xml:space="preserve">especially </w:t>
      </w:r>
      <w:r w:rsidRPr="00C966FA">
        <w:rPr>
          <w:rFonts w:ascii="Arial" w:hAnsi="Arial" w:cs="Arial"/>
        </w:rPr>
        <w:t xml:space="preserve">in Nasarawa State. MMS, though less effective for iron indices, may support broader maternal and neonatal health. The findings support WHO recommendations on the use </w:t>
      </w:r>
      <w:r w:rsidR="00466F39">
        <w:rPr>
          <w:rFonts w:ascii="Arial" w:hAnsi="Arial" w:cs="Arial"/>
        </w:rPr>
        <w:t xml:space="preserve">of IFA during pregnancy, while recognizing MMS’s potential role in improving pregnancy outcome and where broader micronutrient coverage is needed, and the well-established fact that it contains 15 essential vitamins and minerals, including Vitamin </w:t>
      </w:r>
      <w:proofErr w:type="gramStart"/>
      <w:r w:rsidR="00466F39">
        <w:rPr>
          <w:rFonts w:ascii="Arial" w:hAnsi="Arial" w:cs="Arial"/>
        </w:rPr>
        <w:t>C ,</w:t>
      </w:r>
      <w:proofErr w:type="gramEnd"/>
      <w:r w:rsidR="00466F39">
        <w:rPr>
          <w:rFonts w:ascii="Arial" w:hAnsi="Arial" w:cs="Arial"/>
        </w:rPr>
        <w:t xml:space="preserve"> iron,</w:t>
      </w:r>
      <w:r w:rsidR="003A5859" w:rsidRPr="00D00ACB">
        <w:rPr>
          <w:rFonts w:ascii="Arial" w:hAnsi="Arial" w:cs="Arial"/>
        </w:rPr>
        <w:t xml:space="preserve"> and folic acid, in recommended amounts</w:t>
      </w:r>
      <w:r w:rsidRPr="003A5859">
        <w:rPr>
          <w:rFonts w:ascii="Arial" w:hAnsi="Arial" w:cs="Arial"/>
        </w:rPr>
        <w:t>.</w:t>
      </w:r>
      <w:r w:rsidR="00466F39">
        <w:rPr>
          <w:rFonts w:ascii="Arial" w:hAnsi="Arial" w:cs="Arial"/>
        </w:rPr>
        <w:t xml:space="preserve"> </w:t>
      </w:r>
      <w:r w:rsidR="00D170C3">
        <w:rPr>
          <w:rFonts w:ascii="Arial" w:hAnsi="Arial" w:cs="Arial"/>
        </w:rPr>
        <w:t xml:space="preserve">Despite </w:t>
      </w:r>
      <w:r w:rsidR="00AA08C9">
        <w:rPr>
          <w:rFonts w:ascii="Arial" w:hAnsi="Arial" w:cs="Arial"/>
        </w:rPr>
        <w:t xml:space="preserve">a </w:t>
      </w:r>
      <w:r w:rsidR="00D170C3" w:rsidRPr="0044560A">
        <w:rPr>
          <w:rFonts w:ascii="Arial" w:hAnsi="Arial" w:cs="Arial"/>
        </w:rPr>
        <w:t>rel</w:t>
      </w:r>
      <w:r w:rsidR="00D170C3">
        <w:rPr>
          <w:rFonts w:ascii="Arial" w:hAnsi="Arial" w:cs="Arial"/>
        </w:rPr>
        <w:t xml:space="preserve">atively small sample size </w:t>
      </w:r>
      <w:r w:rsidR="00466F39">
        <w:rPr>
          <w:rFonts w:ascii="Arial" w:hAnsi="Arial" w:cs="Arial"/>
        </w:rPr>
        <w:t>(</w:t>
      </w:r>
      <w:r w:rsidR="00D170C3" w:rsidRPr="0044560A">
        <w:rPr>
          <w:rFonts w:ascii="Arial" w:hAnsi="Arial" w:cs="Arial"/>
        </w:rPr>
        <w:t>n=36) and the three-month duration</w:t>
      </w:r>
      <w:r w:rsidR="00D170C3">
        <w:rPr>
          <w:rFonts w:ascii="Arial" w:hAnsi="Arial" w:cs="Arial"/>
        </w:rPr>
        <w:t xml:space="preserve"> for the study</w:t>
      </w:r>
      <w:r w:rsidR="00466F39">
        <w:rPr>
          <w:rFonts w:ascii="Arial" w:hAnsi="Arial" w:cs="Arial"/>
        </w:rPr>
        <w:t>, which limited the statistical power to detect small but clinically significant differences between the two regimens, changes in rapidly turning over blood markers, especially in the context of WBC differentials, were observed</w:t>
      </w:r>
      <w:r w:rsidR="00D170C3" w:rsidRPr="0044560A">
        <w:rPr>
          <w:rFonts w:ascii="Arial" w:hAnsi="Arial" w:cs="Arial"/>
        </w:rPr>
        <w:t>. Moreover, a three-month duration only covers a portion of the total pregnancy.</w:t>
      </w:r>
      <w:r w:rsidR="00AA08C9">
        <w:rPr>
          <w:rFonts w:ascii="Arial" w:hAnsi="Arial" w:cs="Arial"/>
        </w:rPr>
        <w:t xml:space="preserve"> </w:t>
      </w:r>
      <w:r w:rsidR="00AA08C9" w:rsidRPr="003A5859">
        <w:rPr>
          <w:rFonts w:ascii="Arial" w:hAnsi="Arial" w:cs="Arial"/>
        </w:rPr>
        <w:t xml:space="preserve"> </w:t>
      </w:r>
      <w:r w:rsidR="00AA08C9" w:rsidRPr="00C966FA">
        <w:rPr>
          <w:rFonts w:ascii="Arial" w:hAnsi="Arial" w:cs="Arial"/>
          <w:spacing w:val="-2"/>
        </w:rPr>
        <w:t xml:space="preserve">Integrating dietary counseling into ANC services to promote the consumption of iron-rich foods will support. </w:t>
      </w:r>
      <w:r w:rsidR="00AA08C9" w:rsidRPr="00C966FA">
        <w:rPr>
          <w:rFonts w:ascii="Arial" w:hAnsi="Arial" w:cs="Arial"/>
        </w:rPr>
        <w:t>Larger studies are warranted to validate these results.</w:t>
      </w:r>
      <w:r w:rsidR="00AA08C9">
        <w:rPr>
          <w:rFonts w:ascii="Arial" w:hAnsi="Arial" w:cs="Arial"/>
        </w:rPr>
        <w:t xml:space="preserve"> </w:t>
      </w:r>
    </w:p>
    <w:p w14:paraId="3103721D" w14:textId="44746036" w:rsidR="00FA39E2" w:rsidRPr="00C966FA" w:rsidRDefault="00E070FD" w:rsidP="0008126A">
      <w:pPr>
        <w:spacing w:line="480" w:lineRule="auto"/>
        <w:jc w:val="both"/>
        <w:rPr>
          <w:rFonts w:ascii="Arial" w:hAnsi="Arial" w:cs="Arial"/>
          <w:b/>
          <w:sz w:val="22"/>
          <w:szCs w:val="22"/>
          <w:shd w:val="clear" w:color="auto" w:fill="FFFFFF"/>
        </w:rPr>
      </w:pPr>
      <w:r w:rsidRPr="00C966FA">
        <w:rPr>
          <w:rFonts w:ascii="Arial" w:hAnsi="Arial" w:cs="Arial"/>
          <w:b/>
          <w:sz w:val="22"/>
          <w:szCs w:val="22"/>
          <w:shd w:val="clear" w:color="auto" w:fill="FFFFFF"/>
        </w:rPr>
        <w:t>6. RECOMMENDATIONS</w:t>
      </w:r>
    </w:p>
    <w:p w14:paraId="120F6746" w14:textId="0F64AAEA" w:rsidR="00FA39E2" w:rsidRPr="00C966FA" w:rsidRDefault="00E070FD" w:rsidP="0008126A">
      <w:pPr>
        <w:spacing w:line="480" w:lineRule="auto"/>
        <w:jc w:val="both"/>
        <w:rPr>
          <w:rFonts w:ascii="Arial" w:hAnsi="Arial" w:cs="Arial"/>
        </w:rPr>
      </w:pPr>
      <w:r w:rsidRPr="00C966FA">
        <w:rPr>
          <w:rFonts w:ascii="Arial" w:hAnsi="Arial" w:cs="Arial"/>
        </w:rPr>
        <w:lastRenderedPageBreak/>
        <w:t>1. Continue to prioritize IFA supplementation in antenatal care, especially in resource-limited settings.</w:t>
      </w:r>
    </w:p>
    <w:p w14:paraId="4D2BFEEE" w14:textId="58E2F37C" w:rsidR="00FA39E2" w:rsidRPr="00C966FA" w:rsidRDefault="00E070FD" w:rsidP="0008126A">
      <w:pPr>
        <w:spacing w:line="480" w:lineRule="auto"/>
        <w:jc w:val="both"/>
        <w:rPr>
          <w:rFonts w:ascii="Arial" w:hAnsi="Arial" w:cs="Arial"/>
          <w:szCs w:val="24"/>
        </w:rPr>
      </w:pPr>
      <w:r w:rsidRPr="00C966FA">
        <w:rPr>
          <w:rFonts w:ascii="Arial" w:hAnsi="Arial" w:cs="Arial"/>
          <w:szCs w:val="24"/>
        </w:rPr>
        <w:t>2. Integrate dietary counseling into ANC services to promote the consumption of iron-rich foods.</w:t>
      </w:r>
    </w:p>
    <w:p w14:paraId="2BDFD9E3" w14:textId="77777777" w:rsidR="00FA39E2" w:rsidRPr="00C966FA" w:rsidRDefault="00E070FD" w:rsidP="0008126A">
      <w:pPr>
        <w:spacing w:line="480" w:lineRule="auto"/>
        <w:jc w:val="both"/>
        <w:rPr>
          <w:rFonts w:ascii="Arial" w:hAnsi="Arial" w:cs="Arial"/>
          <w:szCs w:val="24"/>
        </w:rPr>
      </w:pPr>
      <w:r w:rsidRPr="00C966FA">
        <w:rPr>
          <w:rFonts w:ascii="Arial" w:hAnsi="Arial" w:cs="Arial"/>
          <w:szCs w:val="24"/>
        </w:rPr>
        <w:t>3. Consider MMS use as part of broader maternal nutrition strategies, particularly where additional micronutrient needs exist, and further evaluate its efficacy in larger studies.</w:t>
      </w:r>
    </w:p>
    <w:p w14:paraId="0A8E4598" w14:textId="288EABCA" w:rsidR="00FA39E2" w:rsidRPr="00C966FA" w:rsidRDefault="00E070FD" w:rsidP="0008126A">
      <w:pPr>
        <w:spacing w:line="480" w:lineRule="auto"/>
        <w:jc w:val="both"/>
        <w:rPr>
          <w:rFonts w:ascii="Arial" w:hAnsi="Arial" w:cs="Arial"/>
          <w:szCs w:val="24"/>
        </w:rPr>
      </w:pPr>
      <w:r w:rsidRPr="00C966FA">
        <w:rPr>
          <w:rFonts w:ascii="Arial" w:hAnsi="Arial" w:cs="Arial"/>
          <w:szCs w:val="24"/>
        </w:rPr>
        <w:t>Conduct larger, randomized studies with extended interventions to clarify the comparative benefits of MMS and IFA.</w:t>
      </w:r>
    </w:p>
    <w:p w14:paraId="073C6F51" w14:textId="58167077" w:rsidR="00FA39E2" w:rsidRPr="00002F5F" w:rsidRDefault="00E070FD" w:rsidP="00002F5F">
      <w:pPr>
        <w:spacing w:line="480" w:lineRule="auto"/>
        <w:jc w:val="both"/>
        <w:rPr>
          <w:rFonts w:ascii="Arial" w:hAnsi="Arial" w:cs="Arial"/>
          <w:sz w:val="18"/>
          <w:szCs w:val="22"/>
          <w:shd w:val="clear" w:color="auto" w:fill="FFFFFF"/>
        </w:rPr>
      </w:pPr>
      <w:r w:rsidRPr="00C966FA">
        <w:rPr>
          <w:rFonts w:ascii="Arial" w:hAnsi="Arial" w:cs="Arial"/>
          <w:szCs w:val="24"/>
        </w:rPr>
        <w:t>4. Expand community-based programs to improve maternal nutrition knowledge and support for pregnant women.</w:t>
      </w:r>
    </w:p>
    <w:p w14:paraId="618F5B65" w14:textId="77777777" w:rsidR="0055318E" w:rsidRDefault="0055318E" w:rsidP="0008126A">
      <w:pPr>
        <w:pStyle w:val="ReferHead"/>
        <w:spacing w:after="0" w:line="480" w:lineRule="auto"/>
        <w:jc w:val="both"/>
        <w:rPr>
          <w:rFonts w:ascii="Arial" w:hAnsi="Arial" w:cs="Arial"/>
          <w:bCs/>
        </w:rPr>
      </w:pPr>
    </w:p>
    <w:p w14:paraId="79F703C1" w14:textId="2C736250" w:rsidR="00FA39E2" w:rsidRPr="0008126A" w:rsidRDefault="00E070FD" w:rsidP="0008126A">
      <w:pPr>
        <w:pStyle w:val="ReferHead"/>
        <w:spacing w:after="0" w:line="480" w:lineRule="auto"/>
        <w:jc w:val="both"/>
        <w:rPr>
          <w:rFonts w:ascii="Arial" w:hAnsi="Arial" w:cs="Arial"/>
          <w:bCs/>
        </w:rPr>
      </w:pPr>
      <w:r w:rsidRPr="00C966FA">
        <w:rPr>
          <w:rFonts w:ascii="Arial" w:hAnsi="Arial" w:cs="Arial"/>
          <w:bCs/>
        </w:rPr>
        <w:t>Consent</w:t>
      </w:r>
    </w:p>
    <w:p w14:paraId="0EE8D329" w14:textId="1DC97F43" w:rsidR="00FA39E2" w:rsidRPr="0008126A" w:rsidRDefault="00E070FD" w:rsidP="0008126A">
      <w:pPr>
        <w:pStyle w:val="ReferHead"/>
        <w:spacing w:after="0" w:line="480" w:lineRule="auto"/>
        <w:jc w:val="both"/>
        <w:rPr>
          <w:rFonts w:ascii="Arial" w:hAnsi="Arial" w:cs="Arial"/>
          <w:b w:val="0"/>
          <w:caps w:val="0"/>
          <w:sz w:val="20"/>
          <w:u w:val="single"/>
        </w:rPr>
      </w:pPr>
      <w:r w:rsidRPr="00C966FA">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426D1320" w14:textId="23D3FA74" w:rsidR="00FA39E2" w:rsidRPr="00C966FA" w:rsidRDefault="00E070FD" w:rsidP="0008126A">
      <w:pPr>
        <w:pStyle w:val="ReferHead"/>
        <w:spacing w:after="0" w:line="480" w:lineRule="auto"/>
        <w:jc w:val="both"/>
        <w:rPr>
          <w:rFonts w:ascii="Arial" w:hAnsi="Arial" w:cs="Arial"/>
          <w:bCs/>
        </w:rPr>
      </w:pPr>
      <w:r w:rsidRPr="00C966FA">
        <w:rPr>
          <w:rFonts w:ascii="Arial" w:hAnsi="Arial" w:cs="Arial"/>
          <w:bCs/>
        </w:rPr>
        <w:t>Ethical approval</w:t>
      </w:r>
    </w:p>
    <w:p w14:paraId="5E4177F7" w14:textId="152DD48C" w:rsidR="001770D7" w:rsidRPr="00A943E6" w:rsidRDefault="00E070FD" w:rsidP="0008126A">
      <w:pPr>
        <w:pStyle w:val="ReferHead"/>
        <w:spacing w:after="0" w:line="480" w:lineRule="auto"/>
        <w:jc w:val="both"/>
        <w:rPr>
          <w:rFonts w:ascii="Arial" w:hAnsi="Arial" w:cs="Arial"/>
          <w:b w:val="0"/>
          <w:caps w:val="0"/>
          <w:sz w:val="20"/>
        </w:rPr>
      </w:pPr>
      <w:r w:rsidRPr="00C966FA">
        <w:rPr>
          <w:rFonts w:ascii="Arial" w:hAnsi="Arial" w:cs="Arial"/>
          <w:b w:val="0"/>
          <w:caps w:val="0"/>
          <w:sz w:val="20"/>
          <w:shd w:val="clear" w:color="auto" w:fill="FFFFFF"/>
        </w:rPr>
        <w:t>Ethical approval for the study was obtained from</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the Nasarawa state Ministry of Health</w:t>
      </w:r>
      <w:r w:rsidR="00FB03C8">
        <w:rPr>
          <w:rFonts w:ascii="Arial" w:hAnsi="Arial" w:cs="Arial"/>
          <w:b w:val="0"/>
          <w:caps w:val="0"/>
          <w:sz w:val="20"/>
          <w:shd w:val="clear" w:color="auto" w:fill="FFFFFF"/>
        </w:rPr>
        <w:t xml:space="preserve"> </w:t>
      </w:r>
      <w:r w:rsidR="003E69B6">
        <w:rPr>
          <w:rFonts w:ascii="Arial" w:hAnsi="Arial" w:cs="Arial"/>
          <w:b w:val="0"/>
          <w:caps w:val="0"/>
          <w:sz w:val="20"/>
          <w:shd w:val="clear" w:color="auto" w:fill="FFFFFF"/>
        </w:rPr>
        <w:t xml:space="preserve">with </w:t>
      </w:r>
      <w:r w:rsidR="00FB03C8">
        <w:rPr>
          <w:rFonts w:ascii="Arial" w:hAnsi="Arial" w:cs="Arial"/>
          <w:b w:val="0"/>
          <w:caps w:val="0"/>
          <w:sz w:val="20"/>
          <w:shd w:val="clear" w:color="auto" w:fill="FFFFFF"/>
        </w:rPr>
        <w:t>NHREC No: 18/06/201</w:t>
      </w:r>
      <w:r w:rsidR="003E69B6">
        <w:rPr>
          <w:rFonts w:ascii="Arial" w:hAnsi="Arial" w:cs="Arial"/>
          <w:b w:val="0"/>
          <w:caps w:val="0"/>
          <w:sz w:val="20"/>
          <w:shd w:val="clear" w:color="auto" w:fill="FFFFFF"/>
        </w:rPr>
        <w:t>7</w:t>
      </w:r>
      <w:r w:rsidRPr="00C966FA">
        <w:rPr>
          <w:rFonts w:ascii="Arial" w:hAnsi="Arial" w:cs="Arial"/>
          <w:b w:val="0"/>
          <w:caps w:val="0"/>
          <w:sz w:val="20"/>
          <w:shd w:val="clear" w:color="auto" w:fill="FFFFFF"/>
        </w:rPr>
        <w:t>.</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Consent was obtained from the subjects for the study. Confidentiality was ensured</w:t>
      </w:r>
      <w:r w:rsidR="00FB03C8">
        <w:rPr>
          <w:rFonts w:ascii="Arial" w:hAnsi="Arial" w:cs="Arial"/>
          <w:b w:val="0"/>
          <w:caps w:val="0"/>
          <w:sz w:val="20"/>
          <w:shd w:val="clear" w:color="auto" w:fill="FFFFFF"/>
        </w:rPr>
        <w:t xml:space="preserve">. </w:t>
      </w:r>
      <w:r w:rsidRPr="00C966FA">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19E370C5" w14:textId="1181A14B" w:rsidR="00F73C34" w:rsidRPr="00444E79" w:rsidRDefault="00E070FD" w:rsidP="0008126A">
      <w:pPr>
        <w:pStyle w:val="ReferHead"/>
        <w:spacing w:after="0" w:line="480" w:lineRule="auto"/>
        <w:jc w:val="both"/>
        <w:rPr>
          <w:rFonts w:ascii="Arial" w:hAnsi="Arial" w:cs="Arial"/>
        </w:rPr>
      </w:pPr>
      <w:r w:rsidRPr="00C966FA">
        <w:rPr>
          <w:rFonts w:ascii="Arial" w:hAnsi="Arial" w:cs="Arial"/>
        </w:rPr>
        <w:t>References</w:t>
      </w:r>
    </w:p>
    <w:p w14:paraId="14971FA2"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Abbaspour N, Hurrell R, </w:t>
      </w:r>
      <w:proofErr w:type="spellStart"/>
      <w:r w:rsidRPr="00444E79">
        <w:rPr>
          <w:rFonts w:ascii="Arial" w:hAnsi="Arial" w:cs="Arial"/>
          <w:sz w:val="20"/>
          <w:szCs w:val="20"/>
        </w:rPr>
        <w:t>Kelishadi</w:t>
      </w:r>
      <w:proofErr w:type="spellEnd"/>
      <w:r w:rsidRPr="00444E79">
        <w:rPr>
          <w:rFonts w:ascii="Arial" w:hAnsi="Arial" w:cs="Arial"/>
          <w:sz w:val="20"/>
          <w:szCs w:val="20"/>
        </w:rPr>
        <w:t xml:space="preserve"> R. Review on iron and its importance for human health. </w:t>
      </w:r>
      <w:r w:rsidRPr="00444E79">
        <w:rPr>
          <w:rStyle w:val="Emphasis"/>
          <w:rFonts w:ascii="Arial" w:hAnsi="Arial" w:cs="Arial"/>
          <w:sz w:val="20"/>
          <w:szCs w:val="20"/>
        </w:rPr>
        <w:t>J Res Med Sci</w:t>
      </w:r>
      <w:r w:rsidRPr="00444E79">
        <w:rPr>
          <w:rFonts w:ascii="Arial" w:hAnsi="Arial" w:cs="Arial"/>
          <w:sz w:val="20"/>
          <w:szCs w:val="20"/>
        </w:rPr>
        <w:t>. 2014;19(2):164–174.</w:t>
      </w:r>
    </w:p>
    <w:p w14:paraId="04A54772"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lastRenderedPageBreak/>
        <w:t xml:space="preserve">Agu EJ, Obi SN, Eze JN. Awareness and utilization of maternal health services among women in Enugu, Southeast Nigeria. </w:t>
      </w:r>
      <w:r w:rsidRPr="00444E79">
        <w:rPr>
          <w:rStyle w:val="Emphasis"/>
          <w:rFonts w:ascii="Arial" w:hAnsi="Arial" w:cs="Arial"/>
          <w:sz w:val="20"/>
          <w:szCs w:val="20"/>
        </w:rPr>
        <w:t xml:space="preserve">Niger J Clin </w:t>
      </w:r>
      <w:proofErr w:type="spellStart"/>
      <w:r w:rsidRPr="00444E79">
        <w:rPr>
          <w:rStyle w:val="Emphasis"/>
          <w:rFonts w:ascii="Arial" w:hAnsi="Arial" w:cs="Arial"/>
          <w:sz w:val="20"/>
          <w:szCs w:val="20"/>
        </w:rPr>
        <w:t>Pract</w:t>
      </w:r>
      <w:proofErr w:type="spellEnd"/>
      <w:r w:rsidRPr="00444E79">
        <w:rPr>
          <w:rFonts w:ascii="Arial" w:hAnsi="Arial" w:cs="Arial"/>
          <w:sz w:val="20"/>
          <w:szCs w:val="20"/>
        </w:rPr>
        <w:t xml:space="preserve">. 2015;18(6):879–883. </w:t>
      </w:r>
      <w:hyperlink r:id="rId24" w:tgtFrame="_new" w:history="1">
        <w:r w:rsidRPr="00444E79">
          <w:rPr>
            <w:rStyle w:val="Hyperlink"/>
            <w:rFonts w:ascii="Arial" w:hAnsi="Arial" w:cs="Arial"/>
            <w:color w:val="auto"/>
            <w:sz w:val="20"/>
            <w:szCs w:val="20"/>
          </w:rPr>
          <w:t>https://doi.org/10.4103/1119-3077.170803</w:t>
        </w:r>
      </w:hyperlink>
    </w:p>
    <w:p w14:paraId="53B29FBA"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Balarajan</w:t>
      </w:r>
      <w:proofErr w:type="spellEnd"/>
      <w:r w:rsidRPr="00444E79">
        <w:rPr>
          <w:rFonts w:ascii="Arial" w:hAnsi="Arial" w:cs="Arial"/>
          <w:sz w:val="20"/>
          <w:szCs w:val="20"/>
        </w:rPr>
        <w:t xml:space="preserve"> Y, Ramakrishnan U, </w:t>
      </w:r>
      <w:proofErr w:type="spellStart"/>
      <w:r w:rsidRPr="00444E79">
        <w:rPr>
          <w:rFonts w:ascii="Arial" w:hAnsi="Arial" w:cs="Arial"/>
          <w:sz w:val="20"/>
          <w:szCs w:val="20"/>
        </w:rPr>
        <w:t>Özaltin</w:t>
      </w:r>
      <w:proofErr w:type="spellEnd"/>
      <w:r w:rsidRPr="00444E79">
        <w:rPr>
          <w:rFonts w:ascii="Arial" w:hAnsi="Arial" w:cs="Arial"/>
          <w:sz w:val="20"/>
          <w:szCs w:val="20"/>
        </w:rPr>
        <w:t xml:space="preserve"> E, Shankar AH, Subramanian SV. </w:t>
      </w:r>
      <w:proofErr w:type="spellStart"/>
      <w:r w:rsidRPr="00444E79">
        <w:rPr>
          <w:rFonts w:ascii="Arial" w:hAnsi="Arial" w:cs="Arial"/>
          <w:sz w:val="20"/>
          <w:szCs w:val="20"/>
        </w:rPr>
        <w:t>Anaemia</w:t>
      </w:r>
      <w:proofErr w:type="spellEnd"/>
      <w:r w:rsidRPr="00444E79">
        <w:rPr>
          <w:rFonts w:ascii="Arial" w:hAnsi="Arial" w:cs="Arial"/>
          <w:sz w:val="20"/>
          <w:szCs w:val="20"/>
        </w:rPr>
        <w:t xml:space="preserve"> in low-income and middle-income countries. </w:t>
      </w:r>
      <w:r w:rsidRPr="00444E79">
        <w:rPr>
          <w:rStyle w:val="Emphasis"/>
          <w:rFonts w:ascii="Arial" w:hAnsi="Arial" w:cs="Arial"/>
          <w:sz w:val="20"/>
          <w:szCs w:val="20"/>
        </w:rPr>
        <w:t>Lancet</w:t>
      </w:r>
      <w:r w:rsidRPr="00444E79">
        <w:rPr>
          <w:rFonts w:ascii="Arial" w:hAnsi="Arial" w:cs="Arial"/>
          <w:sz w:val="20"/>
          <w:szCs w:val="20"/>
        </w:rPr>
        <w:t>. 2011;378(9809):2123–2135. https://doi.org/10.1016/S0140-6736(10)62304-5</w:t>
      </w:r>
    </w:p>
    <w:p w14:paraId="06A68F12"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Biesalski</w:t>
      </w:r>
      <w:proofErr w:type="spellEnd"/>
      <w:r w:rsidRPr="00444E79">
        <w:rPr>
          <w:rFonts w:ascii="Arial" w:hAnsi="Arial" w:cs="Arial"/>
          <w:sz w:val="20"/>
          <w:szCs w:val="20"/>
        </w:rPr>
        <w:t xml:space="preserve"> HK. Iron deficiency anemia: Diagnosis and treatment. In: </w:t>
      </w:r>
      <w:r w:rsidRPr="00444E79">
        <w:rPr>
          <w:rStyle w:val="Emphasis"/>
          <w:rFonts w:ascii="Arial" w:hAnsi="Arial" w:cs="Arial"/>
          <w:sz w:val="20"/>
          <w:szCs w:val="20"/>
        </w:rPr>
        <w:t>Nutrition and Health</w:t>
      </w:r>
      <w:r w:rsidRPr="00444E79">
        <w:rPr>
          <w:rFonts w:ascii="Arial" w:hAnsi="Arial" w:cs="Arial"/>
          <w:sz w:val="20"/>
          <w:szCs w:val="20"/>
        </w:rPr>
        <w:t>. Springer; 2020. p.123–135.</w:t>
      </w:r>
    </w:p>
    <w:p w14:paraId="1A39BF18" w14:textId="77777777" w:rsidR="00C966FA" w:rsidRPr="00444E79" w:rsidRDefault="00C966FA" w:rsidP="0008126A">
      <w:pPr>
        <w:pStyle w:val="NormalWeb"/>
        <w:spacing w:line="480" w:lineRule="auto"/>
        <w:rPr>
          <w:rFonts w:ascii="Arial" w:hAnsi="Arial" w:cs="Arial"/>
          <w:sz w:val="20"/>
          <w:szCs w:val="20"/>
        </w:rPr>
      </w:pPr>
      <w:proofErr w:type="spellStart"/>
      <w:r w:rsidRPr="00444E79">
        <w:rPr>
          <w:rFonts w:ascii="Arial" w:hAnsi="Arial" w:cs="Arial"/>
          <w:sz w:val="20"/>
          <w:szCs w:val="20"/>
        </w:rPr>
        <w:t>Boditech</w:t>
      </w:r>
      <w:proofErr w:type="spellEnd"/>
      <w:r w:rsidRPr="00444E79">
        <w:rPr>
          <w:rFonts w:ascii="Arial" w:hAnsi="Arial" w:cs="Arial"/>
          <w:sz w:val="20"/>
          <w:szCs w:val="20"/>
        </w:rPr>
        <w:t xml:space="preserve"> Med Inc. </w:t>
      </w:r>
      <w:proofErr w:type="spellStart"/>
      <w:r w:rsidRPr="00444E79">
        <w:rPr>
          <w:rStyle w:val="Emphasis"/>
          <w:rFonts w:ascii="Arial" w:hAnsi="Arial" w:cs="Arial"/>
          <w:sz w:val="20"/>
          <w:szCs w:val="20"/>
        </w:rPr>
        <w:t>i</w:t>
      </w:r>
      <w:proofErr w:type="spellEnd"/>
      <w:r w:rsidRPr="00444E79">
        <w:rPr>
          <w:rStyle w:val="Emphasis"/>
          <w:rFonts w:ascii="Arial" w:hAnsi="Arial" w:cs="Arial"/>
          <w:sz w:val="20"/>
          <w:szCs w:val="20"/>
        </w:rPr>
        <w:t>-CHROMA™ II Ferritin Test Instruction Manual.</w:t>
      </w:r>
      <w:r w:rsidRPr="00444E79">
        <w:rPr>
          <w:rFonts w:ascii="Arial" w:hAnsi="Arial" w:cs="Arial"/>
          <w:sz w:val="20"/>
          <w:szCs w:val="20"/>
        </w:rPr>
        <w:t xml:space="preserve"> </w:t>
      </w:r>
      <w:proofErr w:type="spellStart"/>
      <w:r w:rsidRPr="00444E79">
        <w:rPr>
          <w:rFonts w:ascii="Arial" w:hAnsi="Arial" w:cs="Arial"/>
          <w:sz w:val="20"/>
          <w:szCs w:val="20"/>
        </w:rPr>
        <w:t>Chuncheon</w:t>
      </w:r>
      <w:proofErr w:type="spellEnd"/>
      <w:r w:rsidRPr="00444E79">
        <w:rPr>
          <w:rFonts w:ascii="Arial" w:hAnsi="Arial" w:cs="Arial"/>
          <w:sz w:val="20"/>
          <w:szCs w:val="20"/>
        </w:rPr>
        <w:t xml:space="preserve">, Republic of Korea: </w:t>
      </w:r>
      <w:proofErr w:type="spellStart"/>
      <w:r w:rsidRPr="00444E79">
        <w:rPr>
          <w:rFonts w:ascii="Arial" w:hAnsi="Arial" w:cs="Arial"/>
          <w:sz w:val="20"/>
          <w:szCs w:val="20"/>
        </w:rPr>
        <w:t>Boditech</w:t>
      </w:r>
      <w:proofErr w:type="spellEnd"/>
      <w:r w:rsidRPr="00444E79">
        <w:rPr>
          <w:rFonts w:ascii="Arial" w:hAnsi="Arial" w:cs="Arial"/>
          <w:sz w:val="20"/>
          <w:szCs w:val="20"/>
        </w:rPr>
        <w:t xml:space="preserve"> Med Inc; 2021.</w:t>
      </w:r>
    </w:p>
    <w:p w14:paraId="165F9A4E" w14:textId="77777777" w:rsidR="00FA39E2" w:rsidRPr="00444E79" w:rsidRDefault="00E070FD" w:rsidP="0008126A">
      <w:pPr>
        <w:pStyle w:val="NormalWeb"/>
        <w:spacing w:line="480" w:lineRule="auto"/>
        <w:rPr>
          <w:rFonts w:ascii="Arial" w:hAnsi="Arial" w:cs="Arial"/>
          <w:sz w:val="20"/>
          <w:szCs w:val="20"/>
        </w:rPr>
      </w:pPr>
      <w:proofErr w:type="spellStart"/>
      <w:r w:rsidRPr="00444E79">
        <w:rPr>
          <w:rFonts w:ascii="Arial" w:hAnsi="Arial" w:cs="Arial"/>
          <w:sz w:val="20"/>
          <w:szCs w:val="20"/>
        </w:rPr>
        <w:t>Camaschella</w:t>
      </w:r>
      <w:proofErr w:type="spellEnd"/>
      <w:r w:rsidRPr="00444E79">
        <w:rPr>
          <w:rFonts w:ascii="Arial" w:hAnsi="Arial" w:cs="Arial"/>
          <w:sz w:val="20"/>
          <w:szCs w:val="20"/>
        </w:rPr>
        <w:t xml:space="preserve"> C. Iron deficiency. </w:t>
      </w:r>
      <w:r w:rsidRPr="00444E79">
        <w:rPr>
          <w:rStyle w:val="Emphasis"/>
          <w:rFonts w:ascii="Arial" w:hAnsi="Arial" w:cs="Arial"/>
          <w:sz w:val="20"/>
          <w:szCs w:val="20"/>
        </w:rPr>
        <w:t>Blood</w:t>
      </w:r>
      <w:r w:rsidRPr="00444E79">
        <w:rPr>
          <w:rFonts w:ascii="Arial" w:hAnsi="Arial" w:cs="Arial"/>
          <w:sz w:val="20"/>
          <w:szCs w:val="20"/>
        </w:rPr>
        <w:t xml:space="preserve">. 2019;133(1):30–39. </w:t>
      </w:r>
      <w:hyperlink r:id="rId25" w:tgtFrame="_new" w:history="1">
        <w:r w:rsidRPr="00444E79">
          <w:rPr>
            <w:rStyle w:val="Hyperlink"/>
            <w:rFonts w:ascii="Arial" w:hAnsi="Arial" w:cs="Arial"/>
            <w:color w:val="auto"/>
            <w:sz w:val="20"/>
            <w:szCs w:val="20"/>
          </w:rPr>
          <w:t>https://doi.org/10.1182/blood-2018-05-815944</w:t>
        </w:r>
      </w:hyperlink>
    </w:p>
    <w:p w14:paraId="59FD9994" w14:textId="77777777" w:rsidR="005D2CA8"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GBD 2019 Diseases and Injuries Collaborators. Global burden of 369 diseases and injuries in 204 countries and territories, 1990–2019: A systematic analysis for the Global Burden of Disease Study 2019. </w:t>
      </w:r>
      <w:r w:rsidRPr="00444E79">
        <w:rPr>
          <w:rStyle w:val="Emphasis"/>
          <w:rFonts w:ascii="Arial" w:hAnsi="Arial" w:cs="Arial"/>
          <w:sz w:val="20"/>
          <w:szCs w:val="20"/>
        </w:rPr>
        <w:t>Lancet</w:t>
      </w:r>
      <w:r w:rsidRPr="00444E79">
        <w:rPr>
          <w:rFonts w:ascii="Arial" w:hAnsi="Arial" w:cs="Arial"/>
          <w:sz w:val="20"/>
          <w:szCs w:val="20"/>
        </w:rPr>
        <w:t xml:space="preserve">. 2020;396(10258):1204–1222. </w:t>
      </w:r>
      <w:hyperlink r:id="rId26" w:tgtFrame="_new" w:history="1">
        <w:r w:rsidRPr="00444E79">
          <w:rPr>
            <w:rStyle w:val="Hyperlink"/>
            <w:rFonts w:ascii="Arial" w:hAnsi="Arial" w:cs="Arial"/>
            <w:color w:val="auto"/>
            <w:sz w:val="20"/>
            <w:szCs w:val="20"/>
          </w:rPr>
          <w:t>https://doi.org/10.1016/S0140-6736(20)30925-9</w:t>
        </w:r>
      </w:hyperlink>
    </w:p>
    <w:p w14:paraId="30544E53" w14:textId="70F9B3AE"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Guralnik JM, Eisenstaedt RS, Ferrucci L, Klein HG, Woodman RC. Prevalence of anemia in persons 65 years and older in the United States: Evidence for a high rate of unexplained anemia. </w:t>
      </w:r>
      <w:r w:rsidRPr="00444E79">
        <w:rPr>
          <w:rStyle w:val="Emphasis"/>
          <w:rFonts w:ascii="Arial" w:hAnsi="Arial" w:cs="Arial"/>
          <w:sz w:val="20"/>
          <w:szCs w:val="20"/>
        </w:rPr>
        <w:t>Blood</w:t>
      </w:r>
      <w:r w:rsidRPr="00444E79">
        <w:rPr>
          <w:rFonts w:ascii="Arial" w:hAnsi="Arial" w:cs="Arial"/>
          <w:sz w:val="20"/>
          <w:szCs w:val="20"/>
        </w:rPr>
        <w:t xml:space="preserve">. 2004;104(8):2263–2268. </w:t>
      </w:r>
      <w:hyperlink r:id="rId27" w:tgtFrame="_new" w:history="1">
        <w:r w:rsidRPr="00444E79">
          <w:rPr>
            <w:rStyle w:val="Hyperlink"/>
            <w:rFonts w:ascii="Arial" w:hAnsi="Arial" w:cs="Arial"/>
            <w:color w:val="auto"/>
            <w:sz w:val="20"/>
            <w:szCs w:val="20"/>
          </w:rPr>
          <w:t>https://doi.org/10.1182/blood-2004-05-1812</w:t>
        </w:r>
      </w:hyperlink>
    </w:p>
    <w:p w14:paraId="638DAEC6" w14:textId="6FB035A4" w:rsidR="00444E79" w:rsidRPr="00E94C8F" w:rsidRDefault="00E070FD" w:rsidP="0008126A">
      <w:pPr>
        <w:pStyle w:val="NormalWeb"/>
        <w:spacing w:line="480" w:lineRule="auto"/>
        <w:rPr>
          <w:rFonts w:ascii="Arial" w:hAnsi="Arial" w:cs="Arial"/>
          <w:sz w:val="20"/>
          <w:szCs w:val="20"/>
          <w:u w:val="single"/>
        </w:rPr>
      </w:pPr>
      <w:r w:rsidRPr="00444E79">
        <w:rPr>
          <w:rFonts w:ascii="Arial" w:hAnsi="Arial" w:cs="Arial"/>
          <w:sz w:val="20"/>
          <w:szCs w:val="20"/>
        </w:rPr>
        <w:t xml:space="preserve">Haider BA, </w:t>
      </w:r>
      <w:proofErr w:type="spellStart"/>
      <w:r w:rsidRPr="00444E79">
        <w:rPr>
          <w:rFonts w:ascii="Arial" w:hAnsi="Arial" w:cs="Arial"/>
          <w:sz w:val="20"/>
          <w:szCs w:val="20"/>
        </w:rPr>
        <w:t>Olofin</w:t>
      </w:r>
      <w:proofErr w:type="spellEnd"/>
      <w:r w:rsidRPr="00444E79">
        <w:rPr>
          <w:rFonts w:ascii="Arial" w:hAnsi="Arial" w:cs="Arial"/>
          <w:sz w:val="20"/>
          <w:szCs w:val="20"/>
        </w:rPr>
        <w:t xml:space="preserve"> I, Wang M, Spiegelman D, Ezzati M, Fawzi WW, Nutrition Impact Model Study Group. Effects of iron supplementation on maternal and fetal outcomes: A systematic review and meta-analysis. </w:t>
      </w:r>
      <w:r w:rsidRPr="00444E79">
        <w:rPr>
          <w:rStyle w:val="Emphasis"/>
          <w:rFonts w:ascii="Arial" w:hAnsi="Arial" w:cs="Arial"/>
          <w:sz w:val="20"/>
          <w:szCs w:val="20"/>
        </w:rPr>
        <w:t>Nutrients</w:t>
      </w:r>
      <w:r w:rsidRPr="00444E79">
        <w:rPr>
          <w:rFonts w:ascii="Arial" w:hAnsi="Arial" w:cs="Arial"/>
          <w:sz w:val="20"/>
          <w:szCs w:val="20"/>
        </w:rPr>
        <w:t xml:space="preserve">. 2022;14(11):2381. </w:t>
      </w:r>
      <w:hyperlink r:id="rId28" w:tgtFrame="_new" w:history="1">
        <w:r w:rsidRPr="00444E79">
          <w:rPr>
            <w:rStyle w:val="Hyperlink"/>
            <w:rFonts w:ascii="Arial" w:hAnsi="Arial" w:cs="Arial"/>
            <w:color w:val="auto"/>
            <w:sz w:val="20"/>
            <w:szCs w:val="20"/>
          </w:rPr>
          <w:t>https://doi.org/10.3390/nu14112381</w:t>
        </w:r>
      </w:hyperlink>
    </w:p>
    <w:p w14:paraId="13846188"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lastRenderedPageBreak/>
        <w:t xml:space="preserve">Kabir A, Rashid SF, Hossain S. Knowledge on maternal nutrition and health among low-income pregnant women in Bangladesh: A cross-sectional study. </w:t>
      </w:r>
      <w:r w:rsidRPr="00444E79">
        <w:rPr>
          <w:rStyle w:val="Emphasis"/>
          <w:rFonts w:ascii="Arial" w:hAnsi="Arial" w:cs="Arial"/>
          <w:sz w:val="20"/>
          <w:szCs w:val="20"/>
        </w:rPr>
        <w:t>BMC Pregnancy Childbirth</w:t>
      </w:r>
      <w:r w:rsidRPr="00444E79">
        <w:rPr>
          <w:rFonts w:ascii="Arial" w:hAnsi="Arial" w:cs="Arial"/>
          <w:sz w:val="20"/>
          <w:szCs w:val="20"/>
        </w:rPr>
        <w:t xml:space="preserve">. 2020;20(1):1–11. </w:t>
      </w:r>
      <w:hyperlink r:id="rId29" w:tgtFrame="_new" w:history="1">
        <w:r w:rsidRPr="00444E79">
          <w:rPr>
            <w:rStyle w:val="Hyperlink"/>
            <w:rFonts w:ascii="Arial" w:hAnsi="Arial" w:cs="Arial"/>
            <w:color w:val="auto"/>
            <w:sz w:val="20"/>
            <w:szCs w:val="20"/>
          </w:rPr>
          <w:t>https://doi.org/10.1186/s12884-020-03138-5</w:t>
        </w:r>
      </w:hyperlink>
    </w:p>
    <w:p w14:paraId="589E4777"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Kamau MW, Mirie W, Kimani S. Compliance with iron and folic acid supplementation (IFAS) and associated factors among pregnant women: Results from a cross-sectional study in Kiambu County, Kenya. </w:t>
      </w:r>
      <w:r w:rsidRPr="00444E79">
        <w:rPr>
          <w:rStyle w:val="Emphasis"/>
          <w:rFonts w:ascii="Arial" w:hAnsi="Arial" w:cs="Arial"/>
          <w:sz w:val="20"/>
          <w:szCs w:val="20"/>
        </w:rPr>
        <w:t>Nutrients</w:t>
      </w:r>
      <w:r w:rsidRPr="00444E79">
        <w:rPr>
          <w:rFonts w:ascii="Arial" w:hAnsi="Arial" w:cs="Arial"/>
          <w:sz w:val="20"/>
          <w:szCs w:val="20"/>
        </w:rPr>
        <w:t xml:space="preserve">. 2018;10(5):654. </w:t>
      </w:r>
      <w:hyperlink r:id="rId30" w:tgtFrame="_new" w:history="1">
        <w:r w:rsidRPr="00444E79">
          <w:rPr>
            <w:rStyle w:val="Hyperlink"/>
            <w:rFonts w:ascii="Arial" w:hAnsi="Arial" w:cs="Arial"/>
            <w:color w:val="auto"/>
            <w:sz w:val="20"/>
            <w:szCs w:val="20"/>
          </w:rPr>
          <w:t>https://doi.org/10.3390/nu10050654</w:t>
        </w:r>
      </w:hyperlink>
    </w:p>
    <w:p w14:paraId="4B288EC0"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Kassebaum NJ, </w:t>
      </w:r>
      <w:proofErr w:type="spellStart"/>
      <w:r w:rsidRPr="00444E79">
        <w:rPr>
          <w:rFonts w:ascii="Arial" w:hAnsi="Arial" w:cs="Arial"/>
          <w:sz w:val="20"/>
          <w:szCs w:val="20"/>
        </w:rPr>
        <w:t>Jasrasaria</w:t>
      </w:r>
      <w:proofErr w:type="spellEnd"/>
      <w:r w:rsidRPr="00444E79">
        <w:rPr>
          <w:rFonts w:ascii="Arial" w:hAnsi="Arial" w:cs="Arial"/>
          <w:sz w:val="20"/>
          <w:szCs w:val="20"/>
        </w:rPr>
        <w:t xml:space="preserve"> R, </w:t>
      </w:r>
      <w:proofErr w:type="spellStart"/>
      <w:r w:rsidRPr="00444E79">
        <w:rPr>
          <w:rFonts w:ascii="Arial" w:hAnsi="Arial" w:cs="Arial"/>
          <w:sz w:val="20"/>
          <w:szCs w:val="20"/>
        </w:rPr>
        <w:t>Naghavi</w:t>
      </w:r>
      <w:proofErr w:type="spellEnd"/>
      <w:r w:rsidRPr="00444E79">
        <w:rPr>
          <w:rFonts w:ascii="Arial" w:hAnsi="Arial" w:cs="Arial"/>
          <w:sz w:val="20"/>
          <w:szCs w:val="20"/>
        </w:rPr>
        <w:t xml:space="preserve"> M, Wulf SK, Johns N, Lozano R, et al. A systematic analysis of global anemia burden from 1990 to 2010. </w:t>
      </w:r>
      <w:r w:rsidRPr="00444E79">
        <w:rPr>
          <w:rStyle w:val="Emphasis"/>
          <w:rFonts w:ascii="Arial" w:hAnsi="Arial" w:cs="Arial"/>
          <w:sz w:val="20"/>
          <w:szCs w:val="20"/>
        </w:rPr>
        <w:t>Blood</w:t>
      </w:r>
      <w:r w:rsidRPr="00444E79">
        <w:rPr>
          <w:rFonts w:ascii="Arial" w:hAnsi="Arial" w:cs="Arial"/>
          <w:sz w:val="20"/>
          <w:szCs w:val="20"/>
        </w:rPr>
        <w:t>. 2014;123</w:t>
      </w:r>
      <w:r w:rsidR="00AD4933" w:rsidRPr="00444E79">
        <w:rPr>
          <w:rFonts w:ascii="Arial" w:hAnsi="Arial" w:cs="Arial"/>
          <w:sz w:val="20"/>
          <w:szCs w:val="20"/>
        </w:rPr>
        <w:t xml:space="preserve"> </w:t>
      </w:r>
      <w:r w:rsidRPr="00444E79">
        <w:rPr>
          <w:rFonts w:ascii="Arial" w:hAnsi="Arial" w:cs="Arial"/>
          <w:sz w:val="20"/>
          <w:szCs w:val="20"/>
        </w:rPr>
        <w:t xml:space="preserve">(5):615–624. </w:t>
      </w:r>
      <w:hyperlink r:id="rId31" w:tgtFrame="_new" w:history="1">
        <w:r w:rsidRPr="00444E79">
          <w:rPr>
            <w:rStyle w:val="Hyperlink"/>
            <w:rFonts w:ascii="Arial" w:hAnsi="Arial" w:cs="Arial"/>
            <w:color w:val="auto"/>
            <w:sz w:val="20"/>
            <w:szCs w:val="20"/>
          </w:rPr>
          <w:t>https://doi.org/10.1182/blood-2013-06-508325</w:t>
        </w:r>
      </w:hyperlink>
    </w:p>
    <w:p w14:paraId="6DF93284"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Keats EC, Haider BA, Tam E, Bhutta ZA. Multiple-micronutrient supplementation for women during pregnancy. </w:t>
      </w:r>
      <w:r w:rsidRPr="00444E79">
        <w:rPr>
          <w:rStyle w:val="Emphasis"/>
          <w:rFonts w:ascii="Arial" w:hAnsi="Arial" w:cs="Arial"/>
          <w:sz w:val="20"/>
          <w:szCs w:val="20"/>
        </w:rPr>
        <w:t>Cochrane Database Syst Rev</w:t>
      </w:r>
      <w:r w:rsidRPr="00444E79">
        <w:rPr>
          <w:rFonts w:ascii="Arial" w:hAnsi="Arial" w:cs="Arial"/>
          <w:sz w:val="20"/>
          <w:szCs w:val="20"/>
        </w:rPr>
        <w:t>. 2019;2019</w:t>
      </w:r>
      <w:r w:rsidR="00AD4933" w:rsidRPr="00444E79">
        <w:rPr>
          <w:rFonts w:ascii="Arial" w:hAnsi="Arial" w:cs="Arial"/>
          <w:sz w:val="20"/>
          <w:szCs w:val="20"/>
        </w:rPr>
        <w:t xml:space="preserve"> </w:t>
      </w:r>
      <w:r w:rsidRPr="00444E79">
        <w:rPr>
          <w:rFonts w:ascii="Arial" w:hAnsi="Arial" w:cs="Arial"/>
          <w:sz w:val="20"/>
          <w:szCs w:val="20"/>
        </w:rPr>
        <w:t xml:space="preserve">(3):CD004905. </w:t>
      </w:r>
      <w:hyperlink r:id="rId32" w:tgtFrame="_new" w:history="1">
        <w:r w:rsidRPr="00444E79">
          <w:rPr>
            <w:rStyle w:val="Hyperlink"/>
            <w:rFonts w:ascii="Arial" w:hAnsi="Arial" w:cs="Arial"/>
            <w:color w:val="auto"/>
            <w:sz w:val="20"/>
            <w:szCs w:val="20"/>
          </w:rPr>
          <w:t>https://doi.org/10.1002/14651858.CD004905.pub6</w:t>
        </w:r>
      </w:hyperlink>
    </w:p>
    <w:p w14:paraId="0C13D8D5" w14:textId="77777777" w:rsidR="00FA39E2" w:rsidRDefault="00E070FD" w:rsidP="005D2CA8">
      <w:pPr>
        <w:pStyle w:val="NormalWeb"/>
        <w:spacing w:line="480" w:lineRule="auto"/>
        <w:jc w:val="both"/>
        <w:rPr>
          <w:rStyle w:val="Hyperlink"/>
          <w:rFonts w:ascii="Arial" w:hAnsi="Arial" w:cs="Arial"/>
          <w:color w:val="auto"/>
          <w:sz w:val="20"/>
          <w:szCs w:val="20"/>
        </w:rPr>
      </w:pPr>
      <w:r w:rsidRPr="00444E79">
        <w:rPr>
          <w:rFonts w:ascii="Arial" w:hAnsi="Arial" w:cs="Arial"/>
          <w:sz w:val="20"/>
          <w:szCs w:val="20"/>
        </w:rPr>
        <w:t xml:space="preserve">Malouf R, Grimley Evans J, Areosa Sastre A. Vitamin B12 supplementation for cognitive function and anemia in older adults. </w:t>
      </w:r>
      <w:r w:rsidRPr="00444E79">
        <w:rPr>
          <w:rStyle w:val="Emphasis"/>
          <w:rFonts w:ascii="Arial" w:hAnsi="Arial" w:cs="Arial"/>
          <w:sz w:val="20"/>
          <w:szCs w:val="20"/>
        </w:rPr>
        <w:t>Cochrane Database Syst Rev</w:t>
      </w:r>
      <w:r w:rsidRPr="00444E79">
        <w:rPr>
          <w:rFonts w:ascii="Arial" w:hAnsi="Arial" w:cs="Arial"/>
          <w:sz w:val="20"/>
          <w:szCs w:val="20"/>
        </w:rPr>
        <w:t>. 2022;2022</w:t>
      </w:r>
      <w:r w:rsidR="00AD4933" w:rsidRPr="00444E79">
        <w:rPr>
          <w:rFonts w:ascii="Arial" w:hAnsi="Arial" w:cs="Arial"/>
          <w:sz w:val="20"/>
          <w:szCs w:val="20"/>
        </w:rPr>
        <w:t xml:space="preserve"> </w:t>
      </w:r>
      <w:r w:rsidRPr="00444E79">
        <w:rPr>
          <w:rFonts w:ascii="Arial" w:hAnsi="Arial" w:cs="Arial"/>
          <w:sz w:val="20"/>
          <w:szCs w:val="20"/>
        </w:rPr>
        <w:t xml:space="preserve">(3):CD004655. </w:t>
      </w:r>
      <w:hyperlink r:id="rId33" w:tgtFrame="_new" w:history="1">
        <w:r w:rsidRPr="00444E79">
          <w:rPr>
            <w:rStyle w:val="Hyperlink"/>
            <w:rFonts w:ascii="Arial" w:hAnsi="Arial" w:cs="Arial"/>
            <w:color w:val="auto"/>
            <w:sz w:val="20"/>
            <w:szCs w:val="20"/>
          </w:rPr>
          <w:t>https://doi.org/10.1002/14651858.CD004655.pub3</w:t>
        </w:r>
      </w:hyperlink>
    </w:p>
    <w:p w14:paraId="65AC0EBC" w14:textId="2CD8C7C8" w:rsidR="00CC12DD" w:rsidRPr="00CC12DD" w:rsidRDefault="00CC12DD" w:rsidP="005D2CA8">
      <w:pPr>
        <w:pStyle w:val="NormalWeb"/>
        <w:spacing w:line="480" w:lineRule="auto"/>
        <w:jc w:val="both"/>
        <w:rPr>
          <w:rStyle w:val="Hyperlink"/>
          <w:rFonts w:ascii="Arial" w:hAnsi="Arial" w:cs="Arial"/>
          <w:color w:val="auto"/>
          <w:sz w:val="20"/>
          <w:szCs w:val="20"/>
        </w:rPr>
      </w:pPr>
      <w:r w:rsidRPr="00CC12DD">
        <w:rPr>
          <w:rFonts w:ascii="Arial" w:hAnsi="Arial" w:cs="Arial"/>
          <w:sz w:val="20"/>
          <w:szCs w:val="20"/>
        </w:rPr>
        <w:t xml:space="preserve">National Population Commission (NPC) [Nigeria] &amp; ICF. (2019). </w:t>
      </w:r>
      <w:r w:rsidRPr="00CC12DD">
        <w:rPr>
          <w:rStyle w:val="Emphasis"/>
          <w:rFonts w:ascii="Arial" w:hAnsi="Arial" w:cs="Arial"/>
          <w:sz w:val="20"/>
          <w:szCs w:val="20"/>
        </w:rPr>
        <w:t>Nigeria Demographic and Health Survey 2018</w:t>
      </w:r>
      <w:r w:rsidRPr="00CC12DD">
        <w:rPr>
          <w:rFonts w:ascii="Arial" w:hAnsi="Arial" w:cs="Arial"/>
          <w:sz w:val="20"/>
          <w:szCs w:val="20"/>
        </w:rPr>
        <w:t>. Abuja, Nigeria, and Rockville, Maryland, USA: NPC and ICF.</w:t>
      </w:r>
    </w:p>
    <w:p w14:paraId="6A9E45D4" w14:textId="3279AA07" w:rsidR="00BF1373" w:rsidRPr="00FC7F05" w:rsidRDefault="00BF1373" w:rsidP="00372363">
      <w:pPr>
        <w:spacing w:line="480" w:lineRule="auto"/>
        <w:jc w:val="both"/>
        <w:rPr>
          <w:rStyle w:val="Hyperlink"/>
          <w:rFonts w:ascii="Arial" w:hAnsi="Arial" w:cs="Arial"/>
          <w:color w:val="1C1C1C"/>
          <w:spacing w:val="-2"/>
          <w:u w:val="none"/>
        </w:rPr>
      </w:pPr>
      <w:r w:rsidRPr="00BF1373">
        <w:rPr>
          <w:rFonts w:ascii="Arial" w:hAnsi="Arial" w:cs="Arial"/>
          <w:color w:val="1C1C1C"/>
          <w:spacing w:val="-2"/>
          <w:shd w:val="clear" w:color="auto" w:fill="FFFFFF"/>
        </w:rPr>
        <w:t>Olayemi, E., Akuffo, F. W., &amp; Oyewole, A. I. (2011). Correlation between hemoglobin concentration and packed cell volume in healthy adults in Kumasi, Ghana. Ghana Medical Journal, 45(2), 76–79.</w:t>
      </w:r>
      <w:r w:rsidRPr="00BF1373">
        <w:rPr>
          <w:rFonts w:ascii="Arial" w:hAnsi="Arial" w:cs="Arial"/>
          <w:color w:val="1C1C1C"/>
          <w:spacing w:val="-2"/>
        </w:rPr>
        <w:t xml:space="preserve"> </w:t>
      </w:r>
    </w:p>
    <w:p w14:paraId="0B8812FB" w14:textId="3B28BCE3" w:rsidR="00BF1373" w:rsidRDefault="00BF1373" w:rsidP="00372363">
      <w:pPr>
        <w:spacing w:line="600" w:lineRule="auto"/>
        <w:jc w:val="both"/>
        <w:rPr>
          <w:rFonts w:ascii="Arial" w:hAnsi="Arial" w:cs="Arial"/>
          <w:spacing w:val="-2"/>
          <w:shd w:val="clear" w:color="auto" w:fill="FFFFFF"/>
        </w:rPr>
      </w:pPr>
      <w:proofErr w:type="spellStart"/>
      <w:r w:rsidRPr="00BF1373">
        <w:rPr>
          <w:rStyle w:val="Strong"/>
          <w:rFonts w:ascii="Arial" w:hAnsi="Arial" w:cs="Arial"/>
          <w:b w:val="0"/>
          <w:color w:val="1C1C1C"/>
          <w:spacing w:val="-2"/>
          <w:shd w:val="clear" w:color="auto" w:fill="FFFFFF"/>
        </w:rPr>
        <w:t>Pavord</w:t>
      </w:r>
      <w:proofErr w:type="spellEnd"/>
      <w:r w:rsidRPr="00BF1373">
        <w:rPr>
          <w:rStyle w:val="Strong"/>
          <w:rFonts w:ascii="Arial" w:hAnsi="Arial" w:cs="Arial"/>
          <w:b w:val="0"/>
          <w:color w:val="1C1C1C"/>
          <w:spacing w:val="-2"/>
          <w:shd w:val="clear" w:color="auto" w:fill="FFFFFF"/>
        </w:rPr>
        <w:t xml:space="preserve">, S., Daru, J., </w:t>
      </w:r>
      <w:proofErr w:type="spellStart"/>
      <w:r w:rsidRPr="00BF1373">
        <w:rPr>
          <w:rStyle w:val="Strong"/>
          <w:rFonts w:ascii="Arial" w:hAnsi="Arial" w:cs="Arial"/>
          <w:b w:val="0"/>
          <w:color w:val="1C1C1C"/>
          <w:spacing w:val="-2"/>
          <w:shd w:val="clear" w:color="auto" w:fill="FFFFFF"/>
        </w:rPr>
        <w:t>Prasannan</w:t>
      </w:r>
      <w:proofErr w:type="spellEnd"/>
      <w:r w:rsidRPr="00BF1373">
        <w:rPr>
          <w:rStyle w:val="Strong"/>
          <w:rFonts w:ascii="Arial" w:hAnsi="Arial" w:cs="Arial"/>
          <w:b w:val="0"/>
          <w:color w:val="1C1C1C"/>
          <w:spacing w:val="-2"/>
          <w:shd w:val="clear" w:color="auto" w:fill="FFFFFF"/>
        </w:rPr>
        <w:t>, N., Robinson, S., Stanwort</w:t>
      </w:r>
      <w:r w:rsidR="005D2CA8">
        <w:rPr>
          <w:rStyle w:val="Strong"/>
          <w:rFonts w:ascii="Arial" w:hAnsi="Arial" w:cs="Arial"/>
          <w:b w:val="0"/>
          <w:color w:val="1C1C1C"/>
          <w:spacing w:val="-2"/>
          <w:shd w:val="clear" w:color="auto" w:fill="FFFFFF"/>
        </w:rPr>
        <w:t xml:space="preserve">h, S., &amp; Girling, J. (2020). UK </w:t>
      </w:r>
      <w:r w:rsidRPr="00BF1373">
        <w:rPr>
          <w:rStyle w:val="Strong"/>
          <w:rFonts w:ascii="Arial" w:hAnsi="Arial" w:cs="Arial"/>
          <w:b w:val="0"/>
          <w:color w:val="1C1C1C"/>
          <w:spacing w:val="-2"/>
          <w:shd w:val="clear" w:color="auto" w:fill="FFFFFF"/>
        </w:rPr>
        <w:t xml:space="preserve">guidelines on the management of iron deficiency in pregnancy. British Journal of </w:t>
      </w:r>
      <w:proofErr w:type="spellStart"/>
      <w:r w:rsidRPr="00BF1373">
        <w:rPr>
          <w:rStyle w:val="Strong"/>
          <w:rFonts w:ascii="Arial" w:hAnsi="Arial" w:cs="Arial"/>
          <w:b w:val="0"/>
          <w:color w:val="1C1C1C"/>
          <w:spacing w:val="-2"/>
          <w:shd w:val="clear" w:color="auto" w:fill="FFFFFF"/>
        </w:rPr>
        <w:t>Haematology</w:t>
      </w:r>
      <w:proofErr w:type="spellEnd"/>
      <w:r w:rsidRPr="00BF1373">
        <w:rPr>
          <w:rStyle w:val="Strong"/>
          <w:rFonts w:ascii="Arial" w:hAnsi="Arial" w:cs="Arial"/>
          <w:b w:val="0"/>
          <w:color w:val="1C1C1C"/>
          <w:spacing w:val="-2"/>
          <w:shd w:val="clear" w:color="auto" w:fill="FFFFFF"/>
        </w:rPr>
        <w:t>, 188(6), 819–830.</w:t>
      </w:r>
      <w:r w:rsidRPr="00BF1373">
        <w:rPr>
          <w:rFonts w:ascii="Arial" w:hAnsi="Arial" w:cs="Arial"/>
          <w:b/>
          <w:color w:val="1C1C1C"/>
          <w:spacing w:val="-2"/>
        </w:rPr>
        <w:t xml:space="preserve"> </w:t>
      </w:r>
      <w:r w:rsidR="006E708D" w:rsidRPr="006E708D">
        <w:rPr>
          <w:rFonts w:ascii="Arial" w:hAnsi="Arial" w:cs="Arial"/>
          <w:spacing w:val="-2"/>
          <w:shd w:val="clear" w:color="auto" w:fill="FFFFFF"/>
        </w:rPr>
        <w:t>https://doi.org/10.1111/bjh.16221</w:t>
      </w:r>
    </w:p>
    <w:p w14:paraId="3F16CB9F" w14:textId="7CC0586A" w:rsidR="006E708D" w:rsidRPr="006E708D" w:rsidRDefault="006E708D" w:rsidP="00372363">
      <w:pPr>
        <w:spacing w:line="480" w:lineRule="auto"/>
        <w:jc w:val="both"/>
        <w:rPr>
          <w:rFonts w:ascii="Arial" w:hAnsi="Arial" w:cs="Arial"/>
        </w:rPr>
      </w:pPr>
      <w:r w:rsidRPr="006E708D">
        <w:rPr>
          <w:rFonts w:ascii="Arial" w:hAnsi="Arial" w:cs="Arial"/>
        </w:rPr>
        <w:lastRenderedPageBreak/>
        <w:t xml:space="preserve">Shankar, A. H., &amp; Haider, B. A. (2013). </w:t>
      </w:r>
      <w:r w:rsidRPr="006E708D">
        <w:rPr>
          <w:rStyle w:val="Emphasis"/>
          <w:rFonts w:ascii="Arial" w:hAnsi="Arial" w:cs="Arial"/>
        </w:rPr>
        <w:t>Multiple micronutrient supplementation for improving maternal and birth outcomes in low- and middle-income countries</w:t>
      </w:r>
      <w:r w:rsidRPr="006E708D">
        <w:rPr>
          <w:rFonts w:ascii="Arial" w:hAnsi="Arial" w:cs="Arial"/>
        </w:rPr>
        <w:t xml:space="preserve">. </w:t>
      </w:r>
      <w:r w:rsidRPr="006E708D">
        <w:rPr>
          <w:rStyle w:val="Emphasis"/>
          <w:rFonts w:ascii="Arial" w:hAnsi="Arial" w:cs="Arial"/>
        </w:rPr>
        <w:t>Cochrane Database of Systematic Reviews, 2013</w:t>
      </w:r>
      <w:r w:rsidRPr="006E708D">
        <w:rPr>
          <w:rFonts w:ascii="Arial" w:hAnsi="Arial" w:cs="Arial"/>
        </w:rPr>
        <w:t>(11), CD004905. https://doi.org/10.1002/14651858.CD004905.pub3</w:t>
      </w:r>
    </w:p>
    <w:p w14:paraId="707225FD" w14:textId="77777777" w:rsidR="00FA39E2" w:rsidRPr="00444E79" w:rsidRDefault="00E070FD" w:rsidP="0008126A">
      <w:pPr>
        <w:pStyle w:val="NormalWeb"/>
        <w:spacing w:line="480" w:lineRule="auto"/>
        <w:rPr>
          <w:rStyle w:val="Hyperlink"/>
          <w:rFonts w:ascii="Arial" w:hAnsi="Arial" w:cs="Arial"/>
          <w:color w:val="auto"/>
          <w:sz w:val="20"/>
          <w:szCs w:val="20"/>
        </w:rPr>
      </w:pPr>
      <w:r w:rsidRPr="00444E79">
        <w:rPr>
          <w:rFonts w:ascii="Arial" w:hAnsi="Arial" w:cs="Arial"/>
          <w:sz w:val="20"/>
          <w:szCs w:val="20"/>
        </w:rPr>
        <w:t>Smith ER, Shankar AH, Wu LS-F, Aboud S, Adu-</w:t>
      </w:r>
      <w:proofErr w:type="spellStart"/>
      <w:r w:rsidRPr="00444E79">
        <w:rPr>
          <w:rFonts w:ascii="Arial" w:hAnsi="Arial" w:cs="Arial"/>
          <w:sz w:val="20"/>
          <w:szCs w:val="20"/>
        </w:rPr>
        <w:t>Afarwuah</w:t>
      </w:r>
      <w:proofErr w:type="spellEnd"/>
      <w:r w:rsidRPr="00444E79">
        <w:rPr>
          <w:rFonts w:ascii="Arial" w:hAnsi="Arial" w:cs="Arial"/>
          <w:sz w:val="20"/>
          <w:szCs w:val="20"/>
        </w:rPr>
        <w:t xml:space="preserve"> S, Ali H, et al. Modifiers of the effect of maternal multiple micronutrient supplementation on stillbirth, birth outcomes, and infant mortality: A meta-analysis of individual patient data from 17 </w:t>
      </w:r>
      <w:proofErr w:type="spellStart"/>
      <w:r w:rsidRPr="00444E79">
        <w:rPr>
          <w:rFonts w:ascii="Arial" w:hAnsi="Arial" w:cs="Arial"/>
          <w:sz w:val="20"/>
          <w:szCs w:val="20"/>
        </w:rPr>
        <w:t>randomised</w:t>
      </w:r>
      <w:proofErr w:type="spellEnd"/>
      <w:r w:rsidRPr="00444E79">
        <w:rPr>
          <w:rFonts w:ascii="Arial" w:hAnsi="Arial" w:cs="Arial"/>
          <w:sz w:val="20"/>
          <w:szCs w:val="20"/>
        </w:rPr>
        <w:t xml:space="preserve"> trials in low- and middle-income countries. </w:t>
      </w:r>
      <w:r w:rsidRPr="00444E79">
        <w:rPr>
          <w:rStyle w:val="Emphasis"/>
          <w:rFonts w:ascii="Arial" w:hAnsi="Arial" w:cs="Arial"/>
          <w:sz w:val="20"/>
          <w:szCs w:val="20"/>
        </w:rPr>
        <w:t>Lancet Glob Health</w:t>
      </w:r>
      <w:r w:rsidRPr="00444E79">
        <w:rPr>
          <w:rFonts w:ascii="Arial" w:hAnsi="Arial" w:cs="Arial"/>
          <w:sz w:val="20"/>
          <w:szCs w:val="20"/>
        </w:rPr>
        <w:t>. 2017;5(11</w:t>
      </w:r>
      <w:proofErr w:type="gramStart"/>
      <w:r w:rsidRPr="00444E79">
        <w:rPr>
          <w:rFonts w:ascii="Arial" w:hAnsi="Arial" w:cs="Arial"/>
          <w:sz w:val="20"/>
          <w:szCs w:val="20"/>
        </w:rPr>
        <w:t>):e</w:t>
      </w:r>
      <w:proofErr w:type="gramEnd"/>
      <w:r w:rsidRPr="00444E79">
        <w:rPr>
          <w:rFonts w:ascii="Arial" w:hAnsi="Arial" w:cs="Arial"/>
          <w:sz w:val="20"/>
          <w:szCs w:val="20"/>
        </w:rPr>
        <w:t xml:space="preserve">1090–e1100. </w:t>
      </w:r>
      <w:hyperlink r:id="rId34" w:tgtFrame="_new" w:history="1">
        <w:r w:rsidRPr="00444E79">
          <w:rPr>
            <w:rStyle w:val="Hyperlink"/>
            <w:rFonts w:ascii="Arial" w:hAnsi="Arial" w:cs="Arial"/>
            <w:color w:val="auto"/>
            <w:sz w:val="20"/>
            <w:szCs w:val="20"/>
          </w:rPr>
          <w:t>https://doi.org/10.1016/S2214-109X(17)30371-6</w:t>
        </w:r>
      </w:hyperlink>
    </w:p>
    <w:p w14:paraId="6628471B" w14:textId="77777777" w:rsidR="00C966FA" w:rsidRPr="00444E79" w:rsidRDefault="00C966FA" w:rsidP="0008126A">
      <w:pPr>
        <w:pStyle w:val="NormalWeb"/>
        <w:spacing w:line="480" w:lineRule="auto"/>
        <w:rPr>
          <w:rFonts w:ascii="Arial" w:hAnsi="Arial" w:cs="Arial"/>
          <w:sz w:val="20"/>
          <w:szCs w:val="20"/>
        </w:rPr>
      </w:pPr>
      <w:r w:rsidRPr="00444E79">
        <w:rPr>
          <w:rFonts w:ascii="Arial" w:hAnsi="Arial" w:cs="Arial"/>
          <w:sz w:val="20"/>
          <w:szCs w:val="20"/>
        </w:rPr>
        <w:t xml:space="preserve">Stookey LL. Ferrozine—a new spectrophotometric reagent for iron. </w:t>
      </w:r>
      <w:r w:rsidRPr="00444E79">
        <w:rPr>
          <w:rStyle w:val="Emphasis"/>
          <w:rFonts w:ascii="Arial" w:hAnsi="Arial" w:cs="Arial"/>
          <w:sz w:val="20"/>
          <w:szCs w:val="20"/>
        </w:rPr>
        <w:t>Anal Chem.</w:t>
      </w:r>
      <w:r w:rsidRPr="00444E79">
        <w:rPr>
          <w:rFonts w:ascii="Arial" w:hAnsi="Arial" w:cs="Arial"/>
          <w:sz w:val="20"/>
          <w:szCs w:val="20"/>
        </w:rPr>
        <w:t xml:space="preserve"> 1970;42(7):779–781. doi:10.1021/ac60289a016.</w:t>
      </w:r>
    </w:p>
    <w:p w14:paraId="323CBBBD" w14:textId="77777777" w:rsidR="00C966FA" w:rsidRPr="00444E79" w:rsidRDefault="00C966FA" w:rsidP="0008126A">
      <w:pPr>
        <w:pStyle w:val="NormalWeb"/>
        <w:spacing w:line="480" w:lineRule="auto"/>
        <w:rPr>
          <w:rFonts w:ascii="Arial" w:hAnsi="Arial" w:cs="Arial"/>
          <w:sz w:val="20"/>
          <w:szCs w:val="20"/>
        </w:rPr>
      </w:pPr>
      <w:r w:rsidRPr="00444E79">
        <w:rPr>
          <w:rFonts w:ascii="Arial" w:hAnsi="Arial" w:cs="Arial"/>
          <w:sz w:val="20"/>
          <w:szCs w:val="20"/>
        </w:rPr>
        <w:t xml:space="preserve">Sysmex Corporation. </w:t>
      </w:r>
      <w:r w:rsidRPr="00444E79">
        <w:rPr>
          <w:rStyle w:val="Emphasis"/>
          <w:rFonts w:ascii="Arial" w:hAnsi="Arial" w:cs="Arial"/>
          <w:sz w:val="20"/>
          <w:szCs w:val="20"/>
        </w:rPr>
        <w:t>XN-Series Automated Hematology Analyzer Instruction Manual.</w:t>
      </w:r>
      <w:r w:rsidRPr="00444E79">
        <w:rPr>
          <w:rFonts w:ascii="Arial" w:hAnsi="Arial" w:cs="Arial"/>
          <w:sz w:val="20"/>
          <w:szCs w:val="20"/>
        </w:rPr>
        <w:t xml:space="preserve"> Kobe, Japan: Sysmex Corporation; 2019.</w:t>
      </w:r>
    </w:p>
    <w:p w14:paraId="5EFB0ED6"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Ugwu OV, </w:t>
      </w:r>
      <w:proofErr w:type="spellStart"/>
      <w:r w:rsidRPr="00444E79">
        <w:rPr>
          <w:rFonts w:ascii="Arial" w:hAnsi="Arial" w:cs="Arial"/>
          <w:sz w:val="20"/>
          <w:szCs w:val="20"/>
        </w:rPr>
        <w:t>Olibe</w:t>
      </w:r>
      <w:proofErr w:type="spellEnd"/>
      <w:r w:rsidRPr="00444E79">
        <w:rPr>
          <w:rFonts w:ascii="Arial" w:hAnsi="Arial" w:cs="Arial"/>
          <w:sz w:val="20"/>
          <w:szCs w:val="20"/>
        </w:rPr>
        <w:t xml:space="preserve"> AO, Uchendu OC, Obi SN. Pattern and determinants of the dietary habits of pregnant women attending antenatal clinics in a tertiary hospital in South-East Nigeria. </w:t>
      </w:r>
      <w:r w:rsidRPr="00444E79">
        <w:rPr>
          <w:rStyle w:val="Emphasis"/>
          <w:rFonts w:ascii="Arial" w:hAnsi="Arial" w:cs="Arial"/>
          <w:sz w:val="20"/>
          <w:szCs w:val="20"/>
        </w:rPr>
        <w:t xml:space="preserve">Niger J Clin </w:t>
      </w:r>
      <w:proofErr w:type="spellStart"/>
      <w:r w:rsidRPr="00444E79">
        <w:rPr>
          <w:rStyle w:val="Emphasis"/>
          <w:rFonts w:ascii="Arial" w:hAnsi="Arial" w:cs="Arial"/>
          <w:sz w:val="20"/>
          <w:szCs w:val="20"/>
        </w:rPr>
        <w:t>Pract</w:t>
      </w:r>
      <w:proofErr w:type="spellEnd"/>
      <w:r w:rsidRPr="00444E79">
        <w:rPr>
          <w:rFonts w:ascii="Arial" w:hAnsi="Arial" w:cs="Arial"/>
          <w:sz w:val="20"/>
          <w:szCs w:val="20"/>
        </w:rPr>
        <w:t>. 2020;23</w:t>
      </w:r>
      <w:r w:rsidR="00AD4933" w:rsidRPr="00444E79">
        <w:rPr>
          <w:rFonts w:ascii="Arial" w:hAnsi="Arial" w:cs="Arial"/>
          <w:sz w:val="20"/>
          <w:szCs w:val="20"/>
        </w:rPr>
        <w:t xml:space="preserve"> </w:t>
      </w:r>
      <w:r w:rsidRPr="00444E79">
        <w:rPr>
          <w:rFonts w:ascii="Arial" w:hAnsi="Arial" w:cs="Arial"/>
          <w:sz w:val="20"/>
          <w:szCs w:val="20"/>
        </w:rPr>
        <w:t xml:space="preserve">(3):371–377. </w:t>
      </w:r>
      <w:hyperlink r:id="rId35" w:tgtFrame="_new" w:history="1">
        <w:r w:rsidRPr="00444E79">
          <w:rPr>
            <w:rStyle w:val="Hyperlink"/>
            <w:rFonts w:ascii="Arial" w:hAnsi="Arial" w:cs="Arial"/>
            <w:color w:val="auto"/>
            <w:sz w:val="20"/>
            <w:szCs w:val="20"/>
          </w:rPr>
          <w:t>https://doi.org/10.4103/njcp.njcp_466_18</w:t>
        </w:r>
      </w:hyperlink>
    </w:p>
    <w:p w14:paraId="60750507"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Weiss G, Goodnough LT. Anemia of chronic disease. </w:t>
      </w:r>
      <w:r w:rsidRPr="00444E79">
        <w:rPr>
          <w:rStyle w:val="Emphasis"/>
          <w:rFonts w:ascii="Arial" w:hAnsi="Arial" w:cs="Arial"/>
          <w:sz w:val="20"/>
          <w:szCs w:val="20"/>
        </w:rPr>
        <w:t>N Engl J Med</w:t>
      </w:r>
      <w:r w:rsidRPr="00444E79">
        <w:rPr>
          <w:rFonts w:ascii="Arial" w:hAnsi="Arial" w:cs="Arial"/>
          <w:sz w:val="20"/>
          <w:szCs w:val="20"/>
        </w:rPr>
        <w:t>. 2005;352</w:t>
      </w:r>
      <w:r w:rsidR="00AD4933" w:rsidRPr="00444E79">
        <w:rPr>
          <w:rFonts w:ascii="Arial" w:hAnsi="Arial" w:cs="Arial"/>
          <w:sz w:val="20"/>
          <w:szCs w:val="20"/>
        </w:rPr>
        <w:t xml:space="preserve"> </w:t>
      </w:r>
      <w:r w:rsidRPr="00444E79">
        <w:rPr>
          <w:rFonts w:ascii="Arial" w:hAnsi="Arial" w:cs="Arial"/>
          <w:sz w:val="20"/>
          <w:szCs w:val="20"/>
        </w:rPr>
        <w:t xml:space="preserve">(10):1011–1023. </w:t>
      </w:r>
      <w:hyperlink r:id="rId36" w:tgtFrame="_new" w:history="1">
        <w:r w:rsidRPr="00444E79">
          <w:rPr>
            <w:rStyle w:val="Hyperlink"/>
            <w:rFonts w:ascii="Arial" w:hAnsi="Arial" w:cs="Arial"/>
            <w:color w:val="auto"/>
            <w:sz w:val="20"/>
            <w:szCs w:val="20"/>
          </w:rPr>
          <w:t>https://doi.org/10.1056/NEJMra041809</w:t>
        </w:r>
      </w:hyperlink>
    </w:p>
    <w:p w14:paraId="044EBCDB" w14:textId="77777777" w:rsidR="00FA39E2" w:rsidRPr="00444E79"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World Health Organization. </w:t>
      </w:r>
      <w:proofErr w:type="spellStart"/>
      <w:r w:rsidRPr="00444E79">
        <w:rPr>
          <w:rFonts w:ascii="Arial" w:hAnsi="Arial" w:cs="Arial"/>
          <w:sz w:val="20"/>
          <w:szCs w:val="20"/>
        </w:rPr>
        <w:t>Anaemia</w:t>
      </w:r>
      <w:proofErr w:type="spellEnd"/>
      <w:r w:rsidRPr="00444E79">
        <w:rPr>
          <w:rFonts w:ascii="Arial" w:hAnsi="Arial" w:cs="Arial"/>
          <w:sz w:val="20"/>
          <w:szCs w:val="20"/>
        </w:rPr>
        <w:t xml:space="preserve">. Geneva: WHO; 2021. Available from: </w:t>
      </w:r>
      <w:hyperlink r:id="rId37" w:tgtFrame="_new" w:history="1">
        <w:r w:rsidRPr="00444E79">
          <w:rPr>
            <w:rStyle w:val="Hyperlink"/>
            <w:rFonts w:ascii="Arial" w:hAnsi="Arial" w:cs="Arial"/>
            <w:color w:val="auto"/>
            <w:sz w:val="20"/>
            <w:szCs w:val="20"/>
          </w:rPr>
          <w:t>https://www.who.int/health-topics/anaemia</w:t>
        </w:r>
      </w:hyperlink>
    </w:p>
    <w:p w14:paraId="5BAFD2D5" w14:textId="77777777" w:rsidR="00FA39E2" w:rsidRDefault="00E070FD" w:rsidP="0008126A">
      <w:pPr>
        <w:pStyle w:val="NormalWeb"/>
        <w:spacing w:line="480" w:lineRule="auto"/>
        <w:rPr>
          <w:rFonts w:ascii="Arial" w:hAnsi="Arial" w:cs="Arial"/>
          <w:sz w:val="20"/>
          <w:szCs w:val="20"/>
        </w:rPr>
      </w:pPr>
      <w:r w:rsidRPr="00444E79">
        <w:rPr>
          <w:rFonts w:ascii="Arial" w:hAnsi="Arial" w:cs="Arial"/>
          <w:sz w:val="20"/>
          <w:szCs w:val="20"/>
        </w:rPr>
        <w:t xml:space="preserve">World Health Organization. </w:t>
      </w:r>
      <w:r w:rsidRPr="00444E79">
        <w:rPr>
          <w:rStyle w:val="Emphasis"/>
          <w:rFonts w:ascii="Arial" w:hAnsi="Arial" w:cs="Arial"/>
          <w:sz w:val="20"/>
          <w:szCs w:val="20"/>
        </w:rPr>
        <w:t>WHO recommendations on antenatal care for a positive pregnancy experience</w:t>
      </w:r>
      <w:r w:rsidRPr="00444E79">
        <w:rPr>
          <w:rFonts w:ascii="Arial" w:hAnsi="Arial" w:cs="Arial"/>
          <w:sz w:val="20"/>
          <w:szCs w:val="20"/>
        </w:rPr>
        <w:t>. Geneva: WHO; 2018.</w:t>
      </w:r>
    </w:p>
    <w:p w14:paraId="6CF68A3B" w14:textId="2D16B6BF" w:rsidR="00D1790E" w:rsidRPr="00D1790E" w:rsidRDefault="00D1790E" w:rsidP="00372363">
      <w:pPr>
        <w:spacing w:line="480" w:lineRule="auto"/>
        <w:jc w:val="both"/>
        <w:rPr>
          <w:rFonts w:ascii="Arial" w:hAnsi="Arial" w:cs="Arial"/>
          <w:spacing w:val="-2"/>
          <w:shd w:val="clear" w:color="auto" w:fill="FFFFFF"/>
        </w:rPr>
      </w:pPr>
      <w:r w:rsidRPr="00D1790E">
        <w:rPr>
          <w:rFonts w:ascii="Arial" w:hAnsi="Arial" w:cs="Arial"/>
          <w:color w:val="1C1C1C"/>
          <w:spacing w:val="-2"/>
          <w:shd w:val="clear" w:color="auto" w:fill="FFFFFF"/>
        </w:rPr>
        <w:lastRenderedPageBreak/>
        <w:t>World Health Organization. (2016). Guideline: Daily iron and folic acid supplementation in pregnant women. Geneva: World Health Organization.</w:t>
      </w:r>
      <w:r w:rsidRPr="00D1790E">
        <w:rPr>
          <w:rFonts w:ascii="Arial" w:hAnsi="Arial" w:cs="Arial"/>
          <w:color w:val="1C1C1C"/>
          <w:spacing w:val="-2"/>
        </w:rPr>
        <w:br/>
      </w:r>
      <w:r w:rsidRPr="00D1790E">
        <w:rPr>
          <w:rFonts w:ascii="Arial" w:hAnsi="Arial" w:cs="Arial"/>
          <w:spacing w:val="-2"/>
          <w:shd w:val="clear" w:color="auto" w:fill="FFFFFF"/>
        </w:rPr>
        <w:t>https://www.who.int/publications/i/item/9789241549949</w:t>
      </w:r>
    </w:p>
    <w:p w14:paraId="0032E8FB" w14:textId="09AFBD0E" w:rsidR="00D1790E" w:rsidRPr="00D1790E" w:rsidRDefault="00D1790E" w:rsidP="00372363">
      <w:pPr>
        <w:spacing w:line="480" w:lineRule="auto"/>
        <w:jc w:val="both"/>
        <w:rPr>
          <w:rFonts w:ascii="Arial" w:hAnsi="Arial" w:cs="Arial"/>
        </w:rPr>
      </w:pPr>
      <w:r w:rsidRPr="00D1790E">
        <w:rPr>
          <w:rFonts w:ascii="Arial" w:hAnsi="Arial" w:cs="Arial"/>
        </w:rPr>
        <w:t>World Health Organization. (1999). UNICEF/WHO/UNU international multiple micronutrient preparation (UNIMMAP). WHO.</w:t>
      </w:r>
    </w:p>
    <w:p w14:paraId="06C9D465" w14:textId="48F53636" w:rsidR="00FA39E2" w:rsidRPr="00444E79" w:rsidRDefault="00E070FD" w:rsidP="001770D7">
      <w:pPr>
        <w:pStyle w:val="NormalWeb"/>
        <w:spacing w:line="480" w:lineRule="auto"/>
        <w:rPr>
          <w:rFonts w:ascii="Arial" w:hAnsi="Arial" w:cs="Arial"/>
          <w:sz w:val="20"/>
          <w:szCs w:val="20"/>
        </w:rPr>
        <w:sectPr w:rsidR="00FA39E2" w:rsidRPr="00444E79" w:rsidSect="00471F7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r w:rsidRPr="00444E79">
        <w:rPr>
          <w:rFonts w:ascii="Arial" w:hAnsi="Arial" w:cs="Arial"/>
          <w:sz w:val="20"/>
          <w:szCs w:val="20"/>
        </w:rPr>
        <w:t xml:space="preserve">Yan L, Wang Y, Zhang S. Diagnosis and management of anemia in pregnancy. </w:t>
      </w:r>
      <w:r w:rsidRPr="00444E79">
        <w:rPr>
          <w:rStyle w:val="Emphasis"/>
          <w:rFonts w:ascii="Arial" w:hAnsi="Arial" w:cs="Arial"/>
          <w:sz w:val="20"/>
          <w:szCs w:val="20"/>
        </w:rPr>
        <w:t>J Clin Med</w:t>
      </w:r>
      <w:r w:rsidRPr="00444E79">
        <w:rPr>
          <w:rFonts w:ascii="Arial" w:hAnsi="Arial" w:cs="Arial"/>
          <w:sz w:val="20"/>
          <w:szCs w:val="20"/>
        </w:rPr>
        <w:t>. 2021;10</w:t>
      </w:r>
      <w:r w:rsidR="00AD4933" w:rsidRPr="00444E79">
        <w:rPr>
          <w:rFonts w:ascii="Arial" w:hAnsi="Arial" w:cs="Arial"/>
          <w:sz w:val="20"/>
          <w:szCs w:val="20"/>
        </w:rPr>
        <w:t xml:space="preserve"> </w:t>
      </w:r>
      <w:r w:rsidRPr="00444E79">
        <w:rPr>
          <w:rFonts w:ascii="Arial" w:hAnsi="Arial" w:cs="Arial"/>
          <w:sz w:val="20"/>
          <w:szCs w:val="20"/>
        </w:rPr>
        <w:t xml:space="preserve">(11):2345. </w:t>
      </w:r>
      <w:hyperlink r:id="rId42" w:tgtFrame="_new" w:history="1">
        <w:r w:rsidRPr="00444E79">
          <w:rPr>
            <w:rStyle w:val="Hyperlink"/>
            <w:rFonts w:ascii="Arial" w:hAnsi="Arial" w:cs="Arial"/>
            <w:color w:val="auto"/>
            <w:sz w:val="20"/>
            <w:szCs w:val="20"/>
          </w:rPr>
          <w:t>https://doi.org/10.3390/jcm10112345</w:t>
        </w:r>
      </w:hyperlink>
    </w:p>
    <w:p w14:paraId="07E5CDBC" w14:textId="07188FE7" w:rsidR="00FA39E2" w:rsidRPr="00D81E60" w:rsidRDefault="00D81E60">
      <w:pPr>
        <w:pStyle w:val="Appendix"/>
        <w:spacing w:after="0"/>
        <w:jc w:val="both"/>
        <w:rPr>
          <w:rFonts w:ascii="Arial" w:hAnsi="Arial" w:cs="Arial"/>
          <w:b w:val="0"/>
          <w:szCs w:val="22"/>
        </w:rPr>
      </w:pPr>
      <w:r>
        <w:rPr>
          <w:rFonts w:ascii="Arial" w:hAnsi="Arial" w:cs="Arial"/>
          <w:color w:val="333333"/>
          <w:sz w:val="27"/>
          <w:szCs w:val="27"/>
          <w:shd w:val="clear" w:color="auto" w:fill="FFFFFF"/>
        </w:rPr>
        <w:t> </w:t>
      </w:r>
    </w:p>
    <w:sectPr w:rsidR="00FA39E2" w:rsidRPr="00D81E60" w:rsidSect="00471F7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10-30T21:43:00Z" w:initials="A">
    <w:p w14:paraId="0F6D91C7" w14:textId="5C4B9611" w:rsidR="00F56203" w:rsidRDefault="00F56203">
      <w:pPr>
        <w:pStyle w:val="CommentText"/>
      </w:pPr>
      <w:r>
        <w:rPr>
          <w:rStyle w:val="CommentReference"/>
        </w:rPr>
        <w:annotationRef/>
      </w:r>
      <w:r>
        <w:t xml:space="preserve">Ensure consistency in terminology throughout the manuscript. Choose either </w:t>
      </w:r>
      <w:r>
        <w:rPr>
          <w:rStyle w:val="Strong"/>
        </w:rPr>
        <w:t>“hemoglobin”</w:t>
      </w:r>
      <w:r>
        <w:t xml:space="preserve"> or </w:t>
      </w:r>
      <w:r>
        <w:rPr>
          <w:rStyle w:val="Strong"/>
        </w:rPr>
        <w:t>“haemoglobin”</w:t>
      </w:r>
      <w:r>
        <w:t xml:space="preserve"> and apply it uniformly across all sections, tables, and figures.</w:t>
      </w:r>
    </w:p>
  </w:comment>
  <w:comment w:id="2" w:author="ASUS" w:date="2025-10-30T21:48:00Z" w:initials="A">
    <w:p w14:paraId="0D70278D" w14:textId="7E1F28EB" w:rsidR="00F56C66" w:rsidRDefault="00F56C66">
      <w:pPr>
        <w:pStyle w:val="CommentText"/>
      </w:pPr>
      <w:r>
        <w:rPr>
          <w:rStyle w:val="CommentReference"/>
        </w:rPr>
        <w:annotationRef/>
      </w:r>
      <w:r w:rsidRPr="009409B6">
        <w:rPr>
          <w:bCs/>
          <w:lang w:val="en-GB"/>
        </w:rPr>
        <w:t xml:space="preserve">It is advisable to integrate the socio-demographic data into a single, well-organized table </w:t>
      </w:r>
      <w:r>
        <w:rPr>
          <w:bCs/>
          <w:lang w:val="en-GB"/>
        </w:rPr>
        <w:t xml:space="preserve">or graphic </w:t>
      </w:r>
      <w:r w:rsidRPr="009409B6">
        <w:rPr>
          <w:bCs/>
          <w:lang w:val="en-GB"/>
        </w:rPr>
        <w:t>to improve readability and interpretation.</w:t>
      </w:r>
    </w:p>
  </w:comment>
  <w:comment w:id="4" w:author="ASUS" w:date="2025-10-30T21:49:00Z" w:initials="A">
    <w:p w14:paraId="0C71B4A3" w14:textId="44DACB24" w:rsidR="00F56C66" w:rsidRDefault="00F56C66">
      <w:pPr>
        <w:pStyle w:val="CommentText"/>
      </w:pPr>
      <w:r>
        <w:rPr>
          <w:rStyle w:val="CommentReference"/>
        </w:rPr>
        <w:annotationRef/>
      </w:r>
      <w:r w:rsidRPr="009409B6">
        <w:rPr>
          <w:bCs/>
          <w:lang w:val="en-GB"/>
        </w:rPr>
        <w:t>Some variables in the tables are presented with p-values</w:t>
      </w:r>
      <w:r>
        <w:rPr>
          <w:bCs/>
          <w:lang w:val="en-GB"/>
        </w:rPr>
        <w:t xml:space="preserve">, </w:t>
      </w:r>
      <w:r w:rsidRPr="009409B6">
        <w:rPr>
          <w:bCs/>
          <w:lang w:val="en-GB"/>
        </w:rPr>
        <w:t>while others are not; these should be made consistent</w:t>
      </w:r>
    </w:p>
  </w:comment>
  <w:comment w:id="5" w:author="ASUS" w:date="2025-10-30T21:13:00Z" w:initials="A">
    <w:p w14:paraId="0C51D0C7" w14:textId="34FAA448" w:rsidR="00897296" w:rsidRDefault="00897296">
      <w:pPr>
        <w:pStyle w:val="CommentText"/>
      </w:pPr>
      <w:r>
        <w:rPr>
          <w:rStyle w:val="CommentReference"/>
        </w:rPr>
        <w:annotationRef/>
      </w:r>
      <w:r>
        <w:t xml:space="preserve">. </w:t>
      </w:r>
      <w:r>
        <w:t>Results also...</w:t>
      </w:r>
    </w:p>
  </w:comment>
  <w:comment w:id="10" w:author="ASUS" w:date="2025-10-30T21:45:00Z" w:initials="A">
    <w:p w14:paraId="5A3512D1" w14:textId="4D3289E3" w:rsidR="00F56C66" w:rsidRDefault="00F56C66">
      <w:pPr>
        <w:pStyle w:val="CommentText"/>
      </w:pPr>
      <w:r>
        <w:rPr>
          <w:rStyle w:val="CommentReference"/>
        </w:rPr>
        <w:annotationRef/>
      </w:r>
      <w:r>
        <w:t xml:space="preserve">The </w:t>
      </w:r>
      <w:r>
        <w:rPr>
          <w:rStyle w:val="Emphasis"/>
        </w:rPr>
        <w:t>Conclusion</w:t>
      </w:r>
      <w:r>
        <w:t xml:space="preserve"> section should be strengthened by acknowledging the study’s limitations, including the small sample size and potential selection bias, which may affect the generalizability of the results. It is also recommended that the authors include a brief note on directions for future research—such as conducting larger or multicenter studies—to validate and build upon the current findings. This addition would provide a more balanced and forward-looking closing to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6D91C7" w15:done="0"/>
  <w15:commentEx w15:paraId="0D70278D" w15:done="0"/>
  <w15:commentEx w15:paraId="0C71B4A3" w15:done="0"/>
  <w15:commentEx w15:paraId="0C51D0C7" w15:done="0"/>
  <w15:commentEx w15:paraId="5A3512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15711" w16cex:dateUtc="2025-10-30T14:43:00Z"/>
  <w16cex:commentExtensible w16cex:durableId="466F9087" w16cex:dateUtc="2025-10-30T14:48:00Z"/>
  <w16cex:commentExtensible w16cex:durableId="1AA94691" w16cex:dateUtc="2025-10-30T14:49:00Z"/>
  <w16cex:commentExtensible w16cex:durableId="007E7A99" w16cex:dateUtc="2025-10-30T14:13:00Z"/>
  <w16cex:commentExtensible w16cex:durableId="29A610AD" w16cex:dateUtc="2025-10-3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6D91C7" w16cid:durableId="16A15711"/>
  <w16cid:commentId w16cid:paraId="0D70278D" w16cid:durableId="466F9087"/>
  <w16cid:commentId w16cid:paraId="0C71B4A3" w16cid:durableId="1AA94691"/>
  <w16cid:commentId w16cid:paraId="0C51D0C7" w16cid:durableId="007E7A99"/>
  <w16cid:commentId w16cid:paraId="5A3512D1" w16cid:durableId="29A61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BD2B" w14:textId="77777777" w:rsidR="007B6307" w:rsidRDefault="007B6307">
      <w:r>
        <w:separator/>
      </w:r>
    </w:p>
  </w:endnote>
  <w:endnote w:type="continuationSeparator" w:id="0">
    <w:p w14:paraId="70AB2269" w14:textId="77777777" w:rsidR="007B6307" w:rsidRDefault="007B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9C3C" w14:textId="77777777" w:rsidR="0055318E" w:rsidRDefault="0055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355F" w14:textId="77777777" w:rsidR="0055318E" w:rsidRDefault="00553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F89F" w14:textId="5648C243" w:rsidR="00D1790E" w:rsidRPr="0055318E" w:rsidRDefault="00D1790E" w:rsidP="005531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9185" w14:textId="77777777" w:rsidR="00D1790E" w:rsidRDefault="00D1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D0AC" w14:textId="77777777" w:rsidR="007B6307" w:rsidRDefault="007B6307">
      <w:r>
        <w:separator/>
      </w:r>
    </w:p>
  </w:footnote>
  <w:footnote w:type="continuationSeparator" w:id="0">
    <w:p w14:paraId="25EAF859" w14:textId="77777777" w:rsidR="007B6307" w:rsidRDefault="007B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069F" w14:textId="33A9DBB8" w:rsidR="0055318E" w:rsidRDefault="00000000">
    <w:pPr>
      <w:pStyle w:val="Header"/>
    </w:pPr>
    <w:r>
      <w:rPr>
        <w:noProof/>
      </w:rPr>
      <w:pict w14:anchorId="7E62E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976" w14:textId="207EA6A2" w:rsidR="0055318E" w:rsidRDefault="00000000">
    <w:pPr>
      <w:pStyle w:val="Header"/>
    </w:pPr>
    <w:r>
      <w:rPr>
        <w:noProof/>
      </w:rPr>
      <w:pict w14:anchorId="3801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D8FE" w14:textId="0B2DE113" w:rsidR="00D1790E" w:rsidRDefault="00000000">
    <w:pPr>
      <w:ind w:left="2160"/>
      <w:jc w:val="center"/>
      <w:rPr>
        <w:rFonts w:ascii="Times New Roman" w:eastAsia="Calibri" w:hAnsi="Times New Roman"/>
        <w:i/>
        <w:sz w:val="18"/>
        <w:szCs w:val="22"/>
      </w:rPr>
    </w:pPr>
    <w:r>
      <w:rPr>
        <w:noProof/>
      </w:rPr>
      <w:pict w14:anchorId="3DCD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05213" w14:textId="77777777" w:rsidR="00D1790E" w:rsidRDefault="00D1790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3E99FE2" w14:textId="77777777" w:rsidR="00D1790E" w:rsidRDefault="00D1790E">
    <w:pPr>
      <w:jc w:val="center"/>
      <w:rPr>
        <w:rFonts w:ascii="Times New Roman" w:eastAsia="Calibri" w:hAnsi="Times New Roman"/>
        <w:i/>
        <w:sz w:val="18"/>
        <w:szCs w:val="22"/>
      </w:rPr>
    </w:pPr>
    <w:r>
      <w:rPr>
        <w:rFonts w:ascii="Times New Roman" w:eastAsia="Calibri" w:hAnsi="Times New Roman"/>
        <w:i/>
        <w:sz w:val="18"/>
        <w:szCs w:val="22"/>
      </w:rPr>
      <w:t>.</w:t>
    </w:r>
  </w:p>
  <w:p w14:paraId="44A77A0B" w14:textId="77777777" w:rsidR="00D1790E" w:rsidRDefault="00D1790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01C2C6" w14:textId="77777777" w:rsidR="00D1790E" w:rsidRDefault="00D1790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9A0A69" w14:textId="77777777" w:rsidR="00D1790E" w:rsidRDefault="00D1790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8E27DF" w14:textId="77777777" w:rsidR="00D1790E" w:rsidRDefault="00D179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1929" w14:textId="07CC51AC" w:rsidR="0055318E" w:rsidRDefault="00000000">
    <w:pPr>
      <w:pStyle w:val="Header"/>
    </w:pPr>
    <w:r>
      <w:rPr>
        <w:noProof/>
      </w:rPr>
      <w:pict w14:anchorId="5041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E700" w14:textId="36F7AA30" w:rsidR="0055318E" w:rsidRDefault="00000000">
    <w:pPr>
      <w:pStyle w:val="Header"/>
    </w:pPr>
    <w:r>
      <w:rPr>
        <w:noProof/>
      </w:rPr>
      <w:pict w14:anchorId="2E95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3587" w14:textId="6A4CDEEF" w:rsidR="0055318E" w:rsidRDefault="00000000">
    <w:pPr>
      <w:pStyle w:val="Header"/>
    </w:pPr>
    <w:r>
      <w:rPr>
        <w:noProof/>
      </w:rPr>
      <w:pict w14:anchorId="3E08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00FE"/>
    <w:multiLevelType w:val="hybridMultilevel"/>
    <w:tmpl w:val="9D485FDA"/>
    <w:lvl w:ilvl="0" w:tplc="C3981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669989019">
    <w:abstractNumId w:val="1"/>
  </w:num>
  <w:num w:numId="2" w16cid:durableId="1826701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F5F"/>
    <w:rsid w:val="00007375"/>
    <w:rsid w:val="00030174"/>
    <w:rsid w:val="00036588"/>
    <w:rsid w:val="00044334"/>
    <w:rsid w:val="0004579C"/>
    <w:rsid w:val="00054C41"/>
    <w:rsid w:val="000570E2"/>
    <w:rsid w:val="00060361"/>
    <w:rsid w:val="000651C3"/>
    <w:rsid w:val="00066721"/>
    <w:rsid w:val="0007435F"/>
    <w:rsid w:val="00074CE6"/>
    <w:rsid w:val="0008126A"/>
    <w:rsid w:val="00082F0F"/>
    <w:rsid w:val="00090096"/>
    <w:rsid w:val="000A0687"/>
    <w:rsid w:val="000A47FA"/>
    <w:rsid w:val="000A655E"/>
    <w:rsid w:val="000A65D3"/>
    <w:rsid w:val="000B1E33"/>
    <w:rsid w:val="000B466D"/>
    <w:rsid w:val="000B4CB0"/>
    <w:rsid w:val="000C0C26"/>
    <w:rsid w:val="000C0EC8"/>
    <w:rsid w:val="000C4318"/>
    <w:rsid w:val="000C49DF"/>
    <w:rsid w:val="000D689F"/>
    <w:rsid w:val="000D6E30"/>
    <w:rsid w:val="000D753B"/>
    <w:rsid w:val="000E65C9"/>
    <w:rsid w:val="000E7B7B"/>
    <w:rsid w:val="000E7D62"/>
    <w:rsid w:val="000F322C"/>
    <w:rsid w:val="001027A6"/>
    <w:rsid w:val="00103357"/>
    <w:rsid w:val="00105C3F"/>
    <w:rsid w:val="00106314"/>
    <w:rsid w:val="00106735"/>
    <w:rsid w:val="00113E94"/>
    <w:rsid w:val="001142BD"/>
    <w:rsid w:val="001150F7"/>
    <w:rsid w:val="00123C9F"/>
    <w:rsid w:val="00126190"/>
    <w:rsid w:val="00130F17"/>
    <w:rsid w:val="001316DB"/>
    <w:rsid w:val="001320BF"/>
    <w:rsid w:val="00133D23"/>
    <w:rsid w:val="00141D68"/>
    <w:rsid w:val="001437AF"/>
    <w:rsid w:val="001521C3"/>
    <w:rsid w:val="00154674"/>
    <w:rsid w:val="00155D8E"/>
    <w:rsid w:val="00163BAA"/>
    <w:rsid w:val="00163BC4"/>
    <w:rsid w:val="001679FA"/>
    <w:rsid w:val="0017543A"/>
    <w:rsid w:val="001770D7"/>
    <w:rsid w:val="001771AD"/>
    <w:rsid w:val="001774F9"/>
    <w:rsid w:val="00187B06"/>
    <w:rsid w:val="00191062"/>
    <w:rsid w:val="00192B72"/>
    <w:rsid w:val="0019317C"/>
    <w:rsid w:val="001972CB"/>
    <w:rsid w:val="001A1537"/>
    <w:rsid w:val="001A29D8"/>
    <w:rsid w:val="001A5CAA"/>
    <w:rsid w:val="001B0427"/>
    <w:rsid w:val="001B2EB5"/>
    <w:rsid w:val="001D3132"/>
    <w:rsid w:val="001D3A51"/>
    <w:rsid w:val="001E10D2"/>
    <w:rsid w:val="001E25B4"/>
    <w:rsid w:val="001E3B0A"/>
    <w:rsid w:val="001E44FE"/>
    <w:rsid w:val="001F1E29"/>
    <w:rsid w:val="001F4390"/>
    <w:rsid w:val="001F54BF"/>
    <w:rsid w:val="001F6CBD"/>
    <w:rsid w:val="00200595"/>
    <w:rsid w:val="00202D0C"/>
    <w:rsid w:val="00204835"/>
    <w:rsid w:val="00223DD4"/>
    <w:rsid w:val="0022582F"/>
    <w:rsid w:val="00226014"/>
    <w:rsid w:val="00231920"/>
    <w:rsid w:val="0023195C"/>
    <w:rsid w:val="0024282C"/>
    <w:rsid w:val="002460DC"/>
    <w:rsid w:val="00250985"/>
    <w:rsid w:val="0025504F"/>
    <w:rsid w:val="002556F6"/>
    <w:rsid w:val="00260955"/>
    <w:rsid w:val="00265F6A"/>
    <w:rsid w:val="0026656C"/>
    <w:rsid w:val="0027376F"/>
    <w:rsid w:val="0027537E"/>
    <w:rsid w:val="00283105"/>
    <w:rsid w:val="00284C4C"/>
    <w:rsid w:val="002862F3"/>
    <w:rsid w:val="00287E68"/>
    <w:rsid w:val="00291506"/>
    <w:rsid w:val="00291865"/>
    <w:rsid w:val="00296529"/>
    <w:rsid w:val="0029695F"/>
    <w:rsid w:val="00297FCA"/>
    <w:rsid w:val="002A4A89"/>
    <w:rsid w:val="002B27FB"/>
    <w:rsid w:val="002B685A"/>
    <w:rsid w:val="002C0E34"/>
    <w:rsid w:val="002C57D2"/>
    <w:rsid w:val="002D352D"/>
    <w:rsid w:val="002D6263"/>
    <w:rsid w:val="002E0D56"/>
    <w:rsid w:val="00302806"/>
    <w:rsid w:val="00305424"/>
    <w:rsid w:val="00312A38"/>
    <w:rsid w:val="00315186"/>
    <w:rsid w:val="0031655B"/>
    <w:rsid w:val="00317084"/>
    <w:rsid w:val="00327125"/>
    <w:rsid w:val="0033343E"/>
    <w:rsid w:val="00336D76"/>
    <w:rsid w:val="0034256B"/>
    <w:rsid w:val="003428A0"/>
    <w:rsid w:val="00347E19"/>
    <w:rsid w:val="00350742"/>
    <w:rsid w:val="003512C2"/>
    <w:rsid w:val="003538DA"/>
    <w:rsid w:val="00355C7A"/>
    <w:rsid w:val="00360930"/>
    <w:rsid w:val="00363B21"/>
    <w:rsid w:val="00371FB6"/>
    <w:rsid w:val="00372363"/>
    <w:rsid w:val="003747EC"/>
    <w:rsid w:val="003763C1"/>
    <w:rsid w:val="00376BBE"/>
    <w:rsid w:val="0038444D"/>
    <w:rsid w:val="00390DBA"/>
    <w:rsid w:val="0039224F"/>
    <w:rsid w:val="003A43A4"/>
    <w:rsid w:val="003A55B1"/>
    <w:rsid w:val="003A5859"/>
    <w:rsid w:val="003A7E18"/>
    <w:rsid w:val="003B0D46"/>
    <w:rsid w:val="003B25C7"/>
    <w:rsid w:val="003B6C52"/>
    <w:rsid w:val="003B6DE1"/>
    <w:rsid w:val="003C4C86"/>
    <w:rsid w:val="003C6258"/>
    <w:rsid w:val="003D1B58"/>
    <w:rsid w:val="003D21D6"/>
    <w:rsid w:val="003D3B5B"/>
    <w:rsid w:val="003D4342"/>
    <w:rsid w:val="003D608F"/>
    <w:rsid w:val="003E135F"/>
    <w:rsid w:val="003E2904"/>
    <w:rsid w:val="003E4166"/>
    <w:rsid w:val="003E66DF"/>
    <w:rsid w:val="003E69B6"/>
    <w:rsid w:val="003E7D2B"/>
    <w:rsid w:val="003F5D60"/>
    <w:rsid w:val="004017A1"/>
    <w:rsid w:val="00401927"/>
    <w:rsid w:val="004055F5"/>
    <w:rsid w:val="0041027F"/>
    <w:rsid w:val="00412475"/>
    <w:rsid w:val="00414646"/>
    <w:rsid w:val="004147F5"/>
    <w:rsid w:val="00416F27"/>
    <w:rsid w:val="00423789"/>
    <w:rsid w:val="0043118F"/>
    <w:rsid w:val="004355F4"/>
    <w:rsid w:val="004376D7"/>
    <w:rsid w:val="00440488"/>
    <w:rsid w:val="00440F43"/>
    <w:rsid w:val="00441B6F"/>
    <w:rsid w:val="00441F21"/>
    <w:rsid w:val="00444E79"/>
    <w:rsid w:val="00446221"/>
    <w:rsid w:val="00450E62"/>
    <w:rsid w:val="004539DB"/>
    <w:rsid w:val="004629EB"/>
    <w:rsid w:val="00466F39"/>
    <w:rsid w:val="00471A80"/>
    <w:rsid w:val="00471F71"/>
    <w:rsid w:val="00473A55"/>
    <w:rsid w:val="004748B0"/>
    <w:rsid w:val="004800BC"/>
    <w:rsid w:val="0048540E"/>
    <w:rsid w:val="00486E67"/>
    <w:rsid w:val="00486FB2"/>
    <w:rsid w:val="004A0DF5"/>
    <w:rsid w:val="004B117B"/>
    <w:rsid w:val="004B7ED6"/>
    <w:rsid w:val="004D305E"/>
    <w:rsid w:val="004D4277"/>
    <w:rsid w:val="004F07B4"/>
    <w:rsid w:val="004F6EF0"/>
    <w:rsid w:val="004F6F6C"/>
    <w:rsid w:val="0050148E"/>
    <w:rsid w:val="00502516"/>
    <w:rsid w:val="00502843"/>
    <w:rsid w:val="005036E3"/>
    <w:rsid w:val="00505F06"/>
    <w:rsid w:val="005067FC"/>
    <w:rsid w:val="00506828"/>
    <w:rsid w:val="0051762D"/>
    <w:rsid w:val="00525780"/>
    <w:rsid w:val="00527AF8"/>
    <w:rsid w:val="0053056E"/>
    <w:rsid w:val="00533EA7"/>
    <w:rsid w:val="00535046"/>
    <w:rsid w:val="00535ACD"/>
    <w:rsid w:val="00543A62"/>
    <w:rsid w:val="0055318E"/>
    <w:rsid w:val="00554FDA"/>
    <w:rsid w:val="00555543"/>
    <w:rsid w:val="0055731B"/>
    <w:rsid w:val="005623E8"/>
    <w:rsid w:val="00586D93"/>
    <w:rsid w:val="005913BA"/>
    <w:rsid w:val="0059166F"/>
    <w:rsid w:val="00593526"/>
    <w:rsid w:val="00595BBC"/>
    <w:rsid w:val="005A4A36"/>
    <w:rsid w:val="005A696E"/>
    <w:rsid w:val="005B0686"/>
    <w:rsid w:val="005B11C9"/>
    <w:rsid w:val="005C2D8A"/>
    <w:rsid w:val="005C6C70"/>
    <w:rsid w:val="005C784C"/>
    <w:rsid w:val="005C7D3B"/>
    <w:rsid w:val="005D111E"/>
    <w:rsid w:val="005D17F6"/>
    <w:rsid w:val="005D243A"/>
    <w:rsid w:val="005D2CA8"/>
    <w:rsid w:val="005E5539"/>
    <w:rsid w:val="005F6117"/>
    <w:rsid w:val="00600A53"/>
    <w:rsid w:val="00602BF5"/>
    <w:rsid w:val="0060483E"/>
    <w:rsid w:val="00604FB1"/>
    <w:rsid w:val="00607F8C"/>
    <w:rsid w:val="00613095"/>
    <w:rsid w:val="0061350C"/>
    <w:rsid w:val="00617FDD"/>
    <w:rsid w:val="00633614"/>
    <w:rsid w:val="00633F68"/>
    <w:rsid w:val="00636EB2"/>
    <w:rsid w:val="006375B8"/>
    <w:rsid w:val="00641297"/>
    <w:rsid w:val="00646E0A"/>
    <w:rsid w:val="0066510A"/>
    <w:rsid w:val="00667D33"/>
    <w:rsid w:val="006729CB"/>
    <w:rsid w:val="00673F9F"/>
    <w:rsid w:val="006747F3"/>
    <w:rsid w:val="0067728C"/>
    <w:rsid w:val="006844BC"/>
    <w:rsid w:val="00686953"/>
    <w:rsid w:val="006873F7"/>
    <w:rsid w:val="00687DEA"/>
    <w:rsid w:val="00687E67"/>
    <w:rsid w:val="00691C52"/>
    <w:rsid w:val="0069575F"/>
    <w:rsid w:val="006967F7"/>
    <w:rsid w:val="006A03CE"/>
    <w:rsid w:val="006A0D73"/>
    <w:rsid w:val="006A111E"/>
    <w:rsid w:val="006A1EC3"/>
    <w:rsid w:val="006A250C"/>
    <w:rsid w:val="006A4149"/>
    <w:rsid w:val="006A4B56"/>
    <w:rsid w:val="006A5CCC"/>
    <w:rsid w:val="006B21D3"/>
    <w:rsid w:val="006B4ACF"/>
    <w:rsid w:val="006B57D0"/>
    <w:rsid w:val="006B63C1"/>
    <w:rsid w:val="006B6CEC"/>
    <w:rsid w:val="006D12FC"/>
    <w:rsid w:val="006D30FF"/>
    <w:rsid w:val="006D6940"/>
    <w:rsid w:val="006E5FFD"/>
    <w:rsid w:val="006E708D"/>
    <w:rsid w:val="006E789C"/>
    <w:rsid w:val="006F0785"/>
    <w:rsid w:val="006F11EC"/>
    <w:rsid w:val="0070082C"/>
    <w:rsid w:val="00705EBF"/>
    <w:rsid w:val="00711678"/>
    <w:rsid w:val="007164EA"/>
    <w:rsid w:val="007246E7"/>
    <w:rsid w:val="00726903"/>
    <w:rsid w:val="007369E6"/>
    <w:rsid w:val="00746E59"/>
    <w:rsid w:val="0075072B"/>
    <w:rsid w:val="00754C9A"/>
    <w:rsid w:val="0075599A"/>
    <w:rsid w:val="00755E5C"/>
    <w:rsid w:val="00761D52"/>
    <w:rsid w:val="007718DC"/>
    <w:rsid w:val="00774D99"/>
    <w:rsid w:val="0077749E"/>
    <w:rsid w:val="007801F3"/>
    <w:rsid w:val="00790ADA"/>
    <w:rsid w:val="00791AB6"/>
    <w:rsid w:val="007A1564"/>
    <w:rsid w:val="007A4ED1"/>
    <w:rsid w:val="007A6E7E"/>
    <w:rsid w:val="007B0673"/>
    <w:rsid w:val="007B458A"/>
    <w:rsid w:val="007B6307"/>
    <w:rsid w:val="007B66DF"/>
    <w:rsid w:val="007C3B1B"/>
    <w:rsid w:val="007C7996"/>
    <w:rsid w:val="007D0940"/>
    <w:rsid w:val="007D19EB"/>
    <w:rsid w:val="007D2288"/>
    <w:rsid w:val="007D2C38"/>
    <w:rsid w:val="007D7EB4"/>
    <w:rsid w:val="007D7EC7"/>
    <w:rsid w:val="007E088F"/>
    <w:rsid w:val="007E193A"/>
    <w:rsid w:val="007E29F0"/>
    <w:rsid w:val="007E49B2"/>
    <w:rsid w:val="007E6383"/>
    <w:rsid w:val="007F0265"/>
    <w:rsid w:val="007F0CFC"/>
    <w:rsid w:val="007F1E93"/>
    <w:rsid w:val="007F7B32"/>
    <w:rsid w:val="00804BC2"/>
    <w:rsid w:val="00810431"/>
    <w:rsid w:val="00810D60"/>
    <w:rsid w:val="008116B0"/>
    <w:rsid w:val="0081431A"/>
    <w:rsid w:val="00831153"/>
    <w:rsid w:val="008312A2"/>
    <w:rsid w:val="0083216F"/>
    <w:rsid w:val="0084213B"/>
    <w:rsid w:val="00847F7A"/>
    <w:rsid w:val="00851B74"/>
    <w:rsid w:val="00860000"/>
    <w:rsid w:val="00863BD3"/>
    <w:rsid w:val="008641ED"/>
    <w:rsid w:val="008655BF"/>
    <w:rsid w:val="00866D66"/>
    <w:rsid w:val="008671C6"/>
    <w:rsid w:val="00875803"/>
    <w:rsid w:val="00885458"/>
    <w:rsid w:val="00886593"/>
    <w:rsid w:val="00897296"/>
    <w:rsid w:val="008975BC"/>
    <w:rsid w:val="008A6C18"/>
    <w:rsid w:val="008B29C5"/>
    <w:rsid w:val="008B337D"/>
    <w:rsid w:val="008B459E"/>
    <w:rsid w:val="008C3517"/>
    <w:rsid w:val="008C7F71"/>
    <w:rsid w:val="008D2D4E"/>
    <w:rsid w:val="008D5BEC"/>
    <w:rsid w:val="008E020E"/>
    <w:rsid w:val="008E13AE"/>
    <w:rsid w:val="008E1506"/>
    <w:rsid w:val="008E6EDB"/>
    <w:rsid w:val="008E710C"/>
    <w:rsid w:val="008F1D3C"/>
    <w:rsid w:val="008F5E69"/>
    <w:rsid w:val="008F69D6"/>
    <w:rsid w:val="008F6F51"/>
    <w:rsid w:val="00902823"/>
    <w:rsid w:val="00910D18"/>
    <w:rsid w:val="00913483"/>
    <w:rsid w:val="00915CA6"/>
    <w:rsid w:val="00922E9D"/>
    <w:rsid w:val="009239A4"/>
    <w:rsid w:val="009277A2"/>
    <w:rsid w:val="00927834"/>
    <w:rsid w:val="00943606"/>
    <w:rsid w:val="00944E66"/>
    <w:rsid w:val="009500A6"/>
    <w:rsid w:val="00957C18"/>
    <w:rsid w:val="00964796"/>
    <w:rsid w:val="009659BA"/>
    <w:rsid w:val="00983040"/>
    <w:rsid w:val="00992317"/>
    <w:rsid w:val="009974F9"/>
    <w:rsid w:val="009A23C1"/>
    <w:rsid w:val="009A2572"/>
    <w:rsid w:val="009A572D"/>
    <w:rsid w:val="009B17E2"/>
    <w:rsid w:val="009B3FB9"/>
    <w:rsid w:val="009B7DC6"/>
    <w:rsid w:val="009C0EA2"/>
    <w:rsid w:val="009C2465"/>
    <w:rsid w:val="009D35A0"/>
    <w:rsid w:val="009D7EB7"/>
    <w:rsid w:val="009E048A"/>
    <w:rsid w:val="009E08E9"/>
    <w:rsid w:val="009E3DB9"/>
    <w:rsid w:val="009E50F7"/>
    <w:rsid w:val="009E6E35"/>
    <w:rsid w:val="009F0EDA"/>
    <w:rsid w:val="00A028AA"/>
    <w:rsid w:val="00A03B96"/>
    <w:rsid w:val="00A05B19"/>
    <w:rsid w:val="00A1134E"/>
    <w:rsid w:val="00A14546"/>
    <w:rsid w:val="00A17F3F"/>
    <w:rsid w:val="00A24E7E"/>
    <w:rsid w:val="00A258C3"/>
    <w:rsid w:val="00A2591D"/>
    <w:rsid w:val="00A347C0"/>
    <w:rsid w:val="00A40AAA"/>
    <w:rsid w:val="00A4687E"/>
    <w:rsid w:val="00A47959"/>
    <w:rsid w:val="00A51431"/>
    <w:rsid w:val="00A539AD"/>
    <w:rsid w:val="00A562F7"/>
    <w:rsid w:val="00A66998"/>
    <w:rsid w:val="00A77003"/>
    <w:rsid w:val="00A85E09"/>
    <w:rsid w:val="00A94063"/>
    <w:rsid w:val="00A943E6"/>
    <w:rsid w:val="00AA08C9"/>
    <w:rsid w:val="00AA459F"/>
    <w:rsid w:val="00AA6219"/>
    <w:rsid w:val="00AA65F7"/>
    <w:rsid w:val="00AA74E0"/>
    <w:rsid w:val="00AB03FB"/>
    <w:rsid w:val="00AB703F"/>
    <w:rsid w:val="00AC3C40"/>
    <w:rsid w:val="00AC6BB8"/>
    <w:rsid w:val="00AD4933"/>
    <w:rsid w:val="00AD768E"/>
    <w:rsid w:val="00AE008F"/>
    <w:rsid w:val="00AE4C90"/>
    <w:rsid w:val="00AE5E11"/>
    <w:rsid w:val="00B01FCD"/>
    <w:rsid w:val="00B03586"/>
    <w:rsid w:val="00B06602"/>
    <w:rsid w:val="00B108F8"/>
    <w:rsid w:val="00B1776C"/>
    <w:rsid w:val="00B22850"/>
    <w:rsid w:val="00B2466E"/>
    <w:rsid w:val="00B25A96"/>
    <w:rsid w:val="00B32A9F"/>
    <w:rsid w:val="00B41FF0"/>
    <w:rsid w:val="00B52497"/>
    <w:rsid w:val="00B52583"/>
    <w:rsid w:val="00B52896"/>
    <w:rsid w:val="00B6241D"/>
    <w:rsid w:val="00B67CB1"/>
    <w:rsid w:val="00B93799"/>
    <w:rsid w:val="00B95236"/>
    <w:rsid w:val="00B96BD9"/>
    <w:rsid w:val="00BA1B01"/>
    <w:rsid w:val="00BA25EA"/>
    <w:rsid w:val="00BA2641"/>
    <w:rsid w:val="00BA510E"/>
    <w:rsid w:val="00BA55B5"/>
    <w:rsid w:val="00BA7ED5"/>
    <w:rsid w:val="00BB075E"/>
    <w:rsid w:val="00BB37AA"/>
    <w:rsid w:val="00BC53A0"/>
    <w:rsid w:val="00BE0E45"/>
    <w:rsid w:val="00BE4697"/>
    <w:rsid w:val="00BE541B"/>
    <w:rsid w:val="00BE62AD"/>
    <w:rsid w:val="00BF121F"/>
    <w:rsid w:val="00BF1373"/>
    <w:rsid w:val="00BF1F80"/>
    <w:rsid w:val="00BF5938"/>
    <w:rsid w:val="00C03F3C"/>
    <w:rsid w:val="00C10C95"/>
    <w:rsid w:val="00C12F4E"/>
    <w:rsid w:val="00C166EF"/>
    <w:rsid w:val="00C17EB0"/>
    <w:rsid w:val="00C20AB6"/>
    <w:rsid w:val="00C27F5F"/>
    <w:rsid w:val="00C30A0F"/>
    <w:rsid w:val="00C356E3"/>
    <w:rsid w:val="00C37E61"/>
    <w:rsid w:val="00C5284D"/>
    <w:rsid w:val="00C575FA"/>
    <w:rsid w:val="00C65B0A"/>
    <w:rsid w:val="00C70F1B"/>
    <w:rsid w:val="00C71A47"/>
    <w:rsid w:val="00C73958"/>
    <w:rsid w:val="00C7464C"/>
    <w:rsid w:val="00C74751"/>
    <w:rsid w:val="00C83B6D"/>
    <w:rsid w:val="00C85588"/>
    <w:rsid w:val="00C940AF"/>
    <w:rsid w:val="00C94401"/>
    <w:rsid w:val="00C966FA"/>
    <w:rsid w:val="00CA3774"/>
    <w:rsid w:val="00CB278B"/>
    <w:rsid w:val="00CC12DD"/>
    <w:rsid w:val="00CC5ACD"/>
    <w:rsid w:val="00CD1774"/>
    <w:rsid w:val="00CD6755"/>
    <w:rsid w:val="00CD6856"/>
    <w:rsid w:val="00CE0089"/>
    <w:rsid w:val="00CE3A84"/>
    <w:rsid w:val="00CE793C"/>
    <w:rsid w:val="00CF193C"/>
    <w:rsid w:val="00CF6CDB"/>
    <w:rsid w:val="00D00ACB"/>
    <w:rsid w:val="00D1332A"/>
    <w:rsid w:val="00D14B96"/>
    <w:rsid w:val="00D170C3"/>
    <w:rsid w:val="00D173F1"/>
    <w:rsid w:val="00D1790E"/>
    <w:rsid w:val="00D2097A"/>
    <w:rsid w:val="00D31933"/>
    <w:rsid w:val="00D47018"/>
    <w:rsid w:val="00D74CB0"/>
    <w:rsid w:val="00D74E81"/>
    <w:rsid w:val="00D76297"/>
    <w:rsid w:val="00D80511"/>
    <w:rsid w:val="00D81980"/>
    <w:rsid w:val="00D81E60"/>
    <w:rsid w:val="00D8295D"/>
    <w:rsid w:val="00D92884"/>
    <w:rsid w:val="00D95D2C"/>
    <w:rsid w:val="00DA62B5"/>
    <w:rsid w:val="00DB3C7D"/>
    <w:rsid w:val="00DB4BF7"/>
    <w:rsid w:val="00DC2A65"/>
    <w:rsid w:val="00DE15F0"/>
    <w:rsid w:val="00DE5663"/>
    <w:rsid w:val="00DE78AA"/>
    <w:rsid w:val="00DF51DB"/>
    <w:rsid w:val="00DF51E8"/>
    <w:rsid w:val="00E053D0"/>
    <w:rsid w:val="00E07070"/>
    <w:rsid w:val="00E070FD"/>
    <w:rsid w:val="00E07F36"/>
    <w:rsid w:val="00E14827"/>
    <w:rsid w:val="00E150DE"/>
    <w:rsid w:val="00E15994"/>
    <w:rsid w:val="00E203E6"/>
    <w:rsid w:val="00E24116"/>
    <w:rsid w:val="00E266AC"/>
    <w:rsid w:val="00E27E86"/>
    <w:rsid w:val="00E30C65"/>
    <w:rsid w:val="00E3114E"/>
    <w:rsid w:val="00E31A70"/>
    <w:rsid w:val="00E31D31"/>
    <w:rsid w:val="00E35B02"/>
    <w:rsid w:val="00E55911"/>
    <w:rsid w:val="00E57487"/>
    <w:rsid w:val="00E61E5C"/>
    <w:rsid w:val="00E6558D"/>
    <w:rsid w:val="00E66496"/>
    <w:rsid w:val="00E66B35"/>
    <w:rsid w:val="00E66E10"/>
    <w:rsid w:val="00E71BF2"/>
    <w:rsid w:val="00E769F6"/>
    <w:rsid w:val="00E76FCE"/>
    <w:rsid w:val="00E813EA"/>
    <w:rsid w:val="00E8407C"/>
    <w:rsid w:val="00E84F3C"/>
    <w:rsid w:val="00E90571"/>
    <w:rsid w:val="00E94C8F"/>
    <w:rsid w:val="00EA012C"/>
    <w:rsid w:val="00EA43C7"/>
    <w:rsid w:val="00EA5FC5"/>
    <w:rsid w:val="00EC01EC"/>
    <w:rsid w:val="00EC2543"/>
    <w:rsid w:val="00EC377D"/>
    <w:rsid w:val="00EC5A33"/>
    <w:rsid w:val="00EC6A55"/>
    <w:rsid w:val="00ED0288"/>
    <w:rsid w:val="00ED2C2F"/>
    <w:rsid w:val="00ED44ED"/>
    <w:rsid w:val="00EE3F43"/>
    <w:rsid w:val="00EE52CB"/>
    <w:rsid w:val="00EF52FA"/>
    <w:rsid w:val="00EF581D"/>
    <w:rsid w:val="00EF7FD8"/>
    <w:rsid w:val="00F01F97"/>
    <w:rsid w:val="00F06F59"/>
    <w:rsid w:val="00F1149E"/>
    <w:rsid w:val="00F14194"/>
    <w:rsid w:val="00F17988"/>
    <w:rsid w:val="00F20144"/>
    <w:rsid w:val="00F226C9"/>
    <w:rsid w:val="00F270C0"/>
    <w:rsid w:val="00F356FA"/>
    <w:rsid w:val="00F36687"/>
    <w:rsid w:val="00F44147"/>
    <w:rsid w:val="00F469F0"/>
    <w:rsid w:val="00F52E2A"/>
    <w:rsid w:val="00F53273"/>
    <w:rsid w:val="00F56203"/>
    <w:rsid w:val="00F56C66"/>
    <w:rsid w:val="00F60F85"/>
    <w:rsid w:val="00F630D7"/>
    <w:rsid w:val="00F63D12"/>
    <w:rsid w:val="00F704F3"/>
    <w:rsid w:val="00F7318E"/>
    <w:rsid w:val="00F73C34"/>
    <w:rsid w:val="00F755E4"/>
    <w:rsid w:val="00F77D02"/>
    <w:rsid w:val="00F91DEE"/>
    <w:rsid w:val="00FA39E2"/>
    <w:rsid w:val="00FB03C8"/>
    <w:rsid w:val="00FB1170"/>
    <w:rsid w:val="00FB1FE9"/>
    <w:rsid w:val="00FB28D9"/>
    <w:rsid w:val="00FB3A86"/>
    <w:rsid w:val="00FC0557"/>
    <w:rsid w:val="00FC7F05"/>
    <w:rsid w:val="00FD1A4A"/>
    <w:rsid w:val="00FD36C8"/>
    <w:rsid w:val="00FD7B99"/>
    <w:rsid w:val="00FE196F"/>
    <w:rsid w:val="00FF0F34"/>
    <w:rsid w:val="00FF1BFC"/>
    <w:rsid w:val="00FF36CC"/>
    <w:rsid w:val="00FF3ED8"/>
    <w:rsid w:val="00FF4476"/>
    <w:rsid w:val="00FF7BE8"/>
    <w:rsid w:val="00FF7F16"/>
    <w:rsid w:val="02A404F9"/>
    <w:rsid w:val="16915513"/>
    <w:rsid w:val="16E4531E"/>
    <w:rsid w:val="19A4161E"/>
    <w:rsid w:val="1F2D32E3"/>
    <w:rsid w:val="2B1264B8"/>
    <w:rsid w:val="36701CC3"/>
    <w:rsid w:val="3A3A5696"/>
    <w:rsid w:val="416824DA"/>
    <w:rsid w:val="49B57A14"/>
    <w:rsid w:val="5A393D9A"/>
    <w:rsid w:val="5CCB091E"/>
    <w:rsid w:val="68942543"/>
    <w:rsid w:val="6B7071D4"/>
    <w:rsid w:val="766B2A54"/>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70F5FC"/>
  <w15:docId w15:val="{2D513AAC-EB89-424C-A525-F1AD59B7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
    <w:rPr>
      <w:rFonts w:ascii="Helvetica" w:hAnsi="Helvetica"/>
      <w:b/>
      <w:kern w:val="28"/>
      <w:sz w:val="3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pPr>
      <w:ind w:left="720"/>
      <w:contextualSpacing/>
    </w:pPr>
    <w:rPr>
      <w:rFonts w:ascii="Times New Roman" w:hAnsi="Times New Roman"/>
      <w:sz w:val="24"/>
      <w:szCs w:val="24"/>
      <w:lang w:val="en-GB" w:eastAsia="en-GB"/>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sz w:val="26"/>
      <w:szCs w:val="26"/>
    </w:rPr>
  </w:style>
  <w:style w:type="character" w:customStyle="1" w:styleId="mjx-char">
    <w:name w:val="mjx-char"/>
    <w:basedOn w:val="DefaultParagraphFont"/>
  </w:style>
  <w:style w:type="character" w:customStyle="1" w:styleId="hgkelc">
    <w:name w:val="hgkelc"/>
    <w:basedOn w:val="DefaultParagraphFont"/>
  </w:style>
  <w:style w:type="table" w:customStyle="1" w:styleId="ListTable6Colorful1">
    <w:name w:val="List Table 6 Colorful1"/>
    <w:basedOn w:val="TableNormal"/>
    <w:uiPriority w:val="51"/>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paragraph" w:styleId="CommentSubject">
    <w:name w:val="annotation subject"/>
    <w:basedOn w:val="CommentText"/>
    <w:next w:val="CommentText"/>
    <w:link w:val="CommentSubjectChar"/>
    <w:semiHidden/>
    <w:unhideWhenUsed/>
    <w:rsid w:val="00F356FA"/>
    <w:rPr>
      <w:rFonts w:ascii="Helvetica" w:hAnsi="Helvetica"/>
      <w:b/>
      <w:bCs/>
      <w:lang w:val="en-US" w:eastAsia="en-US"/>
    </w:rPr>
  </w:style>
  <w:style w:type="character" w:customStyle="1" w:styleId="CommentSubjectChar">
    <w:name w:val="Comment Subject Char"/>
    <w:basedOn w:val="CommentTextChar"/>
    <w:link w:val="CommentSubject"/>
    <w:semiHidden/>
    <w:rsid w:val="00F356F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doi.org/10.1016/S0140-6736(20)30925-9" TargetMode="External"/><Relationship Id="rId39" Type="http://schemas.openxmlformats.org/officeDocument/2006/relationships/header" Target="header5.xml"/><Relationship Id="rId21" Type="http://schemas.openxmlformats.org/officeDocument/2006/relationships/chart" Target="charts/chart3.xml"/><Relationship Id="rId34" Type="http://schemas.openxmlformats.org/officeDocument/2006/relationships/hyperlink" Target="https://doi.org/10.1016/S2214-109X(17)30371-6" TargetMode="External"/><Relationship Id="rId42" Type="http://schemas.openxmlformats.org/officeDocument/2006/relationships/hyperlink" Target="https://doi.org/10.3390/jcm10112345"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doi.org/10.1186/s12884-020-0313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103/1119-3077.170803" TargetMode="External"/><Relationship Id="rId32" Type="http://schemas.openxmlformats.org/officeDocument/2006/relationships/hyperlink" Target="https://doi.org/10.1002/14651858.CD004905.pub6" TargetMode="External"/><Relationship Id="rId37" Type="http://schemas.openxmlformats.org/officeDocument/2006/relationships/hyperlink" Target="https://www.who.int/health-topics/anaemia"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5.xml"/><Relationship Id="rId28" Type="http://schemas.openxmlformats.org/officeDocument/2006/relationships/hyperlink" Target="https://doi.org/10.3390/nu14112381" TargetMode="External"/><Relationship Id="rId36" Type="http://schemas.openxmlformats.org/officeDocument/2006/relationships/hyperlink" Target="https://doi.org/10.1056/NEJMra041809"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https://doi.org/10.1182/blood-2013-06-508325"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hyperlink" Target="https://doi.org/10.1182/blood-2004-05-1812" TargetMode="External"/><Relationship Id="rId30" Type="http://schemas.openxmlformats.org/officeDocument/2006/relationships/hyperlink" Target="https://doi.org/10.3390/nu10050654" TargetMode="External"/><Relationship Id="rId35" Type="http://schemas.openxmlformats.org/officeDocument/2006/relationships/hyperlink" Target="https://doi.org/10.4103/njcp.njcp_466_18"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182/blood-2018-05-815944" TargetMode="External"/><Relationship Id="rId33" Type="http://schemas.openxmlformats.org/officeDocument/2006/relationships/hyperlink" Target="https://doi.org/10.1002/14651858.CD004655.pub3" TargetMode="External"/><Relationship Id="rId38" Type="http://schemas.openxmlformats.org/officeDocument/2006/relationships/header" Target="header4.xml"/><Relationship Id="rId20" Type="http://schemas.openxmlformats.org/officeDocument/2006/relationships/chart" Target="charts/chart2.xml"/><Relationship Id="rId4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Thesis%2014th%20August%202025\BHU%20PROJET%20DEC%202024\DATA%20SHEET%20-%20Questionnier_%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0.18232684456109652"/>
          <c:w val="0.90286351706036749"/>
          <c:h val="0.79224482356372117"/>
        </c:manualLayout>
      </c:layout>
      <c:barChart>
        <c:barDir val="col"/>
        <c:grouping val="clustered"/>
        <c:varyColors val="0"/>
        <c:ser>
          <c:idx val="0"/>
          <c:order val="0"/>
          <c:tx>
            <c:strRef>
              <c:f>Graphs!$F$6</c:f>
              <c:strCache>
                <c:ptCount val="1"/>
                <c:pt idx="0">
                  <c:v>&lt;20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Graphs!$G$6:$J$6</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0-4621-6946-A3F3-CA687C2B1122}"/>
            </c:ext>
          </c:extLst>
        </c:ser>
        <c:ser>
          <c:idx val="1"/>
          <c:order val="1"/>
          <c:tx>
            <c:strRef>
              <c:f>Graphs!$F$7</c:f>
              <c:strCache>
                <c:ptCount val="1"/>
                <c:pt idx="0">
                  <c:v>20-29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Graphs!$G$7:$J$7</c:f>
              <c:numCache>
                <c:formatCode>General</c:formatCode>
                <c:ptCount val="4"/>
                <c:pt idx="0">
                  <c:v>8</c:v>
                </c:pt>
                <c:pt idx="1">
                  <c:v>8</c:v>
                </c:pt>
                <c:pt idx="2">
                  <c:v>5</c:v>
                </c:pt>
                <c:pt idx="3">
                  <c:v>21</c:v>
                </c:pt>
              </c:numCache>
            </c:numRef>
          </c:val>
          <c:extLst>
            <c:ext xmlns:c16="http://schemas.microsoft.com/office/drawing/2014/chart" uri="{C3380CC4-5D6E-409C-BE32-E72D297353CC}">
              <c16:uniqueId val="{00000001-4621-6946-A3F3-CA687C2B1122}"/>
            </c:ext>
          </c:extLst>
        </c:ser>
        <c:ser>
          <c:idx val="2"/>
          <c:order val="2"/>
          <c:tx>
            <c:strRef>
              <c:f>Graphs!$F$8</c:f>
              <c:strCache>
                <c:ptCount val="1"/>
                <c:pt idx="0">
                  <c:v>&gt;30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Graphs!$G$8:$J$8</c:f>
              <c:numCache>
                <c:formatCode>General</c:formatCode>
                <c:ptCount val="4"/>
                <c:pt idx="0">
                  <c:v>1</c:v>
                </c:pt>
                <c:pt idx="1">
                  <c:v>3</c:v>
                </c:pt>
                <c:pt idx="2">
                  <c:v>4</c:v>
                </c:pt>
                <c:pt idx="3">
                  <c:v>8</c:v>
                </c:pt>
              </c:numCache>
            </c:numRef>
          </c:val>
          <c:extLst>
            <c:ext xmlns:c16="http://schemas.microsoft.com/office/drawing/2014/chart" uri="{C3380CC4-5D6E-409C-BE32-E72D297353CC}">
              <c16:uniqueId val="{00000002-4621-6946-A3F3-CA687C2B1122}"/>
            </c:ext>
          </c:extLst>
        </c:ser>
        <c:dLbls>
          <c:dLblPos val="outEnd"/>
          <c:showLegendKey val="0"/>
          <c:showVal val="1"/>
          <c:showCatName val="0"/>
          <c:showSerName val="0"/>
          <c:showPercent val="0"/>
          <c:showBubbleSize val="0"/>
        </c:dLbls>
        <c:gapWidth val="219"/>
        <c:overlap val="-27"/>
        <c:axId val="-1489234464"/>
        <c:axId val="-1489232832"/>
      </c:barChart>
      <c:catAx>
        <c:axId val="-14892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232832"/>
        <c:crosses val="autoZero"/>
        <c:auto val="1"/>
        <c:lblAlgn val="ctr"/>
        <c:lblOffset val="100"/>
        <c:noMultiLvlLbl val="0"/>
      </c:catAx>
      <c:valAx>
        <c:axId val="-148923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23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Graphs!$N$46</c:f>
              <c:strCache>
                <c:ptCount val="1"/>
                <c:pt idx="0">
                  <c:v>0-1(parae)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Graphs!$O$46:$R$46</c:f>
              <c:numCache>
                <c:formatCode>General</c:formatCode>
                <c:ptCount val="4"/>
                <c:pt idx="0">
                  <c:v>2</c:v>
                </c:pt>
                <c:pt idx="1">
                  <c:v>4</c:v>
                </c:pt>
                <c:pt idx="2">
                  <c:v>4</c:v>
                </c:pt>
                <c:pt idx="3">
                  <c:v>10</c:v>
                </c:pt>
              </c:numCache>
            </c:numRef>
          </c:val>
          <c:extLst>
            <c:ext xmlns:c16="http://schemas.microsoft.com/office/drawing/2014/chart" uri="{C3380CC4-5D6E-409C-BE32-E72D297353CC}">
              <c16:uniqueId val="{00000000-4271-5A41-93D3-2253053C8F41}"/>
            </c:ext>
          </c:extLst>
        </c:ser>
        <c:ser>
          <c:idx val="1"/>
          <c:order val="1"/>
          <c:tx>
            <c:strRef>
              <c:f>Graphs!$N$47</c:f>
              <c:strCache>
                <c:ptCount val="1"/>
                <c:pt idx="0">
                  <c:v>2-3(parae)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Graphs!$O$47:$R$47</c:f>
              <c:numCache>
                <c:formatCode>General</c:formatCode>
                <c:ptCount val="4"/>
                <c:pt idx="0">
                  <c:v>7</c:v>
                </c:pt>
                <c:pt idx="1">
                  <c:v>7</c:v>
                </c:pt>
                <c:pt idx="2">
                  <c:v>5</c:v>
                </c:pt>
                <c:pt idx="3">
                  <c:v>19</c:v>
                </c:pt>
              </c:numCache>
            </c:numRef>
          </c:val>
          <c:extLst>
            <c:ext xmlns:c16="http://schemas.microsoft.com/office/drawing/2014/chart" uri="{C3380CC4-5D6E-409C-BE32-E72D297353CC}">
              <c16:uniqueId val="{00000001-4271-5A41-93D3-2253053C8F41}"/>
            </c:ext>
          </c:extLst>
        </c:ser>
        <c:ser>
          <c:idx val="2"/>
          <c:order val="2"/>
          <c:tx>
            <c:strRef>
              <c:f>Graphs!$N$48</c:f>
              <c:strCache>
                <c:ptCount val="1"/>
                <c:pt idx="0">
                  <c:v>&gt;4 (parae)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Graphs!$O$48:$R$48</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2-4271-5A41-93D3-2253053C8F41}"/>
            </c:ext>
          </c:extLst>
        </c:ser>
        <c:dLbls>
          <c:dLblPos val="outEnd"/>
          <c:showLegendKey val="0"/>
          <c:showVal val="1"/>
          <c:showCatName val="0"/>
          <c:showSerName val="0"/>
          <c:showPercent val="0"/>
          <c:showBubbleSize val="0"/>
        </c:dLbls>
        <c:gapWidth val="219"/>
        <c:overlap val="-27"/>
        <c:axId val="-1476033280"/>
        <c:axId val="-1476037088"/>
      </c:barChart>
      <c:catAx>
        <c:axId val="-14760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7088"/>
        <c:crosses val="autoZero"/>
        <c:auto val="1"/>
        <c:lblAlgn val="ctr"/>
        <c:lblOffset val="100"/>
        <c:noMultiLvlLbl val="0"/>
      </c:catAx>
      <c:valAx>
        <c:axId val="-147603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sheet!$F$72</c:f>
              <c:strCache>
                <c:ptCount val="1"/>
                <c:pt idx="0">
                  <c:v>MMS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sheet!$F$73:$F$77</c:f>
              <c:numCache>
                <c:formatCode>General</c:formatCode>
                <c:ptCount val="5"/>
                <c:pt idx="0">
                  <c:v>2</c:v>
                </c:pt>
                <c:pt idx="1">
                  <c:v>9</c:v>
                </c:pt>
                <c:pt idx="2">
                  <c:v>1</c:v>
                </c:pt>
                <c:pt idx="3">
                  <c:v>1</c:v>
                </c:pt>
                <c:pt idx="4">
                  <c:v>13</c:v>
                </c:pt>
              </c:numCache>
            </c:numRef>
          </c:val>
          <c:extLst>
            <c:ext xmlns:c16="http://schemas.microsoft.com/office/drawing/2014/chart" uri="{C3380CC4-5D6E-409C-BE32-E72D297353CC}">
              <c16:uniqueId val="{00000000-49DC-E249-AA42-F9C212E9FEA9}"/>
            </c:ext>
          </c:extLst>
        </c:ser>
        <c:ser>
          <c:idx val="1"/>
          <c:order val="1"/>
          <c:tx>
            <c:strRef>
              <c:f>sheet!$G$72</c:f>
              <c:strCache>
                <c:ptCount val="1"/>
                <c:pt idx="0">
                  <c:v>IFA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sheet!$G$73:$G$77</c:f>
              <c:numCache>
                <c:formatCode>General</c:formatCode>
                <c:ptCount val="5"/>
                <c:pt idx="0">
                  <c:v>2</c:v>
                </c:pt>
                <c:pt idx="1">
                  <c:v>10</c:v>
                </c:pt>
                <c:pt idx="2">
                  <c:v>1</c:v>
                </c:pt>
                <c:pt idx="3">
                  <c:v>0</c:v>
                </c:pt>
                <c:pt idx="4">
                  <c:v>13</c:v>
                </c:pt>
              </c:numCache>
            </c:numRef>
          </c:val>
          <c:extLst>
            <c:ext xmlns:c16="http://schemas.microsoft.com/office/drawing/2014/chart" uri="{C3380CC4-5D6E-409C-BE32-E72D297353CC}">
              <c16:uniqueId val="{00000001-49DC-E249-AA42-F9C212E9FEA9}"/>
            </c:ext>
          </c:extLst>
        </c:ser>
        <c:ser>
          <c:idx val="2"/>
          <c:order val="2"/>
          <c:tx>
            <c:strRef>
              <c:f>sheet!$H$72</c:f>
              <c:strCache>
                <c:ptCount val="1"/>
                <c:pt idx="0">
                  <c:v>CONTROL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sheet!$H$73:$H$77</c:f>
              <c:numCache>
                <c:formatCode>General</c:formatCode>
                <c:ptCount val="5"/>
                <c:pt idx="0">
                  <c:v>2</c:v>
                </c:pt>
                <c:pt idx="1">
                  <c:v>5</c:v>
                </c:pt>
                <c:pt idx="2">
                  <c:v>1</c:v>
                </c:pt>
                <c:pt idx="3">
                  <c:v>2</c:v>
                </c:pt>
                <c:pt idx="4">
                  <c:v>10</c:v>
                </c:pt>
              </c:numCache>
            </c:numRef>
          </c:val>
          <c:extLst>
            <c:ext xmlns:c16="http://schemas.microsoft.com/office/drawing/2014/chart" uri="{C3380CC4-5D6E-409C-BE32-E72D297353CC}">
              <c16:uniqueId val="{00000002-49DC-E249-AA42-F9C212E9FEA9}"/>
            </c:ext>
          </c:extLst>
        </c:ser>
        <c:dLbls>
          <c:dLblPos val="outEnd"/>
          <c:showLegendKey val="0"/>
          <c:showVal val="1"/>
          <c:showCatName val="0"/>
          <c:showSerName val="0"/>
          <c:showPercent val="0"/>
          <c:showBubbleSize val="0"/>
        </c:dLbls>
        <c:gapWidth val="219"/>
        <c:overlap val="-27"/>
        <c:axId val="-1476034368"/>
        <c:axId val="-1476047424"/>
      </c:barChart>
      <c:catAx>
        <c:axId val="-14760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47424"/>
        <c:crosses val="autoZero"/>
        <c:auto val="1"/>
        <c:lblAlgn val="ctr"/>
        <c:lblOffset val="100"/>
        <c:noMultiLvlLbl val="0"/>
      </c:catAx>
      <c:valAx>
        <c:axId val="-147604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corrolation!$D$99</c:f>
              <c:strCache>
                <c:ptCount val="1"/>
                <c:pt idx="0">
                  <c:v>4 months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corrolation!$E$99:$H$99</c:f>
              <c:numCache>
                <c:formatCode>General</c:formatCode>
                <c:ptCount val="4"/>
                <c:pt idx="0">
                  <c:v>3</c:v>
                </c:pt>
                <c:pt idx="1">
                  <c:v>8</c:v>
                </c:pt>
                <c:pt idx="2">
                  <c:v>5</c:v>
                </c:pt>
                <c:pt idx="3">
                  <c:v>16</c:v>
                </c:pt>
              </c:numCache>
            </c:numRef>
          </c:val>
          <c:extLst>
            <c:ext xmlns:c16="http://schemas.microsoft.com/office/drawing/2014/chart" uri="{C3380CC4-5D6E-409C-BE32-E72D297353CC}">
              <c16:uniqueId val="{00000000-8404-EC41-BEAF-45DD3CAAF97F}"/>
            </c:ext>
          </c:extLst>
        </c:ser>
        <c:ser>
          <c:idx val="1"/>
          <c:order val="1"/>
          <c:tx>
            <c:strRef>
              <c:f>corrolation!$D$100</c:f>
              <c:strCache>
                <c:ptCount val="1"/>
                <c:pt idx="0">
                  <c:v>4-5 Months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corrolation!$E$100:$H$100</c:f>
              <c:numCache>
                <c:formatCode>General</c:formatCode>
                <c:ptCount val="4"/>
                <c:pt idx="0">
                  <c:v>10</c:v>
                </c:pt>
                <c:pt idx="1">
                  <c:v>4</c:v>
                </c:pt>
                <c:pt idx="2">
                  <c:v>4</c:v>
                </c:pt>
                <c:pt idx="3">
                  <c:v>18</c:v>
                </c:pt>
              </c:numCache>
            </c:numRef>
          </c:val>
          <c:extLst>
            <c:ext xmlns:c16="http://schemas.microsoft.com/office/drawing/2014/chart" uri="{C3380CC4-5D6E-409C-BE32-E72D297353CC}">
              <c16:uniqueId val="{00000001-8404-EC41-BEAF-45DD3CAAF97F}"/>
            </c:ext>
          </c:extLst>
        </c:ser>
        <c:ser>
          <c:idx val="2"/>
          <c:order val="2"/>
          <c:tx>
            <c:strRef>
              <c:f>corrolation!$D$101</c:f>
              <c:strCache>
                <c:ptCount val="1"/>
                <c:pt idx="0">
                  <c:v>&gt; 5 month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corrolation!$E$98:$H$98</c:f>
              <c:strCache>
                <c:ptCount val="4"/>
                <c:pt idx="0">
                  <c:v>MMS</c:v>
                </c:pt>
                <c:pt idx="1">
                  <c:v>IFA</c:v>
                </c:pt>
                <c:pt idx="2">
                  <c:v>CONTROL</c:v>
                </c:pt>
                <c:pt idx="3">
                  <c:v>TOTAL</c:v>
                </c:pt>
              </c:strCache>
            </c:strRef>
          </c:cat>
          <c:val>
            <c:numRef>
              <c:f>corrolation!$E$101:$H$101</c:f>
              <c:numCache>
                <c:formatCode>General</c:formatCode>
                <c:ptCount val="4"/>
                <c:pt idx="0">
                  <c:v>0</c:v>
                </c:pt>
                <c:pt idx="1">
                  <c:v>1</c:v>
                </c:pt>
                <c:pt idx="2">
                  <c:v>1</c:v>
                </c:pt>
                <c:pt idx="3">
                  <c:v>2</c:v>
                </c:pt>
              </c:numCache>
            </c:numRef>
          </c:val>
          <c:extLst>
            <c:ext xmlns:c16="http://schemas.microsoft.com/office/drawing/2014/chart" uri="{C3380CC4-5D6E-409C-BE32-E72D297353CC}">
              <c16:uniqueId val="{00000002-8404-EC41-BEAF-45DD3CAAF97F}"/>
            </c:ext>
          </c:extLst>
        </c:ser>
        <c:dLbls>
          <c:dLblPos val="outEnd"/>
          <c:showLegendKey val="0"/>
          <c:showVal val="1"/>
          <c:showCatName val="0"/>
          <c:showSerName val="0"/>
          <c:showPercent val="0"/>
          <c:showBubbleSize val="0"/>
        </c:dLbls>
        <c:gapWidth val="219"/>
        <c:overlap val="-27"/>
        <c:axId val="-1476045248"/>
        <c:axId val="-1476036544"/>
      </c:barChart>
      <c:catAx>
        <c:axId val="-14760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36544"/>
        <c:crosses val="autoZero"/>
        <c:auto val="1"/>
        <c:lblAlgn val="ctr"/>
        <c:lblOffset val="100"/>
        <c:noMultiLvlLbl val="0"/>
      </c:catAx>
      <c:valAx>
        <c:axId val="-147603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04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497076023392E-2"/>
          <c:y val="0"/>
          <c:w val="0.94639376218323601"/>
          <c:h val="0.71120902899468796"/>
        </c:manualLayout>
      </c:layout>
      <c:barChart>
        <c:barDir val="col"/>
        <c:grouping val="stacked"/>
        <c:varyColors val="0"/>
        <c:ser>
          <c:idx val="0"/>
          <c:order val="0"/>
          <c:tx>
            <c:strRef>
              <c:f>Sheet1!$C$83</c:f>
              <c:strCache>
                <c:ptCount val="1"/>
                <c:pt idx="0">
                  <c:v>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6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Sheet1!$D$81:$G$82</c:f>
              <c:multiLvlStrCache>
                <c:ptCount val="4"/>
                <c:lvl>
                  <c:pt idx="0">
                    <c:v>IFA</c:v>
                  </c:pt>
                  <c:pt idx="1">
                    <c:v>MNS</c:v>
                  </c:pt>
                  <c:pt idx="2">
                    <c:v>CONTROL</c:v>
                  </c:pt>
                  <c:pt idx="3">
                    <c:v>TOTAL</c:v>
                  </c:pt>
                </c:lvl>
                <c:lvl>
                  <c:pt idx="0">
                    <c:v>SAMPLES</c:v>
                  </c:pt>
                </c:lvl>
              </c:multiLvlStrCache>
            </c:multiLvlStrRef>
          </c:cat>
          <c:val>
            <c:numRef>
              <c:f>Sheet1!$D$83:$G$83</c:f>
              <c:numCache>
                <c:formatCode>General</c:formatCode>
                <c:ptCount val="4"/>
                <c:pt idx="0">
                  <c:v>13</c:v>
                </c:pt>
                <c:pt idx="1">
                  <c:v>13</c:v>
                </c:pt>
                <c:pt idx="2">
                  <c:v>10</c:v>
                </c:pt>
                <c:pt idx="3">
                  <c:v>36</c:v>
                </c:pt>
              </c:numCache>
            </c:numRef>
          </c:val>
          <c:extLst>
            <c:ext xmlns:c16="http://schemas.microsoft.com/office/drawing/2014/chart" uri="{C3380CC4-5D6E-409C-BE32-E72D297353CC}">
              <c16:uniqueId val="{00000000-D1B7-2D49-8B74-ACA07F1A2406}"/>
            </c:ext>
          </c:extLst>
        </c:ser>
        <c:ser>
          <c:idx val="1"/>
          <c:order val="1"/>
          <c:tx>
            <c:strRef>
              <c:f>Sheet1!$C$84</c:f>
              <c:strCache>
                <c:ptCount val="1"/>
                <c:pt idx="0">
                  <c:v>No </c:v>
                </c:pt>
              </c:strCache>
            </c:strRef>
          </c:tx>
          <c:spPr>
            <a:solidFill>
              <a:schemeClr val="accent5"/>
            </a:solidFill>
            <a:ln>
              <a:noFill/>
            </a:ln>
            <a:effectLst/>
          </c:spPr>
          <c:invertIfNegative val="0"/>
          <c:cat>
            <c:multiLvlStrRef>
              <c:f>Sheet1!$D$81:$G$82</c:f>
              <c:multiLvlStrCache>
                <c:ptCount val="4"/>
                <c:lvl>
                  <c:pt idx="0">
                    <c:v>IFA</c:v>
                  </c:pt>
                  <c:pt idx="1">
                    <c:v>MNS</c:v>
                  </c:pt>
                  <c:pt idx="2">
                    <c:v>CONTROL</c:v>
                  </c:pt>
                  <c:pt idx="3">
                    <c:v>TOTAL</c:v>
                  </c:pt>
                </c:lvl>
                <c:lvl>
                  <c:pt idx="0">
                    <c:v>SAMPLES</c:v>
                  </c:pt>
                </c:lvl>
              </c:multiLvlStrCache>
            </c:multiLvlStrRef>
          </c:cat>
          <c:val>
            <c:numRef>
              <c:f>Sheet1!$D$84:$G$84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D1B7-2D49-8B74-ACA07F1A2406}"/>
            </c:ext>
          </c:extLst>
        </c:ser>
        <c:dLbls>
          <c:showLegendKey val="0"/>
          <c:showVal val="0"/>
          <c:showCatName val="0"/>
          <c:showSerName val="0"/>
          <c:showPercent val="0"/>
          <c:showBubbleSize val="0"/>
        </c:dLbls>
        <c:gapWidth val="150"/>
        <c:overlap val="100"/>
        <c:axId val="-1476040896"/>
        <c:axId val="-1476036000"/>
        <c:extLst>
          <c:ext xmlns:c15="http://schemas.microsoft.com/office/drawing/2012/chart" uri="{02D57815-91ED-43cb-92C2-25804820EDAC}">
            <c15:filteredBarSeries>
              <c15:ser>
                <c:idx val="2"/>
                <c:order val="2"/>
                <c:tx>
                  <c:strRef>
                    <c:extLst>
                      <c:ext uri="{02D57815-91ED-43cb-92C2-25804820EDAC}">
                        <c15:formulaRef>
                          <c15:sqref>Sheet1!$C$85</c15:sqref>
                        </c15:formulaRef>
                      </c:ext>
                    </c:extLst>
                    <c:strCache>
                      <c:ptCount val="1"/>
                    </c:strCache>
                  </c:strRef>
                </c:tx>
                <c:spPr>
                  <a:solidFill>
                    <a:schemeClr val="accent4"/>
                  </a:solidFill>
                  <a:ln>
                    <a:noFill/>
                  </a:ln>
                  <a:effectLst/>
                </c:spPr>
                <c:invertIfNegative val="0"/>
                <c:cat>
                  <c:multiLvlStrRef>
                    <c:extLst>
                      <c:ex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c:ext uri="{02D57815-91ED-43cb-92C2-25804820EDAC}">
                        <c15:formulaRef>
                          <c15:sqref>Sheet1!$D$85:$G$85</c15:sqref>
                        </c15:formulaRef>
                      </c:ext>
                    </c:extLst>
                    <c:numCache>
                      <c:formatCode>General</c:formatCode>
                      <c:ptCount val="4"/>
                    </c:numCache>
                  </c:numRef>
                </c:val>
                <c:extLst>
                  <c:ext xmlns:c16="http://schemas.microsoft.com/office/drawing/2014/chart" uri="{C3380CC4-5D6E-409C-BE32-E72D297353CC}">
                    <c16:uniqueId val="{00000002-D1B7-2D49-8B74-ACA07F1A240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Sheet1!$C$86</c15:sqref>
                        </c15:formulaRef>
                      </c:ext>
                    </c:extLst>
                    <c:strCache>
                      <c:ptCount val="1"/>
                    </c:strCache>
                  </c:strRef>
                </c:tx>
                <c:spPr>
                  <a:solidFill>
                    <a:schemeClr val="accent6">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Sheet1!$D$86:$G$86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D1B7-2D49-8B74-ACA07F1A240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Sheet1!$C$87</c15:sqref>
                        </c15:formulaRef>
                      </c:ext>
                    </c:extLst>
                    <c:strCache>
                      <c:ptCount val="1"/>
                    </c:strCache>
                  </c:strRef>
                </c:tx>
                <c:spPr>
                  <a:solidFill>
                    <a:schemeClr val="accent5">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Sheet1!$D$87:$G$87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D1B7-2D49-8B74-ACA07F1A2406}"/>
                  </c:ext>
                </c:extLst>
              </c15:ser>
            </c15:filteredBarSeries>
          </c:ext>
        </c:extLst>
      </c:barChart>
      <c:catAx>
        <c:axId val="-147604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76036000"/>
        <c:crosses val="autoZero"/>
        <c:auto val="1"/>
        <c:lblAlgn val="ctr"/>
        <c:lblOffset val="100"/>
        <c:noMultiLvlLbl val="0"/>
      </c:catAx>
      <c:valAx>
        <c:axId val="-1476036000"/>
        <c:scaling>
          <c:orientation val="minMax"/>
        </c:scaling>
        <c:delete val="1"/>
        <c:axPos val="l"/>
        <c:numFmt formatCode="General" sourceLinked="1"/>
        <c:majorTickMark val="none"/>
        <c:minorTickMark val="none"/>
        <c:tickLblPos val="nextTo"/>
        <c:crossAx val="-1476040896"/>
        <c:crosses val="autoZero"/>
        <c:crossBetween val="between"/>
      </c:valAx>
      <c:spPr>
        <a:noFill/>
        <a:ln>
          <a:noFill/>
        </a:ln>
        <a:effectLst/>
      </c:spPr>
    </c:plotArea>
    <c:legend>
      <c:legendPos val="b"/>
      <c:layout>
        <c:manualLayout>
          <c:xMode val="edge"/>
          <c:yMode val="edge"/>
          <c:x val="0.55659900666262874"/>
          <c:y val="0.85350548760655642"/>
          <c:w val="0.27299915202907327"/>
          <c:h val="0.1080699206547308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c5eb812-8ee5-4e39-891f-cfb33fa7ca7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0797D50-633A-419C-97D1-84F20EC388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25</Pages>
  <Words>5837</Words>
  <Characters>33916</Characters>
  <Application>Microsoft Office Word</Application>
  <DocSecurity>0</DocSecurity>
  <Lines>1211</Lines>
  <Paragraphs>845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2</cp:revision>
  <cp:lastPrinted>1999-07-06T11:00:00Z</cp:lastPrinted>
  <dcterms:created xsi:type="dcterms:W3CDTF">2025-10-30T14:49:00Z</dcterms:created>
  <dcterms:modified xsi:type="dcterms:W3CDTF">2025-10-30T14:49:00Z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7a082521-b40f-4682-9254-0b64ce718e7c</vt:lpwstr>
  </property>
  <property fmtid="{D5CDD505-2E9C-101B-9397-08002B2CF9AE}" pid="3" name="KSOProductBuildVer">
    <vt:lpwstr>2057-12.2.0.22556</vt:lpwstr>
  </property>
  <property fmtid="{D5CDD505-2E9C-101B-9397-08002B2CF9AE}" pid="4" name="ICV">
    <vt:lpwstr>C48FE834986D4298A7733769B845B77A_12</vt:lpwstr>
  </property>
</Properties>
</file>