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B5C45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8B5C4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8B5C45" w:rsidTr="002643B3">
        <w:trPr>
          <w:trHeight w:val="290"/>
        </w:trPr>
        <w:tc>
          <w:tcPr>
            <w:tcW w:w="1234" w:type="pct"/>
          </w:tcPr>
          <w:p w:rsidR="0000007A" w:rsidRPr="008B5C4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5C4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8B5C45" w:rsidRDefault="001021A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A439A9" w:rsidRPr="008B5C4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European Journal of Medicinal Plants</w:t>
              </w:r>
            </w:hyperlink>
            <w:r w:rsidR="00A439A9" w:rsidRPr="008B5C45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8B5C45" w:rsidTr="002643B3">
        <w:trPr>
          <w:trHeight w:val="290"/>
        </w:trPr>
        <w:tc>
          <w:tcPr>
            <w:tcW w:w="1234" w:type="pct"/>
          </w:tcPr>
          <w:p w:rsidR="0000007A" w:rsidRPr="008B5C4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5C4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8B5C45" w:rsidRDefault="00A11F8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Ms_EJMP_147944</w:t>
            </w:r>
          </w:p>
        </w:tc>
      </w:tr>
      <w:tr w:rsidR="0000007A" w:rsidRPr="008B5C45" w:rsidTr="002643B3">
        <w:trPr>
          <w:trHeight w:val="650"/>
        </w:trPr>
        <w:tc>
          <w:tcPr>
            <w:tcW w:w="1234" w:type="pct"/>
          </w:tcPr>
          <w:p w:rsidR="0000007A" w:rsidRPr="008B5C4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5C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8B5C45" w:rsidRDefault="00A11F8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5C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Ethnomedicinal Potential of Two Underexplored Parasitic Plant Genera, </w:t>
            </w:r>
            <w:proofErr w:type="spellStart"/>
            <w:r w:rsidRPr="008B5C45">
              <w:rPr>
                <w:rFonts w:ascii="Arial" w:hAnsi="Arial" w:cs="Arial"/>
                <w:b/>
                <w:sz w:val="20"/>
                <w:szCs w:val="20"/>
                <w:lang w:val="en-GB"/>
              </w:rPr>
              <w:t>Macrosolen</w:t>
            </w:r>
            <w:proofErr w:type="spellEnd"/>
            <w:r w:rsidRPr="008B5C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(Blume) </w:t>
            </w:r>
            <w:proofErr w:type="spellStart"/>
            <w:r w:rsidRPr="008B5C45">
              <w:rPr>
                <w:rFonts w:ascii="Arial" w:hAnsi="Arial" w:cs="Arial"/>
                <w:b/>
                <w:sz w:val="20"/>
                <w:szCs w:val="20"/>
                <w:lang w:val="en-GB"/>
              </w:rPr>
              <w:t>Rchb</w:t>
            </w:r>
            <w:proofErr w:type="spellEnd"/>
            <w:r w:rsidRPr="008B5C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and </w:t>
            </w:r>
            <w:proofErr w:type="spellStart"/>
            <w:r w:rsidRPr="008B5C45">
              <w:rPr>
                <w:rFonts w:ascii="Arial" w:hAnsi="Arial" w:cs="Arial"/>
                <w:b/>
                <w:sz w:val="20"/>
                <w:szCs w:val="20"/>
                <w:lang w:val="en-GB"/>
              </w:rPr>
              <w:t>Scurrula</w:t>
            </w:r>
            <w:proofErr w:type="spellEnd"/>
            <w:r w:rsidRPr="008B5C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 (</w:t>
            </w:r>
            <w:proofErr w:type="spellStart"/>
            <w:r w:rsidRPr="008B5C45">
              <w:rPr>
                <w:rFonts w:ascii="Arial" w:hAnsi="Arial" w:cs="Arial"/>
                <w:b/>
                <w:sz w:val="20"/>
                <w:szCs w:val="20"/>
                <w:lang w:val="en-GB"/>
              </w:rPr>
              <w:t>Loranthaceae</w:t>
            </w:r>
            <w:proofErr w:type="spellEnd"/>
            <w:r w:rsidRPr="008B5C45">
              <w:rPr>
                <w:rFonts w:ascii="Arial" w:hAnsi="Arial" w:cs="Arial"/>
                <w:b/>
                <w:sz w:val="20"/>
                <w:szCs w:val="20"/>
                <w:lang w:val="en-GB"/>
              </w:rPr>
              <w:t>): Traditional Knowledge and Research Priorities</w:t>
            </w:r>
          </w:p>
        </w:tc>
      </w:tr>
      <w:tr w:rsidR="00CF0BBB" w:rsidRPr="008B5C45" w:rsidTr="002643B3">
        <w:trPr>
          <w:trHeight w:val="332"/>
        </w:trPr>
        <w:tc>
          <w:tcPr>
            <w:tcW w:w="1234" w:type="pct"/>
          </w:tcPr>
          <w:p w:rsidR="00CF0BBB" w:rsidRPr="008B5C4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5C4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8B5C45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20A25" w:rsidRPr="008B5C45" w:rsidRDefault="00A20A25" w:rsidP="00A20A2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  <w:bookmarkStart w:id="2" w:name="_GoBack"/>
      <w:bookmarkEnd w:id="2"/>
    </w:p>
    <w:tbl>
      <w:tblPr>
        <w:tblW w:w="49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2"/>
        <w:gridCol w:w="9352"/>
        <w:gridCol w:w="6374"/>
      </w:tblGrid>
      <w:tr w:rsidR="00A20A25" w:rsidRPr="008B5C45" w:rsidTr="008B5C4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A20A25" w:rsidRPr="008B5C45" w:rsidRDefault="00A20A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5C4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B5C45">
              <w:rPr>
                <w:rFonts w:ascii="Arial" w:hAnsi="Arial" w:cs="Arial"/>
                <w:lang w:val="en-GB"/>
              </w:rPr>
              <w:t xml:space="preserve"> Comments</w:t>
            </w:r>
          </w:p>
          <w:p w:rsidR="00A20A25" w:rsidRPr="008B5C45" w:rsidRDefault="00A20A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20A25" w:rsidRPr="008B5C45" w:rsidTr="008B5C45">
        <w:tc>
          <w:tcPr>
            <w:tcW w:w="1250" w:type="pct"/>
            <w:noWrap/>
          </w:tcPr>
          <w:p w:rsidR="00A20A25" w:rsidRPr="008B5C45" w:rsidRDefault="00A20A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30" w:type="pct"/>
          </w:tcPr>
          <w:p w:rsidR="00A20A25" w:rsidRPr="008B5C45" w:rsidRDefault="00A20A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5C45">
              <w:rPr>
                <w:rFonts w:ascii="Arial" w:hAnsi="Arial" w:cs="Arial"/>
                <w:lang w:val="en-GB"/>
              </w:rPr>
              <w:t>Reviewer’s comment</w:t>
            </w:r>
          </w:p>
          <w:p w:rsidR="007D23BB" w:rsidRPr="008B5C45" w:rsidRDefault="007D23BB" w:rsidP="007D2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C4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7D23BB" w:rsidRPr="008B5C45" w:rsidRDefault="007D23BB" w:rsidP="007D23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9" w:type="pct"/>
          </w:tcPr>
          <w:p w:rsidR="00770581" w:rsidRPr="008B5C45" w:rsidRDefault="00770581" w:rsidP="00770581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B5C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B5C4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20A25" w:rsidRPr="008B5C45" w:rsidRDefault="00A20A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0A25" w:rsidRPr="008B5C45" w:rsidTr="008B5C45">
        <w:trPr>
          <w:trHeight w:val="1264"/>
        </w:trPr>
        <w:tc>
          <w:tcPr>
            <w:tcW w:w="1250" w:type="pct"/>
            <w:noWrap/>
          </w:tcPr>
          <w:p w:rsidR="00A20A25" w:rsidRPr="008B5C45" w:rsidRDefault="00A20A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A20A25" w:rsidRPr="008B5C45" w:rsidRDefault="00A20A2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0" w:type="pct"/>
          </w:tcPr>
          <w:p w:rsidR="00CA6FAE" w:rsidRPr="008B5C45" w:rsidRDefault="002A135A" w:rsidP="000F3B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C45">
              <w:rPr>
                <w:rFonts w:ascii="Arial" w:hAnsi="Arial" w:cs="Arial"/>
                <w:sz w:val="20"/>
                <w:szCs w:val="20"/>
              </w:rPr>
              <w:t>Indigenous and aboriginal remedies have originated directly or indirectly from folklore’s rituals, magic, and superstitions. The practice of oral tradition is still prevalent among the tribal people. The medicina</w:t>
            </w:r>
            <w:r w:rsidR="00CA6FAE" w:rsidRPr="008B5C45">
              <w:rPr>
                <w:rFonts w:ascii="Arial" w:hAnsi="Arial" w:cs="Arial"/>
                <w:sz w:val="20"/>
                <w:szCs w:val="20"/>
              </w:rPr>
              <w:t>l knowledge based on plants</w:t>
            </w:r>
            <w:r w:rsidRPr="008B5C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6FAE" w:rsidRPr="008B5C45">
              <w:rPr>
                <w:rFonts w:ascii="Arial" w:hAnsi="Arial" w:cs="Arial"/>
                <w:sz w:val="20"/>
                <w:szCs w:val="20"/>
              </w:rPr>
              <w:t>are</w:t>
            </w:r>
            <w:r w:rsidRPr="008B5C45">
              <w:rPr>
                <w:rFonts w:ascii="Arial" w:hAnsi="Arial" w:cs="Arial"/>
                <w:sz w:val="20"/>
                <w:szCs w:val="20"/>
              </w:rPr>
              <w:t xml:space="preserve"> mostly undocumented and it is transmitted orally from generation to generation. </w:t>
            </w:r>
          </w:p>
          <w:p w:rsidR="00CA6FAE" w:rsidRPr="008B5C45" w:rsidRDefault="00CA6FAE" w:rsidP="000F3B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C45">
              <w:rPr>
                <w:rFonts w:ascii="Arial" w:hAnsi="Arial" w:cs="Arial"/>
                <w:sz w:val="20"/>
                <w:szCs w:val="20"/>
              </w:rPr>
              <w:t xml:space="preserve">In the present article the authors/ author focuses on the medicinal values of two genera, </w:t>
            </w:r>
            <w:proofErr w:type="spellStart"/>
            <w:r w:rsidRPr="008B5C45">
              <w:rPr>
                <w:rFonts w:ascii="Arial" w:hAnsi="Arial" w:cs="Arial"/>
                <w:i/>
                <w:iCs/>
                <w:sz w:val="20"/>
                <w:szCs w:val="20"/>
              </w:rPr>
              <w:t>Macrosolen</w:t>
            </w:r>
            <w:proofErr w:type="spellEnd"/>
            <w:r w:rsidRPr="008B5C45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8B5C45">
              <w:rPr>
                <w:rFonts w:ascii="Arial" w:hAnsi="Arial" w:cs="Arial"/>
                <w:i/>
                <w:iCs/>
                <w:sz w:val="20"/>
                <w:szCs w:val="20"/>
              </w:rPr>
              <w:t>Scurrula</w:t>
            </w:r>
            <w:proofErr w:type="spellEnd"/>
            <w:r w:rsidRPr="008B5C45">
              <w:rPr>
                <w:rFonts w:ascii="Arial" w:hAnsi="Arial" w:cs="Arial"/>
                <w:sz w:val="20"/>
                <w:szCs w:val="20"/>
              </w:rPr>
              <w:t xml:space="preserve"> and highlight their therapeutic importance. </w:t>
            </w:r>
          </w:p>
          <w:p w:rsidR="002A135A" w:rsidRPr="008B5C45" w:rsidRDefault="002A135A" w:rsidP="000F3B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C45">
              <w:rPr>
                <w:rFonts w:ascii="Arial" w:hAnsi="Arial" w:cs="Arial"/>
                <w:sz w:val="20"/>
                <w:szCs w:val="20"/>
                <w:lang w:val="en-IN"/>
              </w:rPr>
              <w:t>The documentation and exploration of this traditional medicinal knowledge may help to estab</w:t>
            </w:r>
            <w:r w:rsidR="00CA6FAE" w:rsidRPr="008B5C45">
              <w:rPr>
                <w:rFonts w:ascii="Arial" w:hAnsi="Arial" w:cs="Arial"/>
                <w:sz w:val="20"/>
                <w:szCs w:val="20"/>
                <w:lang w:val="en-IN"/>
              </w:rPr>
              <w:t>lish new drugs for human beings and also helpful for researchers of ethno-medicinal areas.</w:t>
            </w:r>
          </w:p>
          <w:p w:rsidR="00CA6FAE" w:rsidRPr="008B5C45" w:rsidRDefault="00CA6FAE" w:rsidP="00CA6FA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5C45">
              <w:rPr>
                <w:rFonts w:ascii="Arial" w:hAnsi="Arial" w:cs="Arial"/>
                <w:sz w:val="20"/>
                <w:szCs w:val="20"/>
                <w:lang w:val="en-GB"/>
              </w:rPr>
              <w:t>I recommend to publish this manuscript with minor revision.</w:t>
            </w:r>
          </w:p>
          <w:p w:rsidR="002A135A" w:rsidRPr="008B5C45" w:rsidRDefault="002A135A" w:rsidP="002A135A">
            <w:pPr>
              <w:tabs>
                <w:tab w:val="left" w:pos="590"/>
                <w:tab w:val="left" w:pos="614"/>
              </w:tabs>
              <w:spacing w:line="276" w:lineRule="auto"/>
              <w:ind w:right="1351"/>
              <w:rPr>
                <w:rFonts w:ascii="Arial" w:hAnsi="Arial" w:cs="Arial"/>
                <w:color w:val="221F1F"/>
                <w:sz w:val="20"/>
                <w:szCs w:val="20"/>
              </w:rPr>
            </w:pPr>
          </w:p>
          <w:p w:rsidR="00A20A25" w:rsidRPr="008B5C45" w:rsidRDefault="00A20A2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19" w:type="pct"/>
          </w:tcPr>
          <w:p w:rsidR="00A20A25" w:rsidRPr="008B5C45" w:rsidRDefault="00A20A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0A25" w:rsidRPr="008B5C45" w:rsidTr="008B5C45">
        <w:trPr>
          <w:trHeight w:val="1262"/>
        </w:trPr>
        <w:tc>
          <w:tcPr>
            <w:tcW w:w="1250" w:type="pct"/>
            <w:noWrap/>
          </w:tcPr>
          <w:p w:rsidR="00A20A25" w:rsidRPr="008B5C45" w:rsidRDefault="00A20A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20A25" w:rsidRPr="008B5C45" w:rsidRDefault="00A20A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A20A25" w:rsidRPr="008B5C45" w:rsidRDefault="00A20A2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30" w:type="pct"/>
          </w:tcPr>
          <w:p w:rsidR="000F3BF6" w:rsidRPr="008B5C45" w:rsidRDefault="000F3BF6" w:rsidP="000F3B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C45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  <w:r w:rsidRPr="008B5C45">
              <w:rPr>
                <w:rFonts w:ascii="Arial" w:hAnsi="Arial" w:cs="Arial"/>
                <w:bCs/>
                <w:sz w:val="20"/>
                <w:szCs w:val="20"/>
                <w:lang w:val="en-GB"/>
              </w:rPr>
              <w:t>, it’s appropriate; title of the manuscript is good</w:t>
            </w:r>
            <w:r w:rsidRPr="008B5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:rsidR="00A20A25" w:rsidRPr="008B5C45" w:rsidRDefault="00A20A25" w:rsidP="00CA6F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19" w:type="pct"/>
          </w:tcPr>
          <w:p w:rsidR="00A20A25" w:rsidRPr="008B5C45" w:rsidRDefault="00A20A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0A25" w:rsidRPr="008B5C45" w:rsidTr="008B5C45">
        <w:trPr>
          <w:trHeight w:val="1262"/>
        </w:trPr>
        <w:tc>
          <w:tcPr>
            <w:tcW w:w="1250" w:type="pct"/>
            <w:noWrap/>
          </w:tcPr>
          <w:p w:rsidR="00A20A25" w:rsidRPr="008B5C45" w:rsidRDefault="00A20A2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B5C4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A20A25" w:rsidRPr="008B5C45" w:rsidRDefault="00A20A2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30" w:type="pct"/>
          </w:tcPr>
          <w:p w:rsidR="00A20A25" w:rsidRPr="008B5C45" w:rsidRDefault="000F3BF6" w:rsidP="000F3B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19" w:type="pct"/>
          </w:tcPr>
          <w:p w:rsidR="00A20A25" w:rsidRPr="008B5C45" w:rsidRDefault="00A20A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0A25" w:rsidRPr="008B5C45" w:rsidTr="008B5C45">
        <w:trPr>
          <w:trHeight w:val="704"/>
        </w:trPr>
        <w:tc>
          <w:tcPr>
            <w:tcW w:w="1250" w:type="pct"/>
            <w:noWrap/>
          </w:tcPr>
          <w:p w:rsidR="00A20A25" w:rsidRPr="008B5C45" w:rsidRDefault="00A20A2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8B5C45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30" w:type="pct"/>
          </w:tcPr>
          <w:p w:rsidR="00A20A25" w:rsidRPr="008B5C45" w:rsidRDefault="000F3BF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5C4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19" w:type="pct"/>
          </w:tcPr>
          <w:p w:rsidR="00A20A25" w:rsidRPr="008B5C45" w:rsidRDefault="00A20A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0A25" w:rsidRPr="008B5C45" w:rsidTr="008B5C45">
        <w:trPr>
          <w:trHeight w:val="703"/>
        </w:trPr>
        <w:tc>
          <w:tcPr>
            <w:tcW w:w="1250" w:type="pct"/>
            <w:noWrap/>
          </w:tcPr>
          <w:p w:rsidR="00A20A25" w:rsidRPr="008B5C45" w:rsidRDefault="00A20A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30" w:type="pct"/>
          </w:tcPr>
          <w:p w:rsidR="00A20A25" w:rsidRPr="008B5C45" w:rsidRDefault="000F3BF6" w:rsidP="001E78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5C4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1E78A3" w:rsidRPr="008B5C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but some </w:t>
            </w:r>
            <w:proofErr w:type="gramStart"/>
            <w:r w:rsidR="001E78A3" w:rsidRPr="008B5C45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 references</w:t>
            </w:r>
            <w:proofErr w:type="gramEnd"/>
            <w:r w:rsidR="001E78A3" w:rsidRPr="008B5C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should be added.</w:t>
            </w:r>
          </w:p>
        </w:tc>
        <w:tc>
          <w:tcPr>
            <w:tcW w:w="1519" w:type="pct"/>
          </w:tcPr>
          <w:p w:rsidR="00A20A25" w:rsidRPr="008B5C45" w:rsidRDefault="00A20A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0A25" w:rsidRPr="008B5C45" w:rsidTr="008B5C45">
        <w:trPr>
          <w:trHeight w:val="386"/>
        </w:trPr>
        <w:tc>
          <w:tcPr>
            <w:tcW w:w="1250" w:type="pct"/>
            <w:noWrap/>
          </w:tcPr>
          <w:p w:rsidR="00A20A25" w:rsidRPr="008B5C45" w:rsidRDefault="00A20A2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B5C4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A20A25" w:rsidRPr="008B5C45" w:rsidRDefault="00A20A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30" w:type="pct"/>
          </w:tcPr>
          <w:p w:rsidR="000F3BF6" w:rsidRPr="008B5C45" w:rsidRDefault="000F3BF6" w:rsidP="000F3B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5C45">
              <w:rPr>
                <w:rFonts w:ascii="Arial" w:hAnsi="Arial" w:cs="Arial"/>
                <w:sz w:val="20"/>
                <w:szCs w:val="20"/>
                <w:lang w:val="en-GB"/>
              </w:rPr>
              <w:t>Yes,</w:t>
            </w:r>
          </w:p>
          <w:p w:rsidR="000F3BF6" w:rsidRPr="008B5C45" w:rsidRDefault="000F3BF6" w:rsidP="000F3B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5C45">
              <w:rPr>
                <w:rFonts w:ascii="Arial" w:hAnsi="Arial" w:cs="Arial"/>
                <w:sz w:val="20"/>
                <w:szCs w:val="20"/>
                <w:lang w:val="en-GB"/>
              </w:rPr>
              <w:t>Spellings and space between two words should be checked properly</w:t>
            </w:r>
          </w:p>
          <w:p w:rsidR="00A20A25" w:rsidRPr="008B5C45" w:rsidRDefault="000F3BF6" w:rsidP="000F3B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5C45">
              <w:rPr>
                <w:rFonts w:ascii="Arial" w:hAnsi="Arial" w:cs="Arial"/>
                <w:sz w:val="20"/>
                <w:szCs w:val="20"/>
                <w:lang w:val="en-GB"/>
              </w:rPr>
              <w:t>Genus and species should be in italic and must be spaced.</w:t>
            </w:r>
          </w:p>
        </w:tc>
        <w:tc>
          <w:tcPr>
            <w:tcW w:w="1519" w:type="pct"/>
          </w:tcPr>
          <w:p w:rsidR="00A20A25" w:rsidRPr="008B5C45" w:rsidRDefault="00A20A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20A25" w:rsidRPr="008B5C45" w:rsidTr="008B5C45">
        <w:trPr>
          <w:trHeight w:val="1178"/>
        </w:trPr>
        <w:tc>
          <w:tcPr>
            <w:tcW w:w="1250" w:type="pct"/>
            <w:noWrap/>
          </w:tcPr>
          <w:p w:rsidR="00A20A25" w:rsidRPr="008B5C45" w:rsidRDefault="00A20A2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B5C4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B5C4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B5C4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A20A25" w:rsidRPr="008B5C45" w:rsidRDefault="00A20A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30" w:type="pct"/>
          </w:tcPr>
          <w:p w:rsidR="00A20A25" w:rsidRPr="008B5C45" w:rsidRDefault="00A20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19" w:type="pct"/>
          </w:tcPr>
          <w:p w:rsidR="00A20A25" w:rsidRPr="008B5C45" w:rsidRDefault="00A20A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A20A25" w:rsidRPr="008B5C45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8B5C45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8B5C45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8B5C45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8B5C45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8B5C45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8B5C45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8B5C45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8B5C45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8B5C45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8B5C45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8B5C45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8B5C45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2"/>
        <w:gridCol w:w="8643"/>
        <w:gridCol w:w="5603"/>
      </w:tblGrid>
      <w:tr w:rsidR="00A20A25" w:rsidRPr="008B5C45" w:rsidTr="00620EA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25" w:rsidRPr="008B5C45" w:rsidRDefault="00A20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B5C4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B5C4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20A25" w:rsidRPr="008B5C45" w:rsidRDefault="00A20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20A25" w:rsidRPr="008B5C45" w:rsidTr="00620EA7">
        <w:trPr>
          <w:trHeight w:val="935"/>
        </w:trPr>
        <w:tc>
          <w:tcPr>
            <w:tcW w:w="160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25" w:rsidRPr="008B5C45" w:rsidRDefault="00A20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25" w:rsidRPr="008B5C45" w:rsidRDefault="00A20A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5C4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36" w:type="pct"/>
            <w:shd w:val="clear" w:color="auto" w:fill="auto"/>
          </w:tcPr>
          <w:p w:rsidR="00770581" w:rsidRPr="008B5C45" w:rsidRDefault="00770581" w:rsidP="00770581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B5C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B5C4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20A25" w:rsidRPr="008B5C45" w:rsidRDefault="00A20A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0A25" w:rsidRPr="008B5C45" w:rsidTr="00620EA7">
        <w:trPr>
          <w:trHeight w:val="697"/>
        </w:trPr>
        <w:tc>
          <w:tcPr>
            <w:tcW w:w="160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25" w:rsidRPr="008B5C45" w:rsidRDefault="00A20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5C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20A25" w:rsidRPr="008B5C45" w:rsidRDefault="00A20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25" w:rsidRPr="008B5C45" w:rsidRDefault="00A20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B5C4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B5C4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B5C4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A20A25" w:rsidRPr="008B5C45" w:rsidRDefault="00A20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A20A25" w:rsidRPr="008B5C45" w:rsidRDefault="00A20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:rsidR="00A20A25" w:rsidRPr="008B5C45" w:rsidRDefault="00A20A2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20A25" w:rsidRPr="008B5C45" w:rsidRDefault="00A20A2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20A25" w:rsidRPr="008B5C45" w:rsidRDefault="00A20A2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20A25" w:rsidRPr="008B5C45" w:rsidRDefault="00A20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8B5C45" w:rsidRPr="008B5C45" w:rsidRDefault="008B5C45" w:rsidP="008B5C4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8B5C45" w:rsidRPr="008B5C45" w:rsidRDefault="008B5C45" w:rsidP="008B5C4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8B5C45" w:rsidRPr="008B5C45" w:rsidRDefault="008B5C45" w:rsidP="008B5C4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B5C45">
        <w:rPr>
          <w:rFonts w:ascii="Arial" w:hAnsi="Arial" w:cs="Arial"/>
          <w:b/>
          <w:u w:val="single"/>
        </w:rPr>
        <w:t>Reviewer details:</w:t>
      </w:r>
    </w:p>
    <w:p w:rsidR="008B5C45" w:rsidRPr="008B5C45" w:rsidRDefault="008B5C45" w:rsidP="008B5C45">
      <w:pPr>
        <w:rPr>
          <w:rFonts w:ascii="Arial" w:hAnsi="Arial" w:cs="Arial"/>
          <w:sz w:val="20"/>
          <w:szCs w:val="20"/>
        </w:rPr>
      </w:pPr>
      <w:r w:rsidRPr="008B5C45">
        <w:rPr>
          <w:rFonts w:ascii="Arial" w:hAnsi="Arial" w:cs="Arial"/>
          <w:b/>
          <w:color w:val="000000"/>
          <w:sz w:val="20"/>
          <w:szCs w:val="20"/>
        </w:rPr>
        <w:t>Haidar Ali</w:t>
      </w:r>
      <w:r w:rsidRPr="008B5C45">
        <w:rPr>
          <w:rFonts w:ascii="Arial" w:hAnsi="Arial" w:cs="Arial"/>
          <w:b/>
          <w:sz w:val="20"/>
          <w:szCs w:val="20"/>
        </w:rPr>
        <w:t xml:space="preserve">, </w:t>
      </w:r>
      <w:proofErr w:type="gramStart"/>
      <w:r w:rsidRPr="008B5C45">
        <w:rPr>
          <w:rFonts w:ascii="Arial" w:hAnsi="Arial" w:cs="Arial"/>
          <w:b/>
          <w:color w:val="000000"/>
          <w:sz w:val="20"/>
          <w:szCs w:val="20"/>
        </w:rPr>
        <w:t>Government  Degree</w:t>
      </w:r>
      <w:proofErr w:type="gramEnd"/>
      <w:r w:rsidRPr="008B5C45">
        <w:rPr>
          <w:rFonts w:ascii="Arial" w:hAnsi="Arial" w:cs="Arial"/>
          <w:b/>
          <w:color w:val="000000"/>
          <w:sz w:val="20"/>
          <w:szCs w:val="20"/>
        </w:rPr>
        <w:t xml:space="preserve"> College </w:t>
      </w:r>
      <w:proofErr w:type="spellStart"/>
      <w:r w:rsidRPr="008B5C45">
        <w:rPr>
          <w:rFonts w:ascii="Arial" w:hAnsi="Arial" w:cs="Arial"/>
          <w:b/>
          <w:color w:val="000000"/>
          <w:sz w:val="20"/>
          <w:szCs w:val="20"/>
        </w:rPr>
        <w:t>Lengri</w:t>
      </w:r>
      <w:proofErr w:type="spellEnd"/>
      <w:r w:rsidRPr="008B5C45">
        <w:rPr>
          <w:rFonts w:ascii="Arial" w:hAnsi="Arial" w:cs="Arial"/>
          <w:b/>
          <w:color w:val="000000"/>
          <w:sz w:val="20"/>
          <w:szCs w:val="20"/>
        </w:rPr>
        <w:t xml:space="preserve"> Gular</w:t>
      </w:r>
      <w:r w:rsidRPr="008B5C45">
        <w:rPr>
          <w:rFonts w:ascii="Arial" w:hAnsi="Arial" w:cs="Arial"/>
          <w:b/>
          <w:sz w:val="20"/>
          <w:szCs w:val="20"/>
        </w:rPr>
        <w:t xml:space="preserve">, </w:t>
      </w:r>
      <w:r w:rsidRPr="008B5C45">
        <w:rPr>
          <w:rFonts w:ascii="Arial" w:hAnsi="Arial" w:cs="Arial"/>
          <w:b/>
          <w:color w:val="000000"/>
          <w:sz w:val="20"/>
          <w:szCs w:val="20"/>
        </w:rPr>
        <w:t>INDIA</w:t>
      </w:r>
    </w:p>
    <w:p w:rsidR="008913D5" w:rsidRPr="008B5C45" w:rsidRDefault="008913D5" w:rsidP="00A20A2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RPr="008B5C45" w:rsidSect="0088029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1A8" w:rsidRPr="0000007A" w:rsidRDefault="001021A8" w:rsidP="0099583E">
      <w:r>
        <w:separator/>
      </w:r>
    </w:p>
  </w:endnote>
  <w:endnote w:type="continuationSeparator" w:id="0">
    <w:p w:rsidR="001021A8" w:rsidRPr="0000007A" w:rsidRDefault="001021A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40AD4" w:rsidRPr="00A40AD4">
      <w:rPr>
        <w:sz w:val="16"/>
      </w:rPr>
      <w:t xml:space="preserve">Version: </w:t>
    </w:r>
    <w:r w:rsidR="000B3FF2">
      <w:rPr>
        <w:sz w:val="16"/>
      </w:rPr>
      <w:t>3</w:t>
    </w:r>
    <w:r w:rsidR="00A40AD4" w:rsidRPr="00A40AD4">
      <w:rPr>
        <w:sz w:val="16"/>
      </w:rPr>
      <w:t xml:space="preserve"> (0</w:t>
    </w:r>
    <w:r w:rsidR="000B3FF2">
      <w:rPr>
        <w:sz w:val="16"/>
      </w:rPr>
      <w:t>7</w:t>
    </w:r>
    <w:r w:rsidR="00A40AD4" w:rsidRPr="00A40AD4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1A8" w:rsidRPr="0000007A" w:rsidRDefault="001021A8" w:rsidP="0099583E">
      <w:r>
        <w:separator/>
      </w:r>
    </w:p>
  </w:footnote>
  <w:footnote w:type="continuationSeparator" w:id="0">
    <w:p w:rsidR="001021A8" w:rsidRPr="0000007A" w:rsidRDefault="001021A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0B3FF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06EC0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204B"/>
    <w:rsid w:val="00084D7C"/>
    <w:rsid w:val="00091112"/>
    <w:rsid w:val="000936AC"/>
    <w:rsid w:val="00095A59"/>
    <w:rsid w:val="000A2134"/>
    <w:rsid w:val="000A6F41"/>
    <w:rsid w:val="000B3FF2"/>
    <w:rsid w:val="000B4EE5"/>
    <w:rsid w:val="000B74A1"/>
    <w:rsid w:val="000B757E"/>
    <w:rsid w:val="000C0837"/>
    <w:rsid w:val="000C3B7E"/>
    <w:rsid w:val="000D7B5F"/>
    <w:rsid w:val="000F3BF6"/>
    <w:rsid w:val="00100577"/>
    <w:rsid w:val="00101322"/>
    <w:rsid w:val="001021A8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3D5B"/>
    <w:rsid w:val="001C75C3"/>
    <w:rsid w:val="001D3A1D"/>
    <w:rsid w:val="001E4B3D"/>
    <w:rsid w:val="001E78A3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135A"/>
    <w:rsid w:val="002D7EA9"/>
    <w:rsid w:val="002E1211"/>
    <w:rsid w:val="002E2339"/>
    <w:rsid w:val="002E6D86"/>
    <w:rsid w:val="002F6935"/>
    <w:rsid w:val="00312559"/>
    <w:rsid w:val="00316ACE"/>
    <w:rsid w:val="003204B8"/>
    <w:rsid w:val="00330E96"/>
    <w:rsid w:val="0033692F"/>
    <w:rsid w:val="00346223"/>
    <w:rsid w:val="0036285C"/>
    <w:rsid w:val="003A04E7"/>
    <w:rsid w:val="003A4991"/>
    <w:rsid w:val="003A6E1A"/>
    <w:rsid w:val="003B1507"/>
    <w:rsid w:val="003B2172"/>
    <w:rsid w:val="003D573D"/>
    <w:rsid w:val="003E60F6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19E8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C45F2"/>
    <w:rsid w:val="005D230D"/>
    <w:rsid w:val="00602F7D"/>
    <w:rsid w:val="00605952"/>
    <w:rsid w:val="00620677"/>
    <w:rsid w:val="00620EA7"/>
    <w:rsid w:val="00624032"/>
    <w:rsid w:val="00645A56"/>
    <w:rsid w:val="006532DF"/>
    <w:rsid w:val="0065579D"/>
    <w:rsid w:val="00663792"/>
    <w:rsid w:val="0067046C"/>
    <w:rsid w:val="00676845"/>
    <w:rsid w:val="006773EE"/>
    <w:rsid w:val="00680547"/>
    <w:rsid w:val="0068446F"/>
    <w:rsid w:val="0069428E"/>
    <w:rsid w:val="00696CAD"/>
    <w:rsid w:val="006A2031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0581"/>
    <w:rsid w:val="00780B67"/>
    <w:rsid w:val="007B1099"/>
    <w:rsid w:val="007B6E18"/>
    <w:rsid w:val="007D0246"/>
    <w:rsid w:val="007D23BB"/>
    <w:rsid w:val="007E34C9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0295"/>
    <w:rsid w:val="00882091"/>
    <w:rsid w:val="008828B6"/>
    <w:rsid w:val="008913D5"/>
    <w:rsid w:val="00893E75"/>
    <w:rsid w:val="008B5C45"/>
    <w:rsid w:val="008C2778"/>
    <w:rsid w:val="008C2F62"/>
    <w:rsid w:val="008D020E"/>
    <w:rsid w:val="008D1117"/>
    <w:rsid w:val="008D15A4"/>
    <w:rsid w:val="008E79AC"/>
    <w:rsid w:val="008F36E4"/>
    <w:rsid w:val="00933C8B"/>
    <w:rsid w:val="00940E48"/>
    <w:rsid w:val="0095211E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1F8D"/>
    <w:rsid w:val="00A12C83"/>
    <w:rsid w:val="00A20A25"/>
    <w:rsid w:val="00A31AAC"/>
    <w:rsid w:val="00A32905"/>
    <w:rsid w:val="00A36C95"/>
    <w:rsid w:val="00A37DE3"/>
    <w:rsid w:val="00A40AD4"/>
    <w:rsid w:val="00A439A9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C4CC2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1B64"/>
    <w:rsid w:val="00C635B6"/>
    <w:rsid w:val="00C70DFC"/>
    <w:rsid w:val="00C82466"/>
    <w:rsid w:val="00C84097"/>
    <w:rsid w:val="00CA6FAE"/>
    <w:rsid w:val="00CB429B"/>
    <w:rsid w:val="00CC2753"/>
    <w:rsid w:val="00CD093E"/>
    <w:rsid w:val="00CD1556"/>
    <w:rsid w:val="00CD1FD7"/>
    <w:rsid w:val="00CD32BF"/>
    <w:rsid w:val="00CE199A"/>
    <w:rsid w:val="00CE5AC7"/>
    <w:rsid w:val="00CF0BBB"/>
    <w:rsid w:val="00D1283A"/>
    <w:rsid w:val="00D17979"/>
    <w:rsid w:val="00D2075F"/>
    <w:rsid w:val="00D23110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43E6F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4192"/>
    <w:rsid w:val="00EF53FE"/>
    <w:rsid w:val="00F245A7"/>
    <w:rsid w:val="00F2643C"/>
    <w:rsid w:val="00F3295A"/>
    <w:rsid w:val="00F34D8E"/>
    <w:rsid w:val="00F3669D"/>
    <w:rsid w:val="00F405F8"/>
    <w:rsid w:val="00F41154"/>
    <w:rsid w:val="00F43BA6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FB9563-358B-4F1E-8172-A910AF15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43E6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B5C4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ejmp.com/index.php/EJM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82510-D5E2-4FB2-BD31-C4AE0910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https://journalejmp.com/index.php/EJMP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9</cp:revision>
  <dcterms:created xsi:type="dcterms:W3CDTF">2025-11-14T17:22:00Z</dcterms:created>
  <dcterms:modified xsi:type="dcterms:W3CDTF">2025-11-26T11:28:00Z</dcterms:modified>
</cp:coreProperties>
</file>