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58EB5D">
      <w:pPr>
        <w:spacing w:line="360" w:lineRule="auto"/>
        <w:jc w:val="both"/>
        <w:rPr>
          <w:rFonts w:ascii="Times New Roman" w:hAnsi="Times New Roman" w:cs="Times New Roman"/>
          <w:b/>
          <w:sz w:val="24"/>
        </w:rPr>
      </w:pPr>
      <w:r>
        <w:rPr>
          <w:rFonts w:ascii="Times New Roman" w:hAnsi="Times New Roman" w:cs="Times New Roman"/>
          <w:b/>
          <w:sz w:val="24"/>
        </w:rPr>
        <w:t>Local perceptions and knowledge of animal diseases among producers in the Guiriko region of Burkina Faso</w:t>
      </w:r>
    </w:p>
    <w:p w14:paraId="750CA2A4">
      <w:pPr>
        <w:spacing w:after="0"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Abstract</w:t>
      </w:r>
    </w:p>
    <w:p w14:paraId="719CACD5">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health situation in the animal production sector remains a real challenge for good productivity. Its management is strongly influenced by producers' perceptions of these diseases. It is in this context that the study was initiated. This study was conducted in the Guiriko region of western Burkina Faso to analyze local perceptions of livestock diseases among producers. A descriptive cross-sectional survey was carried out among 270 farmers using a semi-structured </w:t>
      </w:r>
      <w:ins w:id="0" w:author="1029605" w:date="2025-12-07T01:36:57Z">
        <w:r>
          <w:rPr>
            <w:rFonts w:hint="default" w:ascii="Times New Roman" w:hAnsi="Times New Roman" w:cs="Times New Roman"/>
            <w:sz w:val="24"/>
            <w:szCs w:val="24"/>
            <w:lang w:val="en-GB"/>
          </w:rPr>
          <w:t>i</w:t>
        </w:r>
      </w:ins>
      <w:ins w:id="1" w:author="1029605" w:date="2025-12-07T01:36:58Z">
        <w:r>
          <w:rPr>
            <w:rFonts w:hint="default" w:ascii="Times New Roman" w:hAnsi="Times New Roman" w:cs="Times New Roman"/>
            <w:sz w:val="24"/>
            <w:szCs w:val="24"/>
            <w:lang w:val="en-GB"/>
          </w:rPr>
          <w:t>n</w:t>
        </w:r>
      </w:ins>
      <w:ins w:id="2" w:author="1029605" w:date="2025-12-07T01:36:59Z">
        <w:r>
          <w:rPr>
            <w:rFonts w:hint="default" w:ascii="Times New Roman" w:hAnsi="Times New Roman" w:cs="Times New Roman"/>
            <w:sz w:val="24"/>
            <w:szCs w:val="24"/>
            <w:lang w:val="en-GB"/>
          </w:rPr>
          <w:t>te</w:t>
        </w:r>
      </w:ins>
      <w:ins w:id="3" w:author="1029605" w:date="2025-12-07T01:37:00Z">
        <w:r>
          <w:rPr>
            <w:rFonts w:hint="default" w:ascii="Times New Roman" w:hAnsi="Times New Roman" w:cs="Times New Roman"/>
            <w:sz w:val="24"/>
            <w:szCs w:val="24"/>
            <w:lang w:val="en-GB"/>
          </w:rPr>
          <w:t>rv</w:t>
        </w:r>
      </w:ins>
      <w:ins w:id="4" w:author="1029605" w:date="2025-12-07T01:37:01Z">
        <w:r>
          <w:rPr>
            <w:rFonts w:hint="default" w:ascii="Times New Roman" w:hAnsi="Times New Roman" w:cs="Times New Roman"/>
            <w:sz w:val="24"/>
            <w:szCs w:val="24"/>
            <w:lang w:val="en-GB"/>
          </w:rPr>
          <w:t>i</w:t>
        </w:r>
      </w:ins>
      <w:ins w:id="5" w:author="1029605" w:date="2025-12-07T01:37:02Z">
        <w:r>
          <w:rPr>
            <w:rFonts w:hint="default" w:ascii="Times New Roman" w:hAnsi="Times New Roman" w:cs="Times New Roman"/>
            <w:sz w:val="24"/>
            <w:szCs w:val="24"/>
            <w:lang w:val="en-GB"/>
          </w:rPr>
          <w:t>e</w:t>
        </w:r>
      </w:ins>
      <w:ins w:id="6" w:author="1029605" w:date="2025-12-07T01:37:06Z">
        <w:r>
          <w:rPr>
            <w:rFonts w:hint="default" w:ascii="Times New Roman" w:hAnsi="Times New Roman" w:cs="Times New Roman"/>
            <w:sz w:val="24"/>
            <w:szCs w:val="24"/>
            <w:lang w:val="en-GB"/>
          </w:rPr>
          <w:t>w</w:t>
        </w:r>
      </w:ins>
      <w:ins w:id="7" w:author="1029605" w:date="2025-12-07T01:37:07Z">
        <w:r>
          <w:rPr>
            <w:rFonts w:hint="default" w:ascii="Times New Roman" w:hAnsi="Times New Roman" w:cs="Times New Roman"/>
            <w:sz w:val="24"/>
            <w:szCs w:val="24"/>
            <w:lang w:val="en-GB"/>
          </w:rPr>
          <w:t>s</w:t>
        </w:r>
      </w:ins>
      <w:r>
        <w:commentReference w:id="0"/>
      </w:r>
      <w:del w:id="8" w:author="1029605" w:date="2025-12-07T01:36:51Z">
        <w:r>
          <w:rPr>
            <w:rFonts w:ascii="Times New Roman" w:hAnsi="Times New Roman" w:cs="Times New Roman"/>
            <w:sz w:val="24"/>
            <w:szCs w:val="24"/>
            <w:lang w:val="en-GB"/>
          </w:rPr>
          <w:delText>qu</w:delText>
        </w:r>
      </w:del>
      <w:del w:id="9" w:author="1029605" w:date="2025-12-07T01:36:50Z">
        <w:r>
          <w:rPr>
            <w:rFonts w:ascii="Times New Roman" w:hAnsi="Times New Roman" w:cs="Times New Roman"/>
            <w:sz w:val="24"/>
            <w:szCs w:val="24"/>
            <w:lang w:val="en-GB"/>
          </w:rPr>
          <w:delText>est</w:delText>
        </w:r>
      </w:del>
      <w:del w:id="10" w:author="1029605" w:date="2025-12-07T01:36:49Z">
        <w:r>
          <w:rPr>
            <w:rFonts w:ascii="Times New Roman" w:hAnsi="Times New Roman" w:cs="Times New Roman"/>
            <w:sz w:val="24"/>
            <w:szCs w:val="24"/>
            <w:lang w:val="en-GB"/>
          </w:rPr>
          <w:delText>ionnai</w:delText>
        </w:r>
      </w:del>
      <w:del w:id="11" w:author="1029605" w:date="2025-12-07T01:36:48Z">
        <w:r>
          <w:rPr>
            <w:rFonts w:ascii="Times New Roman" w:hAnsi="Times New Roman" w:cs="Times New Roman"/>
            <w:sz w:val="24"/>
            <w:szCs w:val="24"/>
            <w:lang w:val="en-GB"/>
          </w:rPr>
          <w:delText>re</w:delText>
        </w:r>
      </w:del>
      <w:r>
        <w:rPr>
          <w:rFonts w:ascii="Times New Roman" w:hAnsi="Times New Roman" w:cs="Times New Roman"/>
          <w:sz w:val="24"/>
          <w:szCs w:val="24"/>
          <w:lang w:val="en-GB"/>
        </w:rPr>
        <w:t xml:space="preserve">. The results identified more than twenty diseases reported by farmers, with trypanosomosis and foot-and-mouth disease being the most frequently mentioned. The perceived causes were mainly related to environmental conditions, feed scarcity, and insect bites. Most diagnoses were based on empirical observation of clinical signs, reflecting coherent but incomplete local knowledge. Although empirical, these perceptions provide valuable insights for participatory surveillance and animal health planning. Integrating local knowledge into veterinary strategies and adopting a </w:t>
      </w:r>
      <w:r>
        <w:rPr>
          <w:rFonts w:ascii="Times New Roman" w:hAnsi="Times New Roman" w:cs="Times New Roman"/>
          <w:i/>
          <w:iCs/>
          <w:sz w:val="24"/>
          <w:szCs w:val="24"/>
          <w:lang w:val="en-GB"/>
        </w:rPr>
        <w:t>One Health</w:t>
      </w:r>
      <w:r>
        <w:rPr>
          <w:rFonts w:ascii="Times New Roman" w:hAnsi="Times New Roman" w:cs="Times New Roman"/>
          <w:sz w:val="24"/>
          <w:szCs w:val="24"/>
          <w:lang w:val="en-GB"/>
        </w:rPr>
        <w:t xml:space="preserve"> approach could strengthen the resilience of livestock systems against endemic and emerging diseases.</w:t>
      </w:r>
    </w:p>
    <w:p w14:paraId="229F6124">
      <w:pPr>
        <w:spacing w:line="360" w:lineRule="auto"/>
        <w:jc w:val="both"/>
        <w:rPr>
          <w:rFonts w:ascii="Times New Roman" w:hAnsi="Times New Roman" w:cs="Times New Roman"/>
          <w:sz w:val="24"/>
        </w:rPr>
      </w:pPr>
      <w:r>
        <w:rPr>
          <w:rFonts w:ascii="Times New Roman" w:hAnsi="Times New Roman" w:cs="Times New Roman"/>
          <w:b/>
          <w:bCs/>
          <w:sz w:val="24"/>
          <w:szCs w:val="24"/>
          <w:lang w:val="en-GB"/>
        </w:rPr>
        <w:t>Keywords:</w:t>
      </w:r>
      <w:r>
        <w:rPr>
          <w:rFonts w:ascii="Times New Roman" w:hAnsi="Times New Roman" w:cs="Times New Roman"/>
          <w:sz w:val="24"/>
          <w:szCs w:val="24"/>
          <w:lang w:val="en-GB"/>
        </w:rPr>
        <w:t xml:space="preserve"> local perceptions, livestock diseases, farmers, empirical knowledge, animal health, Burkina Faso</w:t>
      </w:r>
      <w:r>
        <w:rPr>
          <w:rFonts w:ascii="Times New Roman" w:hAnsi="Times New Roman" w:cs="Times New Roman"/>
          <w:b/>
          <w:sz w:val="24"/>
          <w:szCs w:val="24"/>
          <w:lang w:val="en-GB"/>
        </w:rPr>
        <w:br w:type="page"/>
      </w:r>
    </w:p>
    <w:p w14:paraId="575E5BFF">
      <w:pPr>
        <w:spacing w:line="360" w:lineRule="auto"/>
        <w:jc w:val="both"/>
        <w:rPr>
          <w:rFonts w:ascii="Times New Roman" w:hAnsi="Times New Roman" w:cs="Times New Roman"/>
          <w:b/>
          <w:sz w:val="24"/>
        </w:rPr>
      </w:pPr>
      <w:r>
        <w:rPr>
          <w:rFonts w:ascii="Times New Roman" w:hAnsi="Times New Roman" w:cs="Times New Roman"/>
          <w:b/>
          <w:sz w:val="24"/>
        </w:rPr>
        <w:t>1.INTRODUCTION</w:t>
      </w:r>
    </w:p>
    <w:p w14:paraId="59FC2F22">
      <w:pPr>
        <w:spacing w:line="360" w:lineRule="auto"/>
        <w:jc w:val="both"/>
        <w:rPr>
          <w:rFonts w:ascii="Times New Roman" w:hAnsi="Times New Roman" w:cs="Times New Roman"/>
          <w:sz w:val="24"/>
        </w:rPr>
      </w:pPr>
      <w:r>
        <w:rPr>
          <w:rFonts w:ascii="Times New Roman" w:hAnsi="Times New Roman" w:cs="Times New Roman"/>
          <w:sz w:val="24"/>
        </w:rPr>
        <w:t xml:space="preserve">Livestock farming, particularly ruminant farming, is a key pillar of socio-economic development in Burkina Faso. It contributes to food self-sufficiency, nutritional security and income generation for many rural households (Guire </w:t>
      </w:r>
      <w:r>
        <w:rPr>
          <w:rFonts w:ascii="Times New Roman" w:hAnsi="Times New Roman" w:cs="Times New Roman"/>
          <w:i/>
          <w:sz w:val="24"/>
        </w:rPr>
        <w:t>and al</w:t>
      </w:r>
      <w:r>
        <w:rPr>
          <w:rFonts w:ascii="Times New Roman" w:hAnsi="Times New Roman" w:cs="Times New Roman"/>
          <w:sz w:val="24"/>
        </w:rPr>
        <w:t>., 2024; Inter-réseaux, 2017). However, the sustainability of this sector depends on animal health, which is a determining factor in farm productivity and profitability.</w:t>
      </w:r>
    </w:p>
    <w:p w14:paraId="3AA921F7">
      <w:pPr>
        <w:spacing w:line="360" w:lineRule="auto"/>
        <w:jc w:val="both"/>
        <w:rPr>
          <w:rFonts w:ascii="Times New Roman" w:hAnsi="Times New Roman" w:cs="Times New Roman"/>
          <w:sz w:val="24"/>
          <w:vertAlign w:val="superscript"/>
        </w:rPr>
      </w:pPr>
      <w:r>
        <w:rPr>
          <w:rFonts w:ascii="Times New Roman" w:hAnsi="Times New Roman" w:cs="Times New Roman"/>
          <w:sz w:val="24"/>
        </w:rPr>
        <w:t xml:space="preserve">Animal diseases are a major constraint on the performance of livestock systems. Average losses related to cattle, sheep and goat diseases have been estimated at around </w:t>
      </w:r>
      <w:commentRangeStart w:id="1"/>
      <w:r>
        <w:rPr>
          <w:rFonts w:ascii="Times New Roman" w:hAnsi="Times New Roman" w:cs="Times New Roman"/>
          <w:sz w:val="24"/>
        </w:rPr>
        <w:t>557,000 CFA</w:t>
      </w:r>
      <w:commentRangeEnd w:id="1"/>
      <w:r>
        <w:commentReference w:id="1"/>
      </w:r>
      <w:r>
        <w:rPr>
          <w:rFonts w:ascii="Times New Roman" w:hAnsi="Times New Roman" w:cs="Times New Roman"/>
          <w:sz w:val="24"/>
        </w:rPr>
        <w:t xml:space="preserve"> francs per year per farmer (Atakpama </w:t>
      </w:r>
      <w:r>
        <w:rPr>
          <w:rFonts w:ascii="Times New Roman" w:hAnsi="Times New Roman" w:cs="Times New Roman"/>
          <w:i/>
          <w:sz w:val="24"/>
        </w:rPr>
        <w:t>and al.,</w:t>
      </w:r>
      <w:r>
        <w:rPr>
          <w:rFonts w:ascii="Times New Roman" w:hAnsi="Times New Roman" w:cs="Times New Roman"/>
          <w:sz w:val="24"/>
        </w:rPr>
        <w:t xml:space="preserve"> 2016). Trypanosomiasis alone causes a decline of around 20% in agricultural productivity (Assefa </w:t>
      </w:r>
      <w:r>
        <w:rPr>
          <w:rFonts w:ascii="Times New Roman" w:hAnsi="Times New Roman" w:cs="Times New Roman"/>
          <w:i/>
          <w:sz w:val="24"/>
        </w:rPr>
        <w:t>and</w:t>
      </w:r>
      <w:r>
        <w:rPr>
          <w:rFonts w:ascii="Times New Roman" w:hAnsi="Times New Roman" w:cs="Times New Roman"/>
          <w:sz w:val="24"/>
        </w:rPr>
        <w:t xml:space="preserve"> Shibeshi, 2018), while annual economic losses due to livestock diseases amount to nearly $1 billion in Africa. The management of gastrointestinal parasites costs more than $1.2 billion for cattle and $7 billion for small ruminants (Grace </w:t>
      </w:r>
      <w:r>
        <w:rPr>
          <w:rFonts w:ascii="Times New Roman" w:hAnsi="Times New Roman" w:cs="Times New Roman"/>
          <w:i/>
          <w:sz w:val="24"/>
        </w:rPr>
        <w:t>and al.,</w:t>
      </w:r>
      <w:r>
        <w:rPr>
          <w:rFonts w:ascii="Times New Roman" w:hAnsi="Times New Roman" w:cs="Times New Roman"/>
          <w:sz w:val="24"/>
        </w:rPr>
        <w:t xml:space="preserve"> 2015). In Burkina Faso, foot-and-mouth disease alone causes economic losses estimated at over </w:t>
      </w:r>
      <w:commentRangeStart w:id="2"/>
      <w:r>
        <w:rPr>
          <w:rFonts w:ascii="Times New Roman" w:hAnsi="Times New Roman" w:cs="Times New Roman"/>
          <w:sz w:val="24"/>
        </w:rPr>
        <w:t>£140 million p</w:t>
      </w:r>
      <w:commentRangeEnd w:id="2"/>
      <w:r>
        <w:commentReference w:id="2"/>
      </w:r>
      <w:r>
        <w:rPr>
          <w:rFonts w:ascii="Times New Roman" w:hAnsi="Times New Roman" w:cs="Times New Roman"/>
          <w:sz w:val="24"/>
        </w:rPr>
        <w:t xml:space="preserve">er year (Dahourou </w:t>
      </w:r>
      <w:r>
        <w:rPr>
          <w:rFonts w:ascii="Times New Roman" w:hAnsi="Times New Roman" w:cs="Times New Roman"/>
          <w:i/>
          <w:sz w:val="24"/>
        </w:rPr>
        <w:t>and al.,</w:t>
      </w:r>
      <w:r>
        <w:rPr>
          <w:rFonts w:ascii="Times New Roman" w:hAnsi="Times New Roman" w:cs="Times New Roman"/>
          <w:sz w:val="24"/>
        </w:rPr>
        <w:t xml:space="preserve"> 2022). These figures illustrate the considerable impact of animal diseases on livestock productivity and profitability. The persistence and distribution of animal diseases are influenced by environmental factors (climate change, pasture degradation), but also by production systems and access to veterinary services (Magiri </w:t>
      </w:r>
      <w:r>
        <w:rPr>
          <w:rFonts w:ascii="Times New Roman" w:hAnsi="Times New Roman" w:cs="Times New Roman"/>
          <w:i/>
          <w:sz w:val="24"/>
        </w:rPr>
        <w:t>and al.,</w:t>
      </w:r>
      <w:r>
        <w:rPr>
          <w:rFonts w:ascii="Times New Roman" w:hAnsi="Times New Roman" w:cs="Times New Roman"/>
          <w:sz w:val="24"/>
        </w:rPr>
        <w:t xml:space="preserve"> 2021; Tebug </w:t>
      </w:r>
      <w:r>
        <w:rPr>
          <w:rFonts w:ascii="Times New Roman" w:hAnsi="Times New Roman" w:cs="Times New Roman"/>
          <w:i/>
          <w:sz w:val="24"/>
        </w:rPr>
        <w:t>and al.,</w:t>
      </w:r>
      <w:r>
        <w:rPr>
          <w:rFonts w:ascii="Times New Roman" w:hAnsi="Times New Roman" w:cs="Times New Roman"/>
          <w:sz w:val="24"/>
        </w:rPr>
        <w:t xml:space="preserve"> 2014). In remote rural areas, where these services remain limited, livestock farmers often rely on their empirical knowledge and traditional practices to diagnose and treat livestock diseases (Garba </w:t>
      </w:r>
      <w:r>
        <w:rPr>
          <w:rFonts w:ascii="Times New Roman" w:hAnsi="Times New Roman" w:cs="Times New Roman"/>
          <w:i/>
          <w:sz w:val="24"/>
        </w:rPr>
        <w:t>and al.,</w:t>
      </w:r>
      <w:r>
        <w:rPr>
          <w:rFonts w:ascii="Times New Roman" w:hAnsi="Times New Roman" w:cs="Times New Roman"/>
          <w:sz w:val="24"/>
        </w:rPr>
        <w:t xml:space="preserve"> 2019; Eiki </w:t>
      </w:r>
      <w:r>
        <w:rPr>
          <w:rFonts w:ascii="Times New Roman" w:hAnsi="Times New Roman" w:cs="Times New Roman"/>
          <w:i/>
          <w:sz w:val="24"/>
        </w:rPr>
        <w:t>and al</w:t>
      </w:r>
      <w:r>
        <w:rPr>
          <w:rFonts w:ascii="Times New Roman" w:hAnsi="Times New Roman" w:cs="Times New Roman"/>
          <w:sz w:val="24"/>
        </w:rPr>
        <w:t xml:space="preserve">., 2021). These ethnoveterinary practices, passed down from generation to generation, are an important resource for animal health, especially in a context of poverty and scarcity of veterinary inputs (Luseba </w:t>
      </w:r>
      <w:r>
        <w:rPr>
          <w:rFonts w:ascii="Times New Roman" w:hAnsi="Times New Roman" w:cs="Times New Roman"/>
          <w:i/>
          <w:sz w:val="24"/>
        </w:rPr>
        <w:t>and</w:t>
      </w:r>
      <w:r>
        <w:rPr>
          <w:rFonts w:ascii="Times New Roman" w:hAnsi="Times New Roman" w:cs="Times New Roman"/>
          <w:sz w:val="24"/>
        </w:rPr>
        <w:t xml:space="preserve"> Vander Merwe, 2006; McGaw </w:t>
      </w:r>
      <w:r>
        <w:rPr>
          <w:rFonts w:ascii="Times New Roman" w:hAnsi="Times New Roman" w:cs="Times New Roman"/>
          <w:i/>
          <w:sz w:val="24"/>
        </w:rPr>
        <w:t>and al.,</w:t>
      </w:r>
      <w:r>
        <w:rPr>
          <w:rFonts w:ascii="Times New Roman" w:hAnsi="Times New Roman" w:cs="Times New Roman"/>
          <w:sz w:val="24"/>
        </w:rPr>
        <w:t xml:space="preserve"> 2020).</w:t>
      </w:r>
    </w:p>
    <w:p w14:paraId="0588C8D1">
      <w:pPr>
        <w:spacing w:line="360" w:lineRule="auto"/>
        <w:jc w:val="both"/>
        <w:rPr>
          <w:rFonts w:ascii="Times New Roman" w:hAnsi="Times New Roman" w:cs="Times New Roman"/>
          <w:sz w:val="24"/>
        </w:rPr>
      </w:pPr>
      <w:r>
        <w:rPr>
          <w:rFonts w:ascii="Times New Roman" w:hAnsi="Times New Roman" w:cs="Times New Roman"/>
          <w:sz w:val="24"/>
        </w:rPr>
        <w:t xml:space="preserve">Producers' perceptions of diseases influence their choices regarding prevention, treatment and use of veterinary services (Hien </w:t>
      </w:r>
      <w:r>
        <w:rPr>
          <w:rFonts w:ascii="Times New Roman" w:hAnsi="Times New Roman" w:cs="Times New Roman"/>
          <w:i/>
          <w:sz w:val="24"/>
        </w:rPr>
        <w:t>and al.,</w:t>
      </w:r>
      <w:r>
        <w:rPr>
          <w:rFonts w:ascii="Times New Roman" w:hAnsi="Times New Roman" w:cs="Times New Roman"/>
          <w:sz w:val="24"/>
        </w:rPr>
        <w:t xml:space="preserve"> 2024; Ilboudo </w:t>
      </w:r>
      <w:r>
        <w:rPr>
          <w:rFonts w:ascii="Times New Roman" w:hAnsi="Times New Roman" w:cs="Times New Roman"/>
          <w:i/>
          <w:sz w:val="24"/>
        </w:rPr>
        <w:t>and al.,</w:t>
      </w:r>
      <w:r>
        <w:rPr>
          <w:rFonts w:ascii="Times New Roman" w:hAnsi="Times New Roman" w:cs="Times New Roman"/>
          <w:sz w:val="24"/>
        </w:rPr>
        <w:t xml:space="preserve"> 2025). These perceptions, based on empirical observations and local beliefs, often reflect a functional understanding of the environment, but may differ from biomedical models (Djibril </w:t>
      </w:r>
      <w:r>
        <w:rPr>
          <w:rFonts w:ascii="Times New Roman" w:hAnsi="Times New Roman" w:cs="Times New Roman"/>
          <w:i/>
          <w:sz w:val="24"/>
        </w:rPr>
        <w:t>and al.,</w:t>
      </w:r>
      <w:r>
        <w:rPr>
          <w:rFonts w:ascii="Times New Roman" w:hAnsi="Times New Roman" w:cs="Times New Roman"/>
          <w:sz w:val="24"/>
        </w:rPr>
        <w:t xml:space="preserve"> 2024; Lesne, 2021)</w:t>
      </w:r>
    </w:p>
    <w:p w14:paraId="6B8CA35C">
      <w:pPr>
        <w:spacing w:line="360" w:lineRule="auto"/>
        <w:jc w:val="both"/>
        <w:rPr>
          <w:rFonts w:ascii="Times New Roman" w:hAnsi="Times New Roman" w:cs="Times New Roman"/>
          <w:sz w:val="24"/>
        </w:rPr>
      </w:pPr>
      <w:r>
        <w:rPr>
          <w:rFonts w:ascii="Times New Roman" w:hAnsi="Times New Roman" w:cs="Times New Roman"/>
          <w:sz w:val="24"/>
        </w:rPr>
        <w:t xml:space="preserve">Misperceptions about the cause or mode of transmission of a disease can limit the effectiveness of health interventions and increase zoonotic risks, particularly in mixed farming systems (WHO/FAO/OIE, 2019; Bissong </w:t>
      </w:r>
      <w:r>
        <w:rPr>
          <w:rFonts w:ascii="Times New Roman" w:hAnsi="Times New Roman" w:cs="Times New Roman"/>
          <w:i/>
          <w:sz w:val="24"/>
        </w:rPr>
        <w:t>and al.,</w:t>
      </w:r>
      <w:r>
        <w:rPr>
          <w:rFonts w:ascii="Times New Roman" w:hAnsi="Times New Roman" w:cs="Times New Roman"/>
          <w:sz w:val="24"/>
        </w:rPr>
        <w:t xml:space="preserve"> 2022)</w:t>
      </w:r>
    </w:p>
    <w:p w14:paraId="0D63EB6C">
      <w:pPr>
        <w:spacing w:line="360" w:lineRule="auto"/>
        <w:jc w:val="both"/>
        <w:rPr>
          <w:rFonts w:ascii="Times New Roman" w:hAnsi="Times New Roman" w:cs="Times New Roman"/>
          <w:sz w:val="24"/>
        </w:rPr>
      </w:pPr>
      <w:r>
        <w:rPr>
          <w:rFonts w:ascii="Times New Roman" w:hAnsi="Times New Roman" w:cs="Times New Roman"/>
          <w:sz w:val="24"/>
        </w:rPr>
        <w:t xml:space="preserve">In this context, it </w:t>
      </w:r>
      <w:del w:id="12" w:author="1029605" w:date="2025-12-07T01:43:34Z">
        <w:r>
          <w:rPr>
            <w:rFonts w:hint="default" w:ascii="Times New Roman" w:hAnsi="Times New Roman" w:cs="Times New Roman"/>
            <w:sz w:val="24"/>
            <w:lang w:val="en-US"/>
          </w:rPr>
          <w:delText xml:space="preserve">is </w:delText>
        </w:r>
      </w:del>
      <w:ins w:id="13" w:author="1029605" w:date="2025-12-07T01:43:34Z">
        <w:r>
          <w:rPr>
            <w:rFonts w:hint="default" w:ascii="Times New Roman" w:hAnsi="Times New Roman" w:cs="Times New Roman"/>
            <w:sz w:val="24"/>
            <w:lang w:val="en-GB"/>
          </w:rPr>
          <w:t>was</w:t>
        </w:r>
      </w:ins>
      <w:ins w:id="14" w:author="1029605" w:date="2025-12-07T01:43:36Z">
        <w:r>
          <w:rPr>
            <w:rFonts w:hint="default" w:ascii="Times New Roman" w:hAnsi="Times New Roman" w:cs="Times New Roman"/>
            <w:sz w:val="24"/>
            <w:lang w:val="en-GB"/>
          </w:rPr>
          <w:t xml:space="preserve"> </w:t>
        </w:r>
      </w:ins>
      <w:r>
        <w:rPr>
          <w:rFonts w:ascii="Times New Roman" w:hAnsi="Times New Roman" w:cs="Times New Roman"/>
          <w:sz w:val="24"/>
        </w:rPr>
        <w:t>necessary to analyse and understand local perceptions of animal diseases in order to better adapt surveillance and health intervention strategies. This study aim</w:t>
      </w:r>
      <w:ins w:id="15" w:author="1029605" w:date="2025-12-07T01:43:48Z">
        <w:r>
          <w:rPr>
            <w:rFonts w:hint="default" w:ascii="Times New Roman" w:hAnsi="Times New Roman" w:cs="Times New Roman"/>
            <w:sz w:val="24"/>
            <w:lang w:val="en-GB"/>
          </w:rPr>
          <w:t>ed</w:t>
        </w:r>
      </w:ins>
      <w:del w:id="16" w:author="1029605" w:date="2025-12-07T01:43:50Z">
        <w:r>
          <w:rPr>
            <w:rFonts w:ascii="Times New Roman" w:hAnsi="Times New Roman" w:cs="Times New Roman"/>
            <w:sz w:val="24"/>
          </w:rPr>
          <w:delText>s</w:delText>
        </w:r>
      </w:del>
      <w:r>
        <w:rPr>
          <w:rFonts w:ascii="Times New Roman" w:hAnsi="Times New Roman" w:cs="Times New Roman"/>
          <w:sz w:val="24"/>
        </w:rPr>
        <w:t xml:space="preserve"> to document local perceptions and knowledge of animal diseases in the Guiriko region (Houet province, Burkina Faso). It </w:t>
      </w:r>
      <w:del w:id="17" w:author="1029605" w:date="2025-12-07T01:44:12Z">
        <w:r>
          <w:rPr>
            <w:rFonts w:hint="default" w:ascii="Times New Roman" w:hAnsi="Times New Roman" w:cs="Times New Roman"/>
            <w:sz w:val="24"/>
            <w:lang w:val="en-US"/>
          </w:rPr>
          <w:delText>seeks t</w:delText>
        </w:r>
      </w:del>
      <w:ins w:id="18" w:author="1029605" w:date="2025-12-07T01:44:12Z">
        <w:r>
          <w:rPr>
            <w:rFonts w:hint="default" w:ascii="Times New Roman" w:hAnsi="Times New Roman" w:cs="Times New Roman"/>
            <w:sz w:val="24"/>
            <w:lang w:val="en-GB"/>
          </w:rPr>
          <w:t>s</w:t>
        </w:r>
      </w:ins>
      <w:ins w:id="19" w:author="1029605" w:date="2025-12-07T01:44:13Z">
        <w:r>
          <w:rPr>
            <w:rFonts w:hint="default" w:ascii="Times New Roman" w:hAnsi="Times New Roman" w:cs="Times New Roman"/>
            <w:sz w:val="24"/>
            <w:lang w:val="en-GB"/>
          </w:rPr>
          <w:t>ou</w:t>
        </w:r>
      </w:ins>
      <w:ins w:id="20" w:author="1029605" w:date="2025-12-07T01:44:14Z">
        <w:r>
          <w:rPr>
            <w:rFonts w:hint="default" w:ascii="Times New Roman" w:hAnsi="Times New Roman" w:cs="Times New Roman"/>
            <w:sz w:val="24"/>
            <w:lang w:val="en-GB"/>
          </w:rPr>
          <w:t>ght</w:t>
        </w:r>
      </w:ins>
      <w:ins w:id="21" w:author="1029605" w:date="2025-12-07T01:44:17Z">
        <w:r>
          <w:rPr>
            <w:rFonts w:hint="default" w:ascii="Times New Roman" w:hAnsi="Times New Roman" w:cs="Times New Roman"/>
            <w:sz w:val="24"/>
            <w:lang w:val="en-GB"/>
          </w:rPr>
          <w:t xml:space="preserve"> </w:t>
        </w:r>
      </w:ins>
      <w:r>
        <w:rPr>
          <w:rFonts w:ascii="Times New Roman" w:hAnsi="Times New Roman" w:cs="Times New Roman"/>
          <w:sz w:val="24"/>
        </w:rPr>
        <w:t xml:space="preserve">o identify the empirical logic used by producers to explain the aetiology, contagiousness, seasonality and diagnosis of diseases. This information </w:t>
      </w:r>
      <w:del w:id="22" w:author="1029605" w:date="2025-12-07T01:44:39Z">
        <w:r>
          <w:rPr>
            <w:rFonts w:hint="default" w:ascii="Times New Roman" w:hAnsi="Times New Roman" w:cs="Times New Roman"/>
            <w:sz w:val="24"/>
            <w:lang w:val="en-US"/>
          </w:rPr>
          <w:delText>sh</w:delText>
        </w:r>
      </w:del>
      <w:ins w:id="23" w:author="1029605" w:date="2025-12-07T01:44:39Z">
        <w:r>
          <w:rPr>
            <w:rFonts w:hint="default" w:ascii="Times New Roman" w:hAnsi="Times New Roman" w:cs="Times New Roman"/>
            <w:sz w:val="24"/>
            <w:lang w:val="en-GB"/>
          </w:rPr>
          <w:t>w</w:t>
        </w:r>
      </w:ins>
      <w:r>
        <w:rPr>
          <w:rFonts w:ascii="Times New Roman" w:hAnsi="Times New Roman" w:cs="Times New Roman"/>
          <w:sz w:val="24"/>
        </w:rPr>
        <w:t>ould contribute to the development of integrated health management approaches that take into account both local knowledge and modern scientific recommendations.</w:t>
      </w:r>
    </w:p>
    <w:p w14:paraId="4D4B5065">
      <w:pPr>
        <w:spacing w:line="360" w:lineRule="auto"/>
        <w:jc w:val="both"/>
        <w:rPr>
          <w:rFonts w:hint="default" w:ascii="Times New Roman" w:hAnsi="Times New Roman" w:cs="Times New Roman"/>
          <w:sz w:val="24"/>
          <w:lang w:val="en-GB"/>
        </w:rPr>
      </w:pPr>
      <w:r>
        <w:rPr>
          <w:rFonts w:ascii="Times New Roman" w:hAnsi="Times New Roman" w:cs="Times New Roman"/>
          <w:sz w:val="24"/>
        </w:rPr>
        <w:t>2.</w:t>
      </w:r>
      <w:del w:id="24" w:author="1029605" w:date="2025-12-07T01:45:03Z">
        <w:r>
          <w:rPr>
            <w:rFonts w:hint="default" w:ascii="Times New Roman" w:hAnsi="Times New Roman" w:cs="Times New Roman"/>
            <w:sz w:val="24"/>
            <w:lang w:val="en-US"/>
          </w:rPr>
          <w:delText xml:space="preserve"> Materials and methods</w:delText>
        </w:r>
      </w:del>
      <w:ins w:id="25" w:author="1029605" w:date="2025-12-07T01:45:03Z">
        <w:r>
          <w:rPr>
            <w:rFonts w:hint="default" w:ascii="Times New Roman" w:hAnsi="Times New Roman" w:cs="Times New Roman"/>
            <w:sz w:val="24"/>
            <w:lang w:val="en-GB"/>
          </w:rPr>
          <w:t>M</w:t>
        </w:r>
      </w:ins>
      <w:ins w:id="26" w:author="1029605" w:date="2025-12-07T01:45:04Z">
        <w:r>
          <w:rPr>
            <w:rFonts w:hint="default" w:ascii="Times New Roman" w:hAnsi="Times New Roman" w:cs="Times New Roman"/>
            <w:sz w:val="24"/>
            <w:lang w:val="en-GB"/>
          </w:rPr>
          <w:t>e</w:t>
        </w:r>
      </w:ins>
      <w:ins w:id="27" w:author="1029605" w:date="2025-12-07T01:45:17Z">
        <w:r>
          <w:rPr>
            <w:rFonts w:hint="default" w:ascii="Times New Roman" w:hAnsi="Times New Roman" w:cs="Times New Roman"/>
            <w:sz w:val="24"/>
            <w:lang w:val="en-GB"/>
          </w:rPr>
          <w:t>t</w:t>
        </w:r>
      </w:ins>
      <w:ins w:id="28" w:author="1029605" w:date="2025-12-07T01:45:05Z">
        <w:r>
          <w:rPr>
            <w:rFonts w:hint="default" w:ascii="Times New Roman" w:hAnsi="Times New Roman" w:cs="Times New Roman"/>
            <w:sz w:val="24"/>
            <w:lang w:val="en-GB"/>
          </w:rPr>
          <w:t>h</w:t>
        </w:r>
      </w:ins>
      <w:ins w:id="29" w:author="1029605" w:date="2025-12-07T01:45:06Z">
        <w:r>
          <w:rPr>
            <w:rFonts w:hint="default" w:ascii="Times New Roman" w:hAnsi="Times New Roman" w:cs="Times New Roman"/>
            <w:sz w:val="24"/>
            <w:lang w:val="en-GB"/>
          </w:rPr>
          <w:t>o</w:t>
        </w:r>
      </w:ins>
      <w:ins w:id="30" w:author="1029605" w:date="2025-12-07T01:45:07Z">
        <w:r>
          <w:rPr>
            <w:rFonts w:hint="default" w:ascii="Times New Roman" w:hAnsi="Times New Roman" w:cs="Times New Roman"/>
            <w:sz w:val="24"/>
            <w:lang w:val="en-GB"/>
          </w:rPr>
          <w:t>do</w:t>
        </w:r>
      </w:ins>
      <w:ins w:id="31" w:author="1029605" w:date="2025-12-07T01:45:08Z">
        <w:r>
          <w:rPr>
            <w:rFonts w:hint="default" w:ascii="Times New Roman" w:hAnsi="Times New Roman" w:cs="Times New Roman"/>
            <w:sz w:val="24"/>
            <w:lang w:val="en-GB"/>
          </w:rPr>
          <w:t>lo</w:t>
        </w:r>
      </w:ins>
      <w:ins w:id="32" w:author="1029605" w:date="2025-12-07T01:45:12Z">
        <w:r>
          <w:rPr>
            <w:rFonts w:hint="default" w:ascii="Times New Roman" w:hAnsi="Times New Roman" w:cs="Times New Roman"/>
            <w:sz w:val="24"/>
            <w:lang w:val="en-GB"/>
          </w:rPr>
          <w:t>gy</w:t>
        </w:r>
      </w:ins>
    </w:p>
    <w:p w14:paraId="5D581B71">
      <w:pPr>
        <w:spacing w:line="360" w:lineRule="auto"/>
        <w:jc w:val="both"/>
        <w:rPr>
          <w:rFonts w:ascii="Times New Roman" w:hAnsi="Times New Roman" w:cs="Times New Roman"/>
          <w:sz w:val="24"/>
        </w:rPr>
      </w:pPr>
      <w:r>
        <w:rPr>
          <w:rFonts w:ascii="Times New Roman" w:hAnsi="Times New Roman" w:cs="Times New Roman"/>
          <w:sz w:val="24"/>
        </w:rPr>
        <w:t>2.1. Study area</w:t>
      </w:r>
    </w:p>
    <w:p w14:paraId="18219558">
      <w:pPr>
        <w:spacing w:line="360" w:lineRule="auto"/>
        <w:jc w:val="both"/>
        <w:rPr>
          <w:rFonts w:ascii="Times New Roman" w:hAnsi="Times New Roman" w:cs="Times New Roman"/>
          <w:sz w:val="24"/>
        </w:rPr>
      </w:pPr>
      <w:r>
        <w:rPr>
          <w:rFonts w:ascii="Times New Roman" w:hAnsi="Times New Roman" w:cs="Times New Roman"/>
          <w:sz w:val="24"/>
        </w:rPr>
        <w:t>The study was conducted in Houet Province, located in the Guiriko region in western Burkina Faso. This area is characterised by a tropical Sudanese climate, with annual rainfall varying between 900 and 1,100 mm and an average temperature of around 29 °C (INSD, 2022). The terrain is dominated by plains and forest areas, including nine classified forests (MEEVCC, 2017). The Houet province is notable for its high level of agro-pastoral activity, representing one of the country's main livestock farming areas, with an estimated population of over 2.7 million ruminants (ISND, 2022). This area was chosen because of its climatic characteristics, which are favourable to the persistence of pathogens and vectors, and because of the coexistence of various production systems (extensive, semi-intensive and peri-urban). Five municipalities were selected to reflect this diversity: Bama, Karangasso-Vigué, Koundougou, Padéma and Bobo-Dioulasso.</w:t>
      </w:r>
    </w:p>
    <w:p w14:paraId="5B6B1BE5">
      <w:pPr>
        <w:spacing w:line="360" w:lineRule="auto"/>
        <w:jc w:val="both"/>
        <w:rPr>
          <w:rFonts w:ascii="Times New Roman" w:hAnsi="Times New Roman" w:cs="Times New Roman"/>
          <w:sz w:val="24"/>
        </w:rPr>
      </w:pPr>
      <w:r>
        <w:rPr>
          <w:rFonts w:ascii="Times New Roman" w:hAnsi="Times New Roman" w:cs="Times New Roman"/>
          <w:sz w:val="24"/>
        </w:rPr>
        <w:t>2.2. Type of study</w:t>
      </w:r>
    </w:p>
    <w:p w14:paraId="371A129C">
      <w:pPr>
        <w:spacing w:line="360" w:lineRule="auto"/>
        <w:jc w:val="both"/>
        <w:rPr>
          <w:rFonts w:ascii="Times New Roman" w:hAnsi="Times New Roman" w:cs="Times New Roman"/>
          <w:sz w:val="24"/>
          <w:vertAlign w:val="superscript"/>
        </w:rPr>
      </w:pPr>
      <w:r>
        <w:rPr>
          <w:rFonts w:ascii="Times New Roman" w:hAnsi="Times New Roman" w:cs="Times New Roman"/>
          <w:sz w:val="24"/>
        </w:rPr>
        <w:t>A descriptive, cross-sectional study was conducted from July to October 2022 to explore farmers' perceptions of the main animal diseases present on their farms. This type of design provides a snapshot of perceptions and practices at a given point in time, in their real-world context (</w:t>
      </w:r>
      <w:r>
        <w:rPr>
          <w:rFonts w:ascii="Times New Roman" w:hAnsi="Times New Roman" w:cs="Times New Roman"/>
          <w:sz w:val="24"/>
          <w:szCs w:val="24"/>
        </w:rPr>
        <w:t xml:space="preserve">Kasiulevičius </w:t>
      </w:r>
      <w:r>
        <w:rPr>
          <w:rFonts w:ascii="Times New Roman" w:hAnsi="Times New Roman" w:cs="Times New Roman"/>
          <w:i/>
          <w:sz w:val="24"/>
          <w:szCs w:val="24"/>
        </w:rPr>
        <w:t>and al.,</w:t>
      </w:r>
      <w:r>
        <w:rPr>
          <w:rFonts w:ascii="Times New Roman" w:hAnsi="Times New Roman" w:cs="Times New Roman"/>
          <w:sz w:val="24"/>
          <w:szCs w:val="24"/>
        </w:rPr>
        <w:t xml:space="preserve"> 2006)</w:t>
      </w:r>
    </w:p>
    <w:p w14:paraId="7E48AC28">
      <w:pPr>
        <w:spacing w:line="360" w:lineRule="auto"/>
        <w:jc w:val="both"/>
        <w:rPr>
          <w:rFonts w:ascii="Times New Roman" w:hAnsi="Times New Roman" w:cs="Times New Roman"/>
          <w:sz w:val="24"/>
        </w:rPr>
      </w:pPr>
      <w:r>
        <w:rPr>
          <w:rFonts w:ascii="Times New Roman" w:hAnsi="Times New Roman" w:cs="Times New Roman"/>
          <w:sz w:val="24"/>
        </w:rPr>
        <w:t xml:space="preserve">2.3. Sampling </w:t>
      </w:r>
    </w:p>
    <w:p w14:paraId="4501714B">
      <w:pPr>
        <w:spacing w:line="360" w:lineRule="auto"/>
        <w:jc w:val="both"/>
        <w:rPr>
          <w:rFonts w:ascii="Times New Roman" w:hAnsi="Times New Roman" w:cs="Times New Roman"/>
          <w:sz w:val="24"/>
        </w:rPr>
      </w:pPr>
      <w:r>
        <w:rPr>
          <w:rFonts w:ascii="Times New Roman" w:hAnsi="Times New Roman" w:cs="Times New Roman"/>
          <w:sz w:val="24"/>
        </w:rPr>
        <w:t xml:space="preserve">A sample of 270 producers (shepherds and agro-livestock farmers) was randomly selected from the working population of the study municipalities. The sample size was determined using the Slovin formula (Slovin </w:t>
      </w:r>
      <w:r>
        <w:rPr>
          <w:rFonts w:ascii="Times New Roman" w:hAnsi="Times New Roman" w:cs="Times New Roman"/>
          <w:i/>
          <w:sz w:val="24"/>
        </w:rPr>
        <w:t>and al</w:t>
      </w:r>
      <w:r>
        <w:rPr>
          <w:rFonts w:ascii="Times New Roman" w:hAnsi="Times New Roman" w:cs="Times New Roman"/>
          <w:sz w:val="24"/>
        </w:rPr>
        <w:t>., 2005).</w:t>
      </w:r>
    </w:p>
    <w:p w14:paraId="63642056">
      <w:pPr>
        <w:spacing w:line="360" w:lineRule="auto"/>
        <w:jc w:val="both"/>
        <w:rPr>
          <w:rFonts w:ascii="Times New Roman" w:hAnsi="Times New Roman" w:cs="Times New Roman"/>
          <w:sz w:val="24"/>
        </w:rPr>
      </w:pPr>
      <w:r>
        <w:rPr>
          <w:rFonts w:ascii="Times New Roman" w:hAnsi="Times New Roman" w:cs="Times New Roman"/>
          <w:sz w:val="24"/>
        </w:rPr>
        <w:t>n= N/(</w:t>
      </w:r>
      <m:oMath>
        <m:r>
          <m:rPr/>
          <w:rPr>
            <w:rFonts w:ascii="Cambria Math" w:hAnsi="Cambria Math" w:cs="Times New Roman"/>
          </w:rPr>
          <m:t>1+</m:t>
        </m:r>
        <m:r>
          <m:rPr/>
          <w:rPr>
            <w:rFonts w:ascii="Cambria Math" w:hAnsi="Cambria Math" w:cs="Times New Roman"/>
            <w:lang w:val="fr-FR"/>
          </w:rPr>
          <m:t>N</m:t>
        </m:r>
        <m:d>
          <m:dPr>
            <m:ctrlPr>
              <w:rPr>
                <w:rFonts w:ascii="Cambria Math" w:hAnsi="Cambria Math" w:cs="Times New Roman"/>
                <w:i/>
                <w:lang w:val="fr-FR"/>
              </w:rPr>
            </m:ctrlPr>
          </m:dPr>
          <m:e>
            <m:sSup>
              <m:sSupPr>
                <m:ctrlPr>
                  <w:rPr>
                    <w:rFonts w:ascii="Cambria Math" w:hAnsi="Cambria Math" w:cs="Times New Roman"/>
                    <w:i/>
                    <w:lang w:val="fr-FR"/>
                  </w:rPr>
                </m:ctrlPr>
              </m:sSupPr>
              <m:e>
                <m:r>
                  <m:rPr/>
                  <w:rPr>
                    <w:rFonts w:ascii="Cambria Math" w:hAnsi="Cambria Math" w:cs="Times New Roman"/>
                    <w:lang w:val="fr-FR"/>
                  </w:rPr>
                  <m:t>e</m:t>
                </m:r>
                <m:ctrlPr>
                  <w:rPr>
                    <w:rFonts w:ascii="Cambria Math" w:hAnsi="Cambria Math" w:cs="Times New Roman"/>
                    <w:i/>
                    <w:lang w:val="fr-FR"/>
                  </w:rPr>
                </m:ctrlPr>
              </m:e>
              <m:sup>
                <m:r>
                  <m:rPr/>
                  <w:rPr>
                    <w:rFonts w:ascii="Cambria Math" w:hAnsi="Cambria Math" w:cs="Times New Roman"/>
                  </w:rPr>
                  <m:t>2</m:t>
                </m:r>
                <m:ctrlPr>
                  <w:rPr>
                    <w:rFonts w:ascii="Cambria Math" w:hAnsi="Cambria Math" w:cs="Times New Roman"/>
                    <w:i/>
                    <w:lang w:val="fr-FR"/>
                  </w:rPr>
                </m:ctrlPr>
              </m:sup>
            </m:sSup>
            <m:ctrlPr>
              <w:rPr>
                <w:rFonts w:ascii="Cambria Math" w:hAnsi="Cambria Math" w:cs="Times New Roman"/>
                <w:i/>
                <w:lang w:val="fr-FR"/>
              </w:rPr>
            </m:ctrlPr>
          </m:e>
        </m:d>
      </m:oMath>
      <w:r>
        <w:rPr>
          <w:rFonts w:ascii="Times New Roman" w:hAnsi="Times New Roman" w:cs="Times New Roman"/>
          <w:sz w:val="24"/>
        </w:rPr>
        <w:t>)</w:t>
      </w:r>
    </w:p>
    <w:p w14:paraId="13397822">
      <w:pPr>
        <w:spacing w:line="360" w:lineRule="auto"/>
        <w:jc w:val="both"/>
        <w:rPr>
          <w:rFonts w:ascii="Times New Roman" w:hAnsi="Times New Roman" w:cs="Times New Roman"/>
          <w:sz w:val="24"/>
        </w:rPr>
      </w:pPr>
      <w:r>
        <w:rPr>
          <w:rFonts w:ascii="Times New Roman" w:hAnsi="Times New Roman" w:cs="Times New Roman"/>
          <w:sz w:val="24"/>
        </w:rPr>
        <w:t>where n is the sample size, N is the estimated total population of livestock farmers, and e is the precision level set at 5%.</w:t>
      </w:r>
    </w:p>
    <w:p w14:paraId="1EC2719E">
      <w:pPr>
        <w:spacing w:line="360" w:lineRule="auto"/>
        <w:jc w:val="both"/>
        <w:rPr>
          <w:rFonts w:ascii="Times New Roman" w:hAnsi="Times New Roman" w:cs="Times New Roman"/>
          <w:sz w:val="24"/>
        </w:rPr>
      </w:pPr>
      <w:r>
        <w:rPr>
          <w:rFonts w:ascii="Times New Roman" w:hAnsi="Times New Roman" w:cs="Times New Roman"/>
          <w:sz w:val="24"/>
        </w:rPr>
        <w:t>Participants were identified with the support of technical livestock services and village development councils. The inclusion criteria were: (i) having been involved in livestock farming for at least three years; (ii) owning at least one species of ruminant; and (iii) agreeing to participate in the survey.</w:t>
      </w:r>
    </w:p>
    <w:p w14:paraId="248D75E5">
      <w:pPr>
        <w:spacing w:line="360" w:lineRule="auto"/>
        <w:jc w:val="both"/>
        <w:rPr>
          <w:rFonts w:ascii="Times New Roman" w:hAnsi="Times New Roman" w:cs="Times New Roman"/>
          <w:b/>
          <w:sz w:val="24"/>
        </w:rPr>
      </w:pPr>
      <w:r>
        <w:rPr>
          <w:rFonts w:ascii="Times New Roman" w:hAnsi="Times New Roman" w:cs="Times New Roman"/>
          <w:b/>
          <w:sz w:val="24"/>
        </w:rPr>
        <w:t xml:space="preserve">2.4. Data collection </w:t>
      </w:r>
    </w:p>
    <w:p w14:paraId="61F08E35">
      <w:pPr>
        <w:spacing w:line="360" w:lineRule="auto"/>
        <w:jc w:val="both"/>
        <w:rPr>
          <w:rFonts w:ascii="Times New Roman" w:hAnsi="Times New Roman" w:cs="Times New Roman"/>
          <w:sz w:val="24"/>
        </w:rPr>
      </w:pPr>
      <w:r>
        <w:rPr>
          <w:rFonts w:ascii="Times New Roman" w:hAnsi="Times New Roman" w:cs="Times New Roman"/>
          <w:sz w:val="24"/>
        </w:rPr>
        <w:t xml:space="preserve">Data were collected using a pre-tested semi-structured </w:t>
      </w:r>
      <w:del w:id="33" w:author="1029605" w:date="2025-12-07T01:47:14Z">
        <w:r>
          <w:rPr>
            <w:rFonts w:hint="default" w:ascii="Times New Roman" w:hAnsi="Times New Roman" w:cs="Times New Roman"/>
            <w:sz w:val="24"/>
            <w:lang w:val="en-US"/>
          </w:rPr>
          <w:delText>questionnaire</w:delText>
        </w:r>
      </w:del>
      <w:ins w:id="34" w:author="1029605" w:date="2025-12-07T01:47:14Z">
        <w:r>
          <w:rPr>
            <w:rFonts w:hint="default" w:ascii="Times New Roman" w:hAnsi="Times New Roman" w:cs="Times New Roman"/>
            <w:sz w:val="24"/>
            <w:lang w:val="en-GB"/>
          </w:rPr>
          <w:t>g</w:t>
        </w:r>
      </w:ins>
      <w:ins w:id="35" w:author="1029605" w:date="2025-12-07T01:47:15Z">
        <w:r>
          <w:rPr>
            <w:rFonts w:hint="default" w:ascii="Times New Roman" w:hAnsi="Times New Roman" w:cs="Times New Roman"/>
            <w:sz w:val="24"/>
            <w:lang w:val="en-GB"/>
          </w:rPr>
          <w:t>uid</w:t>
        </w:r>
      </w:ins>
      <w:ins w:id="36" w:author="1029605" w:date="2025-12-07T01:47:16Z">
        <w:r>
          <w:rPr>
            <w:rFonts w:hint="default" w:ascii="Times New Roman" w:hAnsi="Times New Roman" w:cs="Times New Roman"/>
            <w:sz w:val="24"/>
            <w:lang w:val="en-GB"/>
          </w:rPr>
          <w:t>e</w:t>
        </w:r>
      </w:ins>
      <w:r>
        <w:rPr>
          <w:rFonts w:ascii="Times New Roman" w:hAnsi="Times New Roman" w:cs="Times New Roman"/>
          <w:sz w:val="24"/>
        </w:rPr>
        <w:t xml:space="preserve"> administered during individual interviews and focus group discussions. The </w:t>
      </w:r>
      <w:ins w:id="37" w:author="1029605" w:date="2025-12-07T01:47:32Z">
        <w:r>
          <w:rPr>
            <w:rFonts w:hint="default" w:ascii="Times New Roman" w:hAnsi="Times New Roman" w:cs="Times New Roman"/>
            <w:sz w:val="24"/>
            <w:lang w:val="en-GB"/>
          </w:rPr>
          <w:t>g</w:t>
        </w:r>
      </w:ins>
      <w:ins w:id="38" w:author="1029605" w:date="2025-12-07T01:47:37Z">
        <w:r>
          <w:rPr>
            <w:rFonts w:hint="default" w:ascii="Times New Roman" w:hAnsi="Times New Roman" w:cs="Times New Roman"/>
            <w:sz w:val="24"/>
            <w:lang w:val="en-GB"/>
          </w:rPr>
          <w:t>u</w:t>
        </w:r>
      </w:ins>
      <w:ins w:id="39" w:author="1029605" w:date="2025-12-07T01:47:38Z">
        <w:r>
          <w:rPr>
            <w:rFonts w:hint="default" w:ascii="Times New Roman" w:hAnsi="Times New Roman" w:cs="Times New Roman"/>
            <w:sz w:val="24"/>
            <w:lang w:val="en-GB"/>
          </w:rPr>
          <w:t>ide</w:t>
        </w:r>
      </w:ins>
      <w:del w:id="40" w:author="1029605" w:date="2025-12-07T01:47:31Z">
        <w:r>
          <w:rPr>
            <w:rFonts w:ascii="Times New Roman" w:hAnsi="Times New Roman" w:cs="Times New Roman"/>
            <w:sz w:val="24"/>
          </w:rPr>
          <w:delText>qu</w:delText>
        </w:r>
      </w:del>
      <w:del w:id="41" w:author="1029605" w:date="2025-12-07T01:47:30Z">
        <w:r>
          <w:rPr>
            <w:rFonts w:ascii="Times New Roman" w:hAnsi="Times New Roman" w:cs="Times New Roman"/>
            <w:sz w:val="24"/>
          </w:rPr>
          <w:delText>esti</w:delText>
        </w:r>
      </w:del>
      <w:del w:id="42" w:author="1029605" w:date="2025-12-07T01:47:29Z">
        <w:r>
          <w:rPr>
            <w:rFonts w:ascii="Times New Roman" w:hAnsi="Times New Roman" w:cs="Times New Roman"/>
            <w:sz w:val="24"/>
          </w:rPr>
          <w:delText>onnair</w:delText>
        </w:r>
      </w:del>
      <w:del w:id="43" w:author="1029605" w:date="2025-12-07T01:47:28Z">
        <w:r>
          <w:rPr>
            <w:rFonts w:ascii="Times New Roman" w:hAnsi="Times New Roman" w:cs="Times New Roman"/>
            <w:sz w:val="24"/>
          </w:rPr>
          <w:delText>e</w:delText>
        </w:r>
      </w:del>
      <w:r>
        <w:rPr>
          <w:rFonts w:ascii="Times New Roman" w:hAnsi="Times New Roman" w:cs="Times New Roman"/>
          <w:sz w:val="24"/>
        </w:rPr>
        <w:t xml:space="preserve"> had four main sections: (1) socio-demographic characteristics of producers; (2) knowledge and perception of animal diseases; (3) empirical diagnosis of diseases; and (4) prevention and treatment practices. The surveys were conducted in the local language (Dioula, Fulfulde or Mooré) with the assistance of trained technical agents. The pre-test allowed the wording of the questions to be adjusted to ensure their comprehensibility and relevance.</w:t>
      </w:r>
    </w:p>
    <w:p w14:paraId="648C740C">
      <w:pPr>
        <w:spacing w:line="360" w:lineRule="auto"/>
        <w:jc w:val="both"/>
        <w:rPr>
          <w:rFonts w:ascii="Times New Roman" w:hAnsi="Times New Roman" w:cs="Times New Roman"/>
          <w:b/>
          <w:sz w:val="24"/>
        </w:rPr>
      </w:pPr>
      <w:r>
        <w:rPr>
          <w:rFonts w:ascii="Times New Roman" w:hAnsi="Times New Roman" w:cs="Times New Roman"/>
          <w:b/>
          <w:sz w:val="24"/>
        </w:rPr>
        <w:t>2.5. Data analysis</w:t>
      </w:r>
    </w:p>
    <w:p w14:paraId="7B4CE6AB">
      <w:pPr>
        <w:spacing w:line="360" w:lineRule="auto"/>
        <w:jc w:val="both"/>
        <w:rPr>
          <w:rFonts w:ascii="Times New Roman" w:hAnsi="Times New Roman" w:cs="Times New Roman"/>
          <w:sz w:val="24"/>
        </w:rPr>
      </w:pPr>
      <w:r>
        <w:rPr>
          <w:rFonts w:ascii="Times New Roman" w:hAnsi="Times New Roman" w:cs="Times New Roman"/>
          <w:sz w:val="24"/>
        </w:rPr>
        <w:t>The data collected were entered into Excel 2019 and cleaned before analysis. Descriptive statistics (frequencies = number of producers) were calculated using R software (version 4.5.0). The packages readxl, dplyr, ggplot2, patchwork, ggcorrplot, fastDummies. The results were presented in graph form. The relationships between certain variables (e.g. perception and perceived contagiousness) were explored using correlation analysis.</w:t>
      </w:r>
    </w:p>
    <w:p w14:paraId="503A270E">
      <w:pPr>
        <w:spacing w:line="360" w:lineRule="auto"/>
        <w:jc w:val="both"/>
        <w:rPr>
          <w:rFonts w:ascii="Times New Roman" w:hAnsi="Times New Roman" w:cs="Times New Roman"/>
          <w:b/>
          <w:sz w:val="24"/>
        </w:rPr>
      </w:pPr>
      <w:r>
        <w:rPr>
          <w:rFonts w:ascii="Times New Roman" w:hAnsi="Times New Roman" w:cs="Times New Roman"/>
          <w:b/>
          <w:sz w:val="24"/>
        </w:rPr>
        <w:t>2.6. Ethical considerations</w:t>
      </w:r>
    </w:p>
    <w:p w14:paraId="61F92484">
      <w:pPr>
        <w:spacing w:line="360" w:lineRule="auto"/>
        <w:jc w:val="both"/>
        <w:rPr>
          <w:rFonts w:ascii="Times New Roman" w:hAnsi="Times New Roman" w:cs="Times New Roman"/>
          <w:sz w:val="24"/>
        </w:rPr>
      </w:pPr>
      <w:r>
        <w:rPr>
          <w:rFonts w:ascii="Times New Roman" w:hAnsi="Times New Roman" w:cs="Times New Roman"/>
          <w:sz w:val="24"/>
        </w:rPr>
        <w:t>The survey protocol was approved by the Guiriko Regional Livestock and Animal Health Service</w:t>
      </w:r>
      <w:ins w:id="44" w:author="1029605" w:date="2025-12-07T01:48:26Z">
        <w:r>
          <w:rPr>
            <w:rFonts w:hint="default" w:ascii="Times New Roman" w:hAnsi="Times New Roman" w:cs="Times New Roman"/>
            <w:sz w:val="24"/>
            <w:lang w:val="en-GB"/>
          </w:rPr>
          <w:t xml:space="preserve"> </w:t>
        </w:r>
      </w:ins>
      <w:ins w:id="45" w:author="1029605" w:date="2025-12-07T01:48:28Z">
        <w:r>
          <w:rPr>
            <w:rFonts w:hint="default" w:ascii="Times New Roman" w:hAnsi="Times New Roman" w:cs="Times New Roman"/>
            <w:sz w:val="24"/>
            <w:lang w:val="en-GB"/>
          </w:rPr>
          <w:t>(r</w:t>
        </w:r>
      </w:ins>
      <w:ins w:id="46" w:author="1029605" w:date="2025-12-07T01:48:29Z">
        <w:r>
          <w:rPr>
            <w:rFonts w:hint="default" w:ascii="Times New Roman" w:hAnsi="Times New Roman" w:cs="Times New Roman"/>
            <w:sz w:val="24"/>
            <w:lang w:val="en-GB"/>
          </w:rPr>
          <w:t>efe</w:t>
        </w:r>
      </w:ins>
      <w:ins w:id="47" w:author="1029605" w:date="2025-12-07T01:48:30Z">
        <w:r>
          <w:rPr>
            <w:rFonts w:hint="default" w:ascii="Times New Roman" w:hAnsi="Times New Roman" w:cs="Times New Roman"/>
            <w:sz w:val="24"/>
            <w:lang w:val="en-GB"/>
          </w:rPr>
          <w:t>re</w:t>
        </w:r>
      </w:ins>
      <w:ins w:id="48" w:author="1029605" w:date="2025-12-07T01:48:31Z">
        <w:r>
          <w:rPr>
            <w:rFonts w:hint="default" w:ascii="Times New Roman" w:hAnsi="Times New Roman" w:cs="Times New Roman"/>
            <w:sz w:val="24"/>
            <w:lang w:val="en-GB"/>
          </w:rPr>
          <w:t>n</w:t>
        </w:r>
      </w:ins>
      <w:ins w:id="49" w:author="1029605" w:date="2025-12-07T01:48:32Z">
        <w:r>
          <w:rPr>
            <w:rFonts w:hint="default" w:ascii="Times New Roman" w:hAnsi="Times New Roman" w:cs="Times New Roman"/>
            <w:sz w:val="24"/>
            <w:lang w:val="en-GB"/>
          </w:rPr>
          <w:t>ce</w:t>
        </w:r>
      </w:ins>
      <w:ins w:id="50" w:author="1029605" w:date="2025-12-07T01:48:35Z">
        <w:r>
          <w:rPr>
            <w:rFonts w:hint="default" w:ascii="Times New Roman" w:hAnsi="Times New Roman" w:cs="Times New Roman"/>
            <w:sz w:val="24"/>
            <w:lang w:val="en-GB"/>
          </w:rPr>
          <w:t xml:space="preserve"> </w:t>
        </w:r>
      </w:ins>
      <w:ins w:id="51" w:author="1029605" w:date="2025-12-07T01:48:40Z">
        <w:r>
          <w:rPr>
            <w:rFonts w:hint="default" w:ascii="Times New Roman" w:hAnsi="Times New Roman" w:cs="Times New Roman"/>
            <w:sz w:val="24"/>
            <w:lang w:val="en-GB"/>
          </w:rPr>
          <w:t>No</w:t>
        </w:r>
      </w:ins>
      <w:ins w:id="52" w:author="1029605" w:date="2025-12-07T01:48:41Z">
        <w:r>
          <w:rPr>
            <w:rFonts w:hint="default" w:ascii="Times New Roman" w:hAnsi="Times New Roman" w:cs="Times New Roman"/>
            <w:sz w:val="24"/>
            <w:lang w:val="en-GB"/>
          </w:rPr>
          <w:t>.</w:t>
        </w:r>
      </w:ins>
      <w:ins w:id="53" w:author="1029605" w:date="2025-12-07T01:48:42Z">
        <w:r>
          <w:rPr>
            <w:rFonts w:hint="default" w:ascii="Times New Roman" w:hAnsi="Times New Roman" w:cs="Times New Roman"/>
            <w:sz w:val="24"/>
            <w:lang w:val="en-GB"/>
          </w:rPr>
          <w:t>)</w:t>
        </w:r>
      </w:ins>
      <w:r>
        <w:rPr>
          <w:rFonts w:ascii="Times New Roman" w:hAnsi="Times New Roman" w:cs="Times New Roman"/>
          <w:sz w:val="24"/>
        </w:rPr>
        <w:t>. The free and informed consent of the producers was obtained before each interview. Responses were treated anonymously and confidentially.</w:t>
      </w:r>
    </w:p>
    <w:p w14:paraId="2DFAD364">
      <w:pPr>
        <w:spacing w:line="360" w:lineRule="auto"/>
        <w:jc w:val="both"/>
        <w:rPr>
          <w:rFonts w:ascii="Times New Roman" w:hAnsi="Times New Roman" w:cs="Times New Roman"/>
          <w:b/>
          <w:sz w:val="24"/>
        </w:rPr>
      </w:pPr>
      <w:r>
        <w:rPr>
          <w:rFonts w:ascii="Times New Roman" w:hAnsi="Times New Roman" w:cs="Times New Roman"/>
          <w:b/>
          <w:sz w:val="24"/>
        </w:rPr>
        <w:t>3.1. Perception of the causes of disease (local aetiology)</w:t>
      </w:r>
    </w:p>
    <w:p w14:paraId="0A8C6B56">
      <w:pPr>
        <w:spacing w:line="360" w:lineRule="auto"/>
        <w:jc w:val="both"/>
        <w:rPr>
          <w:rFonts w:ascii="Times New Roman" w:hAnsi="Times New Roman" w:cs="Times New Roman"/>
          <w:sz w:val="24"/>
        </w:rPr>
      </w:pPr>
      <w:r>
        <w:rPr>
          <w:rFonts w:ascii="Times New Roman" w:hAnsi="Times New Roman" w:cs="Times New Roman"/>
          <w:sz w:val="24"/>
        </w:rPr>
        <w:t>Producers' perceptions of the causes of animal diseases are illustrated in Figure 1. Foot-and-mouth disease is mainly attributed to environmental causes such as wind, humidity, or contact with contaminated drinking troughs. Trypanosomiasis is associated with a lack of fodder and insect bites (flies, mosquitoes). Pulmonary worm infestations are generally explained by the consumption of contaminated water, while intestinal infestations are linked to grazing in contaminated areas.</w:t>
      </w:r>
    </w:p>
    <w:p w14:paraId="47FE8B13">
      <w:pPr>
        <w:spacing w:line="360" w:lineRule="auto"/>
        <w:jc w:val="both"/>
        <w:rPr>
          <w:rFonts w:ascii="Times New Roman" w:hAnsi="Times New Roman" w:cs="Times New Roman"/>
          <w:sz w:val="24"/>
        </w:rPr>
      </w:pPr>
      <w:r>
        <w:rPr>
          <w:rFonts w:ascii="Times New Roman" w:hAnsi="Times New Roman" w:cs="Times New Roman"/>
          <w:sz w:val="24"/>
        </w:rPr>
        <w:drawing>
          <wp:inline distT="0" distB="0" distL="0" distR="0">
            <wp:extent cx="5972810" cy="47783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0B2A20A9">
      <w:pPr>
        <w:spacing w:line="360" w:lineRule="auto"/>
        <w:jc w:val="both"/>
        <w:rPr>
          <w:rFonts w:ascii="Times New Roman" w:hAnsi="Times New Roman" w:cs="Times New Roman"/>
          <w:sz w:val="24"/>
        </w:rPr>
      </w:pPr>
      <w:r>
        <w:rPr>
          <w:rFonts w:ascii="Times New Roman" w:hAnsi="Times New Roman" w:cs="Times New Roman"/>
          <w:sz w:val="24"/>
        </w:rPr>
        <w:t>Figure 1: Perceived causes of major animal diseases according to producers</w:t>
      </w:r>
    </w:p>
    <w:p w14:paraId="6A33B52E">
      <w:pPr>
        <w:spacing w:line="360" w:lineRule="auto"/>
        <w:jc w:val="both"/>
        <w:rPr>
          <w:rFonts w:ascii="Times New Roman" w:hAnsi="Times New Roman" w:cs="Times New Roman"/>
          <w:b/>
          <w:sz w:val="24"/>
        </w:rPr>
      </w:pPr>
      <w:r>
        <w:rPr>
          <w:rFonts w:ascii="Times New Roman" w:hAnsi="Times New Roman" w:cs="Times New Roman"/>
          <w:b/>
          <w:sz w:val="24"/>
        </w:rPr>
        <w:t xml:space="preserve">3.2. Season of occurrence of diseases </w:t>
      </w:r>
    </w:p>
    <w:p w14:paraId="5CBA91FB">
      <w:pPr>
        <w:spacing w:line="360" w:lineRule="auto"/>
        <w:jc w:val="both"/>
        <w:rPr>
          <w:rFonts w:ascii="Times New Roman" w:hAnsi="Times New Roman" w:cs="Times New Roman"/>
          <w:sz w:val="24"/>
        </w:rPr>
      </w:pPr>
      <w:r>
        <w:rPr>
          <w:rFonts w:ascii="Times New Roman" w:hAnsi="Times New Roman" w:cs="Times New Roman"/>
          <w:sz w:val="24"/>
        </w:rPr>
        <w:t>The majority of producers believe that most diseases occur throughout the year, with peaks during the rainy season (Figure 2). Trypanosomiasis, infestations and mastitis are particularly common during this period, while foot-and-mouth disease and coughing are more commonly reported during the dry season.</w:t>
      </w:r>
    </w:p>
    <w:p w14:paraId="7C7F3614">
      <w:pPr>
        <w:spacing w:line="360" w:lineRule="auto"/>
        <w:jc w:val="both"/>
        <w:rPr>
          <w:rFonts w:ascii="Times New Roman" w:hAnsi="Times New Roman" w:cs="Times New Roman"/>
          <w:sz w:val="24"/>
        </w:rPr>
      </w:pPr>
      <w:r>
        <w:rPr>
          <w:rFonts w:ascii="Times New Roman" w:hAnsi="Times New Roman" w:cs="Times New Roman"/>
          <w:sz w:val="24"/>
        </w:rPr>
        <w:drawing>
          <wp:inline distT="0" distB="0" distL="0" distR="0">
            <wp:extent cx="5972810" cy="47783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374A8CAF">
      <w:pPr>
        <w:spacing w:line="360" w:lineRule="auto"/>
        <w:jc w:val="both"/>
        <w:rPr>
          <w:rFonts w:ascii="Times New Roman" w:hAnsi="Times New Roman" w:cs="Times New Roman"/>
          <w:sz w:val="24"/>
        </w:rPr>
      </w:pPr>
      <w:r>
        <w:rPr>
          <w:rFonts w:ascii="Times New Roman" w:hAnsi="Times New Roman" w:cs="Times New Roman"/>
          <w:sz w:val="24"/>
        </w:rPr>
        <w:t>Figure 2: Perceived seasonal frequency of animal diseases on the farms surveyed</w:t>
      </w:r>
    </w:p>
    <w:p w14:paraId="4203F34F">
      <w:pPr>
        <w:spacing w:line="360" w:lineRule="auto"/>
        <w:jc w:val="both"/>
        <w:rPr>
          <w:rFonts w:ascii="Times New Roman" w:hAnsi="Times New Roman" w:cs="Times New Roman"/>
          <w:b/>
          <w:sz w:val="24"/>
        </w:rPr>
      </w:pPr>
      <w:r>
        <w:rPr>
          <w:rFonts w:ascii="Times New Roman" w:hAnsi="Times New Roman" w:cs="Times New Roman"/>
          <w:b/>
          <w:sz w:val="24"/>
        </w:rPr>
        <w:t>3.3. Perceived contagiousness of diseases</w:t>
      </w:r>
    </w:p>
    <w:p w14:paraId="2C9A0075">
      <w:pPr>
        <w:spacing w:line="360" w:lineRule="auto"/>
        <w:jc w:val="both"/>
        <w:rPr>
          <w:rFonts w:ascii="Times New Roman" w:hAnsi="Times New Roman" w:cs="Times New Roman"/>
          <w:sz w:val="24"/>
        </w:rPr>
      </w:pPr>
      <w:r>
        <w:rPr>
          <w:rFonts w:ascii="Times New Roman" w:hAnsi="Times New Roman" w:cs="Times New Roman"/>
          <w:sz w:val="24"/>
        </w:rPr>
        <w:t>According to producers, the majority of the diseases recorded are non-contagious (Figure 3). However, foot-and-mouth disease, coughing, external parasites (ticks, fleas) and anthrax are perceived as highly contagious. A minority of producers also consider trypanosomiasis to be transmissible from one animal to another.</w:t>
      </w:r>
    </w:p>
    <w:p w14:paraId="2B104B6B">
      <w:pPr>
        <w:spacing w:line="360" w:lineRule="auto"/>
        <w:jc w:val="both"/>
        <w:rPr>
          <w:rFonts w:ascii="Times New Roman" w:hAnsi="Times New Roman" w:cs="Times New Roman"/>
          <w:sz w:val="24"/>
        </w:rPr>
      </w:pPr>
      <w:r>
        <w:rPr>
          <w:rFonts w:ascii="Times New Roman" w:hAnsi="Times New Roman" w:cs="Times New Roman"/>
          <w:sz w:val="24"/>
        </w:rPr>
        <w:drawing>
          <wp:inline distT="0" distB="0" distL="0" distR="0">
            <wp:extent cx="5972810" cy="477837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2B2A0337">
      <w:pPr>
        <w:pStyle w:val="4"/>
        <w:rPr>
          <w:rFonts w:ascii="Times New Roman" w:hAnsi="Times New Roman" w:cs="Times New Roman"/>
          <w:i w:val="0"/>
          <w:color w:val="auto"/>
          <w:sz w:val="24"/>
        </w:rPr>
      </w:pPr>
      <w:r>
        <w:rPr>
          <w:rFonts w:ascii="Times New Roman" w:hAnsi="Times New Roman" w:cs="Times New Roman"/>
          <w:i w:val="0"/>
          <w:color w:val="auto"/>
          <w:sz w:val="24"/>
        </w:rPr>
        <w:t xml:space="preserve">Figure 3: </w:t>
      </w:r>
      <w:r>
        <w:rPr>
          <w:rFonts w:ascii="Times New Roman" w:hAnsi="Times New Roman" w:cs="Times New Roman"/>
          <w:i w:val="0"/>
          <w:color w:val="000000" w:themeColor="text1"/>
          <w:sz w:val="24"/>
          <w:szCs w:val="24"/>
          <w14:textFill>
            <w14:solidFill>
              <w14:schemeClr w14:val="tx1"/>
            </w14:solidFill>
          </w14:textFill>
        </w:rPr>
        <w:t>Producers' perception of the contagiousness of animal diseases</w:t>
      </w:r>
    </w:p>
    <w:p w14:paraId="05CA296E">
      <w:pPr>
        <w:spacing w:line="360" w:lineRule="auto"/>
        <w:jc w:val="both"/>
        <w:rPr>
          <w:rFonts w:ascii="Times New Roman" w:hAnsi="Times New Roman" w:cs="Times New Roman"/>
          <w:b/>
          <w:bCs/>
          <w:i/>
          <w:iCs/>
          <w:sz w:val="24"/>
          <w:lang w:val="fr-FR"/>
        </w:rPr>
      </w:pPr>
      <w:r>
        <w:rPr>
          <w:rFonts w:ascii="Times New Roman" w:hAnsi="Times New Roman" w:cs="Times New Roman"/>
          <w:b/>
          <w:bCs/>
          <w:i/>
          <w:iCs/>
          <w:sz w:val="24"/>
          <w:lang w:val="fr-FR"/>
        </w:rPr>
        <w:t>3.4. Diagnostic empirique des maladies</w:t>
      </w:r>
    </w:p>
    <w:p w14:paraId="4D66C793">
      <w:pPr>
        <w:spacing w:line="360" w:lineRule="auto"/>
        <w:jc w:val="both"/>
        <w:rPr>
          <w:rFonts w:ascii="Times New Roman" w:hAnsi="Times New Roman" w:cs="Times New Roman"/>
          <w:sz w:val="24"/>
        </w:rPr>
      </w:pPr>
      <w:r>
        <w:rPr>
          <w:rFonts w:ascii="Times New Roman" w:hAnsi="Times New Roman" w:cs="Times New Roman"/>
          <w:sz w:val="24"/>
        </w:rPr>
        <w:t>Producers base their diagnosis mainly on clinical observation of symptoms (Figure 4). For foot-and-mouth disease, the most commonly cited signs are mouth sores, excessive salivation and foot lesions. Trypanosomiasis is diagnosed on the basis of loss of appetite, fever, weight loss and a dull coat (rough hair coat). Pulmonary worm infestations are associated with coughing and breathing difficulties, while intestinal infestations are identified by the presence of eggs or worms in the faeces. Distomatosis is identified by swelling of the abdomen after meals.</w:t>
      </w:r>
    </w:p>
    <w:p w14:paraId="2B0491A1">
      <w:pPr>
        <w:spacing w:line="360" w:lineRule="auto"/>
        <w:jc w:val="both"/>
        <w:rPr>
          <w:rFonts w:ascii="Times New Roman" w:hAnsi="Times New Roman" w:cs="Times New Roman"/>
          <w:sz w:val="24"/>
        </w:rPr>
      </w:pPr>
      <w:r>
        <w:rPr>
          <w:rFonts w:ascii="Times New Roman" w:hAnsi="Times New Roman" w:cs="Times New Roman"/>
          <w:sz w:val="24"/>
        </w:rPr>
        <w:drawing>
          <wp:inline distT="0" distB="0" distL="0" distR="0">
            <wp:extent cx="5972810" cy="47783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6953A71A">
      <w:pPr>
        <w:spacing w:line="360" w:lineRule="auto"/>
        <w:jc w:val="both"/>
        <w:rPr>
          <w:rFonts w:ascii="Times New Roman" w:hAnsi="Times New Roman" w:cs="Times New Roman"/>
          <w:sz w:val="24"/>
        </w:rPr>
      </w:pPr>
      <w:r>
        <w:rPr>
          <w:rFonts w:ascii="Times New Roman" w:hAnsi="Times New Roman" w:cs="Times New Roman"/>
          <w:sz w:val="24"/>
        </w:rPr>
        <w:t>Figure 4: Clinical signs used by producers to diagnose animal diseases</w:t>
      </w:r>
    </w:p>
    <w:p w14:paraId="493E7393">
      <w:pPr>
        <w:spacing w:line="360" w:lineRule="auto"/>
        <w:jc w:val="both"/>
        <w:rPr>
          <w:rFonts w:ascii="Times New Roman" w:hAnsi="Times New Roman" w:cs="Times New Roman"/>
          <w:b/>
          <w:sz w:val="24"/>
        </w:rPr>
      </w:pPr>
      <w:r>
        <w:rPr>
          <w:rFonts w:ascii="Times New Roman" w:hAnsi="Times New Roman" w:cs="Times New Roman"/>
          <w:b/>
          <w:sz w:val="24"/>
        </w:rPr>
        <w:t xml:space="preserve">3.5. Correlations between perception variables </w:t>
      </w:r>
    </w:p>
    <w:p w14:paraId="7BE4B427">
      <w:pPr>
        <w:spacing w:line="360" w:lineRule="auto"/>
        <w:jc w:val="both"/>
        <w:rPr>
          <w:rFonts w:ascii="Times New Roman" w:hAnsi="Times New Roman" w:cs="Times New Roman"/>
          <w:sz w:val="24"/>
        </w:rPr>
      </w:pPr>
      <w:r>
        <w:rPr>
          <w:rFonts w:ascii="Times New Roman" w:hAnsi="Times New Roman" w:cs="Times New Roman"/>
          <w:sz w:val="24"/>
        </w:rPr>
        <w:t>Analysis of the correlations between variables (Figure 5) highlights several significant relationships. A strong positive correlation is observed between eye diseases and consumption of the fodder plant Pterocarpus erinaceus during the dry season. Foot-and-mouth disease shows a high correlation with environmental factors (wind, humidity). Trypanosomiasis is strongly correlated with lack of fodder, confirming the consistency of local perceptions.</w:t>
      </w:r>
    </w:p>
    <w:p w14:paraId="0FE02FA3">
      <w:pPr>
        <w:spacing w:line="360" w:lineRule="auto"/>
        <w:jc w:val="both"/>
        <w:rPr>
          <w:rFonts w:ascii="Times New Roman" w:hAnsi="Times New Roman" w:cs="Times New Roman"/>
          <w:sz w:val="24"/>
        </w:rPr>
      </w:pPr>
      <w:r>
        <w:rPr>
          <w:rFonts w:ascii="Times New Roman" w:hAnsi="Times New Roman" w:cs="Times New Roman"/>
          <w:sz w:val="24"/>
        </w:rPr>
        <w:drawing>
          <wp:inline distT="0" distB="0" distL="0" distR="0">
            <wp:extent cx="5972810" cy="47783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2690303F">
      <w:pPr>
        <w:spacing w:line="360" w:lineRule="auto"/>
        <w:jc w:val="both"/>
        <w:rPr>
          <w:rFonts w:ascii="Times New Roman" w:hAnsi="Times New Roman" w:cs="Times New Roman"/>
          <w:sz w:val="24"/>
        </w:rPr>
      </w:pPr>
      <w:r>
        <w:rPr>
          <w:rFonts w:ascii="Times New Roman" w:hAnsi="Times New Roman" w:cs="Times New Roman"/>
          <w:sz w:val="24"/>
        </w:rPr>
        <w:t>Figure 5: Correlations between local perceptions of the causes, symptoms and contagiousness of diseases</w:t>
      </w:r>
    </w:p>
    <w:p w14:paraId="0497A4ED">
      <w:pPr>
        <w:spacing w:line="360" w:lineRule="auto"/>
        <w:jc w:val="both"/>
        <w:rPr>
          <w:rFonts w:ascii="Times New Roman" w:hAnsi="Times New Roman" w:cs="Times New Roman"/>
          <w:b/>
          <w:sz w:val="24"/>
        </w:rPr>
      </w:pPr>
      <w:r>
        <w:rPr>
          <w:rFonts w:ascii="Times New Roman" w:hAnsi="Times New Roman" w:cs="Times New Roman"/>
          <w:b/>
          <w:sz w:val="24"/>
        </w:rPr>
        <w:t>4. Discussion</w:t>
      </w:r>
    </w:p>
    <w:p w14:paraId="489EC8E0">
      <w:pPr>
        <w:spacing w:line="360" w:lineRule="auto"/>
        <w:jc w:val="both"/>
        <w:rPr>
          <w:rFonts w:ascii="Times New Roman" w:hAnsi="Times New Roman" w:cs="Times New Roman"/>
          <w:b/>
          <w:sz w:val="24"/>
        </w:rPr>
      </w:pPr>
      <w:r>
        <w:rPr>
          <w:rFonts w:ascii="Times New Roman" w:hAnsi="Times New Roman" w:cs="Times New Roman"/>
          <w:b/>
          <w:sz w:val="24"/>
        </w:rPr>
        <w:t>4.1. Consistency of local perceptions with scientific reality</w:t>
      </w:r>
    </w:p>
    <w:p w14:paraId="0E8D1CBC">
      <w:pPr>
        <w:spacing w:line="360" w:lineRule="auto"/>
        <w:jc w:val="both"/>
        <w:rPr>
          <w:rFonts w:ascii="Times New Roman" w:hAnsi="Times New Roman" w:cs="Times New Roman"/>
          <w:sz w:val="24"/>
        </w:rPr>
      </w:pPr>
      <w:r>
        <w:rPr>
          <w:rFonts w:ascii="Times New Roman" w:hAnsi="Times New Roman" w:cs="Times New Roman"/>
          <w:sz w:val="24"/>
        </w:rPr>
        <w:t xml:space="preserve">The results of this study show that producers have fairly accurate empirical knowledge of the main animal diseases encountered on their farms. Trypanosomiasis and foot-and-mouth disease are among the most frequently cited diseases, confirming the observations of other studies conducted in western Burkina Faso (Hien </w:t>
      </w:r>
      <w:r>
        <w:rPr>
          <w:rFonts w:ascii="Times New Roman" w:hAnsi="Times New Roman" w:cs="Times New Roman"/>
          <w:i/>
          <w:sz w:val="24"/>
        </w:rPr>
        <w:t>and al.,</w:t>
      </w:r>
      <w:r>
        <w:rPr>
          <w:rFonts w:ascii="Times New Roman" w:hAnsi="Times New Roman" w:cs="Times New Roman"/>
          <w:sz w:val="24"/>
        </w:rPr>
        <w:t xml:space="preserve"> 2024; Ilboudo </w:t>
      </w:r>
      <w:r>
        <w:rPr>
          <w:rFonts w:ascii="Times New Roman" w:hAnsi="Times New Roman" w:cs="Times New Roman"/>
          <w:i/>
          <w:sz w:val="24"/>
        </w:rPr>
        <w:t>and al.,</w:t>
      </w:r>
      <w:r>
        <w:rPr>
          <w:rFonts w:ascii="Times New Roman" w:hAnsi="Times New Roman" w:cs="Times New Roman"/>
          <w:sz w:val="24"/>
        </w:rPr>
        <w:t xml:space="preserve"> 2025). The causes mentioned by producers (lack of fodder, insect bites, environmental conditions) reflect a functional interpretation of diseases based on daily experience. These perceptions are consistent with recent work showing that local knowledge is based on empirical observation of the environment and may differ from biomedical classifications, without necessarily being unfounded. For example, nutritional stress related to lack of fodder has been documented as a factor increasing susceptibility to infection in animals in semi-arid systems (Fushai </w:t>
      </w:r>
      <w:r>
        <w:rPr>
          <w:rFonts w:ascii="Times New Roman" w:hAnsi="Times New Roman" w:cs="Times New Roman"/>
          <w:i/>
          <w:sz w:val="24"/>
        </w:rPr>
        <w:t>and al.,</w:t>
      </w:r>
      <w:r>
        <w:rPr>
          <w:rFonts w:ascii="Times New Roman" w:hAnsi="Times New Roman" w:cs="Times New Roman"/>
          <w:sz w:val="24"/>
        </w:rPr>
        <w:t xml:space="preserve"> 2025). Furthermore, field studies have shown that poorer body condition is associated with an increased risk of parasitic infection in free-ranging small ruminants (Paul </w:t>
      </w:r>
      <w:r>
        <w:rPr>
          <w:rFonts w:ascii="Times New Roman" w:hAnsi="Times New Roman" w:cs="Times New Roman"/>
          <w:i/>
          <w:sz w:val="24"/>
        </w:rPr>
        <w:t>and al.,</w:t>
      </w:r>
      <w:r>
        <w:rPr>
          <w:rFonts w:ascii="Times New Roman" w:hAnsi="Times New Roman" w:cs="Times New Roman"/>
          <w:sz w:val="24"/>
        </w:rPr>
        <w:t xml:space="preserve"> 2016).</w:t>
      </w:r>
    </w:p>
    <w:p w14:paraId="5694063A">
      <w:pPr>
        <w:spacing w:line="360" w:lineRule="auto"/>
        <w:jc w:val="both"/>
        <w:rPr>
          <w:rFonts w:ascii="Times New Roman" w:hAnsi="Times New Roman" w:cs="Times New Roman"/>
          <w:sz w:val="24"/>
        </w:rPr>
      </w:pPr>
      <w:r>
        <w:rPr>
          <w:rFonts w:ascii="Times New Roman" w:hAnsi="Times New Roman" w:cs="Times New Roman"/>
          <w:sz w:val="24"/>
        </w:rPr>
        <w:t>4.2. Influence of the socio-economic and environmental context</w:t>
      </w:r>
    </w:p>
    <w:p w14:paraId="07BFC62D">
      <w:pPr>
        <w:spacing w:line="360" w:lineRule="auto"/>
        <w:jc w:val="both"/>
        <w:rPr>
          <w:rFonts w:ascii="Times New Roman" w:hAnsi="Times New Roman" w:cs="Times New Roman"/>
          <w:sz w:val="24"/>
        </w:rPr>
      </w:pPr>
      <w:r>
        <w:rPr>
          <w:rFonts w:ascii="Times New Roman" w:hAnsi="Times New Roman" w:cs="Times New Roman"/>
          <w:sz w:val="24"/>
        </w:rPr>
        <w:t xml:space="preserve">Local representations of disease are shaped by a context marked by precariousness, degradation of pastures and difficult access to veterinary services. This observation is consistent with studies showing that extensive livestock farming systems in West Africa rely heavily on traditional ethnoveterinary practices (Kone </w:t>
      </w:r>
      <w:r>
        <w:rPr>
          <w:rFonts w:ascii="Times New Roman" w:hAnsi="Times New Roman" w:cs="Times New Roman"/>
          <w:i/>
          <w:sz w:val="24"/>
        </w:rPr>
        <w:t>and al.,</w:t>
      </w:r>
      <w:r>
        <w:rPr>
          <w:rFonts w:ascii="Times New Roman" w:hAnsi="Times New Roman" w:cs="Times New Roman"/>
          <w:sz w:val="24"/>
        </w:rPr>
        <w:t xml:space="preserve"> 2019; Jaime </w:t>
      </w:r>
      <w:r>
        <w:rPr>
          <w:rFonts w:ascii="Times New Roman" w:hAnsi="Times New Roman" w:cs="Times New Roman"/>
          <w:i/>
          <w:sz w:val="24"/>
        </w:rPr>
        <w:t>and al.,</w:t>
      </w:r>
      <w:r>
        <w:rPr>
          <w:rFonts w:ascii="Times New Roman" w:hAnsi="Times New Roman" w:cs="Times New Roman"/>
          <w:sz w:val="24"/>
        </w:rPr>
        <w:t xml:space="preserve"> 2022) and that access to modern veterinary inputs and services remains limited by economic and logistical constraints (Marandure </w:t>
      </w:r>
      <w:r>
        <w:rPr>
          <w:rFonts w:ascii="Times New Roman" w:hAnsi="Times New Roman" w:cs="Times New Roman"/>
          <w:i/>
          <w:sz w:val="24"/>
        </w:rPr>
        <w:t>and al.,</w:t>
      </w:r>
      <w:r>
        <w:rPr>
          <w:rFonts w:ascii="Times New Roman" w:hAnsi="Times New Roman" w:cs="Times New Roman"/>
          <w:sz w:val="24"/>
        </w:rPr>
        <w:t xml:space="preserve"> 2020; Shahzad </w:t>
      </w:r>
      <w:r>
        <w:rPr>
          <w:rFonts w:ascii="Times New Roman" w:hAnsi="Times New Roman" w:cs="Times New Roman"/>
          <w:i/>
          <w:sz w:val="24"/>
        </w:rPr>
        <w:t>and al.,</w:t>
      </w:r>
      <w:r>
        <w:rPr>
          <w:rFonts w:ascii="Times New Roman" w:hAnsi="Times New Roman" w:cs="Times New Roman"/>
          <w:sz w:val="24"/>
        </w:rPr>
        <w:t xml:space="preserve"> 2025). Furthermore, the perception of an almost permanent presence of diseases throughout the year reflects an empirical awareness of a change in epidemiological cycles, probably linked to climate change and the ecological adaptation of vectors (Magiri </w:t>
      </w:r>
      <w:r>
        <w:rPr>
          <w:rFonts w:ascii="Times New Roman" w:hAnsi="Times New Roman" w:cs="Times New Roman"/>
          <w:i/>
          <w:sz w:val="24"/>
        </w:rPr>
        <w:t>and al.,</w:t>
      </w:r>
      <w:r>
        <w:rPr>
          <w:rFonts w:ascii="Times New Roman" w:hAnsi="Times New Roman" w:cs="Times New Roman"/>
          <w:sz w:val="24"/>
        </w:rPr>
        <w:t xml:space="preserve"> 2021; Shahzad </w:t>
      </w:r>
      <w:r>
        <w:rPr>
          <w:rFonts w:ascii="Times New Roman" w:hAnsi="Times New Roman" w:cs="Times New Roman"/>
          <w:i/>
          <w:sz w:val="24"/>
        </w:rPr>
        <w:t>and al.,</w:t>
      </w:r>
      <w:r>
        <w:rPr>
          <w:rFonts w:ascii="Times New Roman" w:hAnsi="Times New Roman" w:cs="Times New Roman"/>
          <w:sz w:val="24"/>
        </w:rPr>
        <w:t xml:space="preserve"> 2025). These observations are consistent with those of Grace et al., (2015) according to whom livestock farmers are valuable field observers in the early detection of emerging diseases.</w:t>
      </w:r>
    </w:p>
    <w:p w14:paraId="63225D6D">
      <w:pPr>
        <w:spacing w:line="360" w:lineRule="auto"/>
        <w:jc w:val="both"/>
        <w:rPr>
          <w:rFonts w:ascii="Times New Roman" w:hAnsi="Times New Roman" w:cs="Times New Roman"/>
          <w:b/>
          <w:sz w:val="24"/>
        </w:rPr>
      </w:pPr>
      <w:r>
        <w:rPr>
          <w:rFonts w:ascii="Times New Roman" w:hAnsi="Times New Roman" w:cs="Times New Roman"/>
          <w:b/>
          <w:sz w:val="24"/>
        </w:rPr>
        <w:t>4.3. Limitations of empirical diagnosis</w:t>
      </w:r>
    </w:p>
    <w:p w14:paraId="3866F777">
      <w:pPr>
        <w:spacing w:line="360" w:lineRule="auto"/>
        <w:jc w:val="both"/>
        <w:rPr>
          <w:rFonts w:ascii="Times New Roman" w:hAnsi="Times New Roman" w:cs="Times New Roman"/>
          <w:sz w:val="24"/>
        </w:rPr>
      </w:pPr>
      <w:r>
        <w:rPr>
          <w:rFonts w:ascii="Times New Roman" w:hAnsi="Times New Roman" w:cs="Times New Roman"/>
          <w:sz w:val="24"/>
        </w:rPr>
        <w:t>The diagnosis of diseases is based primarily on the observation of symptoms (coughing, weight loss, mouth lesions, swelling of the abdomen). Although relevant, these indicators remain non-specific. Several symptoms cited by producers (anorexia, weight loss, loss of appetite) can correspond to various pathologies, making empirical diagnosis unreliable without clinical confirmation. This observation was also made by Tamboura et al., (1998) in Burkina Faso and confirmed by McGaw et al., (2020) who emphasise the need to value local knowledge while supplementing it with modern diagnostic tools. Confusion between certain diseases (e.g. trypanosomiasis and pasteurellosis) could explain the underestimation or misclassification of certain endemic diseases. The lack of regular veterinary monitoring exacerbates this diagnostic uncertainty.</w:t>
      </w:r>
    </w:p>
    <w:p w14:paraId="6130540A">
      <w:pPr>
        <w:spacing w:line="360" w:lineRule="auto"/>
        <w:jc w:val="both"/>
        <w:rPr>
          <w:rFonts w:ascii="Times New Roman" w:hAnsi="Times New Roman" w:cs="Times New Roman"/>
          <w:b/>
          <w:sz w:val="24"/>
        </w:rPr>
      </w:pPr>
      <w:r>
        <w:rPr>
          <w:rFonts w:ascii="Times New Roman" w:hAnsi="Times New Roman" w:cs="Times New Roman"/>
          <w:b/>
          <w:sz w:val="24"/>
        </w:rPr>
        <w:t xml:space="preserve">4.4. Implications for health management </w:t>
      </w:r>
    </w:p>
    <w:p w14:paraId="1614EC3C">
      <w:pPr>
        <w:spacing w:line="360" w:lineRule="auto"/>
        <w:jc w:val="both"/>
        <w:rPr>
          <w:rFonts w:ascii="Times New Roman" w:hAnsi="Times New Roman" w:cs="Times New Roman"/>
          <w:sz w:val="24"/>
        </w:rPr>
      </w:pPr>
      <w:r>
        <w:rPr>
          <w:rFonts w:ascii="Times New Roman" w:hAnsi="Times New Roman" w:cs="Times New Roman"/>
          <w:sz w:val="24"/>
        </w:rPr>
        <w:t xml:space="preserve">The integration of local knowledge into animal health programms is a strategic lever for strengthening participatory epidemiological surveillance, especially for diseases such as trypanosomiasis, which have zoonotic implications (WHO/FAO/OIE, 2019). A better understanding of farmers' perceptions would make it possible to adapt awareness messages and prevention strategies to the realities on the ground. In this perspective, the ‘One Health’ approach, linking animal, human and environmental health, represents a promising avenue for designing sustainable and culturally acceptable interventions (Grace </w:t>
      </w:r>
      <w:r>
        <w:rPr>
          <w:rFonts w:ascii="Times New Roman" w:hAnsi="Times New Roman" w:cs="Times New Roman"/>
          <w:i/>
          <w:sz w:val="24"/>
        </w:rPr>
        <w:t>and al.,</w:t>
      </w:r>
      <w:r>
        <w:rPr>
          <w:rFonts w:ascii="Times New Roman" w:hAnsi="Times New Roman" w:cs="Times New Roman"/>
          <w:sz w:val="24"/>
        </w:rPr>
        <w:t xml:space="preserve"> 2015).</w:t>
      </w:r>
    </w:p>
    <w:p w14:paraId="3BB78327">
      <w:pPr>
        <w:spacing w:line="360" w:lineRule="auto"/>
        <w:jc w:val="both"/>
        <w:rPr>
          <w:rFonts w:ascii="Times New Roman" w:hAnsi="Times New Roman" w:cs="Times New Roman"/>
          <w:b/>
          <w:sz w:val="24"/>
        </w:rPr>
      </w:pPr>
      <w:r>
        <w:rPr>
          <w:rFonts w:ascii="Times New Roman" w:hAnsi="Times New Roman" w:cs="Times New Roman"/>
          <w:b/>
          <w:sz w:val="24"/>
        </w:rPr>
        <w:t>4.5. Limitations of the study</w:t>
      </w:r>
    </w:p>
    <w:p w14:paraId="0A2F4258">
      <w:pPr>
        <w:spacing w:line="360" w:lineRule="auto"/>
        <w:jc w:val="both"/>
        <w:rPr>
          <w:rFonts w:ascii="Times New Roman" w:hAnsi="Times New Roman" w:cs="Times New Roman"/>
          <w:sz w:val="24"/>
        </w:rPr>
      </w:pPr>
      <w:r>
        <w:rPr>
          <w:rFonts w:ascii="Times New Roman" w:hAnsi="Times New Roman" w:cs="Times New Roman"/>
          <w:sz w:val="24"/>
        </w:rPr>
        <w:t>This study is based on self-reported data and perceptions, which may introduce a subjective bias. The lack of clinical validation of the reported diagnoses is also a limitation. However, the consistency observed between local perceptions and certain epidemiological data reinforces the credibility of the results.</w:t>
      </w:r>
    </w:p>
    <w:p w14:paraId="5210CEE8">
      <w:pPr>
        <w:spacing w:line="360" w:lineRule="auto"/>
        <w:jc w:val="both"/>
        <w:rPr>
          <w:rFonts w:ascii="Times New Roman" w:hAnsi="Times New Roman" w:cs="Times New Roman"/>
          <w:b/>
          <w:sz w:val="24"/>
        </w:rPr>
      </w:pPr>
      <w:r>
        <w:rPr>
          <w:rFonts w:ascii="Times New Roman" w:hAnsi="Times New Roman" w:cs="Times New Roman"/>
          <w:b/>
          <w:sz w:val="24"/>
        </w:rPr>
        <w:t xml:space="preserve">5. Conclusion </w:t>
      </w:r>
    </w:p>
    <w:p w14:paraId="69DE892C">
      <w:pPr>
        <w:spacing w:line="360" w:lineRule="auto"/>
        <w:jc w:val="both"/>
        <w:rPr>
          <w:rFonts w:ascii="Times New Roman" w:hAnsi="Times New Roman" w:cs="Times New Roman"/>
          <w:sz w:val="24"/>
        </w:rPr>
      </w:pPr>
      <w:r>
        <w:rPr>
          <w:rFonts w:ascii="Times New Roman" w:hAnsi="Times New Roman" w:cs="Times New Roman"/>
          <w:sz w:val="24"/>
        </w:rPr>
        <w:t>This study conducted in the Guiriko region shows that producers have a wealth of empirical knowledge about animal diseases, acquired through observation and experience. Trypanosomiasis and foot-and-mouth disease are the most frequently cited diseases, reflecting farmers' awareness of major endemic diseases. The causes mentioned, although empirical, often reflect an ecological logic consistent with known risk factors. However, diagnosis remains essentially clinical and empirical, due to limited access to veterinary services.</w:t>
      </w:r>
      <w:r>
        <w:t xml:space="preserve"> </w:t>
      </w:r>
      <w:r>
        <w:rPr>
          <w:rFonts w:ascii="Times New Roman" w:hAnsi="Times New Roman" w:cs="Times New Roman"/>
          <w:sz w:val="24"/>
        </w:rPr>
        <w:t>The integration of local knowledge into scientific approaches therefore appears essential to strengthen health surveillance, improve prevention and promote a participatory One Health approach. By valuing this traditional knowledge and combining it with technical interventions, it would be possible to increase the resilience of livestock farms and better control animal diseases, particularly zoonotic diseases, in Burkina Faso.</w:t>
      </w:r>
    </w:p>
    <w:p w14:paraId="0D98CA4C">
      <w:pPr>
        <w:pStyle w:val="10"/>
        <w:spacing w:line="360" w:lineRule="auto"/>
        <w:jc w:val="both"/>
        <w:rPr>
          <w:b/>
        </w:rPr>
      </w:pPr>
      <w:r>
        <w:rPr>
          <w:b/>
        </w:rPr>
        <w:t xml:space="preserve">Consent </w:t>
      </w:r>
    </w:p>
    <w:p w14:paraId="06A4827A">
      <w:pPr>
        <w:pStyle w:val="10"/>
        <w:spacing w:line="360" w:lineRule="auto"/>
        <w:jc w:val="both"/>
      </w:pPr>
      <w:r>
        <w:t xml:space="preserve">Before each interview, the objectives and purpose of the study were clearly explained to all participants. Participation was entirely </w:t>
      </w:r>
      <w:r>
        <w:rPr>
          <w:rStyle w:val="11"/>
        </w:rPr>
        <w:t>voluntary</w:t>
      </w:r>
      <w:r>
        <w:t xml:space="preserve">, and respondents were informed that they could withdraw at any time without consequence. All participants provided their </w:t>
      </w:r>
      <w:r>
        <w:rPr>
          <w:rStyle w:val="11"/>
        </w:rPr>
        <w:t>verbal informed consent</w:t>
      </w:r>
      <w:r>
        <w:t xml:space="preserve"> to take part in the study. No identifying personal data were recorded, and responses were treated with full confidentiality. The authors confirm that informed consent procedures were conducted in accordance with the </w:t>
      </w:r>
      <w:r>
        <w:rPr>
          <w:rStyle w:val="6"/>
        </w:rPr>
        <w:t>Declaration of Helsinki (2013)</w:t>
      </w:r>
      <w:r>
        <w:t xml:space="preserve"> and the </w:t>
      </w:r>
      <w:r>
        <w:rPr>
          <w:rStyle w:val="6"/>
        </w:rPr>
        <w:t>FAO/WHO One Health ethical framework</w:t>
      </w:r>
      <w:r>
        <w:t xml:space="preserve"> for field studies.</w:t>
      </w:r>
    </w:p>
    <w:p w14:paraId="7603F0D0">
      <w:pPr>
        <w:pStyle w:val="10"/>
        <w:spacing w:line="360" w:lineRule="auto"/>
        <w:jc w:val="both"/>
        <w:rPr>
          <w:b/>
        </w:rPr>
      </w:pPr>
      <w:r>
        <w:rPr>
          <w:b/>
        </w:rPr>
        <w:t>Ehnical Approval</w:t>
      </w:r>
    </w:p>
    <w:p w14:paraId="081E4B5A">
      <w:pPr>
        <w:pStyle w:val="10"/>
        <w:spacing w:line="360" w:lineRule="auto"/>
        <w:jc w:val="both"/>
        <w:rPr>
          <w:ins w:id="54" w:author="1029605" w:date="2025-12-07T01:56:35Z"/>
        </w:rPr>
      </w:pPr>
      <w:r>
        <w:t xml:space="preserve">This research did not involve any experimental studies on humans or animals. The study protocol was reviewed and approved by the </w:t>
      </w:r>
      <w:r>
        <w:rPr>
          <w:rStyle w:val="11"/>
        </w:rPr>
        <w:t>Regional Directorate of Animal Health and Livestock of Guiriko (Burkina Faso)</w:t>
      </w:r>
      <w:r>
        <w:t>, which serves as the competent authority for veterinary field research. The authors confirm that the study complied with the ethica</w:t>
      </w:r>
      <w:bookmarkStart w:id="1" w:name="_GoBack"/>
      <w:bookmarkEnd w:id="1"/>
      <w:r>
        <w:t>l principles of social and behavioral research and respected confidentiality, anonymity, and voluntary participation of respondents</w:t>
      </w:r>
    </w:p>
    <w:p w14:paraId="4BC7EDDD">
      <w:pPr>
        <w:pStyle w:val="10"/>
        <w:spacing w:line="360" w:lineRule="auto"/>
        <w:jc w:val="both"/>
        <w:rPr>
          <w:del w:id="55" w:author="1029605" w:date="2025-12-07T01:56:31Z"/>
        </w:rPr>
      </w:pPr>
      <w:del w:id="56" w:author="1029605" w:date="2025-12-07T01:56:31Z">
        <w:r>
          <w:rPr/>
          <w:delText>.</w:delText>
        </w:r>
      </w:del>
    </w:p>
    <w:p w14:paraId="4BC7EDDD">
      <w:pPr>
        <w:pStyle w:val="10"/>
        <w:jc w:val="both"/>
        <w:rPr>
          <w:rFonts w:ascii="Times New Roman" w:hAnsi="Times New Roman" w:cs="Times New Roman"/>
          <w:b/>
          <w:sz w:val="24"/>
        </w:rPr>
        <w:pPrChange w:id="57" w:author="1029605" w:date="2025-12-07T01:56:31Z">
          <w:pPr>
            <w:spacing w:line="360" w:lineRule="auto"/>
            <w:jc w:val="both"/>
          </w:pPr>
        </w:pPrChange>
      </w:pPr>
      <w:del w:id="58" w:author="1029605" w:date="2025-12-07T01:56:31Z">
        <w:r>
          <w:rPr>
            <w:rFonts w:ascii="Times New Roman" w:hAnsi="Times New Roman" w:cs="Times New Roman"/>
            <w:b/>
            <w:sz w:val="24"/>
          </w:rPr>
          <w:delText>Bibliograph</w:delText>
        </w:r>
      </w:del>
      <w:del w:id="59" w:author="1029605" w:date="2025-12-07T01:56:30Z">
        <w:r>
          <w:rPr>
            <w:rFonts w:ascii="Times New Roman" w:hAnsi="Times New Roman" w:cs="Times New Roman"/>
            <w:b/>
            <w:sz w:val="24"/>
          </w:rPr>
          <w:delText>ical</w:delText>
        </w:r>
      </w:del>
      <w:r>
        <w:rPr>
          <w:rFonts w:ascii="Times New Roman" w:hAnsi="Times New Roman" w:cs="Times New Roman"/>
          <w:b/>
          <w:sz w:val="24"/>
        </w:rPr>
        <w:t xml:space="preserve"> </w:t>
      </w:r>
      <w:ins w:id="60" w:author="1029605" w:date="2025-12-07T01:56:57Z">
        <w:commentRangeStart w:id="3"/>
        <w:r>
          <w:rPr>
            <w:rFonts w:hint="default" w:cs="Times New Roman"/>
            <w:b/>
            <w:sz w:val="24"/>
            <w:lang w:val="en-GB"/>
          </w:rPr>
          <w:t>R</w:t>
        </w:r>
      </w:ins>
      <w:del w:id="61" w:author="1029605" w:date="2025-12-07T01:56:56Z">
        <w:r>
          <w:rPr>
            <w:rFonts w:ascii="Times New Roman" w:hAnsi="Times New Roman" w:cs="Times New Roman"/>
            <w:b/>
            <w:sz w:val="24"/>
          </w:rPr>
          <w:delText>r</w:delText>
        </w:r>
      </w:del>
      <w:r>
        <w:rPr>
          <w:rFonts w:ascii="Times New Roman" w:hAnsi="Times New Roman" w:cs="Times New Roman"/>
          <w:b/>
          <w:sz w:val="24"/>
        </w:rPr>
        <w:t>eferences</w:t>
      </w:r>
      <w:commentRangeEnd w:id="3"/>
      <w:r>
        <w:commentReference w:id="3"/>
      </w:r>
    </w:p>
    <w:p w14:paraId="633D67F6">
      <w:pPr>
        <w:spacing w:line="360" w:lineRule="auto"/>
        <w:ind w:left="45"/>
        <w:jc w:val="both"/>
        <w:rPr>
          <w:rFonts w:ascii="Times New Roman" w:hAnsi="Times New Roman" w:cs="Times New Roman"/>
          <w:sz w:val="24"/>
          <w:szCs w:val="24"/>
          <w:lang w:val="fr-FR"/>
        </w:rPr>
      </w:pPr>
      <w:bookmarkStart w:id="0" w:name="_Hlk211510309"/>
      <w:r>
        <w:rPr>
          <w:rFonts w:ascii="Times New Roman" w:hAnsi="Times New Roman" w:cs="Times New Roman"/>
          <w:sz w:val="24"/>
          <w:szCs w:val="24"/>
          <w:lang w:val="fr-FR"/>
        </w:rPr>
        <w:t>1. Guire, O., Mouctari, O., Chaibou, M. (2024). Uses and socio-economic importance of hides and skins in West Africa. Rev. Mar. Sci. Agron. Vét., 12(4), 306-312.</w:t>
      </w:r>
      <w:r>
        <w:t xml:space="preserve"> </w:t>
      </w:r>
      <w:r>
        <w:fldChar w:fldCharType="begin"/>
      </w:r>
      <w:r>
        <w:instrText xml:space="preserve"> HYPERLINK "https://doi.org/10.5281//zenodo.14583068" </w:instrText>
      </w:r>
      <w:r>
        <w:fldChar w:fldCharType="separate"/>
      </w:r>
      <w:r>
        <w:rPr>
          <w:rStyle w:val="9"/>
          <w:rFonts w:ascii="Times New Roman" w:hAnsi="Times New Roman" w:cs="Times New Roman"/>
          <w:sz w:val="24"/>
          <w:szCs w:val="24"/>
          <w:lang w:val="fr-FR"/>
        </w:rPr>
        <w:t>https://doi.org/10.5281//zenodo.14583068</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45CA431A">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2. Inter-réseaux (2017). Pastoral livestock farming in the Sahel and West Africa: 5 misconceptions put to the test.</w:t>
      </w:r>
      <w:r>
        <w:t xml:space="preserve"> </w:t>
      </w:r>
      <w:r>
        <w:fldChar w:fldCharType="begin"/>
      </w:r>
      <w:r>
        <w:instrText xml:space="preserve"> HYPERLINK "https://www.inter-reseaux.org/publication/pastoral-livestock-farming-in-the-sahel-and-west-africa-5-misconceptions-put-to-the-test/" </w:instrText>
      </w:r>
      <w:r>
        <w:fldChar w:fldCharType="separate"/>
      </w:r>
      <w:r>
        <w:rPr>
          <w:rStyle w:val="9"/>
          <w:rFonts w:ascii="Times New Roman" w:hAnsi="Times New Roman" w:cs="Times New Roman"/>
          <w:sz w:val="24"/>
          <w:szCs w:val="24"/>
          <w:lang w:val="fr-FR"/>
        </w:rPr>
        <w:t>https://www.inter-reseaux.org/publication/pastoral-livestock-farming-in-the-sahel-and-west-africa-5-misconceptions-put-to-the-test/</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7B7D0426">
      <w:pPr>
        <w:spacing w:line="360" w:lineRule="auto"/>
        <w:ind w:left="45"/>
        <w:jc w:val="both"/>
        <w:rPr>
          <w:rFonts w:ascii="Times New Roman" w:hAnsi="Times New Roman" w:cs="Times New Roman"/>
          <w:sz w:val="24"/>
          <w:szCs w:val="24"/>
          <w:lang w:val="fr-FR"/>
        </w:rPr>
      </w:pPr>
    </w:p>
    <w:p w14:paraId="06151F7E">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3. Atakpama, W., Zabouh, W. K., Nare, M., Batawila, H., Akpagana, K. (2016). Animal diseases and their impact on the economy of livestock farmers in the savannah region of Togo. Rev. Mar. Sci. Agron. Vét., 4(3), 65-71.</w:t>
      </w:r>
      <w:r>
        <w:t xml:space="preserve"> </w:t>
      </w:r>
      <w:r>
        <w:fldChar w:fldCharType="begin"/>
      </w:r>
      <w:r>
        <w:instrText xml:space="preserve"> HYPERLINK "https://www.agrimaroc.org/index.php/Actes_IAVH2/article/view/1402/3452" </w:instrText>
      </w:r>
      <w:r>
        <w:fldChar w:fldCharType="separate"/>
      </w:r>
      <w:r>
        <w:rPr>
          <w:rStyle w:val="9"/>
          <w:rFonts w:ascii="Times New Roman" w:hAnsi="Times New Roman" w:cs="Times New Roman"/>
          <w:sz w:val="24"/>
          <w:szCs w:val="24"/>
          <w:lang w:val="fr-FR"/>
        </w:rPr>
        <w:t>https://www.agrimaroc.org/index.php/Actes_IAVH2/article/view/1402/3452</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7365D7A6">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4. Assefa, S., Shibeshi, W. (2018). Drug resistance in African animal trypanosomes: A review. Afr J Microbiol Re., 12, 380-386.</w:t>
      </w:r>
      <w:r>
        <w:t xml:space="preserve"> </w:t>
      </w:r>
      <w:r>
        <w:fldChar w:fldCharType="begin"/>
      </w:r>
      <w:r>
        <w:instrText xml:space="preserve"> HYPERLINK "https://doi.org/10.5897/AJMR2017.8754" </w:instrText>
      </w:r>
      <w:r>
        <w:fldChar w:fldCharType="separate"/>
      </w:r>
      <w:r>
        <w:rPr>
          <w:rStyle w:val="9"/>
          <w:rFonts w:ascii="Times New Roman" w:hAnsi="Times New Roman" w:cs="Times New Roman"/>
          <w:sz w:val="24"/>
          <w:szCs w:val="24"/>
          <w:lang w:val="fr-FR"/>
        </w:rPr>
        <w:t>https://doi.org/10.5897/AJMR2017.8754</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250EE1F5">
      <w:pPr>
        <w:spacing w:line="360" w:lineRule="auto"/>
        <w:ind w:left="45"/>
        <w:jc w:val="both"/>
        <w:rPr>
          <w:rFonts w:ascii="Times New Roman" w:hAnsi="Times New Roman" w:cs="Times New Roman"/>
          <w:sz w:val="24"/>
          <w:szCs w:val="24"/>
          <w:lang w:val="fr-FR"/>
        </w:rPr>
      </w:pPr>
    </w:p>
    <w:p w14:paraId="46FF4826">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5. Grace, D., Songe, M., Knight-Jones, T. (2015). Impact of neglected diseases on animal productivity and public health in Africa. Paper presented at: 21st Conference of the OIE Regional Commission for Africa; Feb 16-20; Rabat, Morocco.</w:t>
      </w:r>
      <w:r>
        <w:t xml:space="preserve"> </w:t>
      </w:r>
      <w:r>
        <w:fldChar w:fldCharType="begin"/>
      </w:r>
      <w:r>
        <w:instrText xml:space="preserve"> HYPERLINK "http://www.oie.int/fileadmin/Home/eng/Publications_%26_Documentation/docs/pdf/TT/2015_AFR1_Grace_A.pdf" </w:instrText>
      </w:r>
      <w:r>
        <w:fldChar w:fldCharType="separate"/>
      </w:r>
      <w:r>
        <w:rPr>
          <w:rStyle w:val="9"/>
          <w:rFonts w:ascii="Times New Roman" w:hAnsi="Times New Roman" w:cs="Times New Roman"/>
          <w:sz w:val="24"/>
          <w:szCs w:val="24"/>
          <w:lang w:val="fr-FR"/>
        </w:rPr>
        <w:t>http://www.oie.int/fileadmin/Home/eng/Publications_%26_Documentation/docs/pdf/TT/2015_AFR1_Grace_A.pdf</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4A7FB2F8">
      <w:pPr>
        <w:spacing w:line="360" w:lineRule="auto"/>
        <w:ind w:left="45"/>
        <w:jc w:val="both"/>
        <w:rPr>
          <w:rFonts w:ascii="Times New Roman" w:hAnsi="Times New Roman" w:cs="Times New Roman"/>
          <w:sz w:val="24"/>
          <w:szCs w:val="24"/>
          <w:lang w:val="fr-FR"/>
        </w:rPr>
      </w:pPr>
    </w:p>
    <w:p w14:paraId="2001B3C8">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6. Dahourou L. D., Sanfo K., Kadja M. C., Traore A. (2022). Epidemiological, clinical, and financial characterization of the 2018 foot-and-mouth disease outbreak in cattle farms in Burkina Faso. Rev. Mar. Sci. Agron. Vét., 10(4), 589-593.</w:t>
      </w:r>
      <w:r>
        <w:t xml:space="preserve"> </w:t>
      </w:r>
      <w:r>
        <w:fldChar w:fldCharType="begin"/>
      </w:r>
      <w:r>
        <w:instrText xml:space="preserve"> HYPERLINK "https://www.agrimaroc.org/index.php/Actes_IAVH2/article/view/1261" </w:instrText>
      </w:r>
      <w:r>
        <w:fldChar w:fldCharType="separate"/>
      </w:r>
      <w:r>
        <w:rPr>
          <w:rStyle w:val="9"/>
          <w:rFonts w:ascii="Times New Roman" w:hAnsi="Times New Roman" w:cs="Times New Roman"/>
          <w:sz w:val="24"/>
          <w:szCs w:val="24"/>
          <w:lang w:val="fr-FR"/>
        </w:rPr>
        <w:t>https://www.agrimaroc.org/index.php/Actes_IAVH2/article/view/1261</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7C5AB168">
      <w:pPr>
        <w:spacing w:line="360" w:lineRule="auto"/>
        <w:ind w:left="45"/>
        <w:jc w:val="both"/>
        <w:rPr>
          <w:rFonts w:ascii="Times New Roman" w:hAnsi="Times New Roman" w:cs="Times New Roman"/>
          <w:sz w:val="24"/>
          <w:szCs w:val="24"/>
          <w:lang w:val="fr-FR"/>
        </w:rPr>
      </w:pPr>
    </w:p>
    <w:p w14:paraId="3E54D400">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7. Magiri, R., Muzandu, K., Gitau, G., Choongo, K., Iji P. (2021). Impact of climate change on animal health, emerging and re-emerging diseases in Africa. African Handbook of Climate Change Adaptation, 1-18.</w:t>
      </w:r>
      <w:r>
        <w:t xml:space="preserve"> </w:t>
      </w:r>
      <w:r>
        <w:fldChar w:fldCharType="begin"/>
      </w:r>
      <w:r>
        <w:instrText xml:space="preserve"> HYPERLINK "https://doi.org/10.1007/978-3-030-45106-6_19" </w:instrText>
      </w:r>
      <w:r>
        <w:fldChar w:fldCharType="separate"/>
      </w:r>
      <w:r>
        <w:rPr>
          <w:rStyle w:val="9"/>
          <w:rFonts w:ascii="Times New Roman" w:hAnsi="Times New Roman" w:cs="Times New Roman"/>
          <w:sz w:val="24"/>
          <w:szCs w:val="24"/>
          <w:lang w:val="fr-FR"/>
        </w:rPr>
        <w:t>https://doi.org/10.1007/978-3-030-45106-6_19</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5755C928">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8. Tebug, S F, Njunga, G R, Chagunda, M G G, Mapemba, J P, Awah-Ndukum, J. &amp; Wiedemann, S, (2014). ‘Risk, knowledge and preventive measures of smallholder dairy farmers in northern Malawi with regard to zoonotic brucellosis and bovine tuberculosis’, Onderstepoort Journal of Veterinary Research, 81(1). </w:t>
      </w:r>
      <w:r>
        <w:fldChar w:fldCharType="begin"/>
      </w:r>
      <w:r>
        <w:instrText xml:space="preserve"> HYPERLINK "http://dx.doi.org/10.4102/ojvr.v81i1.594https://doi.org/10.4102/ojvr.v81i1.594" </w:instrText>
      </w:r>
      <w:r>
        <w:fldChar w:fldCharType="separate"/>
      </w:r>
      <w:r>
        <w:rPr>
          <w:rStyle w:val="9"/>
          <w:rFonts w:ascii="Times New Roman" w:hAnsi="Times New Roman" w:cs="Times New Roman"/>
          <w:sz w:val="24"/>
          <w:szCs w:val="24"/>
          <w:lang w:val="fr-FR"/>
        </w:rPr>
        <w:t>http://dx.doi.org/10.4102/ojvr.v81i1.594https://doi.org/10.4102/ojvr.v81i1.594</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1112F679">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9. Garba, A R I, Adakal, H, Abasse, T, Koudouvo, K, Karim, S, Akourki, A, et al., (2019). Ethnobotanical studies of plants used in the treatment of digestive parasitoses of small ruminants (sheep) in the South West of Niger. Int J Bio Chem Sci, 13(1534)</w:t>
      </w:r>
      <w:r>
        <w:t xml:space="preserve"> </w:t>
      </w:r>
      <w:r>
        <w:fldChar w:fldCharType="begin"/>
      </w:r>
      <w:r>
        <w:instrText xml:space="preserve"> HYPERLINK "https://doi.org/10.4314/ijbcs.v13i3.26" </w:instrText>
      </w:r>
      <w:r>
        <w:fldChar w:fldCharType="separate"/>
      </w:r>
      <w:r>
        <w:rPr>
          <w:rStyle w:val="9"/>
          <w:rFonts w:ascii="Times New Roman" w:hAnsi="Times New Roman" w:cs="Times New Roman"/>
          <w:sz w:val="24"/>
          <w:szCs w:val="24"/>
          <w:lang w:val="fr-FR"/>
        </w:rPr>
        <w:t>https://doi.org/10.4314/ijbcs.v13i3.26</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1F864BDD">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10. Eiki, N, Sebola, N, Sakong, B, Mabelebele, M, (2021). Review on Ethnoveterinary Practices in Sub-Saharan Africa. Veterinary Sciences, 88-99 </w:t>
      </w:r>
      <w:r>
        <w:fldChar w:fldCharType="begin"/>
      </w:r>
      <w:r>
        <w:instrText xml:space="preserve"> HYPERLINK "https://doi.org/10.3390/vetsci8060099" </w:instrText>
      </w:r>
      <w:r>
        <w:fldChar w:fldCharType="separate"/>
      </w:r>
      <w:r>
        <w:rPr>
          <w:rStyle w:val="9"/>
          <w:rFonts w:ascii="Times New Roman" w:hAnsi="Times New Roman" w:cs="Times New Roman"/>
          <w:sz w:val="24"/>
          <w:szCs w:val="24"/>
          <w:lang w:val="fr-FR"/>
        </w:rPr>
        <w:t>https://doi.org/10.3390/vetsci8060099</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7E1910D5">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11. Luseba, D, &amp; Van der Merwe, D, (2006). Ethnoveterinary medicine practices among Tsonga speaking people of South Africa. Onderstepoort Journal of Veterinary Research, 73(2), 115-122.</w:t>
      </w:r>
      <w:r>
        <w:t xml:space="preserve"> </w:t>
      </w:r>
      <w:r>
        <w:fldChar w:fldCharType="begin"/>
      </w:r>
      <w:r>
        <w:instrText xml:space="preserve"> HYPERLINK "https://doi.org/10.4102/ojvr.v73i2.156" </w:instrText>
      </w:r>
      <w:r>
        <w:fldChar w:fldCharType="separate"/>
      </w:r>
      <w:r>
        <w:rPr>
          <w:rStyle w:val="9"/>
          <w:rFonts w:ascii="Times New Roman" w:hAnsi="Times New Roman" w:cs="Times New Roman"/>
          <w:sz w:val="24"/>
          <w:szCs w:val="24"/>
          <w:lang w:val="fr-FR"/>
        </w:rPr>
        <w:t>https://doi.org/10.4102/ojvr.v73i2.156</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22A7BA62">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12. McGaw, L J, Famuyide, I M, Khunoana, E T, Aremu A O., (2020). Ethnoveterinary botanical medicine in South Africa: a review of research from the last decade (2009 to 2019), Journal of Ethnopharmacology, 257, 1-13.</w:t>
      </w:r>
      <w:r>
        <w:t xml:space="preserve"> </w:t>
      </w:r>
      <w:r>
        <w:fldChar w:fldCharType="begin"/>
      </w:r>
      <w:r>
        <w:instrText xml:space="preserve"> HYPERLINK "https://doi.org/10.1016/j.jep.2020.112864" </w:instrText>
      </w:r>
      <w:r>
        <w:fldChar w:fldCharType="separate"/>
      </w:r>
      <w:r>
        <w:rPr>
          <w:rStyle w:val="9"/>
          <w:rFonts w:ascii="Times New Roman" w:hAnsi="Times New Roman" w:cs="Times New Roman"/>
          <w:sz w:val="24"/>
          <w:szCs w:val="24"/>
          <w:lang w:val="fr-FR"/>
        </w:rPr>
        <w:t>https://doi.org/10.1016/j.jep.2020.112864</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17A616F3">
      <w:pPr>
        <w:spacing w:line="360" w:lineRule="auto"/>
        <w:ind w:left="45"/>
        <w:jc w:val="both"/>
        <w:rPr>
          <w:rFonts w:ascii="Times New Roman" w:hAnsi="Times New Roman" w:cs="Times New Roman"/>
          <w:sz w:val="24"/>
          <w:szCs w:val="24"/>
          <w:lang w:val="fr-FR"/>
        </w:rPr>
      </w:pPr>
    </w:p>
    <w:p w14:paraId="59CB177B">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13. Hien, D F S, Pagabeleguem, S, Pooda, S H, Zonon, K, Sanou, H, Somda, M. B, et al. (2024). Livestock farmers' perceptions of vector-borne and zoonotic diseases related to urban livestock farming in Bobo-Dioulasso, Burkina Faso. Science et technique, 47(1), 91-110, 2024. ISSN 1011-6028</w:t>
      </w:r>
    </w:p>
    <w:p w14:paraId="5F50B428">
      <w:pPr>
        <w:spacing w:line="360" w:lineRule="auto"/>
        <w:ind w:left="45"/>
        <w:jc w:val="both"/>
        <w:rPr>
          <w:rFonts w:ascii="Times New Roman" w:hAnsi="Times New Roman" w:cs="Times New Roman"/>
          <w:sz w:val="24"/>
          <w:szCs w:val="24"/>
          <w:lang w:val="fr-FR"/>
        </w:rPr>
      </w:pPr>
    </w:p>
    <w:p w14:paraId="361C40A4">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14. Ilboudo, A K, Dione M, Nijhof, A M, Groschup, M H, Traoré, O, Ilboubo, G S, et al. (2025). Factors associated with knowledge, attitudes, and practices of mixed crop-livestock farmers on Crimean-Congo hemorrhagic fever (CCHF) and other zoonoses in Burkina Faso. One Health, 20, 1-11.</w:t>
      </w:r>
      <w:r>
        <w:t xml:space="preserve"> </w:t>
      </w:r>
      <w:r>
        <w:fldChar w:fldCharType="begin"/>
      </w:r>
      <w:r>
        <w:instrText xml:space="preserve"> HYPERLINK "https://doi.org/10.1016/j.onehlt.2025.101066" </w:instrText>
      </w:r>
      <w:r>
        <w:fldChar w:fldCharType="separate"/>
      </w:r>
      <w:r>
        <w:rPr>
          <w:rStyle w:val="9"/>
          <w:rFonts w:ascii="Times New Roman" w:hAnsi="Times New Roman" w:cs="Times New Roman"/>
          <w:sz w:val="24"/>
          <w:szCs w:val="24"/>
          <w:lang w:val="fr-FR"/>
        </w:rPr>
        <w:t>https://doi.org/10.1016/j.onehlt.2025.101066</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74E8B2CF">
      <w:pPr>
        <w:spacing w:line="360" w:lineRule="auto"/>
        <w:ind w:left="45"/>
        <w:jc w:val="both"/>
        <w:rPr>
          <w:rFonts w:ascii="Times New Roman" w:hAnsi="Times New Roman" w:cs="Times New Roman"/>
          <w:sz w:val="24"/>
          <w:szCs w:val="24"/>
          <w:lang w:val="fr-FR"/>
        </w:rPr>
      </w:pPr>
    </w:p>
    <w:p w14:paraId="1E20AA3C">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15. Djibril, A. S. D., Bothon, F. T. D., Boko, K. C., Koutinhouin, B. G., &amp; Farougou, S. (2024). Farmers’ perceptions of bovine brucellosis in Benin. Veterinary World, 17(2), 434.</w:t>
      </w:r>
      <w:r>
        <w:t xml:space="preserve"> </w:t>
      </w:r>
      <w:r>
        <w:fldChar w:fldCharType="begin"/>
      </w:r>
      <w:r>
        <w:instrText xml:space="preserve"> HYPERLINK "https://doi.org/10.14202/vetworld.2024.434-447" </w:instrText>
      </w:r>
      <w:r>
        <w:fldChar w:fldCharType="separate"/>
      </w:r>
      <w:r>
        <w:rPr>
          <w:rStyle w:val="9"/>
          <w:rFonts w:ascii="Times New Roman" w:hAnsi="Times New Roman" w:cs="Times New Roman"/>
          <w:sz w:val="24"/>
          <w:szCs w:val="24"/>
          <w:lang w:val="fr-FR"/>
        </w:rPr>
        <w:t>https://doi.org/10.14202/vetworld.2024.434-447</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662F7D29">
      <w:pPr>
        <w:spacing w:line="360" w:lineRule="auto"/>
        <w:ind w:left="45"/>
        <w:jc w:val="both"/>
        <w:rPr>
          <w:rFonts w:ascii="Times New Roman" w:hAnsi="Times New Roman" w:cs="Times New Roman"/>
          <w:sz w:val="24"/>
          <w:szCs w:val="24"/>
          <w:lang w:val="fr-FR"/>
        </w:rPr>
      </w:pPr>
    </w:p>
    <w:p w14:paraId="46E18508">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16. Lesne, J. (2021). The emergence of infectious diseases of zoonotic origin: ecological complexity and socio-economic responsibilities. Environment, Risks &amp; Health, (3), 244-257.</w:t>
      </w:r>
      <w:r>
        <w:t xml:space="preserve"> </w:t>
      </w:r>
      <w:r>
        <w:fldChar w:fldCharType="begin"/>
      </w:r>
      <w:r>
        <w:instrText xml:space="preserve"> HYPERLINK "https://doi.org/10.1684/ers.2021.1560" </w:instrText>
      </w:r>
      <w:r>
        <w:fldChar w:fldCharType="separate"/>
      </w:r>
      <w:r>
        <w:rPr>
          <w:rStyle w:val="9"/>
          <w:rFonts w:ascii="Times New Roman" w:hAnsi="Times New Roman" w:cs="Times New Roman"/>
          <w:sz w:val="24"/>
          <w:szCs w:val="24"/>
          <w:lang w:val="fr-FR"/>
        </w:rPr>
        <w:t>https://doi.org/10.1684/ers.2021.1560</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54B95667">
      <w:pPr>
        <w:spacing w:line="360" w:lineRule="auto"/>
        <w:ind w:left="45"/>
        <w:jc w:val="both"/>
        <w:rPr>
          <w:rFonts w:ascii="Times New Roman" w:hAnsi="Times New Roman" w:cs="Times New Roman"/>
          <w:sz w:val="24"/>
          <w:szCs w:val="24"/>
          <w:lang w:val="fr-FR"/>
        </w:rPr>
      </w:pPr>
    </w:p>
    <w:p w14:paraId="653486BB">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17. WHO/FAO/OIE. (2019). Taking a Multisectoral, One Health Approach: A Tripartite Guide to Addressing Zoonotic Diseases in Countries. World Health Organization (WHO), Food and Agriculture Organization of the United Nations (FAO) and World Organization for Animal Health (OIE). Geneva/Rome/Paris. ISBN: 978-92-4-151493-4 (WHO) </w:t>
      </w:r>
      <w:r>
        <w:fldChar w:fldCharType="begin"/>
      </w:r>
      <w:r>
        <w:instrText xml:space="preserve"> HYPERLINK "https://iris.who.int/server/api/core/bitstreams/00a4190f-ff85-4959-b020-db11bca0565b/content" </w:instrText>
      </w:r>
      <w:r>
        <w:fldChar w:fldCharType="separate"/>
      </w:r>
      <w:r>
        <w:rPr>
          <w:rStyle w:val="9"/>
          <w:rFonts w:ascii="Times New Roman" w:hAnsi="Times New Roman" w:cs="Times New Roman"/>
          <w:sz w:val="24"/>
          <w:szCs w:val="24"/>
          <w:lang w:val="fr-FR"/>
        </w:rPr>
        <w:t>https://iris.who.int/server/api/core/bitstreams/00a4190f-ff85-4959-b020-db11bca0565b/content</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2B21A18E">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18. Bissong, M E A, Lyombe, J C N, Asongalem, E, Ngamsha, R B, Tendongfor N. (2022). Zoonotic diseases risk perception and infection prevention and control practices among poultry farmers in the Buea Health District, Cameroon: A one health perspective. VetWorld. 15(11):2744-2753. </w:t>
      </w:r>
      <w:r>
        <w:fldChar w:fldCharType="begin"/>
      </w:r>
      <w:r>
        <w:instrText xml:space="preserve"> HYPERLINK "https://doi.org/10.14202/vetworld.2022.2744-2753" </w:instrText>
      </w:r>
      <w:r>
        <w:fldChar w:fldCharType="separate"/>
      </w:r>
      <w:r>
        <w:rPr>
          <w:rStyle w:val="9"/>
          <w:rFonts w:ascii="Times New Roman" w:hAnsi="Times New Roman" w:cs="Times New Roman"/>
          <w:sz w:val="24"/>
          <w:szCs w:val="24"/>
          <w:lang w:val="fr-FR"/>
        </w:rPr>
        <w:t>https://doi.org/10.14202/vetworld.2022.2744-2753</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443F9476">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19. INSD (2022). Fifth General Population and Housing Census of Burkina Faso. Summary of final results [Internet]. Ouagadougou. Available from: </w:t>
      </w:r>
      <w:r>
        <w:fldChar w:fldCharType="begin"/>
      </w:r>
      <w:r>
        <w:instrText xml:space="preserve"> HYPERLINK "https://www.insd.bf/fr/file-download/download/public/2071" </w:instrText>
      </w:r>
      <w:r>
        <w:fldChar w:fldCharType="separate"/>
      </w:r>
      <w:r>
        <w:rPr>
          <w:rStyle w:val="9"/>
          <w:rFonts w:ascii="Times New Roman" w:hAnsi="Times New Roman" w:cs="Times New Roman"/>
          <w:sz w:val="24"/>
          <w:szCs w:val="24"/>
          <w:lang w:val="fr-FR"/>
        </w:rPr>
        <w:t>https://www.insd.bf/fr/file-download/download/public/2071</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562F3E78">
      <w:pPr>
        <w:spacing w:line="360" w:lineRule="auto"/>
        <w:ind w:left="45"/>
        <w:jc w:val="both"/>
        <w:rPr>
          <w:rFonts w:ascii="Times New Roman" w:hAnsi="Times New Roman" w:cs="Times New Roman"/>
          <w:sz w:val="24"/>
          <w:szCs w:val="24"/>
          <w:lang w:val="fr-FR"/>
        </w:rPr>
      </w:pPr>
    </w:p>
    <w:p w14:paraId="6D7C65FF">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20. MEEVCC (2017). 2015 Yearbook of Environmental Statistics. Forestry Sector Support Program (PASF) [Internet]. Ouagadougou. Available from: </w:t>
      </w:r>
      <w:r>
        <w:fldChar w:fldCharType="begin"/>
      </w:r>
      <w:r>
        <w:instrText xml:space="preserve"> HYPERLINK "https://www.environnement.gov.bf/fileadmin/user_upload/rapport_de_l_annuaire_des_statistiques_de_l__environnement_2015.pdf" </w:instrText>
      </w:r>
      <w:r>
        <w:fldChar w:fldCharType="separate"/>
      </w:r>
      <w:r>
        <w:rPr>
          <w:rStyle w:val="9"/>
          <w:rFonts w:ascii="Times New Roman" w:hAnsi="Times New Roman" w:cs="Times New Roman"/>
          <w:sz w:val="24"/>
          <w:szCs w:val="24"/>
          <w:lang w:val="fr-FR"/>
        </w:rPr>
        <w:t>https://www.environnement.gov.bf/fileadmin/user_upload/rapport_de_l_annuaire_des_statistiques_de_l__environnement_2015.pdf</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5861D0C3">
      <w:pPr>
        <w:spacing w:line="360" w:lineRule="auto"/>
        <w:ind w:left="45"/>
        <w:jc w:val="both"/>
        <w:rPr>
          <w:rFonts w:ascii="Times New Roman" w:hAnsi="Times New Roman" w:cs="Times New Roman"/>
          <w:sz w:val="24"/>
          <w:szCs w:val="24"/>
          <w:lang w:val="fr-FR"/>
        </w:rPr>
      </w:pPr>
    </w:p>
    <w:p w14:paraId="3B929CAF">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21. Kasiulevičius, V, Šapoka, V, &amp; Filipavičiūtė, R, (2006) Sample size calculation in epidemiological studies. Gerontologija, 7(4), 225-231.-</w:t>
      </w:r>
      <w:r>
        <w:t xml:space="preserve"> </w:t>
      </w:r>
      <w:r>
        <w:fldChar w:fldCharType="begin"/>
      </w:r>
      <w:r>
        <w:instrText xml:space="preserve"> HYPERLINK "http://www.gerontologija.lt/files/edit_files//File/pdf/2006/nr_4/2006_225_231.pdf" </w:instrText>
      </w:r>
      <w:r>
        <w:fldChar w:fldCharType="separate"/>
      </w:r>
      <w:r>
        <w:rPr>
          <w:rStyle w:val="9"/>
          <w:rFonts w:ascii="Times New Roman" w:hAnsi="Times New Roman" w:cs="Times New Roman"/>
          <w:sz w:val="24"/>
          <w:szCs w:val="24"/>
          <w:lang w:val="fr-FR"/>
        </w:rPr>
        <w:t>http://www.gerontologija.lt/files/edit_files//File/pdf/2006/nr_4/2006_225_231.pdf</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44B348C8">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22. Slovin, M B, Sushka, M E, Polonchek, J A, (2005). Methods of Payment in Asset Sales: Contracting with Equity versus Cash. The Journal of Finance. vol 60, pp2385–2407.</w:t>
      </w:r>
      <w:r>
        <w:t xml:space="preserve"> </w:t>
      </w:r>
      <w:r>
        <w:fldChar w:fldCharType="begin"/>
      </w:r>
      <w:r>
        <w:instrText xml:space="preserve"> HYPERLINK "https://doi.org/10.1111/j.1540-6261.2005.00802.x" </w:instrText>
      </w:r>
      <w:r>
        <w:fldChar w:fldCharType="separate"/>
      </w:r>
      <w:r>
        <w:rPr>
          <w:rStyle w:val="9"/>
          <w:rFonts w:ascii="Times New Roman" w:hAnsi="Times New Roman" w:cs="Times New Roman"/>
          <w:sz w:val="24"/>
          <w:szCs w:val="24"/>
          <w:lang w:val="fr-FR"/>
        </w:rPr>
        <w:t>https://doi.org/10.1111/j.1540-6261.2005.00802.x</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bookmarkEnd w:id="0"/>
    <w:p w14:paraId="5423E3F6">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23.</w:t>
      </w:r>
      <w:r>
        <w:rPr>
          <w:rFonts w:ascii="Times New Roman" w:hAnsi="Times New Roman" w:cs="Times New Roman"/>
          <w:sz w:val="24"/>
          <w:szCs w:val="24"/>
          <w:lang w:val="fr-FR"/>
        </w:rPr>
        <w:tab/>
      </w:r>
      <w:r>
        <w:rPr>
          <w:rFonts w:ascii="Times New Roman" w:hAnsi="Times New Roman" w:cs="Times New Roman"/>
          <w:sz w:val="24"/>
          <w:szCs w:val="24"/>
          <w:lang w:val="fr-FR"/>
        </w:rPr>
        <w:t>Fushai, F, Chitura, T, &amp; Oke, O E, (2025). Climate-smart livestock nutrition in semi-arid Southern African agricultural systems. Frontiers in Veterinary Science, 12, 1507152.</w:t>
      </w:r>
      <w:r>
        <w:t xml:space="preserve"> </w:t>
      </w:r>
      <w:r>
        <w:fldChar w:fldCharType="begin"/>
      </w:r>
      <w:r>
        <w:instrText xml:space="preserve"> HYPERLINK "https://doi.org/10.3389/fvets.2025.1507152" </w:instrText>
      </w:r>
      <w:r>
        <w:fldChar w:fldCharType="separate"/>
      </w:r>
      <w:r>
        <w:rPr>
          <w:rStyle w:val="9"/>
          <w:rFonts w:ascii="Times New Roman" w:hAnsi="Times New Roman" w:cs="Times New Roman"/>
          <w:sz w:val="24"/>
          <w:szCs w:val="24"/>
          <w:lang w:val="fr-FR"/>
        </w:rPr>
        <w:t>https://doi.org/10.3389/fvets.2025.1507152</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7FED3519">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24.</w:t>
      </w:r>
      <w:r>
        <w:rPr>
          <w:rFonts w:ascii="Times New Roman" w:hAnsi="Times New Roman" w:cs="Times New Roman"/>
          <w:sz w:val="24"/>
          <w:szCs w:val="24"/>
          <w:lang w:val="fr-FR"/>
        </w:rPr>
        <w:tab/>
      </w:r>
      <w:r>
        <w:rPr>
          <w:rFonts w:ascii="Times New Roman" w:hAnsi="Times New Roman" w:cs="Times New Roman"/>
          <w:sz w:val="24"/>
          <w:szCs w:val="24"/>
          <w:lang w:val="fr-FR"/>
        </w:rPr>
        <w:t xml:space="preserve">Paul, B T, Biu A A, Gadzama, M A, Ali, M, Mana H P, Jairus Y, (2016). Point prevalence and intensity of gastrointestinal parasite ova/oocyst and its association with Body Condition Score (BCS) of sheep and goats in Maiduguri, Nigeria. J. Adv. Parasitol., vol 3(3): pp 81-88.  DOI: </w:t>
      </w:r>
      <w:r>
        <w:fldChar w:fldCharType="begin"/>
      </w:r>
      <w:r>
        <w:instrText xml:space="preserve"> HYPERLINK "https://doi.org/10.14737/journal.jap/2016/3.3.81.88" </w:instrText>
      </w:r>
      <w:r>
        <w:fldChar w:fldCharType="separate"/>
      </w:r>
      <w:r>
        <w:rPr>
          <w:rStyle w:val="9"/>
          <w:rFonts w:ascii="Times New Roman" w:hAnsi="Times New Roman" w:cs="Times New Roman"/>
          <w:sz w:val="24"/>
          <w:szCs w:val="24"/>
          <w:lang w:val="fr-FR"/>
        </w:rPr>
        <w:t>https://doi.org/10.14737/journal.jap/2016/3.3.81.88</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4A1AED07">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25.</w:t>
      </w:r>
      <w:r>
        <w:rPr>
          <w:rFonts w:ascii="Times New Roman" w:hAnsi="Times New Roman" w:cs="Times New Roman"/>
          <w:sz w:val="24"/>
          <w:szCs w:val="24"/>
          <w:lang w:val="fr-FR"/>
        </w:rPr>
        <w:tab/>
      </w:r>
      <w:r>
        <w:rPr>
          <w:rFonts w:ascii="Times New Roman" w:hAnsi="Times New Roman" w:cs="Times New Roman"/>
          <w:sz w:val="24"/>
          <w:szCs w:val="24"/>
          <w:lang w:val="fr-FR"/>
        </w:rPr>
        <w:t xml:space="preserve"> Kone, K H C, Coulibaly, K, et Konan, K S, (2019). Identification de quelques plantes utilisées en médecine ethnovétérinaire à Sinématiali (Nord de la Côte d’Ivoire). Journal of Applied Biosciences, 135, 13766-13774.</w:t>
      </w:r>
      <w:r>
        <w:t xml:space="preserve"> </w:t>
      </w:r>
      <w:r>
        <w:fldChar w:fldCharType="begin"/>
      </w:r>
      <w:r>
        <w:instrText xml:space="preserve"> HYPERLINK "https://doi.org/10.4314/jab.v135i1.2" </w:instrText>
      </w:r>
      <w:r>
        <w:fldChar w:fldCharType="separate"/>
      </w:r>
      <w:r>
        <w:rPr>
          <w:rStyle w:val="9"/>
          <w:rFonts w:ascii="Times New Roman" w:hAnsi="Times New Roman" w:cs="Times New Roman"/>
          <w:sz w:val="24"/>
          <w:szCs w:val="24"/>
          <w:lang w:val="fr-FR"/>
        </w:rPr>
        <w:t>https://doi.org/10.4314/jab.v135i1.2</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06040395">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26.</w:t>
      </w:r>
      <w:r>
        <w:rPr>
          <w:rFonts w:ascii="Times New Roman" w:hAnsi="Times New Roman" w:cs="Times New Roman"/>
          <w:sz w:val="24"/>
          <w:szCs w:val="24"/>
          <w:lang w:val="fr-FR"/>
        </w:rPr>
        <w:tab/>
      </w:r>
      <w:r>
        <w:rPr>
          <w:rFonts w:ascii="Times New Roman" w:hAnsi="Times New Roman" w:cs="Times New Roman"/>
          <w:sz w:val="24"/>
          <w:szCs w:val="24"/>
          <w:lang w:val="fr-FR"/>
        </w:rPr>
        <w:t>Traoré, L, Yaro, V S O, Soudré, A, Ouedraogo-Kone, S, Ouedraogo, D, Yougbare, B, et al., (2020). Indigenous knowledge of veterinary medicinal plant use in cattle treatment in southwestern Burkina Faso (West Africa). South African Journal of Botany, 128, 189-199.</w:t>
      </w:r>
      <w:r>
        <w:t xml:space="preserve"> </w:t>
      </w:r>
      <w:r>
        <w:fldChar w:fldCharType="begin"/>
      </w:r>
      <w:r>
        <w:instrText xml:space="preserve"> HYPERLINK "https://doi.org/10.1016/j.sajb.2019.09.015" </w:instrText>
      </w:r>
      <w:r>
        <w:fldChar w:fldCharType="separate"/>
      </w:r>
      <w:r>
        <w:rPr>
          <w:rStyle w:val="9"/>
          <w:rFonts w:ascii="Times New Roman" w:hAnsi="Times New Roman" w:cs="Times New Roman"/>
          <w:sz w:val="24"/>
          <w:szCs w:val="24"/>
          <w:lang w:val="fr-FR"/>
        </w:rPr>
        <w:t>https://doi.org/10.1016/j.sajb.2019.09.015</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630A1D08">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27.</w:t>
      </w:r>
      <w:r>
        <w:rPr>
          <w:rFonts w:ascii="Times New Roman" w:hAnsi="Times New Roman" w:cs="Times New Roman"/>
          <w:sz w:val="24"/>
          <w:szCs w:val="24"/>
          <w:lang w:val="fr-FR"/>
        </w:rPr>
        <w:tab/>
      </w:r>
      <w:r>
        <w:rPr>
          <w:rFonts w:ascii="Times New Roman" w:hAnsi="Times New Roman" w:cs="Times New Roman"/>
          <w:sz w:val="24"/>
          <w:szCs w:val="24"/>
          <w:lang w:val="fr-FR"/>
        </w:rPr>
        <w:t xml:space="preserve">Jaime, G, Hobeika, A, et Figuié, (2022). M. Access to veterinary drugs in sub saharan africa: roadblocks and current solutions. Front Vet Sci.; 8 (558973). </w:t>
      </w:r>
      <w:r>
        <w:fldChar w:fldCharType="begin"/>
      </w:r>
      <w:r>
        <w:instrText xml:space="preserve"> HYPERLINK "https://doi.org/10.3389/fvets.2021.558973" </w:instrText>
      </w:r>
      <w:r>
        <w:fldChar w:fldCharType="separate"/>
      </w:r>
      <w:r>
        <w:rPr>
          <w:rStyle w:val="9"/>
          <w:rFonts w:ascii="Times New Roman" w:hAnsi="Times New Roman" w:cs="Times New Roman"/>
          <w:sz w:val="24"/>
          <w:szCs w:val="24"/>
          <w:lang w:val="fr-FR"/>
        </w:rPr>
        <w:t>https://doi.org/10.3389/fvets.2021.558973</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160894B3">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28.</w:t>
      </w:r>
      <w:r>
        <w:rPr>
          <w:rFonts w:ascii="Times New Roman" w:hAnsi="Times New Roman" w:cs="Times New Roman"/>
          <w:sz w:val="24"/>
          <w:szCs w:val="24"/>
          <w:lang w:val="fr-FR"/>
        </w:rPr>
        <w:tab/>
      </w:r>
      <w:r>
        <w:rPr>
          <w:rFonts w:ascii="Times New Roman" w:hAnsi="Times New Roman" w:cs="Times New Roman"/>
          <w:sz w:val="24"/>
          <w:szCs w:val="24"/>
          <w:lang w:val="fr-FR"/>
        </w:rPr>
        <w:t xml:space="preserve">Marandure, T, Dzama, K, Bennett, J, Makombe, G, Chikwahna, O, &amp; Mapiye, C, (2020) challenge-derived indicators for assessing sustainability of low-input ruminant production systems in sub-Saharan Africa. Environmental and Sustainability Indicators, 8. </w:t>
      </w:r>
      <w:r>
        <w:fldChar w:fldCharType="begin"/>
      </w:r>
      <w:r>
        <w:instrText xml:space="preserve"> HYPERLINK "https://doi.org/10.1016/j.indic.2020.100060" </w:instrText>
      </w:r>
      <w:r>
        <w:fldChar w:fldCharType="separate"/>
      </w:r>
      <w:r>
        <w:rPr>
          <w:rStyle w:val="9"/>
          <w:rFonts w:ascii="Times New Roman" w:hAnsi="Times New Roman" w:cs="Times New Roman"/>
          <w:sz w:val="24"/>
          <w:szCs w:val="24"/>
          <w:lang w:val="fr-FR"/>
        </w:rPr>
        <w:t>https://doi.org/10.1016/j.indic.2020.100060</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623D53DE">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29.</w:t>
      </w:r>
      <w:r>
        <w:rPr>
          <w:rFonts w:ascii="Times New Roman" w:hAnsi="Times New Roman" w:cs="Times New Roman"/>
          <w:sz w:val="24"/>
          <w:szCs w:val="24"/>
          <w:lang w:val="fr-FR"/>
        </w:rPr>
        <w:tab/>
      </w:r>
      <w:r>
        <w:rPr>
          <w:rFonts w:ascii="Times New Roman" w:hAnsi="Times New Roman" w:cs="Times New Roman"/>
          <w:sz w:val="24"/>
          <w:szCs w:val="24"/>
          <w:lang w:val="fr-FR"/>
        </w:rPr>
        <w:t xml:space="preserve">Shahzad, S, Akinsulie, O C, Idris I, Devnath, P, Ajagbe, D, Aliyu, V A, et al., (2025). Ticks and tickborne diseases in Global South countries: impact and implications of environmental changes. Frontiers in Tropical Diseases, 6 (1597236), 1-8. </w:t>
      </w:r>
      <w:r>
        <w:fldChar w:fldCharType="begin"/>
      </w:r>
      <w:r>
        <w:instrText xml:space="preserve"> HYPERLINK "https://doi.org/10.3389/fitd.2025.1597236" </w:instrText>
      </w:r>
      <w:r>
        <w:fldChar w:fldCharType="separate"/>
      </w:r>
      <w:r>
        <w:rPr>
          <w:rStyle w:val="9"/>
          <w:rFonts w:ascii="Times New Roman" w:hAnsi="Times New Roman" w:cs="Times New Roman"/>
          <w:sz w:val="24"/>
          <w:szCs w:val="24"/>
          <w:lang w:val="fr-FR"/>
        </w:rPr>
        <w:t>https://doi.org/10.3389/fitd.2025.1597236</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p w14:paraId="4C86F87D">
      <w:pPr>
        <w:spacing w:line="360" w:lineRule="auto"/>
        <w:ind w:left="45"/>
        <w:jc w:val="both"/>
        <w:rPr>
          <w:rFonts w:ascii="Times New Roman" w:hAnsi="Times New Roman" w:cs="Times New Roman"/>
          <w:sz w:val="24"/>
          <w:szCs w:val="24"/>
          <w:lang w:val="fr-FR"/>
        </w:rPr>
      </w:pPr>
      <w:r>
        <w:rPr>
          <w:rFonts w:ascii="Times New Roman" w:hAnsi="Times New Roman" w:cs="Times New Roman"/>
          <w:sz w:val="24"/>
          <w:szCs w:val="24"/>
          <w:lang w:val="fr-FR"/>
        </w:rPr>
        <w:t>30.</w:t>
      </w:r>
      <w:r>
        <w:rPr>
          <w:rFonts w:ascii="Times New Roman" w:hAnsi="Times New Roman" w:cs="Times New Roman"/>
          <w:sz w:val="24"/>
          <w:szCs w:val="24"/>
          <w:lang w:val="fr-FR"/>
        </w:rPr>
        <w:tab/>
      </w:r>
      <w:r>
        <w:rPr>
          <w:rFonts w:ascii="Times New Roman" w:hAnsi="Times New Roman" w:cs="Times New Roman"/>
          <w:sz w:val="24"/>
          <w:szCs w:val="24"/>
          <w:lang w:val="fr-FR"/>
        </w:rPr>
        <w:t xml:space="preserve">Tamboura, H, Kaboré, H, Yaméogo, S. M. (1998). Ethnomédecine vétérinaire et pharmacopée traditionnelle dans le plateau central du Burkina Faso : cas de la province du Passoré. Biotechnology, Agronomy and Society and Environment, 2, 181-191 </w:t>
      </w:r>
      <w:r>
        <w:fldChar w:fldCharType="begin"/>
      </w:r>
      <w:r>
        <w:instrText xml:space="preserve"> HYPERLINK "https://popups.uliege.be/base/article/view/792" </w:instrText>
      </w:r>
      <w:r>
        <w:fldChar w:fldCharType="separate"/>
      </w:r>
      <w:r>
        <w:rPr>
          <w:rStyle w:val="9"/>
          <w:rFonts w:ascii="Times New Roman" w:hAnsi="Times New Roman" w:cs="Times New Roman"/>
          <w:sz w:val="24"/>
          <w:szCs w:val="24"/>
          <w:lang w:val="fr-FR"/>
        </w:rPr>
        <w:t>https://popups.uliege.be/base/article/view/792</w:t>
      </w:r>
      <w:r>
        <w:rPr>
          <w:rStyle w:val="9"/>
          <w:rFonts w:ascii="Times New Roman" w:hAnsi="Times New Roman" w:cs="Times New Roman"/>
          <w:sz w:val="24"/>
          <w:szCs w:val="24"/>
          <w:lang w:val="fr-FR"/>
        </w:rPr>
        <w:fldChar w:fldCharType="end"/>
      </w:r>
      <w:r>
        <w:rPr>
          <w:rFonts w:ascii="Times New Roman" w:hAnsi="Times New Roman" w:cs="Times New Roman"/>
          <w:sz w:val="24"/>
          <w:szCs w:val="24"/>
          <w:lang w:val="fr-FR"/>
        </w:rPr>
        <w:t xml:space="preserve"> </w:t>
      </w:r>
    </w:p>
    <w:sectPr>
      <w:headerReference r:id="rId9" w:type="first"/>
      <w:footerReference r:id="rId12" w:type="first"/>
      <w:headerReference r:id="rId7" w:type="default"/>
      <w:footerReference r:id="rId10" w:type="default"/>
      <w:headerReference r:id="rId8" w:type="even"/>
      <w:footerReference r:id="rId11" w:type="even"/>
      <w:pgSz w:w="12240" w:h="15840"/>
      <w:pgMar w:top="1417" w:right="1417" w:bottom="1417" w:left="1417" w:header="708" w:footer="708" w:gutter="0"/>
      <w:cols w:space="708"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1029605" w:date="2025-12-07T01:37:15Z" w:initials="1">
    <w:p w14:paraId="690A3693">
      <w:pPr>
        <w:pStyle w:val="5"/>
        <w:rPr>
          <w:rFonts w:hint="default"/>
          <w:lang w:val="en-GB"/>
        </w:rPr>
      </w:pPr>
      <w:r>
        <w:rPr>
          <w:rFonts w:hint="default"/>
          <w:lang w:val="en-GB"/>
        </w:rPr>
        <w:t>This allows further probing</w:t>
      </w:r>
    </w:p>
  </w:comment>
  <w:comment w:id="1" w:author="1029605" w:date="2025-12-07T01:40:26Z" w:initials="1">
    <w:p w14:paraId="326284A3">
      <w:pPr>
        <w:pStyle w:val="5"/>
        <w:rPr>
          <w:rFonts w:hint="default"/>
          <w:lang w:val="en-GB"/>
        </w:rPr>
      </w:pPr>
      <w:r>
        <w:rPr>
          <w:rFonts w:hint="default"/>
          <w:lang w:val="en-GB"/>
        </w:rPr>
        <w:t>Covert this into USD or put in brackets</w:t>
      </w:r>
    </w:p>
  </w:comment>
  <w:comment w:id="2" w:author="1029605" w:date="2025-12-07T01:42:06Z" w:initials="1">
    <w:p w14:paraId="5988F0FC">
      <w:pPr>
        <w:pStyle w:val="5"/>
        <w:rPr>
          <w:rFonts w:hint="default"/>
          <w:lang w:val="en-GB"/>
        </w:rPr>
      </w:pPr>
      <w:r>
        <w:rPr>
          <w:rFonts w:hint="default"/>
          <w:lang w:val="en-GB"/>
        </w:rPr>
        <w:t>USD in brackets</w:t>
      </w:r>
    </w:p>
  </w:comment>
  <w:comment w:id="3" w:author="1029605" w:date="2025-12-07T01:57:13Z" w:initials="1">
    <w:p w14:paraId="322BA159">
      <w:pPr>
        <w:pStyle w:val="5"/>
        <w:rPr>
          <w:rFonts w:hint="default"/>
          <w:lang w:val="en-GB"/>
        </w:rPr>
      </w:pPr>
      <w:r>
        <w:rPr>
          <w:rFonts w:hint="default"/>
          <w:lang w:val="en-GB"/>
        </w:rPr>
        <w:t>They should be arranged alphabetically and not in numbering since ate cited in text and if not cited, should not be listed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90A3693" w15:done="0"/>
  <w15:commentEx w15:paraId="326284A3" w15:done="0"/>
  <w15:commentEx w15:paraId="5988F0FC" w15:done="0"/>
  <w15:commentEx w15:paraId="322BA15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5EF29">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68DE8">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48FAA">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DB267">
    <w:pPr>
      <w:pStyle w:val="8"/>
    </w:pPr>
    <w:r>
      <w:pict>
        <v:shape id="PowerPlusWaterMarkObject374761377" o:spid="_x0000_s4098" o:spt="136" type="#_x0000_t136" style="position:absolute;left:0pt;height:104.65pt;width:558.3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6AAA3">
    <w:pPr>
      <w:pStyle w:val="8"/>
    </w:pPr>
    <w:r>
      <w:pict>
        <v:shape id="PowerPlusWaterMarkObject374761376" o:spid="_x0000_s4099" o:spt="136" type="#_x0000_t136" style="position:absolute;left:0pt;height:104.65pt;width:558.3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5D961">
    <w:pPr>
      <w:pStyle w:val="8"/>
    </w:pPr>
    <w:r>
      <w:pict>
        <v:shape id="PowerPlusWaterMarkObject374761375" o:spid="_x0000_s4097" o:spt="136" type="#_x0000_t136" style="position:absolute;left:0pt;height:104.65pt;width:558.3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1029605">
    <w15:presenceInfo w15:providerId="None" w15:userId="10296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trackRevisions w:val="1"/>
  <w:documentProtection w:enforcement="0"/>
  <w:defaultTabStop w:val="720"/>
  <w:characterSpacingControl w:val="doNotCompress"/>
  <w:hdrShapeDefaults>
    <o:shapelayout v:ext="edit">
      <o:idmap v:ext="edit" data="3,4"/>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AE3"/>
    <w:rsid w:val="00030324"/>
    <w:rsid w:val="0005020F"/>
    <w:rsid w:val="00074C74"/>
    <w:rsid w:val="00076001"/>
    <w:rsid w:val="00087049"/>
    <w:rsid w:val="000A0569"/>
    <w:rsid w:val="000B157F"/>
    <w:rsid w:val="000B6C4E"/>
    <w:rsid w:val="000C7AA6"/>
    <w:rsid w:val="000D6FF7"/>
    <w:rsid w:val="00113211"/>
    <w:rsid w:val="00145C25"/>
    <w:rsid w:val="00196033"/>
    <w:rsid w:val="001A1CFE"/>
    <w:rsid w:val="001A65C8"/>
    <w:rsid w:val="001B33BA"/>
    <w:rsid w:val="001B73FB"/>
    <w:rsid w:val="001C2A2D"/>
    <w:rsid w:val="001F2797"/>
    <w:rsid w:val="00234B2F"/>
    <w:rsid w:val="00287134"/>
    <w:rsid w:val="002A2870"/>
    <w:rsid w:val="002B4D31"/>
    <w:rsid w:val="002D26C5"/>
    <w:rsid w:val="00305EF3"/>
    <w:rsid w:val="0032607A"/>
    <w:rsid w:val="00335FE7"/>
    <w:rsid w:val="00350407"/>
    <w:rsid w:val="003616ED"/>
    <w:rsid w:val="00380409"/>
    <w:rsid w:val="003B034C"/>
    <w:rsid w:val="003B4D86"/>
    <w:rsid w:val="003D1DDE"/>
    <w:rsid w:val="003E0D60"/>
    <w:rsid w:val="00412279"/>
    <w:rsid w:val="004150A1"/>
    <w:rsid w:val="004A1F2F"/>
    <w:rsid w:val="004E314C"/>
    <w:rsid w:val="004F23DC"/>
    <w:rsid w:val="005323A0"/>
    <w:rsid w:val="0059317E"/>
    <w:rsid w:val="005C7808"/>
    <w:rsid w:val="0063047D"/>
    <w:rsid w:val="006909B0"/>
    <w:rsid w:val="006B5149"/>
    <w:rsid w:val="006D0EB2"/>
    <w:rsid w:val="006F5B22"/>
    <w:rsid w:val="00704BE9"/>
    <w:rsid w:val="00733DF0"/>
    <w:rsid w:val="00735B1C"/>
    <w:rsid w:val="0074534C"/>
    <w:rsid w:val="00755F78"/>
    <w:rsid w:val="00780D4C"/>
    <w:rsid w:val="007A003E"/>
    <w:rsid w:val="007A1792"/>
    <w:rsid w:val="007A42BF"/>
    <w:rsid w:val="007F716F"/>
    <w:rsid w:val="008232F8"/>
    <w:rsid w:val="008631FE"/>
    <w:rsid w:val="00883BD2"/>
    <w:rsid w:val="00886B7A"/>
    <w:rsid w:val="008A5140"/>
    <w:rsid w:val="008C1372"/>
    <w:rsid w:val="008D1791"/>
    <w:rsid w:val="008E6B33"/>
    <w:rsid w:val="008E71CD"/>
    <w:rsid w:val="00900EEA"/>
    <w:rsid w:val="00905042"/>
    <w:rsid w:val="00935E88"/>
    <w:rsid w:val="009414E1"/>
    <w:rsid w:val="00967034"/>
    <w:rsid w:val="00976B2C"/>
    <w:rsid w:val="009853B6"/>
    <w:rsid w:val="009A36EA"/>
    <w:rsid w:val="00A24CFB"/>
    <w:rsid w:val="00A3174E"/>
    <w:rsid w:val="00A356BA"/>
    <w:rsid w:val="00A47739"/>
    <w:rsid w:val="00A54C5C"/>
    <w:rsid w:val="00A64871"/>
    <w:rsid w:val="00A71658"/>
    <w:rsid w:val="00AB55FA"/>
    <w:rsid w:val="00AC7B94"/>
    <w:rsid w:val="00AD6706"/>
    <w:rsid w:val="00AE0539"/>
    <w:rsid w:val="00AE330E"/>
    <w:rsid w:val="00B14D78"/>
    <w:rsid w:val="00B23783"/>
    <w:rsid w:val="00B64EFE"/>
    <w:rsid w:val="00B71AE3"/>
    <w:rsid w:val="00B7596D"/>
    <w:rsid w:val="00BC446B"/>
    <w:rsid w:val="00BD7C88"/>
    <w:rsid w:val="00BE76C8"/>
    <w:rsid w:val="00C07012"/>
    <w:rsid w:val="00C21F35"/>
    <w:rsid w:val="00C23BD4"/>
    <w:rsid w:val="00C2432F"/>
    <w:rsid w:val="00C35A8C"/>
    <w:rsid w:val="00C51DF6"/>
    <w:rsid w:val="00C56F38"/>
    <w:rsid w:val="00C607A0"/>
    <w:rsid w:val="00C60C03"/>
    <w:rsid w:val="00C900E8"/>
    <w:rsid w:val="00C932FD"/>
    <w:rsid w:val="00CA49D3"/>
    <w:rsid w:val="00CC12D0"/>
    <w:rsid w:val="00CE45EA"/>
    <w:rsid w:val="00D00993"/>
    <w:rsid w:val="00D10C87"/>
    <w:rsid w:val="00DC571F"/>
    <w:rsid w:val="00DE12FC"/>
    <w:rsid w:val="00DF4C3A"/>
    <w:rsid w:val="00DF6CAE"/>
    <w:rsid w:val="00E313F4"/>
    <w:rsid w:val="00E62210"/>
    <w:rsid w:val="00E66E56"/>
    <w:rsid w:val="00E91790"/>
    <w:rsid w:val="00EB5832"/>
    <w:rsid w:val="00EC71BB"/>
    <w:rsid w:val="00F21503"/>
    <w:rsid w:val="00F34273"/>
    <w:rsid w:val="00F66E9B"/>
    <w:rsid w:val="00F8500A"/>
    <w:rsid w:val="00FA1C58"/>
    <w:rsid w:val="00FA73CF"/>
    <w:rsid w:val="00FC3C6D"/>
    <w:rsid w:val="06A328D2"/>
    <w:rsid w:val="1E8E69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5">
    <w:name w:val="annotation text"/>
    <w:basedOn w:val="1"/>
    <w:semiHidden/>
    <w:unhideWhenUsed/>
    <w:uiPriority w:val="99"/>
    <w:pPr>
      <w:jc w:val="left"/>
    </w:pPr>
  </w:style>
  <w:style w:type="character" w:styleId="6">
    <w:name w:val="Emphasis"/>
    <w:basedOn w:val="2"/>
    <w:qFormat/>
    <w:uiPriority w:val="20"/>
    <w:rPr>
      <w:i/>
      <w:iCs/>
    </w:rPr>
  </w:style>
  <w:style w:type="paragraph" w:styleId="7">
    <w:name w:val="footer"/>
    <w:basedOn w:val="1"/>
    <w:link w:val="16"/>
    <w:unhideWhenUsed/>
    <w:uiPriority w:val="99"/>
    <w:pPr>
      <w:tabs>
        <w:tab w:val="center" w:pos="4680"/>
        <w:tab w:val="right" w:pos="9360"/>
      </w:tabs>
      <w:spacing w:after="0" w:line="240" w:lineRule="auto"/>
    </w:pPr>
  </w:style>
  <w:style w:type="paragraph" w:styleId="8">
    <w:name w:val="header"/>
    <w:basedOn w:val="1"/>
    <w:link w:val="15"/>
    <w:unhideWhenUsed/>
    <w:uiPriority w:val="99"/>
    <w:pPr>
      <w:tabs>
        <w:tab w:val="center" w:pos="4680"/>
        <w:tab w:val="right" w:pos="9360"/>
      </w:tabs>
      <w:spacing w:after="0" w:line="240" w:lineRule="auto"/>
    </w:pPr>
  </w:style>
  <w:style w:type="character" w:styleId="9">
    <w:name w:val="Hyperlink"/>
    <w:basedOn w:val="2"/>
    <w:unhideWhenUsed/>
    <w:uiPriority w:val="99"/>
    <w:rPr>
      <w:color w:val="0563C1" w:themeColor="hyperlink"/>
      <w:u w:val="single"/>
      <w14:textFill>
        <w14:solidFill>
          <w14:schemeClr w14:val="hlink"/>
        </w14:solidFill>
      </w14:textFill>
    </w:rPr>
  </w:style>
  <w:style w:type="paragraph" w:styleId="10">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1">
    <w:name w:val="Strong"/>
    <w:basedOn w:val="2"/>
    <w:qFormat/>
    <w:uiPriority w:val="22"/>
    <w:rPr>
      <w:b/>
      <w:bCs/>
    </w:rPr>
  </w:style>
  <w:style w:type="paragraph" w:customStyle="1" w:styleId="12">
    <w:name w:val="Bibliography"/>
    <w:basedOn w:val="1"/>
    <w:next w:val="1"/>
    <w:unhideWhenUsed/>
    <w:uiPriority w:val="37"/>
  </w:style>
  <w:style w:type="paragraph" w:styleId="13">
    <w:name w:val="List Paragraph"/>
    <w:basedOn w:val="1"/>
    <w:qFormat/>
    <w:uiPriority w:val="34"/>
    <w:pPr>
      <w:ind w:left="720"/>
      <w:contextualSpacing/>
    </w:pPr>
  </w:style>
  <w:style w:type="character" w:customStyle="1" w:styleId="14">
    <w:name w:val="Unresolved Mention"/>
    <w:basedOn w:val="2"/>
    <w:semiHidden/>
    <w:unhideWhenUsed/>
    <w:uiPriority w:val="99"/>
    <w:rPr>
      <w:color w:val="605E5C"/>
      <w:shd w:val="clear" w:color="auto" w:fill="E1DFDD"/>
    </w:rPr>
  </w:style>
  <w:style w:type="character" w:customStyle="1" w:styleId="15">
    <w:name w:val="Header Char"/>
    <w:basedOn w:val="2"/>
    <w:link w:val="8"/>
    <w:uiPriority w:val="99"/>
  </w:style>
  <w:style w:type="character" w:customStyle="1" w:styleId="16">
    <w:name w:val="Footer Char"/>
    <w:basedOn w:val="2"/>
    <w:link w:val="7"/>
    <w:uiPriority w:val="99"/>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97BB0C-9C9E-4D22-9905-CF14D686D846}">
  <ds:schemaRefs/>
</ds:datastoreItem>
</file>

<file path=docProps/app.xml><?xml version="1.0" encoding="utf-8"?>
<Properties xmlns="http://schemas.openxmlformats.org/officeDocument/2006/extended-properties" xmlns:vt="http://schemas.openxmlformats.org/officeDocument/2006/docPropsVTypes">
  <Template>Normal</Template>
  <Pages>16</Pages>
  <Words>4053</Words>
  <Characters>23104</Characters>
  <Lines>192</Lines>
  <Paragraphs>54</Paragraphs>
  <TotalTime>1964</TotalTime>
  <ScaleCrop>false</ScaleCrop>
  <LinksUpToDate>false</LinksUpToDate>
  <CharactersWithSpaces>27103</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2025-10-22T15:57:00Z</dcterms:created>
  <dc:creator>WINDOWS</dc:creator>
  <cp:lastModifiedBy>1029605</cp:lastModifiedBy>
  <dcterms:modified xsi:type="dcterms:W3CDTF">2025-12-06T23:01:00Z</dcterms:modified>
  <cp:revision>122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2057-12.2.0.23155</vt:lpwstr>
  </property>
  <property fmtid="{D5CDD505-2E9C-101B-9397-08002B2CF9AE}" pid="3" name="ICV">
    <vt:lpwstr>0640E26BC2E1418094D629B8C3EB1371_13</vt:lpwstr>
  </property>
</Properties>
</file>