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9B0B2" w14:textId="77777777" w:rsidR="007A7D12" w:rsidRDefault="007A7D12">
      <w:pPr>
        <w:jc w:val="right"/>
        <w:rPr>
          <w:rFonts w:ascii="Arial" w:hAnsi="Arial" w:cs="Arial"/>
          <w:b/>
          <w:sz w:val="36"/>
          <w:szCs w:val="36"/>
        </w:rPr>
      </w:pPr>
      <w:r w:rsidRPr="007A7D12">
        <w:rPr>
          <w:rFonts w:ascii="Arial" w:hAnsi="Arial" w:cs="Arial"/>
          <w:b/>
          <w:sz w:val="36"/>
          <w:szCs w:val="36"/>
        </w:rPr>
        <w:t>Original Research Article</w:t>
      </w:r>
    </w:p>
    <w:p w14:paraId="42CBA519" w14:textId="77777777" w:rsidR="007A7D12" w:rsidRDefault="007A7D12">
      <w:pPr>
        <w:jc w:val="right"/>
        <w:rPr>
          <w:rFonts w:ascii="Arial" w:hAnsi="Arial" w:cs="Arial"/>
          <w:b/>
          <w:sz w:val="36"/>
          <w:szCs w:val="36"/>
        </w:rPr>
      </w:pPr>
    </w:p>
    <w:p w14:paraId="2895F719" w14:textId="77777777" w:rsidR="007A7D12" w:rsidRDefault="007A7D12">
      <w:pPr>
        <w:jc w:val="right"/>
        <w:rPr>
          <w:rFonts w:ascii="Arial" w:hAnsi="Arial" w:cs="Arial"/>
          <w:b/>
          <w:sz w:val="36"/>
          <w:szCs w:val="36"/>
        </w:rPr>
      </w:pPr>
    </w:p>
    <w:p w14:paraId="5D8EA806" w14:textId="0FC235C8" w:rsidR="00CD3DE2" w:rsidRDefault="005908EC">
      <w:pPr>
        <w:jc w:val="right"/>
        <w:rPr>
          <w:rFonts w:ascii="Arial" w:hAnsi="Arial" w:cs="Arial"/>
          <w:sz w:val="36"/>
          <w:szCs w:val="36"/>
        </w:rPr>
      </w:pPr>
      <w:r>
        <w:rPr>
          <w:rFonts w:ascii="Arial" w:hAnsi="Arial" w:cs="Arial"/>
          <w:b/>
          <w:sz w:val="36"/>
          <w:szCs w:val="36"/>
        </w:rPr>
        <w:t xml:space="preserve">EXPLORING THE PLANT GROWTH PROMOTING POTENTIALS OF BACTERIA RECOVERED FROM A COAL MINE SOIL FOR POTENTIAL BIORESTORATION PURPOSE </w:t>
      </w:r>
    </w:p>
    <w:p w14:paraId="44D0DF79" w14:textId="77777777" w:rsidR="00CD3DE2" w:rsidRDefault="00CD3DE2">
      <w:pPr>
        <w:pStyle w:val="af"/>
        <w:spacing w:after="0"/>
        <w:rPr>
          <w:rFonts w:ascii="Arial" w:hAnsi="Arial" w:cs="Arial"/>
        </w:rPr>
      </w:pPr>
    </w:p>
    <w:p w14:paraId="45DB1EAA" w14:textId="77777777" w:rsidR="006E240D" w:rsidRDefault="006E240D" w:rsidP="0071435F">
      <w:pPr>
        <w:pStyle w:val="Affiliation"/>
        <w:spacing w:after="0" w:line="240" w:lineRule="auto"/>
        <w:rPr>
          <w:rFonts w:ascii="Arial" w:hAnsi="Arial" w:cs="Arial"/>
          <w:bCs/>
        </w:rPr>
      </w:pPr>
    </w:p>
    <w:p w14:paraId="22F69B5A" w14:textId="77777777" w:rsidR="00CD3DE2" w:rsidRDefault="00CD3DE2">
      <w:pPr>
        <w:pStyle w:val="Affiliation"/>
        <w:spacing w:after="0" w:line="240" w:lineRule="auto"/>
        <w:rPr>
          <w:rFonts w:ascii="Arial" w:hAnsi="Arial" w:cs="Arial"/>
          <w:bCs/>
        </w:rPr>
      </w:pPr>
    </w:p>
    <w:p w14:paraId="69B29114" w14:textId="77777777" w:rsidR="00CD3DE2" w:rsidRDefault="005908EC">
      <w:pPr>
        <w:pStyle w:val="Copyright"/>
        <w:spacing w:after="0" w:line="240" w:lineRule="auto"/>
        <w:jc w:val="both"/>
        <w:rPr>
          <w:rFonts w:ascii="Arial" w:hAnsi="Arial" w:cs="Arial"/>
        </w:rPr>
        <w:sectPr w:rsidR="00CD3DE2" w:rsidSect="00755D48">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75AE021" wp14:editId="4455108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611B9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2748DC0" w14:textId="77777777" w:rsidR="00CD3DE2" w:rsidRDefault="005908EC">
      <w:pPr>
        <w:pStyle w:val="AbstHead"/>
        <w:spacing w:after="0"/>
        <w:jc w:val="both"/>
        <w:rPr>
          <w:rFonts w:ascii="Arial" w:hAnsi="Arial" w:cs="Arial"/>
        </w:rPr>
      </w:pPr>
      <w:r>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D3DE2" w14:paraId="3E82AF0F" w14:textId="77777777">
        <w:tc>
          <w:tcPr>
            <w:tcW w:w="9576" w:type="dxa"/>
            <w:shd w:val="clear" w:color="auto" w:fill="F2F2F2"/>
          </w:tcPr>
          <w:p w14:paraId="4C6EBE4A" w14:textId="77777777" w:rsidR="00CD3DE2" w:rsidRDefault="005908EC">
            <w:pPr>
              <w:pStyle w:val="Body"/>
              <w:spacing w:after="0"/>
              <w:rPr>
                <w:rFonts w:ascii="Arial" w:eastAsia="Calibri" w:hAnsi="Arial" w:cs="Arial"/>
                <w:b/>
                <w:szCs w:val="22"/>
              </w:rPr>
            </w:pPr>
            <w:r>
              <w:rPr>
                <w:rFonts w:ascii="Arial" w:eastAsia="Calibri" w:hAnsi="Arial" w:cs="Arial"/>
                <w:b/>
                <w:szCs w:val="22"/>
              </w:rPr>
              <w:t xml:space="preserve">Aim: </w:t>
            </w:r>
            <w:r>
              <w:rPr>
                <w:rFonts w:ascii="Arial" w:eastAsia="Calibri" w:hAnsi="Arial" w:cs="Arial"/>
                <w:bCs/>
                <w:szCs w:val="22"/>
              </w:rPr>
              <w:t xml:space="preserve">Coal mining leads to the degradation of surface soil’s physical, chemical and microbiological properties. However, functional microorganisms (such as plant growth promoting microorganisms) with the potential to produce phytohormones, fix nitrogen, solubilize phosphate, and others, can be effective in restoring coal mine soils (CMS). </w:t>
            </w:r>
            <w:r>
              <w:rPr>
                <w:rFonts w:ascii="Arial" w:hAnsi="Arial" w:cs="Arial"/>
                <w:bCs/>
              </w:rPr>
              <w:t xml:space="preserve">This study was conducted to explore the plant growth promoting potentials [indole-3-acetic acid (IAA) and phosphate solubilization] of bacteria isolated from the abandoned </w:t>
            </w:r>
            <w:proofErr w:type="spellStart"/>
            <w:r>
              <w:rPr>
                <w:rFonts w:ascii="Arial" w:hAnsi="Arial" w:cs="Arial"/>
                <w:bCs/>
              </w:rPr>
              <w:t>Ogbete</w:t>
            </w:r>
            <w:proofErr w:type="spellEnd"/>
            <w:r>
              <w:rPr>
                <w:rFonts w:ascii="Arial" w:hAnsi="Arial" w:cs="Arial"/>
                <w:bCs/>
              </w:rPr>
              <w:t xml:space="preserve"> coal mine,  Enugu State, Nigeria</w:t>
            </w:r>
            <w:r>
              <w:rPr>
                <w:rFonts w:ascii="Arial" w:hAnsi="Arial" w:cs="Arial"/>
              </w:rPr>
              <w:t>.</w:t>
            </w:r>
          </w:p>
          <w:p w14:paraId="4F86F7EC" w14:textId="77777777" w:rsidR="00CD3DE2" w:rsidRDefault="005908EC">
            <w:pPr>
              <w:jc w:val="both"/>
              <w:rPr>
                <w:rFonts w:ascii="Arial" w:hAnsi="Arial" w:cs="Arial"/>
              </w:rPr>
            </w:pPr>
            <w:r>
              <w:rPr>
                <w:rFonts w:ascii="Arial" w:eastAsia="Calibri" w:hAnsi="Arial" w:cs="Arial"/>
                <w:b/>
                <w:szCs w:val="22"/>
              </w:rPr>
              <w:t>Study design:</w:t>
            </w:r>
            <w:r>
              <w:rPr>
                <w:rFonts w:ascii="Arial" w:eastAsia="Calibri" w:hAnsi="Arial" w:cs="Arial"/>
                <w:szCs w:val="22"/>
              </w:rPr>
              <w:t xml:space="preserve"> A laboratory study to Isolate of bacteria from the coal mine soil, screen bacterial isolates for plant growth promoting traits (IAA production and phosphate solubilization), and identify the isolates that tested positive for the traits using 16S rRNA gene sequencing. </w:t>
            </w:r>
          </w:p>
          <w:p w14:paraId="07E1FDD1" w14:textId="77777777" w:rsidR="00CD3DE2" w:rsidRDefault="005908EC">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Sample: </w:t>
            </w:r>
            <w:proofErr w:type="spellStart"/>
            <w:r>
              <w:rPr>
                <w:rFonts w:ascii="Arial" w:hAnsi="Arial" w:cs="Arial"/>
                <w:bCs/>
              </w:rPr>
              <w:t>Ogbete</w:t>
            </w:r>
            <w:proofErr w:type="spellEnd"/>
            <w:r>
              <w:rPr>
                <w:rFonts w:ascii="Arial" w:hAnsi="Arial" w:cs="Arial"/>
                <w:bCs/>
              </w:rPr>
              <w:t xml:space="preserve"> coal mine at Enugu State, Nigeria, between </w:t>
            </w:r>
            <w:r>
              <w:rPr>
                <w:rFonts w:ascii="Arial" w:eastAsia="Calibri" w:hAnsi="Arial" w:cs="Arial"/>
                <w:szCs w:val="22"/>
              </w:rPr>
              <w:t xml:space="preserve"> June 2025 and August 2025.</w:t>
            </w:r>
          </w:p>
          <w:p w14:paraId="03D2EFAE" w14:textId="77777777" w:rsidR="00CD3DE2" w:rsidRDefault="005908EC">
            <w:pPr>
              <w:jc w:val="both"/>
              <w:rPr>
                <w:rFonts w:ascii="Arial" w:hAnsi="Arial" w:cs="Arial"/>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 xml:space="preserve">CMS was analyzed for its </w:t>
            </w:r>
            <w:proofErr w:type="spellStart"/>
            <w:r>
              <w:rPr>
                <w:rFonts w:ascii="Arial" w:hAnsi="Arial" w:cs="Arial"/>
              </w:rPr>
              <w:t>physico</w:t>
            </w:r>
            <w:proofErr w:type="spellEnd"/>
            <w:r>
              <w:rPr>
                <w:rFonts w:ascii="Arial" w:hAnsi="Arial" w:cs="Arial"/>
              </w:rPr>
              <w:t xml:space="preserve">-chemical properties. Isolation and enumeration of bacterial isolates from the CMS was done on Nutrient agar, after which the bacteria obtained were screened for IAA production and phosphate solubilization following standard methods. Bacteria </w:t>
            </w:r>
            <w:r>
              <w:rPr>
                <w:rFonts w:ascii="Arial" w:eastAsia="Calibri" w:hAnsi="Arial" w:cs="Arial"/>
                <w:szCs w:val="22"/>
              </w:rPr>
              <w:t xml:space="preserve">that tested positive for the traits were identified using 16S rRNA gene sequencing. </w:t>
            </w:r>
          </w:p>
          <w:p w14:paraId="4E4194E4" w14:textId="77777777" w:rsidR="00CD3DE2" w:rsidRDefault="005908EC">
            <w:pPr>
              <w:jc w:val="both"/>
              <w:rPr>
                <w:rFonts w:ascii="Arial" w:hAnsi="Arial" w:cs="Arial"/>
                <w:i/>
              </w:rPr>
            </w:pPr>
            <w:r>
              <w:rPr>
                <w:rFonts w:ascii="Arial" w:eastAsia="Calibri" w:hAnsi="Arial" w:cs="Arial"/>
                <w:b/>
                <w:bCs/>
                <w:szCs w:val="22"/>
              </w:rPr>
              <w:t>Results:</w:t>
            </w:r>
            <w:r>
              <w:rPr>
                <w:rFonts w:ascii="Arial" w:hAnsi="Arial" w:cs="Arial"/>
              </w:rPr>
              <w:t xml:space="preserve"> The coal mine soil was acidic (pH 5.84), while Total organic carbon (1.31%), Soil organic matter (2.27%), Total Nitrogen (3.89 mg/kg), Total phosphorus (1.04 mg/kg), were below levels required for arable soils. Total heterotrophic bacteria counts (3.5 × 10</w:t>
            </w:r>
            <w:r>
              <w:rPr>
                <w:rFonts w:ascii="Arial" w:hAnsi="Arial" w:cs="Arial"/>
                <w:vertAlign w:val="superscript"/>
              </w:rPr>
              <w:t>5</w:t>
            </w:r>
            <w:r>
              <w:rPr>
                <w:rFonts w:ascii="Arial" w:hAnsi="Arial" w:cs="Arial"/>
                <w:i/>
                <w:iCs/>
                <w:vertAlign w:val="superscript"/>
              </w:rPr>
              <w:t xml:space="preserve"> </w:t>
            </w:r>
            <w:r>
              <w:rPr>
                <w:rFonts w:ascii="Arial" w:hAnsi="Arial" w:cs="Arial"/>
              </w:rPr>
              <w:t xml:space="preserve">CFU/g) of the CMS were low for arable soils. A total of seven (7) bacterial isolates were recovered from the coal mine soil, out of which one (1) isolate was positive for IAA production, but negative for phosphate solubilization. The other 6 isolates were negative for both IAA production and phosphate solubilization. The bacterium was  identified using 16S </w:t>
            </w:r>
            <w:proofErr w:type="spellStart"/>
            <w:r>
              <w:rPr>
                <w:rFonts w:ascii="Arial" w:hAnsi="Arial" w:cs="Arial"/>
              </w:rPr>
              <w:t>rDNA</w:t>
            </w:r>
            <w:proofErr w:type="spellEnd"/>
            <w:r>
              <w:rPr>
                <w:rFonts w:ascii="Arial" w:hAnsi="Arial" w:cs="Arial"/>
              </w:rPr>
              <w:t xml:space="preserve"> sequencing as </w:t>
            </w:r>
            <w:proofErr w:type="spellStart"/>
            <w:r>
              <w:rPr>
                <w:rFonts w:ascii="Arial" w:hAnsi="Arial" w:cs="Arial"/>
                <w:i/>
                <w:iCs/>
              </w:rPr>
              <w:t>Chryseobacterium</w:t>
            </w:r>
            <w:proofErr w:type="spellEnd"/>
            <w:r>
              <w:rPr>
                <w:rFonts w:ascii="Arial" w:hAnsi="Arial" w:cs="Arial"/>
                <w:i/>
                <w:iCs/>
              </w:rPr>
              <w:t xml:space="preserve"> </w:t>
            </w:r>
            <w:r>
              <w:rPr>
                <w:rFonts w:ascii="Arial" w:hAnsi="Arial" w:cs="Arial"/>
              </w:rPr>
              <w:t xml:space="preserve"> </w:t>
            </w:r>
            <w:proofErr w:type="spellStart"/>
            <w:r>
              <w:rPr>
                <w:rFonts w:ascii="Arial" w:hAnsi="Arial" w:cs="Arial"/>
                <w:i/>
              </w:rPr>
              <w:t>indologenes</w:t>
            </w:r>
            <w:proofErr w:type="spellEnd"/>
            <w:r>
              <w:rPr>
                <w:rFonts w:ascii="Arial" w:hAnsi="Arial" w:cs="Arial"/>
                <w:i/>
              </w:rPr>
              <w:t>,</w:t>
            </w:r>
          </w:p>
          <w:p w14:paraId="44F9CEE3" w14:textId="77777777" w:rsidR="00CD3DE2" w:rsidRDefault="005908EC">
            <w:pPr>
              <w:jc w:val="both"/>
              <w:rPr>
                <w:rFonts w:ascii="Arial" w:eastAsia="Calibri" w:hAnsi="Arial" w:cs="Arial"/>
                <w:szCs w:val="22"/>
              </w:rPr>
            </w:pPr>
            <w:r>
              <w:rPr>
                <w:rFonts w:ascii="Arial" w:hAnsi="Arial" w:cs="Arial"/>
              </w:rPr>
              <w:t xml:space="preserve"> </w:t>
            </w:r>
            <w:r>
              <w:rPr>
                <w:rFonts w:ascii="Arial" w:eastAsia="Calibri" w:hAnsi="Arial" w:cs="Arial"/>
                <w:b/>
                <w:bCs/>
                <w:szCs w:val="22"/>
              </w:rPr>
              <w:t>Conclusion:</w:t>
            </w:r>
            <w:r>
              <w:rPr>
                <w:rFonts w:ascii="Arial" w:eastAsia="Calibri" w:hAnsi="Arial" w:cs="Arial"/>
                <w:szCs w:val="22"/>
              </w:rPr>
              <w:t xml:space="preserve"> </w:t>
            </w:r>
            <w:r>
              <w:rPr>
                <w:rFonts w:ascii="Arial" w:hAnsi="Arial" w:cs="Arial"/>
              </w:rPr>
              <w:t xml:space="preserve">This study revealed the plant growth promoting potential of </w:t>
            </w:r>
            <w:proofErr w:type="spellStart"/>
            <w:r>
              <w:rPr>
                <w:rFonts w:ascii="Arial" w:hAnsi="Arial" w:cs="Arial"/>
                <w:i/>
                <w:iCs/>
              </w:rPr>
              <w:t>Chryseobacterium</w:t>
            </w:r>
            <w:proofErr w:type="spellEnd"/>
            <w:r>
              <w:rPr>
                <w:rFonts w:ascii="Arial" w:hAnsi="Arial" w:cs="Arial"/>
                <w:i/>
                <w:iCs/>
              </w:rPr>
              <w:t xml:space="preserve"> </w:t>
            </w:r>
            <w:proofErr w:type="spellStart"/>
            <w:r>
              <w:rPr>
                <w:rFonts w:ascii="Arial" w:hAnsi="Arial" w:cs="Arial"/>
                <w:i/>
              </w:rPr>
              <w:t>indologenes</w:t>
            </w:r>
            <w:proofErr w:type="spellEnd"/>
            <w:r>
              <w:rPr>
                <w:rFonts w:ascii="Arial" w:hAnsi="Arial" w:cs="Arial"/>
                <w:i/>
              </w:rPr>
              <w:t>,</w:t>
            </w:r>
            <w:r>
              <w:rPr>
                <w:rFonts w:ascii="Arial" w:hAnsi="Arial" w:cs="Arial"/>
                <w:i/>
                <w:iCs/>
              </w:rPr>
              <w:t xml:space="preserve"> </w:t>
            </w:r>
            <w:r>
              <w:rPr>
                <w:rFonts w:ascii="Arial" w:hAnsi="Arial" w:cs="Arial"/>
              </w:rPr>
              <w:t xml:space="preserve">which could further be exploited for its potential to restore or reclaim coal mine soil and other disturbed soil ecosystems for future agricultural </w:t>
            </w:r>
            <w:proofErr w:type="spellStart"/>
            <w:r>
              <w:rPr>
                <w:rFonts w:ascii="Arial" w:hAnsi="Arial" w:cs="Arial"/>
              </w:rPr>
              <w:t>purpose.This</w:t>
            </w:r>
            <w:proofErr w:type="spellEnd"/>
            <w:r>
              <w:rPr>
                <w:rFonts w:ascii="Arial" w:hAnsi="Arial" w:cs="Arial"/>
              </w:rPr>
              <w:t xml:space="preserve"> study contributes to the United Nations Sustainable Development Goal 15, targeted at restoring and promoting conservation and sustainable use of terrestrial ecosystems.</w:t>
            </w:r>
          </w:p>
        </w:tc>
      </w:tr>
    </w:tbl>
    <w:p w14:paraId="3682AF10" w14:textId="77777777" w:rsidR="00CD3DE2" w:rsidRDefault="00CD3DE2">
      <w:pPr>
        <w:pStyle w:val="Body"/>
        <w:spacing w:after="0"/>
        <w:rPr>
          <w:rFonts w:ascii="Arial" w:hAnsi="Arial" w:cs="Arial"/>
          <w:i/>
        </w:rPr>
      </w:pPr>
    </w:p>
    <w:p w14:paraId="4E82BFC5" w14:textId="77777777" w:rsidR="00CD3DE2" w:rsidRDefault="005908EC">
      <w:pPr>
        <w:rPr>
          <w:rFonts w:ascii="Arial" w:hAnsi="Arial" w:cs="Arial"/>
        </w:rPr>
      </w:pPr>
      <w:r>
        <w:rPr>
          <w:rFonts w:ascii="Arial" w:hAnsi="Arial" w:cs="Arial"/>
          <w:i/>
        </w:rPr>
        <w:t xml:space="preserve">Keywords: </w:t>
      </w:r>
      <w:proofErr w:type="spellStart"/>
      <w:r>
        <w:rPr>
          <w:rFonts w:ascii="Arial" w:hAnsi="Arial" w:cs="Arial"/>
        </w:rPr>
        <w:t>Biofertilizer</w:t>
      </w:r>
      <w:proofErr w:type="spellEnd"/>
      <w:r>
        <w:rPr>
          <w:rFonts w:ascii="Arial" w:hAnsi="Arial" w:cs="Arial"/>
        </w:rPr>
        <w:t xml:space="preserve">, </w:t>
      </w:r>
      <w:proofErr w:type="spellStart"/>
      <w:r>
        <w:rPr>
          <w:rFonts w:ascii="Arial" w:hAnsi="Arial" w:cs="Arial"/>
        </w:rPr>
        <w:t>Biorestoration</w:t>
      </w:r>
      <w:proofErr w:type="spellEnd"/>
      <w:r>
        <w:rPr>
          <w:rFonts w:ascii="Arial" w:hAnsi="Arial" w:cs="Arial"/>
        </w:rPr>
        <w:t xml:space="preserve">.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 xml:space="preserve">Coal mine soil, Indole-3- acetic acid, Plant growth promoting bacteria. </w:t>
      </w:r>
      <w:r>
        <w:rPr>
          <w:rFonts w:ascii="Arial" w:hAnsi="Arial" w:cs="Arial"/>
          <w:i/>
        </w:rPr>
        <w:t xml:space="preserve"> </w:t>
      </w:r>
      <w:r>
        <w:rPr>
          <w:rFonts w:ascii="Arial" w:hAnsi="Arial" w:cs="Arial"/>
        </w:rPr>
        <w:t xml:space="preserve"> </w:t>
      </w:r>
    </w:p>
    <w:p w14:paraId="0903C2EF" w14:textId="77777777" w:rsidR="00CD3DE2" w:rsidRDefault="00CD3DE2">
      <w:pPr>
        <w:jc w:val="both"/>
        <w:rPr>
          <w:rFonts w:ascii="Arial" w:hAnsi="Arial" w:cs="Arial"/>
        </w:rPr>
      </w:pPr>
    </w:p>
    <w:p w14:paraId="705A008C" w14:textId="77777777" w:rsidR="00CD3DE2" w:rsidRDefault="00CD3DE2">
      <w:pPr>
        <w:pStyle w:val="Body"/>
        <w:spacing w:after="0"/>
        <w:rPr>
          <w:rFonts w:ascii="Arial" w:hAnsi="Arial" w:cs="Arial"/>
          <w:i/>
        </w:rPr>
      </w:pPr>
    </w:p>
    <w:p w14:paraId="47D3DDC4" w14:textId="77777777" w:rsidR="00CD3DE2" w:rsidRDefault="00CD3DE2">
      <w:pPr>
        <w:pStyle w:val="Body"/>
        <w:spacing w:after="0"/>
        <w:rPr>
          <w:rFonts w:ascii="Arial" w:hAnsi="Arial" w:cs="Arial"/>
          <w:i/>
          <w:sz w:val="18"/>
        </w:rPr>
      </w:pPr>
    </w:p>
    <w:p w14:paraId="25EF790D" w14:textId="77777777" w:rsidR="00CD3DE2" w:rsidRDefault="00CD3DE2">
      <w:pPr>
        <w:pStyle w:val="Body"/>
        <w:spacing w:after="0"/>
        <w:rPr>
          <w:rFonts w:ascii="Arial" w:hAnsi="Arial" w:cs="Arial"/>
          <w:i/>
        </w:rPr>
      </w:pPr>
    </w:p>
    <w:p w14:paraId="6F03C12F" w14:textId="77777777" w:rsidR="00CD3DE2" w:rsidRDefault="005908EC">
      <w:pPr>
        <w:pStyle w:val="AbstHead"/>
        <w:spacing w:after="0"/>
        <w:jc w:val="both"/>
        <w:rPr>
          <w:rFonts w:ascii="Arial" w:hAnsi="Arial" w:cs="Arial"/>
        </w:rPr>
      </w:pPr>
      <w:r>
        <w:rPr>
          <w:rFonts w:ascii="Arial" w:hAnsi="Arial" w:cs="Arial"/>
        </w:rPr>
        <w:lastRenderedPageBreak/>
        <w:t xml:space="preserve">1. INTRODUCTION </w:t>
      </w:r>
    </w:p>
    <w:p w14:paraId="7E1723A1" w14:textId="77777777" w:rsidR="00CD3DE2" w:rsidRDefault="00CD3DE2">
      <w:pPr>
        <w:pStyle w:val="AbstHead"/>
        <w:spacing w:after="0"/>
        <w:jc w:val="both"/>
        <w:rPr>
          <w:rFonts w:ascii="Arial" w:hAnsi="Arial" w:cs="Arial"/>
        </w:rPr>
      </w:pPr>
    </w:p>
    <w:p w14:paraId="58BEC58F" w14:textId="77777777" w:rsidR="00CD3DE2" w:rsidRDefault="005908EC">
      <w:pPr>
        <w:pStyle w:val="af0"/>
        <w:ind w:left="0"/>
        <w:jc w:val="both"/>
        <w:rPr>
          <w:rFonts w:ascii="Arial" w:hAnsi="Arial" w:cs="Arial"/>
        </w:rPr>
      </w:pPr>
      <w:r>
        <w:rPr>
          <w:rFonts w:ascii="Arial" w:hAnsi="Arial" w:cs="Arial"/>
        </w:rPr>
        <w:t>Coal mining has profound ecological and environmental consequences and these mining activities degrade topsoil physicochemical properties and alter microbial community composition (Mao et al., 2024). This has led to the assumption that coal mine environments are not habitable for microorganisms due to their complex chemical structure and resistance to decomposition (Zhang et al</w:t>
      </w:r>
      <w:r>
        <w:rPr>
          <w:rFonts w:ascii="Arial" w:hAnsi="Arial" w:cs="Arial"/>
          <w:iCs/>
        </w:rPr>
        <w:t>.</w:t>
      </w:r>
      <w:r>
        <w:rPr>
          <w:rFonts w:ascii="Arial" w:hAnsi="Arial" w:cs="Arial"/>
          <w:i/>
        </w:rPr>
        <w:t xml:space="preserve">, </w:t>
      </w:r>
      <w:r>
        <w:rPr>
          <w:rFonts w:ascii="Arial" w:hAnsi="Arial" w:cs="Arial"/>
        </w:rPr>
        <w:t>2022). However, certain microorganisms possessing plant growth promoting traits, can adapt to these conditions making them important in agriculture. Such microorganisms can also serve as effective tools for restoring or reclaiming disturbed terrestrial ecosystems and as reliable indicators for assessing the quality of reclaimed soils (Mao et al., 2024). Furthermore, certain natural coals act as reserv</w:t>
      </w:r>
      <w:r>
        <w:rPr>
          <w:rFonts w:ascii="Arial" w:hAnsi="Arial" w:cs="Arial"/>
          <w:i/>
          <w:iCs/>
        </w:rPr>
        <w:t>o</w:t>
      </w:r>
      <w:r>
        <w:rPr>
          <w:rFonts w:ascii="Arial" w:hAnsi="Arial" w:cs="Arial"/>
        </w:rPr>
        <w:t>irs for microbial strains capable of degrading lignin, a compound with a molecular structure resembling that of coal components (Zhang et al</w:t>
      </w:r>
      <w:r>
        <w:rPr>
          <w:rFonts w:ascii="Arial" w:hAnsi="Arial" w:cs="Arial"/>
          <w:i/>
        </w:rPr>
        <w:t xml:space="preserve">., </w:t>
      </w:r>
      <w:r>
        <w:rPr>
          <w:rFonts w:ascii="Arial" w:hAnsi="Arial" w:cs="Arial"/>
        </w:rPr>
        <w:t>2022).</w:t>
      </w:r>
    </w:p>
    <w:p w14:paraId="29ADD259" w14:textId="77777777" w:rsidR="00CD3DE2" w:rsidRDefault="005908EC">
      <w:pPr>
        <w:jc w:val="both"/>
        <w:rPr>
          <w:rFonts w:ascii="Arial" w:hAnsi="Arial" w:cs="Arial"/>
        </w:rPr>
      </w:pPr>
      <w:r>
        <w:rPr>
          <w:rFonts w:ascii="Arial" w:hAnsi="Arial" w:cs="Arial"/>
        </w:rPr>
        <w:t>The continuous growth of the global human population is a matter of concern, as it leads to numerous challenges, including food insecurity (</w:t>
      </w:r>
      <w:proofErr w:type="spellStart"/>
      <w:r>
        <w:rPr>
          <w:rFonts w:ascii="Arial" w:hAnsi="Arial" w:cs="Arial"/>
        </w:rPr>
        <w:t>Igiri</w:t>
      </w:r>
      <w:proofErr w:type="spellEnd"/>
      <w:r>
        <w:rPr>
          <w:rFonts w:ascii="Arial" w:hAnsi="Arial" w:cs="Arial"/>
        </w:rPr>
        <w:t xml:space="preserve"> et al</w:t>
      </w:r>
      <w:r>
        <w:rPr>
          <w:rFonts w:ascii="Arial" w:hAnsi="Arial" w:cs="Arial"/>
          <w:i/>
        </w:rPr>
        <w:t xml:space="preserve">., </w:t>
      </w:r>
      <w:r>
        <w:rPr>
          <w:rFonts w:ascii="Arial" w:hAnsi="Arial" w:cs="Arial"/>
        </w:rPr>
        <w:t>2018; Salcedo-Gastelum et al., 2020). To ensure access to healthy food, it is essential to optimize crop production through fertile and sustainable agroecosystems. The agricultural sector contributes nearly one-third of the global gross domestic product. However, with the human population projected to reach approximately 9.5 billion by 2050, the demand for food is also expected to rise significantly (Kumar et al</w:t>
      </w:r>
      <w:r>
        <w:rPr>
          <w:rFonts w:ascii="Arial" w:hAnsi="Arial" w:cs="Arial"/>
          <w:i/>
        </w:rPr>
        <w:t>.,</w:t>
      </w:r>
      <w:r>
        <w:rPr>
          <w:rFonts w:ascii="Arial" w:hAnsi="Arial" w:cs="Arial"/>
        </w:rPr>
        <w:t xml:space="preserve"> 2022). At the same time, the availability of fertile land is declining due to urbanization, climate change–related extreme weather events, and anthropogenic activities. Various abiotic and biotic stresses also represent major constraints to crop production (Glaser &amp; Lehr, 2019). Other critical factors influencing yield per unit area include soil quality, nutrient availability, environmental conditions, and the biological health of soils, all of which are vital to achieving global food security (Kumar et al</w:t>
      </w:r>
      <w:r>
        <w:rPr>
          <w:rFonts w:ascii="Arial" w:hAnsi="Arial" w:cs="Arial"/>
          <w:i/>
        </w:rPr>
        <w:t>.,</w:t>
      </w:r>
      <w:r>
        <w:rPr>
          <w:rFonts w:ascii="Arial" w:hAnsi="Arial" w:cs="Arial"/>
        </w:rPr>
        <w:t xml:space="preserve"> 2022).</w:t>
      </w:r>
    </w:p>
    <w:p w14:paraId="0C6B5A2E" w14:textId="77777777" w:rsidR="00CD3DE2" w:rsidRDefault="00CD3DE2">
      <w:pPr>
        <w:jc w:val="both"/>
        <w:rPr>
          <w:rFonts w:ascii="Arial" w:hAnsi="Arial" w:cs="Arial"/>
        </w:rPr>
      </w:pPr>
    </w:p>
    <w:p w14:paraId="0D6F52E2" w14:textId="77777777" w:rsidR="00CD3DE2" w:rsidRDefault="005908EC">
      <w:pPr>
        <w:jc w:val="both"/>
        <w:rPr>
          <w:rFonts w:ascii="Arial" w:hAnsi="Arial" w:cs="Arial"/>
        </w:rPr>
      </w:pPr>
      <w:r>
        <w:rPr>
          <w:rFonts w:ascii="Arial" w:hAnsi="Arial" w:cs="Arial"/>
        </w:rPr>
        <w:t>One key component of healthy soils is the presence of beneficial microbiota, which enrich the nutrient pool via the biogeochemical cycling of soil constituents. Consequently, biofertilizers (microbial inoculants) should be compatible with the soil and supportive of the soil environment (Mercado-Blanco et al., 2018). However, many arable soils worldwide fail to provide optimal cultivation conditions due to a range of abiotic stresses, including organic pollutants (Tomar et al</w:t>
      </w:r>
      <w:r>
        <w:rPr>
          <w:rFonts w:ascii="Arial" w:hAnsi="Arial" w:cs="Arial"/>
          <w:i/>
        </w:rPr>
        <w:t>.</w:t>
      </w:r>
      <w:r>
        <w:rPr>
          <w:rFonts w:ascii="Arial" w:hAnsi="Arial" w:cs="Arial"/>
        </w:rPr>
        <w:t>, 2019), heavy metals (Rizvi et al</w:t>
      </w:r>
      <w:r>
        <w:rPr>
          <w:rFonts w:ascii="Arial" w:hAnsi="Arial" w:cs="Arial"/>
          <w:i/>
        </w:rPr>
        <w:t>.,</w:t>
      </w:r>
      <w:r>
        <w:rPr>
          <w:rFonts w:ascii="Arial" w:hAnsi="Arial" w:cs="Arial"/>
        </w:rPr>
        <w:t xml:space="preserve"> 2020), drought (Wang et al</w:t>
      </w:r>
      <w:r>
        <w:rPr>
          <w:rFonts w:ascii="Arial" w:hAnsi="Arial" w:cs="Arial"/>
          <w:i/>
        </w:rPr>
        <w:t>.,</w:t>
      </w:r>
      <w:r>
        <w:rPr>
          <w:rFonts w:ascii="Arial" w:hAnsi="Arial" w:cs="Arial"/>
        </w:rPr>
        <w:t xml:space="preserve"> 2020), salinity (Zahra et al</w:t>
      </w:r>
      <w:r>
        <w:rPr>
          <w:rFonts w:ascii="Arial" w:hAnsi="Arial" w:cs="Arial"/>
          <w:i/>
        </w:rPr>
        <w:t>.,</w:t>
      </w:r>
      <w:r>
        <w:rPr>
          <w:rFonts w:ascii="Arial" w:hAnsi="Arial" w:cs="Arial"/>
        </w:rPr>
        <w:t xml:space="preserve"> 2020), and extreme temperatures (Narayanan, 2018). Among these, the release of heavy metals from diverse anthropogenic activities (</w:t>
      </w:r>
      <w:commentRangeStart w:id="0"/>
      <w:r>
        <w:rPr>
          <w:rFonts w:ascii="Arial" w:hAnsi="Arial" w:cs="Arial"/>
        </w:rPr>
        <w:t>Adamiec et al., 2016</w:t>
      </w:r>
      <w:commentRangeEnd w:id="0"/>
      <w:r w:rsidR="00443CCF">
        <w:rPr>
          <w:rStyle w:val="a4"/>
          <w:rFonts w:ascii="Times New Roman" w:hAnsi="Times New Roman"/>
          <w:lang w:val="nb-NO" w:eastAsia="nb-NO"/>
        </w:rPr>
        <w:commentReference w:id="0"/>
      </w:r>
      <w:r>
        <w:rPr>
          <w:rFonts w:ascii="Arial" w:hAnsi="Arial" w:cs="Arial"/>
        </w:rPr>
        <w:t xml:space="preserve">; </w:t>
      </w:r>
      <w:proofErr w:type="spellStart"/>
      <w:r>
        <w:rPr>
          <w:rFonts w:ascii="Arial" w:hAnsi="Arial" w:cs="Arial"/>
        </w:rPr>
        <w:t>Bankole</w:t>
      </w:r>
      <w:proofErr w:type="spellEnd"/>
      <w:r>
        <w:rPr>
          <w:rFonts w:ascii="Arial" w:hAnsi="Arial" w:cs="Arial"/>
        </w:rPr>
        <w:t xml:space="preserve"> et al</w:t>
      </w:r>
      <w:r>
        <w:rPr>
          <w:rFonts w:ascii="Arial" w:hAnsi="Arial" w:cs="Arial"/>
          <w:i/>
        </w:rPr>
        <w:t>.,</w:t>
      </w:r>
      <w:r>
        <w:rPr>
          <w:rFonts w:ascii="Arial" w:hAnsi="Arial" w:cs="Arial"/>
        </w:rPr>
        <w:t xml:space="preserve"> 2019) poses a particularly serious threat to the sustainability of crop production systems. Heavy metals are especially problematic because they persist in the environment due to their resistance to biological degradation. Once absorbed, they negatively affect agriculturally beneficial biofertilizers and disrupt their physiological functions (Saif &amp; Khan, 2017; Sharma et al</w:t>
      </w:r>
      <w:r>
        <w:rPr>
          <w:rFonts w:ascii="Arial" w:hAnsi="Arial" w:cs="Arial"/>
          <w:i/>
        </w:rPr>
        <w:t>.,</w:t>
      </w:r>
      <w:r>
        <w:rPr>
          <w:rFonts w:ascii="Arial" w:hAnsi="Arial" w:cs="Arial"/>
        </w:rPr>
        <w:t xml:space="preserve"> 2020). Beyond altering microbial community compositions, toxic metals exceeding certain thresholds also hinder the growth and yield of food crops. </w:t>
      </w:r>
    </w:p>
    <w:p w14:paraId="02CB561D" w14:textId="77777777" w:rsidR="00CD3DE2" w:rsidRDefault="00CD3DE2">
      <w:pPr>
        <w:jc w:val="both"/>
        <w:rPr>
          <w:rFonts w:ascii="Arial" w:hAnsi="Arial" w:cs="Arial"/>
        </w:rPr>
      </w:pPr>
    </w:p>
    <w:p w14:paraId="4DB337E1" w14:textId="77777777" w:rsidR="00CD3DE2" w:rsidRDefault="005908EC">
      <w:pPr>
        <w:jc w:val="both"/>
        <w:rPr>
          <w:rFonts w:ascii="Arial" w:hAnsi="Arial" w:cs="Arial"/>
        </w:rPr>
      </w:pPr>
      <w:r>
        <w:rPr>
          <w:rFonts w:ascii="Arial" w:hAnsi="Arial" w:cs="Arial"/>
        </w:rPr>
        <w:t>Microbial inoculants as biofertilizers offer a sustainable alternative, providing a low-cost source of nutrients, enriching soils with micro and micronutrients, supplying organic matter, secreting plant growth hormones, and mitigating the adverse effects of chemical fertilizers (</w:t>
      </w:r>
      <w:commentRangeStart w:id="1"/>
      <w:proofErr w:type="spellStart"/>
      <w:r>
        <w:rPr>
          <w:rFonts w:ascii="Arial" w:hAnsi="Arial" w:cs="Arial"/>
        </w:rPr>
        <w:t>Mahanty</w:t>
      </w:r>
      <w:proofErr w:type="spellEnd"/>
      <w:r>
        <w:rPr>
          <w:rFonts w:ascii="Arial" w:hAnsi="Arial" w:cs="Arial"/>
        </w:rPr>
        <w:t xml:space="preserve"> et al</w:t>
      </w:r>
      <w:r>
        <w:rPr>
          <w:rFonts w:ascii="Arial" w:hAnsi="Arial" w:cs="Arial"/>
          <w:i/>
        </w:rPr>
        <w:t>.,</w:t>
      </w:r>
      <w:r>
        <w:rPr>
          <w:rFonts w:ascii="Arial" w:hAnsi="Arial" w:cs="Arial"/>
        </w:rPr>
        <w:t xml:space="preserve"> 2016</w:t>
      </w:r>
      <w:commentRangeEnd w:id="1"/>
      <w:r w:rsidR="00443CCF">
        <w:rPr>
          <w:rStyle w:val="a4"/>
          <w:rFonts w:ascii="Times New Roman" w:hAnsi="Times New Roman"/>
          <w:lang w:val="nb-NO" w:eastAsia="nb-NO"/>
        </w:rPr>
        <w:commentReference w:id="1"/>
      </w:r>
      <w:r>
        <w:rPr>
          <w:rFonts w:ascii="Arial" w:hAnsi="Arial" w:cs="Arial"/>
        </w:rPr>
        <w:t>). Soil microbes, in particular, are essential for driving key biological processes within the soil ecosystem, ensuring nutrient mobilization and supporting long-term crop productivity (</w:t>
      </w:r>
      <w:proofErr w:type="spellStart"/>
      <w:r>
        <w:rPr>
          <w:rFonts w:ascii="Arial" w:hAnsi="Arial" w:cs="Arial"/>
        </w:rPr>
        <w:t>Mahanty</w:t>
      </w:r>
      <w:proofErr w:type="spellEnd"/>
      <w:r>
        <w:rPr>
          <w:rFonts w:ascii="Arial" w:hAnsi="Arial" w:cs="Arial"/>
        </w:rPr>
        <w:t xml:space="preserve"> et al</w:t>
      </w:r>
      <w:r>
        <w:rPr>
          <w:rFonts w:ascii="Arial" w:hAnsi="Arial" w:cs="Arial"/>
          <w:i/>
        </w:rPr>
        <w:t xml:space="preserve">., </w:t>
      </w:r>
      <w:r>
        <w:rPr>
          <w:rFonts w:ascii="Arial" w:hAnsi="Arial" w:cs="Arial"/>
        </w:rPr>
        <w:t>2016).</w:t>
      </w:r>
    </w:p>
    <w:p w14:paraId="6F73860F" w14:textId="77777777" w:rsidR="00CD3DE2" w:rsidRDefault="005908EC">
      <w:pPr>
        <w:jc w:val="both"/>
        <w:rPr>
          <w:rFonts w:ascii="Arial" w:hAnsi="Arial" w:cs="Arial"/>
        </w:rPr>
      </w:pPr>
      <w:commentRangeStart w:id="2"/>
      <w:r>
        <w:rPr>
          <w:rFonts w:ascii="Arial" w:hAnsi="Arial" w:cs="Arial"/>
        </w:rPr>
        <w:t>Thus,</w:t>
      </w:r>
      <w:commentRangeEnd w:id="2"/>
      <w:r w:rsidR="0031566A">
        <w:rPr>
          <w:rStyle w:val="a4"/>
          <w:rFonts w:ascii="Times New Roman" w:hAnsi="Times New Roman"/>
          <w:lang w:val="nb-NO" w:eastAsia="nb-NO"/>
        </w:rPr>
        <w:commentReference w:id="2"/>
      </w:r>
      <w:r>
        <w:rPr>
          <w:rFonts w:ascii="Arial" w:hAnsi="Arial" w:cs="Arial"/>
        </w:rPr>
        <w:t xml:space="preserve"> microorganisms have gained more attention as a vital natural resource for the development of “green methods.” The application of fertilizers enriched with beneficial microbes has become essential for enhancing soil health and crop productivity while ensuring a balance between efficient food production and sustainable agriculture (Nosheen et al</w:t>
      </w:r>
      <w:r>
        <w:rPr>
          <w:rFonts w:ascii="Arial" w:hAnsi="Arial" w:cs="Arial"/>
          <w:i/>
        </w:rPr>
        <w:t>.,</w:t>
      </w:r>
      <w:r>
        <w:rPr>
          <w:rFonts w:ascii="Arial" w:hAnsi="Arial" w:cs="Arial"/>
        </w:rPr>
        <w:t xml:space="preserve"> 2021).</w:t>
      </w:r>
    </w:p>
    <w:p w14:paraId="3DEADDB1" w14:textId="77777777" w:rsidR="00CD3DE2" w:rsidRDefault="005908EC">
      <w:pPr>
        <w:jc w:val="both"/>
        <w:rPr>
          <w:rFonts w:ascii="Arial" w:hAnsi="Arial" w:cs="Arial"/>
        </w:rPr>
      </w:pPr>
      <w:r>
        <w:rPr>
          <w:rFonts w:ascii="Arial" w:hAnsi="Arial" w:cs="Arial"/>
        </w:rPr>
        <w:t>Microbial fertilizers are a category of biofertilizers that contain beneficial microorganisms with targeted functions (Goyal</w:t>
      </w:r>
      <w:r>
        <w:rPr>
          <w:rFonts w:ascii="Arial" w:hAnsi="Arial" w:cs="Arial"/>
          <w:i/>
        </w:rPr>
        <w:t xml:space="preserve"> </w:t>
      </w:r>
      <w:r>
        <w:rPr>
          <w:rFonts w:ascii="Arial" w:hAnsi="Arial" w:cs="Arial"/>
        </w:rPr>
        <w:t>et al.</w:t>
      </w:r>
      <w:r>
        <w:rPr>
          <w:rFonts w:ascii="Arial" w:hAnsi="Arial" w:cs="Arial"/>
          <w:i/>
        </w:rPr>
        <w:t>,</w:t>
      </w:r>
      <w:r>
        <w:rPr>
          <w:rFonts w:ascii="Arial" w:hAnsi="Arial" w:cs="Arial"/>
        </w:rPr>
        <w:t xml:space="preserve"> 2023). Their application can restructure the soil’s microbial community and enhance nutrient availability for plants through soil-mediated processes (</w:t>
      </w:r>
      <w:proofErr w:type="spellStart"/>
      <w:r>
        <w:rPr>
          <w:rFonts w:ascii="Arial" w:hAnsi="Arial" w:cs="Arial"/>
        </w:rPr>
        <w:t>Bamdad</w:t>
      </w:r>
      <w:proofErr w:type="spellEnd"/>
      <w:r>
        <w:rPr>
          <w:rFonts w:ascii="Arial" w:hAnsi="Arial" w:cs="Arial"/>
        </w:rPr>
        <w:t xml:space="preserve"> et al</w:t>
      </w:r>
      <w:r>
        <w:rPr>
          <w:rFonts w:ascii="Arial" w:hAnsi="Arial" w:cs="Arial"/>
          <w:i/>
        </w:rPr>
        <w:t xml:space="preserve">., </w:t>
      </w:r>
      <w:r>
        <w:rPr>
          <w:rFonts w:ascii="Arial" w:hAnsi="Arial" w:cs="Arial"/>
        </w:rPr>
        <w:t>2021). Recent research indicates that microbial fertilizers derived from plant growth–promoting rhizobacteria (PGPR) and plant growth promoting bacteria (PGPB) play a vital role in enhancing soil fertility, stimulating crop growth, and helping plants withstand both biotic and abiotic stresses (</w:t>
      </w:r>
      <w:proofErr w:type="spellStart"/>
      <w:r>
        <w:rPr>
          <w:rFonts w:ascii="Arial" w:hAnsi="Arial" w:cs="Arial"/>
        </w:rPr>
        <w:t>Khawula</w:t>
      </w:r>
      <w:proofErr w:type="spellEnd"/>
      <w:r>
        <w:rPr>
          <w:rFonts w:ascii="Arial" w:hAnsi="Arial" w:cs="Arial"/>
        </w:rPr>
        <w:t xml:space="preserve"> et al., 2025). These microbial fertilizers are renewable, eco-friendly, non-pathogenic to plants, and contribute to improved plant adaptation, growth, and development. They also enhance soil nutrient balance, produce diverse plant growth regulators, detoxify soils contaminated with heavy metals, pesticides, or fungicides, and employ biological control methods for soil remediation (</w:t>
      </w:r>
      <w:proofErr w:type="spellStart"/>
      <w:r>
        <w:rPr>
          <w:rFonts w:ascii="Arial" w:hAnsi="Arial" w:cs="Arial"/>
        </w:rPr>
        <w:t>Khawula</w:t>
      </w:r>
      <w:proofErr w:type="spellEnd"/>
      <w:r>
        <w:rPr>
          <w:rFonts w:ascii="Arial" w:hAnsi="Arial" w:cs="Arial"/>
        </w:rPr>
        <w:t xml:space="preserve"> et al., 2025).</w:t>
      </w:r>
    </w:p>
    <w:p w14:paraId="7647AD08" w14:textId="77777777" w:rsidR="00CD3DE2" w:rsidRDefault="00CD3DE2">
      <w:pPr>
        <w:jc w:val="both"/>
        <w:rPr>
          <w:rFonts w:ascii="Arial" w:hAnsi="Arial" w:cs="Arial"/>
        </w:rPr>
      </w:pPr>
    </w:p>
    <w:p w14:paraId="36C61507" w14:textId="77777777" w:rsidR="00CD3DE2" w:rsidRDefault="005908EC">
      <w:pPr>
        <w:jc w:val="both"/>
        <w:rPr>
          <w:rFonts w:ascii="Arial" w:hAnsi="Arial" w:cs="Arial"/>
        </w:rPr>
      </w:pPr>
      <w:r>
        <w:rPr>
          <w:rFonts w:ascii="Arial" w:hAnsi="Arial" w:cs="Arial"/>
        </w:rPr>
        <w:t>In the soil, most species are found near plant roots and are collectively known as plant growth-promoting bacteria (PGPB). These plant growth-promoting bacteria (PGPB) are a group of beneficial microorganisms that can enhance plant growth and development and these organisms can facilitate plant growth through direct or indirect mechanisms (Kochhar et al., 2022). Direct mechanisms involve traits that promote plant growth directly, such as providing beneficial compounds (</w:t>
      </w:r>
      <w:proofErr w:type="spellStart"/>
      <w:r>
        <w:rPr>
          <w:rFonts w:ascii="Arial" w:hAnsi="Arial" w:cs="Arial"/>
        </w:rPr>
        <w:t>auxins</w:t>
      </w:r>
      <w:proofErr w:type="spellEnd"/>
      <w:r>
        <w:rPr>
          <w:rFonts w:ascii="Arial" w:hAnsi="Arial" w:cs="Arial"/>
        </w:rPr>
        <w:t xml:space="preserve">, </w:t>
      </w:r>
      <w:proofErr w:type="spellStart"/>
      <w:r>
        <w:rPr>
          <w:rFonts w:ascii="Arial" w:hAnsi="Arial" w:cs="Arial"/>
        </w:rPr>
        <w:t>cytokinins</w:t>
      </w:r>
      <w:proofErr w:type="spellEnd"/>
      <w:r>
        <w:rPr>
          <w:rFonts w:ascii="Arial" w:hAnsi="Arial" w:cs="Arial"/>
        </w:rPr>
        <w:t xml:space="preserve">, </w:t>
      </w:r>
      <w:proofErr w:type="spellStart"/>
      <w:r>
        <w:rPr>
          <w:rFonts w:ascii="Arial" w:hAnsi="Arial" w:cs="Arial"/>
        </w:rPr>
        <w:t>gibberelins</w:t>
      </w:r>
      <w:proofErr w:type="spellEnd"/>
      <w:r>
        <w:rPr>
          <w:rFonts w:ascii="Arial" w:hAnsi="Arial" w:cs="Arial"/>
        </w:rPr>
        <w:t xml:space="preserve">, as well as fixing nitrogen and solubilizing phosphorus) to the host plants and enhancing nutrient uptake from the soil. Auxins such as indole -3-acetic acid are significant for plant growth because IAA helps loosen and expand root cell walls, and also greatly increases the release of root exudates which in turn influences the composition and activity of </w:t>
      </w:r>
      <w:proofErr w:type="spellStart"/>
      <w:r>
        <w:rPr>
          <w:rFonts w:ascii="Arial" w:hAnsi="Arial" w:cs="Arial"/>
        </w:rPr>
        <w:t>rhizospheric</w:t>
      </w:r>
      <w:proofErr w:type="spellEnd"/>
      <w:r>
        <w:rPr>
          <w:rFonts w:ascii="Arial" w:hAnsi="Arial" w:cs="Arial"/>
        </w:rPr>
        <w:t xml:space="preserve"> bacteria that depend on these exudates (Duca &amp; Glick, 2020).</w:t>
      </w:r>
    </w:p>
    <w:p w14:paraId="6821709A" w14:textId="77777777" w:rsidR="00CD3DE2" w:rsidRDefault="005908EC">
      <w:pPr>
        <w:jc w:val="both"/>
        <w:rPr>
          <w:rFonts w:ascii="Arial" w:hAnsi="Arial" w:cs="Arial"/>
        </w:rPr>
      </w:pPr>
      <w:r>
        <w:rPr>
          <w:rFonts w:ascii="Arial" w:hAnsi="Arial" w:cs="Arial"/>
        </w:rPr>
        <w:lastRenderedPageBreak/>
        <w:t>This auxin (IAA) serve as a rooting agent and supports processes such as leaf formation, cell division, stem bending and root hair development (</w:t>
      </w:r>
      <w:commentRangeStart w:id="3"/>
      <w:r>
        <w:rPr>
          <w:rFonts w:ascii="Arial" w:hAnsi="Arial" w:cs="Arial"/>
        </w:rPr>
        <w:t>Rigas et al</w:t>
      </w:r>
      <w:r>
        <w:rPr>
          <w:rFonts w:ascii="Arial" w:hAnsi="Arial" w:cs="Arial"/>
          <w:i/>
        </w:rPr>
        <w:t>.,</w:t>
      </w:r>
      <w:r>
        <w:rPr>
          <w:rFonts w:ascii="Arial" w:hAnsi="Arial" w:cs="Arial"/>
        </w:rPr>
        <w:t xml:space="preserve"> 2013;</w:t>
      </w:r>
      <w:commentRangeEnd w:id="3"/>
      <w:r w:rsidR="00946370">
        <w:rPr>
          <w:rStyle w:val="a4"/>
          <w:rFonts w:ascii="Times New Roman" w:hAnsi="Times New Roman"/>
          <w:lang w:val="nb-NO" w:eastAsia="nb-NO"/>
        </w:rPr>
        <w:commentReference w:id="3"/>
      </w:r>
      <w:r>
        <w:rPr>
          <w:rFonts w:ascii="Arial" w:hAnsi="Arial" w:cs="Arial"/>
        </w:rPr>
        <w:t xml:space="preserve"> </w:t>
      </w:r>
      <w:proofErr w:type="spellStart"/>
      <w:r>
        <w:rPr>
          <w:rFonts w:ascii="Arial" w:hAnsi="Arial" w:cs="Arial"/>
        </w:rPr>
        <w:t>Gao</w:t>
      </w:r>
      <w:proofErr w:type="spellEnd"/>
      <w:r>
        <w:rPr>
          <w:rFonts w:ascii="Arial" w:hAnsi="Arial" w:cs="Arial"/>
        </w:rPr>
        <w:t xml:space="preserve"> et al</w:t>
      </w:r>
      <w:r>
        <w:rPr>
          <w:rFonts w:ascii="Arial" w:hAnsi="Arial" w:cs="Arial"/>
          <w:i/>
        </w:rPr>
        <w:t>.,</w:t>
      </w:r>
      <w:r>
        <w:rPr>
          <w:rFonts w:ascii="Arial" w:hAnsi="Arial" w:cs="Arial"/>
        </w:rPr>
        <w:t xml:space="preserve"> 2024). Phosphate solubilizers convert the large portion of soil phosphorus that exists in insoluble complexes into soluble forms that plants can absorb. Their main mechanism is the secretion of organic acids, which chelate divalent cations such as Ca</w:t>
      </w:r>
      <w:r>
        <w:rPr>
          <w:rFonts w:ascii="Arial" w:hAnsi="Arial" w:cs="Arial"/>
          <w:vertAlign w:val="superscript"/>
        </w:rPr>
        <w:t>2+</w:t>
      </w:r>
      <w:r>
        <w:rPr>
          <w:rFonts w:ascii="Arial" w:hAnsi="Arial" w:cs="Arial"/>
        </w:rPr>
        <w:t xml:space="preserve"> and break down insoluble phosphate compounds, releasing soluble phosphorus into the soil (</w:t>
      </w:r>
      <w:proofErr w:type="spellStart"/>
      <w:r>
        <w:rPr>
          <w:rFonts w:ascii="Arial" w:hAnsi="Arial" w:cs="Arial"/>
        </w:rPr>
        <w:t>Kalayu</w:t>
      </w:r>
      <w:proofErr w:type="spellEnd"/>
      <w:r>
        <w:rPr>
          <w:rFonts w:ascii="Arial" w:hAnsi="Arial" w:cs="Arial"/>
        </w:rPr>
        <w:t>, 2019). Through this process, phosphate solubilizing bacteria (PSB) increase the pool of plant available phosphorus (Zhu et al</w:t>
      </w:r>
      <w:r>
        <w:rPr>
          <w:rFonts w:ascii="Arial" w:hAnsi="Arial" w:cs="Arial"/>
          <w:i/>
        </w:rPr>
        <w:t>.,</w:t>
      </w:r>
      <w:r>
        <w:rPr>
          <w:rFonts w:ascii="Arial" w:hAnsi="Arial" w:cs="Arial"/>
        </w:rPr>
        <w:t xml:space="preserve"> 2012). Beyond solubilizing phosphorus, PSB also support plant growth by enhancing biological nitrogen fixation, producing phytohormones that stimulate plant development, and improving the availability of essential micronutrients such as zinc and iron (Wani et al., 2007; Sharma et al., 2013). Indirect mechanisms involve traits that inhibit the functioning of plant pathogenic organisms. This can be achieved through the production of antibiotics, which can act as antifungal, antibacterial, </w:t>
      </w:r>
      <w:proofErr w:type="spellStart"/>
      <w:r>
        <w:rPr>
          <w:rFonts w:ascii="Arial" w:hAnsi="Arial" w:cs="Arial"/>
        </w:rPr>
        <w:t>antihelmintic</w:t>
      </w:r>
      <w:proofErr w:type="spellEnd"/>
      <w:r>
        <w:rPr>
          <w:rFonts w:ascii="Arial" w:hAnsi="Arial" w:cs="Arial"/>
        </w:rPr>
        <w:t xml:space="preserve">, and antiviral agents. Examples of antibiotics produced by PGPBs include </w:t>
      </w:r>
      <w:proofErr w:type="spellStart"/>
      <w:r>
        <w:rPr>
          <w:rFonts w:ascii="Arial" w:hAnsi="Arial" w:cs="Arial"/>
        </w:rPr>
        <w:t>surfactin</w:t>
      </w:r>
      <w:proofErr w:type="spellEnd"/>
      <w:r>
        <w:rPr>
          <w:rFonts w:ascii="Arial" w:hAnsi="Arial" w:cs="Arial"/>
        </w:rPr>
        <w:t xml:space="preserve">, </w:t>
      </w:r>
      <w:proofErr w:type="spellStart"/>
      <w:r>
        <w:rPr>
          <w:rFonts w:ascii="Arial" w:hAnsi="Arial" w:cs="Arial"/>
        </w:rPr>
        <w:t>fengycin</w:t>
      </w:r>
      <w:proofErr w:type="spellEnd"/>
      <w:r>
        <w:rPr>
          <w:rFonts w:ascii="Arial" w:hAnsi="Arial" w:cs="Arial"/>
        </w:rPr>
        <w:t xml:space="preserve">, </w:t>
      </w:r>
      <w:proofErr w:type="spellStart"/>
      <w:r>
        <w:rPr>
          <w:rFonts w:ascii="Arial" w:hAnsi="Arial" w:cs="Arial"/>
        </w:rPr>
        <w:t>rhamnolipids</w:t>
      </w:r>
      <w:proofErr w:type="spellEnd"/>
      <w:r>
        <w:rPr>
          <w:rFonts w:ascii="Arial" w:hAnsi="Arial" w:cs="Arial"/>
        </w:rPr>
        <w:t xml:space="preserve">, phenazine-1-carboxylic acid, </w:t>
      </w:r>
      <w:proofErr w:type="spellStart"/>
      <w:r>
        <w:rPr>
          <w:rFonts w:ascii="Arial" w:hAnsi="Arial" w:cs="Arial"/>
        </w:rPr>
        <w:t>pyrrolnitrine</w:t>
      </w:r>
      <w:proofErr w:type="spellEnd"/>
      <w:r>
        <w:rPr>
          <w:rFonts w:ascii="Arial" w:hAnsi="Arial" w:cs="Arial"/>
        </w:rPr>
        <w:t xml:space="preserve">, </w:t>
      </w:r>
      <w:proofErr w:type="spellStart"/>
      <w:r>
        <w:rPr>
          <w:rFonts w:ascii="Arial" w:hAnsi="Arial" w:cs="Arial"/>
        </w:rPr>
        <w:t>butyrolactones</w:t>
      </w:r>
      <w:proofErr w:type="spellEnd"/>
      <w:r>
        <w:rPr>
          <w:rFonts w:ascii="Arial" w:hAnsi="Arial" w:cs="Arial"/>
        </w:rPr>
        <w:t xml:space="preserve">, </w:t>
      </w:r>
      <w:proofErr w:type="spellStart"/>
      <w:r>
        <w:rPr>
          <w:rFonts w:ascii="Arial" w:hAnsi="Arial" w:cs="Arial"/>
        </w:rPr>
        <w:t>zwittermicin</w:t>
      </w:r>
      <w:proofErr w:type="spellEnd"/>
      <w:r>
        <w:rPr>
          <w:rFonts w:ascii="Arial" w:hAnsi="Arial" w:cs="Arial"/>
        </w:rPr>
        <w:t xml:space="preserve"> A, </w:t>
      </w:r>
      <w:proofErr w:type="spellStart"/>
      <w:r>
        <w:rPr>
          <w:rFonts w:ascii="Arial" w:hAnsi="Arial" w:cs="Arial"/>
        </w:rPr>
        <w:t>aerugin</w:t>
      </w:r>
      <w:proofErr w:type="spellEnd"/>
      <w:r>
        <w:rPr>
          <w:rFonts w:ascii="Arial" w:hAnsi="Arial" w:cs="Arial"/>
        </w:rPr>
        <w:t xml:space="preserve">, </w:t>
      </w:r>
      <w:proofErr w:type="spellStart"/>
      <w:r>
        <w:rPr>
          <w:rFonts w:ascii="Arial" w:hAnsi="Arial" w:cs="Arial"/>
        </w:rPr>
        <w:t>azomycin</w:t>
      </w:r>
      <w:proofErr w:type="spellEnd"/>
      <w:r>
        <w:rPr>
          <w:rFonts w:ascii="Arial" w:hAnsi="Arial" w:cs="Arial"/>
        </w:rPr>
        <w:t xml:space="preserve">. These mechanisms can act independently or synergistically to benefit the plant (Olanrewaju et al., 2017; </w:t>
      </w:r>
      <w:proofErr w:type="spellStart"/>
      <w:r>
        <w:rPr>
          <w:rFonts w:ascii="Arial" w:hAnsi="Arial" w:cs="Arial"/>
        </w:rPr>
        <w:t>Kenawy</w:t>
      </w:r>
      <w:proofErr w:type="spellEnd"/>
      <w:r>
        <w:rPr>
          <w:rFonts w:ascii="Arial" w:hAnsi="Arial" w:cs="Arial"/>
        </w:rPr>
        <w:t xml:space="preserve"> et al., 2020). In turn, plants release secondary metabolites that nourish the microorganisms inhabiting the rhizosphere. Such interactions are fundamental for maintaining a favorable root microenvironment that supports plant growth and development (</w:t>
      </w:r>
      <w:proofErr w:type="spellStart"/>
      <w:r>
        <w:rPr>
          <w:rFonts w:ascii="Arial" w:hAnsi="Arial" w:cs="Arial"/>
        </w:rPr>
        <w:t>Chamkhi</w:t>
      </w:r>
      <w:proofErr w:type="spellEnd"/>
      <w:r>
        <w:rPr>
          <w:rFonts w:ascii="Arial" w:hAnsi="Arial" w:cs="Arial"/>
        </w:rPr>
        <w:t xml:space="preserve"> et a</w:t>
      </w:r>
      <w:r>
        <w:rPr>
          <w:rFonts w:ascii="Arial" w:hAnsi="Arial" w:cs="Arial"/>
          <w:i/>
          <w:iCs/>
        </w:rPr>
        <w:t>l</w:t>
      </w:r>
      <w:r>
        <w:rPr>
          <w:rFonts w:ascii="Arial" w:hAnsi="Arial" w:cs="Arial"/>
          <w:i/>
        </w:rPr>
        <w:t>.,</w:t>
      </w:r>
      <w:r>
        <w:rPr>
          <w:rFonts w:ascii="Arial" w:hAnsi="Arial" w:cs="Arial"/>
        </w:rPr>
        <w:t>2022).</w:t>
      </w:r>
    </w:p>
    <w:p w14:paraId="65E9B396" w14:textId="77777777" w:rsidR="00CD3DE2" w:rsidRDefault="005908EC">
      <w:pPr>
        <w:jc w:val="both"/>
        <w:rPr>
          <w:rFonts w:ascii="Arial" w:hAnsi="Arial" w:cs="Arial"/>
        </w:rPr>
      </w:pPr>
      <w:r>
        <w:rPr>
          <w:rFonts w:ascii="Arial" w:hAnsi="Arial" w:cs="Arial"/>
        </w:rPr>
        <w:t xml:space="preserve">These bacteria belong to various genera, including </w:t>
      </w:r>
      <w:proofErr w:type="spellStart"/>
      <w:r>
        <w:rPr>
          <w:rFonts w:ascii="Arial" w:hAnsi="Arial" w:cs="Arial"/>
          <w:i/>
        </w:rPr>
        <w:t>Azospirillum</w:t>
      </w:r>
      <w:proofErr w:type="spellEnd"/>
      <w:r>
        <w:rPr>
          <w:rFonts w:ascii="Arial" w:hAnsi="Arial" w:cs="Arial"/>
          <w:i/>
        </w:rPr>
        <w:t xml:space="preserve">, </w:t>
      </w:r>
      <w:proofErr w:type="spellStart"/>
      <w:r>
        <w:rPr>
          <w:rFonts w:ascii="Arial" w:hAnsi="Arial" w:cs="Arial"/>
          <w:i/>
        </w:rPr>
        <w:t>Azotobacter</w:t>
      </w:r>
      <w:proofErr w:type="spellEnd"/>
      <w:r>
        <w:rPr>
          <w:rFonts w:ascii="Arial" w:hAnsi="Arial" w:cs="Arial"/>
          <w:i/>
        </w:rPr>
        <w:t xml:space="preserve">, Pseudomonas, Bacillus, </w:t>
      </w:r>
      <w:proofErr w:type="spellStart"/>
      <w:r>
        <w:rPr>
          <w:rFonts w:ascii="Arial" w:hAnsi="Arial" w:cs="Arial"/>
          <w:i/>
        </w:rPr>
        <w:t>Burkholderia</w:t>
      </w:r>
      <w:proofErr w:type="spellEnd"/>
      <w:r>
        <w:rPr>
          <w:rFonts w:ascii="Arial" w:hAnsi="Arial" w:cs="Arial"/>
          <w:i/>
        </w:rPr>
        <w:t xml:space="preserve">, </w:t>
      </w:r>
      <w:proofErr w:type="spellStart"/>
      <w:r>
        <w:rPr>
          <w:rFonts w:ascii="Arial" w:hAnsi="Arial" w:cs="Arial"/>
          <w:i/>
        </w:rPr>
        <w:t>Paenibacillus</w:t>
      </w:r>
      <w:proofErr w:type="spellEnd"/>
      <w:r>
        <w:rPr>
          <w:rFonts w:ascii="Arial" w:hAnsi="Arial" w:cs="Arial"/>
          <w:i/>
        </w:rPr>
        <w:t xml:space="preserve">, </w:t>
      </w:r>
      <w:proofErr w:type="spellStart"/>
      <w:r>
        <w:rPr>
          <w:rFonts w:ascii="Arial" w:hAnsi="Arial" w:cs="Arial"/>
          <w:i/>
        </w:rPr>
        <w:t>Pantoea</w:t>
      </w:r>
      <w:proofErr w:type="spellEnd"/>
      <w:r>
        <w:rPr>
          <w:rFonts w:ascii="Arial" w:hAnsi="Arial" w:cs="Arial"/>
          <w:i/>
        </w:rPr>
        <w:t xml:space="preserve">, </w:t>
      </w:r>
      <w:proofErr w:type="spellStart"/>
      <w:r>
        <w:rPr>
          <w:rFonts w:ascii="Arial" w:hAnsi="Arial" w:cs="Arial"/>
          <w:i/>
        </w:rPr>
        <w:t>Serratia</w:t>
      </w:r>
      <w:proofErr w:type="spellEnd"/>
      <w:r>
        <w:rPr>
          <w:rFonts w:ascii="Arial" w:hAnsi="Arial" w:cs="Arial"/>
          <w:i/>
        </w:rPr>
        <w:t>, Streptomyces, and Rhizobia</w:t>
      </w:r>
      <w:r>
        <w:rPr>
          <w:rFonts w:ascii="Arial" w:hAnsi="Arial" w:cs="Arial"/>
        </w:rPr>
        <w:t xml:space="preserve"> (Shrivastava et al., 2015; Bhise et al.</w:t>
      </w:r>
      <w:r>
        <w:rPr>
          <w:rFonts w:ascii="Arial" w:hAnsi="Arial" w:cs="Arial"/>
          <w:i/>
        </w:rPr>
        <w:t>,</w:t>
      </w:r>
      <w:r>
        <w:rPr>
          <w:rFonts w:ascii="Arial" w:hAnsi="Arial" w:cs="Arial"/>
        </w:rPr>
        <w:t xml:space="preserve"> </w:t>
      </w:r>
      <w:commentRangeStart w:id="4"/>
      <w:r>
        <w:rPr>
          <w:rFonts w:ascii="Arial" w:hAnsi="Arial" w:cs="Arial"/>
        </w:rPr>
        <w:t>2017</w:t>
      </w:r>
      <w:commentRangeEnd w:id="4"/>
      <w:r w:rsidR="00046E4C">
        <w:rPr>
          <w:rStyle w:val="a4"/>
          <w:rFonts w:ascii="Times New Roman" w:hAnsi="Times New Roman"/>
          <w:lang w:val="nb-NO" w:eastAsia="nb-NO"/>
        </w:rPr>
        <w:commentReference w:id="4"/>
      </w:r>
      <w:r>
        <w:rPr>
          <w:rFonts w:ascii="Arial" w:hAnsi="Arial" w:cs="Arial"/>
        </w:rPr>
        <w:t>).</w:t>
      </w:r>
    </w:p>
    <w:p w14:paraId="519B740F" w14:textId="77777777" w:rsidR="00CD3DE2" w:rsidRDefault="00CD3DE2">
      <w:pPr>
        <w:jc w:val="both"/>
        <w:rPr>
          <w:rFonts w:ascii="Arial" w:hAnsi="Arial" w:cs="Arial"/>
        </w:rPr>
      </w:pPr>
    </w:p>
    <w:p w14:paraId="53C032DF" w14:textId="77777777" w:rsidR="00CD3DE2" w:rsidRDefault="005908EC">
      <w:pPr>
        <w:jc w:val="both"/>
        <w:rPr>
          <w:rFonts w:ascii="Arial" w:hAnsi="Arial" w:cs="Arial"/>
        </w:rPr>
      </w:pPr>
      <w:proofErr w:type="spellStart"/>
      <w:r>
        <w:rPr>
          <w:rFonts w:ascii="Arial" w:hAnsi="Arial" w:cs="Arial"/>
          <w:i/>
        </w:rPr>
        <w:t>Chryseobacterium</w:t>
      </w:r>
      <w:proofErr w:type="spellEnd"/>
      <w:r>
        <w:rPr>
          <w:rFonts w:ascii="Arial" w:hAnsi="Arial" w:cs="Arial"/>
        </w:rPr>
        <w:t xml:space="preserve"> species are widespread in nature, occurring predominantly in soil, foodstuffs, plants and aquatic environments </w:t>
      </w:r>
      <w:commentRangeStart w:id="5"/>
      <w:r>
        <w:rPr>
          <w:rFonts w:ascii="Arial" w:hAnsi="Arial" w:cs="Arial"/>
        </w:rPr>
        <w:t xml:space="preserve">(Hsu et al., 2011; </w:t>
      </w:r>
      <w:commentRangeEnd w:id="5"/>
      <w:r w:rsidR="00046E4C">
        <w:rPr>
          <w:rStyle w:val="a4"/>
          <w:rFonts w:ascii="Times New Roman" w:hAnsi="Times New Roman"/>
          <w:lang w:val="nb-NO" w:eastAsia="nb-NO"/>
        </w:rPr>
        <w:commentReference w:id="5"/>
      </w:r>
      <w:proofErr w:type="spellStart"/>
      <w:r>
        <w:rPr>
          <w:rFonts w:ascii="Arial" w:hAnsi="Arial" w:cs="Arial"/>
        </w:rPr>
        <w:t>Arouna</w:t>
      </w:r>
      <w:proofErr w:type="spellEnd"/>
      <w:r>
        <w:rPr>
          <w:rFonts w:ascii="Arial" w:hAnsi="Arial" w:cs="Arial"/>
        </w:rPr>
        <w:t xml:space="preserve"> et al., 2017; Jung et al., 2023). Approximately 80 species of </w:t>
      </w:r>
      <w:proofErr w:type="spellStart"/>
      <w:r>
        <w:rPr>
          <w:rFonts w:ascii="Arial" w:hAnsi="Arial" w:cs="Arial"/>
          <w:i/>
        </w:rPr>
        <w:t>Chryseobacterium</w:t>
      </w:r>
      <w:proofErr w:type="spellEnd"/>
      <w:r>
        <w:rPr>
          <w:rFonts w:ascii="Arial" w:hAnsi="Arial" w:cs="Arial"/>
        </w:rPr>
        <w:t xml:space="preserve"> have been identified, most of which are non-pathogenic environmental isolates commonly linked to moist habitats (Booth, 2014). However, </w:t>
      </w:r>
      <w:r>
        <w:rPr>
          <w:rFonts w:ascii="Arial" w:hAnsi="Arial" w:cs="Arial"/>
          <w:i/>
        </w:rPr>
        <w:t xml:space="preserve">C. </w:t>
      </w:r>
      <w:proofErr w:type="spellStart"/>
      <w:r>
        <w:rPr>
          <w:rFonts w:ascii="Arial" w:hAnsi="Arial" w:cs="Arial"/>
          <w:i/>
        </w:rPr>
        <w:t>indologenes</w:t>
      </w:r>
      <w:proofErr w:type="spellEnd"/>
      <w:r>
        <w:rPr>
          <w:rFonts w:ascii="Arial" w:hAnsi="Arial" w:cs="Arial"/>
        </w:rPr>
        <w:t xml:space="preserve"> and </w:t>
      </w:r>
      <w:r>
        <w:rPr>
          <w:rFonts w:ascii="Arial" w:hAnsi="Arial" w:cs="Arial"/>
          <w:i/>
        </w:rPr>
        <w:t xml:space="preserve">C. </w:t>
      </w:r>
      <w:proofErr w:type="spellStart"/>
      <w:r>
        <w:rPr>
          <w:rFonts w:ascii="Arial" w:hAnsi="Arial" w:cs="Arial"/>
          <w:i/>
        </w:rPr>
        <w:t>gleum</w:t>
      </w:r>
      <w:proofErr w:type="spellEnd"/>
      <w:r>
        <w:rPr>
          <w:rFonts w:ascii="Arial" w:hAnsi="Arial" w:cs="Arial"/>
        </w:rPr>
        <w:t xml:space="preserve"> have been reported as human pathogens, frequently cultured from clinical specimens, causing pneumonia, </w:t>
      </w:r>
      <w:proofErr w:type="spellStart"/>
      <w:r>
        <w:rPr>
          <w:rFonts w:ascii="Arial" w:hAnsi="Arial" w:cs="Arial"/>
        </w:rPr>
        <w:t>bacteraemia</w:t>
      </w:r>
      <w:proofErr w:type="spellEnd"/>
      <w:r>
        <w:rPr>
          <w:rFonts w:ascii="Arial" w:hAnsi="Arial" w:cs="Arial"/>
        </w:rPr>
        <w:t xml:space="preserve"> and other human infections (Chen et al., 2013: Jean et al</w:t>
      </w:r>
      <w:r>
        <w:rPr>
          <w:rFonts w:ascii="Arial" w:hAnsi="Arial" w:cs="Arial"/>
          <w:i/>
        </w:rPr>
        <w:t>.,</w:t>
      </w:r>
      <w:r>
        <w:rPr>
          <w:rFonts w:ascii="Arial" w:hAnsi="Arial" w:cs="Arial"/>
        </w:rPr>
        <w:t xml:space="preserve"> 2017).</w:t>
      </w:r>
    </w:p>
    <w:p w14:paraId="0F6C8389" w14:textId="77777777" w:rsidR="00CD3DE2" w:rsidRDefault="005908EC">
      <w:pPr>
        <w:jc w:val="both"/>
        <w:rPr>
          <w:rFonts w:ascii="Arial" w:hAnsi="Arial" w:cs="Arial"/>
        </w:rPr>
      </w:pPr>
      <w:r>
        <w:rPr>
          <w:rFonts w:ascii="Arial" w:hAnsi="Arial" w:cs="Arial"/>
        </w:rPr>
        <w:t xml:space="preserve"> Recently, </w:t>
      </w:r>
      <w:proofErr w:type="spellStart"/>
      <w:r>
        <w:rPr>
          <w:rFonts w:ascii="Arial" w:hAnsi="Arial" w:cs="Arial"/>
          <w:i/>
        </w:rPr>
        <w:t>Chryseobacterium</w:t>
      </w:r>
      <w:proofErr w:type="spellEnd"/>
      <w:r>
        <w:rPr>
          <w:rFonts w:ascii="Arial" w:hAnsi="Arial" w:cs="Arial"/>
        </w:rPr>
        <w:t xml:space="preserve"> species have gained attention as a promising PGPB genus (Lee et al</w:t>
      </w:r>
      <w:r>
        <w:rPr>
          <w:rFonts w:ascii="Arial" w:hAnsi="Arial" w:cs="Arial"/>
          <w:i/>
        </w:rPr>
        <w:t xml:space="preserve">., </w:t>
      </w:r>
      <w:r>
        <w:rPr>
          <w:rFonts w:ascii="Arial" w:hAnsi="Arial" w:cs="Arial"/>
        </w:rPr>
        <w:t>2017 ; Kim et al</w:t>
      </w:r>
      <w:r>
        <w:rPr>
          <w:rFonts w:ascii="Arial" w:hAnsi="Arial" w:cs="Arial"/>
          <w:i/>
        </w:rPr>
        <w:t xml:space="preserve">., </w:t>
      </w:r>
      <w:r>
        <w:rPr>
          <w:rFonts w:ascii="Arial" w:hAnsi="Arial" w:cs="Arial"/>
        </w:rPr>
        <w:t xml:space="preserve">2020). Some </w:t>
      </w:r>
      <w:proofErr w:type="spellStart"/>
      <w:r>
        <w:rPr>
          <w:rFonts w:ascii="Arial" w:hAnsi="Arial" w:cs="Arial"/>
          <w:i/>
        </w:rPr>
        <w:t>Chryseobacterium</w:t>
      </w:r>
      <w:proofErr w:type="spellEnd"/>
      <w:r>
        <w:rPr>
          <w:rFonts w:ascii="Arial" w:hAnsi="Arial" w:cs="Arial"/>
          <w:i/>
        </w:rPr>
        <w:t xml:space="preserve"> </w:t>
      </w:r>
      <w:r>
        <w:rPr>
          <w:rFonts w:ascii="Arial" w:hAnsi="Arial" w:cs="Arial"/>
        </w:rPr>
        <w:t>species have been reported to promote plant growth by facilitating nutrient cycling and producing beneficial plant hormones (Sang et al</w:t>
      </w:r>
      <w:r>
        <w:rPr>
          <w:rFonts w:ascii="Arial" w:hAnsi="Arial" w:cs="Arial"/>
          <w:i/>
        </w:rPr>
        <w:t xml:space="preserve">., </w:t>
      </w:r>
      <w:r>
        <w:rPr>
          <w:rFonts w:ascii="Arial" w:hAnsi="Arial" w:cs="Arial"/>
        </w:rPr>
        <w:t>2018; Jung et al.</w:t>
      </w:r>
      <w:r>
        <w:rPr>
          <w:rFonts w:ascii="Arial" w:hAnsi="Arial" w:cs="Arial"/>
          <w:i/>
        </w:rPr>
        <w:t xml:space="preserve">, </w:t>
      </w:r>
      <w:r>
        <w:rPr>
          <w:rFonts w:ascii="Arial" w:hAnsi="Arial" w:cs="Arial"/>
        </w:rPr>
        <w:t>2023</w:t>
      </w:r>
      <w:r>
        <w:rPr>
          <w:rFonts w:ascii="Arial" w:hAnsi="Arial" w:cs="Arial"/>
          <w:i/>
        </w:rPr>
        <w:t>)</w:t>
      </w:r>
      <w:r>
        <w:rPr>
          <w:rFonts w:ascii="Arial" w:hAnsi="Arial" w:cs="Arial"/>
        </w:rPr>
        <w:t>. Additionally, they can indirectly support plant growth through biocontrol activity against plant pathogens and also aid in stress tolerance by synthesizing 1- aminocyclopropane-1-1-carboxylic acid (ACC deaminase) and producing phytohormones such as IAA, which improves root elongation and shoot growth (Jung et al., 2023).</w:t>
      </w:r>
    </w:p>
    <w:p w14:paraId="50FECF2C" w14:textId="77777777" w:rsidR="00CD3DE2" w:rsidRDefault="005908EC">
      <w:pPr>
        <w:jc w:val="both"/>
        <w:rPr>
          <w:rFonts w:ascii="Arial" w:hAnsi="Arial" w:cs="Arial"/>
        </w:rPr>
      </w:pPr>
      <w:r>
        <w:rPr>
          <w:rFonts w:ascii="Arial" w:hAnsi="Arial" w:cs="Arial"/>
        </w:rPr>
        <w:t xml:space="preserve">Biofertilizers, including promising candidates such as </w:t>
      </w:r>
      <w:proofErr w:type="spellStart"/>
      <w:r>
        <w:rPr>
          <w:rFonts w:ascii="Arial" w:hAnsi="Arial" w:cs="Arial"/>
          <w:i/>
        </w:rPr>
        <w:t>Chryseobacterium</w:t>
      </w:r>
      <w:proofErr w:type="spellEnd"/>
      <w:r>
        <w:rPr>
          <w:rFonts w:ascii="Arial" w:hAnsi="Arial" w:cs="Arial"/>
          <w:i/>
        </w:rPr>
        <w:t xml:space="preserve"> </w:t>
      </w:r>
      <w:r>
        <w:rPr>
          <w:rFonts w:ascii="Arial" w:hAnsi="Arial" w:cs="Arial"/>
        </w:rPr>
        <w:t xml:space="preserve">offer a sustainable alternative to conventional fertilizers (Lee et al., 2017; Kim et al., 2020; Jung et al., 2023). Once established in soils or colonizing root surfaces, these beneficial microbes can modify the mobility and toxicity of pollutants, prevent further contamination, and enrich soil nutrient pools through multiple direct and indirect mechanisms to enhance fertility and crop productivity across diverse </w:t>
      </w:r>
      <w:proofErr w:type="spellStart"/>
      <w:r>
        <w:rPr>
          <w:rFonts w:ascii="Arial" w:hAnsi="Arial" w:cs="Arial"/>
        </w:rPr>
        <w:t>agroecosystems</w:t>
      </w:r>
      <w:proofErr w:type="spellEnd"/>
      <w:r>
        <w:rPr>
          <w:rFonts w:ascii="Arial" w:hAnsi="Arial" w:cs="Arial"/>
        </w:rPr>
        <w:t xml:space="preserve">  (</w:t>
      </w:r>
      <w:proofErr w:type="spellStart"/>
      <w:r>
        <w:rPr>
          <w:rFonts w:ascii="Arial" w:hAnsi="Arial" w:cs="Arial"/>
        </w:rPr>
        <w:t>Ajuzieogu</w:t>
      </w:r>
      <w:proofErr w:type="spellEnd"/>
      <w:r>
        <w:rPr>
          <w:rFonts w:ascii="Arial" w:hAnsi="Arial" w:cs="Arial"/>
        </w:rPr>
        <w:t xml:space="preserve"> et al., 2015; Zaidi et al</w:t>
      </w:r>
      <w:r>
        <w:rPr>
          <w:rFonts w:ascii="Arial" w:hAnsi="Arial" w:cs="Arial"/>
          <w:i/>
        </w:rPr>
        <w:t>.,</w:t>
      </w:r>
      <w:r>
        <w:rPr>
          <w:rFonts w:ascii="Arial" w:hAnsi="Arial" w:cs="Arial"/>
        </w:rPr>
        <w:t xml:space="preserve"> 2017). </w:t>
      </w:r>
    </w:p>
    <w:p w14:paraId="5A5EB1DC" w14:textId="77777777" w:rsidR="00CD3DE2" w:rsidRDefault="005908EC">
      <w:pPr>
        <w:jc w:val="both"/>
        <w:rPr>
          <w:rFonts w:ascii="Arial" w:hAnsi="Arial" w:cs="Arial"/>
        </w:rPr>
      </w:pPr>
      <w:r>
        <w:rPr>
          <w:rFonts w:ascii="Arial" w:hAnsi="Arial" w:cs="Arial"/>
        </w:rPr>
        <w:t xml:space="preserve">The increasing global population and consequent high demand for food, has </w:t>
      </w:r>
      <w:proofErr w:type="spellStart"/>
      <w:r>
        <w:rPr>
          <w:rFonts w:ascii="Arial" w:hAnsi="Arial" w:cs="Arial"/>
        </w:rPr>
        <w:t>lead</w:t>
      </w:r>
      <w:proofErr w:type="spellEnd"/>
      <w:r>
        <w:rPr>
          <w:rFonts w:ascii="Arial" w:hAnsi="Arial" w:cs="Arial"/>
        </w:rPr>
        <w:t xml:space="preserve"> to search for eco-friendly strategies for reclamation or restoration of mine dump sites, as well as improve crop production and yield. Thus, this study was done to isolate, screen and identify bacterial species with plant growth promoting trait for potential use as biofertilizer in the restoration of coal mine soils.</w:t>
      </w:r>
    </w:p>
    <w:p w14:paraId="7DDA2DD1" w14:textId="77777777" w:rsidR="00CD3DE2" w:rsidRDefault="00CD3DE2">
      <w:pPr>
        <w:jc w:val="both"/>
        <w:rPr>
          <w:rFonts w:ascii="Arial" w:hAnsi="Arial" w:cs="Arial"/>
        </w:rPr>
      </w:pPr>
    </w:p>
    <w:p w14:paraId="361CB685" w14:textId="77777777" w:rsidR="00CD3DE2" w:rsidRDefault="00CD3DE2">
      <w:pPr>
        <w:jc w:val="both"/>
        <w:rPr>
          <w:rFonts w:ascii="Arial" w:hAnsi="Arial" w:cs="Arial"/>
        </w:rPr>
      </w:pPr>
    </w:p>
    <w:p w14:paraId="0692CF15" w14:textId="55E4691E" w:rsidR="00CD3DE2" w:rsidRDefault="005908EC">
      <w:pPr>
        <w:jc w:val="both"/>
        <w:rPr>
          <w:rFonts w:ascii="Arial" w:hAnsi="Arial" w:cs="Arial"/>
        </w:rPr>
      </w:pPr>
      <w:commentRangeStart w:id="6"/>
      <w:r>
        <w:rPr>
          <w:rFonts w:ascii="Arial" w:hAnsi="Arial" w:cs="Arial"/>
          <w:noProof/>
        </w:rPr>
        <w:lastRenderedPageBreak/>
        <w:drawing>
          <wp:inline distT="0" distB="0" distL="114300" distR="114300" wp14:anchorId="3C5436C1" wp14:editId="6D0E0592">
            <wp:extent cx="5591810" cy="3945255"/>
            <wp:effectExtent l="0" t="0" r="8890" b="17145"/>
            <wp:docPr id="6" name="Picture 6" descr="Eco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corestoration"/>
                    <pic:cNvPicPr>
                      <a:picLocks noChangeAspect="1"/>
                    </pic:cNvPicPr>
                  </pic:nvPicPr>
                  <pic:blipFill>
                    <a:blip r:embed="rId17"/>
                    <a:srcRect t="5254" b="1983"/>
                    <a:stretch>
                      <a:fillRect/>
                    </a:stretch>
                  </pic:blipFill>
                  <pic:spPr>
                    <a:xfrm>
                      <a:off x="0" y="0"/>
                      <a:ext cx="5591810" cy="3945255"/>
                    </a:xfrm>
                    <a:prstGeom prst="rect">
                      <a:avLst/>
                    </a:prstGeom>
                  </pic:spPr>
                </pic:pic>
              </a:graphicData>
            </a:graphic>
          </wp:inline>
        </w:drawing>
      </w:r>
      <w:commentRangeEnd w:id="6"/>
      <w:r w:rsidR="00752A2A">
        <w:rPr>
          <w:rStyle w:val="a4"/>
          <w:rFonts w:ascii="Times New Roman" w:hAnsi="Times New Roman"/>
          <w:lang w:val="nb-NO" w:eastAsia="nb-NO"/>
        </w:rPr>
        <w:commentReference w:id="6"/>
      </w:r>
    </w:p>
    <w:p w14:paraId="491F0609" w14:textId="36A1823C" w:rsidR="00CD3DE2" w:rsidRDefault="00046E4C">
      <w:pPr>
        <w:pStyle w:val="AbstHead"/>
        <w:spacing w:after="0"/>
        <w:jc w:val="both"/>
        <w:rPr>
          <w:rFonts w:ascii="Arial" w:hAnsi="Arial" w:cs="Arial"/>
        </w:rPr>
      </w:pPr>
      <w:r>
        <w:rPr>
          <w:noProof/>
        </w:rPr>
        <mc:AlternateContent>
          <mc:Choice Requires="wps">
            <w:drawing>
              <wp:anchor distT="0" distB="0" distL="114300" distR="114300" simplePos="0" relativeHeight="251660288" behindDoc="0" locked="0" layoutInCell="1" allowOverlap="1" wp14:anchorId="0E68F324" wp14:editId="4FC98F5A">
                <wp:simplePos x="0" y="0"/>
                <wp:positionH relativeFrom="column">
                  <wp:posOffset>484505</wp:posOffset>
                </wp:positionH>
                <wp:positionV relativeFrom="paragraph">
                  <wp:posOffset>-3810</wp:posOffset>
                </wp:positionV>
                <wp:extent cx="5415280" cy="325120"/>
                <wp:effectExtent l="0" t="0" r="13970" b="17780"/>
                <wp:wrapNone/>
                <wp:docPr id="2" name="Text Box 4"/>
                <wp:cNvGraphicFramePr/>
                <a:graphic xmlns:a="http://schemas.openxmlformats.org/drawingml/2006/main">
                  <a:graphicData uri="http://schemas.microsoft.com/office/word/2010/wordprocessingShape">
                    <wps:wsp>
                      <wps:cNvSpPr txBox="1"/>
                      <wps:spPr>
                        <a:xfrm>
                          <a:off x="0" y="0"/>
                          <a:ext cx="5415280" cy="325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FBF5E3" w14:textId="77777777" w:rsidR="00443CCF" w:rsidRDefault="00443CCF">
                            <w:pPr>
                              <w:rPr>
                                <w:rFonts w:ascii="Arial" w:hAnsi="Arial" w:cs="Arial"/>
                                <w:b/>
                                <w:bCs/>
                              </w:rPr>
                            </w:pPr>
                            <w:r>
                              <w:rPr>
                                <w:rFonts w:ascii="Arial" w:hAnsi="Arial" w:cs="Arial"/>
                                <w:b/>
                                <w:bCs/>
                              </w:rPr>
                              <w:t>Fig.1. Effects of diverse soil amendments on coal mining areas</w:t>
                            </w:r>
                          </w:p>
                          <w:p w14:paraId="0914CF9C" w14:textId="77777777" w:rsidR="00443CCF" w:rsidRDefault="00443CCF">
                            <w:pPr>
                              <w:rPr>
                                <w:rFonts w:ascii="Arial" w:hAnsi="Arial" w:cs="Arial"/>
                                <w:b/>
                                <w:bCs/>
                              </w:rPr>
                            </w:pPr>
                          </w:p>
                          <w:p w14:paraId="7E6D5019" w14:textId="77777777" w:rsidR="00443CCF" w:rsidRDefault="00443CCF">
                            <w:pPr>
                              <w:rPr>
                                <w:rFonts w:ascii="Arial" w:hAnsi="Arial" w:cs="Arial"/>
                                <w:b/>
                                <w:bCs/>
                              </w:rPr>
                            </w:pPr>
                            <w:r>
                              <w:rPr>
                                <w:rFonts w:ascii="Arial" w:hAnsi="Arial" w:cs="Arial"/>
                                <w:b/>
                                <w:bCs/>
                              </w:rPr>
                              <w:t>Source: Mao et al. (2024)</w:t>
                            </w:r>
                          </w:p>
                          <w:p w14:paraId="42A6CF06" w14:textId="77777777" w:rsidR="00443CCF" w:rsidRDefault="00443CCF"/>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15pt;margin-top:-.3pt;width:426.4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">
                <v:textbox>
                  <w:txbxContent>
                    <w:p w14:paraId="1CFBF5E3" w14:textId="77777777" w:rsidR="00443CCF" w:rsidRDefault="00443CCF">
                      <w:pPr>
                        <w:rPr>
                          <w:rFonts w:ascii="Arial" w:hAnsi="Arial" w:cs="Arial"/>
                          <w:b/>
                          <w:bCs/>
                        </w:rPr>
                      </w:pPr>
                      <w:r>
                        <w:rPr>
                          <w:rFonts w:ascii="Arial" w:hAnsi="Arial" w:cs="Arial"/>
                          <w:b/>
                          <w:bCs/>
                        </w:rPr>
                        <w:t>Fig.1. Effects of diverse soil amendments on coal mining areas</w:t>
                      </w:r>
                    </w:p>
                    <w:p w14:paraId="0914CF9C" w14:textId="77777777" w:rsidR="00443CCF" w:rsidRDefault="00443CCF">
                      <w:pPr>
                        <w:rPr>
                          <w:rFonts w:ascii="Arial" w:hAnsi="Arial" w:cs="Arial"/>
                          <w:b/>
                          <w:bCs/>
                        </w:rPr>
                      </w:pPr>
                    </w:p>
                    <w:p w14:paraId="7E6D5019" w14:textId="77777777" w:rsidR="00443CCF" w:rsidRDefault="00443CCF">
                      <w:pPr>
                        <w:rPr>
                          <w:rFonts w:ascii="Arial" w:hAnsi="Arial" w:cs="Arial"/>
                          <w:b/>
                          <w:bCs/>
                        </w:rPr>
                      </w:pPr>
                      <w:r>
                        <w:rPr>
                          <w:rFonts w:ascii="Arial" w:hAnsi="Arial" w:cs="Arial"/>
                          <w:b/>
                          <w:bCs/>
                        </w:rPr>
                        <w:t>Source: Mao et al. (2024)</w:t>
                      </w:r>
                    </w:p>
                    <w:p w14:paraId="42A6CF06" w14:textId="77777777" w:rsidR="00443CCF" w:rsidRDefault="00443CCF"/>
                  </w:txbxContent>
                </v:textbox>
              </v:shape>
            </w:pict>
          </mc:Fallback>
        </mc:AlternateContent>
      </w:r>
    </w:p>
    <w:p w14:paraId="463763F5" w14:textId="77777777" w:rsidR="00CD3DE2" w:rsidRDefault="005908EC">
      <w:pPr>
        <w:pStyle w:val="AbstHead"/>
        <w:spacing w:after="0"/>
        <w:jc w:val="both"/>
        <w:rPr>
          <w:rFonts w:ascii="Arial" w:hAnsi="Arial" w:cs="Arial"/>
        </w:rPr>
      </w:pPr>
      <w:commentRangeStart w:id="7"/>
      <w:r>
        <w:rPr>
          <w:rFonts w:ascii="Arial" w:hAnsi="Arial" w:cs="Arial"/>
        </w:rPr>
        <w:t>2</w:t>
      </w:r>
      <w:commentRangeEnd w:id="7"/>
      <w:r w:rsidR="00046E4C">
        <w:rPr>
          <w:rStyle w:val="a4"/>
          <w:rFonts w:ascii="Times New Roman" w:hAnsi="Times New Roman"/>
          <w:b w:val="0"/>
          <w:caps w:val="0"/>
          <w:lang w:val="nb-NO" w:eastAsia="nb-NO"/>
        </w:rPr>
        <w:commentReference w:id="7"/>
      </w:r>
      <w:r>
        <w:rPr>
          <w:rFonts w:ascii="Arial" w:hAnsi="Arial" w:cs="Arial"/>
        </w:rPr>
        <w:t xml:space="preserve">. material and methods </w:t>
      </w:r>
    </w:p>
    <w:p w14:paraId="56027BEE" w14:textId="77777777" w:rsidR="00CD3DE2" w:rsidRDefault="00CD3DE2">
      <w:pPr>
        <w:pStyle w:val="AbstHead"/>
        <w:spacing w:after="0"/>
        <w:jc w:val="both"/>
        <w:rPr>
          <w:rFonts w:ascii="Arial" w:hAnsi="Arial" w:cs="Arial"/>
        </w:rPr>
      </w:pPr>
    </w:p>
    <w:p w14:paraId="742A1E70" w14:textId="77777777" w:rsidR="00F30BC4" w:rsidRDefault="00F30BC4">
      <w:pPr>
        <w:jc w:val="both"/>
        <w:rPr>
          <w:rFonts w:ascii="Arial" w:hAnsi="Arial" w:cs="Arial"/>
          <w:b/>
          <w:caps/>
          <w:sz w:val="22"/>
        </w:rPr>
      </w:pPr>
    </w:p>
    <w:p w14:paraId="4080842B" w14:textId="77777777" w:rsidR="00F30BC4" w:rsidRDefault="00F30BC4">
      <w:pPr>
        <w:jc w:val="both"/>
        <w:rPr>
          <w:rFonts w:ascii="Arial" w:hAnsi="Arial" w:cs="Arial"/>
          <w:b/>
          <w:caps/>
          <w:sz w:val="22"/>
        </w:rPr>
      </w:pPr>
    </w:p>
    <w:p w14:paraId="73F2BA22" w14:textId="77777777" w:rsidR="00F30BC4" w:rsidRDefault="00F30BC4">
      <w:pPr>
        <w:jc w:val="both"/>
        <w:rPr>
          <w:rFonts w:ascii="Arial" w:hAnsi="Arial" w:cs="Arial"/>
          <w:b/>
          <w:caps/>
          <w:sz w:val="22"/>
        </w:rPr>
      </w:pPr>
    </w:p>
    <w:p w14:paraId="38592FB4" w14:textId="074818F9" w:rsidR="00CD3DE2" w:rsidRDefault="005908EC">
      <w:pPr>
        <w:jc w:val="both"/>
        <w:rPr>
          <w:rFonts w:ascii="Arial" w:hAnsi="Arial" w:cs="Arial"/>
          <w:b/>
          <w:bCs/>
          <w:sz w:val="22"/>
          <w:szCs w:val="22"/>
        </w:rPr>
      </w:pPr>
      <w:r>
        <w:rPr>
          <w:rFonts w:ascii="Arial" w:hAnsi="Arial" w:cs="Arial"/>
          <w:b/>
          <w:caps/>
          <w:sz w:val="22"/>
        </w:rPr>
        <w:t xml:space="preserve">2.1 </w:t>
      </w:r>
      <w:r>
        <w:rPr>
          <w:rFonts w:ascii="Arial" w:hAnsi="Arial" w:cs="Arial"/>
          <w:b/>
          <w:bCs/>
          <w:sz w:val="22"/>
          <w:szCs w:val="22"/>
        </w:rPr>
        <w:t>Study Area</w:t>
      </w:r>
    </w:p>
    <w:p w14:paraId="5087E8DA" w14:textId="77777777" w:rsidR="00CD3DE2" w:rsidRDefault="005908EC">
      <w:pPr>
        <w:jc w:val="both"/>
        <w:rPr>
          <w:rFonts w:ascii="Arial" w:hAnsi="Arial" w:cs="Arial"/>
        </w:rPr>
      </w:pPr>
      <w:r>
        <w:rPr>
          <w:rFonts w:ascii="Arial" w:hAnsi="Arial" w:cs="Arial"/>
        </w:rPr>
        <w:t xml:space="preserve">This research was conducted at </w:t>
      </w:r>
      <w:proofErr w:type="spellStart"/>
      <w:r>
        <w:rPr>
          <w:rFonts w:ascii="Arial" w:hAnsi="Arial" w:cs="Arial"/>
        </w:rPr>
        <w:t>Nucleometrix</w:t>
      </w:r>
      <w:proofErr w:type="spellEnd"/>
      <w:r>
        <w:rPr>
          <w:rFonts w:ascii="Arial" w:hAnsi="Arial" w:cs="Arial"/>
        </w:rPr>
        <w:t xml:space="preserve"> Laboratory, </w:t>
      </w:r>
      <w:proofErr w:type="spellStart"/>
      <w:r>
        <w:rPr>
          <w:rFonts w:ascii="Arial" w:hAnsi="Arial" w:cs="Arial"/>
        </w:rPr>
        <w:t>Tombia</w:t>
      </w:r>
      <w:proofErr w:type="spellEnd"/>
      <w:r>
        <w:rPr>
          <w:rFonts w:ascii="Arial" w:hAnsi="Arial" w:cs="Arial"/>
        </w:rPr>
        <w:t xml:space="preserve">, </w:t>
      </w:r>
      <w:proofErr w:type="spellStart"/>
      <w:r>
        <w:rPr>
          <w:rFonts w:ascii="Arial" w:hAnsi="Arial" w:cs="Arial"/>
        </w:rPr>
        <w:t>Yenegoa</w:t>
      </w:r>
      <w:proofErr w:type="spellEnd"/>
      <w:r>
        <w:rPr>
          <w:rFonts w:ascii="Arial" w:hAnsi="Arial" w:cs="Arial"/>
        </w:rPr>
        <w:t>, Bayelsa State Nigeria, situated at GPS coordinates latitude 4</w:t>
      </w:r>
      <w:r>
        <w:rPr>
          <w:rFonts w:ascii="Arial" w:hAnsi="Arial" w:cs="Arial"/>
          <w:b/>
        </w:rPr>
        <w:t xml:space="preserve">° </w:t>
      </w:r>
      <w:r>
        <w:rPr>
          <w:rFonts w:ascii="Arial" w:hAnsi="Arial" w:cs="Arial"/>
        </w:rPr>
        <w:t>56’ 23”</w:t>
      </w:r>
      <w:r>
        <w:rPr>
          <w:rFonts w:ascii="Arial" w:hAnsi="Arial" w:cs="Arial"/>
          <w:b/>
        </w:rPr>
        <w:t xml:space="preserve"> </w:t>
      </w:r>
      <w:r>
        <w:rPr>
          <w:rFonts w:ascii="Arial" w:hAnsi="Arial" w:cs="Arial"/>
        </w:rPr>
        <w:t>N and longitude 6° 21’ 15” E.</w:t>
      </w:r>
    </w:p>
    <w:p w14:paraId="08FCD295" w14:textId="77777777" w:rsidR="00CD3DE2" w:rsidRDefault="005908EC">
      <w:pPr>
        <w:jc w:val="both"/>
        <w:rPr>
          <w:rFonts w:ascii="Arial" w:hAnsi="Arial" w:cs="Arial"/>
          <w:b/>
          <w:sz w:val="22"/>
          <w:szCs w:val="22"/>
        </w:rPr>
      </w:pPr>
      <w:r>
        <w:rPr>
          <w:rFonts w:ascii="Arial" w:hAnsi="Arial" w:cs="Arial"/>
          <w:b/>
          <w:sz w:val="22"/>
          <w:szCs w:val="22"/>
        </w:rPr>
        <w:t>2.2. Site Description and Sample Collection</w:t>
      </w:r>
    </w:p>
    <w:p w14:paraId="66275A5F" w14:textId="77777777" w:rsidR="00CD3DE2" w:rsidRDefault="005908EC">
      <w:pPr>
        <w:jc w:val="both"/>
        <w:rPr>
          <w:rFonts w:ascii="Arial" w:hAnsi="Arial" w:cs="Arial"/>
        </w:rPr>
      </w:pPr>
      <w:r>
        <w:rPr>
          <w:rFonts w:ascii="Arial" w:hAnsi="Arial" w:cs="Arial"/>
        </w:rPr>
        <w:t xml:space="preserve">This was done following the method of Norby et al., (2024). Coal mine soil samples were collected from the abandoned </w:t>
      </w:r>
      <w:proofErr w:type="spellStart"/>
      <w:r>
        <w:rPr>
          <w:rFonts w:ascii="Arial" w:hAnsi="Arial" w:cs="Arial"/>
        </w:rPr>
        <w:t>Ogbete</w:t>
      </w:r>
      <w:proofErr w:type="spellEnd"/>
      <w:r>
        <w:rPr>
          <w:rFonts w:ascii="Arial" w:hAnsi="Arial" w:cs="Arial"/>
        </w:rPr>
        <w:t xml:space="preserve"> coal mine site located in Enugu State, Nigeria. The sampling points were geo-referenced using GPS device. Point 1 was located at latitude   6°26'1. 032"N and longitude 7°28'5.0412"E, followed closely by Point 2 at </w:t>
      </w:r>
      <w:proofErr w:type="spellStart"/>
      <w:r>
        <w:rPr>
          <w:rFonts w:ascii="Arial" w:hAnsi="Arial" w:cs="Arial"/>
        </w:rPr>
        <w:t>latitude.These</w:t>
      </w:r>
      <w:proofErr w:type="spellEnd"/>
      <w:r>
        <w:rPr>
          <w:rFonts w:ascii="Arial" w:hAnsi="Arial" w:cs="Arial"/>
        </w:rPr>
        <w:t xml:space="preserve"> positions progress into Point 3, which lies at latitude 6°26’1. 14612” N and longitude 7°28’5.484” E, and continue to Point 4 at latitude 6°26’1.13388” N and longitude 7°28’5.20788” E. The sequence is completed with Point 5 located at latitude 6°26’1.032” N and longitude 7°28’5.04012” E, together presenting a consistent geographic alignment within the same local area. Composite samples of the coal mine spoil soils were collected from depths of 0-15cm (top soil), 7 km apart, from five randomly selected points using a soil auger, transferred into sterile plastic containers, placed in ice chests, and transported to the laboratory for further analysis. </w:t>
      </w:r>
    </w:p>
    <w:p w14:paraId="0EC2C9DA" w14:textId="77777777" w:rsidR="00CD3DE2" w:rsidRDefault="00CD3DE2">
      <w:pPr>
        <w:spacing w:line="360" w:lineRule="auto"/>
        <w:jc w:val="both"/>
        <w:rPr>
          <w:rFonts w:ascii="Arial" w:hAnsi="Arial" w:cs="Arial"/>
          <w:b/>
        </w:rPr>
      </w:pPr>
    </w:p>
    <w:p w14:paraId="61C673C7" w14:textId="77777777" w:rsidR="00CD3DE2" w:rsidRDefault="005908EC">
      <w:pPr>
        <w:spacing w:line="360" w:lineRule="auto"/>
        <w:jc w:val="both"/>
        <w:rPr>
          <w:rFonts w:ascii="Arial" w:hAnsi="Arial" w:cs="Arial"/>
          <w:sz w:val="22"/>
          <w:szCs w:val="22"/>
        </w:rPr>
      </w:pPr>
      <w:r>
        <w:rPr>
          <w:rFonts w:ascii="Arial" w:hAnsi="Arial" w:cs="Arial"/>
          <w:b/>
          <w:sz w:val="22"/>
          <w:szCs w:val="22"/>
        </w:rPr>
        <w:t>2.3 Physico-chemical  Analysis  of  the Coal Mine Soil</w:t>
      </w:r>
      <w:r>
        <w:rPr>
          <w:rFonts w:ascii="Arial" w:hAnsi="Arial" w:cs="Arial"/>
          <w:sz w:val="22"/>
          <w:szCs w:val="22"/>
        </w:rPr>
        <w:t xml:space="preserve"> </w:t>
      </w:r>
    </w:p>
    <w:p w14:paraId="1554935B" w14:textId="77777777" w:rsidR="00CD3DE2" w:rsidRDefault="005908EC">
      <w:pPr>
        <w:jc w:val="both"/>
        <w:rPr>
          <w:rFonts w:ascii="Arial" w:hAnsi="Arial" w:cs="Arial"/>
        </w:rPr>
      </w:pPr>
      <w:r>
        <w:rPr>
          <w:rFonts w:ascii="Arial" w:hAnsi="Arial" w:cs="Arial"/>
        </w:rPr>
        <w:t>Coal mine soil sample was analyzed for physical and chemical properties such as soil moisture content, soil pH, electrical conductivity, organic carbon, nitrogen, phosphorus, and heavy metals.</w:t>
      </w:r>
    </w:p>
    <w:p w14:paraId="68A5B969" w14:textId="77777777" w:rsidR="00CD3DE2" w:rsidRDefault="005908EC">
      <w:pPr>
        <w:spacing w:line="360" w:lineRule="auto"/>
        <w:jc w:val="both"/>
        <w:rPr>
          <w:rFonts w:ascii="Arial" w:hAnsi="Arial" w:cs="Arial"/>
          <w:b/>
          <w:sz w:val="22"/>
          <w:szCs w:val="22"/>
        </w:rPr>
      </w:pPr>
      <w:r>
        <w:rPr>
          <w:rFonts w:ascii="Arial" w:hAnsi="Arial" w:cs="Arial"/>
          <w:b/>
        </w:rPr>
        <w:t xml:space="preserve">2.3.1 </w:t>
      </w:r>
      <w:r>
        <w:rPr>
          <w:rFonts w:ascii="Arial" w:hAnsi="Arial" w:cs="Arial"/>
          <w:b/>
          <w:sz w:val="22"/>
          <w:szCs w:val="22"/>
        </w:rPr>
        <w:t>pH  and Conductivity</w:t>
      </w:r>
    </w:p>
    <w:p w14:paraId="38C6E98E" w14:textId="77777777" w:rsidR="00CD3DE2" w:rsidRDefault="005908EC">
      <w:pPr>
        <w:jc w:val="both"/>
        <w:rPr>
          <w:rFonts w:ascii="Arial" w:hAnsi="Arial" w:cs="Arial"/>
        </w:rPr>
      </w:pPr>
      <w:r>
        <w:rPr>
          <w:rFonts w:ascii="Arial" w:hAnsi="Arial" w:cs="Arial"/>
        </w:rPr>
        <w:t>pH and conductivity were measured using a digital Oakton pH meter (model PCD 650) and HANNA Conductivity/TDS meter (HI 9835) respectively (Melia et al., 2024).</w:t>
      </w:r>
    </w:p>
    <w:p w14:paraId="41FAC274" w14:textId="77777777" w:rsidR="00CD3DE2" w:rsidRDefault="005908EC">
      <w:pPr>
        <w:spacing w:line="360" w:lineRule="auto"/>
        <w:jc w:val="both"/>
        <w:rPr>
          <w:rFonts w:ascii="Arial" w:hAnsi="Arial" w:cs="Arial"/>
          <w:b/>
        </w:rPr>
      </w:pPr>
      <w:r>
        <w:rPr>
          <w:rFonts w:ascii="Arial" w:hAnsi="Arial" w:cs="Arial"/>
          <w:b/>
        </w:rPr>
        <w:t>2.3.2  Moisture Content</w:t>
      </w:r>
    </w:p>
    <w:p w14:paraId="4C02BC20" w14:textId="77777777" w:rsidR="00CD3DE2" w:rsidRDefault="005908EC">
      <w:pPr>
        <w:jc w:val="both"/>
        <w:rPr>
          <w:rFonts w:ascii="Arial" w:hAnsi="Arial" w:cs="Arial"/>
        </w:rPr>
      </w:pPr>
      <w:r>
        <w:rPr>
          <w:rFonts w:ascii="Arial" w:hAnsi="Arial" w:cs="Arial"/>
        </w:rPr>
        <w:t>The method used for determining moisture content in soil was based on ASTM D2216. This is a simple weight loss technique obtained at temperature range of 105 to 115</w:t>
      </w:r>
      <w:r>
        <w:rPr>
          <w:rFonts w:ascii="Arial" w:hAnsi="Arial" w:cs="Arial"/>
          <w:vertAlign w:val="superscript"/>
        </w:rPr>
        <w:t>o</w:t>
      </w:r>
      <w:r>
        <w:rPr>
          <w:rFonts w:ascii="Arial" w:hAnsi="Arial" w:cs="Arial"/>
        </w:rPr>
        <w:t>C with the moisture content result expressed in percentage.</w:t>
      </w:r>
    </w:p>
    <w:p w14:paraId="1FF7E541" w14:textId="77777777" w:rsidR="00CD3DE2" w:rsidRDefault="00CD3DE2">
      <w:pPr>
        <w:spacing w:line="480" w:lineRule="auto"/>
        <w:jc w:val="both"/>
        <w:rPr>
          <w:rFonts w:ascii="Arial" w:hAnsi="Arial" w:cs="Arial"/>
          <w:b/>
        </w:rPr>
      </w:pPr>
    </w:p>
    <w:p w14:paraId="0422A8FD" w14:textId="77777777" w:rsidR="00CD3DE2" w:rsidRDefault="005908EC">
      <w:pPr>
        <w:spacing w:line="480" w:lineRule="auto"/>
        <w:jc w:val="both"/>
        <w:rPr>
          <w:rFonts w:ascii="Arial" w:hAnsi="Arial" w:cs="Arial"/>
          <w:b/>
          <w:bCs/>
        </w:rPr>
      </w:pPr>
      <w:r>
        <w:rPr>
          <w:rFonts w:ascii="Arial" w:hAnsi="Arial" w:cs="Arial"/>
          <w:b/>
        </w:rPr>
        <w:lastRenderedPageBreak/>
        <w:t xml:space="preserve">2.3.3 </w:t>
      </w:r>
      <w:r>
        <w:rPr>
          <w:rFonts w:ascii="Arial" w:hAnsi="Arial" w:cs="Arial"/>
          <w:b/>
          <w:bCs/>
        </w:rPr>
        <w:t xml:space="preserve"> Total Organic Carbon And Soil Organic Matter</w:t>
      </w:r>
    </w:p>
    <w:p w14:paraId="40B99221" w14:textId="77777777" w:rsidR="00CD3DE2" w:rsidRDefault="005908EC">
      <w:pPr>
        <w:jc w:val="both"/>
        <w:rPr>
          <w:rFonts w:ascii="Arial" w:hAnsi="Arial" w:cs="Arial"/>
        </w:rPr>
      </w:pPr>
      <w:r>
        <w:rPr>
          <w:rFonts w:ascii="Arial" w:hAnsi="Arial" w:cs="Arial"/>
        </w:rPr>
        <w:t xml:space="preserve">This was done following the Walkey &amp; Black (1934) wet oxidation method. A precisely measured volume of standardized potassium dichromate solution was added into an Erlenmeyer flask containing 1g of finely ground soil sample. Concentrated sulfuric acid was carefully added to initiate the oxidation reaction. The mixture was allowed to react for 30 minutes. The solution was diluted with water, then phosphoric acid and; sodium fluoride was added (to complex interferences). Few drops of a suitable indicator (diphenylamine) were added. The solution was titrated with standardized ferrous ammonium sulphate until a sharp </w:t>
      </w:r>
      <w:proofErr w:type="spellStart"/>
      <w:r>
        <w:rPr>
          <w:rFonts w:ascii="Arial" w:hAnsi="Arial" w:cs="Arial"/>
        </w:rPr>
        <w:t>colour</w:t>
      </w:r>
      <w:proofErr w:type="spellEnd"/>
      <w:r>
        <w:rPr>
          <w:rFonts w:ascii="Arial" w:hAnsi="Arial" w:cs="Arial"/>
        </w:rPr>
        <w:t xml:space="preserve"> change was noticed which indicates the endpoint. An identical titration without a soil sample (blank titration) was performed to determine the initial amount of dichromate added. The organic carbon percentage was calculated based on the difference in ferrous ammonium sulphate (FAS) consumed between the blank and sample titrations.</w:t>
      </w:r>
    </w:p>
    <w:p w14:paraId="2A27D9E0" w14:textId="77777777" w:rsidR="00CD3DE2" w:rsidRDefault="00CD3DE2">
      <w:pPr>
        <w:spacing w:line="360" w:lineRule="auto"/>
        <w:jc w:val="both"/>
        <w:rPr>
          <w:rFonts w:ascii="Arial" w:hAnsi="Arial" w:cs="Arial"/>
          <w:b/>
        </w:rPr>
      </w:pPr>
    </w:p>
    <w:p w14:paraId="55DE30B4" w14:textId="77777777" w:rsidR="00CD3DE2" w:rsidRDefault="005908EC">
      <w:pPr>
        <w:spacing w:line="360" w:lineRule="auto"/>
        <w:jc w:val="both"/>
        <w:rPr>
          <w:rFonts w:ascii="Arial" w:hAnsi="Arial" w:cs="Arial"/>
          <w:b/>
        </w:rPr>
      </w:pPr>
      <w:r>
        <w:rPr>
          <w:rFonts w:ascii="Arial" w:hAnsi="Arial" w:cs="Arial"/>
          <w:b/>
        </w:rPr>
        <w:t>2.3.4 Total Nitrogen</w:t>
      </w:r>
    </w:p>
    <w:p w14:paraId="47FF4A6C" w14:textId="77777777" w:rsidR="00CD3DE2" w:rsidRDefault="005908EC">
      <w:pPr>
        <w:jc w:val="both"/>
        <w:rPr>
          <w:rFonts w:ascii="Arial" w:hAnsi="Arial" w:cs="Arial"/>
        </w:rPr>
      </w:pPr>
      <w:r>
        <w:rPr>
          <w:rFonts w:ascii="Arial" w:hAnsi="Arial" w:cs="Arial"/>
        </w:rPr>
        <w:t>This was determined using the Kjeldahl method. An aliquot (0.5g) of the soil sample was mixed sulfuric acid ( H</w:t>
      </w:r>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and copper sulfate to break down organic matter and convert nitrogen to ammonium sulfate. Sodium hydroxide ( NaOH) was added to release ammonia (NH</w:t>
      </w:r>
      <w:r>
        <w:rPr>
          <w:rFonts w:ascii="Arial" w:hAnsi="Arial" w:cs="Arial"/>
          <w:vertAlign w:val="subscript"/>
        </w:rPr>
        <w:t>3</w:t>
      </w:r>
      <w:r>
        <w:rPr>
          <w:rFonts w:ascii="Arial" w:hAnsi="Arial" w:cs="Arial"/>
        </w:rPr>
        <w:t>) which was distilled into boric acid solution and titrated with standardized HCl. The total nitrogen was calculated from the volume of the used acid  (</w:t>
      </w:r>
      <w:proofErr w:type="spellStart"/>
      <w:r>
        <w:rPr>
          <w:rFonts w:ascii="Arial" w:hAnsi="Arial" w:cs="Arial"/>
        </w:rPr>
        <w:t>Adomako</w:t>
      </w:r>
      <w:proofErr w:type="spellEnd"/>
      <w:r>
        <w:rPr>
          <w:rFonts w:ascii="Arial" w:hAnsi="Arial" w:cs="Arial"/>
        </w:rPr>
        <w:t xml:space="preserve"> &amp; </w:t>
      </w:r>
      <w:proofErr w:type="spellStart"/>
      <w:r>
        <w:rPr>
          <w:rFonts w:ascii="Arial" w:hAnsi="Arial" w:cs="Arial"/>
        </w:rPr>
        <w:t>Dellor</w:t>
      </w:r>
      <w:proofErr w:type="spellEnd"/>
      <w:r>
        <w:rPr>
          <w:rFonts w:ascii="Arial" w:hAnsi="Arial" w:cs="Arial"/>
        </w:rPr>
        <w:t xml:space="preserve"> 2023).</w:t>
      </w:r>
    </w:p>
    <w:p w14:paraId="27D6F3B1" w14:textId="77777777" w:rsidR="00CD3DE2" w:rsidRDefault="005908EC">
      <w:pPr>
        <w:spacing w:line="360" w:lineRule="auto"/>
        <w:jc w:val="both"/>
        <w:rPr>
          <w:rFonts w:ascii="Arial" w:hAnsi="Arial" w:cs="Arial"/>
          <w:b/>
        </w:rPr>
      </w:pPr>
      <w:r>
        <w:rPr>
          <w:rFonts w:ascii="Arial" w:hAnsi="Arial" w:cs="Arial"/>
          <w:b/>
        </w:rPr>
        <w:t>2.3.5 Total Phosphorus</w:t>
      </w:r>
    </w:p>
    <w:p w14:paraId="7C4F9AB3" w14:textId="77777777" w:rsidR="00CD3DE2" w:rsidRDefault="005908EC">
      <w:pPr>
        <w:jc w:val="both"/>
        <w:rPr>
          <w:rFonts w:ascii="Arial" w:hAnsi="Arial" w:cs="Arial"/>
        </w:rPr>
      </w:pPr>
      <w:r>
        <w:rPr>
          <w:rFonts w:ascii="Arial" w:hAnsi="Arial" w:cs="Arial"/>
        </w:rPr>
        <w:t>This was determined using the Olsen method. The soil samples were extracted with 0.5M NaHCO</w:t>
      </w:r>
      <w:r>
        <w:rPr>
          <w:rFonts w:ascii="Arial" w:hAnsi="Arial" w:cs="Arial"/>
          <w:vertAlign w:val="subscript"/>
        </w:rPr>
        <w:t xml:space="preserve">3 </w:t>
      </w:r>
      <w:r>
        <w:rPr>
          <w:rFonts w:ascii="Arial" w:hAnsi="Arial" w:cs="Arial"/>
        </w:rPr>
        <w:t>solution and filtered, 0.5g of soil was mixed with a digestion reagent (HNO</w:t>
      </w:r>
      <w:r>
        <w:rPr>
          <w:rFonts w:ascii="Arial" w:hAnsi="Arial" w:cs="Arial"/>
          <w:vertAlign w:val="subscript"/>
        </w:rPr>
        <w:t>3</w:t>
      </w:r>
      <w:r>
        <w:rPr>
          <w:rFonts w:ascii="Arial" w:hAnsi="Arial" w:cs="Arial"/>
        </w:rPr>
        <w:t xml:space="preserve"> + HCI) and heated to break down organic matter and release phosphorus. A color developing reagent (ammonium molybdate + antimony potassium tartrate) was added to form </w:t>
      </w:r>
      <w:proofErr w:type="spellStart"/>
      <w:r>
        <w:rPr>
          <w:rFonts w:ascii="Arial" w:hAnsi="Arial" w:cs="Arial"/>
        </w:rPr>
        <w:t>phosphomolybdenum</w:t>
      </w:r>
      <w:proofErr w:type="spellEnd"/>
      <w:r>
        <w:rPr>
          <w:rFonts w:ascii="Arial" w:hAnsi="Arial" w:cs="Arial"/>
        </w:rPr>
        <w:t xml:space="preserve"> blue complex. The absorbance of the complex was measured at 880nm using a spectrophotometer. The total phosphorus concentration was calculated using a calibration curve prepared with known phosphorus standards (</w:t>
      </w:r>
      <w:proofErr w:type="spellStart"/>
      <w:r>
        <w:rPr>
          <w:rFonts w:ascii="Arial" w:hAnsi="Arial" w:cs="Arial"/>
        </w:rPr>
        <w:t>Koralage</w:t>
      </w:r>
      <w:proofErr w:type="spellEnd"/>
      <w:r>
        <w:rPr>
          <w:rFonts w:ascii="Arial" w:hAnsi="Arial" w:cs="Arial"/>
        </w:rPr>
        <w:t xml:space="preserve"> et al</w:t>
      </w:r>
      <w:r>
        <w:rPr>
          <w:rFonts w:ascii="Arial" w:hAnsi="Arial" w:cs="Arial"/>
          <w:i/>
        </w:rPr>
        <w:t>.,</w:t>
      </w:r>
      <w:r>
        <w:rPr>
          <w:rFonts w:ascii="Arial" w:hAnsi="Arial" w:cs="Arial"/>
        </w:rPr>
        <w:t xml:space="preserve"> 2015).</w:t>
      </w:r>
    </w:p>
    <w:p w14:paraId="14EEB739" w14:textId="77777777" w:rsidR="00CD3DE2" w:rsidRDefault="005908EC">
      <w:pPr>
        <w:rPr>
          <w:rFonts w:ascii="Arial" w:hAnsi="Arial" w:cs="Arial"/>
          <w:b/>
        </w:rPr>
      </w:pPr>
      <w:r>
        <w:rPr>
          <w:rFonts w:ascii="Arial" w:hAnsi="Arial" w:cs="Arial"/>
          <w:b/>
        </w:rPr>
        <w:t>2.3.6</w:t>
      </w:r>
      <w:r>
        <w:rPr>
          <w:rFonts w:ascii="Arial" w:hAnsi="Arial" w:cs="Arial"/>
        </w:rPr>
        <w:t xml:space="preserve">  </w:t>
      </w:r>
      <w:r>
        <w:rPr>
          <w:rFonts w:ascii="Arial" w:hAnsi="Arial" w:cs="Arial"/>
          <w:b/>
        </w:rPr>
        <w:t>Particle size distribution</w:t>
      </w:r>
    </w:p>
    <w:p w14:paraId="24F7B24B" w14:textId="77777777" w:rsidR="00CD3DE2" w:rsidRDefault="00CD3DE2">
      <w:pPr>
        <w:rPr>
          <w:rFonts w:ascii="Arial" w:hAnsi="Arial" w:cs="Arial"/>
          <w:sz w:val="22"/>
          <w:szCs w:val="22"/>
        </w:rPr>
      </w:pPr>
    </w:p>
    <w:p w14:paraId="4D7F9DA5" w14:textId="77777777" w:rsidR="00CD3DE2" w:rsidRDefault="005908EC">
      <w:pPr>
        <w:jc w:val="both"/>
        <w:rPr>
          <w:rFonts w:ascii="Arial" w:hAnsi="Arial" w:cs="Arial"/>
        </w:rPr>
      </w:pPr>
      <w:r>
        <w:rPr>
          <w:rFonts w:ascii="Arial" w:hAnsi="Arial" w:cs="Arial"/>
        </w:rPr>
        <w:t>The method was primarily adopted from ASTM D1921-Practice for Description and identification of soils (usual -manual procedure) with contributions from other standards such as ASTM D2487 and D422. Soil samples were classified as clay, sandy, loam, and silt.</w:t>
      </w:r>
    </w:p>
    <w:p w14:paraId="33CF97D6" w14:textId="77777777" w:rsidR="00CD3DE2" w:rsidRDefault="00CD3DE2">
      <w:pPr>
        <w:spacing w:line="360" w:lineRule="auto"/>
        <w:rPr>
          <w:rFonts w:ascii="Arial" w:hAnsi="Arial" w:cs="Arial"/>
          <w:b/>
        </w:rPr>
      </w:pPr>
    </w:p>
    <w:p w14:paraId="3E00BEDD" w14:textId="77777777" w:rsidR="00CD3DE2" w:rsidRDefault="005908EC">
      <w:pPr>
        <w:spacing w:line="360" w:lineRule="auto"/>
        <w:rPr>
          <w:rFonts w:ascii="Arial" w:hAnsi="Arial" w:cs="Arial"/>
          <w:b/>
        </w:rPr>
      </w:pPr>
      <w:r>
        <w:rPr>
          <w:rFonts w:ascii="Arial" w:hAnsi="Arial" w:cs="Arial"/>
          <w:b/>
        </w:rPr>
        <w:t>2.3.7  Heavy Metals Analysis</w:t>
      </w:r>
    </w:p>
    <w:p w14:paraId="3DA7011F" w14:textId="77777777" w:rsidR="00CD3DE2" w:rsidRDefault="005908EC">
      <w:pPr>
        <w:jc w:val="both"/>
        <w:rPr>
          <w:rFonts w:ascii="Arial" w:hAnsi="Arial" w:cs="Arial"/>
        </w:rPr>
      </w:pPr>
      <w:r>
        <w:rPr>
          <w:rFonts w:ascii="Arial" w:hAnsi="Arial" w:cs="Arial"/>
        </w:rPr>
        <w:t>Acid digestion of the soil samples was conducted prior to analysis. Five (5) grams of each section of the sample was accurately weighed and transferred into a boiling tube. Aqua Regia preparation was made by adding the ratio of 3:1 conc. hydrochloric acid and conc. nitric acid. Fifteen (15) ml of the aqua Regia was then added into the boiling tube containing the measured samples and set to heat for 1 hour in the fume cupboard. After heating, the mixture was allowed to cool and then filtered into a 50ml volumetric flask and filled up to mark with distilled water. The concentration of each metal in the samples obtained after digestion was determined using Atomic Absorption Spectrophotometer (ASTM D6357-18) methods. These were carried out using PG instrument AAS (Model: AA500PCF). Prior to the analysis, calibration was done with each metal standard of known concentrations. Concentration of each metal was ascertained from the data generated by the AAS and expressed in mg/kg (Mohammadi et al., 2019).</w:t>
      </w:r>
    </w:p>
    <w:p w14:paraId="4AE2DE20" w14:textId="77777777" w:rsidR="00CD3DE2" w:rsidRDefault="005908EC">
      <w:pPr>
        <w:spacing w:line="480" w:lineRule="auto"/>
        <w:jc w:val="both"/>
        <w:rPr>
          <w:rFonts w:ascii="Arial" w:hAnsi="Arial" w:cs="Arial"/>
          <w:sz w:val="22"/>
          <w:szCs w:val="22"/>
        </w:rPr>
      </w:pPr>
      <w:r>
        <w:rPr>
          <w:rFonts w:ascii="Arial" w:hAnsi="Arial" w:cs="Arial"/>
          <w:b/>
          <w:bCs/>
          <w:sz w:val="22"/>
          <w:szCs w:val="22"/>
        </w:rPr>
        <w:t>2.4 Bacterial Analysis</w:t>
      </w:r>
    </w:p>
    <w:p w14:paraId="7C703F9F" w14:textId="77777777" w:rsidR="00CD3DE2" w:rsidRDefault="005908EC">
      <w:pPr>
        <w:spacing w:line="480" w:lineRule="auto"/>
        <w:jc w:val="both"/>
        <w:rPr>
          <w:rFonts w:ascii="Arial" w:hAnsi="Arial" w:cs="Arial"/>
          <w:b/>
          <w:bCs/>
        </w:rPr>
      </w:pPr>
      <w:r>
        <w:rPr>
          <w:rFonts w:ascii="Arial" w:hAnsi="Arial" w:cs="Arial"/>
          <w:b/>
          <w:bCs/>
        </w:rPr>
        <w:t>2.4.1 Isolation and enumeration of bacteria from coal mine soil</w:t>
      </w:r>
    </w:p>
    <w:p w14:paraId="7945BA55" w14:textId="77777777" w:rsidR="00CD3DE2" w:rsidRDefault="005908EC">
      <w:pPr>
        <w:jc w:val="both"/>
        <w:rPr>
          <w:rFonts w:ascii="Arial" w:hAnsi="Arial" w:cs="Arial"/>
          <w:bCs/>
        </w:rPr>
      </w:pPr>
      <w:r>
        <w:rPr>
          <w:rFonts w:ascii="Arial" w:hAnsi="Arial" w:cs="Arial"/>
        </w:rPr>
        <w:t xml:space="preserve">Isolation and enumeration of bacterial species were carried out following the method described by </w:t>
      </w:r>
      <w:proofErr w:type="spellStart"/>
      <w:r>
        <w:rPr>
          <w:rFonts w:ascii="Arial" w:hAnsi="Arial" w:cs="Arial"/>
        </w:rPr>
        <w:t>Igbinosa</w:t>
      </w:r>
      <w:proofErr w:type="spellEnd"/>
      <w:r>
        <w:rPr>
          <w:rFonts w:ascii="Arial" w:hAnsi="Arial" w:cs="Arial"/>
        </w:rPr>
        <w:t xml:space="preserve"> </w:t>
      </w:r>
      <w:r>
        <w:rPr>
          <w:rFonts w:ascii="Arial" w:hAnsi="Arial" w:cs="Arial"/>
          <w:iCs/>
        </w:rPr>
        <w:t>et al</w:t>
      </w:r>
      <w:r>
        <w:rPr>
          <w:rFonts w:ascii="Arial" w:hAnsi="Arial" w:cs="Arial"/>
        </w:rPr>
        <w:t xml:space="preserve">. (2020). </w:t>
      </w:r>
      <w:r>
        <w:rPr>
          <w:rFonts w:ascii="Arial" w:hAnsi="Arial" w:cs="Arial"/>
          <w:bCs/>
        </w:rPr>
        <w:t>One (1)  gram of  the coal mine soil was thoroughly homogenized with  9 ml of sterile distilled water to make suspensions.</w:t>
      </w:r>
      <w:r>
        <w:rPr>
          <w:rFonts w:ascii="Arial" w:hAnsi="Arial" w:cs="Arial"/>
        </w:rPr>
        <w:t xml:space="preserve"> The suspensions were diluted serially (10</w:t>
      </w:r>
      <w:r>
        <w:rPr>
          <w:rFonts w:ascii="Arial" w:hAnsi="Arial" w:cs="Arial"/>
          <w:vertAlign w:val="superscript"/>
        </w:rPr>
        <w:t>-1</w:t>
      </w:r>
      <w:r>
        <w:rPr>
          <w:rFonts w:ascii="Arial" w:hAnsi="Arial" w:cs="Arial"/>
        </w:rPr>
        <w:t xml:space="preserve">  to 10</w:t>
      </w:r>
      <w:r>
        <w:rPr>
          <w:rFonts w:ascii="Arial" w:hAnsi="Arial" w:cs="Arial"/>
          <w:vertAlign w:val="superscript"/>
        </w:rPr>
        <w:t xml:space="preserve">-4 </w:t>
      </w:r>
      <w:r>
        <w:rPr>
          <w:rFonts w:ascii="Arial" w:hAnsi="Arial" w:cs="Arial"/>
        </w:rPr>
        <w:t>)  using physiological saline  and  0.1 mL  of  the 10</w:t>
      </w:r>
      <w:r>
        <w:rPr>
          <w:rFonts w:ascii="Arial" w:hAnsi="Arial" w:cs="Arial"/>
          <w:vertAlign w:val="superscript"/>
        </w:rPr>
        <w:t>-3</w:t>
      </w:r>
      <w:r>
        <w:rPr>
          <w:rFonts w:ascii="Arial" w:hAnsi="Arial" w:cs="Arial"/>
        </w:rPr>
        <w:t xml:space="preserve"> and 10</w:t>
      </w:r>
      <w:r>
        <w:rPr>
          <w:rFonts w:ascii="Arial" w:hAnsi="Arial" w:cs="Arial"/>
          <w:vertAlign w:val="superscript"/>
        </w:rPr>
        <w:t>-</w:t>
      </w:r>
      <w:r>
        <w:rPr>
          <w:rFonts w:ascii="Arial" w:hAnsi="Arial" w:cs="Arial"/>
        </w:rPr>
        <w:t>⁴ dilutions was aseptically plated in duplicates on Nutrient Agar. The inoculated plates were incubated  at 37 °C for 24 hours. After incubation, plates were examined for microbial growth, and the morphological characteristics of the isolates including colony shape, size, color, and texture were recorded. Distinct colonies were enumerated, and bacterial counts were expressed as colony-forming units per gram of soil (CFUg¹).</w:t>
      </w:r>
    </w:p>
    <w:p w14:paraId="030A4D96" w14:textId="77777777" w:rsidR="00CD3DE2" w:rsidRDefault="00CD3DE2">
      <w:pPr>
        <w:spacing w:line="360" w:lineRule="auto"/>
        <w:jc w:val="both"/>
        <w:rPr>
          <w:rFonts w:ascii="Arial" w:hAnsi="Arial" w:cs="Arial"/>
        </w:rPr>
      </w:pPr>
    </w:p>
    <w:p w14:paraId="3D4F2CF6" w14:textId="77777777" w:rsidR="00CD3DE2" w:rsidRDefault="005908EC">
      <w:pPr>
        <w:spacing w:line="360" w:lineRule="auto"/>
        <w:jc w:val="both"/>
        <w:rPr>
          <w:rFonts w:ascii="Arial" w:hAnsi="Arial" w:cs="Arial"/>
          <w:b/>
          <w:sz w:val="22"/>
          <w:szCs w:val="22"/>
        </w:rPr>
      </w:pPr>
      <w:r>
        <w:rPr>
          <w:rFonts w:ascii="Arial" w:hAnsi="Arial" w:cs="Arial"/>
          <w:b/>
          <w:sz w:val="22"/>
          <w:szCs w:val="22"/>
        </w:rPr>
        <w:t xml:space="preserve">2.5 Screening Bacterial Isolates For Plant Growth Promoting Traits </w:t>
      </w:r>
    </w:p>
    <w:p w14:paraId="217CBF6D" w14:textId="77777777" w:rsidR="00CD3DE2" w:rsidRDefault="005908EC">
      <w:pPr>
        <w:spacing w:line="360" w:lineRule="auto"/>
        <w:jc w:val="both"/>
        <w:rPr>
          <w:rFonts w:ascii="Arial" w:hAnsi="Arial" w:cs="Arial"/>
          <w:b/>
        </w:rPr>
      </w:pPr>
      <w:r>
        <w:rPr>
          <w:rFonts w:ascii="Arial" w:hAnsi="Arial" w:cs="Arial"/>
          <w:b/>
        </w:rPr>
        <w:t xml:space="preserve">2.5.1 Phosphate Solubilizing </w:t>
      </w:r>
    </w:p>
    <w:p w14:paraId="49C86BD9" w14:textId="77777777" w:rsidR="00CD3DE2" w:rsidRDefault="005908EC">
      <w:pPr>
        <w:jc w:val="both"/>
        <w:rPr>
          <w:rFonts w:ascii="Arial" w:hAnsi="Arial" w:cs="Arial"/>
        </w:rPr>
      </w:pPr>
      <w:r>
        <w:rPr>
          <w:rFonts w:ascii="Arial" w:hAnsi="Arial" w:cs="Arial"/>
        </w:rPr>
        <w:lastRenderedPageBreak/>
        <w:t xml:space="preserve">Phosphate solubilization was evaluated using </w:t>
      </w:r>
      <w:proofErr w:type="spellStart"/>
      <w:r>
        <w:rPr>
          <w:rFonts w:ascii="Arial" w:hAnsi="Arial" w:cs="Arial"/>
        </w:rPr>
        <w:t>Pikovskaya’s</w:t>
      </w:r>
      <w:proofErr w:type="spellEnd"/>
      <w:r>
        <w:rPr>
          <w:rFonts w:ascii="Arial" w:hAnsi="Arial" w:cs="Arial"/>
        </w:rPr>
        <w:t xml:space="preserve"> agar. The bacterial isolates were spot inoculated onto the agar plates and incubated for 7 days. After incubation, the plates were examined for the presence of clear zones around the colonies, which indicates phosphate </w:t>
      </w:r>
      <w:proofErr w:type="spellStart"/>
      <w:r>
        <w:rPr>
          <w:rFonts w:ascii="Arial" w:hAnsi="Arial" w:cs="Arial"/>
        </w:rPr>
        <w:t>solubilization</w:t>
      </w:r>
      <w:proofErr w:type="spellEnd"/>
      <w:r>
        <w:rPr>
          <w:rFonts w:ascii="Arial" w:hAnsi="Arial" w:cs="Arial"/>
        </w:rPr>
        <w:t xml:space="preserve"> (</w:t>
      </w:r>
      <w:proofErr w:type="spellStart"/>
      <w:r>
        <w:rPr>
          <w:rFonts w:ascii="Arial" w:hAnsi="Arial" w:cs="Arial"/>
        </w:rPr>
        <w:t>Ajuzieogu</w:t>
      </w:r>
      <w:proofErr w:type="spellEnd"/>
      <w:r>
        <w:rPr>
          <w:rFonts w:ascii="Arial" w:hAnsi="Arial" w:cs="Arial"/>
        </w:rPr>
        <w:t xml:space="preserve"> et al., 2015; Wang et al., 2022). </w:t>
      </w:r>
    </w:p>
    <w:p w14:paraId="28DE46F7" w14:textId="77777777" w:rsidR="00CD3DE2" w:rsidRDefault="005908EC">
      <w:pPr>
        <w:spacing w:line="360" w:lineRule="auto"/>
        <w:jc w:val="both"/>
        <w:rPr>
          <w:rFonts w:ascii="Arial" w:hAnsi="Arial" w:cs="Arial"/>
          <w:b/>
        </w:rPr>
      </w:pPr>
      <w:r>
        <w:rPr>
          <w:rFonts w:ascii="Arial" w:hAnsi="Arial" w:cs="Arial"/>
          <w:b/>
        </w:rPr>
        <w:t xml:space="preserve">2.5.2 Indole-3-Acetic Acid (IAA) Production </w:t>
      </w:r>
    </w:p>
    <w:p w14:paraId="7255311E" w14:textId="77777777" w:rsidR="00CD3DE2" w:rsidRDefault="005908EC">
      <w:pPr>
        <w:jc w:val="both"/>
        <w:rPr>
          <w:rFonts w:ascii="Arial" w:hAnsi="Arial" w:cs="Arial"/>
        </w:rPr>
      </w:pPr>
      <w:r>
        <w:rPr>
          <w:rFonts w:ascii="Arial" w:hAnsi="Arial" w:cs="Arial"/>
        </w:rPr>
        <w:t xml:space="preserve">Each bacterial isolate was inoculated into 20 mL of 1-SP2 liquid medium supplemented with 0.2 mL of 0.2% L-tryptophan and incubated in an agitated incubator (120 rpm) at room temperature (27 °C) for 7 days. After incubation, culture medium cells were centrifuged at 14,000 rpm for 15 minutes. One milliliter of the supernatant from each culture was mixed with 4 mL of Salkowski’s reagent. The mixture was incubated at room temperature in the dark for 30 minutes. Development of a pink color indicated IAA production (Thenappan et al., 2024). </w:t>
      </w:r>
    </w:p>
    <w:p w14:paraId="494A3F5D" w14:textId="77777777" w:rsidR="00CD3DE2" w:rsidRDefault="005908EC">
      <w:pPr>
        <w:spacing w:line="360" w:lineRule="auto"/>
        <w:jc w:val="both"/>
        <w:rPr>
          <w:rFonts w:ascii="Arial" w:hAnsi="Arial" w:cs="Arial"/>
          <w:b/>
          <w:sz w:val="22"/>
          <w:szCs w:val="22"/>
        </w:rPr>
      </w:pPr>
      <w:r>
        <w:rPr>
          <w:rFonts w:ascii="Arial" w:hAnsi="Arial" w:cs="Arial"/>
          <w:b/>
          <w:sz w:val="22"/>
          <w:szCs w:val="22"/>
        </w:rPr>
        <w:t xml:space="preserve">2.6 Molecular Identification of the Bacterium </w:t>
      </w:r>
    </w:p>
    <w:p w14:paraId="406DA92E" w14:textId="77777777" w:rsidR="00CD3DE2" w:rsidRDefault="005908EC">
      <w:pPr>
        <w:jc w:val="both"/>
        <w:rPr>
          <w:rFonts w:ascii="Times New Roman" w:hAnsi="Times New Roman"/>
        </w:rPr>
      </w:pPr>
      <w:r>
        <w:rPr>
          <w:rFonts w:ascii="Arial" w:hAnsi="Arial" w:cs="Arial"/>
          <w:b/>
        </w:rPr>
        <w:t xml:space="preserve">2.6.1 Bacterial DNA extraction, quantification, </w:t>
      </w:r>
      <w:r>
        <w:rPr>
          <w:rFonts w:ascii="Arial" w:hAnsi="Arial" w:cs="Arial"/>
          <w:b/>
          <w:bCs/>
        </w:rPr>
        <w:t xml:space="preserve">16S rRNA Amplification and </w:t>
      </w:r>
      <w:r>
        <w:rPr>
          <w:rFonts w:ascii="Arial" w:hAnsi="Arial" w:cs="Arial"/>
          <w:b/>
        </w:rPr>
        <w:t>Sequencing of 16S rRNA</w:t>
      </w:r>
    </w:p>
    <w:p w14:paraId="4A000DBF" w14:textId="77777777" w:rsidR="00CD3DE2" w:rsidRDefault="00CD3DE2">
      <w:pPr>
        <w:spacing w:line="360" w:lineRule="auto"/>
        <w:jc w:val="both"/>
        <w:rPr>
          <w:rFonts w:ascii="Arial" w:hAnsi="Arial" w:cs="Arial"/>
          <w:b/>
        </w:rPr>
      </w:pPr>
    </w:p>
    <w:p w14:paraId="7F1C2F86" w14:textId="77777777" w:rsidR="00CD3DE2" w:rsidRDefault="005908EC">
      <w:pPr>
        <w:jc w:val="both"/>
        <w:rPr>
          <w:rFonts w:ascii="Arial" w:hAnsi="Arial" w:cs="Arial"/>
        </w:rPr>
      </w:pPr>
      <w:r>
        <w:rPr>
          <w:rFonts w:ascii="Arial" w:hAnsi="Arial" w:cs="Arial"/>
        </w:rPr>
        <w:t xml:space="preserve">Extraction was done using the Fungi/Bacteria DNA mini prep extraction kit according to Saitou &amp; Nei (1987). </w:t>
      </w:r>
      <w:r>
        <w:rPr>
          <w:rFonts w:ascii="Arial" w:hAnsi="Arial" w:cs="Arial"/>
          <w:kern w:val="1"/>
          <w:lang w:val="en-GB" w:bidi="hi-IN"/>
        </w:rPr>
        <w:t xml:space="preserve">The extracted genomic DNA was quantified using the Nanodrop 1000 spectrophotometer. </w:t>
      </w:r>
      <w:r>
        <w:rPr>
          <w:rFonts w:ascii="Arial" w:hAnsi="Arial" w:cs="Arial"/>
        </w:rPr>
        <w:t xml:space="preserve">The ultra-pure DNA was then stored at -20 degree for other downstream reaction. </w:t>
      </w:r>
      <w:r>
        <w:rPr>
          <w:rFonts w:ascii="Arial" w:hAnsi="Arial" w:cs="Arial"/>
          <w:bCs/>
        </w:rPr>
        <w:t xml:space="preserve">The 16S rRNA region of the rRNA genes of the isolates were amplified using the the 27F: 5'-AGAGTTTGATCMTGGCTCAG-3’ and 1492R: 5'-CGGTTACCTTGTTACGACTT-3’ primers on an ABI 9700 Applied Biosystems thermal cycler at a final volume of 50 </w:t>
      </w:r>
      <w:proofErr w:type="spellStart"/>
      <w:r>
        <w:rPr>
          <w:rFonts w:ascii="Arial" w:hAnsi="Arial" w:cs="Arial"/>
          <w:bCs/>
        </w:rPr>
        <w:t>microlitres</w:t>
      </w:r>
      <w:proofErr w:type="spellEnd"/>
      <w:r>
        <w:rPr>
          <w:rFonts w:ascii="Arial" w:hAnsi="Arial" w:cs="Arial"/>
          <w:bCs/>
        </w:rPr>
        <w:t xml:space="preserve"> for 35 cycles. The PCR mix included: the X2 Dream Taq Master mix supplied by </w:t>
      </w:r>
      <w:proofErr w:type="spellStart"/>
      <w:r>
        <w:rPr>
          <w:rFonts w:ascii="Arial" w:hAnsi="Arial" w:cs="Arial"/>
          <w:bCs/>
        </w:rPr>
        <w:t>Inqaba</w:t>
      </w:r>
      <w:proofErr w:type="spellEnd"/>
      <w:r>
        <w:rPr>
          <w:rFonts w:ascii="Arial" w:hAnsi="Arial" w:cs="Arial"/>
          <w:bCs/>
        </w:rPr>
        <w:t>, South Africa (</w:t>
      </w:r>
      <w:proofErr w:type="spellStart"/>
      <w:r>
        <w:rPr>
          <w:rFonts w:ascii="Arial" w:hAnsi="Arial" w:cs="Arial"/>
          <w:bCs/>
        </w:rPr>
        <w:t>Taq</w:t>
      </w:r>
      <w:proofErr w:type="spellEnd"/>
      <w:r>
        <w:rPr>
          <w:rFonts w:ascii="Arial" w:hAnsi="Arial" w:cs="Arial"/>
          <w:bCs/>
        </w:rPr>
        <w:t xml:space="preserve"> polymerase, DNTPs, </w:t>
      </w:r>
      <w:proofErr w:type="spellStart"/>
      <w:r>
        <w:rPr>
          <w:rFonts w:ascii="Arial" w:hAnsi="Arial" w:cs="Arial"/>
          <w:bCs/>
        </w:rPr>
        <w:t>MgCl</w:t>
      </w:r>
      <w:proofErr w:type="spellEnd"/>
      <w:r>
        <w:rPr>
          <w:rFonts w:ascii="Arial" w:hAnsi="Arial" w:cs="Arial"/>
          <w:bCs/>
        </w:rPr>
        <w:t xml:space="preserve">), the primers at a concentration of 0.4M and the extracted DNA as template. The PCR conditions were as follows: Initial denaturation, 95ºC for 5 minutes; denaturation, 95ºC for 30 seconds; annealing, 52ºC for 30 seconds; extension, 72ºC for 30 seconds for 35 cycles and final extension, 72ºC for 5 minutes. The product was resolved on a 1% agarose gel at 120V for 15 minutes and visualized on a UV transilluminator. </w:t>
      </w:r>
      <w:r>
        <w:rPr>
          <w:rFonts w:ascii="Arial" w:hAnsi="Arial" w:cs="Arial"/>
        </w:rPr>
        <w:t xml:space="preserve">Sequencing was done using the </w:t>
      </w:r>
      <w:proofErr w:type="spellStart"/>
      <w:r>
        <w:rPr>
          <w:rFonts w:ascii="Arial" w:hAnsi="Arial" w:cs="Arial"/>
        </w:rPr>
        <w:t>BigDye</w:t>
      </w:r>
      <w:proofErr w:type="spellEnd"/>
      <w:r>
        <w:rPr>
          <w:rFonts w:ascii="Arial" w:hAnsi="Arial" w:cs="Arial"/>
        </w:rPr>
        <w:t xml:space="preserve"> Terminator kit on a 3510 ABI sequencer by </w:t>
      </w:r>
      <w:proofErr w:type="spellStart"/>
      <w:r>
        <w:rPr>
          <w:rFonts w:ascii="Arial" w:hAnsi="Arial" w:cs="Arial"/>
        </w:rPr>
        <w:t>Inqaba</w:t>
      </w:r>
      <w:proofErr w:type="spellEnd"/>
      <w:r>
        <w:rPr>
          <w:rFonts w:ascii="Arial" w:hAnsi="Arial" w:cs="Arial"/>
        </w:rPr>
        <w:t xml:space="preserve"> Biotechnological, Pretoria South Africa. The sequencing was done at a final volume of 10ul, the components included 0.25 </w:t>
      </w:r>
      <w:proofErr w:type="spellStart"/>
      <w:r>
        <w:rPr>
          <w:rFonts w:ascii="Arial" w:hAnsi="Arial" w:cs="Arial"/>
        </w:rPr>
        <w:t>ul</w:t>
      </w:r>
      <w:proofErr w:type="spellEnd"/>
      <w:r>
        <w:rPr>
          <w:rFonts w:ascii="Arial" w:hAnsi="Arial" w:cs="Arial"/>
        </w:rPr>
        <w:t xml:space="preserve"> </w:t>
      </w:r>
      <w:proofErr w:type="spellStart"/>
      <w:r>
        <w:rPr>
          <w:rFonts w:ascii="Arial" w:hAnsi="Arial" w:cs="Arial"/>
        </w:rPr>
        <w:t>BigDye</w:t>
      </w:r>
      <w:proofErr w:type="spellEnd"/>
      <w:r>
        <w:rPr>
          <w:rFonts w:ascii="Arial" w:hAnsi="Arial" w:cs="Arial"/>
        </w:rPr>
        <w:t xml:space="preserve">® terminator v1.1/v3.1, 2.25ul of 5 x </w:t>
      </w:r>
      <w:proofErr w:type="spellStart"/>
      <w:r>
        <w:rPr>
          <w:rFonts w:ascii="Arial" w:hAnsi="Arial" w:cs="Arial"/>
        </w:rPr>
        <w:t>BigDye</w:t>
      </w:r>
      <w:proofErr w:type="spellEnd"/>
      <w:r>
        <w:rPr>
          <w:rFonts w:ascii="Arial" w:hAnsi="Arial" w:cs="Arial"/>
        </w:rPr>
        <w:t xml:space="preserve"> sequencing buffer, 10uM Primer PCR primer, and 2-10ng PCR template per 100bp. The sequencing conditions were as follows 32 cycles of 96°C for 10s, 55°C for 5s and 60°C for 4min.</w:t>
      </w:r>
    </w:p>
    <w:p w14:paraId="77583165" w14:textId="77777777" w:rsidR="00CD3DE2" w:rsidRDefault="005908EC">
      <w:pPr>
        <w:spacing w:line="360" w:lineRule="auto"/>
        <w:jc w:val="both"/>
        <w:rPr>
          <w:rFonts w:ascii="Arial" w:hAnsi="Arial" w:cs="Arial"/>
          <w:b/>
          <w:bCs/>
        </w:rPr>
      </w:pPr>
      <w:r>
        <w:rPr>
          <w:rFonts w:ascii="Arial" w:hAnsi="Arial" w:cs="Arial"/>
          <w:b/>
          <w:bCs/>
        </w:rPr>
        <w:t>2.6.2</w:t>
      </w:r>
      <w:r>
        <w:rPr>
          <w:rFonts w:ascii="Arial" w:hAnsi="Arial" w:cs="Arial"/>
        </w:rPr>
        <w:t xml:space="preserve"> </w:t>
      </w:r>
      <w:r>
        <w:rPr>
          <w:rFonts w:ascii="Arial" w:hAnsi="Arial" w:cs="Arial"/>
          <w:b/>
          <w:bCs/>
        </w:rPr>
        <w:t>Phylogenetic Analysis</w:t>
      </w:r>
    </w:p>
    <w:p w14:paraId="0D6BEA81" w14:textId="77777777" w:rsidR="00CD3DE2" w:rsidRDefault="005908EC">
      <w:pPr>
        <w:jc w:val="both"/>
        <w:rPr>
          <w:rFonts w:ascii="Arial" w:hAnsi="Arial" w:cs="Arial"/>
          <w:b/>
          <w:bCs/>
        </w:rPr>
      </w:pPr>
      <w:r>
        <w:rPr>
          <w:rFonts w:ascii="Arial" w:hAnsi="Arial" w:cs="Arial"/>
        </w:rPr>
        <w:t xml:space="preserve">Obtained sequences were edited using the bioinformatics algorithm Trace edit, similar sequences were downloaded from the National Center for Biotechnology Information (NCBI) data base using BLASTN.  These sequences were aligned using </w:t>
      </w:r>
      <w:proofErr w:type="spellStart"/>
      <w:r>
        <w:rPr>
          <w:rFonts w:ascii="Arial" w:hAnsi="Arial" w:cs="Arial"/>
        </w:rPr>
        <w:t>ClustalX</w:t>
      </w:r>
      <w:proofErr w:type="spellEnd"/>
      <w:r>
        <w:rPr>
          <w:rFonts w:ascii="Arial" w:hAnsi="Arial" w:cs="Arial"/>
        </w:rPr>
        <w:t xml:space="preserve">. The evolutionary history was inferred using the Neighbor-Joining method in MEGA 6.0 (Saitou &amp; Nei, 1987). The bootstrap consensus tree inferred from 500 replicates (Felsenstein, 1985) is taken to represent the evolutionary history of the taxa </w:t>
      </w:r>
      <w:proofErr w:type="spellStart"/>
      <w:r>
        <w:rPr>
          <w:rFonts w:ascii="Arial" w:hAnsi="Arial" w:cs="Arial"/>
        </w:rPr>
        <w:t>analysed</w:t>
      </w:r>
      <w:proofErr w:type="spellEnd"/>
      <w:r>
        <w:rPr>
          <w:rFonts w:ascii="Arial" w:hAnsi="Arial" w:cs="Arial"/>
        </w:rPr>
        <w:t>. The evolutionary distances were computed using the Jukes-Cantor method (Jukes &amp; Cantor 1969).</w:t>
      </w:r>
    </w:p>
    <w:p w14:paraId="000FFF41" w14:textId="77777777" w:rsidR="00CD3DE2" w:rsidRDefault="00CD3DE2">
      <w:pPr>
        <w:pStyle w:val="Body"/>
        <w:spacing w:after="0"/>
        <w:rPr>
          <w:rFonts w:ascii="Arial" w:hAnsi="Arial" w:cs="Arial"/>
        </w:rPr>
      </w:pPr>
    </w:p>
    <w:p w14:paraId="00C0106C" w14:textId="77777777" w:rsidR="00CD3DE2" w:rsidRDefault="005908EC">
      <w:pPr>
        <w:pStyle w:val="Head1"/>
        <w:spacing w:after="0"/>
        <w:jc w:val="both"/>
        <w:rPr>
          <w:rFonts w:ascii="Arial" w:hAnsi="Arial" w:cs="Arial"/>
        </w:rPr>
      </w:pPr>
      <w:r>
        <w:rPr>
          <w:rFonts w:ascii="Arial" w:hAnsi="Arial" w:cs="Arial"/>
        </w:rPr>
        <w:t>3. results and discussion</w:t>
      </w:r>
    </w:p>
    <w:p w14:paraId="6342AE5D" w14:textId="77777777" w:rsidR="00CD3DE2" w:rsidRDefault="00CD3DE2">
      <w:pPr>
        <w:pStyle w:val="Head1"/>
        <w:spacing w:after="0"/>
        <w:jc w:val="both"/>
        <w:rPr>
          <w:rFonts w:ascii="Arial" w:hAnsi="Arial" w:cs="Arial"/>
        </w:rPr>
      </w:pPr>
    </w:p>
    <w:p w14:paraId="102816F3" w14:textId="77777777" w:rsidR="00CD3DE2" w:rsidRDefault="005908EC">
      <w:pPr>
        <w:spacing w:line="480" w:lineRule="auto"/>
        <w:jc w:val="both"/>
        <w:rPr>
          <w:rFonts w:ascii="Arial" w:hAnsi="Arial" w:cs="Arial"/>
          <w:b/>
          <w:bCs/>
        </w:rPr>
      </w:pPr>
      <w:r>
        <w:rPr>
          <w:rFonts w:ascii="Arial" w:hAnsi="Arial" w:cs="Arial"/>
          <w:b/>
          <w:bCs/>
        </w:rPr>
        <w:t>3.1 Physico-chemical properties of coal mine soils</w:t>
      </w:r>
    </w:p>
    <w:p w14:paraId="6D0518D4" w14:textId="77777777" w:rsidR="00CD3DE2" w:rsidRDefault="005908EC">
      <w:pPr>
        <w:jc w:val="both"/>
        <w:rPr>
          <w:rFonts w:ascii="Arial" w:hAnsi="Arial" w:cs="Arial"/>
        </w:rPr>
      </w:pPr>
      <w:r>
        <w:rPr>
          <w:rFonts w:ascii="Arial" w:hAnsi="Arial" w:cs="Arial"/>
        </w:rPr>
        <w:t xml:space="preserve">The </w:t>
      </w:r>
      <w:proofErr w:type="spellStart"/>
      <w:r>
        <w:rPr>
          <w:rFonts w:ascii="Arial" w:hAnsi="Arial" w:cs="Arial"/>
        </w:rPr>
        <w:t>physico</w:t>
      </w:r>
      <w:proofErr w:type="spellEnd"/>
      <w:r>
        <w:rPr>
          <w:rFonts w:ascii="Arial" w:hAnsi="Arial" w:cs="Arial"/>
        </w:rPr>
        <w:t xml:space="preserve">-chemical properties of the coal mine soil sample are presented in  [Table 1].  The CMS had a pH of 5.84 (acidic), while electrical conductivity (38.8 </w:t>
      </w:r>
      <w:proofErr w:type="spellStart"/>
      <w:r>
        <w:rPr>
          <w:rFonts w:ascii="Arial" w:hAnsi="Arial" w:cs="Arial"/>
        </w:rPr>
        <w:t>μs</w:t>
      </w:r>
      <w:proofErr w:type="spellEnd"/>
      <w:r>
        <w:rPr>
          <w:rFonts w:ascii="Arial" w:hAnsi="Arial" w:cs="Arial"/>
        </w:rPr>
        <w:t xml:space="preserve">/ cm), total organic carbon (1.31%), Soil organic matter (2.27%), Total Nitrogen (3.89 mg/kg), and Total phosphorus (1.04 mg/kg), were low. </w:t>
      </w:r>
    </w:p>
    <w:p w14:paraId="779671D3" w14:textId="77777777" w:rsidR="00CD3DE2" w:rsidRDefault="00CD3DE2">
      <w:pPr>
        <w:spacing w:line="360" w:lineRule="auto"/>
        <w:jc w:val="both"/>
        <w:rPr>
          <w:rFonts w:ascii="Arial" w:hAnsi="Arial" w:cs="Arial"/>
          <w:b/>
        </w:rPr>
      </w:pPr>
    </w:p>
    <w:p w14:paraId="6199B2BF" w14:textId="77777777" w:rsidR="00CD3DE2" w:rsidRDefault="00CD3DE2">
      <w:pPr>
        <w:spacing w:line="480" w:lineRule="auto"/>
        <w:jc w:val="both"/>
        <w:rPr>
          <w:rFonts w:ascii="Arial" w:hAnsi="Arial" w:cs="Arial"/>
          <w:b/>
        </w:rPr>
      </w:pPr>
    </w:p>
    <w:p w14:paraId="606B3668" w14:textId="77777777" w:rsidR="00CD3DE2" w:rsidRDefault="00CD3DE2">
      <w:pPr>
        <w:spacing w:line="480" w:lineRule="auto"/>
        <w:jc w:val="both"/>
        <w:rPr>
          <w:rFonts w:ascii="Arial" w:hAnsi="Arial" w:cs="Arial"/>
          <w:b/>
        </w:rPr>
      </w:pPr>
    </w:p>
    <w:p w14:paraId="0C1318A3" w14:textId="77777777" w:rsidR="00CD3DE2" w:rsidRDefault="00CD3DE2">
      <w:pPr>
        <w:spacing w:line="480" w:lineRule="auto"/>
        <w:jc w:val="both"/>
        <w:rPr>
          <w:rFonts w:ascii="Arial" w:hAnsi="Arial" w:cs="Arial"/>
          <w:b/>
        </w:rPr>
      </w:pPr>
    </w:p>
    <w:p w14:paraId="53A4EB6C" w14:textId="77777777" w:rsidR="00CD3DE2" w:rsidRDefault="00CD3DE2">
      <w:pPr>
        <w:spacing w:line="480" w:lineRule="auto"/>
        <w:jc w:val="both"/>
        <w:rPr>
          <w:rFonts w:ascii="Arial" w:hAnsi="Arial" w:cs="Arial"/>
          <w:b/>
        </w:rPr>
      </w:pPr>
    </w:p>
    <w:p w14:paraId="78E86FA3" w14:textId="77777777" w:rsidR="00CD3DE2" w:rsidRDefault="005908EC">
      <w:pPr>
        <w:spacing w:line="480" w:lineRule="auto"/>
        <w:jc w:val="both"/>
        <w:rPr>
          <w:rFonts w:ascii="Arial" w:hAnsi="Arial" w:cs="Arial"/>
          <w:b/>
        </w:rPr>
      </w:pPr>
      <w:r>
        <w:rPr>
          <w:rFonts w:ascii="Arial" w:hAnsi="Arial" w:cs="Arial"/>
          <w:b/>
        </w:rPr>
        <w:t>Table 1.  Physico-chemical properties of coal mine soil</w:t>
      </w:r>
    </w:p>
    <w:tbl>
      <w:tblPr>
        <w:tblStyle w:val="a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17"/>
        <w:gridCol w:w="5498"/>
        <w:gridCol w:w="3158"/>
      </w:tblGrid>
      <w:tr w:rsidR="00CD3DE2" w14:paraId="7734101A" w14:textId="77777777">
        <w:tc>
          <w:tcPr>
            <w:tcW w:w="817" w:type="dxa"/>
            <w:tcBorders>
              <w:bottom w:val="single" w:sz="4" w:space="0" w:color="auto"/>
              <w:right w:val="nil"/>
            </w:tcBorders>
          </w:tcPr>
          <w:p w14:paraId="080FC584" w14:textId="77777777" w:rsidR="00CD3DE2" w:rsidRDefault="00CD3DE2">
            <w:pPr>
              <w:jc w:val="both"/>
              <w:rPr>
                <w:rFonts w:ascii="Arial" w:hAnsi="Arial" w:cs="Arial"/>
                <w:b/>
              </w:rPr>
            </w:pPr>
          </w:p>
          <w:p w14:paraId="601911D2" w14:textId="77777777" w:rsidR="00CD3DE2" w:rsidRDefault="005908EC">
            <w:pPr>
              <w:jc w:val="both"/>
              <w:rPr>
                <w:rFonts w:ascii="Arial" w:hAnsi="Arial" w:cs="Arial"/>
                <w:b/>
              </w:rPr>
            </w:pPr>
            <w:r>
              <w:rPr>
                <w:rFonts w:ascii="Arial" w:hAnsi="Arial" w:cs="Arial"/>
                <w:b/>
              </w:rPr>
              <w:t>S/N</w:t>
            </w:r>
          </w:p>
        </w:tc>
        <w:tc>
          <w:tcPr>
            <w:tcW w:w="5498" w:type="dxa"/>
            <w:tcBorders>
              <w:left w:val="nil"/>
              <w:bottom w:val="single" w:sz="4" w:space="0" w:color="auto"/>
              <w:right w:val="nil"/>
            </w:tcBorders>
          </w:tcPr>
          <w:p w14:paraId="3CCDA052" w14:textId="77777777" w:rsidR="00CD3DE2" w:rsidRDefault="00CD3DE2">
            <w:pPr>
              <w:jc w:val="both"/>
              <w:rPr>
                <w:rFonts w:ascii="Arial" w:hAnsi="Arial" w:cs="Arial"/>
                <w:b/>
              </w:rPr>
            </w:pPr>
          </w:p>
          <w:p w14:paraId="378C4D5F" w14:textId="77777777" w:rsidR="00CD3DE2" w:rsidRDefault="005908EC">
            <w:pPr>
              <w:jc w:val="both"/>
              <w:rPr>
                <w:rFonts w:ascii="Arial" w:hAnsi="Arial" w:cs="Arial"/>
                <w:b/>
              </w:rPr>
            </w:pPr>
            <w:r>
              <w:rPr>
                <w:rFonts w:ascii="Arial" w:hAnsi="Arial" w:cs="Arial"/>
                <w:b/>
              </w:rPr>
              <w:t>Parameters (unit)</w:t>
            </w:r>
          </w:p>
        </w:tc>
        <w:tc>
          <w:tcPr>
            <w:tcW w:w="3158" w:type="dxa"/>
            <w:tcBorders>
              <w:left w:val="nil"/>
              <w:bottom w:val="single" w:sz="4" w:space="0" w:color="auto"/>
            </w:tcBorders>
          </w:tcPr>
          <w:p w14:paraId="1C80F85A" w14:textId="77777777" w:rsidR="00CD3DE2" w:rsidRDefault="00CD3DE2">
            <w:pPr>
              <w:jc w:val="both"/>
              <w:rPr>
                <w:rFonts w:ascii="Arial" w:hAnsi="Arial" w:cs="Arial"/>
                <w:b/>
              </w:rPr>
            </w:pPr>
          </w:p>
          <w:p w14:paraId="1AC44913" w14:textId="77777777" w:rsidR="00CD3DE2" w:rsidRDefault="005908EC">
            <w:pPr>
              <w:jc w:val="both"/>
              <w:rPr>
                <w:rFonts w:ascii="Arial" w:hAnsi="Arial" w:cs="Arial"/>
              </w:rPr>
            </w:pPr>
            <w:r>
              <w:rPr>
                <w:rFonts w:ascii="Arial" w:hAnsi="Arial" w:cs="Arial"/>
                <w:b/>
              </w:rPr>
              <w:t>Coal Mine Soil</w:t>
            </w:r>
          </w:p>
        </w:tc>
      </w:tr>
      <w:tr w:rsidR="00CD3DE2" w14:paraId="570CA282" w14:textId="77777777">
        <w:trPr>
          <w:trHeight w:val="353"/>
        </w:trPr>
        <w:tc>
          <w:tcPr>
            <w:tcW w:w="817" w:type="dxa"/>
            <w:tcBorders>
              <w:top w:val="single" w:sz="4" w:space="0" w:color="auto"/>
              <w:bottom w:val="nil"/>
              <w:right w:val="nil"/>
            </w:tcBorders>
          </w:tcPr>
          <w:p w14:paraId="235AAA1C" w14:textId="77777777" w:rsidR="00CD3DE2" w:rsidRDefault="005908EC">
            <w:pPr>
              <w:jc w:val="both"/>
              <w:rPr>
                <w:rFonts w:ascii="Arial" w:hAnsi="Arial" w:cs="Arial"/>
              </w:rPr>
            </w:pPr>
            <w:r>
              <w:rPr>
                <w:rFonts w:ascii="Arial" w:hAnsi="Arial" w:cs="Arial"/>
              </w:rPr>
              <w:t>1</w:t>
            </w:r>
          </w:p>
        </w:tc>
        <w:tc>
          <w:tcPr>
            <w:tcW w:w="5498" w:type="dxa"/>
            <w:tcBorders>
              <w:left w:val="nil"/>
              <w:bottom w:val="nil"/>
              <w:right w:val="nil"/>
            </w:tcBorders>
          </w:tcPr>
          <w:p w14:paraId="683CC6F7" w14:textId="77777777" w:rsidR="00CD3DE2" w:rsidRDefault="005908EC">
            <w:pPr>
              <w:jc w:val="both"/>
              <w:rPr>
                <w:rFonts w:ascii="Arial" w:hAnsi="Arial" w:cs="Arial"/>
              </w:rPr>
            </w:pPr>
            <w:r>
              <w:rPr>
                <w:rFonts w:ascii="Arial" w:hAnsi="Arial" w:cs="Arial"/>
              </w:rPr>
              <w:t>pH</w:t>
            </w:r>
          </w:p>
        </w:tc>
        <w:tc>
          <w:tcPr>
            <w:tcW w:w="3158" w:type="dxa"/>
            <w:tcBorders>
              <w:left w:val="nil"/>
              <w:bottom w:val="nil"/>
            </w:tcBorders>
          </w:tcPr>
          <w:p w14:paraId="7EA9E6EA" w14:textId="77777777" w:rsidR="00CD3DE2" w:rsidRDefault="005908EC">
            <w:pPr>
              <w:jc w:val="both"/>
              <w:rPr>
                <w:rFonts w:ascii="Arial" w:hAnsi="Arial" w:cs="Arial"/>
              </w:rPr>
            </w:pPr>
            <w:r>
              <w:rPr>
                <w:rFonts w:ascii="Arial" w:hAnsi="Arial" w:cs="Arial"/>
              </w:rPr>
              <w:t>5.84</w:t>
            </w:r>
          </w:p>
        </w:tc>
      </w:tr>
      <w:tr w:rsidR="00CD3DE2" w14:paraId="7E625838" w14:textId="77777777">
        <w:tc>
          <w:tcPr>
            <w:tcW w:w="817" w:type="dxa"/>
            <w:tcBorders>
              <w:top w:val="nil"/>
              <w:bottom w:val="nil"/>
              <w:right w:val="nil"/>
            </w:tcBorders>
          </w:tcPr>
          <w:p w14:paraId="1AC326AD" w14:textId="77777777" w:rsidR="00CD3DE2" w:rsidRDefault="005908EC">
            <w:pPr>
              <w:jc w:val="both"/>
              <w:rPr>
                <w:rFonts w:ascii="Arial" w:hAnsi="Arial" w:cs="Arial"/>
              </w:rPr>
            </w:pPr>
            <w:r>
              <w:rPr>
                <w:rFonts w:ascii="Arial" w:hAnsi="Arial" w:cs="Arial"/>
              </w:rPr>
              <w:t>2</w:t>
            </w:r>
          </w:p>
        </w:tc>
        <w:tc>
          <w:tcPr>
            <w:tcW w:w="5498" w:type="dxa"/>
            <w:tcBorders>
              <w:top w:val="nil"/>
              <w:left w:val="nil"/>
              <w:bottom w:val="nil"/>
              <w:right w:val="nil"/>
            </w:tcBorders>
          </w:tcPr>
          <w:p w14:paraId="4BAF7F55" w14:textId="77777777" w:rsidR="00CD3DE2" w:rsidRDefault="005908EC">
            <w:pPr>
              <w:jc w:val="both"/>
              <w:rPr>
                <w:rFonts w:ascii="Arial" w:hAnsi="Arial" w:cs="Arial"/>
              </w:rPr>
            </w:pPr>
            <w:r>
              <w:rPr>
                <w:rFonts w:ascii="Arial" w:hAnsi="Arial" w:cs="Arial"/>
              </w:rPr>
              <w:t>Moisture content, (%)</w:t>
            </w:r>
          </w:p>
        </w:tc>
        <w:tc>
          <w:tcPr>
            <w:tcW w:w="3158" w:type="dxa"/>
            <w:tcBorders>
              <w:top w:val="nil"/>
              <w:left w:val="nil"/>
              <w:bottom w:val="nil"/>
            </w:tcBorders>
          </w:tcPr>
          <w:p w14:paraId="26B4BA78" w14:textId="77777777" w:rsidR="00CD3DE2" w:rsidRDefault="005908EC">
            <w:pPr>
              <w:jc w:val="both"/>
              <w:rPr>
                <w:rFonts w:ascii="Arial" w:hAnsi="Arial" w:cs="Arial"/>
              </w:rPr>
            </w:pPr>
            <w:r>
              <w:rPr>
                <w:rFonts w:ascii="Arial" w:hAnsi="Arial" w:cs="Arial"/>
              </w:rPr>
              <w:t>11.31</w:t>
            </w:r>
          </w:p>
        </w:tc>
      </w:tr>
      <w:tr w:rsidR="00CD3DE2" w14:paraId="20640B4E" w14:textId="77777777">
        <w:tc>
          <w:tcPr>
            <w:tcW w:w="817" w:type="dxa"/>
            <w:tcBorders>
              <w:top w:val="nil"/>
              <w:bottom w:val="nil"/>
              <w:right w:val="nil"/>
            </w:tcBorders>
          </w:tcPr>
          <w:p w14:paraId="1DDF5940" w14:textId="77777777" w:rsidR="00CD3DE2" w:rsidRDefault="005908EC">
            <w:pPr>
              <w:jc w:val="both"/>
              <w:rPr>
                <w:rFonts w:ascii="Arial" w:hAnsi="Arial" w:cs="Arial"/>
              </w:rPr>
            </w:pPr>
            <w:r>
              <w:rPr>
                <w:rFonts w:ascii="Arial" w:hAnsi="Arial" w:cs="Arial"/>
              </w:rPr>
              <w:t>3</w:t>
            </w:r>
          </w:p>
        </w:tc>
        <w:tc>
          <w:tcPr>
            <w:tcW w:w="5498" w:type="dxa"/>
            <w:tcBorders>
              <w:top w:val="nil"/>
              <w:left w:val="nil"/>
              <w:bottom w:val="nil"/>
              <w:right w:val="nil"/>
            </w:tcBorders>
          </w:tcPr>
          <w:p w14:paraId="1C6FBE4D" w14:textId="77777777" w:rsidR="00CD3DE2" w:rsidRDefault="005908EC">
            <w:pPr>
              <w:jc w:val="both"/>
              <w:rPr>
                <w:rFonts w:ascii="Arial" w:hAnsi="Arial" w:cs="Arial"/>
              </w:rPr>
            </w:pPr>
            <w:r>
              <w:rPr>
                <w:rFonts w:ascii="Arial" w:hAnsi="Arial" w:cs="Arial"/>
              </w:rPr>
              <w:t>Conductivity (</w:t>
            </w:r>
            <w:proofErr w:type="spellStart"/>
            <w:r>
              <w:rPr>
                <w:rFonts w:ascii="Arial" w:hAnsi="Arial" w:cs="Arial"/>
              </w:rPr>
              <w:t>μs</w:t>
            </w:r>
            <w:proofErr w:type="spellEnd"/>
            <w:r>
              <w:rPr>
                <w:rFonts w:ascii="Arial" w:hAnsi="Arial" w:cs="Arial"/>
              </w:rPr>
              <w:t>/cm)</w:t>
            </w:r>
          </w:p>
        </w:tc>
        <w:tc>
          <w:tcPr>
            <w:tcW w:w="3158" w:type="dxa"/>
            <w:tcBorders>
              <w:top w:val="nil"/>
              <w:left w:val="nil"/>
              <w:bottom w:val="nil"/>
            </w:tcBorders>
          </w:tcPr>
          <w:p w14:paraId="05E43F7B" w14:textId="77777777" w:rsidR="00CD3DE2" w:rsidRDefault="005908EC">
            <w:pPr>
              <w:jc w:val="both"/>
              <w:rPr>
                <w:rFonts w:ascii="Arial" w:hAnsi="Arial" w:cs="Arial"/>
              </w:rPr>
            </w:pPr>
            <w:r>
              <w:rPr>
                <w:rFonts w:ascii="Arial" w:hAnsi="Arial" w:cs="Arial"/>
              </w:rPr>
              <w:t>38. 8</w:t>
            </w:r>
          </w:p>
        </w:tc>
      </w:tr>
      <w:tr w:rsidR="00CD3DE2" w14:paraId="0135006F" w14:textId="77777777">
        <w:tc>
          <w:tcPr>
            <w:tcW w:w="817" w:type="dxa"/>
            <w:tcBorders>
              <w:top w:val="nil"/>
              <w:bottom w:val="nil"/>
              <w:right w:val="nil"/>
            </w:tcBorders>
          </w:tcPr>
          <w:p w14:paraId="39127CF6" w14:textId="77777777" w:rsidR="00CD3DE2" w:rsidRDefault="005908EC">
            <w:pPr>
              <w:jc w:val="both"/>
              <w:rPr>
                <w:rFonts w:ascii="Arial" w:hAnsi="Arial" w:cs="Arial"/>
              </w:rPr>
            </w:pPr>
            <w:r>
              <w:rPr>
                <w:rFonts w:ascii="Arial" w:hAnsi="Arial" w:cs="Arial"/>
              </w:rPr>
              <w:lastRenderedPageBreak/>
              <w:t>4</w:t>
            </w:r>
          </w:p>
        </w:tc>
        <w:tc>
          <w:tcPr>
            <w:tcW w:w="5498" w:type="dxa"/>
            <w:tcBorders>
              <w:top w:val="nil"/>
              <w:left w:val="nil"/>
              <w:bottom w:val="nil"/>
              <w:right w:val="nil"/>
            </w:tcBorders>
          </w:tcPr>
          <w:p w14:paraId="1550CA1A" w14:textId="77777777" w:rsidR="00CD3DE2" w:rsidRDefault="005908EC">
            <w:pPr>
              <w:jc w:val="both"/>
              <w:rPr>
                <w:rFonts w:ascii="Arial" w:hAnsi="Arial" w:cs="Arial"/>
              </w:rPr>
            </w:pPr>
            <w:r>
              <w:rPr>
                <w:rFonts w:ascii="Arial" w:hAnsi="Arial" w:cs="Arial"/>
              </w:rPr>
              <w:t>Soil organic matter (%)</w:t>
            </w:r>
          </w:p>
        </w:tc>
        <w:tc>
          <w:tcPr>
            <w:tcW w:w="3158" w:type="dxa"/>
            <w:tcBorders>
              <w:top w:val="nil"/>
              <w:left w:val="nil"/>
              <w:bottom w:val="nil"/>
            </w:tcBorders>
          </w:tcPr>
          <w:p w14:paraId="57660E07" w14:textId="77777777" w:rsidR="00CD3DE2" w:rsidRDefault="005908EC">
            <w:pPr>
              <w:jc w:val="both"/>
              <w:rPr>
                <w:rFonts w:ascii="Arial" w:hAnsi="Arial" w:cs="Arial"/>
              </w:rPr>
            </w:pPr>
            <w:r>
              <w:rPr>
                <w:rFonts w:ascii="Arial" w:hAnsi="Arial" w:cs="Arial"/>
              </w:rPr>
              <w:t>2.27</w:t>
            </w:r>
          </w:p>
        </w:tc>
      </w:tr>
      <w:tr w:rsidR="00CD3DE2" w14:paraId="430702D8" w14:textId="77777777">
        <w:tc>
          <w:tcPr>
            <w:tcW w:w="817" w:type="dxa"/>
            <w:tcBorders>
              <w:top w:val="nil"/>
              <w:bottom w:val="nil"/>
              <w:right w:val="nil"/>
            </w:tcBorders>
          </w:tcPr>
          <w:p w14:paraId="695E464A" w14:textId="77777777" w:rsidR="00CD3DE2" w:rsidRDefault="005908EC">
            <w:pPr>
              <w:jc w:val="both"/>
              <w:rPr>
                <w:rFonts w:ascii="Arial" w:hAnsi="Arial" w:cs="Arial"/>
              </w:rPr>
            </w:pPr>
            <w:r>
              <w:rPr>
                <w:rFonts w:ascii="Arial" w:hAnsi="Arial" w:cs="Arial"/>
              </w:rPr>
              <w:t>5</w:t>
            </w:r>
          </w:p>
        </w:tc>
        <w:tc>
          <w:tcPr>
            <w:tcW w:w="5498" w:type="dxa"/>
            <w:tcBorders>
              <w:top w:val="nil"/>
              <w:left w:val="nil"/>
              <w:bottom w:val="nil"/>
              <w:right w:val="nil"/>
            </w:tcBorders>
          </w:tcPr>
          <w:p w14:paraId="60BB65EA" w14:textId="77777777" w:rsidR="00CD3DE2" w:rsidRDefault="005908EC">
            <w:pPr>
              <w:jc w:val="both"/>
              <w:rPr>
                <w:rFonts w:ascii="Arial" w:hAnsi="Arial" w:cs="Arial"/>
              </w:rPr>
            </w:pPr>
            <w:r>
              <w:rPr>
                <w:rFonts w:ascii="Arial" w:hAnsi="Arial" w:cs="Arial"/>
              </w:rPr>
              <w:t>Total Organic Carbon (%)</w:t>
            </w:r>
          </w:p>
        </w:tc>
        <w:tc>
          <w:tcPr>
            <w:tcW w:w="3158" w:type="dxa"/>
            <w:tcBorders>
              <w:top w:val="nil"/>
              <w:left w:val="nil"/>
              <w:bottom w:val="nil"/>
            </w:tcBorders>
          </w:tcPr>
          <w:p w14:paraId="1041AFEE" w14:textId="77777777" w:rsidR="00CD3DE2" w:rsidRDefault="005908EC">
            <w:pPr>
              <w:jc w:val="both"/>
              <w:rPr>
                <w:rFonts w:ascii="Arial" w:hAnsi="Arial" w:cs="Arial"/>
              </w:rPr>
            </w:pPr>
            <w:r>
              <w:rPr>
                <w:rFonts w:ascii="Arial" w:hAnsi="Arial" w:cs="Arial"/>
              </w:rPr>
              <w:t>1.31</w:t>
            </w:r>
          </w:p>
        </w:tc>
      </w:tr>
      <w:tr w:rsidR="00CD3DE2" w14:paraId="6A18A3E6" w14:textId="77777777">
        <w:tc>
          <w:tcPr>
            <w:tcW w:w="817" w:type="dxa"/>
            <w:tcBorders>
              <w:top w:val="nil"/>
              <w:bottom w:val="nil"/>
              <w:right w:val="nil"/>
            </w:tcBorders>
          </w:tcPr>
          <w:p w14:paraId="7F04F9F2" w14:textId="77777777" w:rsidR="00CD3DE2" w:rsidRDefault="005908EC">
            <w:pPr>
              <w:jc w:val="both"/>
              <w:rPr>
                <w:rFonts w:ascii="Arial" w:hAnsi="Arial" w:cs="Arial"/>
              </w:rPr>
            </w:pPr>
            <w:r>
              <w:rPr>
                <w:rFonts w:ascii="Arial" w:hAnsi="Arial" w:cs="Arial"/>
              </w:rPr>
              <w:t>6</w:t>
            </w:r>
          </w:p>
        </w:tc>
        <w:tc>
          <w:tcPr>
            <w:tcW w:w="5498" w:type="dxa"/>
            <w:tcBorders>
              <w:top w:val="nil"/>
              <w:left w:val="nil"/>
              <w:bottom w:val="nil"/>
              <w:right w:val="nil"/>
            </w:tcBorders>
          </w:tcPr>
          <w:p w14:paraId="7CF5C52D" w14:textId="77777777" w:rsidR="00CD3DE2" w:rsidRDefault="005908EC">
            <w:pPr>
              <w:jc w:val="both"/>
              <w:rPr>
                <w:rFonts w:ascii="Arial" w:hAnsi="Arial" w:cs="Arial"/>
              </w:rPr>
            </w:pPr>
            <w:r>
              <w:rPr>
                <w:rFonts w:ascii="Arial" w:hAnsi="Arial" w:cs="Arial"/>
              </w:rPr>
              <w:t>Total Nitrogen (mg/ kg)</w:t>
            </w:r>
          </w:p>
        </w:tc>
        <w:tc>
          <w:tcPr>
            <w:tcW w:w="3158" w:type="dxa"/>
            <w:tcBorders>
              <w:top w:val="nil"/>
              <w:left w:val="nil"/>
              <w:bottom w:val="nil"/>
            </w:tcBorders>
          </w:tcPr>
          <w:p w14:paraId="7B9A50BF" w14:textId="77777777" w:rsidR="00CD3DE2" w:rsidRDefault="005908EC">
            <w:pPr>
              <w:jc w:val="both"/>
              <w:rPr>
                <w:rFonts w:ascii="Arial" w:hAnsi="Arial" w:cs="Arial"/>
              </w:rPr>
            </w:pPr>
            <w:r>
              <w:rPr>
                <w:rFonts w:ascii="Arial" w:hAnsi="Arial" w:cs="Arial"/>
              </w:rPr>
              <w:t>3.89</w:t>
            </w:r>
          </w:p>
        </w:tc>
      </w:tr>
      <w:tr w:rsidR="00CD3DE2" w14:paraId="0CCA7C9E" w14:textId="77777777">
        <w:tc>
          <w:tcPr>
            <w:tcW w:w="817" w:type="dxa"/>
            <w:tcBorders>
              <w:top w:val="nil"/>
              <w:bottom w:val="nil"/>
              <w:right w:val="nil"/>
            </w:tcBorders>
          </w:tcPr>
          <w:p w14:paraId="4E5499C7" w14:textId="77777777" w:rsidR="00CD3DE2" w:rsidRDefault="005908EC">
            <w:pPr>
              <w:jc w:val="both"/>
              <w:rPr>
                <w:rFonts w:ascii="Arial" w:hAnsi="Arial" w:cs="Arial"/>
              </w:rPr>
            </w:pPr>
            <w:r>
              <w:rPr>
                <w:rFonts w:ascii="Arial" w:hAnsi="Arial" w:cs="Arial"/>
              </w:rPr>
              <w:t>7</w:t>
            </w:r>
          </w:p>
        </w:tc>
        <w:tc>
          <w:tcPr>
            <w:tcW w:w="5498" w:type="dxa"/>
            <w:tcBorders>
              <w:top w:val="nil"/>
              <w:left w:val="nil"/>
              <w:bottom w:val="nil"/>
              <w:right w:val="nil"/>
            </w:tcBorders>
          </w:tcPr>
          <w:p w14:paraId="1E9C3E5D" w14:textId="77777777" w:rsidR="00CD3DE2" w:rsidRDefault="005908EC">
            <w:pPr>
              <w:jc w:val="both"/>
              <w:rPr>
                <w:rFonts w:ascii="Arial" w:hAnsi="Arial" w:cs="Arial"/>
              </w:rPr>
            </w:pPr>
            <w:r>
              <w:rPr>
                <w:rFonts w:ascii="Arial" w:hAnsi="Arial" w:cs="Arial"/>
              </w:rPr>
              <w:t>Total phosphorus (mg/kg)</w:t>
            </w:r>
          </w:p>
        </w:tc>
        <w:tc>
          <w:tcPr>
            <w:tcW w:w="3158" w:type="dxa"/>
            <w:tcBorders>
              <w:top w:val="nil"/>
              <w:left w:val="nil"/>
              <w:bottom w:val="nil"/>
            </w:tcBorders>
          </w:tcPr>
          <w:p w14:paraId="6B112BCE" w14:textId="77777777" w:rsidR="00CD3DE2" w:rsidRDefault="005908EC">
            <w:pPr>
              <w:jc w:val="both"/>
              <w:rPr>
                <w:rFonts w:ascii="Arial" w:hAnsi="Arial" w:cs="Arial"/>
              </w:rPr>
            </w:pPr>
            <w:r>
              <w:rPr>
                <w:rFonts w:ascii="Arial" w:hAnsi="Arial" w:cs="Arial"/>
              </w:rPr>
              <w:t>1.04</w:t>
            </w:r>
          </w:p>
        </w:tc>
      </w:tr>
      <w:tr w:rsidR="00CD3DE2" w14:paraId="42AB3EED" w14:textId="77777777">
        <w:tc>
          <w:tcPr>
            <w:tcW w:w="817" w:type="dxa"/>
            <w:tcBorders>
              <w:top w:val="nil"/>
              <w:bottom w:val="nil"/>
              <w:right w:val="nil"/>
            </w:tcBorders>
          </w:tcPr>
          <w:p w14:paraId="4F1B79C3" w14:textId="77777777" w:rsidR="00CD3DE2" w:rsidRDefault="005908EC">
            <w:pPr>
              <w:jc w:val="both"/>
              <w:rPr>
                <w:rFonts w:ascii="Arial" w:hAnsi="Arial" w:cs="Arial"/>
              </w:rPr>
            </w:pPr>
            <w:r>
              <w:rPr>
                <w:rFonts w:ascii="Arial" w:hAnsi="Arial" w:cs="Arial"/>
              </w:rPr>
              <w:t>8</w:t>
            </w:r>
          </w:p>
        </w:tc>
        <w:tc>
          <w:tcPr>
            <w:tcW w:w="5498" w:type="dxa"/>
            <w:tcBorders>
              <w:top w:val="nil"/>
              <w:left w:val="nil"/>
              <w:bottom w:val="nil"/>
              <w:right w:val="nil"/>
            </w:tcBorders>
          </w:tcPr>
          <w:p w14:paraId="6C1B08CD" w14:textId="77777777" w:rsidR="00CD3DE2" w:rsidRDefault="005908EC">
            <w:pPr>
              <w:jc w:val="both"/>
              <w:rPr>
                <w:rFonts w:ascii="Arial" w:hAnsi="Arial" w:cs="Arial"/>
              </w:rPr>
            </w:pPr>
            <w:r>
              <w:rPr>
                <w:rFonts w:ascii="Arial" w:hAnsi="Arial" w:cs="Arial"/>
              </w:rPr>
              <w:t>Mn (mg/ kg)</w:t>
            </w:r>
          </w:p>
        </w:tc>
        <w:tc>
          <w:tcPr>
            <w:tcW w:w="3158" w:type="dxa"/>
            <w:tcBorders>
              <w:top w:val="nil"/>
              <w:left w:val="nil"/>
              <w:bottom w:val="nil"/>
            </w:tcBorders>
          </w:tcPr>
          <w:p w14:paraId="642D8DF1" w14:textId="77777777" w:rsidR="00CD3DE2" w:rsidRDefault="005908EC">
            <w:pPr>
              <w:jc w:val="both"/>
              <w:rPr>
                <w:rFonts w:ascii="Arial" w:hAnsi="Arial" w:cs="Arial"/>
              </w:rPr>
            </w:pPr>
            <w:r>
              <w:rPr>
                <w:rFonts w:ascii="Arial" w:hAnsi="Arial" w:cs="Arial"/>
              </w:rPr>
              <w:t>1.18</w:t>
            </w:r>
          </w:p>
        </w:tc>
      </w:tr>
      <w:tr w:rsidR="00CD3DE2" w14:paraId="12F241ED" w14:textId="77777777">
        <w:tc>
          <w:tcPr>
            <w:tcW w:w="817" w:type="dxa"/>
            <w:tcBorders>
              <w:top w:val="nil"/>
              <w:bottom w:val="nil"/>
              <w:right w:val="nil"/>
            </w:tcBorders>
          </w:tcPr>
          <w:p w14:paraId="3E99E4E9" w14:textId="77777777" w:rsidR="00CD3DE2" w:rsidRDefault="005908EC">
            <w:pPr>
              <w:jc w:val="both"/>
              <w:rPr>
                <w:rFonts w:ascii="Arial" w:hAnsi="Arial" w:cs="Arial"/>
              </w:rPr>
            </w:pPr>
            <w:r>
              <w:rPr>
                <w:rFonts w:ascii="Arial" w:hAnsi="Arial" w:cs="Arial"/>
              </w:rPr>
              <w:t>9</w:t>
            </w:r>
          </w:p>
        </w:tc>
        <w:tc>
          <w:tcPr>
            <w:tcW w:w="5498" w:type="dxa"/>
            <w:tcBorders>
              <w:top w:val="nil"/>
              <w:left w:val="nil"/>
              <w:bottom w:val="nil"/>
              <w:right w:val="nil"/>
            </w:tcBorders>
          </w:tcPr>
          <w:p w14:paraId="30EF9E2E" w14:textId="77777777" w:rsidR="00CD3DE2" w:rsidRDefault="005908EC">
            <w:pPr>
              <w:jc w:val="both"/>
              <w:rPr>
                <w:rFonts w:ascii="Arial" w:hAnsi="Arial" w:cs="Arial"/>
              </w:rPr>
            </w:pPr>
            <w:r>
              <w:rPr>
                <w:rFonts w:ascii="Arial" w:hAnsi="Arial" w:cs="Arial"/>
              </w:rPr>
              <w:t>Cu (mg/ kg</w:t>
            </w:r>
          </w:p>
        </w:tc>
        <w:tc>
          <w:tcPr>
            <w:tcW w:w="3158" w:type="dxa"/>
            <w:tcBorders>
              <w:top w:val="nil"/>
              <w:left w:val="nil"/>
              <w:bottom w:val="nil"/>
            </w:tcBorders>
          </w:tcPr>
          <w:p w14:paraId="739414E3" w14:textId="77777777" w:rsidR="00CD3DE2" w:rsidRDefault="005908EC">
            <w:pPr>
              <w:jc w:val="both"/>
              <w:rPr>
                <w:rFonts w:ascii="Arial" w:hAnsi="Arial" w:cs="Arial"/>
              </w:rPr>
            </w:pPr>
            <w:r>
              <w:rPr>
                <w:rFonts w:ascii="Arial" w:hAnsi="Arial" w:cs="Arial"/>
              </w:rPr>
              <w:t>2.88</w:t>
            </w:r>
          </w:p>
        </w:tc>
      </w:tr>
      <w:tr w:rsidR="00CD3DE2" w14:paraId="34FF084C" w14:textId="77777777">
        <w:tc>
          <w:tcPr>
            <w:tcW w:w="817" w:type="dxa"/>
            <w:tcBorders>
              <w:top w:val="nil"/>
              <w:bottom w:val="nil"/>
              <w:right w:val="nil"/>
            </w:tcBorders>
          </w:tcPr>
          <w:p w14:paraId="72D7E581" w14:textId="77777777" w:rsidR="00CD3DE2" w:rsidRDefault="005908EC">
            <w:pPr>
              <w:jc w:val="both"/>
              <w:rPr>
                <w:rFonts w:ascii="Arial" w:hAnsi="Arial" w:cs="Arial"/>
              </w:rPr>
            </w:pPr>
            <w:r>
              <w:rPr>
                <w:rFonts w:ascii="Arial" w:hAnsi="Arial" w:cs="Arial"/>
              </w:rPr>
              <w:t>10</w:t>
            </w:r>
          </w:p>
        </w:tc>
        <w:tc>
          <w:tcPr>
            <w:tcW w:w="5498" w:type="dxa"/>
            <w:tcBorders>
              <w:top w:val="nil"/>
              <w:left w:val="nil"/>
              <w:bottom w:val="nil"/>
              <w:right w:val="nil"/>
            </w:tcBorders>
          </w:tcPr>
          <w:p w14:paraId="5F8C7FD8" w14:textId="77777777" w:rsidR="00CD3DE2" w:rsidRDefault="005908EC">
            <w:pPr>
              <w:jc w:val="both"/>
              <w:rPr>
                <w:rFonts w:ascii="Arial" w:hAnsi="Arial" w:cs="Arial"/>
              </w:rPr>
            </w:pPr>
            <w:r>
              <w:rPr>
                <w:rFonts w:ascii="Arial" w:hAnsi="Arial" w:cs="Arial"/>
              </w:rPr>
              <w:t>As (mg/kg)</w:t>
            </w:r>
          </w:p>
        </w:tc>
        <w:tc>
          <w:tcPr>
            <w:tcW w:w="3158" w:type="dxa"/>
            <w:tcBorders>
              <w:top w:val="nil"/>
              <w:left w:val="nil"/>
              <w:bottom w:val="nil"/>
            </w:tcBorders>
          </w:tcPr>
          <w:p w14:paraId="2C117695" w14:textId="77777777" w:rsidR="00CD3DE2" w:rsidRDefault="005908EC">
            <w:pPr>
              <w:jc w:val="both"/>
              <w:rPr>
                <w:rFonts w:ascii="Arial" w:hAnsi="Arial" w:cs="Arial"/>
              </w:rPr>
            </w:pPr>
            <w:r>
              <w:rPr>
                <w:rFonts w:ascii="Arial" w:hAnsi="Arial" w:cs="Arial"/>
              </w:rPr>
              <w:t>&lt; 0.001</w:t>
            </w:r>
          </w:p>
        </w:tc>
      </w:tr>
      <w:tr w:rsidR="00CD3DE2" w14:paraId="7894A315" w14:textId="77777777">
        <w:tc>
          <w:tcPr>
            <w:tcW w:w="817" w:type="dxa"/>
            <w:tcBorders>
              <w:top w:val="nil"/>
              <w:bottom w:val="nil"/>
              <w:right w:val="nil"/>
            </w:tcBorders>
          </w:tcPr>
          <w:p w14:paraId="36EE211A" w14:textId="77777777" w:rsidR="00CD3DE2" w:rsidRDefault="005908EC">
            <w:pPr>
              <w:jc w:val="both"/>
              <w:rPr>
                <w:rFonts w:ascii="Arial" w:hAnsi="Arial" w:cs="Arial"/>
              </w:rPr>
            </w:pPr>
            <w:r>
              <w:rPr>
                <w:rFonts w:ascii="Arial" w:hAnsi="Arial" w:cs="Arial"/>
              </w:rPr>
              <w:t>11</w:t>
            </w:r>
          </w:p>
        </w:tc>
        <w:tc>
          <w:tcPr>
            <w:tcW w:w="5498" w:type="dxa"/>
            <w:tcBorders>
              <w:top w:val="nil"/>
              <w:left w:val="nil"/>
              <w:bottom w:val="nil"/>
              <w:right w:val="nil"/>
            </w:tcBorders>
          </w:tcPr>
          <w:p w14:paraId="6878C5F3" w14:textId="77777777" w:rsidR="00CD3DE2" w:rsidRDefault="005908EC">
            <w:pPr>
              <w:jc w:val="both"/>
              <w:rPr>
                <w:rFonts w:ascii="Arial" w:hAnsi="Arial" w:cs="Arial"/>
              </w:rPr>
            </w:pPr>
            <w:r>
              <w:rPr>
                <w:rFonts w:ascii="Arial" w:hAnsi="Arial" w:cs="Arial"/>
              </w:rPr>
              <w:t>Cr (mg/kg</w:t>
            </w:r>
          </w:p>
        </w:tc>
        <w:tc>
          <w:tcPr>
            <w:tcW w:w="3158" w:type="dxa"/>
            <w:tcBorders>
              <w:top w:val="nil"/>
              <w:left w:val="nil"/>
              <w:bottom w:val="nil"/>
            </w:tcBorders>
          </w:tcPr>
          <w:p w14:paraId="7C4EDD81" w14:textId="77777777" w:rsidR="00CD3DE2" w:rsidRDefault="005908EC">
            <w:pPr>
              <w:jc w:val="both"/>
              <w:rPr>
                <w:rFonts w:ascii="Arial" w:hAnsi="Arial" w:cs="Arial"/>
              </w:rPr>
            </w:pPr>
            <w:r>
              <w:rPr>
                <w:rFonts w:ascii="Arial" w:hAnsi="Arial" w:cs="Arial"/>
              </w:rPr>
              <w:t>2.32</w:t>
            </w:r>
          </w:p>
        </w:tc>
      </w:tr>
      <w:tr w:rsidR="00CD3DE2" w14:paraId="70DC7977" w14:textId="77777777">
        <w:tc>
          <w:tcPr>
            <w:tcW w:w="817" w:type="dxa"/>
            <w:tcBorders>
              <w:top w:val="nil"/>
              <w:bottom w:val="nil"/>
              <w:right w:val="nil"/>
            </w:tcBorders>
          </w:tcPr>
          <w:p w14:paraId="79415B54" w14:textId="77777777" w:rsidR="00CD3DE2" w:rsidRDefault="005908EC">
            <w:pPr>
              <w:jc w:val="both"/>
              <w:rPr>
                <w:rFonts w:ascii="Arial" w:hAnsi="Arial" w:cs="Arial"/>
              </w:rPr>
            </w:pPr>
            <w:r>
              <w:rPr>
                <w:rFonts w:ascii="Arial" w:hAnsi="Arial" w:cs="Arial"/>
              </w:rPr>
              <w:t>12</w:t>
            </w:r>
          </w:p>
        </w:tc>
        <w:tc>
          <w:tcPr>
            <w:tcW w:w="5498" w:type="dxa"/>
            <w:tcBorders>
              <w:top w:val="nil"/>
              <w:left w:val="nil"/>
              <w:bottom w:val="nil"/>
              <w:right w:val="nil"/>
            </w:tcBorders>
          </w:tcPr>
          <w:p w14:paraId="5B59ABB6" w14:textId="77777777" w:rsidR="00CD3DE2" w:rsidRDefault="005908EC">
            <w:pPr>
              <w:rPr>
                <w:rFonts w:ascii="Arial" w:hAnsi="Arial" w:cs="Arial"/>
              </w:rPr>
            </w:pPr>
            <w:r>
              <w:rPr>
                <w:rFonts w:ascii="Arial" w:hAnsi="Arial" w:cs="Arial"/>
              </w:rPr>
              <w:t xml:space="preserve">Exchangeable </w:t>
            </w:r>
            <w:proofErr w:type="spellStart"/>
            <w:r>
              <w:rPr>
                <w:rFonts w:ascii="Arial" w:hAnsi="Arial" w:cs="Arial"/>
              </w:rPr>
              <w:t>cations</w:t>
            </w:r>
            <w:proofErr w:type="spellEnd"/>
            <w:r>
              <w:rPr>
                <w:rFonts w:ascii="Arial" w:hAnsi="Arial" w:cs="Arial"/>
              </w:rPr>
              <w:t xml:space="preserve"> ( </w:t>
            </w:r>
            <w:proofErr w:type="spellStart"/>
            <w:r>
              <w:rPr>
                <w:rFonts w:ascii="Arial" w:hAnsi="Arial" w:cs="Arial"/>
              </w:rPr>
              <w:t>meq</w:t>
            </w:r>
            <w:proofErr w:type="spellEnd"/>
            <w:r>
              <w:rPr>
                <w:rFonts w:ascii="Arial" w:hAnsi="Arial" w:cs="Arial"/>
              </w:rPr>
              <w:t>/ 100g)</w:t>
            </w:r>
          </w:p>
        </w:tc>
        <w:tc>
          <w:tcPr>
            <w:tcW w:w="3158" w:type="dxa"/>
            <w:tcBorders>
              <w:top w:val="nil"/>
              <w:left w:val="nil"/>
              <w:bottom w:val="nil"/>
            </w:tcBorders>
          </w:tcPr>
          <w:p w14:paraId="1A1D4B3F" w14:textId="77777777" w:rsidR="00CD3DE2" w:rsidRDefault="005908EC">
            <w:pPr>
              <w:jc w:val="both"/>
              <w:rPr>
                <w:rFonts w:ascii="Arial" w:hAnsi="Arial" w:cs="Arial"/>
              </w:rPr>
            </w:pPr>
            <w:r>
              <w:rPr>
                <w:rFonts w:ascii="Arial" w:hAnsi="Arial" w:cs="Arial"/>
              </w:rPr>
              <w:t>0.108</w:t>
            </w:r>
          </w:p>
        </w:tc>
      </w:tr>
      <w:tr w:rsidR="00CD3DE2" w14:paraId="53FA705E" w14:textId="77777777">
        <w:tc>
          <w:tcPr>
            <w:tcW w:w="817" w:type="dxa"/>
            <w:tcBorders>
              <w:top w:val="nil"/>
              <w:bottom w:val="nil"/>
              <w:right w:val="nil"/>
            </w:tcBorders>
          </w:tcPr>
          <w:p w14:paraId="552CB24E" w14:textId="77777777" w:rsidR="00CD3DE2" w:rsidRDefault="005908EC">
            <w:pPr>
              <w:jc w:val="both"/>
              <w:rPr>
                <w:rFonts w:ascii="Arial" w:hAnsi="Arial" w:cs="Arial"/>
              </w:rPr>
            </w:pPr>
            <w:r>
              <w:rPr>
                <w:rFonts w:ascii="Arial" w:hAnsi="Arial" w:cs="Arial"/>
              </w:rPr>
              <w:t>13</w:t>
            </w:r>
          </w:p>
        </w:tc>
        <w:tc>
          <w:tcPr>
            <w:tcW w:w="5498" w:type="dxa"/>
            <w:tcBorders>
              <w:top w:val="nil"/>
              <w:left w:val="nil"/>
              <w:bottom w:val="nil"/>
              <w:right w:val="nil"/>
            </w:tcBorders>
          </w:tcPr>
          <w:p w14:paraId="2EC13FB7" w14:textId="77777777" w:rsidR="00CD3DE2" w:rsidRDefault="005908EC">
            <w:pPr>
              <w:jc w:val="center"/>
              <w:rPr>
                <w:rFonts w:ascii="Arial" w:hAnsi="Arial" w:cs="Arial"/>
              </w:rPr>
            </w:pPr>
            <w:r>
              <w:rPr>
                <w:rFonts w:ascii="Arial" w:hAnsi="Arial" w:cs="Arial"/>
              </w:rPr>
              <w:t>Particle Size Distribution  (%)</w:t>
            </w:r>
          </w:p>
        </w:tc>
        <w:tc>
          <w:tcPr>
            <w:tcW w:w="3158" w:type="dxa"/>
            <w:tcBorders>
              <w:top w:val="nil"/>
              <w:left w:val="nil"/>
              <w:bottom w:val="nil"/>
            </w:tcBorders>
          </w:tcPr>
          <w:p w14:paraId="46B6201A" w14:textId="77777777" w:rsidR="00CD3DE2" w:rsidRDefault="00CD3DE2">
            <w:pPr>
              <w:jc w:val="both"/>
              <w:rPr>
                <w:rFonts w:ascii="Arial" w:hAnsi="Arial" w:cs="Arial"/>
              </w:rPr>
            </w:pPr>
          </w:p>
        </w:tc>
      </w:tr>
      <w:tr w:rsidR="00CD3DE2" w14:paraId="38F2486D" w14:textId="77777777">
        <w:tc>
          <w:tcPr>
            <w:tcW w:w="817" w:type="dxa"/>
            <w:tcBorders>
              <w:top w:val="nil"/>
              <w:bottom w:val="nil"/>
              <w:right w:val="nil"/>
            </w:tcBorders>
          </w:tcPr>
          <w:p w14:paraId="49B5A7B4" w14:textId="77777777" w:rsidR="00CD3DE2" w:rsidRDefault="005908EC">
            <w:pPr>
              <w:jc w:val="both"/>
              <w:rPr>
                <w:rFonts w:ascii="Arial" w:hAnsi="Arial" w:cs="Arial"/>
              </w:rPr>
            </w:pPr>
            <w:r>
              <w:rPr>
                <w:rFonts w:ascii="Arial" w:hAnsi="Arial" w:cs="Arial"/>
              </w:rPr>
              <w:t>14</w:t>
            </w:r>
          </w:p>
        </w:tc>
        <w:tc>
          <w:tcPr>
            <w:tcW w:w="5498" w:type="dxa"/>
            <w:tcBorders>
              <w:top w:val="nil"/>
              <w:left w:val="nil"/>
              <w:bottom w:val="nil"/>
              <w:right w:val="nil"/>
            </w:tcBorders>
          </w:tcPr>
          <w:p w14:paraId="58EF9143" w14:textId="77777777" w:rsidR="00CD3DE2" w:rsidRDefault="005908EC">
            <w:pPr>
              <w:jc w:val="both"/>
              <w:rPr>
                <w:rFonts w:ascii="Arial" w:hAnsi="Arial" w:cs="Arial"/>
              </w:rPr>
            </w:pPr>
            <w:r>
              <w:rPr>
                <w:rFonts w:ascii="Arial" w:hAnsi="Arial" w:cs="Arial"/>
              </w:rPr>
              <w:t>Sand (%)</w:t>
            </w:r>
          </w:p>
        </w:tc>
        <w:tc>
          <w:tcPr>
            <w:tcW w:w="3158" w:type="dxa"/>
            <w:tcBorders>
              <w:top w:val="nil"/>
              <w:left w:val="nil"/>
              <w:bottom w:val="nil"/>
            </w:tcBorders>
          </w:tcPr>
          <w:p w14:paraId="79A48E41" w14:textId="77777777" w:rsidR="00CD3DE2" w:rsidRDefault="005908EC">
            <w:pPr>
              <w:jc w:val="both"/>
              <w:rPr>
                <w:rFonts w:ascii="Arial" w:hAnsi="Arial" w:cs="Arial"/>
              </w:rPr>
            </w:pPr>
            <w:r>
              <w:rPr>
                <w:rFonts w:ascii="Arial" w:hAnsi="Arial" w:cs="Arial"/>
              </w:rPr>
              <w:t>61. 54</w:t>
            </w:r>
          </w:p>
        </w:tc>
      </w:tr>
      <w:tr w:rsidR="00CD3DE2" w14:paraId="2C504372" w14:textId="77777777">
        <w:tc>
          <w:tcPr>
            <w:tcW w:w="817" w:type="dxa"/>
            <w:tcBorders>
              <w:top w:val="nil"/>
              <w:bottom w:val="nil"/>
              <w:right w:val="nil"/>
            </w:tcBorders>
          </w:tcPr>
          <w:p w14:paraId="41D15E55" w14:textId="77777777" w:rsidR="00CD3DE2" w:rsidRDefault="005908EC">
            <w:pPr>
              <w:jc w:val="both"/>
              <w:rPr>
                <w:rFonts w:ascii="Arial" w:hAnsi="Arial" w:cs="Arial"/>
              </w:rPr>
            </w:pPr>
            <w:r>
              <w:rPr>
                <w:rFonts w:ascii="Arial" w:hAnsi="Arial" w:cs="Arial"/>
              </w:rPr>
              <w:t>15</w:t>
            </w:r>
          </w:p>
        </w:tc>
        <w:tc>
          <w:tcPr>
            <w:tcW w:w="5498" w:type="dxa"/>
            <w:tcBorders>
              <w:top w:val="nil"/>
              <w:left w:val="nil"/>
              <w:bottom w:val="nil"/>
              <w:right w:val="nil"/>
            </w:tcBorders>
          </w:tcPr>
          <w:p w14:paraId="181CA977" w14:textId="77777777" w:rsidR="00CD3DE2" w:rsidRDefault="005908EC">
            <w:pPr>
              <w:jc w:val="both"/>
              <w:rPr>
                <w:rFonts w:ascii="Arial" w:hAnsi="Arial" w:cs="Arial"/>
              </w:rPr>
            </w:pPr>
            <w:r>
              <w:rPr>
                <w:rFonts w:ascii="Arial" w:hAnsi="Arial" w:cs="Arial"/>
              </w:rPr>
              <w:t>Silt (%)</w:t>
            </w:r>
          </w:p>
        </w:tc>
        <w:tc>
          <w:tcPr>
            <w:tcW w:w="3158" w:type="dxa"/>
            <w:tcBorders>
              <w:top w:val="nil"/>
              <w:left w:val="nil"/>
              <w:bottom w:val="nil"/>
            </w:tcBorders>
          </w:tcPr>
          <w:p w14:paraId="1E9DF1C1" w14:textId="77777777" w:rsidR="00CD3DE2" w:rsidRDefault="005908EC">
            <w:pPr>
              <w:jc w:val="both"/>
              <w:rPr>
                <w:rFonts w:ascii="Arial" w:hAnsi="Arial" w:cs="Arial"/>
              </w:rPr>
            </w:pPr>
            <w:r>
              <w:rPr>
                <w:rFonts w:ascii="Arial" w:hAnsi="Arial" w:cs="Arial"/>
              </w:rPr>
              <w:t>30.60</w:t>
            </w:r>
          </w:p>
        </w:tc>
      </w:tr>
      <w:tr w:rsidR="00CD3DE2" w14:paraId="7BBA0E97" w14:textId="77777777">
        <w:tc>
          <w:tcPr>
            <w:tcW w:w="817" w:type="dxa"/>
            <w:tcBorders>
              <w:top w:val="nil"/>
              <w:right w:val="nil"/>
            </w:tcBorders>
          </w:tcPr>
          <w:p w14:paraId="1E382716" w14:textId="77777777" w:rsidR="00CD3DE2" w:rsidRDefault="005908EC">
            <w:pPr>
              <w:jc w:val="both"/>
              <w:rPr>
                <w:rFonts w:ascii="Arial" w:hAnsi="Arial" w:cs="Arial"/>
              </w:rPr>
            </w:pPr>
            <w:r>
              <w:rPr>
                <w:rFonts w:ascii="Arial" w:hAnsi="Arial" w:cs="Arial"/>
              </w:rPr>
              <w:t>16</w:t>
            </w:r>
          </w:p>
        </w:tc>
        <w:tc>
          <w:tcPr>
            <w:tcW w:w="5498" w:type="dxa"/>
            <w:tcBorders>
              <w:top w:val="nil"/>
              <w:left w:val="nil"/>
              <w:right w:val="nil"/>
            </w:tcBorders>
          </w:tcPr>
          <w:p w14:paraId="6B403315" w14:textId="77777777" w:rsidR="00CD3DE2" w:rsidRDefault="005908EC">
            <w:pPr>
              <w:jc w:val="both"/>
              <w:rPr>
                <w:rFonts w:ascii="Arial" w:hAnsi="Arial" w:cs="Arial"/>
              </w:rPr>
            </w:pPr>
            <w:r>
              <w:rPr>
                <w:rFonts w:ascii="Arial" w:hAnsi="Arial" w:cs="Arial"/>
              </w:rPr>
              <w:t>Clay( %)</w:t>
            </w:r>
          </w:p>
        </w:tc>
        <w:tc>
          <w:tcPr>
            <w:tcW w:w="3158" w:type="dxa"/>
            <w:tcBorders>
              <w:top w:val="nil"/>
              <w:left w:val="nil"/>
            </w:tcBorders>
          </w:tcPr>
          <w:p w14:paraId="18F4A065" w14:textId="77777777" w:rsidR="00CD3DE2" w:rsidRDefault="005908EC">
            <w:pPr>
              <w:jc w:val="both"/>
              <w:rPr>
                <w:rFonts w:ascii="Arial" w:hAnsi="Arial" w:cs="Arial"/>
              </w:rPr>
            </w:pPr>
            <w:r>
              <w:rPr>
                <w:rFonts w:ascii="Arial" w:hAnsi="Arial" w:cs="Arial"/>
              </w:rPr>
              <w:t>7.86</w:t>
            </w:r>
          </w:p>
        </w:tc>
      </w:tr>
    </w:tbl>
    <w:p w14:paraId="2BCEB722" w14:textId="77777777" w:rsidR="00CD3DE2" w:rsidRDefault="005908EC">
      <w:pPr>
        <w:jc w:val="both"/>
        <w:rPr>
          <w:rFonts w:ascii="Arial" w:hAnsi="Arial" w:cs="Arial"/>
          <w:sz w:val="18"/>
          <w:szCs w:val="18"/>
        </w:rPr>
      </w:pPr>
      <w:r>
        <w:rPr>
          <w:rFonts w:ascii="Arial" w:hAnsi="Arial" w:cs="Arial"/>
          <w:b/>
        </w:rPr>
        <w:t>*</w:t>
      </w:r>
      <w:r>
        <w:rPr>
          <w:rFonts w:ascii="Times New Roman" w:hAnsi="Times New Roman"/>
        </w:rPr>
        <w:t xml:space="preserve"> </w:t>
      </w:r>
      <w:r>
        <w:rPr>
          <w:rFonts w:ascii="Arial" w:hAnsi="Arial" w:cs="Arial"/>
          <w:sz w:val="18"/>
          <w:szCs w:val="18"/>
        </w:rPr>
        <w:t>Mg/Kg: Milligram per Kilogram; Mn: Manganese; Cu: Copper; As: Arsenic; Cr: Chromium</w:t>
      </w:r>
    </w:p>
    <w:p w14:paraId="34546BFE" w14:textId="77777777" w:rsidR="00CD3DE2" w:rsidRDefault="005908EC">
      <w:pPr>
        <w:jc w:val="both"/>
        <w:rPr>
          <w:rFonts w:ascii="Arial" w:hAnsi="Arial" w:cs="Arial"/>
          <w:sz w:val="18"/>
          <w:szCs w:val="18"/>
        </w:rPr>
      </w:pPr>
      <w:r>
        <w:rPr>
          <w:rFonts w:ascii="Arial" w:hAnsi="Arial" w:cs="Arial"/>
          <w:sz w:val="18"/>
          <w:szCs w:val="18"/>
        </w:rPr>
        <w:t xml:space="preserve">% : Percentage; </w:t>
      </w:r>
      <w:proofErr w:type="spellStart"/>
      <w:r>
        <w:rPr>
          <w:rFonts w:ascii="Arial" w:hAnsi="Arial" w:cs="Arial"/>
          <w:sz w:val="18"/>
          <w:szCs w:val="18"/>
        </w:rPr>
        <w:t>μs</w:t>
      </w:r>
      <w:proofErr w:type="spellEnd"/>
      <w:r>
        <w:rPr>
          <w:rFonts w:ascii="Arial" w:hAnsi="Arial" w:cs="Arial"/>
          <w:sz w:val="18"/>
          <w:szCs w:val="18"/>
        </w:rPr>
        <w:t xml:space="preserve">/ cm: </w:t>
      </w:r>
      <w:proofErr w:type="spellStart"/>
      <w:r>
        <w:rPr>
          <w:rFonts w:ascii="Arial" w:hAnsi="Arial" w:cs="Arial"/>
          <w:sz w:val="18"/>
          <w:szCs w:val="18"/>
        </w:rPr>
        <w:t>Microsiemens</w:t>
      </w:r>
      <w:proofErr w:type="spellEnd"/>
      <w:r>
        <w:rPr>
          <w:rFonts w:ascii="Arial" w:hAnsi="Arial" w:cs="Arial"/>
          <w:sz w:val="18"/>
          <w:szCs w:val="18"/>
        </w:rPr>
        <w:t xml:space="preserve"> </w:t>
      </w:r>
      <w:proofErr w:type="spellStart"/>
      <w:r>
        <w:rPr>
          <w:rFonts w:ascii="Arial" w:hAnsi="Arial" w:cs="Arial"/>
          <w:sz w:val="18"/>
          <w:szCs w:val="18"/>
        </w:rPr>
        <w:t>percentimetre</w:t>
      </w:r>
      <w:proofErr w:type="spellEnd"/>
    </w:p>
    <w:p w14:paraId="25BFC48B" w14:textId="77777777" w:rsidR="00CD3DE2" w:rsidRDefault="00CD3DE2">
      <w:pPr>
        <w:spacing w:line="360" w:lineRule="auto"/>
        <w:jc w:val="both"/>
        <w:rPr>
          <w:rFonts w:ascii="Arial" w:hAnsi="Arial" w:cs="Arial"/>
          <w:b/>
          <w:sz w:val="18"/>
          <w:szCs w:val="18"/>
        </w:rPr>
      </w:pPr>
    </w:p>
    <w:p w14:paraId="48E3D718" w14:textId="77777777" w:rsidR="00CD3DE2" w:rsidRDefault="005908EC">
      <w:pPr>
        <w:spacing w:line="360" w:lineRule="auto"/>
        <w:jc w:val="both"/>
        <w:rPr>
          <w:rFonts w:ascii="Arial" w:hAnsi="Arial" w:cs="Arial"/>
          <w:b/>
        </w:rPr>
      </w:pPr>
      <w:r>
        <w:rPr>
          <w:rFonts w:ascii="Arial" w:hAnsi="Arial" w:cs="Arial"/>
          <w:b/>
        </w:rPr>
        <w:t>3.2 Enumeration of bacterial Isolates from Coal Mine Soil</w:t>
      </w:r>
    </w:p>
    <w:p w14:paraId="67BFA250" w14:textId="77777777" w:rsidR="00CD3DE2" w:rsidRDefault="005908EC">
      <w:pPr>
        <w:jc w:val="both"/>
        <w:rPr>
          <w:rFonts w:ascii="Arial" w:hAnsi="Arial" w:cs="Arial"/>
        </w:rPr>
      </w:pPr>
      <w:r>
        <w:rPr>
          <w:rFonts w:ascii="Arial" w:hAnsi="Arial" w:cs="Arial"/>
        </w:rPr>
        <w:t>The bacterial counts from the coal mine soil are presented in</w:t>
      </w:r>
      <w:r>
        <w:rPr>
          <w:rFonts w:ascii="Arial" w:hAnsi="Arial" w:cs="Arial"/>
          <w:b/>
        </w:rPr>
        <w:t xml:space="preserve"> [</w:t>
      </w:r>
      <w:r>
        <w:rPr>
          <w:rFonts w:ascii="Arial" w:hAnsi="Arial" w:cs="Arial"/>
        </w:rPr>
        <w:t>Table 2]. The total heterotrophic bacteria count (THBC) was 3.5 × 10</w:t>
      </w:r>
      <w:r>
        <w:rPr>
          <w:rFonts w:ascii="Arial" w:hAnsi="Arial" w:cs="Arial"/>
          <w:vertAlign w:val="superscript"/>
        </w:rPr>
        <w:t>-5</w:t>
      </w:r>
      <w:r>
        <w:rPr>
          <w:rFonts w:ascii="Arial" w:hAnsi="Arial" w:cs="Arial"/>
        </w:rPr>
        <w:t xml:space="preserve"> CFU/g.</w:t>
      </w:r>
    </w:p>
    <w:p w14:paraId="3DC2B4CC" w14:textId="77777777" w:rsidR="00CD3DE2" w:rsidRDefault="00CD3DE2">
      <w:pPr>
        <w:pStyle w:val="Body"/>
        <w:spacing w:after="0"/>
        <w:rPr>
          <w:rFonts w:ascii="Arial" w:hAnsi="Arial" w:cs="Arial"/>
        </w:rPr>
      </w:pPr>
    </w:p>
    <w:p w14:paraId="719ED8DD" w14:textId="77777777" w:rsidR="00CD3DE2" w:rsidRDefault="005908EC">
      <w:pPr>
        <w:pStyle w:val="Body"/>
        <w:spacing w:after="0"/>
        <w:rPr>
          <w:rFonts w:ascii="Arial" w:hAnsi="Arial" w:cs="Arial"/>
        </w:rPr>
      </w:pPr>
      <w:r>
        <w:rPr>
          <w:rFonts w:ascii="Arial" w:hAnsi="Arial" w:cs="Arial"/>
          <w:b/>
        </w:rPr>
        <w:t>Table 2. Bacterial population of the CMS</w:t>
      </w:r>
    </w:p>
    <w:p w14:paraId="75F27F8E" w14:textId="77777777" w:rsidR="00CD3DE2" w:rsidRDefault="00CD3DE2">
      <w:pPr>
        <w:pStyle w:val="Body"/>
        <w:spacing w:after="0"/>
        <w:rPr>
          <w:rFonts w:ascii="Arial" w:hAnsi="Arial" w:cs="Arial"/>
        </w:rPr>
      </w:pPr>
    </w:p>
    <w:p w14:paraId="731472BA" w14:textId="77777777" w:rsidR="00CD3DE2" w:rsidRDefault="00CD3DE2">
      <w:pPr>
        <w:pStyle w:val="Body"/>
        <w:spacing w:after="0"/>
        <w:rPr>
          <w:rFonts w:ascii="Arial" w:hAnsi="Arial" w:cs="Arial"/>
        </w:rPr>
      </w:pPr>
    </w:p>
    <w:tbl>
      <w:tblPr>
        <w:tblStyle w:val="ae"/>
        <w:tblW w:w="615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37"/>
        <w:gridCol w:w="3817"/>
      </w:tblGrid>
      <w:tr w:rsidR="00CD3DE2" w14:paraId="5161A0E0" w14:textId="77777777">
        <w:trPr>
          <w:trHeight w:val="1032"/>
        </w:trPr>
        <w:tc>
          <w:tcPr>
            <w:tcW w:w="2337" w:type="dxa"/>
          </w:tcPr>
          <w:p w14:paraId="72824B6B" w14:textId="77777777" w:rsidR="00CD3DE2" w:rsidRDefault="005908EC">
            <w:pPr>
              <w:jc w:val="both"/>
              <w:rPr>
                <w:rFonts w:ascii="Arial" w:hAnsi="Arial" w:cs="Arial"/>
                <w:b/>
              </w:rPr>
            </w:pPr>
            <w:r>
              <w:rPr>
                <w:rFonts w:ascii="Arial" w:hAnsi="Arial" w:cs="Arial"/>
                <w:b/>
              </w:rPr>
              <w:t>Sample</w:t>
            </w:r>
          </w:p>
        </w:tc>
        <w:tc>
          <w:tcPr>
            <w:tcW w:w="3817" w:type="dxa"/>
          </w:tcPr>
          <w:p w14:paraId="0B943FD6" w14:textId="77777777" w:rsidR="00CD3DE2" w:rsidRDefault="005908EC">
            <w:pPr>
              <w:jc w:val="both"/>
              <w:rPr>
                <w:rFonts w:ascii="Arial" w:hAnsi="Arial" w:cs="Arial"/>
                <w:b/>
              </w:rPr>
            </w:pPr>
            <w:r>
              <w:rPr>
                <w:rFonts w:ascii="Arial" w:hAnsi="Arial" w:cs="Arial"/>
                <w:b/>
              </w:rPr>
              <w:t>Total Heterotrophic Bacteria Counts (CFU/g)</w:t>
            </w:r>
          </w:p>
        </w:tc>
      </w:tr>
      <w:tr w:rsidR="00CD3DE2" w14:paraId="5E306693" w14:textId="77777777">
        <w:trPr>
          <w:trHeight w:val="654"/>
        </w:trPr>
        <w:tc>
          <w:tcPr>
            <w:tcW w:w="2337" w:type="dxa"/>
          </w:tcPr>
          <w:p w14:paraId="29658AB1" w14:textId="77777777" w:rsidR="00CD3DE2" w:rsidRDefault="00CD3DE2">
            <w:pPr>
              <w:jc w:val="both"/>
              <w:rPr>
                <w:rFonts w:ascii="Arial" w:hAnsi="Arial" w:cs="Arial"/>
                <w:b/>
              </w:rPr>
            </w:pPr>
          </w:p>
          <w:p w14:paraId="37866F8F" w14:textId="77777777" w:rsidR="00CD3DE2" w:rsidRDefault="005908EC">
            <w:pPr>
              <w:jc w:val="both"/>
              <w:rPr>
                <w:rFonts w:ascii="Arial" w:hAnsi="Arial" w:cs="Arial"/>
                <w:bCs/>
              </w:rPr>
            </w:pPr>
            <w:r>
              <w:rPr>
                <w:rFonts w:ascii="Arial" w:hAnsi="Arial" w:cs="Arial"/>
                <w:bCs/>
              </w:rPr>
              <w:t xml:space="preserve">Coal mine </w:t>
            </w:r>
          </w:p>
          <w:p w14:paraId="3B7290D3" w14:textId="77777777" w:rsidR="00CD3DE2" w:rsidRDefault="005908EC">
            <w:pPr>
              <w:jc w:val="both"/>
              <w:rPr>
                <w:rFonts w:ascii="Arial" w:hAnsi="Arial" w:cs="Arial"/>
                <w:b/>
              </w:rPr>
            </w:pPr>
            <w:r>
              <w:rPr>
                <w:rFonts w:ascii="Arial" w:hAnsi="Arial" w:cs="Arial"/>
                <w:bCs/>
              </w:rPr>
              <w:t>soil</w:t>
            </w:r>
          </w:p>
        </w:tc>
        <w:tc>
          <w:tcPr>
            <w:tcW w:w="3817" w:type="dxa"/>
          </w:tcPr>
          <w:p w14:paraId="352ABA42" w14:textId="77777777" w:rsidR="00CD3DE2" w:rsidRDefault="00CD3DE2">
            <w:pPr>
              <w:jc w:val="both"/>
              <w:rPr>
                <w:rFonts w:ascii="Arial" w:hAnsi="Arial" w:cs="Arial"/>
                <w:b/>
              </w:rPr>
            </w:pPr>
          </w:p>
          <w:p w14:paraId="43383404" w14:textId="77777777" w:rsidR="00CD3DE2" w:rsidRDefault="005908EC">
            <w:pPr>
              <w:jc w:val="both"/>
              <w:rPr>
                <w:rFonts w:ascii="Arial" w:hAnsi="Arial" w:cs="Arial"/>
                <w:b/>
              </w:rPr>
            </w:pPr>
            <w:r>
              <w:rPr>
                <w:rFonts w:ascii="Arial" w:hAnsi="Arial" w:cs="Arial"/>
              </w:rPr>
              <w:t>3.5</w:t>
            </w:r>
            <w:r>
              <w:rPr>
                <w:rFonts w:ascii="Arial" w:hAnsi="Arial" w:cs="Arial"/>
                <w:b/>
              </w:rPr>
              <w:t xml:space="preserve"> </w:t>
            </w:r>
            <w:r>
              <w:rPr>
                <w:rFonts w:ascii="Arial" w:hAnsi="Arial" w:cs="Arial"/>
              </w:rPr>
              <w:t>× 10</w:t>
            </w:r>
            <w:r>
              <w:rPr>
                <w:rFonts w:ascii="Arial" w:hAnsi="Arial" w:cs="Arial"/>
                <w:vertAlign w:val="superscript"/>
              </w:rPr>
              <w:t>5</w:t>
            </w:r>
          </w:p>
        </w:tc>
      </w:tr>
    </w:tbl>
    <w:p w14:paraId="01DC0F8A" w14:textId="77777777" w:rsidR="00CD3DE2" w:rsidRDefault="005908EC">
      <w:pPr>
        <w:pStyle w:val="Body"/>
        <w:spacing w:after="0"/>
        <w:rPr>
          <w:rFonts w:ascii="Arial" w:hAnsi="Arial" w:cs="Arial"/>
          <w:sz w:val="18"/>
          <w:szCs w:val="18"/>
        </w:rPr>
      </w:pPr>
      <w:r>
        <w:rPr>
          <w:rFonts w:ascii="Arial" w:hAnsi="Arial" w:cs="Arial"/>
          <w:sz w:val="18"/>
          <w:szCs w:val="18"/>
        </w:rPr>
        <w:t>*</w:t>
      </w:r>
      <w:r>
        <w:rPr>
          <w:rFonts w:ascii="Times New Roman" w:hAnsi="Times New Roman"/>
          <w:b/>
          <w:bCs/>
          <w:sz w:val="18"/>
          <w:szCs w:val="18"/>
        </w:rPr>
        <w:t xml:space="preserve"> </w:t>
      </w:r>
      <w:r>
        <w:rPr>
          <w:rFonts w:ascii="Arial" w:hAnsi="Arial" w:cs="Arial"/>
          <w:sz w:val="18"/>
          <w:szCs w:val="18"/>
        </w:rPr>
        <w:t>CFU/g: Colony forming unit per gram</w:t>
      </w:r>
    </w:p>
    <w:p w14:paraId="724CD774" w14:textId="77777777" w:rsidR="00CD3DE2" w:rsidRDefault="00CD3DE2">
      <w:pPr>
        <w:pStyle w:val="Body"/>
        <w:spacing w:after="0"/>
        <w:rPr>
          <w:rFonts w:ascii="Arial" w:hAnsi="Arial" w:cs="Arial"/>
          <w:sz w:val="16"/>
          <w:szCs w:val="16"/>
        </w:rPr>
      </w:pPr>
    </w:p>
    <w:p w14:paraId="08F2716F" w14:textId="77777777" w:rsidR="00CD3DE2" w:rsidRDefault="005908EC">
      <w:pPr>
        <w:tabs>
          <w:tab w:val="left" w:pos="5554"/>
        </w:tabs>
        <w:spacing w:line="480" w:lineRule="auto"/>
        <w:jc w:val="both"/>
        <w:rPr>
          <w:rFonts w:ascii="Arial" w:hAnsi="Arial" w:cs="Arial"/>
          <w:b/>
        </w:rPr>
      </w:pPr>
      <w:r>
        <w:rPr>
          <w:rFonts w:ascii="Arial" w:hAnsi="Arial" w:cs="Arial"/>
          <w:b/>
          <w:bCs/>
        </w:rPr>
        <w:t>3.3 Morphological properties of bacterial isolates</w:t>
      </w:r>
      <w:r>
        <w:rPr>
          <w:rFonts w:ascii="Arial" w:hAnsi="Arial" w:cs="Arial"/>
          <w:b/>
          <w:bCs/>
        </w:rPr>
        <w:tab/>
      </w:r>
    </w:p>
    <w:p w14:paraId="57F67648" w14:textId="77777777" w:rsidR="00CD3DE2" w:rsidRDefault="005908EC">
      <w:pPr>
        <w:jc w:val="both"/>
        <w:rPr>
          <w:rFonts w:ascii="Arial" w:hAnsi="Arial" w:cs="Arial"/>
        </w:rPr>
      </w:pPr>
      <w:r>
        <w:rPr>
          <w:rFonts w:ascii="Arial" w:hAnsi="Arial" w:cs="Arial"/>
        </w:rPr>
        <w:t>The morphological properties of the bacterial isolates from the coal mine soil are displayed in [Table 3]. Also the colonial morphology of the bacterium that tested positive for IAA production is presented in [Plate 2].</w:t>
      </w:r>
    </w:p>
    <w:p w14:paraId="25248286" w14:textId="77777777" w:rsidR="00CD3DE2" w:rsidRDefault="00CD3DE2">
      <w:pPr>
        <w:pStyle w:val="Heading31"/>
        <w:spacing w:line="240" w:lineRule="auto"/>
        <w:jc w:val="both"/>
        <w:rPr>
          <w:rStyle w:val="ad"/>
          <w:rFonts w:ascii="Arial" w:eastAsia="Times New Roman" w:hAnsi="Arial" w:cs="Arial"/>
          <w:color w:val="000000"/>
          <w:sz w:val="20"/>
          <w:szCs w:val="20"/>
        </w:rPr>
      </w:pPr>
    </w:p>
    <w:p w14:paraId="04B00468" w14:textId="77777777" w:rsidR="00CD3DE2" w:rsidRDefault="00CD3DE2">
      <w:pPr>
        <w:rPr>
          <w:rStyle w:val="ad"/>
          <w:rFonts w:ascii="Arial" w:hAnsi="Arial" w:cs="Arial"/>
          <w:color w:val="000000"/>
        </w:rPr>
      </w:pPr>
    </w:p>
    <w:p w14:paraId="6FA5C652" w14:textId="77777777" w:rsidR="00CD3DE2" w:rsidRDefault="00CD3DE2">
      <w:pPr>
        <w:rPr>
          <w:rStyle w:val="ad"/>
          <w:rFonts w:ascii="Arial" w:hAnsi="Arial" w:cs="Arial"/>
          <w:color w:val="000000"/>
        </w:rPr>
      </w:pPr>
    </w:p>
    <w:p w14:paraId="45B62F00" w14:textId="77777777" w:rsidR="00CD3DE2" w:rsidRDefault="005908EC">
      <w:pPr>
        <w:pStyle w:val="Heading31"/>
        <w:spacing w:line="240" w:lineRule="auto"/>
        <w:jc w:val="both"/>
        <w:rPr>
          <w:rFonts w:ascii="Arial" w:eastAsia="Times New Roman" w:hAnsi="Arial" w:cs="Arial"/>
          <w:b/>
          <w:color w:val="000000"/>
          <w:sz w:val="20"/>
          <w:szCs w:val="20"/>
        </w:rPr>
      </w:pPr>
      <w:r>
        <w:rPr>
          <w:rStyle w:val="ad"/>
          <w:rFonts w:ascii="Arial" w:eastAsia="Times New Roman" w:hAnsi="Arial" w:cs="Arial"/>
          <w:color w:val="000000"/>
          <w:sz w:val="20"/>
          <w:szCs w:val="20"/>
        </w:rPr>
        <w:t xml:space="preserve">Table </w:t>
      </w:r>
      <w:r>
        <w:rPr>
          <w:rStyle w:val="ad"/>
          <w:rFonts w:ascii="Arial" w:eastAsia="Times New Roman" w:hAnsi="Arial" w:cs="Arial"/>
          <w:color w:val="000000"/>
          <w:sz w:val="20"/>
          <w:szCs w:val="20"/>
          <w:lang w:val="en-US"/>
        </w:rPr>
        <w:t>3.</w:t>
      </w:r>
      <w:r>
        <w:rPr>
          <w:rStyle w:val="ad"/>
          <w:rFonts w:ascii="Arial" w:eastAsia="Times New Roman" w:hAnsi="Arial" w:cs="Arial"/>
          <w:color w:val="000000"/>
          <w:sz w:val="20"/>
          <w:szCs w:val="20"/>
        </w:rPr>
        <w:t xml:space="preserve"> Morphological characteristics of bacterial isolates from coal mine soil</w:t>
      </w:r>
    </w:p>
    <w:p w14:paraId="7935EC89" w14:textId="77777777" w:rsidR="00CD3DE2" w:rsidRDefault="00CD3DE2">
      <w:pPr>
        <w:pStyle w:val="Body"/>
        <w:spacing w:after="0"/>
        <w:rPr>
          <w:rFonts w:ascii="Arial" w:hAnsi="Arial" w:cs="Arial"/>
        </w:rPr>
      </w:pPr>
    </w:p>
    <w:tbl>
      <w:tblPr>
        <w:tblStyle w:val="ae"/>
        <w:tblW w:w="957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1680"/>
        <w:gridCol w:w="1359"/>
        <w:gridCol w:w="1461"/>
        <w:gridCol w:w="1380"/>
        <w:gridCol w:w="1911"/>
      </w:tblGrid>
      <w:tr w:rsidR="00CD3DE2" w14:paraId="35196692" w14:textId="77777777">
        <w:trPr>
          <w:trHeight w:val="1007"/>
        </w:trPr>
        <w:tc>
          <w:tcPr>
            <w:tcW w:w="1785" w:type="dxa"/>
            <w:tcBorders>
              <w:top w:val="single" w:sz="4" w:space="0" w:color="auto"/>
              <w:bottom w:val="single" w:sz="4" w:space="0" w:color="auto"/>
            </w:tcBorders>
            <w:vAlign w:val="center"/>
          </w:tcPr>
          <w:p w14:paraId="24C0464C" w14:textId="77777777" w:rsidR="00CD3DE2" w:rsidRDefault="005908EC">
            <w:pPr>
              <w:widowControl w:val="0"/>
              <w:jc w:val="center"/>
              <w:rPr>
                <w:rFonts w:ascii="Arial" w:hAnsi="Arial" w:cs="Arial"/>
                <w:b/>
                <w:bCs/>
              </w:rPr>
            </w:pPr>
            <w:r>
              <w:rPr>
                <w:rFonts w:ascii="Arial" w:hAnsi="Arial" w:cs="Arial"/>
                <w:b/>
                <w:bCs/>
              </w:rPr>
              <w:t>Isolate Code</w:t>
            </w:r>
          </w:p>
        </w:tc>
        <w:tc>
          <w:tcPr>
            <w:tcW w:w="1680" w:type="dxa"/>
            <w:tcBorders>
              <w:top w:val="single" w:sz="4" w:space="0" w:color="auto"/>
              <w:bottom w:val="single" w:sz="4" w:space="0" w:color="auto"/>
            </w:tcBorders>
            <w:vAlign w:val="center"/>
          </w:tcPr>
          <w:p w14:paraId="7F559544" w14:textId="77777777" w:rsidR="00CD3DE2" w:rsidRDefault="005908EC">
            <w:pPr>
              <w:widowControl w:val="0"/>
              <w:jc w:val="center"/>
              <w:rPr>
                <w:rFonts w:ascii="Arial" w:hAnsi="Arial" w:cs="Arial"/>
                <w:b/>
                <w:bCs/>
              </w:rPr>
            </w:pPr>
            <w:r>
              <w:rPr>
                <w:rFonts w:ascii="Arial" w:hAnsi="Arial" w:cs="Arial"/>
                <w:b/>
                <w:bCs/>
              </w:rPr>
              <w:t xml:space="preserve">Colony </w:t>
            </w:r>
            <w:proofErr w:type="spellStart"/>
            <w:r>
              <w:rPr>
                <w:rFonts w:ascii="Arial" w:hAnsi="Arial" w:cs="Arial"/>
                <w:b/>
                <w:bCs/>
              </w:rPr>
              <w:t>Colour</w:t>
            </w:r>
            <w:proofErr w:type="spellEnd"/>
          </w:p>
        </w:tc>
        <w:tc>
          <w:tcPr>
            <w:tcW w:w="1359" w:type="dxa"/>
            <w:tcBorders>
              <w:top w:val="single" w:sz="4" w:space="0" w:color="auto"/>
              <w:bottom w:val="single" w:sz="4" w:space="0" w:color="auto"/>
            </w:tcBorders>
            <w:vAlign w:val="center"/>
          </w:tcPr>
          <w:p w14:paraId="114C52BC" w14:textId="77777777" w:rsidR="00CD3DE2" w:rsidRDefault="005908EC">
            <w:pPr>
              <w:widowControl w:val="0"/>
              <w:jc w:val="center"/>
              <w:rPr>
                <w:rFonts w:ascii="Arial" w:hAnsi="Arial" w:cs="Arial"/>
                <w:b/>
                <w:bCs/>
              </w:rPr>
            </w:pPr>
            <w:r>
              <w:rPr>
                <w:rFonts w:ascii="Arial" w:hAnsi="Arial" w:cs="Arial"/>
                <w:b/>
                <w:bCs/>
              </w:rPr>
              <w:t>Colony Size</w:t>
            </w:r>
          </w:p>
        </w:tc>
        <w:tc>
          <w:tcPr>
            <w:tcW w:w="1461" w:type="dxa"/>
            <w:tcBorders>
              <w:top w:val="single" w:sz="4" w:space="0" w:color="auto"/>
              <w:bottom w:val="single" w:sz="4" w:space="0" w:color="auto"/>
            </w:tcBorders>
            <w:vAlign w:val="center"/>
          </w:tcPr>
          <w:p w14:paraId="380EA1AE" w14:textId="77777777" w:rsidR="00CD3DE2" w:rsidRDefault="005908EC">
            <w:pPr>
              <w:widowControl w:val="0"/>
              <w:jc w:val="center"/>
              <w:rPr>
                <w:rFonts w:ascii="Arial" w:hAnsi="Arial" w:cs="Arial"/>
                <w:b/>
                <w:bCs/>
              </w:rPr>
            </w:pPr>
            <w:r>
              <w:rPr>
                <w:rFonts w:ascii="Arial" w:hAnsi="Arial" w:cs="Arial"/>
                <w:b/>
                <w:bCs/>
              </w:rPr>
              <w:t>Colony Elevation</w:t>
            </w:r>
          </w:p>
        </w:tc>
        <w:tc>
          <w:tcPr>
            <w:tcW w:w="1380" w:type="dxa"/>
            <w:tcBorders>
              <w:top w:val="single" w:sz="4" w:space="0" w:color="auto"/>
              <w:bottom w:val="single" w:sz="4" w:space="0" w:color="auto"/>
            </w:tcBorders>
            <w:vAlign w:val="center"/>
          </w:tcPr>
          <w:p w14:paraId="245D7092" w14:textId="77777777" w:rsidR="00CD3DE2" w:rsidRDefault="005908EC">
            <w:pPr>
              <w:widowControl w:val="0"/>
              <w:jc w:val="center"/>
              <w:rPr>
                <w:rFonts w:ascii="Arial" w:hAnsi="Arial" w:cs="Arial"/>
                <w:b/>
                <w:bCs/>
              </w:rPr>
            </w:pPr>
            <w:r>
              <w:rPr>
                <w:rFonts w:ascii="Arial" w:hAnsi="Arial" w:cs="Arial"/>
                <w:b/>
                <w:bCs/>
              </w:rPr>
              <w:t>Colony Edge</w:t>
            </w:r>
          </w:p>
        </w:tc>
        <w:tc>
          <w:tcPr>
            <w:tcW w:w="1911" w:type="dxa"/>
            <w:tcBorders>
              <w:top w:val="single" w:sz="4" w:space="0" w:color="auto"/>
              <w:bottom w:val="single" w:sz="4" w:space="0" w:color="auto"/>
            </w:tcBorders>
            <w:vAlign w:val="center"/>
          </w:tcPr>
          <w:p w14:paraId="2FB45B25" w14:textId="77777777" w:rsidR="00CD3DE2" w:rsidRDefault="005908EC">
            <w:pPr>
              <w:widowControl w:val="0"/>
              <w:jc w:val="center"/>
              <w:rPr>
                <w:rFonts w:ascii="Arial" w:hAnsi="Arial" w:cs="Arial"/>
                <w:b/>
                <w:bCs/>
              </w:rPr>
            </w:pPr>
            <w:r>
              <w:rPr>
                <w:rFonts w:ascii="Arial" w:hAnsi="Arial" w:cs="Arial"/>
                <w:b/>
                <w:bCs/>
              </w:rPr>
              <w:t>Colony Shape</w:t>
            </w:r>
          </w:p>
        </w:tc>
      </w:tr>
      <w:tr w:rsidR="00CD3DE2" w14:paraId="13B45263" w14:textId="77777777">
        <w:tc>
          <w:tcPr>
            <w:tcW w:w="1785" w:type="dxa"/>
            <w:vAlign w:val="center"/>
          </w:tcPr>
          <w:p w14:paraId="2A80B77F" w14:textId="77777777" w:rsidR="00CD3DE2" w:rsidRDefault="005908EC">
            <w:pPr>
              <w:widowControl w:val="0"/>
              <w:jc w:val="center"/>
              <w:rPr>
                <w:rFonts w:ascii="Arial" w:hAnsi="Arial" w:cs="Arial"/>
              </w:rPr>
            </w:pPr>
            <w:r>
              <w:rPr>
                <w:rFonts w:ascii="Arial" w:hAnsi="Arial" w:cs="Arial"/>
              </w:rPr>
              <w:t>CDY</w:t>
            </w:r>
          </w:p>
        </w:tc>
        <w:tc>
          <w:tcPr>
            <w:tcW w:w="1680" w:type="dxa"/>
            <w:vAlign w:val="center"/>
          </w:tcPr>
          <w:p w14:paraId="270C4F6A" w14:textId="77777777" w:rsidR="00CD3DE2" w:rsidRDefault="005908EC">
            <w:pPr>
              <w:widowControl w:val="0"/>
              <w:jc w:val="center"/>
              <w:rPr>
                <w:rFonts w:ascii="Arial" w:hAnsi="Arial" w:cs="Arial"/>
              </w:rPr>
            </w:pPr>
            <w:r>
              <w:rPr>
                <w:rFonts w:ascii="Arial" w:hAnsi="Arial" w:cs="Arial"/>
              </w:rPr>
              <w:t>Dark yellow</w:t>
            </w:r>
          </w:p>
        </w:tc>
        <w:tc>
          <w:tcPr>
            <w:tcW w:w="1359" w:type="dxa"/>
            <w:vAlign w:val="center"/>
          </w:tcPr>
          <w:p w14:paraId="1E4F6BE7"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67EB40F3"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4727A7C8"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575C8703" w14:textId="77777777" w:rsidR="00CD3DE2" w:rsidRDefault="005908EC">
            <w:pPr>
              <w:widowControl w:val="0"/>
              <w:jc w:val="center"/>
              <w:rPr>
                <w:rFonts w:ascii="Arial" w:hAnsi="Arial" w:cs="Arial"/>
              </w:rPr>
            </w:pPr>
            <w:r>
              <w:rPr>
                <w:rFonts w:ascii="Arial" w:hAnsi="Arial" w:cs="Arial"/>
              </w:rPr>
              <w:t>Round</w:t>
            </w:r>
          </w:p>
        </w:tc>
      </w:tr>
      <w:tr w:rsidR="00CD3DE2" w14:paraId="0155D9A0" w14:textId="77777777">
        <w:tc>
          <w:tcPr>
            <w:tcW w:w="1785" w:type="dxa"/>
            <w:vAlign w:val="center"/>
          </w:tcPr>
          <w:p w14:paraId="07C960B5" w14:textId="77777777" w:rsidR="00CD3DE2" w:rsidRDefault="005908EC">
            <w:pPr>
              <w:widowControl w:val="0"/>
              <w:jc w:val="center"/>
              <w:rPr>
                <w:rFonts w:ascii="Arial" w:hAnsi="Arial" w:cs="Arial"/>
              </w:rPr>
            </w:pPr>
            <w:r>
              <w:rPr>
                <w:rFonts w:ascii="Arial" w:hAnsi="Arial" w:cs="Arial"/>
              </w:rPr>
              <w:t>CCWI</w:t>
            </w:r>
          </w:p>
        </w:tc>
        <w:tc>
          <w:tcPr>
            <w:tcW w:w="1680" w:type="dxa"/>
            <w:vAlign w:val="center"/>
          </w:tcPr>
          <w:p w14:paraId="538FB0D5" w14:textId="77777777" w:rsidR="00CD3DE2" w:rsidRDefault="005908EC">
            <w:pPr>
              <w:widowControl w:val="0"/>
              <w:jc w:val="center"/>
              <w:rPr>
                <w:rFonts w:ascii="Arial" w:hAnsi="Arial" w:cs="Arial"/>
              </w:rPr>
            </w:pPr>
            <w:r>
              <w:rPr>
                <w:rFonts w:ascii="Arial" w:hAnsi="Arial" w:cs="Arial"/>
              </w:rPr>
              <w:t>Creamy white</w:t>
            </w:r>
          </w:p>
        </w:tc>
        <w:tc>
          <w:tcPr>
            <w:tcW w:w="1359" w:type="dxa"/>
            <w:vAlign w:val="center"/>
          </w:tcPr>
          <w:p w14:paraId="4A7FB43E"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203298B3"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5018CD43" w14:textId="77777777" w:rsidR="00CD3DE2" w:rsidRDefault="005908EC">
            <w:pPr>
              <w:widowControl w:val="0"/>
              <w:jc w:val="center"/>
              <w:rPr>
                <w:rFonts w:ascii="Arial" w:hAnsi="Arial" w:cs="Arial"/>
              </w:rPr>
            </w:pPr>
            <w:r>
              <w:rPr>
                <w:rFonts w:ascii="Arial" w:hAnsi="Arial" w:cs="Arial"/>
              </w:rPr>
              <w:t>Irregular</w:t>
            </w:r>
          </w:p>
        </w:tc>
        <w:tc>
          <w:tcPr>
            <w:tcW w:w="1911" w:type="dxa"/>
            <w:vAlign w:val="center"/>
          </w:tcPr>
          <w:p w14:paraId="6287730E" w14:textId="77777777" w:rsidR="00CD3DE2" w:rsidRDefault="005908EC">
            <w:pPr>
              <w:widowControl w:val="0"/>
              <w:jc w:val="center"/>
              <w:rPr>
                <w:rFonts w:ascii="Arial" w:hAnsi="Arial" w:cs="Arial"/>
              </w:rPr>
            </w:pPr>
            <w:r>
              <w:rPr>
                <w:rFonts w:ascii="Arial" w:hAnsi="Arial" w:cs="Arial"/>
              </w:rPr>
              <w:t>Round</w:t>
            </w:r>
          </w:p>
        </w:tc>
      </w:tr>
      <w:tr w:rsidR="00CD3DE2" w14:paraId="52E002C7" w14:textId="77777777">
        <w:tc>
          <w:tcPr>
            <w:tcW w:w="1785" w:type="dxa"/>
            <w:vAlign w:val="center"/>
          </w:tcPr>
          <w:p w14:paraId="558A7410" w14:textId="77777777" w:rsidR="00CD3DE2" w:rsidRDefault="005908EC">
            <w:pPr>
              <w:widowControl w:val="0"/>
              <w:jc w:val="center"/>
              <w:rPr>
                <w:rFonts w:ascii="Arial" w:hAnsi="Arial" w:cs="Arial"/>
                <w:bCs/>
              </w:rPr>
            </w:pPr>
            <w:r>
              <w:rPr>
                <w:rFonts w:ascii="Arial" w:hAnsi="Arial" w:cs="Arial"/>
                <w:bCs/>
              </w:rPr>
              <w:t>CLY</w:t>
            </w:r>
          </w:p>
        </w:tc>
        <w:tc>
          <w:tcPr>
            <w:tcW w:w="1680" w:type="dxa"/>
            <w:vAlign w:val="center"/>
          </w:tcPr>
          <w:p w14:paraId="3B9378B5" w14:textId="77777777" w:rsidR="00CD3DE2" w:rsidRDefault="005908EC">
            <w:pPr>
              <w:widowControl w:val="0"/>
              <w:jc w:val="center"/>
              <w:rPr>
                <w:rFonts w:ascii="Arial" w:hAnsi="Arial" w:cs="Arial"/>
              </w:rPr>
            </w:pPr>
            <w:r>
              <w:rPr>
                <w:rFonts w:ascii="Arial" w:hAnsi="Arial" w:cs="Arial"/>
              </w:rPr>
              <w:t>Light yellow</w:t>
            </w:r>
          </w:p>
        </w:tc>
        <w:tc>
          <w:tcPr>
            <w:tcW w:w="1359" w:type="dxa"/>
            <w:vAlign w:val="center"/>
          </w:tcPr>
          <w:p w14:paraId="238A9677" w14:textId="77777777" w:rsidR="00CD3DE2" w:rsidRDefault="005908EC">
            <w:pPr>
              <w:widowControl w:val="0"/>
              <w:jc w:val="center"/>
              <w:rPr>
                <w:rFonts w:ascii="Arial" w:hAnsi="Arial" w:cs="Arial"/>
              </w:rPr>
            </w:pPr>
            <w:r>
              <w:rPr>
                <w:rFonts w:ascii="Arial" w:hAnsi="Arial" w:cs="Arial"/>
              </w:rPr>
              <w:t xml:space="preserve">Small </w:t>
            </w:r>
          </w:p>
        </w:tc>
        <w:tc>
          <w:tcPr>
            <w:tcW w:w="1461" w:type="dxa"/>
            <w:vAlign w:val="center"/>
          </w:tcPr>
          <w:p w14:paraId="16BB1D7D"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2366F81D"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404930C0" w14:textId="77777777" w:rsidR="00CD3DE2" w:rsidRDefault="005908EC">
            <w:pPr>
              <w:widowControl w:val="0"/>
              <w:jc w:val="center"/>
              <w:rPr>
                <w:rFonts w:ascii="Arial" w:hAnsi="Arial" w:cs="Arial"/>
              </w:rPr>
            </w:pPr>
            <w:r>
              <w:rPr>
                <w:rFonts w:ascii="Arial" w:hAnsi="Arial" w:cs="Arial"/>
              </w:rPr>
              <w:t>Round</w:t>
            </w:r>
          </w:p>
        </w:tc>
      </w:tr>
      <w:tr w:rsidR="00CD3DE2" w14:paraId="2F6A3AAE" w14:textId="77777777">
        <w:tc>
          <w:tcPr>
            <w:tcW w:w="1785" w:type="dxa"/>
            <w:vAlign w:val="center"/>
          </w:tcPr>
          <w:p w14:paraId="76D75BA4" w14:textId="77777777" w:rsidR="00CD3DE2" w:rsidRDefault="005908EC">
            <w:pPr>
              <w:widowControl w:val="0"/>
              <w:jc w:val="center"/>
              <w:rPr>
                <w:rFonts w:ascii="Arial" w:hAnsi="Arial" w:cs="Arial"/>
              </w:rPr>
            </w:pPr>
            <w:r>
              <w:rPr>
                <w:rFonts w:ascii="Arial" w:hAnsi="Arial" w:cs="Arial"/>
              </w:rPr>
              <w:t>CY</w:t>
            </w:r>
          </w:p>
        </w:tc>
        <w:tc>
          <w:tcPr>
            <w:tcW w:w="1680" w:type="dxa"/>
            <w:vAlign w:val="center"/>
          </w:tcPr>
          <w:p w14:paraId="3EE38A21" w14:textId="77777777" w:rsidR="00CD3DE2" w:rsidRDefault="005908EC">
            <w:pPr>
              <w:widowControl w:val="0"/>
              <w:jc w:val="center"/>
              <w:rPr>
                <w:rFonts w:ascii="Arial" w:hAnsi="Arial" w:cs="Arial"/>
              </w:rPr>
            </w:pPr>
            <w:r>
              <w:rPr>
                <w:rFonts w:ascii="Arial" w:hAnsi="Arial" w:cs="Arial"/>
              </w:rPr>
              <w:t>Yellow</w:t>
            </w:r>
          </w:p>
        </w:tc>
        <w:tc>
          <w:tcPr>
            <w:tcW w:w="1359" w:type="dxa"/>
            <w:vAlign w:val="center"/>
          </w:tcPr>
          <w:p w14:paraId="3A36EF07" w14:textId="77777777" w:rsidR="00CD3DE2" w:rsidRDefault="005908EC">
            <w:pPr>
              <w:widowControl w:val="0"/>
              <w:jc w:val="center"/>
              <w:rPr>
                <w:rFonts w:ascii="Arial" w:hAnsi="Arial" w:cs="Arial"/>
              </w:rPr>
            </w:pPr>
            <w:r>
              <w:rPr>
                <w:rFonts w:ascii="Arial" w:hAnsi="Arial" w:cs="Arial"/>
              </w:rPr>
              <w:t>Small</w:t>
            </w:r>
          </w:p>
        </w:tc>
        <w:tc>
          <w:tcPr>
            <w:tcW w:w="1461" w:type="dxa"/>
            <w:vAlign w:val="center"/>
          </w:tcPr>
          <w:p w14:paraId="687CAD9E"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121D6A95"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0D8E83FD" w14:textId="77777777" w:rsidR="00CD3DE2" w:rsidRDefault="005908EC">
            <w:pPr>
              <w:widowControl w:val="0"/>
              <w:jc w:val="center"/>
              <w:rPr>
                <w:rFonts w:ascii="Arial" w:hAnsi="Arial" w:cs="Arial"/>
              </w:rPr>
            </w:pPr>
            <w:r>
              <w:rPr>
                <w:rFonts w:ascii="Arial" w:hAnsi="Arial" w:cs="Arial"/>
              </w:rPr>
              <w:t>Round</w:t>
            </w:r>
          </w:p>
        </w:tc>
      </w:tr>
      <w:tr w:rsidR="00CD3DE2" w14:paraId="3175C412" w14:textId="77777777">
        <w:tc>
          <w:tcPr>
            <w:tcW w:w="1785" w:type="dxa"/>
            <w:vAlign w:val="center"/>
          </w:tcPr>
          <w:p w14:paraId="195A00C7" w14:textId="77777777" w:rsidR="00CD3DE2" w:rsidRDefault="005908EC">
            <w:pPr>
              <w:widowControl w:val="0"/>
              <w:jc w:val="center"/>
              <w:rPr>
                <w:rFonts w:ascii="Arial" w:hAnsi="Arial" w:cs="Arial"/>
              </w:rPr>
            </w:pPr>
            <w:r>
              <w:rPr>
                <w:rFonts w:ascii="Arial" w:hAnsi="Arial" w:cs="Arial"/>
              </w:rPr>
              <w:t>CDYI</w:t>
            </w:r>
          </w:p>
        </w:tc>
        <w:tc>
          <w:tcPr>
            <w:tcW w:w="1680" w:type="dxa"/>
            <w:vAlign w:val="center"/>
          </w:tcPr>
          <w:p w14:paraId="2CDC846C" w14:textId="77777777" w:rsidR="00CD3DE2" w:rsidRDefault="005908EC">
            <w:pPr>
              <w:widowControl w:val="0"/>
              <w:jc w:val="center"/>
              <w:rPr>
                <w:rFonts w:ascii="Arial" w:hAnsi="Arial" w:cs="Arial"/>
              </w:rPr>
            </w:pPr>
            <w:r>
              <w:rPr>
                <w:rFonts w:ascii="Arial" w:hAnsi="Arial" w:cs="Arial"/>
              </w:rPr>
              <w:t>Dark yellow</w:t>
            </w:r>
          </w:p>
        </w:tc>
        <w:tc>
          <w:tcPr>
            <w:tcW w:w="1359" w:type="dxa"/>
            <w:vAlign w:val="center"/>
          </w:tcPr>
          <w:p w14:paraId="22D0EA91" w14:textId="77777777" w:rsidR="00CD3DE2" w:rsidRDefault="005908EC">
            <w:pPr>
              <w:widowControl w:val="0"/>
              <w:jc w:val="center"/>
              <w:rPr>
                <w:rFonts w:ascii="Arial" w:hAnsi="Arial" w:cs="Arial"/>
              </w:rPr>
            </w:pPr>
            <w:r>
              <w:rPr>
                <w:rFonts w:ascii="Arial" w:hAnsi="Arial" w:cs="Arial"/>
              </w:rPr>
              <w:t>Small</w:t>
            </w:r>
          </w:p>
        </w:tc>
        <w:tc>
          <w:tcPr>
            <w:tcW w:w="1461" w:type="dxa"/>
            <w:vAlign w:val="center"/>
          </w:tcPr>
          <w:p w14:paraId="43C39385"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40FF1CCC" w14:textId="77777777" w:rsidR="00CD3DE2" w:rsidRDefault="005908EC">
            <w:pPr>
              <w:widowControl w:val="0"/>
              <w:jc w:val="center"/>
              <w:rPr>
                <w:rFonts w:ascii="Arial" w:hAnsi="Arial" w:cs="Arial"/>
              </w:rPr>
            </w:pPr>
            <w:r>
              <w:rPr>
                <w:rFonts w:ascii="Arial" w:hAnsi="Arial" w:cs="Arial"/>
              </w:rPr>
              <w:t>Irregular</w:t>
            </w:r>
          </w:p>
        </w:tc>
        <w:tc>
          <w:tcPr>
            <w:tcW w:w="1911" w:type="dxa"/>
            <w:vAlign w:val="center"/>
          </w:tcPr>
          <w:p w14:paraId="1600A2E4" w14:textId="77777777" w:rsidR="00CD3DE2" w:rsidRDefault="005908EC">
            <w:pPr>
              <w:widowControl w:val="0"/>
              <w:jc w:val="center"/>
              <w:rPr>
                <w:rFonts w:ascii="Arial" w:hAnsi="Arial" w:cs="Arial"/>
              </w:rPr>
            </w:pPr>
            <w:r>
              <w:rPr>
                <w:rFonts w:ascii="Arial" w:hAnsi="Arial" w:cs="Arial"/>
              </w:rPr>
              <w:t>Round</w:t>
            </w:r>
          </w:p>
        </w:tc>
      </w:tr>
      <w:tr w:rsidR="00CD3DE2" w14:paraId="6A184A9A" w14:textId="77777777">
        <w:tc>
          <w:tcPr>
            <w:tcW w:w="1785" w:type="dxa"/>
            <w:vAlign w:val="center"/>
          </w:tcPr>
          <w:p w14:paraId="0DEFA5B5" w14:textId="77777777" w:rsidR="00CD3DE2" w:rsidRDefault="005908EC">
            <w:pPr>
              <w:widowControl w:val="0"/>
              <w:jc w:val="center"/>
              <w:rPr>
                <w:rFonts w:ascii="Arial" w:hAnsi="Arial" w:cs="Arial"/>
              </w:rPr>
            </w:pPr>
            <w:r>
              <w:rPr>
                <w:rFonts w:ascii="Arial" w:hAnsi="Arial" w:cs="Arial"/>
              </w:rPr>
              <w:t>CCWR</w:t>
            </w:r>
          </w:p>
        </w:tc>
        <w:tc>
          <w:tcPr>
            <w:tcW w:w="1680" w:type="dxa"/>
            <w:vAlign w:val="center"/>
          </w:tcPr>
          <w:p w14:paraId="3DB4C8F3" w14:textId="77777777" w:rsidR="00CD3DE2" w:rsidRDefault="005908EC">
            <w:pPr>
              <w:widowControl w:val="0"/>
              <w:jc w:val="center"/>
              <w:rPr>
                <w:rFonts w:ascii="Arial" w:hAnsi="Arial" w:cs="Arial"/>
              </w:rPr>
            </w:pPr>
            <w:r>
              <w:rPr>
                <w:rFonts w:ascii="Arial" w:hAnsi="Arial" w:cs="Arial"/>
              </w:rPr>
              <w:t>Creamy white</w:t>
            </w:r>
          </w:p>
        </w:tc>
        <w:tc>
          <w:tcPr>
            <w:tcW w:w="1359" w:type="dxa"/>
            <w:vAlign w:val="center"/>
          </w:tcPr>
          <w:p w14:paraId="5B8DF4F5"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6FFB3D4F"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146BE588"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0A514031" w14:textId="77777777" w:rsidR="00CD3DE2" w:rsidRDefault="005908EC">
            <w:pPr>
              <w:widowControl w:val="0"/>
              <w:jc w:val="center"/>
              <w:rPr>
                <w:rFonts w:ascii="Arial" w:hAnsi="Arial" w:cs="Arial"/>
              </w:rPr>
            </w:pPr>
            <w:r>
              <w:rPr>
                <w:rFonts w:ascii="Arial" w:hAnsi="Arial" w:cs="Arial"/>
              </w:rPr>
              <w:t>Round</w:t>
            </w:r>
          </w:p>
        </w:tc>
      </w:tr>
      <w:tr w:rsidR="00CD3DE2" w14:paraId="6C1F0ECA" w14:textId="77777777">
        <w:tc>
          <w:tcPr>
            <w:tcW w:w="1785" w:type="dxa"/>
            <w:vAlign w:val="center"/>
          </w:tcPr>
          <w:p w14:paraId="40F2D5A1" w14:textId="77777777" w:rsidR="00CD3DE2" w:rsidRDefault="005908EC">
            <w:pPr>
              <w:widowControl w:val="0"/>
              <w:jc w:val="center"/>
              <w:rPr>
                <w:rFonts w:ascii="Arial" w:hAnsi="Arial" w:cs="Arial"/>
              </w:rPr>
            </w:pPr>
            <w:r>
              <w:rPr>
                <w:rFonts w:ascii="Arial" w:hAnsi="Arial" w:cs="Arial"/>
              </w:rPr>
              <w:t>CCW</w:t>
            </w:r>
          </w:p>
        </w:tc>
        <w:tc>
          <w:tcPr>
            <w:tcW w:w="1680" w:type="dxa"/>
            <w:vAlign w:val="center"/>
          </w:tcPr>
          <w:p w14:paraId="3EFA599B" w14:textId="77777777" w:rsidR="00CD3DE2" w:rsidRDefault="005908EC">
            <w:pPr>
              <w:widowControl w:val="0"/>
              <w:jc w:val="center"/>
              <w:rPr>
                <w:rFonts w:ascii="Arial" w:hAnsi="Arial" w:cs="Arial"/>
              </w:rPr>
            </w:pPr>
            <w:r>
              <w:rPr>
                <w:rFonts w:ascii="Arial" w:hAnsi="Arial" w:cs="Arial"/>
              </w:rPr>
              <w:t xml:space="preserve">Creamy White </w:t>
            </w:r>
          </w:p>
        </w:tc>
        <w:tc>
          <w:tcPr>
            <w:tcW w:w="1359" w:type="dxa"/>
            <w:vAlign w:val="center"/>
          </w:tcPr>
          <w:p w14:paraId="254C5A2A" w14:textId="77777777" w:rsidR="00CD3DE2" w:rsidRDefault="005908EC">
            <w:pPr>
              <w:widowControl w:val="0"/>
              <w:jc w:val="center"/>
              <w:rPr>
                <w:rFonts w:ascii="Arial" w:hAnsi="Arial" w:cs="Arial"/>
              </w:rPr>
            </w:pPr>
            <w:r>
              <w:rPr>
                <w:rFonts w:ascii="Arial" w:hAnsi="Arial" w:cs="Arial"/>
              </w:rPr>
              <w:t>Large</w:t>
            </w:r>
          </w:p>
        </w:tc>
        <w:tc>
          <w:tcPr>
            <w:tcW w:w="1461" w:type="dxa"/>
            <w:vAlign w:val="center"/>
          </w:tcPr>
          <w:p w14:paraId="7D2BC257" w14:textId="77777777" w:rsidR="00CD3DE2" w:rsidRDefault="005908EC">
            <w:pPr>
              <w:widowControl w:val="0"/>
              <w:jc w:val="center"/>
              <w:rPr>
                <w:rFonts w:ascii="Arial" w:hAnsi="Arial" w:cs="Arial"/>
              </w:rPr>
            </w:pPr>
            <w:r>
              <w:rPr>
                <w:rFonts w:ascii="Arial" w:hAnsi="Arial" w:cs="Arial"/>
              </w:rPr>
              <w:t>Raised</w:t>
            </w:r>
          </w:p>
        </w:tc>
        <w:tc>
          <w:tcPr>
            <w:tcW w:w="1380" w:type="dxa"/>
            <w:vAlign w:val="center"/>
          </w:tcPr>
          <w:p w14:paraId="12CB6F95" w14:textId="77777777" w:rsidR="00CD3DE2" w:rsidRDefault="005908EC">
            <w:pPr>
              <w:widowControl w:val="0"/>
              <w:jc w:val="center"/>
              <w:rPr>
                <w:rFonts w:ascii="Arial" w:hAnsi="Arial" w:cs="Arial"/>
              </w:rPr>
            </w:pPr>
            <w:r>
              <w:rPr>
                <w:rFonts w:ascii="Arial" w:hAnsi="Arial" w:cs="Arial"/>
              </w:rPr>
              <w:t>Entire</w:t>
            </w:r>
          </w:p>
        </w:tc>
        <w:tc>
          <w:tcPr>
            <w:tcW w:w="1911" w:type="dxa"/>
            <w:vAlign w:val="center"/>
          </w:tcPr>
          <w:p w14:paraId="218450DE" w14:textId="77777777" w:rsidR="00CD3DE2" w:rsidRDefault="005908EC">
            <w:pPr>
              <w:widowControl w:val="0"/>
              <w:jc w:val="center"/>
              <w:rPr>
                <w:rFonts w:ascii="Arial" w:hAnsi="Arial" w:cs="Arial"/>
              </w:rPr>
            </w:pPr>
            <w:r>
              <w:rPr>
                <w:rFonts w:ascii="Arial" w:hAnsi="Arial" w:cs="Arial"/>
              </w:rPr>
              <w:t>Round</w:t>
            </w:r>
          </w:p>
        </w:tc>
      </w:tr>
    </w:tbl>
    <w:p w14:paraId="7E8759C9" w14:textId="77777777" w:rsidR="00CD3DE2" w:rsidRDefault="00CD3DE2">
      <w:pPr>
        <w:pStyle w:val="Body"/>
        <w:spacing w:after="0"/>
        <w:rPr>
          <w:rFonts w:ascii="Arial" w:hAnsi="Arial" w:cs="Arial"/>
        </w:rPr>
      </w:pPr>
    </w:p>
    <w:p w14:paraId="298C5E58" w14:textId="77777777" w:rsidR="00CD3DE2" w:rsidRDefault="00CD3DE2">
      <w:pPr>
        <w:pStyle w:val="Body"/>
        <w:spacing w:after="0"/>
        <w:rPr>
          <w:rFonts w:ascii="Arial" w:hAnsi="Arial" w:cs="Arial"/>
        </w:rPr>
      </w:pPr>
    </w:p>
    <w:p w14:paraId="090C2638" w14:textId="77777777" w:rsidR="00CD3DE2" w:rsidRDefault="005908EC">
      <w:pPr>
        <w:spacing w:line="480" w:lineRule="auto"/>
        <w:jc w:val="both"/>
        <w:rPr>
          <w:rFonts w:ascii="Arial" w:hAnsi="Arial" w:cs="Arial"/>
          <w:b/>
          <w:bCs/>
        </w:rPr>
      </w:pPr>
      <w:r>
        <w:rPr>
          <w:rFonts w:ascii="Arial" w:hAnsi="Arial" w:cs="Arial"/>
          <w:b/>
          <w:bCs/>
        </w:rPr>
        <w:lastRenderedPageBreak/>
        <w:t>3.5. Plant growth promoting traits of the bacterial isolates</w:t>
      </w:r>
    </w:p>
    <w:p w14:paraId="3222FA6D" w14:textId="77777777" w:rsidR="00CD3DE2" w:rsidRDefault="005908EC">
      <w:pPr>
        <w:jc w:val="both"/>
        <w:rPr>
          <w:rFonts w:ascii="Arial" w:hAnsi="Arial" w:cs="Arial"/>
          <w:bCs/>
        </w:rPr>
      </w:pPr>
      <w:r>
        <w:rPr>
          <w:rFonts w:ascii="Arial" w:hAnsi="Arial" w:cs="Arial"/>
          <w:bCs/>
        </w:rPr>
        <w:t>Bacterial isolates with plant growth promoting traits (indole-3-acetic acid production and phosphate solubilization) are presented in [Table  4 and  Plate 1].</w:t>
      </w:r>
    </w:p>
    <w:p w14:paraId="02EDF766" w14:textId="77777777" w:rsidR="00CD3DE2" w:rsidRDefault="00CD3DE2">
      <w:pPr>
        <w:rPr>
          <w:rFonts w:ascii="Arial" w:hAnsi="Arial" w:cs="Arial"/>
          <w:b/>
        </w:rPr>
      </w:pPr>
    </w:p>
    <w:p w14:paraId="7E38C8AF" w14:textId="77777777" w:rsidR="00CD3DE2" w:rsidRDefault="005908EC">
      <w:pPr>
        <w:rPr>
          <w:rFonts w:ascii="Arial" w:hAnsi="Arial" w:cs="Arial"/>
          <w:b/>
        </w:rPr>
      </w:pPr>
      <w:r>
        <w:rPr>
          <w:rFonts w:ascii="Arial" w:hAnsi="Arial" w:cs="Arial"/>
          <w:b/>
        </w:rPr>
        <w:t>Table 4: Plant growth promoting traits of the bacterial isolates</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116"/>
        <w:gridCol w:w="2950"/>
        <w:gridCol w:w="2504"/>
      </w:tblGrid>
      <w:tr w:rsidR="00CD3DE2" w14:paraId="5D13C5BC" w14:textId="77777777">
        <w:tc>
          <w:tcPr>
            <w:tcW w:w="854" w:type="dxa"/>
            <w:tcBorders>
              <w:left w:val="nil"/>
              <w:right w:val="nil"/>
            </w:tcBorders>
          </w:tcPr>
          <w:p w14:paraId="6377F077" w14:textId="77777777" w:rsidR="00CD3DE2" w:rsidRDefault="005908EC">
            <w:pPr>
              <w:jc w:val="both"/>
              <w:rPr>
                <w:rFonts w:ascii="Arial" w:hAnsi="Arial" w:cs="Arial"/>
                <w:b/>
              </w:rPr>
            </w:pPr>
            <w:r>
              <w:rPr>
                <w:rFonts w:ascii="Arial" w:hAnsi="Arial" w:cs="Arial"/>
                <w:b/>
              </w:rPr>
              <w:t>S/N</w:t>
            </w:r>
          </w:p>
        </w:tc>
        <w:tc>
          <w:tcPr>
            <w:tcW w:w="2116" w:type="dxa"/>
            <w:tcBorders>
              <w:left w:val="nil"/>
              <w:right w:val="nil"/>
            </w:tcBorders>
          </w:tcPr>
          <w:p w14:paraId="0B50DEA0" w14:textId="77777777" w:rsidR="00CD3DE2" w:rsidRDefault="005908EC">
            <w:pPr>
              <w:jc w:val="both"/>
              <w:rPr>
                <w:rFonts w:ascii="Arial" w:hAnsi="Arial" w:cs="Arial"/>
                <w:b/>
              </w:rPr>
            </w:pPr>
            <w:r>
              <w:rPr>
                <w:rFonts w:ascii="Arial" w:hAnsi="Arial" w:cs="Arial"/>
                <w:b/>
              </w:rPr>
              <w:t xml:space="preserve"> Isolate code</w:t>
            </w:r>
          </w:p>
        </w:tc>
        <w:tc>
          <w:tcPr>
            <w:tcW w:w="2950" w:type="dxa"/>
            <w:tcBorders>
              <w:left w:val="nil"/>
              <w:right w:val="nil"/>
            </w:tcBorders>
          </w:tcPr>
          <w:p w14:paraId="387947FD" w14:textId="77777777" w:rsidR="00CD3DE2" w:rsidRDefault="005908EC">
            <w:pPr>
              <w:jc w:val="both"/>
              <w:rPr>
                <w:rFonts w:ascii="Arial" w:hAnsi="Arial" w:cs="Arial"/>
                <w:b/>
              </w:rPr>
            </w:pPr>
            <w:r>
              <w:rPr>
                <w:rFonts w:ascii="Arial" w:hAnsi="Arial" w:cs="Arial"/>
                <w:b/>
              </w:rPr>
              <w:t>Indole-3-acetic acid Production</w:t>
            </w:r>
          </w:p>
        </w:tc>
        <w:tc>
          <w:tcPr>
            <w:tcW w:w="2504" w:type="dxa"/>
            <w:tcBorders>
              <w:left w:val="nil"/>
              <w:right w:val="nil"/>
            </w:tcBorders>
          </w:tcPr>
          <w:p w14:paraId="1FCB80AA" w14:textId="77777777" w:rsidR="00CD3DE2" w:rsidRDefault="005908EC">
            <w:pPr>
              <w:jc w:val="both"/>
              <w:rPr>
                <w:rFonts w:ascii="Arial" w:hAnsi="Arial" w:cs="Arial"/>
                <w:b/>
              </w:rPr>
            </w:pPr>
            <w:r>
              <w:rPr>
                <w:rFonts w:ascii="Arial" w:hAnsi="Arial" w:cs="Arial"/>
                <w:b/>
              </w:rPr>
              <w:t>Phosphate solubilization</w:t>
            </w:r>
          </w:p>
        </w:tc>
      </w:tr>
      <w:tr w:rsidR="00CD3DE2" w14:paraId="7132DBF4" w14:textId="77777777">
        <w:tc>
          <w:tcPr>
            <w:tcW w:w="854" w:type="dxa"/>
            <w:tcBorders>
              <w:left w:val="nil"/>
              <w:bottom w:val="nil"/>
              <w:right w:val="nil"/>
            </w:tcBorders>
          </w:tcPr>
          <w:p w14:paraId="5A959E2E" w14:textId="77777777" w:rsidR="00CD3DE2" w:rsidRDefault="005908EC">
            <w:pPr>
              <w:jc w:val="both"/>
              <w:rPr>
                <w:rFonts w:ascii="Arial" w:hAnsi="Arial" w:cs="Arial"/>
                <w:bCs/>
              </w:rPr>
            </w:pPr>
            <w:r>
              <w:rPr>
                <w:rFonts w:ascii="Arial" w:hAnsi="Arial" w:cs="Arial"/>
                <w:bCs/>
              </w:rPr>
              <w:t>1.</w:t>
            </w:r>
          </w:p>
        </w:tc>
        <w:tc>
          <w:tcPr>
            <w:tcW w:w="2116" w:type="dxa"/>
            <w:tcBorders>
              <w:left w:val="nil"/>
              <w:bottom w:val="nil"/>
              <w:right w:val="nil"/>
            </w:tcBorders>
          </w:tcPr>
          <w:p w14:paraId="38E21F3B" w14:textId="77777777" w:rsidR="00CD3DE2" w:rsidRDefault="005908EC">
            <w:pPr>
              <w:jc w:val="both"/>
              <w:rPr>
                <w:rFonts w:ascii="Arial" w:hAnsi="Arial" w:cs="Arial"/>
                <w:bCs/>
              </w:rPr>
            </w:pPr>
            <w:r>
              <w:rPr>
                <w:rFonts w:ascii="Arial" w:hAnsi="Arial" w:cs="Arial"/>
              </w:rPr>
              <w:t xml:space="preserve"> CCWI      </w:t>
            </w:r>
          </w:p>
        </w:tc>
        <w:tc>
          <w:tcPr>
            <w:tcW w:w="2950" w:type="dxa"/>
            <w:tcBorders>
              <w:left w:val="nil"/>
              <w:bottom w:val="nil"/>
              <w:right w:val="nil"/>
            </w:tcBorders>
          </w:tcPr>
          <w:p w14:paraId="55D4F013"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left w:val="nil"/>
              <w:bottom w:val="nil"/>
              <w:right w:val="nil"/>
            </w:tcBorders>
          </w:tcPr>
          <w:p w14:paraId="650AFA58"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095BFD75" w14:textId="77777777">
        <w:tc>
          <w:tcPr>
            <w:tcW w:w="854" w:type="dxa"/>
            <w:tcBorders>
              <w:top w:val="nil"/>
              <w:left w:val="nil"/>
              <w:bottom w:val="nil"/>
              <w:right w:val="nil"/>
            </w:tcBorders>
          </w:tcPr>
          <w:p w14:paraId="472D259D" w14:textId="77777777" w:rsidR="00CD3DE2" w:rsidRDefault="005908EC">
            <w:pPr>
              <w:jc w:val="both"/>
              <w:rPr>
                <w:rFonts w:ascii="Arial" w:hAnsi="Arial" w:cs="Arial"/>
                <w:bCs/>
              </w:rPr>
            </w:pPr>
            <w:r>
              <w:rPr>
                <w:rFonts w:ascii="Arial" w:hAnsi="Arial" w:cs="Arial"/>
                <w:bCs/>
              </w:rPr>
              <w:t>2.</w:t>
            </w:r>
          </w:p>
        </w:tc>
        <w:tc>
          <w:tcPr>
            <w:tcW w:w="2116" w:type="dxa"/>
            <w:tcBorders>
              <w:top w:val="nil"/>
              <w:left w:val="nil"/>
              <w:bottom w:val="nil"/>
              <w:right w:val="nil"/>
            </w:tcBorders>
          </w:tcPr>
          <w:p w14:paraId="2A08C92F" w14:textId="77777777" w:rsidR="00CD3DE2" w:rsidRDefault="005908EC">
            <w:pPr>
              <w:jc w:val="both"/>
              <w:rPr>
                <w:rFonts w:ascii="Arial" w:hAnsi="Arial" w:cs="Arial"/>
                <w:bCs/>
              </w:rPr>
            </w:pPr>
            <w:r>
              <w:rPr>
                <w:rFonts w:ascii="Arial" w:hAnsi="Arial" w:cs="Arial"/>
              </w:rPr>
              <w:t xml:space="preserve"> CCW     </w:t>
            </w:r>
          </w:p>
        </w:tc>
        <w:tc>
          <w:tcPr>
            <w:tcW w:w="2950" w:type="dxa"/>
            <w:tcBorders>
              <w:top w:val="nil"/>
              <w:left w:val="nil"/>
              <w:bottom w:val="nil"/>
              <w:right w:val="nil"/>
            </w:tcBorders>
          </w:tcPr>
          <w:p w14:paraId="2E1ADF0D"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57EBBA6E"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5B76819F" w14:textId="77777777">
        <w:tc>
          <w:tcPr>
            <w:tcW w:w="854" w:type="dxa"/>
            <w:tcBorders>
              <w:top w:val="nil"/>
              <w:left w:val="nil"/>
              <w:bottom w:val="nil"/>
              <w:right w:val="nil"/>
            </w:tcBorders>
          </w:tcPr>
          <w:p w14:paraId="29172FC5" w14:textId="77777777" w:rsidR="00CD3DE2" w:rsidRDefault="005908EC">
            <w:pPr>
              <w:jc w:val="both"/>
              <w:rPr>
                <w:rFonts w:ascii="Arial" w:hAnsi="Arial" w:cs="Arial"/>
                <w:bCs/>
              </w:rPr>
            </w:pPr>
            <w:r>
              <w:rPr>
                <w:rFonts w:ascii="Arial" w:hAnsi="Arial" w:cs="Arial"/>
                <w:bCs/>
              </w:rPr>
              <w:t>3.</w:t>
            </w:r>
          </w:p>
        </w:tc>
        <w:tc>
          <w:tcPr>
            <w:tcW w:w="2116" w:type="dxa"/>
            <w:tcBorders>
              <w:top w:val="nil"/>
              <w:left w:val="nil"/>
              <w:bottom w:val="nil"/>
              <w:right w:val="nil"/>
            </w:tcBorders>
          </w:tcPr>
          <w:p w14:paraId="7990703B" w14:textId="77777777" w:rsidR="00CD3DE2" w:rsidRDefault="005908EC">
            <w:pPr>
              <w:jc w:val="both"/>
              <w:rPr>
                <w:rFonts w:ascii="Arial" w:hAnsi="Arial" w:cs="Arial"/>
                <w:bCs/>
              </w:rPr>
            </w:pPr>
            <w:r>
              <w:rPr>
                <w:rFonts w:ascii="Arial" w:hAnsi="Arial" w:cs="Arial"/>
              </w:rPr>
              <w:t xml:space="preserve">  CCWR    </w:t>
            </w:r>
          </w:p>
        </w:tc>
        <w:tc>
          <w:tcPr>
            <w:tcW w:w="2950" w:type="dxa"/>
            <w:tcBorders>
              <w:top w:val="nil"/>
              <w:left w:val="nil"/>
              <w:bottom w:val="nil"/>
              <w:right w:val="nil"/>
            </w:tcBorders>
          </w:tcPr>
          <w:p w14:paraId="352E7534"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525329C6"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35B0E380" w14:textId="77777777">
        <w:tc>
          <w:tcPr>
            <w:tcW w:w="854" w:type="dxa"/>
            <w:tcBorders>
              <w:top w:val="nil"/>
              <w:left w:val="nil"/>
              <w:bottom w:val="nil"/>
              <w:right w:val="nil"/>
            </w:tcBorders>
          </w:tcPr>
          <w:p w14:paraId="6C5791CB" w14:textId="77777777" w:rsidR="00CD3DE2" w:rsidRDefault="005908EC">
            <w:pPr>
              <w:jc w:val="both"/>
              <w:rPr>
                <w:rFonts w:ascii="Arial" w:hAnsi="Arial" w:cs="Arial"/>
                <w:bCs/>
              </w:rPr>
            </w:pPr>
            <w:r>
              <w:rPr>
                <w:rFonts w:ascii="Arial" w:hAnsi="Arial" w:cs="Arial"/>
                <w:bCs/>
              </w:rPr>
              <w:t>4.</w:t>
            </w:r>
          </w:p>
        </w:tc>
        <w:tc>
          <w:tcPr>
            <w:tcW w:w="2116" w:type="dxa"/>
            <w:tcBorders>
              <w:top w:val="nil"/>
              <w:left w:val="nil"/>
              <w:bottom w:val="nil"/>
              <w:right w:val="nil"/>
            </w:tcBorders>
          </w:tcPr>
          <w:p w14:paraId="7680FB33" w14:textId="77777777" w:rsidR="00CD3DE2" w:rsidRDefault="005908EC">
            <w:pPr>
              <w:jc w:val="both"/>
              <w:rPr>
                <w:rFonts w:ascii="Arial" w:hAnsi="Arial" w:cs="Arial"/>
                <w:bCs/>
              </w:rPr>
            </w:pPr>
            <w:r>
              <w:rPr>
                <w:rFonts w:ascii="Arial" w:hAnsi="Arial" w:cs="Arial"/>
              </w:rPr>
              <w:t xml:space="preserve"> CDYI         </w:t>
            </w:r>
          </w:p>
        </w:tc>
        <w:tc>
          <w:tcPr>
            <w:tcW w:w="2950" w:type="dxa"/>
            <w:tcBorders>
              <w:top w:val="nil"/>
              <w:left w:val="nil"/>
              <w:bottom w:val="nil"/>
              <w:right w:val="nil"/>
            </w:tcBorders>
          </w:tcPr>
          <w:p w14:paraId="4D31C771"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09BD13E5"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44E739A9" w14:textId="77777777">
        <w:tc>
          <w:tcPr>
            <w:tcW w:w="854" w:type="dxa"/>
            <w:tcBorders>
              <w:top w:val="nil"/>
              <w:left w:val="nil"/>
              <w:bottom w:val="nil"/>
              <w:right w:val="nil"/>
            </w:tcBorders>
          </w:tcPr>
          <w:p w14:paraId="5E147EE3" w14:textId="77777777" w:rsidR="00CD3DE2" w:rsidRDefault="005908EC">
            <w:pPr>
              <w:jc w:val="both"/>
              <w:rPr>
                <w:rFonts w:ascii="Arial" w:hAnsi="Arial" w:cs="Arial"/>
                <w:bCs/>
              </w:rPr>
            </w:pPr>
            <w:r>
              <w:rPr>
                <w:rFonts w:ascii="Arial" w:hAnsi="Arial" w:cs="Arial"/>
                <w:bCs/>
              </w:rPr>
              <w:t>5.</w:t>
            </w:r>
          </w:p>
        </w:tc>
        <w:tc>
          <w:tcPr>
            <w:tcW w:w="2116" w:type="dxa"/>
            <w:tcBorders>
              <w:top w:val="nil"/>
              <w:left w:val="nil"/>
              <w:bottom w:val="nil"/>
              <w:right w:val="nil"/>
            </w:tcBorders>
          </w:tcPr>
          <w:p w14:paraId="5354BF0D" w14:textId="77777777" w:rsidR="00CD3DE2" w:rsidRDefault="005908EC">
            <w:pPr>
              <w:jc w:val="both"/>
              <w:rPr>
                <w:rFonts w:ascii="Arial" w:hAnsi="Arial" w:cs="Arial"/>
                <w:bCs/>
              </w:rPr>
            </w:pPr>
            <w:r>
              <w:rPr>
                <w:rFonts w:ascii="Arial" w:hAnsi="Arial" w:cs="Arial"/>
              </w:rPr>
              <w:t xml:space="preserve"> CDY</w:t>
            </w:r>
          </w:p>
        </w:tc>
        <w:tc>
          <w:tcPr>
            <w:tcW w:w="2950" w:type="dxa"/>
            <w:tcBorders>
              <w:top w:val="nil"/>
              <w:left w:val="nil"/>
              <w:bottom w:val="nil"/>
              <w:right w:val="nil"/>
            </w:tcBorders>
          </w:tcPr>
          <w:p w14:paraId="753247D6" w14:textId="77777777" w:rsidR="00CD3DE2" w:rsidRDefault="005908EC">
            <w:pPr>
              <w:jc w:val="both"/>
              <w:rPr>
                <w:rFonts w:ascii="Arial" w:hAnsi="Arial" w:cs="Arial"/>
                <w:bCs/>
              </w:rPr>
            </w:pPr>
            <w:r>
              <w:rPr>
                <w:rFonts w:ascii="Arial" w:hAnsi="Arial" w:cs="Arial"/>
              </w:rPr>
              <w:t>+</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24FACF16"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4AA82EE1" w14:textId="77777777">
        <w:tc>
          <w:tcPr>
            <w:tcW w:w="854" w:type="dxa"/>
            <w:tcBorders>
              <w:top w:val="nil"/>
              <w:left w:val="nil"/>
              <w:bottom w:val="nil"/>
              <w:right w:val="nil"/>
            </w:tcBorders>
          </w:tcPr>
          <w:p w14:paraId="759BEAD9" w14:textId="77777777" w:rsidR="00CD3DE2" w:rsidRDefault="005908EC">
            <w:pPr>
              <w:jc w:val="both"/>
              <w:rPr>
                <w:rFonts w:ascii="Arial" w:hAnsi="Arial" w:cs="Arial"/>
                <w:bCs/>
              </w:rPr>
            </w:pPr>
            <w:r>
              <w:rPr>
                <w:rFonts w:ascii="Arial" w:hAnsi="Arial" w:cs="Arial"/>
                <w:bCs/>
              </w:rPr>
              <w:t>6.</w:t>
            </w:r>
          </w:p>
        </w:tc>
        <w:tc>
          <w:tcPr>
            <w:tcW w:w="2116" w:type="dxa"/>
            <w:tcBorders>
              <w:top w:val="nil"/>
              <w:left w:val="nil"/>
              <w:bottom w:val="nil"/>
              <w:right w:val="nil"/>
            </w:tcBorders>
          </w:tcPr>
          <w:p w14:paraId="798D7A98" w14:textId="77777777" w:rsidR="00CD3DE2" w:rsidRDefault="005908EC">
            <w:pPr>
              <w:jc w:val="both"/>
              <w:rPr>
                <w:rFonts w:ascii="Arial" w:hAnsi="Arial" w:cs="Arial"/>
                <w:bCs/>
              </w:rPr>
            </w:pPr>
            <w:r>
              <w:rPr>
                <w:rFonts w:ascii="Arial" w:hAnsi="Arial" w:cs="Arial"/>
              </w:rPr>
              <w:t xml:space="preserve">  CY      </w:t>
            </w:r>
          </w:p>
        </w:tc>
        <w:tc>
          <w:tcPr>
            <w:tcW w:w="2950" w:type="dxa"/>
            <w:tcBorders>
              <w:top w:val="nil"/>
              <w:left w:val="nil"/>
              <w:bottom w:val="nil"/>
              <w:right w:val="nil"/>
            </w:tcBorders>
          </w:tcPr>
          <w:p w14:paraId="43A50B7C"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bottom w:val="nil"/>
              <w:right w:val="nil"/>
            </w:tcBorders>
          </w:tcPr>
          <w:p w14:paraId="2DB66E0A"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r w:rsidR="00CD3DE2" w14:paraId="4D079398" w14:textId="77777777">
        <w:tc>
          <w:tcPr>
            <w:tcW w:w="854" w:type="dxa"/>
            <w:tcBorders>
              <w:top w:val="nil"/>
              <w:left w:val="nil"/>
              <w:right w:val="nil"/>
            </w:tcBorders>
          </w:tcPr>
          <w:p w14:paraId="311B3EE3" w14:textId="77777777" w:rsidR="00CD3DE2" w:rsidRDefault="005908EC">
            <w:pPr>
              <w:jc w:val="both"/>
              <w:rPr>
                <w:rFonts w:ascii="Arial" w:hAnsi="Arial" w:cs="Arial"/>
                <w:bCs/>
              </w:rPr>
            </w:pPr>
            <w:r>
              <w:rPr>
                <w:rFonts w:ascii="Arial" w:hAnsi="Arial" w:cs="Arial"/>
                <w:bCs/>
              </w:rPr>
              <w:t>7.</w:t>
            </w:r>
          </w:p>
        </w:tc>
        <w:tc>
          <w:tcPr>
            <w:tcW w:w="2116" w:type="dxa"/>
            <w:tcBorders>
              <w:top w:val="nil"/>
              <w:left w:val="nil"/>
              <w:right w:val="nil"/>
            </w:tcBorders>
          </w:tcPr>
          <w:p w14:paraId="7D485970" w14:textId="77777777" w:rsidR="00CD3DE2" w:rsidRDefault="005908EC">
            <w:pPr>
              <w:jc w:val="both"/>
              <w:rPr>
                <w:rFonts w:ascii="Arial" w:hAnsi="Arial" w:cs="Arial"/>
                <w:bCs/>
              </w:rPr>
            </w:pPr>
            <w:r>
              <w:rPr>
                <w:rFonts w:ascii="Arial" w:hAnsi="Arial" w:cs="Arial"/>
              </w:rPr>
              <w:t xml:space="preserve">CLY   </w:t>
            </w:r>
          </w:p>
        </w:tc>
        <w:tc>
          <w:tcPr>
            <w:tcW w:w="2950" w:type="dxa"/>
            <w:tcBorders>
              <w:top w:val="nil"/>
              <w:left w:val="nil"/>
              <w:right w:val="nil"/>
            </w:tcBorders>
          </w:tcPr>
          <w:p w14:paraId="5B9C08C2"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c>
          <w:tcPr>
            <w:tcW w:w="2504" w:type="dxa"/>
            <w:tcBorders>
              <w:top w:val="nil"/>
              <w:left w:val="nil"/>
              <w:right w:val="nil"/>
            </w:tcBorders>
          </w:tcPr>
          <w:p w14:paraId="0C08EA0C" w14:textId="77777777" w:rsidR="00CD3DE2" w:rsidRDefault="005908EC">
            <w:pPr>
              <w:jc w:val="both"/>
              <w:rPr>
                <w:rFonts w:ascii="Arial" w:hAnsi="Arial" w:cs="Arial"/>
                <w:bCs/>
              </w:rPr>
            </w:pPr>
            <w:r>
              <w:rPr>
                <w:rFonts w:ascii="Arial" w:hAnsi="Arial" w:cs="Arial"/>
              </w:rPr>
              <w:t xml:space="preserve"> -</w:t>
            </w:r>
            <w:proofErr w:type="spellStart"/>
            <w:r>
              <w:rPr>
                <w:rFonts w:ascii="Arial" w:hAnsi="Arial" w:cs="Arial"/>
              </w:rPr>
              <w:t>ve</w:t>
            </w:r>
            <w:proofErr w:type="spellEnd"/>
            <w:r>
              <w:rPr>
                <w:rFonts w:ascii="Arial" w:hAnsi="Arial" w:cs="Arial"/>
              </w:rPr>
              <w:t xml:space="preserve">    </w:t>
            </w:r>
          </w:p>
        </w:tc>
      </w:tr>
    </w:tbl>
    <w:p w14:paraId="36B601C4" w14:textId="77777777" w:rsidR="00CD3DE2" w:rsidRDefault="00CD3DE2">
      <w:pPr>
        <w:jc w:val="both"/>
        <w:rPr>
          <w:rFonts w:ascii="Arial" w:hAnsi="Arial" w:cs="Arial"/>
          <w:bCs/>
        </w:rPr>
      </w:pPr>
    </w:p>
    <w:p w14:paraId="7F6E83FB" w14:textId="77777777" w:rsidR="00CD3DE2" w:rsidRDefault="00CD3DE2">
      <w:pPr>
        <w:pStyle w:val="Body"/>
        <w:spacing w:after="0"/>
        <w:rPr>
          <w:rFonts w:ascii="Arial" w:hAnsi="Arial" w:cs="Arial"/>
        </w:rPr>
      </w:pPr>
    </w:p>
    <w:p w14:paraId="4DCA34D6" w14:textId="77777777" w:rsidR="00CD3DE2" w:rsidRDefault="00CD3DE2">
      <w:pPr>
        <w:pStyle w:val="Body"/>
        <w:spacing w:after="0"/>
        <w:rPr>
          <w:rFonts w:ascii="Arial" w:hAnsi="Arial" w:cs="Arial"/>
        </w:rPr>
      </w:pPr>
    </w:p>
    <w:p w14:paraId="6159CAEF" w14:textId="77777777" w:rsidR="00CD3DE2" w:rsidRDefault="005908EC">
      <w:pPr>
        <w:pStyle w:val="Body"/>
        <w:spacing w:after="0"/>
        <w:rPr>
          <w:rFonts w:ascii="Arial" w:hAnsi="Arial" w:cs="Arial"/>
        </w:rPr>
      </w:pPr>
      <w:r>
        <w:rPr>
          <w:rFonts w:ascii="Arial" w:hAnsi="Arial" w:cs="Arial"/>
          <w:noProof/>
        </w:rPr>
        <w:drawing>
          <wp:inline distT="0" distB="0" distL="114300" distR="114300" wp14:anchorId="7FA6E42C" wp14:editId="408C6CA3">
            <wp:extent cx="3401060" cy="3346450"/>
            <wp:effectExtent l="0" t="0" r="8890" b="6350"/>
            <wp:docPr id="3" name="Picture 3" descr="176506439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765064390995"/>
                    <pic:cNvPicPr>
                      <a:picLocks noChangeAspect="1"/>
                    </pic:cNvPicPr>
                  </pic:nvPicPr>
                  <pic:blipFill>
                    <a:blip r:embed="rId18"/>
                    <a:srcRect l="12340" t="15299" r="11303" b="12144"/>
                    <a:stretch>
                      <a:fillRect/>
                    </a:stretch>
                  </pic:blipFill>
                  <pic:spPr>
                    <a:xfrm>
                      <a:off x="0" y="0"/>
                      <a:ext cx="3401060" cy="3346450"/>
                    </a:xfrm>
                    <a:prstGeom prst="rect">
                      <a:avLst/>
                    </a:prstGeom>
                  </pic:spPr>
                </pic:pic>
              </a:graphicData>
            </a:graphic>
          </wp:inline>
        </w:drawing>
      </w:r>
    </w:p>
    <w:p w14:paraId="4CCB20D2" w14:textId="77777777" w:rsidR="00CD3DE2" w:rsidRDefault="00CD3DE2">
      <w:pPr>
        <w:pStyle w:val="Body"/>
        <w:spacing w:after="0"/>
        <w:rPr>
          <w:rFonts w:ascii="Arial" w:hAnsi="Arial" w:cs="Arial"/>
        </w:rPr>
      </w:pPr>
    </w:p>
    <w:p w14:paraId="27B6E4A5" w14:textId="77777777" w:rsidR="00CD3DE2" w:rsidRDefault="005908EC">
      <w:pPr>
        <w:pStyle w:val="Body"/>
        <w:spacing w:after="0"/>
        <w:rPr>
          <w:rFonts w:ascii="Arial" w:hAnsi="Arial" w:cs="Arial"/>
          <w:b/>
          <w:bCs/>
        </w:rPr>
      </w:pPr>
      <w:r>
        <w:rPr>
          <w:rFonts w:ascii="Arial" w:hAnsi="Arial" w:cs="Arial"/>
          <w:b/>
          <w:bCs/>
        </w:rPr>
        <w:t xml:space="preserve">Plate 1. Indole-3-acetic acid production by the bacterium </w:t>
      </w:r>
    </w:p>
    <w:p w14:paraId="2E6E44F1" w14:textId="77777777" w:rsidR="00CD3DE2" w:rsidRDefault="00CD3DE2">
      <w:pPr>
        <w:pStyle w:val="Body"/>
        <w:spacing w:after="0"/>
        <w:rPr>
          <w:rFonts w:ascii="Arial" w:hAnsi="Arial" w:cs="Arial"/>
        </w:rPr>
      </w:pPr>
    </w:p>
    <w:p w14:paraId="57579177" w14:textId="77777777" w:rsidR="00CD3DE2" w:rsidRDefault="005908EC">
      <w:pPr>
        <w:pStyle w:val="Body"/>
        <w:spacing w:after="0"/>
        <w:rPr>
          <w:rFonts w:ascii="Arial" w:hAnsi="Arial" w:cs="Arial"/>
        </w:rPr>
      </w:pPr>
      <w:r>
        <w:rPr>
          <w:rFonts w:ascii="Arial" w:hAnsi="Arial" w:cs="Arial"/>
          <w:noProof/>
        </w:rPr>
        <w:lastRenderedPageBreak/>
        <w:drawing>
          <wp:inline distT="0" distB="0" distL="114300" distR="114300" wp14:anchorId="66307E68" wp14:editId="6D6E49C6">
            <wp:extent cx="3397250" cy="3456305"/>
            <wp:effectExtent l="0" t="0" r="12700" b="10795"/>
            <wp:docPr id="7" name="Picture 7" descr="176506449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765064493791"/>
                    <pic:cNvPicPr>
                      <a:picLocks noChangeAspect="1"/>
                    </pic:cNvPicPr>
                  </pic:nvPicPr>
                  <pic:blipFill>
                    <a:blip r:embed="rId19"/>
                    <a:srcRect l="16475" t="34661" r="6613" b="21362"/>
                    <a:stretch>
                      <a:fillRect/>
                    </a:stretch>
                  </pic:blipFill>
                  <pic:spPr>
                    <a:xfrm>
                      <a:off x="0" y="0"/>
                      <a:ext cx="3397250" cy="3456305"/>
                    </a:xfrm>
                    <a:prstGeom prst="rect">
                      <a:avLst/>
                    </a:prstGeom>
                  </pic:spPr>
                </pic:pic>
              </a:graphicData>
            </a:graphic>
          </wp:inline>
        </w:drawing>
      </w:r>
    </w:p>
    <w:p w14:paraId="557459BF" w14:textId="77777777" w:rsidR="00CD3DE2" w:rsidRDefault="005908EC">
      <w:pPr>
        <w:pStyle w:val="Body"/>
        <w:spacing w:after="0"/>
        <w:rPr>
          <w:rFonts w:ascii="Arial" w:hAnsi="Arial" w:cs="Arial"/>
          <w:b/>
          <w:bCs/>
        </w:rPr>
      </w:pPr>
      <w:r>
        <w:rPr>
          <w:rFonts w:ascii="Arial" w:hAnsi="Arial" w:cs="Arial"/>
          <w:b/>
          <w:bCs/>
        </w:rPr>
        <w:t xml:space="preserve">Plate 2. colonial morphology of the IAA producing bacterium </w:t>
      </w:r>
    </w:p>
    <w:p w14:paraId="6BA3D438" w14:textId="77777777" w:rsidR="00CD3DE2" w:rsidRDefault="00CD3DE2">
      <w:pPr>
        <w:pStyle w:val="Body"/>
        <w:spacing w:after="0"/>
        <w:rPr>
          <w:rFonts w:ascii="Arial" w:hAnsi="Arial" w:cs="Arial"/>
        </w:rPr>
      </w:pPr>
    </w:p>
    <w:p w14:paraId="07114E66" w14:textId="77777777" w:rsidR="00CD3DE2" w:rsidRDefault="00CD3DE2">
      <w:pPr>
        <w:pStyle w:val="Body"/>
        <w:spacing w:after="0"/>
        <w:rPr>
          <w:rFonts w:ascii="Arial" w:hAnsi="Arial" w:cs="Arial"/>
        </w:rPr>
      </w:pPr>
    </w:p>
    <w:p w14:paraId="3DF961D1" w14:textId="77777777" w:rsidR="00CD3DE2" w:rsidRDefault="00CD3DE2">
      <w:pPr>
        <w:pStyle w:val="Body"/>
        <w:spacing w:after="0"/>
        <w:rPr>
          <w:rFonts w:ascii="Arial" w:hAnsi="Arial" w:cs="Arial"/>
        </w:rPr>
      </w:pPr>
    </w:p>
    <w:p w14:paraId="232A62B3" w14:textId="77777777" w:rsidR="00CD3DE2" w:rsidRDefault="005908EC">
      <w:pPr>
        <w:jc w:val="both"/>
        <w:rPr>
          <w:rFonts w:ascii="Arial" w:hAnsi="Arial" w:cs="Arial"/>
          <w:b/>
          <w:bCs/>
        </w:rPr>
      </w:pPr>
      <w:r>
        <w:rPr>
          <w:rStyle w:val="ad"/>
          <w:rFonts w:ascii="Arial" w:eastAsia="Calibri" w:hAnsi="Arial" w:cs="Arial"/>
          <w:lang w:val="zh-CN"/>
        </w:rPr>
        <w:t>3</w:t>
      </w:r>
      <w:r>
        <w:rPr>
          <w:rFonts w:ascii="Arial" w:hAnsi="Arial" w:cs="Arial"/>
          <w:b/>
          <w:bCs/>
        </w:rPr>
        <w:t>.6 The 16S rDNA  identity of the bacterium</w:t>
      </w:r>
    </w:p>
    <w:p w14:paraId="2C19235A" w14:textId="77777777" w:rsidR="00CD3DE2" w:rsidRDefault="00CD3DE2">
      <w:pPr>
        <w:jc w:val="both"/>
        <w:rPr>
          <w:rFonts w:ascii="Arial" w:hAnsi="Arial" w:cs="Arial"/>
          <w:b/>
          <w:bCs/>
        </w:rPr>
      </w:pPr>
    </w:p>
    <w:p w14:paraId="5B6E019F" w14:textId="77777777" w:rsidR="00CD3DE2" w:rsidRDefault="005908EC">
      <w:pPr>
        <w:spacing w:after="180"/>
        <w:jc w:val="both"/>
        <w:rPr>
          <w:rFonts w:ascii="Arial" w:hAnsi="Arial" w:cs="Arial"/>
          <w:i/>
        </w:rPr>
      </w:pPr>
      <w:r>
        <w:rPr>
          <w:rFonts w:ascii="Arial" w:hAnsi="Arial" w:cs="Arial"/>
        </w:rPr>
        <w:t xml:space="preserve">The 16S rDNA gene bands of the bacterium and its 16S rDNA identity are presented in [Plate 3], [Figure 2] and [Table 5]. Molecular analysis revealed the identity of the bacterium recovered from the CMS, with IAA production potential  as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p>
    <w:p w14:paraId="26410702" w14:textId="77777777" w:rsidR="00CD3DE2" w:rsidRDefault="00CD3DE2">
      <w:pPr>
        <w:pStyle w:val="Body"/>
        <w:spacing w:after="0"/>
        <w:rPr>
          <w:rFonts w:ascii="Arial" w:hAnsi="Arial" w:cs="Arial"/>
        </w:rPr>
      </w:pPr>
    </w:p>
    <w:p w14:paraId="27B68DD4" w14:textId="77777777" w:rsidR="00CD3DE2" w:rsidRDefault="005908EC">
      <w:pPr>
        <w:pStyle w:val="Body"/>
        <w:spacing w:after="0"/>
        <w:rPr>
          <w:rFonts w:ascii="Arial" w:hAnsi="Arial" w:cs="Arial"/>
        </w:rPr>
      </w:pPr>
      <w:r>
        <w:rPr>
          <w:rFonts w:ascii="Arial" w:hAnsi="Arial" w:cs="Arial"/>
          <w:noProof/>
        </w:rPr>
        <w:drawing>
          <wp:inline distT="0" distB="0" distL="114300" distR="114300" wp14:anchorId="3B1123A5" wp14:editId="1B914E61">
            <wp:extent cx="3833495" cy="2390775"/>
            <wp:effectExtent l="0" t="0" r="14605" b="9525"/>
            <wp:docPr id="5" name="Picture 5" descr="Tessy 16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ssy 16S 2"/>
                    <pic:cNvPicPr>
                      <a:picLocks noChangeAspect="1"/>
                    </pic:cNvPicPr>
                  </pic:nvPicPr>
                  <pic:blipFill>
                    <a:blip r:embed="rId20"/>
                    <a:stretch>
                      <a:fillRect/>
                    </a:stretch>
                  </pic:blipFill>
                  <pic:spPr>
                    <a:xfrm>
                      <a:off x="0" y="0"/>
                      <a:ext cx="3833495" cy="2390775"/>
                    </a:xfrm>
                    <a:prstGeom prst="rect">
                      <a:avLst/>
                    </a:prstGeom>
                  </pic:spPr>
                </pic:pic>
              </a:graphicData>
            </a:graphic>
          </wp:inline>
        </w:drawing>
      </w:r>
    </w:p>
    <w:p w14:paraId="216BB70A" w14:textId="77777777" w:rsidR="00CD3DE2" w:rsidRDefault="005908EC">
      <w:pPr>
        <w:spacing w:after="180"/>
        <w:jc w:val="both"/>
        <w:rPr>
          <w:rFonts w:ascii="Arial" w:hAnsi="Arial" w:cs="Arial"/>
          <w:b/>
          <w:bCs/>
        </w:rPr>
      </w:pPr>
      <w:r>
        <w:rPr>
          <w:rFonts w:ascii="Arial" w:hAnsi="Arial" w:cs="Arial"/>
          <w:b/>
          <w:bCs/>
        </w:rPr>
        <w:t>Plate 3. 16S rDNA gene band of the bacterium with IAA production during agarose gel electrophoresis</w:t>
      </w:r>
    </w:p>
    <w:p w14:paraId="3C59B6E0" w14:textId="77777777" w:rsidR="00CD3DE2" w:rsidRDefault="00CD3DE2">
      <w:pPr>
        <w:pStyle w:val="Body"/>
        <w:spacing w:after="0"/>
        <w:rPr>
          <w:rFonts w:ascii="Arial" w:hAnsi="Arial" w:cs="Arial"/>
        </w:rPr>
      </w:pPr>
    </w:p>
    <w:p w14:paraId="58C98AB6" w14:textId="77777777" w:rsidR="00CD3DE2" w:rsidRDefault="00CD3DE2">
      <w:pPr>
        <w:pStyle w:val="Body"/>
        <w:spacing w:after="0"/>
        <w:rPr>
          <w:rFonts w:ascii="Arial" w:hAnsi="Arial" w:cs="Arial"/>
        </w:rPr>
      </w:pPr>
    </w:p>
    <w:p w14:paraId="46DB5211" w14:textId="77777777" w:rsidR="00CD3DE2" w:rsidRDefault="005908EC">
      <w:pPr>
        <w:pStyle w:val="Body"/>
        <w:spacing w:after="0"/>
        <w:rPr>
          <w:rFonts w:ascii="Arial" w:hAnsi="Arial" w:cs="Arial"/>
        </w:rPr>
      </w:pPr>
      <w:r>
        <w:rPr>
          <w:noProof/>
        </w:rPr>
        <w:lastRenderedPageBreak/>
        <w:drawing>
          <wp:inline distT="0" distB="0" distL="114300" distR="114300" wp14:anchorId="3078A61F" wp14:editId="1F89C6A9">
            <wp:extent cx="4312920" cy="2843530"/>
            <wp:effectExtent l="0" t="0" r="11430" b="1397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1">
                      <a:extLst>
                        <a:ext uri="{28A0092B-C50C-407E-A947-70E740481C1C}">
                          <a14:useLocalDpi xmlns:a14="http://schemas.microsoft.com/office/drawing/2010/main" val="0"/>
                        </a:ext>
                      </a:extLst>
                    </a:blip>
                    <a:srcRect l="6983" t="24961" r="6249" b="14371"/>
                    <a:stretch>
                      <a:fillRect/>
                    </a:stretch>
                  </pic:blipFill>
                  <pic:spPr>
                    <a:xfrm>
                      <a:off x="0" y="0"/>
                      <a:ext cx="4312920" cy="2843530"/>
                    </a:xfrm>
                    <a:prstGeom prst="rect">
                      <a:avLst/>
                    </a:prstGeom>
                    <a:noFill/>
                    <a:ln>
                      <a:noFill/>
                    </a:ln>
                  </pic:spPr>
                </pic:pic>
              </a:graphicData>
            </a:graphic>
          </wp:inline>
        </w:drawing>
      </w:r>
    </w:p>
    <w:p w14:paraId="66E829DE" w14:textId="77777777" w:rsidR="00CD3DE2" w:rsidRDefault="005908EC">
      <w:pPr>
        <w:spacing w:after="180" w:line="480" w:lineRule="auto"/>
        <w:jc w:val="both"/>
        <w:rPr>
          <w:rFonts w:ascii="Arial" w:hAnsi="Arial" w:cs="Arial"/>
          <w:b/>
          <w:bCs/>
        </w:rPr>
      </w:pPr>
      <w:r>
        <w:rPr>
          <w:rFonts w:ascii="Arial" w:hAnsi="Arial" w:cs="Arial"/>
          <w:b/>
          <w:bCs/>
        </w:rPr>
        <w:t xml:space="preserve">Fig 2. The evolutionary relatedness of the bacterium </w:t>
      </w:r>
    </w:p>
    <w:p w14:paraId="739B25BA" w14:textId="77777777" w:rsidR="00CD3DE2" w:rsidRDefault="00CD3DE2">
      <w:pPr>
        <w:pStyle w:val="ab"/>
        <w:spacing w:before="100" w:after="100" w:line="276" w:lineRule="auto"/>
        <w:jc w:val="both"/>
        <w:rPr>
          <w:rStyle w:val="ad"/>
          <w:rFonts w:ascii="Arial" w:hAnsi="Arial" w:cs="Arial"/>
        </w:rPr>
      </w:pPr>
    </w:p>
    <w:p w14:paraId="220348FB" w14:textId="77777777" w:rsidR="00CD3DE2" w:rsidRDefault="005908EC">
      <w:pPr>
        <w:pStyle w:val="ab"/>
        <w:spacing w:before="100" w:after="100" w:line="276" w:lineRule="auto"/>
        <w:jc w:val="both"/>
        <w:rPr>
          <w:rFonts w:ascii="Arial" w:hAnsi="Arial" w:cs="Arial"/>
          <w:lang w:val="en-US"/>
        </w:rPr>
      </w:pPr>
      <w:r>
        <w:rPr>
          <w:rStyle w:val="ad"/>
          <w:rFonts w:ascii="Arial" w:hAnsi="Arial" w:cs="Arial"/>
        </w:rPr>
        <w:t xml:space="preserve">Table </w:t>
      </w:r>
      <w:r>
        <w:rPr>
          <w:rStyle w:val="ad"/>
          <w:rFonts w:ascii="Arial" w:hAnsi="Arial" w:cs="Arial"/>
          <w:lang w:val="en-US"/>
        </w:rPr>
        <w:t>5</w:t>
      </w:r>
      <w:r>
        <w:rPr>
          <w:rStyle w:val="ad"/>
          <w:rFonts w:ascii="Arial" w:hAnsi="Arial" w:cs="Arial"/>
        </w:rPr>
        <w:t xml:space="preserve">. </w:t>
      </w:r>
      <w:r>
        <w:rPr>
          <w:rStyle w:val="ad"/>
          <w:rFonts w:ascii="Arial" w:hAnsi="Arial" w:cs="Arial"/>
          <w:lang w:val="en-US"/>
        </w:rPr>
        <w:t xml:space="preserve">16S </w:t>
      </w:r>
      <w:r>
        <w:rPr>
          <w:rStyle w:val="ad"/>
          <w:rFonts w:ascii="Arial" w:hAnsi="Arial" w:cs="Arial"/>
        </w:rPr>
        <w:t>r</w:t>
      </w:r>
      <w:r>
        <w:rPr>
          <w:rStyle w:val="ad"/>
          <w:rFonts w:ascii="Arial" w:hAnsi="Arial" w:cs="Arial"/>
          <w:lang w:val="en-US"/>
        </w:rPr>
        <w:t xml:space="preserve">DNA </w:t>
      </w:r>
      <w:r>
        <w:rPr>
          <w:rStyle w:val="ad"/>
          <w:rFonts w:ascii="Arial" w:hAnsi="Arial" w:cs="Arial"/>
        </w:rPr>
        <w:t xml:space="preserve"> </w:t>
      </w:r>
      <w:r>
        <w:rPr>
          <w:rStyle w:val="ad"/>
          <w:rFonts w:ascii="Arial" w:hAnsi="Arial" w:cs="Arial"/>
          <w:lang w:val="en-US"/>
        </w:rPr>
        <w:t>i</w:t>
      </w:r>
      <w:r>
        <w:rPr>
          <w:rStyle w:val="ad"/>
          <w:rFonts w:ascii="Arial" w:hAnsi="Arial" w:cs="Arial"/>
        </w:rPr>
        <w:t xml:space="preserve">dentification of </w:t>
      </w:r>
      <w:r>
        <w:rPr>
          <w:rStyle w:val="ad"/>
          <w:rFonts w:ascii="Arial" w:hAnsi="Arial" w:cs="Arial"/>
          <w:lang w:val="en-US"/>
        </w:rPr>
        <w:t>b</w:t>
      </w:r>
      <w:r>
        <w:rPr>
          <w:rStyle w:val="ad"/>
          <w:rFonts w:ascii="Arial" w:hAnsi="Arial" w:cs="Arial"/>
        </w:rPr>
        <w:t>acteri</w:t>
      </w:r>
      <w:r>
        <w:rPr>
          <w:rStyle w:val="ad"/>
          <w:rFonts w:ascii="Arial" w:hAnsi="Arial" w:cs="Arial"/>
          <w:lang w:val="en-US"/>
        </w:rPr>
        <w:t>um</w:t>
      </w:r>
    </w:p>
    <w:tbl>
      <w:tblPr>
        <w:tblW w:w="9232" w:type="dxa"/>
        <w:tblInd w:w="108" w:type="dxa"/>
        <w:tblLayout w:type="fixed"/>
        <w:tblLook w:val="04A0" w:firstRow="1" w:lastRow="0" w:firstColumn="1" w:lastColumn="0" w:noHBand="0" w:noVBand="1"/>
      </w:tblPr>
      <w:tblGrid>
        <w:gridCol w:w="1844"/>
        <w:gridCol w:w="3646"/>
        <w:gridCol w:w="1868"/>
        <w:gridCol w:w="1874"/>
      </w:tblGrid>
      <w:tr w:rsidR="00CD3DE2" w14:paraId="6FF5A130" w14:textId="77777777">
        <w:tc>
          <w:tcPr>
            <w:tcW w:w="1844" w:type="dxa"/>
            <w:tcBorders>
              <w:top w:val="single" w:sz="4" w:space="0" w:color="auto"/>
              <w:bottom w:val="single" w:sz="4" w:space="0" w:color="auto"/>
            </w:tcBorders>
            <w:vAlign w:val="center"/>
          </w:tcPr>
          <w:p w14:paraId="73139B20" w14:textId="77777777" w:rsidR="00CD3DE2" w:rsidRDefault="005908EC">
            <w:pPr>
              <w:widowControl w:val="0"/>
              <w:spacing w:line="480" w:lineRule="auto"/>
              <w:jc w:val="both"/>
              <w:rPr>
                <w:rFonts w:ascii="Arial" w:hAnsi="Arial" w:cs="Arial"/>
                <w:b/>
                <w:bCs/>
              </w:rPr>
            </w:pPr>
            <w:r>
              <w:rPr>
                <w:rFonts w:ascii="Arial" w:hAnsi="Arial" w:cs="Arial"/>
                <w:b/>
                <w:bCs/>
              </w:rPr>
              <w:t>Isolate Code</w:t>
            </w:r>
          </w:p>
        </w:tc>
        <w:tc>
          <w:tcPr>
            <w:tcW w:w="3646" w:type="dxa"/>
            <w:tcBorders>
              <w:top w:val="single" w:sz="4" w:space="0" w:color="auto"/>
              <w:bottom w:val="single" w:sz="4" w:space="0" w:color="auto"/>
            </w:tcBorders>
            <w:vAlign w:val="center"/>
          </w:tcPr>
          <w:p w14:paraId="52330193" w14:textId="77777777" w:rsidR="00CD3DE2" w:rsidRDefault="005908EC">
            <w:pPr>
              <w:widowControl w:val="0"/>
              <w:spacing w:line="480" w:lineRule="auto"/>
              <w:jc w:val="both"/>
              <w:rPr>
                <w:rFonts w:ascii="Arial" w:hAnsi="Arial" w:cs="Arial"/>
                <w:b/>
                <w:bCs/>
              </w:rPr>
            </w:pPr>
            <w:r>
              <w:rPr>
                <w:rFonts w:ascii="Arial" w:hAnsi="Arial" w:cs="Arial"/>
                <w:b/>
                <w:bCs/>
              </w:rPr>
              <w:t>Closest Match (NCBI BLAST)</w:t>
            </w:r>
          </w:p>
        </w:tc>
        <w:tc>
          <w:tcPr>
            <w:tcW w:w="1868" w:type="dxa"/>
            <w:tcBorders>
              <w:top w:val="single" w:sz="4" w:space="0" w:color="auto"/>
              <w:bottom w:val="single" w:sz="4" w:space="0" w:color="auto"/>
            </w:tcBorders>
          </w:tcPr>
          <w:p w14:paraId="09D0546C" w14:textId="77777777" w:rsidR="00CD3DE2" w:rsidRDefault="005908EC">
            <w:pPr>
              <w:widowControl w:val="0"/>
              <w:spacing w:line="480" w:lineRule="auto"/>
              <w:jc w:val="both"/>
              <w:rPr>
                <w:rStyle w:val="ad"/>
                <w:rFonts w:ascii="Arial" w:hAnsi="Arial" w:cs="Arial"/>
                <w:color w:val="000000"/>
              </w:rPr>
            </w:pPr>
            <w:r>
              <w:rPr>
                <w:rStyle w:val="ad"/>
                <w:rFonts w:ascii="Arial" w:hAnsi="Arial" w:cs="Arial"/>
                <w:color w:val="000000"/>
              </w:rPr>
              <w:t>Accession number</w:t>
            </w:r>
          </w:p>
        </w:tc>
        <w:tc>
          <w:tcPr>
            <w:tcW w:w="1874" w:type="dxa"/>
            <w:tcBorders>
              <w:top w:val="single" w:sz="4" w:space="0" w:color="auto"/>
              <w:bottom w:val="single" w:sz="4" w:space="0" w:color="auto"/>
            </w:tcBorders>
            <w:vAlign w:val="center"/>
          </w:tcPr>
          <w:p w14:paraId="18437BEB" w14:textId="77777777" w:rsidR="00CD3DE2" w:rsidRDefault="005908EC">
            <w:pPr>
              <w:widowControl w:val="0"/>
              <w:spacing w:line="480" w:lineRule="auto"/>
              <w:jc w:val="both"/>
              <w:rPr>
                <w:rFonts w:ascii="Arial" w:hAnsi="Arial" w:cs="Arial"/>
                <w:b/>
                <w:bCs/>
              </w:rPr>
            </w:pPr>
            <w:r>
              <w:rPr>
                <w:rFonts w:ascii="Arial" w:hAnsi="Arial" w:cs="Arial"/>
                <w:b/>
                <w:bCs/>
              </w:rPr>
              <w:t>Percentage Similarity index</w:t>
            </w:r>
          </w:p>
        </w:tc>
      </w:tr>
      <w:tr w:rsidR="00CD3DE2" w14:paraId="425A5BBB" w14:textId="77777777">
        <w:tc>
          <w:tcPr>
            <w:tcW w:w="1844" w:type="dxa"/>
            <w:tcBorders>
              <w:top w:val="single" w:sz="4" w:space="0" w:color="auto"/>
              <w:bottom w:val="single" w:sz="4" w:space="0" w:color="auto"/>
            </w:tcBorders>
            <w:vAlign w:val="center"/>
          </w:tcPr>
          <w:p w14:paraId="3D359ED5" w14:textId="77777777" w:rsidR="00CD3DE2" w:rsidRDefault="005908EC">
            <w:pPr>
              <w:widowControl w:val="0"/>
              <w:spacing w:line="480" w:lineRule="auto"/>
              <w:jc w:val="both"/>
              <w:rPr>
                <w:rFonts w:ascii="Arial" w:hAnsi="Arial" w:cs="Arial"/>
              </w:rPr>
            </w:pPr>
            <w:r>
              <w:rPr>
                <w:rFonts w:ascii="Arial" w:hAnsi="Arial" w:cs="Arial"/>
              </w:rPr>
              <w:t>CDY</w:t>
            </w:r>
          </w:p>
        </w:tc>
        <w:tc>
          <w:tcPr>
            <w:tcW w:w="3646" w:type="dxa"/>
            <w:tcBorders>
              <w:top w:val="single" w:sz="4" w:space="0" w:color="auto"/>
              <w:bottom w:val="single" w:sz="4" w:space="0" w:color="auto"/>
            </w:tcBorders>
          </w:tcPr>
          <w:p w14:paraId="4D1B168A" w14:textId="77777777" w:rsidR="00CD3DE2" w:rsidRDefault="005908EC">
            <w:pPr>
              <w:widowControl w:val="0"/>
              <w:spacing w:line="480" w:lineRule="auto"/>
              <w:jc w:val="both"/>
              <w:rPr>
                <w:rStyle w:val="ad"/>
                <w:rFonts w:ascii="Arial" w:hAnsi="Arial" w:cs="Arial"/>
                <w:b w:val="0"/>
                <w:i/>
                <w:color w:val="000000"/>
              </w:rPr>
            </w:pPr>
            <w:proofErr w:type="spellStart"/>
            <w:r>
              <w:rPr>
                <w:rStyle w:val="ad"/>
                <w:rFonts w:ascii="Arial" w:hAnsi="Arial" w:cs="Arial"/>
                <w:b w:val="0"/>
                <w:i/>
                <w:color w:val="000000"/>
              </w:rPr>
              <w:t>Chryseobacterium</w:t>
            </w:r>
            <w:proofErr w:type="spellEnd"/>
            <w:r>
              <w:rPr>
                <w:rStyle w:val="ad"/>
                <w:rFonts w:ascii="Arial" w:hAnsi="Arial" w:cs="Arial"/>
                <w:b w:val="0"/>
                <w:i/>
                <w:color w:val="000000"/>
              </w:rPr>
              <w:t xml:space="preserve"> </w:t>
            </w:r>
            <w:proofErr w:type="spellStart"/>
            <w:r>
              <w:rPr>
                <w:rStyle w:val="ad"/>
                <w:rFonts w:ascii="Arial" w:hAnsi="Arial" w:cs="Arial"/>
                <w:b w:val="0"/>
                <w:i/>
                <w:color w:val="000000"/>
              </w:rPr>
              <w:t>indologenes</w:t>
            </w:r>
            <w:proofErr w:type="spellEnd"/>
          </w:p>
        </w:tc>
        <w:tc>
          <w:tcPr>
            <w:tcW w:w="1868" w:type="dxa"/>
            <w:tcBorders>
              <w:top w:val="single" w:sz="4" w:space="0" w:color="auto"/>
              <w:bottom w:val="single" w:sz="4" w:space="0" w:color="auto"/>
            </w:tcBorders>
          </w:tcPr>
          <w:p w14:paraId="233C78B6" w14:textId="77777777" w:rsidR="00CD3DE2" w:rsidRDefault="005908EC">
            <w:pPr>
              <w:widowControl w:val="0"/>
              <w:spacing w:line="480" w:lineRule="auto"/>
              <w:jc w:val="both"/>
              <w:rPr>
                <w:rStyle w:val="ad"/>
                <w:rFonts w:ascii="Arial" w:hAnsi="Arial" w:cs="Arial"/>
                <w:b w:val="0"/>
                <w:color w:val="000000"/>
              </w:rPr>
            </w:pPr>
            <w:r>
              <w:rPr>
                <w:rStyle w:val="ad"/>
                <w:rFonts w:ascii="Arial" w:hAnsi="Arial" w:cs="Arial"/>
                <w:b w:val="0"/>
                <w:color w:val="000000"/>
              </w:rPr>
              <w:t>MK949394</w:t>
            </w:r>
          </w:p>
        </w:tc>
        <w:tc>
          <w:tcPr>
            <w:tcW w:w="1874" w:type="dxa"/>
            <w:tcBorders>
              <w:top w:val="single" w:sz="4" w:space="0" w:color="auto"/>
              <w:bottom w:val="single" w:sz="4" w:space="0" w:color="auto"/>
            </w:tcBorders>
            <w:vAlign w:val="center"/>
          </w:tcPr>
          <w:p w14:paraId="61EFAA05" w14:textId="77777777" w:rsidR="00CD3DE2" w:rsidRDefault="005908EC">
            <w:pPr>
              <w:widowControl w:val="0"/>
              <w:spacing w:line="480" w:lineRule="auto"/>
              <w:jc w:val="both"/>
              <w:rPr>
                <w:rFonts w:ascii="Arial" w:hAnsi="Arial" w:cs="Arial"/>
              </w:rPr>
            </w:pPr>
            <w:r>
              <w:rPr>
                <w:rFonts w:ascii="Arial" w:hAnsi="Arial" w:cs="Arial"/>
              </w:rPr>
              <w:t>100</w:t>
            </w:r>
          </w:p>
        </w:tc>
      </w:tr>
    </w:tbl>
    <w:p w14:paraId="1F7DED93" w14:textId="77777777" w:rsidR="00CD3DE2" w:rsidRDefault="00CD3DE2">
      <w:pPr>
        <w:pStyle w:val="Body"/>
        <w:spacing w:after="0"/>
        <w:rPr>
          <w:rFonts w:ascii="Arial" w:hAnsi="Arial" w:cs="Arial"/>
        </w:rPr>
      </w:pPr>
    </w:p>
    <w:p w14:paraId="3D0FF5AC" w14:textId="77777777" w:rsidR="00CD3DE2" w:rsidRDefault="00CD3DE2">
      <w:pPr>
        <w:pStyle w:val="Body"/>
        <w:spacing w:after="0"/>
        <w:rPr>
          <w:rFonts w:ascii="Arial" w:hAnsi="Arial" w:cs="Arial"/>
        </w:rPr>
      </w:pPr>
    </w:p>
    <w:p w14:paraId="28509616" w14:textId="77777777" w:rsidR="00CD3DE2" w:rsidRDefault="00CD3DE2">
      <w:pPr>
        <w:pStyle w:val="Body"/>
        <w:spacing w:after="0"/>
        <w:rPr>
          <w:rFonts w:ascii="Arial" w:hAnsi="Arial" w:cs="Arial"/>
        </w:rPr>
      </w:pPr>
    </w:p>
    <w:p w14:paraId="369A9239" w14:textId="77777777" w:rsidR="00CD3DE2" w:rsidRDefault="005908EC">
      <w:pPr>
        <w:spacing w:after="210"/>
        <w:rPr>
          <w:rFonts w:ascii="Arial" w:hAnsi="Arial"/>
          <w:sz w:val="22"/>
          <w:szCs w:val="22"/>
        </w:rPr>
      </w:pPr>
      <w:r>
        <w:rPr>
          <w:rFonts w:ascii="Arial" w:hAnsi="Arial"/>
          <w:b/>
          <w:bCs/>
          <w:sz w:val="22"/>
          <w:szCs w:val="22"/>
        </w:rPr>
        <w:t>DISCUSSION</w:t>
      </w:r>
    </w:p>
    <w:p w14:paraId="62E87271" w14:textId="77777777" w:rsidR="00CD3DE2" w:rsidRDefault="005908EC">
      <w:pPr>
        <w:widowControl w:val="0"/>
        <w:tabs>
          <w:tab w:val="left" w:pos="0"/>
          <w:tab w:val="left" w:pos="220"/>
        </w:tabs>
        <w:autoSpaceDE w:val="0"/>
        <w:autoSpaceDN w:val="0"/>
        <w:adjustRightInd w:val="0"/>
        <w:spacing w:after="320"/>
        <w:ind w:left="-142"/>
        <w:jc w:val="both"/>
        <w:rPr>
          <w:rFonts w:ascii="Arial" w:hAnsi="Arial" w:cs="Arial"/>
        </w:rPr>
      </w:pPr>
      <w:r>
        <w:rPr>
          <w:rFonts w:ascii="Arial" w:hAnsi="Arial" w:cs="Arial"/>
        </w:rPr>
        <w:t xml:space="preserve">This study explored the plant growth promoting potentials (phosphate solubilization and indole -3-acetic acid production) of bacterial species isolated from a coal mine soil. </w:t>
      </w:r>
      <w:r>
        <w:rPr>
          <w:rFonts w:ascii="Arial" w:hAnsi="Arial"/>
        </w:rPr>
        <w:t xml:space="preserve">The  </w:t>
      </w:r>
      <w:proofErr w:type="spellStart"/>
      <w:r>
        <w:rPr>
          <w:rFonts w:ascii="Arial" w:hAnsi="Arial"/>
        </w:rPr>
        <w:t>physico</w:t>
      </w:r>
      <w:proofErr w:type="spellEnd"/>
      <w:r>
        <w:rPr>
          <w:rFonts w:ascii="Arial" w:hAnsi="Arial"/>
        </w:rPr>
        <w:t xml:space="preserve">-chemical properties of the CMS indicated the soil was acidic and oligotrophic in nature [Table 1], therefore not suitable for plant agriculture purpose. </w:t>
      </w:r>
      <w:r>
        <w:rPr>
          <w:rFonts w:ascii="Arial" w:hAnsi="Arial" w:cs="Arial"/>
        </w:rPr>
        <w:t>This confirm reports that coal mining alters the physical and chemical properties of soil (texture, organic matter, organic carbon, pH and bulk density) (Xu et al., 2019; Ghosh &amp; Maiti, 2021; Mao et al., 2024; Ahmad et al., 2025).</w:t>
      </w:r>
    </w:p>
    <w:p w14:paraId="0A7B3BCF" w14:textId="77777777" w:rsidR="00CD3DE2" w:rsidRDefault="005908EC">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 xml:space="preserve">Bacterial population (Total heterotrophic bacteria counts) were low [Table 2], </w:t>
      </w:r>
      <w:r>
        <w:rPr>
          <w:rFonts w:ascii="Arial" w:hAnsi="Arial" w:cs="Arial"/>
        </w:rPr>
        <w:t>and beyond levels required for arable soils (10</w:t>
      </w:r>
      <w:r>
        <w:rPr>
          <w:rFonts w:ascii="Arial" w:hAnsi="Arial" w:cs="Arial"/>
          <w:vertAlign w:val="superscript"/>
        </w:rPr>
        <w:t>-6</w:t>
      </w:r>
      <w:r>
        <w:rPr>
          <w:rFonts w:ascii="Arial" w:hAnsi="Arial" w:cs="Arial"/>
        </w:rPr>
        <w:t xml:space="preserve"> – 10</w:t>
      </w:r>
      <w:r>
        <w:rPr>
          <w:rFonts w:ascii="Arial" w:hAnsi="Arial" w:cs="Arial"/>
          <w:vertAlign w:val="superscript"/>
        </w:rPr>
        <w:t>8</w:t>
      </w:r>
      <w:r>
        <w:rPr>
          <w:rFonts w:ascii="Arial" w:hAnsi="Arial" w:cs="Arial"/>
        </w:rPr>
        <w:t xml:space="preserve"> CFU/g) (Ratnakar &amp; Shikha, 2018). This underscores the oligotrophic nature of the CMS, depicted by its poor </w:t>
      </w:r>
      <w:proofErr w:type="spellStart"/>
      <w:r>
        <w:rPr>
          <w:rFonts w:ascii="Arial" w:hAnsi="Arial" w:cs="Arial"/>
        </w:rPr>
        <w:t>physico</w:t>
      </w:r>
      <w:proofErr w:type="spellEnd"/>
      <w:r>
        <w:rPr>
          <w:rFonts w:ascii="Arial" w:hAnsi="Arial" w:cs="Arial"/>
        </w:rPr>
        <w:t xml:space="preserve">-chemical properties [Table1]. </w:t>
      </w:r>
      <w:r>
        <w:rPr>
          <w:rFonts w:ascii="Arial" w:hAnsi="Arial"/>
        </w:rPr>
        <w:t xml:space="preserve">Soils affected by mining are usually low in fertility due to </w:t>
      </w:r>
      <w:proofErr w:type="spellStart"/>
      <w:r>
        <w:rPr>
          <w:rFonts w:ascii="Arial" w:hAnsi="Arial"/>
        </w:rPr>
        <w:t>continuos</w:t>
      </w:r>
      <w:proofErr w:type="spellEnd"/>
      <w:r>
        <w:rPr>
          <w:rFonts w:ascii="Arial" w:hAnsi="Arial"/>
        </w:rPr>
        <w:t xml:space="preserve"> excavation and leaching, which depletes nutrients and disrupts microbial life (De-Quadros et al., 2016; Ma et al., 2019). This explains the low bacterial abundance observed in this study. Despite these adverse conditions, the successful recovery of seven (7) bacterial isolates from the coal mine soil demonstrates microbial resilience and adaptation to stressed environments. Microorganisms capable of surviving under such nutrient-limited (oligotrophic) conditions often possess unique metabolic traits that enable them to contribute to ecosystem recovery (Zhang et al., 2022; Mao et al., 2024). However, screening the bacterial </w:t>
      </w:r>
      <w:proofErr w:type="spellStart"/>
      <w:r>
        <w:rPr>
          <w:rFonts w:ascii="Arial" w:hAnsi="Arial"/>
        </w:rPr>
        <w:t>islates</w:t>
      </w:r>
      <w:proofErr w:type="spellEnd"/>
      <w:r>
        <w:rPr>
          <w:rFonts w:ascii="Arial" w:hAnsi="Arial"/>
        </w:rPr>
        <w:t xml:space="preserve"> for plant growth promoting traits revealed only one was positive for indole-3-acetic acid (IAA) production, while none were able to solubilize phosphate [Table 4]. The limited occurrence of plant growth promoting (PGP) traits among the isolates may be due to the soil’s low organic matter concentration and acidic nature, both of which are unfavorable for microbial expression of enzymes required for phosphorus mineralization and nutrient uptake facilitated by bacterial IAA (</w:t>
      </w:r>
      <w:proofErr w:type="spellStart"/>
      <w:r>
        <w:rPr>
          <w:rFonts w:ascii="Arial" w:hAnsi="Arial"/>
        </w:rPr>
        <w:t>Seshachala</w:t>
      </w:r>
      <w:proofErr w:type="spellEnd"/>
      <w:r>
        <w:rPr>
          <w:rFonts w:ascii="Arial" w:hAnsi="Arial"/>
        </w:rPr>
        <w:t xml:space="preserve"> &amp; </w:t>
      </w:r>
      <w:proofErr w:type="spellStart"/>
      <w:r>
        <w:rPr>
          <w:rFonts w:ascii="Arial" w:hAnsi="Arial"/>
        </w:rPr>
        <w:t>Tallapragada</w:t>
      </w:r>
      <w:proofErr w:type="spellEnd"/>
      <w:r>
        <w:rPr>
          <w:rFonts w:ascii="Arial" w:hAnsi="Arial"/>
        </w:rPr>
        <w:t>, 2012; Alori et al., 2017; Tomar et al</w:t>
      </w:r>
      <w:r>
        <w:rPr>
          <w:rFonts w:ascii="Arial" w:hAnsi="Arial"/>
          <w:i/>
        </w:rPr>
        <w:t>.,</w:t>
      </w:r>
      <w:r>
        <w:rPr>
          <w:rFonts w:ascii="Arial" w:hAnsi="Arial"/>
        </w:rPr>
        <w:t xml:space="preserve"> 2019). </w:t>
      </w:r>
    </w:p>
    <w:p w14:paraId="34B2371C" w14:textId="77777777" w:rsidR="00CD3DE2" w:rsidRDefault="005908EC">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 xml:space="preserve">The production of IAA by one bacterium is significant because IAA is one of the major phytohormones that stimulate plant </w:t>
      </w:r>
      <w:r>
        <w:rPr>
          <w:rFonts w:ascii="Arial" w:hAnsi="Arial"/>
        </w:rPr>
        <w:lastRenderedPageBreak/>
        <w:t>root and shoot elongation, cell division, cell expansion, sprouting, genes regulation  and nutrient absorption (</w:t>
      </w:r>
      <w:proofErr w:type="spellStart"/>
      <w:r>
        <w:rPr>
          <w:rFonts w:ascii="Arial" w:hAnsi="Arial"/>
        </w:rPr>
        <w:t>Ambreetha</w:t>
      </w:r>
      <w:proofErr w:type="spellEnd"/>
      <w:r>
        <w:rPr>
          <w:rFonts w:ascii="Arial" w:hAnsi="Arial"/>
        </w:rPr>
        <w:t xml:space="preserve"> et al., 2018; Nosheen et al</w:t>
      </w:r>
      <w:r>
        <w:rPr>
          <w:rFonts w:ascii="Arial" w:hAnsi="Arial"/>
          <w:i/>
        </w:rPr>
        <w:t>.,</w:t>
      </w:r>
      <w:r>
        <w:rPr>
          <w:rFonts w:ascii="Arial" w:hAnsi="Arial"/>
        </w:rPr>
        <w:t xml:space="preserve"> 2021). This enhances plant resilience under environmental stress, making it well suited for sustainable agriculture, </w:t>
      </w:r>
      <w:proofErr w:type="spellStart"/>
      <w:r>
        <w:rPr>
          <w:rFonts w:ascii="Arial" w:hAnsi="Arial"/>
        </w:rPr>
        <w:t>biorestoration</w:t>
      </w:r>
      <w:proofErr w:type="spellEnd"/>
      <w:r>
        <w:rPr>
          <w:rFonts w:ascii="Arial" w:hAnsi="Arial"/>
        </w:rPr>
        <w:t xml:space="preserve"> and bioremediation purpose (</w:t>
      </w:r>
      <w:proofErr w:type="spellStart"/>
      <w:r>
        <w:rPr>
          <w:rFonts w:ascii="Arial" w:hAnsi="Arial"/>
        </w:rPr>
        <w:t>Etesami</w:t>
      </w:r>
      <w:proofErr w:type="spellEnd"/>
      <w:r>
        <w:rPr>
          <w:rFonts w:ascii="Arial" w:hAnsi="Arial"/>
        </w:rPr>
        <w:t xml:space="preserve"> &amp; Glick 2024). Molecular identification revealed the IAA-producing bacterium as </w:t>
      </w:r>
      <w:proofErr w:type="spellStart"/>
      <w:r>
        <w:rPr>
          <w:rFonts w:ascii="Arial" w:hAnsi="Arial"/>
          <w:i/>
        </w:rPr>
        <w:t>Chryseobacterium</w:t>
      </w:r>
      <w:proofErr w:type="spellEnd"/>
      <w:r>
        <w:rPr>
          <w:rFonts w:ascii="Arial" w:hAnsi="Arial"/>
          <w:i/>
        </w:rPr>
        <w:t xml:space="preserve"> </w:t>
      </w:r>
      <w:proofErr w:type="spellStart"/>
      <w:r>
        <w:rPr>
          <w:rFonts w:ascii="Arial" w:hAnsi="Arial"/>
          <w:i/>
        </w:rPr>
        <w:t>Indologenes</w:t>
      </w:r>
      <w:proofErr w:type="spellEnd"/>
      <w:r>
        <w:rPr>
          <w:rFonts w:ascii="Arial" w:hAnsi="Arial"/>
        </w:rPr>
        <w:t xml:space="preserve">. Although </w:t>
      </w:r>
      <w:proofErr w:type="spellStart"/>
      <w:r>
        <w:rPr>
          <w:rFonts w:ascii="Arial" w:hAnsi="Arial"/>
          <w:i/>
        </w:rPr>
        <w:t>Chryseobacterium</w:t>
      </w:r>
      <w:proofErr w:type="spellEnd"/>
      <w:r>
        <w:rPr>
          <w:rFonts w:ascii="Arial" w:hAnsi="Arial"/>
        </w:rPr>
        <w:t xml:space="preserve"> species are more commonly associated with aquatic and moist soil habitats (Jung et al., 2023), several strains within this genus have recently been reported as emerging plant growth promoting bacteria with the ability to produce auxins, promote nutrient cycling, and suppress pathogens (</w:t>
      </w:r>
      <w:r>
        <w:rPr>
          <w:rFonts w:ascii="Arial" w:hAnsi="Arial" w:cs="Arial"/>
        </w:rPr>
        <w:t>Lee et al</w:t>
      </w:r>
      <w:r>
        <w:rPr>
          <w:rFonts w:ascii="Arial" w:hAnsi="Arial" w:cs="Arial"/>
          <w:i/>
        </w:rPr>
        <w:t xml:space="preserve">., </w:t>
      </w:r>
      <w:r>
        <w:rPr>
          <w:rFonts w:ascii="Arial" w:hAnsi="Arial" w:cs="Arial"/>
        </w:rPr>
        <w:t>2017 ; Sang et al., 2018; Kim et al</w:t>
      </w:r>
      <w:r>
        <w:rPr>
          <w:rFonts w:ascii="Arial" w:hAnsi="Arial" w:cs="Arial"/>
          <w:i/>
        </w:rPr>
        <w:t xml:space="preserve">., </w:t>
      </w:r>
      <w:r>
        <w:rPr>
          <w:rFonts w:ascii="Arial" w:hAnsi="Arial" w:cs="Arial"/>
        </w:rPr>
        <w:t>2020</w:t>
      </w:r>
      <w:r>
        <w:rPr>
          <w:rFonts w:ascii="Arial" w:hAnsi="Arial"/>
        </w:rPr>
        <w:t>). The detection of</w:t>
      </w:r>
      <w:r>
        <w:rPr>
          <w:rFonts w:ascii="Arial" w:hAnsi="Arial"/>
          <w:i/>
          <w:iCs/>
        </w:rPr>
        <w:t xml:space="preserve"> C. </w:t>
      </w:r>
      <w:proofErr w:type="spellStart"/>
      <w:r>
        <w:rPr>
          <w:rFonts w:ascii="Arial" w:hAnsi="Arial"/>
          <w:i/>
          <w:iCs/>
        </w:rPr>
        <w:t>indologenes</w:t>
      </w:r>
      <w:proofErr w:type="spellEnd"/>
      <w:r>
        <w:rPr>
          <w:rFonts w:ascii="Arial" w:hAnsi="Arial"/>
        </w:rPr>
        <w:t xml:space="preserve"> in a coal mine soil environment underscores its ecological adaptability and suggests its potential role as a biofertilizer candidate for restoring degraded soils.</w:t>
      </w:r>
    </w:p>
    <w:p w14:paraId="33F90EE1" w14:textId="77777777" w:rsidR="00CD3DE2" w:rsidRDefault="005908EC">
      <w:pPr>
        <w:widowControl w:val="0"/>
        <w:tabs>
          <w:tab w:val="left" w:pos="0"/>
          <w:tab w:val="left" w:pos="220"/>
        </w:tabs>
        <w:autoSpaceDE w:val="0"/>
        <w:autoSpaceDN w:val="0"/>
        <w:adjustRightInd w:val="0"/>
        <w:spacing w:after="320"/>
        <w:ind w:left="-142"/>
        <w:jc w:val="both"/>
        <w:rPr>
          <w:rFonts w:ascii="Arial" w:hAnsi="Arial"/>
        </w:rPr>
      </w:pPr>
      <w:r>
        <w:rPr>
          <w:rFonts w:ascii="Arial" w:hAnsi="Arial"/>
        </w:rPr>
        <w:t>Bacteria that can adapt to such oligotrophic conditions often harbor stress-tolerance genes, including those encoding antioxidant enzymes, efflux transporters, and resistance determinants for toxic compounds (Zhang et al., 2022). These adaptive features are advantageous for potential biofertilizer use, as they enable microbial survival and functionality in degraded or contaminated soils where conventional fertilizers are less effective. Furthermore, C.</w:t>
      </w:r>
      <w:r>
        <w:rPr>
          <w:rFonts w:ascii="Arial" w:hAnsi="Arial"/>
          <w:i/>
        </w:rPr>
        <w:t xml:space="preserve"> </w:t>
      </w:r>
      <w:proofErr w:type="spellStart"/>
      <w:r>
        <w:rPr>
          <w:rFonts w:ascii="Arial" w:hAnsi="Arial"/>
          <w:i/>
        </w:rPr>
        <w:t>indologenes</w:t>
      </w:r>
      <w:proofErr w:type="spellEnd"/>
      <w:r>
        <w:rPr>
          <w:rFonts w:ascii="Arial" w:hAnsi="Arial"/>
          <w:i/>
        </w:rPr>
        <w:t xml:space="preserve"> </w:t>
      </w:r>
      <w:r>
        <w:rPr>
          <w:rFonts w:ascii="Arial" w:hAnsi="Arial"/>
        </w:rPr>
        <w:t xml:space="preserve">has been reported to produce 1-aminocyclopropane-1-carboxylic acid (ACC) deaminase, an enzyme that reduces plant ethylene levels under stress, thereby enhancing root development and seedling vigor (Jung et al., 2023). Although ACC deaminase activity was not tested in this study, its reported presence in related strains suggests a plausible mechanism through which </w:t>
      </w:r>
      <w:r>
        <w:rPr>
          <w:rFonts w:ascii="Arial" w:hAnsi="Arial"/>
          <w:i/>
        </w:rPr>
        <w:t xml:space="preserve">C. </w:t>
      </w:r>
      <w:proofErr w:type="spellStart"/>
      <w:r>
        <w:rPr>
          <w:rFonts w:ascii="Arial" w:hAnsi="Arial"/>
          <w:i/>
        </w:rPr>
        <w:t>indologenes</w:t>
      </w:r>
      <w:proofErr w:type="spellEnd"/>
      <w:r>
        <w:rPr>
          <w:rFonts w:ascii="Arial" w:hAnsi="Arial"/>
        </w:rPr>
        <w:t xml:space="preserve"> could support plant establishment in mine-affected soils. The role of </w:t>
      </w:r>
      <w:r>
        <w:rPr>
          <w:rFonts w:ascii="Arial" w:hAnsi="Arial"/>
          <w:i/>
        </w:rPr>
        <w:t xml:space="preserve">C. </w:t>
      </w:r>
      <w:proofErr w:type="spellStart"/>
      <w:r>
        <w:rPr>
          <w:rFonts w:ascii="Arial" w:hAnsi="Arial"/>
          <w:i/>
        </w:rPr>
        <w:t>indologenes</w:t>
      </w:r>
      <w:proofErr w:type="spellEnd"/>
      <w:r>
        <w:rPr>
          <w:rFonts w:ascii="Arial" w:hAnsi="Arial"/>
        </w:rPr>
        <w:t xml:space="preserve"> as a potential biofertilizer extends beyond plant growth promotion. Its involvement in soil bioremediation is particularly significant. Previous studies have demonstrated that </w:t>
      </w:r>
      <w:proofErr w:type="spellStart"/>
      <w:r>
        <w:rPr>
          <w:rFonts w:ascii="Arial" w:hAnsi="Arial"/>
          <w:i/>
        </w:rPr>
        <w:t>Chryseobacterium</w:t>
      </w:r>
      <w:proofErr w:type="spellEnd"/>
      <w:r>
        <w:rPr>
          <w:rFonts w:ascii="Arial" w:hAnsi="Arial"/>
          <w:i/>
        </w:rPr>
        <w:t xml:space="preserve"> </w:t>
      </w:r>
      <w:r>
        <w:rPr>
          <w:rFonts w:ascii="Arial" w:hAnsi="Arial"/>
        </w:rPr>
        <w:t>species can degrade heavy metals, pesticides and aromatic hydrocarbons, contributing to organic matter transformation and detoxification in polluted soils (Szoboszlay et al., 2009; Qu et al</w:t>
      </w:r>
      <w:r>
        <w:rPr>
          <w:rFonts w:ascii="Arial" w:hAnsi="Arial"/>
          <w:i/>
        </w:rPr>
        <w:t>.,</w:t>
      </w:r>
      <w:r>
        <w:rPr>
          <w:rFonts w:ascii="Arial" w:hAnsi="Arial"/>
        </w:rPr>
        <w:t xml:space="preserve"> 2015; Chaudhary &amp; Kim, 2017; Zhang et al., 2022). These attributes, coupled with its ability to produce extracellular enzymes and polysaccharides, may improve soil aggregation, enhance moisture retention, and promote microbial colonization, thereby facilitating the early stages of soil reclamation.</w:t>
      </w:r>
    </w:p>
    <w:p w14:paraId="74BCA22E" w14:textId="77777777" w:rsidR="00CD3DE2" w:rsidRDefault="005908EC">
      <w:pPr>
        <w:widowControl w:val="0"/>
        <w:tabs>
          <w:tab w:val="left" w:pos="0"/>
          <w:tab w:val="left" w:pos="220"/>
        </w:tabs>
        <w:autoSpaceDE w:val="0"/>
        <w:autoSpaceDN w:val="0"/>
        <w:adjustRightInd w:val="0"/>
        <w:spacing w:after="320"/>
        <w:ind w:left="-142"/>
        <w:jc w:val="both"/>
        <w:rPr>
          <w:rFonts w:ascii="Arial" w:hAnsi="Arial" w:cs="Arial"/>
          <w:b/>
          <w:sz w:val="22"/>
          <w:szCs w:val="22"/>
        </w:rPr>
      </w:pPr>
      <w:r>
        <w:rPr>
          <w:rFonts w:ascii="Arial" w:hAnsi="Arial" w:cs="Arial"/>
          <w:b/>
          <w:sz w:val="22"/>
          <w:szCs w:val="22"/>
        </w:rPr>
        <w:t>CONCLUSION</w:t>
      </w:r>
    </w:p>
    <w:p w14:paraId="03A6B3C1" w14:textId="77777777" w:rsidR="00CD3DE2" w:rsidRDefault="005908EC">
      <w:pPr>
        <w:widowControl w:val="0"/>
        <w:tabs>
          <w:tab w:val="left" w:pos="0"/>
          <w:tab w:val="left" w:pos="220"/>
        </w:tabs>
        <w:autoSpaceDE w:val="0"/>
        <w:autoSpaceDN w:val="0"/>
        <w:adjustRightInd w:val="0"/>
        <w:spacing w:after="320"/>
        <w:ind w:left="-142"/>
        <w:jc w:val="both"/>
        <w:rPr>
          <w:rFonts w:ascii="Arial" w:hAnsi="Arial" w:cs="Arial"/>
        </w:rPr>
      </w:pPr>
      <w:commentRangeStart w:id="8"/>
      <w:r>
        <w:rPr>
          <w:rFonts w:ascii="Arial" w:hAnsi="Arial" w:cs="Arial"/>
        </w:rPr>
        <w:t>Findings</w:t>
      </w:r>
      <w:commentRangeEnd w:id="8"/>
      <w:r w:rsidR="00D61115">
        <w:rPr>
          <w:rStyle w:val="a4"/>
          <w:rFonts w:ascii="Times New Roman" w:hAnsi="Times New Roman"/>
          <w:lang w:val="nb-NO" w:eastAsia="nb-NO"/>
        </w:rPr>
        <w:commentReference w:id="8"/>
      </w:r>
      <w:r>
        <w:rPr>
          <w:rFonts w:ascii="Arial" w:hAnsi="Arial" w:cs="Arial"/>
        </w:rPr>
        <w:t xml:space="preserve"> from this study revealed the Oligotrophic and acidic state of the coal mine soil and its impact on bacterial abundance. Despite these limitations, several bacterial isolates were successfully recovered from the coal mine soil, indicating that microbial life can persist even under extreme and nutrient limited conditions. Among the seven (7) bacterial isolates obtained,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i/>
        </w:rPr>
        <w:t xml:space="preserve"> </w:t>
      </w:r>
      <w:r>
        <w:rPr>
          <w:rFonts w:ascii="Arial" w:hAnsi="Arial" w:cs="Arial"/>
        </w:rPr>
        <w:t xml:space="preserve">was the only bacterium with the potential of producing indole-3-acetic acid (IAA), an important phytohormone that stimulate root and shoot elongation, cell division and plant development. Although none of the seven isolates exhibited phosphate solubilization activity, the ability of </w:t>
      </w:r>
      <w:proofErr w:type="spellStart"/>
      <w:r>
        <w:rPr>
          <w:rFonts w:ascii="Arial" w:hAnsi="Arial" w:cs="Arial"/>
          <w:i/>
        </w:rPr>
        <w:t>C.indologenes</w:t>
      </w:r>
      <w:proofErr w:type="spellEnd"/>
      <w:r>
        <w:rPr>
          <w:rFonts w:ascii="Arial" w:hAnsi="Arial" w:cs="Arial"/>
          <w:i/>
        </w:rPr>
        <w:t xml:space="preserve"> </w:t>
      </w:r>
      <w:r>
        <w:rPr>
          <w:rFonts w:ascii="Arial" w:hAnsi="Arial" w:cs="Arial"/>
        </w:rPr>
        <w:t xml:space="preserve">to produce IAA suggests that it could serve as a promising plant growth promoting bacterium useful in restoring coal mine soils and other degraded environments. These findings emphasize the adaptive capacity of native bacteria and their potential use in sustainable agricultural and environmental restoration. The outcome of this study points to the need for further exploration of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indologenes</w:t>
      </w:r>
      <w:proofErr w:type="spellEnd"/>
      <w:r>
        <w:rPr>
          <w:rFonts w:ascii="Arial" w:hAnsi="Arial" w:cs="Arial"/>
        </w:rPr>
        <w:t xml:space="preserve"> for the presence of other plant growth promoting traits, to fully understand its biological and ecological roles, and to evaluate its effectiveness under green house and field conditions for improving soil fertility. </w:t>
      </w:r>
    </w:p>
    <w:p w14:paraId="7515C45F" w14:textId="77777777" w:rsidR="00CD3DE2" w:rsidRDefault="00CD3DE2">
      <w:pPr>
        <w:pStyle w:val="ReferHead"/>
        <w:spacing w:after="0"/>
        <w:jc w:val="both"/>
        <w:rPr>
          <w:rFonts w:ascii="Arial" w:hAnsi="Arial" w:cs="Arial"/>
          <w:b w:val="0"/>
          <w:caps w:val="0"/>
          <w:sz w:val="20"/>
        </w:rPr>
      </w:pPr>
    </w:p>
    <w:p w14:paraId="5F1B6B78" w14:textId="77777777" w:rsidR="00CD3DE2" w:rsidRDefault="005908EC">
      <w:pPr>
        <w:pStyle w:val="ReferHead"/>
        <w:spacing w:after="0"/>
        <w:jc w:val="both"/>
        <w:rPr>
          <w:rFonts w:ascii="Arial" w:hAnsi="Arial" w:cs="Arial"/>
        </w:rPr>
      </w:pPr>
      <w:r>
        <w:rPr>
          <w:rFonts w:ascii="Arial" w:hAnsi="Arial" w:cs="Arial"/>
        </w:rPr>
        <w:t>References</w:t>
      </w:r>
    </w:p>
    <w:p w14:paraId="237EFC78"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commentRangeStart w:id="9"/>
      <w:proofErr w:type="spellStart"/>
      <w:r w:rsidRPr="00647D4B">
        <w:rPr>
          <w:rFonts w:ascii="Arial" w:hAnsi="Arial" w:cs="Arial"/>
        </w:rPr>
        <w:t>Adamiec</w:t>
      </w:r>
      <w:commentRangeEnd w:id="9"/>
      <w:proofErr w:type="spellEnd"/>
      <w:r w:rsidR="00D61115">
        <w:rPr>
          <w:rStyle w:val="a4"/>
          <w:rFonts w:ascii="Times New Roman" w:hAnsi="Times New Roman"/>
          <w:lang w:val="nb-NO" w:eastAsia="nb-NO"/>
        </w:rPr>
        <w:commentReference w:id="9"/>
      </w:r>
      <w:r w:rsidRPr="00647D4B">
        <w:rPr>
          <w:rFonts w:ascii="Arial" w:hAnsi="Arial" w:cs="Arial"/>
        </w:rPr>
        <w:t xml:space="preserve">, E., </w:t>
      </w:r>
      <w:proofErr w:type="spellStart"/>
      <w:r w:rsidRPr="00647D4B">
        <w:rPr>
          <w:rFonts w:ascii="Arial" w:hAnsi="Arial" w:cs="Arial"/>
        </w:rPr>
        <w:t>Jarosz-Krzemińska</w:t>
      </w:r>
      <w:proofErr w:type="spellEnd"/>
      <w:r w:rsidRPr="00647D4B">
        <w:rPr>
          <w:rFonts w:ascii="Arial" w:hAnsi="Arial" w:cs="Arial"/>
        </w:rPr>
        <w:t xml:space="preserve">, E., &amp; </w:t>
      </w:r>
      <w:proofErr w:type="spellStart"/>
      <w:r w:rsidRPr="00647D4B">
        <w:rPr>
          <w:rFonts w:ascii="Arial" w:hAnsi="Arial" w:cs="Arial"/>
        </w:rPr>
        <w:t>Wieszała</w:t>
      </w:r>
      <w:proofErr w:type="spellEnd"/>
      <w:r w:rsidRPr="00647D4B">
        <w:rPr>
          <w:rFonts w:ascii="Arial" w:hAnsi="Arial" w:cs="Arial"/>
        </w:rPr>
        <w:t xml:space="preserve">, R. (2016). Heavy metals from non-exhaust vehicle emissions in urban and motorway road dusts. Environmental Monitoring and Assessment, 188, 369. </w:t>
      </w:r>
      <w:hyperlink r:id="rId22" w:history="1">
        <w:r w:rsidRPr="004B2A9A">
          <w:rPr>
            <w:rStyle w:val="Hyperlink"/>
            <w:rFonts w:ascii="Arial" w:hAnsi="Arial" w:cs="Arial"/>
          </w:rPr>
          <w:t>https://doi.org/10.1007/s10661-016-5377-1</w:t>
        </w:r>
      </w:hyperlink>
      <w:r>
        <w:rPr>
          <w:rFonts w:ascii="Arial" w:hAnsi="Arial" w:cs="Arial"/>
        </w:rPr>
        <w:t xml:space="preserve"> </w:t>
      </w:r>
    </w:p>
    <w:p w14:paraId="26297C87"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rPr>
        <w:t xml:space="preserve">Adomako, E. E. A., &amp; </w:t>
      </w:r>
      <w:proofErr w:type="spellStart"/>
      <w:r w:rsidRPr="00647D4B">
        <w:rPr>
          <w:rFonts w:ascii="Arial" w:hAnsi="Arial" w:cs="Arial"/>
        </w:rPr>
        <w:t>Dellor</w:t>
      </w:r>
      <w:proofErr w:type="spellEnd"/>
      <w:r w:rsidRPr="00647D4B">
        <w:rPr>
          <w:rFonts w:ascii="Arial" w:hAnsi="Arial" w:cs="Arial"/>
        </w:rPr>
        <w:t>, D. (2023). A preliminary assessment of the effect of urban waste pollution in the Korle Lagoon area of Accra, Ghana, on nutrition and growth of maize (</w:t>
      </w:r>
      <w:proofErr w:type="spellStart"/>
      <w:r w:rsidRPr="00647D4B">
        <w:rPr>
          <w:rFonts w:ascii="Arial" w:hAnsi="Arial" w:cs="Arial"/>
        </w:rPr>
        <w:t>Zea</w:t>
      </w:r>
      <w:proofErr w:type="spellEnd"/>
      <w:r w:rsidRPr="00647D4B">
        <w:rPr>
          <w:rFonts w:ascii="Arial" w:hAnsi="Arial" w:cs="Arial"/>
        </w:rPr>
        <w:t xml:space="preserve"> mays L.) plants. Agricultural Sciences, 14, 843-854. </w:t>
      </w:r>
      <w:hyperlink r:id="rId23" w:history="1">
        <w:r w:rsidRPr="004B2A9A">
          <w:rPr>
            <w:rStyle w:val="Hyperlink"/>
            <w:rFonts w:ascii="Arial" w:hAnsi="Arial" w:cs="Arial"/>
          </w:rPr>
          <w:t>https://doi.org/10.4236/as.2023.146056</w:t>
        </w:r>
      </w:hyperlink>
      <w:r>
        <w:rPr>
          <w:rFonts w:ascii="Arial" w:hAnsi="Arial" w:cs="Arial"/>
        </w:rPr>
        <w:t xml:space="preserve"> </w:t>
      </w:r>
    </w:p>
    <w:p w14:paraId="60420D9D" w14:textId="77777777" w:rsidR="00647D4B" w:rsidRDefault="00647D4B" w:rsidP="00550364">
      <w:pPr>
        <w:widowControl w:val="0"/>
        <w:numPr>
          <w:ilvl w:val="0"/>
          <w:numId w:val="2"/>
        </w:numPr>
        <w:tabs>
          <w:tab w:val="left" w:pos="220"/>
          <w:tab w:val="left" w:pos="720"/>
        </w:tabs>
        <w:autoSpaceDE w:val="0"/>
        <w:autoSpaceDN w:val="0"/>
        <w:adjustRightInd w:val="0"/>
        <w:spacing w:after="320"/>
        <w:rPr>
          <w:rFonts w:ascii="Arial" w:hAnsi="Arial" w:cs="Arial"/>
        </w:rPr>
      </w:pPr>
      <w:proofErr w:type="spellStart"/>
      <w:r w:rsidRPr="00647D4B">
        <w:rPr>
          <w:rFonts w:ascii="Arial" w:hAnsi="Arial" w:cs="Arial"/>
        </w:rPr>
        <w:t>Ajuzieogu</w:t>
      </w:r>
      <w:proofErr w:type="spellEnd"/>
      <w:r w:rsidRPr="00647D4B">
        <w:rPr>
          <w:rFonts w:ascii="Arial" w:hAnsi="Arial" w:cs="Arial"/>
        </w:rPr>
        <w:t xml:space="preserve">, C. A., </w:t>
      </w:r>
      <w:proofErr w:type="spellStart"/>
      <w:r w:rsidRPr="00647D4B">
        <w:rPr>
          <w:rFonts w:ascii="Arial" w:hAnsi="Arial" w:cs="Arial"/>
        </w:rPr>
        <w:t>Ibiene</w:t>
      </w:r>
      <w:proofErr w:type="spellEnd"/>
      <w:r w:rsidRPr="00647D4B">
        <w:rPr>
          <w:rFonts w:ascii="Arial" w:hAnsi="Arial" w:cs="Arial"/>
        </w:rPr>
        <w:t xml:space="preserve">, A. A., &amp; Stanley, H. O. (2015). Laboratory study on influence of plant growth promoting rhizobacteria (PGPR) on growth response and tolerance of </w:t>
      </w:r>
      <w:proofErr w:type="spellStart"/>
      <w:r w:rsidRPr="00647D4B">
        <w:rPr>
          <w:rFonts w:ascii="Arial" w:hAnsi="Arial" w:cs="Arial"/>
        </w:rPr>
        <w:t>Zea</w:t>
      </w:r>
      <w:proofErr w:type="spellEnd"/>
      <w:r w:rsidRPr="00647D4B">
        <w:rPr>
          <w:rFonts w:ascii="Arial" w:hAnsi="Arial" w:cs="Arial"/>
        </w:rPr>
        <w:t xml:space="preserve"> mays to petroleum hydrocarbon. African Journal of Biotechnology, 14(43), 2949-2956. </w:t>
      </w:r>
      <w:hyperlink r:id="rId24" w:history="1">
        <w:r w:rsidRPr="004B2A9A">
          <w:rPr>
            <w:rStyle w:val="Hyperlink"/>
            <w:rFonts w:ascii="Arial" w:hAnsi="Arial" w:cs="Arial"/>
          </w:rPr>
          <w:t>https://doi.org/10.5897/AJB2015.14549</w:t>
        </w:r>
      </w:hyperlink>
      <w:r>
        <w:rPr>
          <w:rFonts w:ascii="Arial" w:hAnsi="Arial" w:cs="Arial"/>
        </w:rPr>
        <w:t xml:space="preserve"> </w:t>
      </w:r>
    </w:p>
    <w:p w14:paraId="2EE24E63"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Alori</w:t>
      </w:r>
      <w:proofErr w:type="spellEnd"/>
      <w:r w:rsidRPr="00647D4B">
        <w:rPr>
          <w:rFonts w:ascii="Arial" w:hAnsi="Arial" w:cs="Arial"/>
        </w:rPr>
        <w:t xml:space="preserve">, E. T., Glick, B. R., &amp; Babalola, O. O. (2017). Microbial Phosphorus Solubilization and Its Potential for Use in Sustainable Agriculture. Frontiers in Microbiology, 8, 971. </w:t>
      </w:r>
      <w:hyperlink r:id="rId25" w:history="1">
        <w:r w:rsidRPr="004B2A9A">
          <w:rPr>
            <w:rStyle w:val="Hyperlink"/>
            <w:rFonts w:ascii="Arial" w:hAnsi="Arial" w:cs="Arial"/>
          </w:rPr>
          <w:t>https://doi.org/10.3389/fmicb.2017.00971</w:t>
        </w:r>
      </w:hyperlink>
      <w:r>
        <w:rPr>
          <w:rFonts w:ascii="Arial" w:hAnsi="Arial" w:cs="Arial"/>
        </w:rPr>
        <w:t xml:space="preserve"> </w:t>
      </w:r>
    </w:p>
    <w:p w14:paraId="494E01CD"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Ambreetha</w:t>
      </w:r>
      <w:proofErr w:type="spellEnd"/>
      <w:r w:rsidRPr="00647D4B">
        <w:rPr>
          <w:rFonts w:ascii="Arial" w:hAnsi="Arial" w:cs="Arial"/>
        </w:rPr>
        <w:t xml:space="preserve">, S., </w:t>
      </w:r>
      <w:proofErr w:type="spellStart"/>
      <w:r w:rsidRPr="00647D4B">
        <w:rPr>
          <w:rFonts w:ascii="Arial" w:hAnsi="Arial" w:cs="Arial"/>
        </w:rPr>
        <w:t>Chinnadurai</w:t>
      </w:r>
      <w:proofErr w:type="spellEnd"/>
      <w:r w:rsidRPr="00647D4B">
        <w:rPr>
          <w:rFonts w:ascii="Arial" w:hAnsi="Arial" w:cs="Arial"/>
        </w:rPr>
        <w:t xml:space="preserve">, C., </w:t>
      </w:r>
      <w:proofErr w:type="spellStart"/>
      <w:r w:rsidRPr="00647D4B">
        <w:rPr>
          <w:rFonts w:ascii="Arial" w:hAnsi="Arial" w:cs="Arial"/>
        </w:rPr>
        <w:t>Marimuthu</w:t>
      </w:r>
      <w:proofErr w:type="spellEnd"/>
      <w:r w:rsidRPr="00647D4B">
        <w:rPr>
          <w:rFonts w:ascii="Arial" w:hAnsi="Arial" w:cs="Arial"/>
        </w:rPr>
        <w:t xml:space="preserve">, P., &amp; </w:t>
      </w:r>
      <w:proofErr w:type="spellStart"/>
      <w:r w:rsidRPr="00647D4B">
        <w:rPr>
          <w:rFonts w:ascii="Arial" w:hAnsi="Arial" w:cs="Arial"/>
        </w:rPr>
        <w:t>Balachandar</w:t>
      </w:r>
      <w:proofErr w:type="spellEnd"/>
      <w:r w:rsidRPr="00647D4B">
        <w:rPr>
          <w:rFonts w:ascii="Arial" w:hAnsi="Arial" w:cs="Arial"/>
        </w:rPr>
        <w:t xml:space="preserve">, D. (2018). Plant-associated Bacillus modulates </w:t>
      </w:r>
      <w:r w:rsidRPr="00647D4B">
        <w:rPr>
          <w:rFonts w:ascii="Arial" w:hAnsi="Arial" w:cs="Arial"/>
        </w:rPr>
        <w:lastRenderedPageBreak/>
        <w:t xml:space="preserve">the expression of auxin-responsive genes of rice and modifies the root architecture. Rhizosphere, 5, 57-66. </w:t>
      </w:r>
      <w:hyperlink r:id="rId26" w:history="1">
        <w:r w:rsidRPr="004B2A9A">
          <w:rPr>
            <w:rStyle w:val="Hyperlink"/>
            <w:rFonts w:ascii="Arial" w:hAnsi="Arial" w:cs="Arial"/>
          </w:rPr>
          <w:t>https://doi.org/10.1016/j.rhisph.2017.12.001</w:t>
        </w:r>
      </w:hyperlink>
      <w:r>
        <w:rPr>
          <w:rFonts w:ascii="Arial" w:hAnsi="Arial" w:cs="Arial"/>
        </w:rPr>
        <w:t xml:space="preserve"> </w:t>
      </w:r>
    </w:p>
    <w:p w14:paraId="2511CEC9"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Arouna</w:t>
      </w:r>
      <w:proofErr w:type="spellEnd"/>
      <w:r w:rsidRPr="00647D4B">
        <w:rPr>
          <w:rFonts w:ascii="Arial" w:hAnsi="Arial" w:cs="Arial"/>
        </w:rPr>
        <w:t xml:space="preserve">, O., Deluca, F., </w:t>
      </w:r>
      <w:proofErr w:type="spellStart"/>
      <w:r w:rsidRPr="00647D4B">
        <w:rPr>
          <w:rFonts w:ascii="Arial" w:hAnsi="Arial" w:cs="Arial"/>
        </w:rPr>
        <w:t>Camara</w:t>
      </w:r>
      <w:proofErr w:type="spellEnd"/>
      <w:r w:rsidRPr="00647D4B">
        <w:rPr>
          <w:rFonts w:ascii="Arial" w:hAnsi="Arial" w:cs="Arial"/>
        </w:rPr>
        <w:t xml:space="preserve">, M., Fall, B., Fall, B., Ba Diallo, A., </w:t>
      </w:r>
      <w:proofErr w:type="spellStart"/>
      <w:r w:rsidRPr="00647D4B">
        <w:rPr>
          <w:rFonts w:ascii="Arial" w:hAnsi="Arial" w:cs="Arial"/>
        </w:rPr>
        <w:t>Docquier</w:t>
      </w:r>
      <w:proofErr w:type="spellEnd"/>
      <w:r w:rsidRPr="00647D4B">
        <w:rPr>
          <w:rFonts w:ascii="Arial" w:hAnsi="Arial" w:cs="Arial"/>
        </w:rPr>
        <w:t xml:space="preserve">, J. D., &amp; </w:t>
      </w:r>
      <w:proofErr w:type="spellStart"/>
      <w:r w:rsidRPr="00647D4B">
        <w:rPr>
          <w:rFonts w:ascii="Arial" w:hAnsi="Arial" w:cs="Arial"/>
        </w:rPr>
        <w:t>Mboup</w:t>
      </w:r>
      <w:proofErr w:type="spellEnd"/>
      <w:r w:rsidRPr="00647D4B">
        <w:rPr>
          <w:rFonts w:ascii="Arial" w:hAnsi="Arial" w:cs="Arial"/>
        </w:rPr>
        <w:t xml:space="preserve">, S. (2017). </w:t>
      </w:r>
      <w:proofErr w:type="spellStart"/>
      <w:r w:rsidRPr="00647D4B">
        <w:rPr>
          <w:rFonts w:ascii="Arial" w:hAnsi="Arial" w:cs="Arial"/>
        </w:rPr>
        <w:t>Chryseobacterium</w:t>
      </w:r>
      <w:proofErr w:type="spellEnd"/>
      <w:r w:rsidRPr="00647D4B">
        <w:rPr>
          <w:rFonts w:ascii="Arial" w:hAnsi="Arial" w:cs="Arial"/>
        </w:rPr>
        <w:t xml:space="preserve"> </w:t>
      </w:r>
      <w:proofErr w:type="spellStart"/>
      <w:r w:rsidRPr="00647D4B">
        <w:rPr>
          <w:rFonts w:ascii="Arial" w:hAnsi="Arial" w:cs="Arial"/>
        </w:rPr>
        <w:t>gleum</w:t>
      </w:r>
      <w:proofErr w:type="spellEnd"/>
      <w:r w:rsidRPr="00647D4B">
        <w:rPr>
          <w:rFonts w:ascii="Arial" w:hAnsi="Arial" w:cs="Arial"/>
        </w:rPr>
        <w:t xml:space="preserve"> in a man with prostatectomy in Senegal: A case report and review of the literature. Journal of Medical Case Reports, 11(1), 118. </w:t>
      </w:r>
      <w:hyperlink r:id="rId27" w:history="1">
        <w:r w:rsidRPr="004B2A9A">
          <w:rPr>
            <w:rStyle w:val="Hyperlink"/>
            <w:rFonts w:ascii="Arial" w:hAnsi="Arial" w:cs="Arial"/>
          </w:rPr>
          <w:t>https://doi.org/10.1186/s13256-017-1269-4</w:t>
        </w:r>
      </w:hyperlink>
      <w:r>
        <w:rPr>
          <w:rFonts w:ascii="Arial" w:hAnsi="Arial" w:cs="Arial"/>
        </w:rPr>
        <w:t xml:space="preserve"> </w:t>
      </w:r>
    </w:p>
    <w:p w14:paraId="5AD0A608"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Style w:val="ad"/>
          <w:rFonts w:ascii="Arial" w:hAnsi="Arial" w:cs="Arial"/>
          <w:b w:val="0"/>
          <w:bCs w:val="0"/>
        </w:rPr>
      </w:pPr>
      <w:r w:rsidRPr="00647D4B">
        <w:rPr>
          <w:rStyle w:val="ad"/>
          <w:rFonts w:ascii="Arial" w:hAnsi="Arial" w:cs="Arial"/>
          <w:b w:val="0"/>
        </w:rPr>
        <w:t xml:space="preserve">ASTM International. (2013). ASTM D2974-13: Standard test methods for moisture, ash, and organic matter of peat and other organic soils. West Conshohocken, PA: ASTM International. </w:t>
      </w:r>
      <w:hyperlink r:id="rId28" w:history="1">
        <w:r w:rsidRPr="004B2A9A">
          <w:rPr>
            <w:rStyle w:val="Hyperlink"/>
            <w:rFonts w:ascii="Arial" w:hAnsi="Arial" w:cs="Arial"/>
          </w:rPr>
          <w:t>https://doi.org/10.1520/D2974-13</w:t>
        </w:r>
      </w:hyperlink>
      <w:r>
        <w:rPr>
          <w:rStyle w:val="ad"/>
          <w:rFonts w:ascii="Arial" w:hAnsi="Arial" w:cs="Arial"/>
          <w:b w:val="0"/>
        </w:rPr>
        <w:t xml:space="preserve"> </w:t>
      </w:r>
    </w:p>
    <w:p w14:paraId="5FF197F5"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rPr>
        <w:t xml:space="preserve">ASTM International. (2007). *Standard test method for particle-size analysis of soils* (ASTM D422-63(2007)e2). ASTM International. </w:t>
      </w:r>
      <w:hyperlink r:id="rId29" w:history="1">
        <w:r w:rsidRPr="004B2A9A">
          <w:rPr>
            <w:rStyle w:val="Hyperlink"/>
            <w:rFonts w:ascii="Arial" w:hAnsi="Arial" w:cs="Arial"/>
          </w:rPr>
          <w:t>https://doi.org/10.1520/D0422-63R07E02</w:t>
        </w:r>
      </w:hyperlink>
      <w:r>
        <w:rPr>
          <w:rFonts w:ascii="Arial" w:hAnsi="Arial" w:cs="Arial"/>
        </w:rPr>
        <w:t xml:space="preserve"> </w:t>
      </w:r>
    </w:p>
    <w:p w14:paraId="786130A2"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bCs/>
          <w:kern w:val="36"/>
        </w:rPr>
        <w:t>Bamdad</w:t>
      </w:r>
      <w:proofErr w:type="spellEnd"/>
      <w:r w:rsidRPr="00647D4B">
        <w:rPr>
          <w:rFonts w:ascii="Arial" w:hAnsi="Arial" w:cs="Arial"/>
          <w:bCs/>
          <w:kern w:val="36"/>
        </w:rPr>
        <w:t xml:space="preserve">, H., </w:t>
      </w:r>
      <w:proofErr w:type="spellStart"/>
      <w:r w:rsidRPr="00647D4B">
        <w:rPr>
          <w:rFonts w:ascii="Arial" w:hAnsi="Arial" w:cs="Arial"/>
          <w:bCs/>
          <w:kern w:val="36"/>
        </w:rPr>
        <w:t>Papari</w:t>
      </w:r>
      <w:proofErr w:type="spellEnd"/>
      <w:r w:rsidRPr="00647D4B">
        <w:rPr>
          <w:rFonts w:ascii="Arial" w:hAnsi="Arial" w:cs="Arial"/>
          <w:bCs/>
          <w:kern w:val="36"/>
        </w:rPr>
        <w:t xml:space="preserve">, S., </w:t>
      </w:r>
      <w:proofErr w:type="spellStart"/>
      <w:r w:rsidRPr="00647D4B">
        <w:rPr>
          <w:rFonts w:ascii="Arial" w:hAnsi="Arial" w:cs="Arial"/>
          <w:bCs/>
          <w:kern w:val="36"/>
        </w:rPr>
        <w:t>Lazarovits</w:t>
      </w:r>
      <w:proofErr w:type="spellEnd"/>
      <w:r w:rsidRPr="00647D4B">
        <w:rPr>
          <w:rFonts w:ascii="Arial" w:hAnsi="Arial" w:cs="Arial"/>
          <w:bCs/>
          <w:kern w:val="36"/>
        </w:rPr>
        <w:t xml:space="preserve">, G., &amp; </w:t>
      </w:r>
      <w:proofErr w:type="spellStart"/>
      <w:r w:rsidRPr="00647D4B">
        <w:rPr>
          <w:rFonts w:ascii="Arial" w:hAnsi="Arial" w:cs="Arial"/>
          <w:bCs/>
          <w:kern w:val="36"/>
        </w:rPr>
        <w:t>Berruti</w:t>
      </w:r>
      <w:proofErr w:type="spellEnd"/>
      <w:r w:rsidRPr="00647D4B">
        <w:rPr>
          <w:rFonts w:ascii="Arial" w:hAnsi="Arial" w:cs="Arial"/>
          <w:bCs/>
          <w:kern w:val="36"/>
        </w:rPr>
        <w:t xml:space="preserve">, F. (2021). Soil amendments for sustainable agriculture: Microbial organic fertilizers. Soil Use and Management, 38, 94–120. </w:t>
      </w:r>
      <w:hyperlink r:id="rId30" w:history="1">
        <w:r w:rsidRPr="004B2A9A">
          <w:rPr>
            <w:rStyle w:val="Hyperlink"/>
            <w:rFonts w:ascii="Arial" w:hAnsi="Arial" w:cs="Arial"/>
            <w:bCs/>
            <w:kern w:val="36"/>
          </w:rPr>
          <w:t>https://doi.org/10.1111/sum.12762</w:t>
        </w:r>
      </w:hyperlink>
      <w:r>
        <w:rPr>
          <w:rFonts w:ascii="Arial" w:hAnsi="Arial" w:cs="Arial"/>
          <w:bCs/>
          <w:kern w:val="36"/>
        </w:rPr>
        <w:t xml:space="preserve"> </w:t>
      </w:r>
    </w:p>
    <w:p w14:paraId="3583AF5A"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Bankole, M. T., </w:t>
      </w:r>
      <w:proofErr w:type="spellStart"/>
      <w:r w:rsidRPr="00647D4B">
        <w:rPr>
          <w:rFonts w:ascii="Arial" w:hAnsi="Arial" w:cs="Arial"/>
          <w:bCs/>
          <w:kern w:val="36"/>
        </w:rPr>
        <w:t>Abdulkareem</w:t>
      </w:r>
      <w:proofErr w:type="spellEnd"/>
      <w:r w:rsidRPr="00647D4B">
        <w:rPr>
          <w:rFonts w:ascii="Arial" w:hAnsi="Arial" w:cs="Arial"/>
          <w:bCs/>
          <w:kern w:val="36"/>
        </w:rPr>
        <w:t xml:space="preserve">, A. S., Mohammed, I. A., </w:t>
      </w:r>
      <w:proofErr w:type="spellStart"/>
      <w:r w:rsidRPr="00647D4B">
        <w:rPr>
          <w:rFonts w:ascii="Arial" w:hAnsi="Arial" w:cs="Arial"/>
          <w:bCs/>
          <w:kern w:val="36"/>
        </w:rPr>
        <w:t>Ochigbo</w:t>
      </w:r>
      <w:proofErr w:type="spellEnd"/>
      <w:r w:rsidRPr="00647D4B">
        <w:rPr>
          <w:rFonts w:ascii="Arial" w:hAnsi="Arial" w:cs="Arial"/>
          <w:bCs/>
          <w:kern w:val="36"/>
        </w:rPr>
        <w:t xml:space="preserve">, S. S., Tijani, J. O., </w:t>
      </w:r>
      <w:proofErr w:type="spellStart"/>
      <w:r w:rsidRPr="00647D4B">
        <w:rPr>
          <w:rFonts w:ascii="Arial" w:hAnsi="Arial" w:cs="Arial"/>
          <w:bCs/>
          <w:kern w:val="36"/>
        </w:rPr>
        <w:t>Abubakre</w:t>
      </w:r>
      <w:proofErr w:type="spellEnd"/>
      <w:r w:rsidRPr="00647D4B">
        <w:rPr>
          <w:rFonts w:ascii="Arial" w:hAnsi="Arial" w:cs="Arial"/>
          <w:bCs/>
          <w:kern w:val="36"/>
        </w:rPr>
        <w:t xml:space="preserve">, O. K., &amp; </w:t>
      </w:r>
      <w:proofErr w:type="spellStart"/>
      <w:r w:rsidRPr="00647D4B">
        <w:rPr>
          <w:rFonts w:ascii="Arial" w:hAnsi="Arial" w:cs="Arial"/>
          <w:bCs/>
          <w:kern w:val="36"/>
        </w:rPr>
        <w:t>Roos</w:t>
      </w:r>
      <w:proofErr w:type="spellEnd"/>
      <w:r w:rsidRPr="00647D4B">
        <w:rPr>
          <w:rFonts w:ascii="Arial" w:hAnsi="Arial" w:cs="Arial"/>
          <w:bCs/>
          <w:kern w:val="36"/>
        </w:rPr>
        <w:t xml:space="preserve">, W. D. (2019). Selected heavy metals removal from electroplating wastewater by purified and </w:t>
      </w:r>
      <w:proofErr w:type="spellStart"/>
      <w:r w:rsidRPr="00647D4B">
        <w:rPr>
          <w:rFonts w:ascii="Arial" w:hAnsi="Arial" w:cs="Arial"/>
          <w:bCs/>
          <w:kern w:val="36"/>
        </w:rPr>
        <w:t>polyhydroxylbutyrate</w:t>
      </w:r>
      <w:proofErr w:type="spellEnd"/>
      <w:r w:rsidRPr="00647D4B">
        <w:rPr>
          <w:rFonts w:ascii="Arial" w:hAnsi="Arial" w:cs="Arial"/>
          <w:bCs/>
          <w:kern w:val="36"/>
        </w:rPr>
        <w:t xml:space="preserve"> functionalized carbon nanotubes adsorbents. Scientific Reports, 9, 4475. </w:t>
      </w:r>
      <w:hyperlink r:id="rId31" w:history="1">
        <w:r w:rsidRPr="004B2A9A">
          <w:rPr>
            <w:rStyle w:val="Hyperlink"/>
            <w:rFonts w:ascii="Arial" w:hAnsi="Arial" w:cs="Arial"/>
            <w:bCs/>
            <w:kern w:val="36"/>
          </w:rPr>
          <w:t>https://doi.org/10.1038/s41598-018-37899-4</w:t>
        </w:r>
      </w:hyperlink>
      <w:r>
        <w:rPr>
          <w:rFonts w:ascii="Arial" w:hAnsi="Arial" w:cs="Arial"/>
          <w:bCs/>
          <w:kern w:val="36"/>
        </w:rPr>
        <w:t xml:space="preserve"> </w:t>
      </w:r>
    </w:p>
    <w:p w14:paraId="5E9EC7CF"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i/>
        </w:rPr>
      </w:pPr>
      <w:proofErr w:type="spellStart"/>
      <w:r w:rsidRPr="00647D4B">
        <w:rPr>
          <w:rFonts w:ascii="Arial" w:hAnsi="Arial" w:cs="Arial"/>
          <w:bCs/>
          <w:kern w:val="36"/>
        </w:rPr>
        <w:t>Bhise</w:t>
      </w:r>
      <w:proofErr w:type="spellEnd"/>
      <w:r w:rsidRPr="00647D4B">
        <w:rPr>
          <w:rFonts w:ascii="Arial" w:hAnsi="Arial" w:cs="Arial"/>
          <w:bCs/>
          <w:kern w:val="36"/>
        </w:rPr>
        <w:t xml:space="preserve">, K. K., Bhagwat, P. K., &amp; </w:t>
      </w:r>
      <w:proofErr w:type="spellStart"/>
      <w:r w:rsidRPr="00647D4B">
        <w:rPr>
          <w:rFonts w:ascii="Arial" w:hAnsi="Arial" w:cs="Arial"/>
          <w:bCs/>
          <w:kern w:val="36"/>
        </w:rPr>
        <w:t>Dandge</w:t>
      </w:r>
      <w:proofErr w:type="spellEnd"/>
      <w:r w:rsidRPr="00647D4B">
        <w:rPr>
          <w:rFonts w:ascii="Arial" w:hAnsi="Arial" w:cs="Arial"/>
          <w:bCs/>
          <w:kern w:val="36"/>
        </w:rPr>
        <w:t xml:space="preserve">, P. B. (2017). Synergistic effect of </w:t>
      </w:r>
      <w:proofErr w:type="spellStart"/>
      <w:r w:rsidRPr="00647D4B">
        <w:rPr>
          <w:rFonts w:ascii="Arial" w:hAnsi="Arial" w:cs="Arial"/>
          <w:bCs/>
          <w:kern w:val="36"/>
        </w:rPr>
        <w:t>Chryseobacterium</w:t>
      </w:r>
      <w:proofErr w:type="spellEnd"/>
      <w:r w:rsidRPr="00647D4B">
        <w:rPr>
          <w:rFonts w:ascii="Arial" w:hAnsi="Arial" w:cs="Arial"/>
          <w:bCs/>
          <w:kern w:val="36"/>
        </w:rPr>
        <w:t xml:space="preserve"> </w:t>
      </w:r>
      <w:proofErr w:type="spellStart"/>
      <w:r w:rsidRPr="00647D4B">
        <w:rPr>
          <w:rFonts w:ascii="Arial" w:hAnsi="Arial" w:cs="Arial"/>
          <w:bCs/>
          <w:kern w:val="36"/>
        </w:rPr>
        <w:t>gleum</w:t>
      </w:r>
      <w:proofErr w:type="spellEnd"/>
      <w:r w:rsidRPr="00647D4B">
        <w:rPr>
          <w:rFonts w:ascii="Arial" w:hAnsi="Arial" w:cs="Arial"/>
          <w:bCs/>
          <w:kern w:val="36"/>
        </w:rPr>
        <w:t xml:space="preserve"> sp. SUK with ACC deaminase activity in alleviation of salt stress and plant growth promotion in </w:t>
      </w:r>
      <w:proofErr w:type="spellStart"/>
      <w:r w:rsidRPr="00647D4B">
        <w:rPr>
          <w:rFonts w:ascii="Arial" w:hAnsi="Arial" w:cs="Arial"/>
          <w:bCs/>
          <w:kern w:val="36"/>
        </w:rPr>
        <w:t>Triticum</w:t>
      </w:r>
      <w:proofErr w:type="spellEnd"/>
      <w:r w:rsidRPr="00647D4B">
        <w:rPr>
          <w:rFonts w:ascii="Arial" w:hAnsi="Arial" w:cs="Arial"/>
          <w:bCs/>
          <w:kern w:val="36"/>
        </w:rPr>
        <w:t xml:space="preserve"> </w:t>
      </w:r>
      <w:proofErr w:type="spellStart"/>
      <w:r w:rsidRPr="00647D4B">
        <w:rPr>
          <w:rFonts w:ascii="Arial" w:hAnsi="Arial" w:cs="Arial"/>
          <w:bCs/>
          <w:kern w:val="36"/>
        </w:rPr>
        <w:t>aestivum</w:t>
      </w:r>
      <w:proofErr w:type="spellEnd"/>
      <w:r w:rsidRPr="00647D4B">
        <w:rPr>
          <w:rFonts w:ascii="Arial" w:hAnsi="Arial" w:cs="Arial"/>
          <w:bCs/>
          <w:kern w:val="36"/>
        </w:rPr>
        <w:t xml:space="preserve"> L. 3 Biotech, 7(2), 105. </w:t>
      </w:r>
      <w:hyperlink r:id="rId32" w:history="1">
        <w:r w:rsidRPr="004B2A9A">
          <w:rPr>
            <w:rStyle w:val="Hyperlink"/>
            <w:rFonts w:ascii="Arial" w:hAnsi="Arial" w:cs="Arial"/>
            <w:bCs/>
            <w:kern w:val="36"/>
          </w:rPr>
          <w:t>https://doi.org/10.1007/s13205-017-0739-0</w:t>
        </w:r>
      </w:hyperlink>
      <w:r>
        <w:rPr>
          <w:rFonts w:ascii="Arial" w:hAnsi="Arial" w:cs="Arial"/>
          <w:bCs/>
          <w:kern w:val="36"/>
        </w:rPr>
        <w:t xml:space="preserve"> </w:t>
      </w:r>
    </w:p>
    <w:p w14:paraId="0B945704"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Booth, S. J. (2014). </w:t>
      </w:r>
      <w:proofErr w:type="spellStart"/>
      <w:r w:rsidRPr="00647D4B">
        <w:rPr>
          <w:rFonts w:ascii="Arial" w:hAnsi="Arial" w:cs="Arial"/>
          <w:bCs/>
          <w:kern w:val="36"/>
        </w:rPr>
        <w:t>Chryseobacterium</w:t>
      </w:r>
      <w:proofErr w:type="spellEnd"/>
      <w:r w:rsidRPr="00647D4B">
        <w:rPr>
          <w:rFonts w:ascii="Arial" w:hAnsi="Arial" w:cs="Arial"/>
          <w:bCs/>
          <w:kern w:val="36"/>
        </w:rPr>
        <w:t xml:space="preserve"> related genera infections. In Reference Module in Biomedical Sciences (pp. 1-4). Elsevier. </w:t>
      </w:r>
      <w:hyperlink r:id="rId33" w:history="1">
        <w:r w:rsidRPr="004B2A9A">
          <w:rPr>
            <w:rStyle w:val="Hyperlink"/>
            <w:rFonts w:ascii="Arial" w:hAnsi="Arial" w:cs="Arial"/>
            <w:bCs/>
            <w:kern w:val="36"/>
          </w:rPr>
          <w:t>https://doi.org/10.1016/b978-0-12-801238-3.04922-9</w:t>
        </w:r>
      </w:hyperlink>
      <w:r>
        <w:rPr>
          <w:rFonts w:ascii="Arial" w:hAnsi="Arial" w:cs="Arial"/>
          <w:bCs/>
          <w:kern w:val="36"/>
        </w:rPr>
        <w:t xml:space="preserve"> </w:t>
      </w:r>
    </w:p>
    <w:p w14:paraId="7FA2C1C8"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bCs/>
          <w:kern w:val="36"/>
        </w:rPr>
        <w:t>Chamkhi</w:t>
      </w:r>
      <w:proofErr w:type="spellEnd"/>
      <w:r w:rsidRPr="00647D4B">
        <w:rPr>
          <w:rFonts w:ascii="Arial" w:hAnsi="Arial" w:cs="Arial"/>
          <w:bCs/>
          <w:kern w:val="36"/>
        </w:rPr>
        <w:t xml:space="preserve">, I., El Omari, N., </w:t>
      </w:r>
      <w:proofErr w:type="spellStart"/>
      <w:r w:rsidRPr="00647D4B">
        <w:rPr>
          <w:rFonts w:ascii="Arial" w:hAnsi="Arial" w:cs="Arial"/>
          <w:bCs/>
          <w:kern w:val="36"/>
        </w:rPr>
        <w:t>Balahbib</w:t>
      </w:r>
      <w:proofErr w:type="spellEnd"/>
      <w:r w:rsidRPr="00647D4B">
        <w:rPr>
          <w:rFonts w:ascii="Arial" w:hAnsi="Arial" w:cs="Arial"/>
          <w:bCs/>
          <w:kern w:val="36"/>
        </w:rPr>
        <w:t xml:space="preserve">, A., El </w:t>
      </w:r>
      <w:proofErr w:type="spellStart"/>
      <w:r w:rsidRPr="00647D4B">
        <w:rPr>
          <w:rFonts w:ascii="Arial" w:hAnsi="Arial" w:cs="Arial"/>
          <w:bCs/>
          <w:kern w:val="36"/>
        </w:rPr>
        <w:t>Menyiy</w:t>
      </w:r>
      <w:proofErr w:type="spellEnd"/>
      <w:r w:rsidRPr="00647D4B">
        <w:rPr>
          <w:rFonts w:ascii="Arial" w:hAnsi="Arial" w:cs="Arial"/>
          <w:bCs/>
          <w:kern w:val="36"/>
        </w:rPr>
        <w:t xml:space="preserve">, N., </w:t>
      </w:r>
      <w:proofErr w:type="spellStart"/>
      <w:r w:rsidRPr="00647D4B">
        <w:rPr>
          <w:rFonts w:ascii="Arial" w:hAnsi="Arial" w:cs="Arial"/>
          <w:bCs/>
          <w:kern w:val="36"/>
        </w:rPr>
        <w:t>Benali</w:t>
      </w:r>
      <w:proofErr w:type="spellEnd"/>
      <w:r w:rsidRPr="00647D4B">
        <w:rPr>
          <w:rFonts w:ascii="Arial" w:hAnsi="Arial" w:cs="Arial"/>
          <w:bCs/>
          <w:kern w:val="36"/>
        </w:rPr>
        <w:t xml:space="preserve">, T., &amp; </w:t>
      </w:r>
      <w:proofErr w:type="spellStart"/>
      <w:r w:rsidRPr="00647D4B">
        <w:rPr>
          <w:rFonts w:ascii="Arial" w:hAnsi="Arial" w:cs="Arial"/>
          <w:bCs/>
          <w:kern w:val="36"/>
        </w:rPr>
        <w:t>Ghoulam</w:t>
      </w:r>
      <w:proofErr w:type="spellEnd"/>
      <w:r w:rsidRPr="00647D4B">
        <w:rPr>
          <w:rFonts w:ascii="Arial" w:hAnsi="Arial" w:cs="Arial"/>
          <w:bCs/>
          <w:kern w:val="36"/>
        </w:rPr>
        <w:t xml:space="preserve">, C. (2022). Is the rhizosphere a source of applicable multi-beneficial microorganisms for plant enhancement? Saudi Journal of Biological Sciences. </w:t>
      </w:r>
      <w:hyperlink r:id="rId34" w:history="1">
        <w:r w:rsidRPr="004B2A9A">
          <w:rPr>
            <w:rStyle w:val="Hyperlink"/>
            <w:rFonts w:ascii="Arial" w:hAnsi="Arial" w:cs="Arial"/>
            <w:bCs/>
            <w:kern w:val="36"/>
          </w:rPr>
          <w:t>https://doi.org/10.1016/j.sjbs.2021.09.032</w:t>
        </w:r>
      </w:hyperlink>
      <w:r>
        <w:rPr>
          <w:rFonts w:ascii="Arial" w:hAnsi="Arial" w:cs="Arial"/>
          <w:bCs/>
          <w:kern w:val="36"/>
        </w:rPr>
        <w:t xml:space="preserve"> </w:t>
      </w:r>
    </w:p>
    <w:p w14:paraId="27408E40"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Chaudhary, D. K., &amp; Kim, J. (2017). </w:t>
      </w:r>
      <w:proofErr w:type="spellStart"/>
      <w:r w:rsidRPr="00647D4B">
        <w:rPr>
          <w:rFonts w:ascii="Arial" w:hAnsi="Arial" w:cs="Arial"/>
          <w:bCs/>
          <w:kern w:val="36"/>
        </w:rPr>
        <w:t>Chryseobacterium</w:t>
      </w:r>
      <w:proofErr w:type="spellEnd"/>
      <w:r w:rsidRPr="00647D4B">
        <w:rPr>
          <w:rFonts w:ascii="Arial" w:hAnsi="Arial" w:cs="Arial"/>
          <w:bCs/>
          <w:kern w:val="36"/>
        </w:rPr>
        <w:t xml:space="preserve"> </w:t>
      </w:r>
      <w:proofErr w:type="spellStart"/>
      <w:r w:rsidRPr="00647D4B">
        <w:rPr>
          <w:rFonts w:ascii="Arial" w:hAnsi="Arial" w:cs="Arial"/>
          <w:bCs/>
          <w:kern w:val="36"/>
        </w:rPr>
        <w:t>nepalense</w:t>
      </w:r>
      <w:proofErr w:type="spellEnd"/>
      <w:r w:rsidRPr="00647D4B">
        <w:rPr>
          <w:rFonts w:ascii="Arial" w:hAnsi="Arial" w:cs="Arial"/>
          <w:bCs/>
          <w:kern w:val="36"/>
        </w:rPr>
        <w:t xml:space="preserve"> sp. </w:t>
      </w:r>
      <w:proofErr w:type="spellStart"/>
      <w:r w:rsidRPr="00647D4B">
        <w:rPr>
          <w:rFonts w:ascii="Arial" w:hAnsi="Arial" w:cs="Arial"/>
          <w:bCs/>
          <w:kern w:val="36"/>
        </w:rPr>
        <w:t>nov.</w:t>
      </w:r>
      <w:proofErr w:type="spellEnd"/>
      <w:r w:rsidRPr="00647D4B">
        <w:rPr>
          <w:rFonts w:ascii="Arial" w:hAnsi="Arial" w:cs="Arial"/>
          <w:bCs/>
          <w:kern w:val="36"/>
        </w:rPr>
        <w:t xml:space="preserve">, isolated from oil-contaminated soil. International Journal of Systematic and Evolutionary Microbiology. </w:t>
      </w:r>
      <w:hyperlink r:id="rId35" w:history="1">
        <w:r w:rsidRPr="004B2A9A">
          <w:rPr>
            <w:rStyle w:val="Hyperlink"/>
            <w:rFonts w:ascii="Arial" w:hAnsi="Arial" w:cs="Arial"/>
            <w:bCs/>
            <w:kern w:val="36"/>
          </w:rPr>
          <w:t>https://doi.org/10.1099/ijsem.0.001680</w:t>
        </w:r>
      </w:hyperlink>
      <w:r>
        <w:rPr>
          <w:rFonts w:ascii="Arial" w:hAnsi="Arial" w:cs="Arial"/>
          <w:bCs/>
          <w:kern w:val="36"/>
        </w:rPr>
        <w:t xml:space="preserve"> </w:t>
      </w:r>
    </w:p>
    <w:p w14:paraId="033EBE29" w14:textId="2E243002" w:rsidR="00647D4B" w:rsidRPr="00647D4B" w:rsidRDefault="00647D4B" w:rsidP="00550364">
      <w:pPr>
        <w:widowControl w:val="0"/>
        <w:numPr>
          <w:ilvl w:val="0"/>
          <w:numId w:val="2"/>
        </w:numPr>
        <w:tabs>
          <w:tab w:val="left" w:pos="220"/>
          <w:tab w:val="left" w:pos="720"/>
        </w:tabs>
        <w:autoSpaceDE w:val="0"/>
        <w:autoSpaceDN w:val="0"/>
        <w:adjustRightInd w:val="0"/>
        <w:spacing w:after="320"/>
        <w:rPr>
          <w:rFonts w:ascii="Arial" w:hAnsi="Arial" w:cs="Arial"/>
        </w:rPr>
      </w:pPr>
      <w:r w:rsidRPr="00647D4B">
        <w:rPr>
          <w:rFonts w:ascii="Arial" w:hAnsi="Arial" w:cs="Arial"/>
          <w:bCs/>
          <w:kern w:val="36"/>
        </w:rPr>
        <w:t xml:space="preserve">Chen, F. L., Wang, G. C., Teng, S. O., </w:t>
      </w:r>
      <w:proofErr w:type="spellStart"/>
      <w:r w:rsidRPr="00647D4B">
        <w:rPr>
          <w:rFonts w:ascii="Arial" w:hAnsi="Arial" w:cs="Arial"/>
          <w:bCs/>
          <w:kern w:val="36"/>
        </w:rPr>
        <w:t>Ou</w:t>
      </w:r>
      <w:proofErr w:type="spellEnd"/>
      <w:r w:rsidRPr="00647D4B">
        <w:rPr>
          <w:rFonts w:ascii="Arial" w:hAnsi="Arial" w:cs="Arial"/>
          <w:bCs/>
          <w:kern w:val="36"/>
        </w:rPr>
        <w:t xml:space="preserve">, T. Y., Yu, F. L., &amp; Lee, W. S. (2013). Clinical and epidemiological features of </w:t>
      </w:r>
      <w:proofErr w:type="spellStart"/>
      <w:r w:rsidRPr="00647D4B">
        <w:rPr>
          <w:rFonts w:ascii="Arial" w:hAnsi="Arial" w:cs="Arial"/>
          <w:bCs/>
          <w:kern w:val="36"/>
        </w:rPr>
        <w:t>Chryseobacterium</w:t>
      </w:r>
      <w:proofErr w:type="spellEnd"/>
      <w:r w:rsidRPr="00647D4B">
        <w:rPr>
          <w:rFonts w:ascii="Arial" w:hAnsi="Arial" w:cs="Arial"/>
          <w:bCs/>
          <w:kern w:val="36"/>
        </w:rPr>
        <w:t xml:space="preserve"> </w:t>
      </w:r>
      <w:proofErr w:type="spellStart"/>
      <w:r w:rsidRPr="00647D4B">
        <w:rPr>
          <w:rFonts w:ascii="Arial" w:hAnsi="Arial" w:cs="Arial"/>
          <w:bCs/>
          <w:kern w:val="36"/>
        </w:rPr>
        <w:t>indologenes</w:t>
      </w:r>
      <w:proofErr w:type="spellEnd"/>
      <w:r w:rsidRPr="00647D4B">
        <w:rPr>
          <w:rFonts w:ascii="Arial" w:hAnsi="Arial" w:cs="Arial"/>
          <w:bCs/>
          <w:kern w:val="36"/>
        </w:rPr>
        <w:t xml:space="preserve"> infections: analysis of 215 cases. Journal of Microbiology, Immunology and Infection, 46(6), 425–432. </w:t>
      </w:r>
      <w:hyperlink r:id="rId36" w:history="1">
        <w:r w:rsidRPr="004B2A9A">
          <w:rPr>
            <w:rStyle w:val="Hyperlink"/>
            <w:rFonts w:ascii="Arial" w:hAnsi="Arial" w:cs="Arial"/>
            <w:bCs/>
            <w:kern w:val="36"/>
          </w:rPr>
          <w:t>https://doi.org/10.1016/j.jmii.2012.08.</w:t>
        </w:r>
        <w:r w:rsidRPr="004B2A9A">
          <w:rPr>
            <w:rStyle w:val="Hyperlink"/>
          </w:rPr>
          <w:t>007</w:t>
        </w:r>
      </w:hyperlink>
    </w:p>
    <w:p w14:paraId="42149BAB"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t xml:space="preserve">De </w:t>
      </w:r>
      <w:proofErr w:type="spellStart"/>
      <w:r w:rsidRPr="00647D4B">
        <w:t>Quadros</w:t>
      </w:r>
      <w:proofErr w:type="spellEnd"/>
      <w:r w:rsidRPr="00647D4B">
        <w:t xml:space="preserve">, P. D., </w:t>
      </w:r>
      <w:proofErr w:type="spellStart"/>
      <w:r w:rsidRPr="00647D4B">
        <w:t>Zhalnina</w:t>
      </w:r>
      <w:proofErr w:type="spellEnd"/>
      <w:r w:rsidRPr="00647D4B">
        <w:t xml:space="preserve">, K., Davis-Richardson, A. G., Drew, J. C., Menezes, F. B., Camargo, F. A. de O., &amp; Triplett, E. W. (2016). Coal mining practices reduce the microbial biomass, richness and diversity of soil. Applied Soil Ecology, 98, 195-203. </w:t>
      </w:r>
      <w:hyperlink r:id="rId37" w:history="1">
        <w:r w:rsidRPr="004B2A9A">
          <w:rPr>
            <w:rStyle w:val="Hyperlink"/>
          </w:rPr>
          <w:t>https://doi.org/10.1016/j.apsoil.2015.10.016</w:t>
        </w:r>
      </w:hyperlink>
      <w:r>
        <w:t xml:space="preserve"> </w:t>
      </w:r>
    </w:p>
    <w:p w14:paraId="0197B8AC"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bCs/>
          <w:kern w:val="36"/>
        </w:rPr>
        <w:t>Duca</w:t>
      </w:r>
      <w:proofErr w:type="spellEnd"/>
      <w:r w:rsidRPr="00647D4B">
        <w:rPr>
          <w:rFonts w:ascii="Arial" w:hAnsi="Arial" w:cs="Arial"/>
          <w:bCs/>
          <w:kern w:val="36"/>
        </w:rPr>
        <w:t xml:space="preserve">, D. R., &amp; Glick, B. R. (2020). Indole-3-acetic acid biosynthesis and its regulation in plant–associated bacteria. Applied Microbiology and Biotechnology, 104, 8607-8619. </w:t>
      </w:r>
      <w:hyperlink r:id="rId38" w:history="1">
        <w:r w:rsidRPr="004B2A9A">
          <w:rPr>
            <w:rStyle w:val="Hyperlink"/>
            <w:rFonts w:ascii="Arial" w:hAnsi="Arial" w:cs="Arial"/>
            <w:bCs/>
            <w:kern w:val="36"/>
          </w:rPr>
          <w:t>https://doi.org/10.1007/s00253-020-10869-5</w:t>
        </w:r>
      </w:hyperlink>
      <w:r>
        <w:rPr>
          <w:rFonts w:ascii="Arial" w:hAnsi="Arial" w:cs="Arial"/>
          <w:bCs/>
          <w:kern w:val="36"/>
        </w:rPr>
        <w:t xml:space="preserve"> </w:t>
      </w:r>
    </w:p>
    <w:p w14:paraId="4969E5E4" w14:textId="77777777" w:rsidR="00647D4B" w:rsidRDefault="00647D4B" w:rsidP="00550364">
      <w:pPr>
        <w:widowControl w:val="0"/>
        <w:numPr>
          <w:ilvl w:val="0"/>
          <w:numId w:val="2"/>
        </w:numPr>
        <w:tabs>
          <w:tab w:val="left" w:pos="220"/>
          <w:tab w:val="left" w:pos="720"/>
        </w:tabs>
        <w:autoSpaceDE w:val="0"/>
        <w:autoSpaceDN w:val="0"/>
        <w:adjustRightInd w:val="0"/>
        <w:spacing w:after="320"/>
        <w:rPr>
          <w:rFonts w:ascii="Arial" w:hAnsi="Arial" w:cs="Arial"/>
        </w:rPr>
      </w:pPr>
      <w:proofErr w:type="spellStart"/>
      <w:r w:rsidRPr="00647D4B">
        <w:rPr>
          <w:rFonts w:ascii="Arial" w:hAnsi="Arial" w:cs="Arial"/>
        </w:rPr>
        <w:t>Etesami</w:t>
      </w:r>
      <w:proofErr w:type="spellEnd"/>
      <w:r w:rsidRPr="00647D4B">
        <w:rPr>
          <w:rFonts w:ascii="Arial" w:hAnsi="Arial" w:cs="Arial"/>
        </w:rPr>
        <w:t xml:space="preserve">, H., &amp; Glick, B. R. (2024). Bacterial indole-3-acetic acid: A key regulator for plant growth, plant-microbe interactions, and agricultural adaptive resilience. Microbiological Research, 281, 127602. </w:t>
      </w:r>
      <w:hyperlink r:id="rId39" w:history="1">
        <w:r w:rsidRPr="004B2A9A">
          <w:rPr>
            <w:rStyle w:val="Hyperlink"/>
            <w:rFonts w:ascii="Arial" w:hAnsi="Arial" w:cs="Arial"/>
          </w:rPr>
          <w:t>https://doi.org/10.1016/j.micres.2024.127602</w:t>
        </w:r>
      </w:hyperlink>
      <w:r>
        <w:rPr>
          <w:rFonts w:ascii="Arial" w:hAnsi="Arial" w:cs="Arial"/>
        </w:rPr>
        <w:t xml:space="preserve"> </w:t>
      </w:r>
    </w:p>
    <w:p w14:paraId="30185C5B" w14:textId="77777777" w:rsid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647D4B">
        <w:rPr>
          <w:rFonts w:ascii="Arial" w:hAnsi="Arial" w:cs="Arial"/>
        </w:rPr>
        <w:t>Felsenstein</w:t>
      </w:r>
      <w:proofErr w:type="spellEnd"/>
      <w:r w:rsidRPr="00647D4B">
        <w:rPr>
          <w:rFonts w:ascii="Arial" w:hAnsi="Arial" w:cs="Arial"/>
        </w:rPr>
        <w:t xml:space="preserve">, J. (1985). Confidence limits on phylogenies: An approach using the bootstrap. Evolution, 39, 783-791. </w:t>
      </w:r>
      <w:hyperlink r:id="rId40" w:history="1">
        <w:r w:rsidRPr="004B2A9A">
          <w:rPr>
            <w:rStyle w:val="Hyperlink"/>
            <w:rFonts w:ascii="Arial" w:hAnsi="Arial" w:cs="Arial"/>
          </w:rPr>
          <w:t>https://doi.org/10.1111/j.1558-5646.1985.tb00420.x</w:t>
        </w:r>
      </w:hyperlink>
      <w:r>
        <w:rPr>
          <w:rFonts w:ascii="Arial" w:hAnsi="Arial" w:cs="Arial"/>
        </w:rPr>
        <w:t xml:space="preserve"> </w:t>
      </w:r>
    </w:p>
    <w:p w14:paraId="78609F4D" w14:textId="77777777" w:rsidR="00647D4B" w:rsidRPr="00647D4B" w:rsidRDefault="00647D4B"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647D4B">
        <w:rPr>
          <w:rFonts w:ascii="Arial" w:hAnsi="Arial" w:cs="Arial"/>
          <w:bCs/>
          <w:kern w:val="36"/>
        </w:rPr>
        <w:t xml:space="preserve">Gao, J., Zhuang, S., &amp; Zhang, W. (2024). Advances in Plant Auxin Biology: Synthesis, Metabolism, Signaling, </w:t>
      </w:r>
      <w:r w:rsidRPr="00647D4B">
        <w:rPr>
          <w:rFonts w:ascii="Arial" w:hAnsi="Arial" w:cs="Arial"/>
          <w:bCs/>
          <w:kern w:val="36"/>
        </w:rPr>
        <w:lastRenderedPageBreak/>
        <w:t xml:space="preserve">Interaction with Other Hormones, and Roles under Abiotic Stress. Plants, 13(17), 2523. </w:t>
      </w:r>
      <w:hyperlink r:id="rId41" w:history="1">
        <w:r w:rsidRPr="004B2A9A">
          <w:rPr>
            <w:rStyle w:val="Hyperlink"/>
            <w:rFonts w:ascii="Arial" w:hAnsi="Arial" w:cs="Arial"/>
            <w:bCs/>
            <w:kern w:val="36"/>
          </w:rPr>
          <w:t>https://doi.org/10.3390/plants13172523</w:t>
        </w:r>
      </w:hyperlink>
      <w:r>
        <w:rPr>
          <w:rFonts w:ascii="Arial" w:hAnsi="Arial" w:cs="Arial"/>
          <w:bCs/>
          <w:kern w:val="36"/>
        </w:rPr>
        <w:t xml:space="preserve"> </w:t>
      </w:r>
    </w:p>
    <w:p w14:paraId="0BFE90C5" w14:textId="08CFF942"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Glaser, B., &amp; Lehr, V. I. (2019). Biochar effects on phosphorus availability in agricultural soils: A meta-analysis. Scientific Reports, 9, 9338. </w:t>
      </w:r>
      <w:hyperlink r:id="rId42" w:history="1">
        <w:r w:rsidRPr="004B2A9A">
          <w:rPr>
            <w:rStyle w:val="Hyperlink"/>
            <w:rFonts w:ascii="Arial" w:hAnsi="Arial" w:cs="Arial"/>
            <w:bCs/>
            <w:kern w:val="36"/>
          </w:rPr>
          <w:t>https://doi.org/10.1038/s41598-019-45693-</w:t>
        </w:r>
        <w:r w:rsidRPr="004B2A9A">
          <w:rPr>
            <w:rStyle w:val="Hyperlink"/>
          </w:rPr>
          <w:t>z</w:t>
        </w:r>
      </w:hyperlink>
    </w:p>
    <w:p w14:paraId="5059506F"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t xml:space="preserve">Ghosh, D., &amp; </w:t>
      </w:r>
      <w:proofErr w:type="spellStart"/>
      <w:r w:rsidRPr="005357BA">
        <w:t>Maiti</w:t>
      </w:r>
      <w:proofErr w:type="spellEnd"/>
      <w:r w:rsidRPr="005357BA">
        <w:t xml:space="preserve">, S. K. (2021). Eco-restoration of coal mine spoil: Biochar application and carbon sequestration for achieving UN sustainable development goals 13 and 15. Land, 10(11), 1112. </w:t>
      </w:r>
      <w:hyperlink r:id="rId43" w:history="1">
        <w:r w:rsidRPr="004B2A9A">
          <w:rPr>
            <w:rStyle w:val="Hyperlink"/>
          </w:rPr>
          <w:t>https://doi.org/10.3390/land10111112</w:t>
        </w:r>
      </w:hyperlink>
      <w:r>
        <w:t xml:space="preserve"> </w:t>
      </w:r>
    </w:p>
    <w:p w14:paraId="176E7A45"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Goyal, S., </w:t>
      </w:r>
      <w:proofErr w:type="spellStart"/>
      <w:r w:rsidRPr="005357BA">
        <w:rPr>
          <w:rFonts w:ascii="Arial" w:hAnsi="Arial" w:cs="Arial"/>
          <w:bCs/>
          <w:kern w:val="36"/>
        </w:rPr>
        <w:t>Dhanker</w:t>
      </w:r>
      <w:proofErr w:type="spellEnd"/>
      <w:r w:rsidRPr="005357BA">
        <w:rPr>
          <w:rFonts w:ascii="Arial" w:hAnsi="Arial" w:cs="Arial"/>
          <w:bCs/>
          <w:kern w:val="36"/>
        </w:rPr>
        <w:t xml:space="preserve">, R., Hussain, T., Ferreira, A., Gouveia, L., Kumar, K., &amp; Mohamed, H. I. (2023). Modern Advancement in Biotechnological Applications for Wastewater Treatment through Microalgae: a Review. Water, Air, &amp; Soil Pollution, 234, 417. </w:t>
      </w:r>
      <w:hyperlink r:id="rId44" w:history="1">
        <w:r w:rsidRPr="004B2A9A">
          <w:rPr>
            <w:rStyle w:val="Hyperlink"/>
            <w:rFonts w:ascii="Arial" w:hAnsi="Arial" w:cs="Arial"/>
            <w:bCs/>
            <w:kern w:val="36"/>
          </w:rPr>
          <w:t>https://doi.org/10.1007/s11270-023-06409-2</w:t>
        </w:r>
      </w:hyperlink>
      <w:r>
        <w:rPr>
          <w:rFonts w:ascii="Arial" w:hAnsi="Arial" w:cs="Arial"/>
          <w:bCs/>
          <w:kern w:val="36"/>
        </w:rPr>
        <w:t xml:space="preserve"> </w:t>
      </w:r>
    </w:p>
    <w:p w14:paraId="4BEC29DF"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Hsu, M. –S., Liao, C. –H., Huang, Y. –T., Liu, C. –Y., Yang, C. –J., Kao, K. –L., &amp; Hsueh, P. –R. (2011). Clinical features, antimicrobial susceptibilities, and outcomes of </w:t>
      </w:r>
      <w:proofErr w:type="spellStart"/>
      <w:r w:rsidRPr="005357BA">
        <w:rPr>
          <w:rFonts w:ascii="Arial" w:hAnsi="Arial" w:cs="Arial"/>
          <w:bCs/>
          <w:kern w:val="36"/>
        </w:rPr>
        <w:t>Elizabethkingia</w:t>
      </w:r>
      <w:proofErr w:type="spellEnd"/>
      <w:r w:rsidRPr="005357BA">
        <w:rPr>
          <w:rFonts w:ascii="Arial" w:hAnsi="Arial" w:cs="Arial"/>
          <w:bCs/>
          <w:kern w:val="36"/>
        </w:rPr>
        <w:t xml:space="preserve"> </w:t>
      </w:r>
      <w:proofErr w:type="spellStart"/>
      <w:r w:rsidRPr="005357BA">
        <w:rPr>
          <w:rFonts w:ascii="Arial" w:hAnsi="Arial" w:cs="Arial"/>
          <w:bCs/>
          <w:kern w:val="36"/>
        </w:rPr>
        <w:t>meningoseptica</w:t>
      </w:r>
      <w:proofErr w:type="spellEnd"/>
      <w:r w:rsidRPr="005357BA">
        <w:rPr>
          <w:rFonts w:ascii="Arial" w:hAnsi="Arial" w:cs="Arial"/>
          <w:bCs/>
          <w:kern w:val="36"/>
        </w:rPr>
        <w:t xml:space="preserve"> (</w:t>
      </w:r>
      <w:proofErr w:type="spellStart"/>
      <w:r w:rsidRPr="005357BA">
        <w:rPr>
          <w:rFonts w:ascii="Arial" w:hAnsi="Arial" w:cs="Arial"/>
          <w:bCs/>
          <w:kern w:val="36"/>
        </w:rPr>
        <w:t>Chryseobacterium</w:t>
      </w:r>
      <w:proofErr w:type="spellEnd"/>
      <w:r w:rsidRPr="005357BA">
        <w:rPr>
          <w:rFonts w:ascii="Arial" w:hAnsi="Arial" w:cs="Arial"/>
          <w:bCs/>
          <w:kern w:val="36"/>
        </w:rPr>
        <w:t xml:space="preserve"> </w:t>
      </w:r>
      <w:proofErr w:type="spellStart"/>
      <w:r w:rsidRPr="005357BA">
        <w:rPr>
          <w:rFonts w:ascii="Arial" w:hAnsi="Arial" w:cs="Arial"/>
          <w:bCs/>
          <w:kern w:val="36"/>
        </w:rPr>
        <w:t>meningosepticum</w:t>
      </w:r>
      <w:proofErr w:type="spellEnd"/>
      <w:r w:rsidRPr="005357BA">
        <w:rPr>
          <w:rFonts w:ascii="Arial" w:hAnsi="Arial" w:cs="Arial"/>
          <w:bCs/>
          <w:kern w:val="36"/>
        </w:rPr>
        <w:t xml:space="preserve">) bacteremia at a medical center in Taiwan, 1999–2006. European Journal of Clinical Microbiology &amp; Infectious Diseases, 30, 1271-1278. </w:t>
      </w:r>
      <w:hyperlink r:id="rId45" w:history="1">
        <w:r w:rsidRPr="004B2A9A">
          <w:rPr>
            <w:rStyle w:val="Hyperlink"/>
            <w:rFonts w:ascii="Arial" w:hAnsi="Arial" w:cs="Arial"/>
            <w:bCs/>
            <w:kern w:val="36"/>
          </w:rPr>
          <w:t>https://doi.org/10.1007/s10096-011-1223-0</w:t>
        </w:r>
      </w:hyperlink>
      <w:r>
        <w:rPr>
          <w:rFonts w:ascii="Arial" w:hAnsi="Arial" w:cs="Arial"/>
          <w:bCs/>
          <w:kern w:val="36"/>
        </w:rPr>
        <w:t xml:space="preserve"> </w:t>
      </w:r>
    </w:p>
    <w:p w14:paraId="295653DF"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Igbinosa</w:t>
      </w:r>
      <w:proofErr w:type="spellEnd"/>
      <w:r w:rsidRPr="005357BA">
        <w:rPr>
          <w:rFonts w:ascii="Arial" w:hAnsi="Arial" w:cs="Arial"/>
          <w:bCs/>
          <w:kern w:val="36"/>
        </w:rPr>
        <w:t xml:space="preserve">, I. H., </w:t>
      </w:r>
      <w:proofErr w:type="spellStart"/>
      <w:r w:rsidRPr="005357BA">
        <w:rPr>
          <w:rFonts w:ascii="Arial" w:hAnsi="Arial" w:cs="Arial"/>
          <w:bCs/>
          <w:kern w:val="36"/>
        </w:rPr>
        <w:t>Beshiru</w:t>
      </w:r>
      <w:proofErr w:type="spellEnd"/>
      <w:r w:rsidRPr="005357BA">
        <w:rPr>
          <w:rFonts w:ascii="Arial" w:hAnsi="Arial" w:cs="Arial"/>
          <w:bCs/>
          <w:kern w:val="36"/>
        </w:rPr>
        <w:t xml:space="preserve">, A., </w:t>
      </w:r>
      <w:proofErr w:type="spellStart"/>
      <w:r w:rsidRPr="005357BA">
        <w:rPr>
          <w:rFonts w:ascii="Arial" w:hAnsi="Arial" w:cs="Arial"/>
          <w:bCs/>
          <w:kern w:val="36"/>
        </w:rPr>
        <w:t>Egharevba</w:t>
      </w:r>
      <w:proofErr w:type="spellEnd"/>
      <w:r w:rsidRPr="005357BA">
        <w:rPr>
          <w:rFonts w:ascii="Arial" w:hAnsi="Arial" w:cs="Arial"/>
          <w:bCs/>
          <w:kern w:val="36"/>
        </w:rPr>
        <w:t xml:space="preserve">, N. E., &amp; </w:t>
      </w:r>
      <w:proofErr w:type="spellStart"/>
      <w:r w:rsidRPr="005357BA">
        <w:rPr>
          <w:rFonts w:ascii="Arial" w:hAnsi="Arial" w:cs="Arial"/>
          <w:bCs/>
          <w:kern w:val="36"/>
        </w:rPr>
        <w:t>Igbinosa</w:t>
      </w:r>
      <w:proofErr w:type="spellEnd"/>
      <w:r w:rsidRPr="005357BA">
        <w:rPr>
          <w:rFonts w:ascii="Arial" w:hAnsi="Arial" w:cs="Arial"/>
          <w:bCs/>
          <w:kern w:val="36"/>
        </w:rPr>
        <w:t xml:space="preserve">, E. O. (2020). Distribution of enterobacteria in ready to eat food in cafeterias and retail food outlets in Benin city: public health implications. Journal of Community Medicine and Primary Health Care, 32(2), 80-94. </w:t>
      </w:r>
      <w:hyperlink r:id="rId46" w:history="1">
        <w:r w:rsidRPr="004B2A9A">
          <w:rPr>
            <w:rStyle w:val="Hyperlink"/>
            <w:rFonts w:ascii="Arial" w:hAnsi="Arial" w:cs="Arial"/>
            <w:bCs/>
            <w:kern w:val="36"/>
          </w:rPr>
          <w:t>https://doi.org/10.4314/jcmphc.v32i2.7</w:t>
        </w:r>
      </w:hyperlink>
      <w:r>
        <w:rPr>
          <w:rFonts w:ascii="Arial" w:hAnsi="Arial" w:cs="Arial"/>
          <w:bCs/>
          <w:kern w:val="36"/>
        </w:rPr>
        <w:t xml:space="preserve"> </w:t>
      </w:r>
    </w:p>
    <w:p w14:paraId="5A3C599D"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Igiri</w:t>
      </w:r>
      <w:proofErr w:type="spellEnd"/>
      <w:r w:rsidRPr="005357BA">
        <w:rPr>
          <w:rFonts w:ascii="Arial" w:hAnsi="Arial" w:cs="Arial"/>
          <w:bCs/>
          <w:kern w:val="36"/>
        </w:rPr>
        <w:t xml:space="preserve">, B. E., </w:t>
      </w:r>
      <w:proofErr w:type="spellStart"/>
      <w:r w:rsidRPr="005357BA">
        <w:rPr>
          <w:rFonts w:ascii="Arial" w:hAnsi="Arial" w:cs="Arial"/>
          <w:bCs/>
          <w:kern w:val="36"/>
        </w:rPr>
        <w:t>Okoduwa</w:t>
      </w:r>
      <w:proofErr w:type="spellEnd"/>
      <w:r w:rsidRPr="005357BA">
        <w:rPr>
          <w:rFonts w:ascii="Arial" w:hAnsi="Arial" w:cs="Arial"/>
          <w:bCs/>
          <w:kern w:val="36"/>
        </w:rPr>
        <w:t xml:space="preserve">, S. I. R., </w:t>
      </w:r>
      <w:proofErr w:type="spellStart"/>
      <w:r w:rsidRPr="005357BA">
        <w:rPr>
          <w:rFonts w:ascii="Arial" w:hAnsi="Arial" w:cs="Arial"/>
          <w:bCs/>
          <w:kern w:val="36"/>
        </w:rPr>
        <w:t>Idoko</w:t>
      </w:r>
      <w:proofErr w:type="spellEnd"/>
      <w:r w:rsidRPr="005357BA">
        <w:rPr>
          <w:rFonts w:ascii="Arial" w:hAnsi="Arial" w:cs="Arial"/>
          <w:bCs/>
          <w:kern w:val="36"/>
        </w:rPr>
        <w:t xml:space="preserve">, G. O., </w:t>
      </w:r>
      <w:proofErr w:type="spellStart"/>
      <w:r w:rsidRPr="005357BA">
        <w:rPr>
          <w:rFonts w:ascii="Arial" w:hAnsi="Arial" w:cs="Arial"/>
          <w:bCs/>
          <w:kern w:val="36"/>
        </w:rPr>
        <w:t>Akabuogu</w:t>
      </w:r>
      <w:proofErr w:type="spellEnd"/>
      <w:r w:rsidRPr="005357BA">
        <w:rPr>
          <w:rFonts w:ascii="Arial" w:hAnsi="Arial" w:cs="Arial"/>
          <w:bCs/>
          <w:kern w:val="36"/>
        </w:rPr>
        <w:t xml:space="preserve">, E. P., </w:t>
      </w:r>
      <w:proofErr w:type="spellStart"/>
      <w:r w:rsidRPr="005357BA">
        <w:rPr>
          <w:rFonts w:ascii="Arial" w:hAnsi="Arial" w:cs="Arial"/>
          <w:bCs/>
          <w:kern w:val="36"/>
        </w:rPr>
        <w:t>Adeyi</w:t>
      </w:r>
      <w:proofErr w:type="spellEnd"/>
      <w:r w:rsidRPr="005357BA">
        <w:rPr>
          <w:rFonts w:ascii="Arial" w:hAnsi="Arial" w:cs="Arial"/>
          <w:bCs/>
          <w:kern w:val="36"/>
        </w:rPr>
        <w:t xml:space="preserve">, A. O., &amp; </w:t>
      </w:r>
      <w:proofErr w:type="spellStart"/>
      <w:r w:rsidRPr="005357BA">
        <w:rPr>
          <w:rFonts w:ascii="Arial" w:hAnsi="Arial" w:cs="Arial"/>
          <w:bCs/>
          <w:kern w:val="36"/>
        </w:rPr>
        <w:t>Ejiogu</w:t>
      </w:r>
      <w:proofErr w:type="spellEnd"/>
      <w:r w:rsidRPr="005357BA">
        <w:rPr>
          <w:rFonts w:ascii="Arial" w:hAnsi="Arial" w:cs="Arial"/>
          <w:bCs/>
          <w:kern w:val="36"/>
        </w:rPr>
        <w:t xml:space="preserve">, I. K. (2018). Toxicity and bioremediation of heavy metals contaminated ecosystem from tannery wastewater: A review. Journal of Toxicology. </w:t>
      </w:r>
      <w:hyperlink r:id="rId47" w:history="1">
        <w:r w:rsidRPr="004B2A9A">
          <w:rPr>
            <w:rStyle w:val="Hyperlink"/>
            <w:rFonts w:ascii="Arial" w:hAnsi="Arial" w:cs="Arial"/>
            <w:bCs/>
            <w:kern w:val="36"/>
          </w:rPr>
          <w:t>https://doi.org/10.1155/2018/2568038</w:t>
        </w:r>
      </w:hyperlink>
      <w:r>
        <w:rPr>
          <w:rFonts w:ascii="Arial" w:hAnsi="Arial" w:cs="Arial"/>
          <w:bCs/>
          <w:kern w:val="36"/>
        </w:rPr>
        <w:t xml:space="preserve"> </w:t>
      </w:r>
    </w:p>
    <w:p w14:paraId="602CE094"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Jukes, T. H., &amp; Cantor, C. R. (1969). Evolution of protein molecules. In H. N. Munro (Ed.), Mammalian protein metabolism (pp. 21-132). Academic Press. </w:t>
      </w:r>
      <w:hyperlink r:id="rId48" w:history="1">
        <w:r w:rsidRPr="004B2A9A">
          <w:rPr>
            <w:rStyle w:val="Hyperlink"/>
            <w:rFonts w:ascii="Arial" w:hAnsi="Arial" w:cs="Arial"/>
          </w:rPr>
          <w:t>https://doi.org/10.1016/B978-1-4832-3211-9.50009-7</w:t>
        </w:r>
      </w:hyperlink>
      <w:r>
        <w:rPr>
          <w:rFonts w:ascii="Arial" w:hAnsi="Arial" w:cs="Arial"/>
        </w:rPr>
        <w:t xml:space="preserve"> </w:t>
      </w:r>
    </w:p>
    <w:p w14:paraId="6E868FE8"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Jung, H., Lee, D., Lee, S., Kong, H. J., Park, J., &amp; </w:t>
      </w:r>
      <w:proofErr w:type="spellStart"/>
      <w:r w:rsidRPr="005357BA">
        <w:rPr>
          <w:rFonts w:ascii="Arial" w:hAnsi="Arial" w:cs="Arial"/>
          <w:bCs/>
          <w:kern w:val="36"/>
        </w:rPr>
        <w:t>Seo</w:t>
      </w:r>
      <w:proofErr w:type="spellEnd"/>
      <w:r w:rsidRPr="005357BA">
        <w:rPr>
          <w:rFonts w:ascii="Arial" w:hAnsi="Arial" w:cs="Arial"/>
          <w:bCs/>
          <w:kern w:val="36"/>
        </w:rPr>
        <w:t xml:space="preserve">, Y. S. (2023). Comparative genomic analysis of </w:t>
      </w:r>
      <w:proofErr w:type="spellStart"/>
      <w:r w:rsidRPr="005357BA">
        <w:rPr>
          <w:rFonts w:ascii="Arial" w:hAnsi="Arial" w:cs="Arial"/>
          <w:bCs/>
          <w:kern w:val="36"/>
        </w:rPr>
        <w:t>Chryseobacterium</w:t>
      </w:r>
      <w:proofErr w:type="spellEnd"/>
      <w:r w:rsidRPr="005357BA">
        <w:rPr>
          <w:rFonts w:ascii="Arial" w:hAnsi="Arial" w:cs="Arial"/>
          <w:bCs/>
          <w:kern w:val="36"/>
        </w:rPr>
        <w:t xml:space="preserve"> species: Deep insights into plant-growth-promoting and halotolerant capacities. Microbial Genomics. </w:t>
      </w:r>
      <w:hyperlink r:id="rId49" w:history="1">
        <w:r w:rsidRPr="004B2A9A">
          <w:rPr>
            <w:rStyle w:val="Hyperlink"/>
            <w:rFonts w:ascii="Arial" w:hAnsi="Arial" w:cs="Arial"/>
            <w:bCs/>
            <w:kern w:val="36"/>
          </w:rPr>
          <w:t>https://doi.org/10.1099/mgen.0.001108</w:t>
        </w:r>
      </w:hyperlink>
      <w:r>
        <w:rPr>
          <w:rFonts w:ascii="Arial" w:hAnsi="Arial" w:cs="Arial"/>
          <w:bCs/>
          <w:kern w:val="36"/>
        </w:rPr>
        <w:t xml:space="preserve"> </w:t>
      </w:r>
    </w:p>
    <w:p w14:paraId="7C154849"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Kalayu</w:t>
      </w:r>
      <w:proofErr w:type="spellEnd"/>
      <w:r w:rsidRPr="005357BA">
        <w:rPr>
          <w:rFonts w:ascii="Arial" w:hAnsi="Arial" w:cs="Arial"/>
          <w:bCs/>
          <w:kern w:val="36"/>
        </w:rPr>
        <w:t xml:space="preserve">, G. (2019). Phosphate solubilizing microorganisms: Promising approach as biofertilizers. International Journal of Agronomy. </w:t>
      </w:r>
      <w:hyperlink r:id="rId50" w:history="1">
        <w:r w:rsidRPr="004B2A9A">
          <w:rPr>
            <w:rStyle w:val="Hyperlink"/>
            <w:rFonts w:ascii="Arial" w:hAnsi="Arial" w:cs="Arial"/>
            <w:bCs/>
            <w:kern w:val="36"/>
          </w:rPr>
          <w:t>https://doi.org/10.1155/2019/4917256</w:t>
        </w:r>
      </w:hyperlink>
      <w:r>
        <w:rPr>
          <w:rFonts w:ascii="Arial" w:hAnsi="Arial" w:cs="Arial"/>
          <w:bCs/>
          <w:kern w:val="36"/>
        </w:rPr>
        <w:t xml:space="preserve"> </w:t>
      </w:r>
    </w:p>
    <w:p w14:paraId="6B12B3C1"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rPr>
        <w:t>Kenawy</w:t>
      </w:r>
      <w:proofErr w:type="spellEnd"/>
      <w:r w:rsidRPr="005357BA">
        <w:rPr>
          <w:rFonts w:ascii="Arial" w:hAnsi="Arial" w:cs="Arial"/>
        </w:rPr>
        <w:t xml:space="preserve">, A. A., </w:t>
      </w:r>
      <w:proofErr w:type="spellStart"/>
      <w:r w:rsidRPr="005357BA">
        <w:rPr>
          <w:rFonts w:ascii="Arial" w:hAnsi="Arial" w:cs="Arial"/>
        </w:rPr>
        <w:t>Dailin</w:t>
      </w:r>
      <w:proofErr w:type="spellEnd"/>
      <w:r w:rsidRPr="005357BA">
        <w:rPr>
          <w:rFonts w:ascii="Arial" w:hAnsi="Arial" w:cs="Arial"/>
        </w:rPr>
        <w:t xml:space="preserve">, D. J., Abo-Zaid, G. A., Malek, R. A., </w:t>
      </w:r>
      <w:proofErr w:type="spellStart"/>
      <w:r w:rsidRPr="005357BA">
        <w:rPr>
          <w:rFonts w:ascii="Arial" w:hAnsi="Arial" w:cs="Arial"/>
        </w:rPr>
        <w:t>Ambehabati</w:t>
      </w:r>
      <w:proofErr w:type="spellEnd"/>
      <w:r w:rsidRPr="005357BA">
        <w:rPr>
          <w:rFonts w:ascii="Arial" w:hAnsi="Arial" w:cs="Arial"/>
        </w:rPr>
        <w:t xml:space="preserve">, K. K., Zakaria, K. H. N., Sayyed, R. Z., &amp; El </w:t>
      </w:r>
      <w:proofErr w:type="spellStart"/>
      <w:r w:rsidRPr="005357BA">
        <w:rPr>
          <w:rFonts w:ascii="Arial" w:hAnsi="Arial" w:cs="Arial"/>
        </w:rPr>
        <w:t>Enshasy</w:t>
      </w:r>
      <w:proofErr w:type="spellEnd"/>
      <w:r w:rsidRPr="005357BA">
        <w:rPr>
          <w:rFonts w:ascii="Arial" w:hAnsi="Arial" w:cs="Arial"/>
        </w:rPr>
        <w:t xml:space="preserve">, H. A. (2019). Biosynthesis of antibiotics by PGPR and their roles in biocontrol of plant diseases. In R. Z. Sayyed (Ed.), Plant growth promoting Rhizobacteria for sustainable stress management (pp. 1-35). Springer Nature Singapore Pte Ltd. </w:t>
      </w:r>
      <w:hyperlink r:id="rId51" w:history="1">
        <w:r w:rsidRPr="004B2A9A">
          <w:rPr>
            <w:rStyle w:val="Hyperlink"/>
            <w:rFonts w:ascii="Arial" w:hAnsi="Arial" w:cs="Arial"/>
          </w:rPr>
          <w:t>https://doi.org/10.1007/978-981-13-6986-5_1</w:t>
        </w:r>
      </w:hyperlink>
      <w:r>
        <w:rPr>
          <w:rFonts w:ascii="Arial" w:hAnsi="Arial" w:cs="Arial"/>
        </w:rPr>
        <w:t xml:space="preserve"> </w:t>
      </w:r>
    </w:p>
    <w:p w14:paraId="3A3C5D53"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Khawula</w:t>
      </w:r>
      <w:proofErr w:type="spellEnd"/>
      <w:r w:rsidRPr="005357BA">
        <w:rPr>
          <w:rFonts w:ascii="Arial" w:hAnsi="Arial" w:cs="Arial"/>
          <w:bCs/>
          <w:kern w:val="36"/>
        </w:rPr>
        <w:t xml:space="preserve">, S., Daniel, A. I., </w:t>
      </w:r>
      <w:proofErr w:type="spellStart"/>
      <w:r w:rsidRPr="005357BA">
        <w:rPr>
          <w:rFonts w:ascii="Arial" w:hAnsi="Arial" w:cs="Arial"/>
          <w:bCs/>
          <w:kern w:val="36"/>
        </w:rPr>
        <w:t>Nyawo</w:t>
      </w:r>
      <w:proofErr w:type="spellEnd"/>
      <w:r w:rsidRPr="005357BA">
        <w:rPr>
          <w:rFonts w:ascii="Arial" w:hAnsi="Arial" w:cs="Arial"/>
          <w:bCs/>
          <w:kern w:val="36"/>
        </w:rPr>
        <w:t xml:space="preserve">, N., </w:t>
      </w:r>
      <w:proofErr w:type="spellStart"/>
      <w:r w:rsidRPr="005357BA">
        <w:rPr>
          <w:rFonts w:ascii="Arial" w:hAnsi="Arial" w:cs="Arial"/>
          <w:bCs/>
          <w:kern w:val="36"/>
        </w:rPr>
        <w:t>Ndlazi</w:t>
      </w:r>
      <w:proofErr w:type="spellEnd"/>
      <w:r w:rsidRPr="005357BA">
        <w:rPr>
          <w:rFonts w:ascii="Arial" w:hAnsi="Arial" w:cs="Arial"/>
          <w:bCs/>
          <w:kern w:val="36"/>
        </w:rPr>
        <w:t xml:space="preserve">, K., Sibiya, S., </w:t>
      </w:r>
      <w:proofErr w:type="spellStart"/>
      <w:r w:rsidRPr="005357BA">
        <w:rPr>
          <w:rFonts w:ascii="Arial" w:hAnsi="Arial" w:cs="Arial"/>
          <w:bCs/>
          <w:kern w:val="36"/>
        </w:rPr>
        <w:t>Ntshalintshali</w:t>
      </w:r>
      <w:proofErr w:type="spellEnd"/>
      <w:r w:rsidRPr="005357BA">
        <w:rPr>
          <w:rFonts w:ascii="Arial" w:hAnsi="Arial" w:cs="Arial"/>
          <w:bCs/>
          <w:kern w:val="36"/>
        </w:rPr>
        <w:t xml:space="preserve">, S., </w:t>
      </w:r>
      <w:proofErr w:type="spellStart"/>
      <w:r w:rsidRPr="005357BA">
        <w:rPr>
          <w:rFonts w:ascii="Arial" w:hAnsi="Arial" w:cs="Arial"/>
          <w:bCs/>
          <w:kern w:val="36"/>
        </w:rPr>
        <w:t>Nzuza</w:t>
      </w:r>
      <w:proofErr w:type="spellEnd"/>
      <w:r w:rsidRPr="005357BA">
        <w:rPr>
          <w:rFonts w:ascii="Arial" w:hAnsi="Arial" w:cs="Arial"/>
          <w:bCs/>
          <w:kern w:val="36"/>
        </w:rPr>
        <w:t xml:space="preserve">, G., Gokul, A., </w:t>
      </w:r>
      <w:proofErr w:type="spellStart"/>
      <w:r w:rsidRPr="005357BA">
        <w:rPr>
          <w:rFonts w:ascii="Arial" w:hAnsi="Arial" w:cs="Arial"/>
          <w:bCs/>
          <w:kern w:val="36"/>
        </w:rPr>
        <w:t>Keyster</w:t>
      </w:r>
      <w:proofErr w:type="spellEnd"/>
      <w:r w:rsidRPr="005357BA">
        <w:rPr>
          <w:rFonts w:ascii="Arial" w:hAnsi="Arial" w:cs="Arial"/>
          <w:bCs/>
          <w:kern w:val="36"/>
        </w:rPr>
        <w:t xml:space="preserve">, M., Klein, A., Niekerk, L., &amp; Nkomo, M. (2025). Optimizing plant resilience with growth-promoting Rhizobacteria under abiotic and biotic stress conditions. Plant Stress, 17, 100949. </w:t>
      </w:r>
      <w:hyperlink r:id="rId52" w:history="1">
        <w:r w:rsidRPr="004B2A9A">
          <w:rPr>
            <w:rStyle w:val="Hyperlink"/>
            <w:rFonts w:ascii="Arial" w:hAnsi="Arial" w:cs="Arial"/>
            <w:bCs/>
            <w:kern w:val="36"/>
          </w:rPr>
          <w:t>https://doi.org/10.1016/j.stress.2025.100949</w:t>
        </w:r>
      </w:hyperlink>
      <w:r>
        <w:rPr>
          <w:rFonts w:ascii="Arial" w:hAnsi="Arial" w:cs="Arial"/>
          <w:bCs/>
          <w:kern w:val="36"/>
        </w:rPr>
        <w:t xml:space="preserve"> </w:t>
      </w:r>
    </w:p>
    <w:p w14:paraId="3444C2EB"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Kim, H., &amp; Yu, S. M. (2020). Complete genome sequence of </w:t>
      </w:r>
      <w:proofErr w:type="spellStart"/>
      <w:r w:rsidRPr="005357BA">
        <w:rPr>
          <w:rFonts w:ascii="Arial" w:hAnsi="Arial" w:cs="Arial"/>
          <w:bCs/>
          <w:kern w:val="36"/>
        </w:rPr>
        <w:t>Chryseobacterium</w:t>
      </w:r>
      <w:proofErr w:type="spellEnd"/>
      <w:r w:rsidRPr="005357BA">
        <w:rPr>
          <w:rFonts w:ascii="Arial" w:hAnsi="Arial" w:cs="Arial"/>
          <w:bCs/>
          <w:kern w:val="36"/>
        </w:rPr>
        <w:t xml:space="preserve"> sp. Strain NBC 122, a plant growth-promoting bacterium isolated from freshwater. Microbiology Resource Announcements. </w:t>
      </w:r>
      <w:hyperlink r:id="rId53" w:history="1">
        <w:r w:rsidRPr="004B2A9A">
          <w:rPr>
            <w:rStyle w:val="Hyperlink"/>
            <w:rFonts w:ascii="Arial" w:hAnsi="Arial" w:cs="Arial"/>
            <w:bCs/>
            <w:kern w:val="36"/>
          </w:rPr>
          <w:t>https://doi.org/10.1128/mra.01028-19</w:t>
        </w:r>
      </w:hyperlink>
      <w:r>
        <w:rPr>
          <w:rFonts w:ascii="Arial" w:hAnsi="Arial" w:cs="Arial"/>
          <w:bCs/>
          <w:kern w:val="36"/>
        </w:rPr>
        <w:t xml:space="preserve"> </w:t>
      </w:r>
    </w:p>
    <w:p w14:paraId="4178C6C9"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Kochhar, N., Kavya, I. K., Shrivastava, S., Ghosh, A., Rawat, V. S., Sodhi, K. K., &amp; Kumar, M. (2022). Perspectives on the microorganism of extreme environments and their applications. Current Research in Microbial Science, 3. </w:t>
      </w:r>
      <w:hyperlink r:id="rId54" w:history="1">
        <w:r w:rsidRPr="004B2A9A">
          <w:rPr>
            <w:rStyle w:val="Hyperlink"/>
            <w:rFonts w:ascii="Arial" w:hAnsi="Arial" w:cs="Arial"/>
          </w:rPr>
          <w:t>https://doi.org/10.1016/j.crmicr.2022.100134</w:t>
        </w:r>
      </w:hyperlink>
      <w:r>
        <w:rPr>
          <w:rFonts w:ascii="Arial" w:hAnsi="Arial" w:cs="Arial"/>
        </w:rPr>
        <w:t xml:space="preserve"> </w:t>
      </w:r>
    </w:p>
    <w:p w14:paraId="1AEA4691"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rPr>
        <w:t>Koralage</w:t>
      </w:r>
      <w:proofErr w:type="spellEnd"/>
      <w:r w:rsidRPr="005357BA">
        <w:rPr>
          <w:rFonts w:ascii="Arial" w:hAnsi="Arial" w:cs="Arial"/>
        </w:rPr>
        <w:t xml:space="preserve">, I. S. A., Weerasinghe, P., Silva, N. R. N., &amp; De Silva, C. S. (2015). The determination of available </w:t>
      </w:r>
      <w:r w:rsidRPr="005357BA">
        <w:rPr>
          <w:rFonts w:ascii="Arial" w:hAnsi="Arial" w:cs="Arial"/>
        </w:rPr>
        <w:lastRenderedPageBreak/>
        <w:t xml:space="preserve">phosphorus in soil: A quick and simple method. OUSL Journal, 8, 1-17. </w:t>
      </w:r>
      <w:hyperlink r:id="rId55" w:history="1">
        <w:r w:rsidRPr="004B2A9A">
          <w:rPr>
            <w:rStyle w:val="Hyperlink"/>
            <w:rFonts w:ascii="Arial" w:hAnsi="Arial" w:cs="Arial"/>
          </w:rPr>
          <w:t>https://doi.org/10.4038/ouslj.v8i0.7315</w:t>
        </w:r>
      </w:hyperlink>
      <w:r>
        <w:rPr>
          <w:rFonts w:ascii="Arial" w:hAnsi="Arial" w:cs="Arial"/>
        </w:rPr>
        <w:t xml:space="preserve"> </w:t>
      </w:r>
    </w:p>
    <w:p w14:paraId="5B47D5B3"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Kumar, J. M., &amp; Patel, A. K. (2013). </w:t>
      </w:r>
      <w:proofErr w:type="spellStart"/>
      <w:r w:rsidRPr="005357BA">
        <w:rPr>
          <w:rFonts w:ascii="Arial" w:hAnsi="Arial" w:cs="Arial"/>
        </w:rPr>
        <w:t>Physico</w:t>
      </w:r>
      <w:proofErr w:type="spellEnd"/>
      <w:r w:rsidRPr="005357BA">
        <w:rPr>
          <w:rFonts w:ascii="Arial" w:hAnsi="Arial" w:cs="Arial"/>
        </w:rPr>
        <w:t xml:space="preserve">-chemical characterization and mine soil genesis in age series coal mine overburden spoil in </w:t>
      </w:r>
      <w:proofErr w:type="spellStart"/>
      <w:r w:rsidRPr="005357BA">
        <w:rPr>
          <w:rFonts w:ascii="Arial" w:hAnsi="Arial" w:cs="Arial"/>
        </w:rPr>
        <w:t>chronosequence</w:t>
      </w:r>
      <w:proofErr w:type="spellEnd"/>
      <w:r w:rsidRPr="005357BA">
        <w:rPr>
          <w:rFonts w:ascii="Arial" w:hAnsi="Arial" w:cs="Arial"/>
        </w:rPr>
        <w:t xml:space="preserve"> in a dry tropical environment. Journal of Phylogenetics and Evolutionary Biology, 1(1), 1. </w:t>
      </w:r>
      <w:hyperlink r:id="rId56" w:history="1">
        <w:r w:rsidRPr="004B2A9A">
          <w:rPr>
            <w:rStyle w:val="Hyperlink"/>
            <w:rFonts w:ascii="Arial" w:hAnsi="Arial" w:cs="Arial"/>
          </w:rPr>
          <w:t>https://www.hilarispublisher.com/phylogenetics-evolutionary-biology/physico-chemical-characterization-and-mine-soil-genesis-in-age-series-coal-mine-overburden-spoil-in-chronosequence-in-a-dry-tropical-environment.1000101.pdf</w:t>
        </w:r>
      </w:hyperlink>
      <w:r>
        <w:rPr>
          <w:rFonts w:ascii="Arial" w:hAnsi="Arial" w:cs="Arial"/>
        </w:rPr>
        <w:t xml:space="preserve"> </w:t>
      </w:r>
    </w:p>
    <w:p w14:paraId="227A7886"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Kumar, S., Diksha, Sindhu, S. S., &amp; Kumar, R. (2022). Biofertilizers: An ecofriendly technology for nutrient recycling and environmental sustainability. Current Research in Microbial Sciences, 3, 100094. </w:t>
      </w:r>
      <w:hyperlink r:id="rId57" w:history="1">
        <w:r w:rsidRPr="004B2A9A">
          <w:rPr>
            <w:rStyle w:val="Hyperlink"/>
            <w:rFonts w:ascii="Arial" w:hAnsi="Arial" w:cs="Arial"/>
            <w:bCs/>
            <w:kern w:val="36"/>
          </w:rPr>
          <w:t>https://doi.org/10.1016/j.crmicr.2021.100094</w:t>
        </w:r>
      </w:hyperlink>
      <w:r>
        <w:rPr>
          <w:rFonts w:ascii="Arial" w:hAnsi="Arial" w:cs="Arial"/>
          <w:bCs/>
          <w:kern w:val="36"/>
        </w:rPr>
        <w:t xml:space="preserve"> </w:t>
      </w:r>
    </w:p>
    <w:p w14:paraId="19C06096"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bCs/>
          <w:kern w:val="36"/>
        </w:rPr>
        <w:t xml:space="preserve">Lee, S. A., Kim, S. Y., Sang, M. K., Song, J., &amp; </w:t>
      </w:r>
      <w:proofErr w:type="spellStart"/>
      <w:r w:rsidRPr="005357BA">
        <w:rPr>
          <w:rFonts w:ascii="Arial" w:hAnsi="Arial" w:cs="Arial"/>
          <w:bCs/>
          <w:kern w:val="36"/>
        </w:rPr>
        <w:t>Weon</w:t>
      </w:r>
      <w:proofErr w:type="spellEnd"/>
      <w:r w:rsidRPr="005357BA">
        <w:rPr>
          <w:rFonts w:ascii="Arial" w:hAnsi="Arial" w:cs="Arial"/>
          <w:bCs/>
          <w:kern w:val="36"/>
        </w:rPr>
        <w:t xml:space="preserve">, H. Y. (2017). Complete genome sequence of </w:t>
      </w:r>
      <w:proofErr w:type="spellStart"/>
      <w:r w:rsidRPr="005357BA">
        <w:rPr>
          <w:rFonts w:ascii="Arial" w:hAnsi="Arial" w:cs="Arial"/>
          <w:bCs/>
          <w:kern w:val="36"/>
        </w:rPr>
        <w:t>Chryseobacterium</w:t>
      </w:r>
      <w:proofErr w:type="spellEnd"/>
      <w:r w:rsidRPr="005357BA">
        <w:rPr>
          <w:rFonts w:ascii="Arial" w:hAnsi="Arial" w:cs="Arial"/>
          <w:bCs/>
          <w:kern w:val="36"/>
        </w:rPr>
        <w:t xml:space="preserve"> sp. T16E-39, a plant growth-promoting and biocontrol bacterium, isolated from tomato (</w:t>
      </w:r>
      <w:proofErr w:type="spellStart"/>
      <w:r w:rsidRPr="005357BA">
        <w:rPr>
          <w:rFonts w:ascii="Arial" w:hAnsi="Arial" w:cs="Arial"/>
          <w:bCs/>
          <w:kern w:val="36"/>
        </w:rPr>
        <w:t>Solanum</w:t>
      </w:r>
      <w:proofErr w:type="spellEnd"/>
      <w:r w:rsidRPr="005357BA">
        <w:rPr>
          <w:rFonts w:ascii="Arial" w:hAnsi="Arial" w:cs="Arial"/>
          <w:bCs/>
          <w:kern w:val="36"/>
        </w:rPr>
        <w:t xml:space="preserve"> </w:t>
      </w:r>
      <w:proofErr w:type="spellStart"/>
      <w:r w:rsidRPr="005357BA">
        <w:rPr>
          <w:rFonts w:ascii="Arial" w:hAnsi="Arial" w:cs="Arial"/>
          <w:bCs/>
          <w:kern w:val="36"/>
        </w:rPr>
        <w:t>lycopersicum</w:t>
      </w:r>
      <w:proofErr w:type="spellEnd"/>
      <w:r w:rsidRPr="005357BA">
        <w:rPr>
          <w:rFonts w:ascii="Arial" w:hAnsi="Arial" w:cs="Arial"/>
          <w:bCs/>
          <w:kern w:val="36"/>
        </w:rPr>
        <w:t xml:space="preserve"> L.) root. Korean Journal of Microbiology, 53(4), 351–353. </w:t>
      </w:r>
      <w:hyperlink r:id="rId58" w:history="1">
        <w:r w:rsidRPr="004B2A9A">
          <w:rPr>
            <w:rStyle w:val="Hyperlink"/>
            <w:rFonts w:ascii="Arial" w:hAnsi="Arial" w:cs="Arial"/>
            <w:bCs/>
            <w:kern w:val="36"/>
          </w:rPr>
          <w:t>https://www.koreascience.or.kr/article/JAKO201733050006000.page</w:t>
        </w:r>
      </w:hyperlink>
      <w:r>
        <w:rPr>
          <w:rFonts w:ascii="Arial" w:hAnsi="Arial" w:cs="Arial"/>
          <w:bCs/>
          <w:kern w:val="36"/>
        </w:rPr>
        <w:t xml:space="preserve"> </w:t>
      </w:r>
    </w:p>
    <w:p w14:paraId="688A0D1D" w14:textId="77777777" w:rsidR="005357BA" w:rsidRP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357BA">
        <w:rPr>
          <w:rFonts w:ascii="Arial" w:hAnsi="Arial" w:cs="Arial"/>
          <w:bCs/>
          <w:kern w:val="36"/>
        </w:rPr>
        <w:t>Mahanty</w:t>
      </w:r>
      <w:proofErr w:type="spellEnd"/>
      <w:r w:rsidRPr="005357BA">
        <w:rPr>
          <w:rFonts w:ascii="Arial" w:hAnsi="Arial" w:cs="Arial"/>
          <w:bCs/>
          <w:kern w:val="36"/>
        </w:rPr>
        <w:t xml:space="preserve">, T., Bhattacharjee, S., Goswami, M., Bhattacharyya, P., Das, B., Ghosh, A., &amp; </w:t>
      </w:r>
      <w:proofErr w:type="spellStart"/>
      <w:r w:rsidRPr="005357BA">
        <w:rPr>
          <w:rFonts w:ascii="Arial" w:hAnsi="Arial" w:cs="Arial"/>
          <w:bCs/>
          <w:kern w:val="36"/>
        </w:rPr>
        <w:t>Tribedi</w:t>
      </w:r>
      <w:proofErr w:type="spellEnd"/>
      <w:r w:rsidRPr="005357BA">
        <w:rPr>
          <w:rFonts w:ascii="Arial" w:hAnsi="Arial" w:cs="Arial"/>
          <w:bCs/>
          <w:kern w:val="36"/>
        </w:rPr>
        <w:t xml:space="preserve">, P. (2017). Biofertilizers: a potential approach for sustainable agriculture development. Environmental Science and Pollution Research, 24(4), 3315-3335. </w:t>
      </w:r>
      <w:hyperlink r:id="rId59" w:history="1">
        <w:r w:rsidRPr="004B2A9A">
          <w:rPr>
            <w:rStyle w:val="Hyperlink"/>
            <w:rFonts w:ascii="Arial" w:hAnsi="Arial" w:cs="Arial"/>
            <w:bCs/>
            <w:kern w:val="36"/>
          </w:rPr>
          <w:t>https://doi.org/10.1007/s11356-016-8104-0</w:t>
        </w:r>
      </w:hyperlink>
      <w:r>
        <w:rPr>
          <w:rFonts w:ascii="Arial" w:hAnsi="Arial" w:cs="Arial"/>
          <w:bCs/>
          <w:kern w:val="36"/>
        </w:rPr>
        <w:t xml:space="preserve"> </w:t>
      </w:r>
    </w:p>
    <w:p w14:paraId="3CF12051"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Ma, K., Zhang, Y., </w:t>
      </w:r>
      <w:proofErr w:type="spellStart"/>
      <w:r w:rsidRPr="005357BA">
        <w:rPr>
          <w:rFonts w:ascii="Arial" w:hAnsi="Arial" w:cs="Arial"/>
        </w:rPr>
        <w:t>Ruan</w:t>
      </w:r>
      <w:proofErr w:type="spellEnd"/>
      <w:r w:rsidRPr="005357BA">
        <w:rPr>
          <w:rFonts w:ascii="Arial" w:hAnsi="Arial" w:cs="Arial"/>
        </w:rPr>
        <w:t xml:space="preserve">, M., Guo, J., &amp; Chai, T. (2019). Land Subsidence in a Coal Mining Area Reduced Soil Fertility and Led to Soil Degradation in Arid and Semi-Arid Regions. International Journal of Environmental Research and Public Health, 16(20), 3929. </w:t>
      </w:r>
      <w:hyperlink r:id="rId60" w:history="1">
        <w:r w:rsidRPr="004B2A9A">
          <w:rPr>
            <w:rStyle w:val="Hyperlink"/>
            <w:rFonts w:ascii="Arial" w:hAnsi="Arial" w:cs="Arial"/>
          </w:rPr>
          <w:t>https://doi.org/10.3390/ijerph16203929</w:t>
        </w:r>
      </w:hyperlink>
      <w:r>
        <w:rPr>
          <w:rFonts w:ascii="Arial" w:hAnsi="Arial" w:cs="Arial"/>
        </w:rPr>
        <w:t xml:space="preserve"> </w:t>
      </w:r>
    </w:p>
    <w:p w14:paraId="025EE24A" w14:textId="77777777" w:rsidR="005357BA" w:rsidRDefault="005357BA"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357BA">
        <w:rPr>
          <w:rFonts w:ascii="Arial" w:hAnsi="Arial" w:cs="Arial"/>
        </w:rPr>
        <w:t xml:space="preserve">Mao, Z., Harris, J., &amp; Zhang, Z. (2024). Responses of Natural Microorganisms to Land Reclamation and Applications of Functional Microorganisms in </w:t>
      </w:r>
      <w:proofErr w:type="spellStart"/>
      <w:r w:rsidRPr="005357BA">
        <w:rPr>
          <w:rFonts w:ascii="Arial" w:hAnsi="Arial" w:cs="Arial"/>
        </w:rPr>
        <w:t>Biorestoration</w:t>
      </w:r>
      <w:proofErr w:type="spellEnd"/>
      <w:r w:rsidRPr="005357BA">
        <w:rPr>
          <w:rFonts w:ascii="Arial" w:hAnsi="Arial" w:cs="Arial"/>
        </w:rPr>
        <w:t xml:space="preserve"> of Coal Mining Area. Diversity, 16(2), 86. </w:t>
      </w:r>
      <w:hyperlink r:id="rId61" w:history="1">
        <w:r w:rsidRPr="004B2A9A">
          <w:rPr>
            <w:rStyle w:val="Hyperlink"/>
            <w:rFonts w:ascii="Arial" w:hAnsi="Arial" w:cs="Arial"/>
          </w:rPr>
          <w:t>https://doi.org/10.3390/d16020086</w:t>
        </w:r>
      </w:hyperlink>
      <w:r>
        <w:rPr>
          <w:rFonts w:ascii="Arial" w:hAnsi="Arial" w:cs="Arial"/>
        </w:rPr>
        <w:t xml:space="preserve"> </w:t>
      </w:r>
    </w:p>
    <w:p w14:paraId="35D2960E"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Melia, S., </w:t>
      </w:r>
      <w:proofErr w:type="spellStart"/>
      <w:r w:rsidRPr="005908EC">
        <w:rPr>
          <w:rFonts w:ascii="Arial" w:hAnsi="Arial" w:cs="Arial"/>
        </w:rPr>
        <w:t>Juliyarsi</w:t>
      </w:r>
      <w:proofErr w:type="spellEnd"/>
      <w:r w:rsidRPr="005908EC">
        <w:rPr>
          <w:rFonts w:ascii="Arial" w:hAnsi="Arial" w:cs="Arial"/>
        </w:rPr>
        <w:t xml:space="preserve">, I., </w:t>
      </w:r>
      <w:proofErr w:type="spellStart"/>
      <w:r w:rsidRPr="005908EC">
        <w:rPr>
          <w:rFonts w:ascii="Arial" w:hAnsi="Arial" w:cs="Arial"/>
        </w:rPr>
        <w:t>Aritonang</w:t>
      </w:r>
      <w:proofErr w:type="spellEnd"/>
      <w:r w:rsidRPr="005908EC">
        <w:rPr>
          <w:rFonts w:ascii="Arial" w:hAnsi="Arial" w:cs="Arial"/>
        </w:rPr>
        <w:t xml:space="preserve">, S. N., </w:t>
      </w:r>
      <w:proofErr w:type="spellStart"/>
      <w:r w:rsidRPr="005908EC">
        <w:rPr>
          <w:rFonts w:ascii="Arial" w:hAnsi="Arial" w:cs="Arial"/>
        </w:rPr>
        <w:t>Setiawan</w:t>
      </w:r>
      <w:proofErr w:type="spellEnd"/>
      <w:r w:rsidRPr="005908EC">
        <w:rPr>
          <w:rFonts w:ascii="Arial" w:hAnsi="Arial" w:cs="Arial"/>
        </w:rPr>
        <w:t xml:space="preserve">, R. D., &amp; </w:t>
      </w:r>
      <w:proofErr w:type="spellStart"/>
      <w:r w:rsidRPr="005908EC">
        <w:rPr>
          <w:rFonts w:ascii="Arial" w:hAnsi="Arial" w:cs="Arial"/>
        </w:rPr>
        <w:t>Rusdimansyah</w:t>
      </w:r>
      <w:proofErr w:type="spellEnd"/>
      <w:r w:rsidRPr="005908EC">
        <w:rPr>
          <w:rFonts w:ascii="Arial" w:hAnsi="Arial" w:cs="Arial"/>
        </w:rPr>
        <w:t xml:space="preserve">. (2024). Evaluation of fermented goat milk quality lactobacillus plantarum SNT13 enhanced with </w:t>
      </w:r>
      <w:proofErr w:type="spellStart"/>
      <w:r w:rsidRPr="005908EC">
        <w:rPr>
          <w:rFonts w:ascii="Arial" w:hAnsi="Arial" w:cs="Arial"/>
        </w:rPr>
        <w:t>Clitoria</w:t>
      </w:r>
      <w:proofErr w:type="spellEnd"/>
      <w:r w:rsidRPr="005908EC">
        <w:rPr>
          <w:rFonts w:ascii="Arial" w:hAnsi="Arial" w:cs="Arial"/>
        </w:rPr>
        <w:t xml:space="preserve"> </w:t>
      </w:r>
      <w:proofErr w:type="spellStart"/>
      <w:r w:rsidRPr="005908EC">
        <w:rPr>
          <w:rFonts w:ascii="Arial" w:hAnsi="Arial" w:cs="Arial"/>
        </w:rPr>
        <w:t>ternatea</w:t>
      </w:r>
      <w:proofErr w:type="spellEnd"/>
      <w:r w:rsidRPr="005908EC">
        <w:rPr>
          <w:rFonts w:ascii="Arial" w:hAnsi="Arial" w:cs="Arial"/>
        </w:rPr>
        <w:t xml:space="preserve"> flower extract and stingless bee honey ( </w:t>
      </w:r>
      <w:proofErr w:type="spellStart"/>
      <w:r w:rsidRPr="005908EC">
        <w:rPr>
          <w:rFonts w:ascii="Arial" w:hAnsi="Arial" w:cs="Arial"/>
        </w:rPr>
        <w:t>Heterotrigona</w:t>
      </w:r>
      <w:proofErr w:type="spellEnd"/>
      <w:r w:rsidRPr="005908EC">
        <w:rPr>
          <w:rFonts w:ascii="Arial" w:hAnsi="Arial" w:cs="Arial"/>
        </w:rPr>
        <w:t xml:space="preserve"> </w:t>
      </w:r>
      <w:proofErr w:type="spellStart"/>
      <w:r w:rsidRPr="005908EC">
        <w:rPr>
          <w:rFonts w:ascii="Arial" w:hAnsi="Arial" w:cs="Arial"/>
        </w:rPr>
        <w:t>itama</w:t>
      </w:r>
      <w:proofErr w:type="spellEnd"/>
      <w:r w:rsidRPr="005908EC">
        <w:rPr>
          <w:rFonts w:ascii="Arial" w:hAnsi="Arial" w:cs="Arial"/>
        </w:rPr>
        <w:t xml:space="preserve">). Preventive Nutrition and Food Science, 29(4), 546-553. </w:t>
      </w:r>
      <w:hyperlink r:id="rId62" w:history="1">
        <w:r w:rsidRPr="004B2A9A">
          <w:rPr>
            <w:rStyle w:val="Hyperlink"/>
            <w:rFonts w:ascii="Arial" w:hAnsi="Arial" w:cs="Arial"/>
          </w:rPr>
          <w:t>https://doi.org/10.3746/pnf.2024.29.4.546</w:t>
        </w:r>
      </w:hyperlink>
      <w:r>
        <w:rPr>
          <w:rFonts w:ascii="Arial" w:hAnsi="Arial" w:cs="Arial"/>
        </w:rPr>
        <w:t xml:space="preserve"> </w:t>
      </w:r>
    </w:p>
    <w:p w14:paraId="29DC8467" w14:textId="4788775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Mercado-Blanco, J., Abrantes, I., Barra </w:t>
      </w:r>
      <w:proofErr w:type="spellStart"/>
      <w:r w:rsidRPr="005908EC">
        <w:rPr>
          <w:rFonts w:ascii="Arial" w:hAnsi="Arial" w:cs="Arial"/>
          <w:bCs/>
          <w:kern w:val="36"/>
        </w:rPr>
        <w:t>Caracciolo</w:t>
      </w:r>
      <w:proofErr w:type="spellEnd"/>
      <w:r w:rsidRPr="005908EC">
        <w:rPr>
          <w:rFonts w:ascii="Arial" w:hAnsi="Arial" w:cs="Arial"/>
          <w:bCs/>
          <w:kern w:val="36"/>
        </w:rPr>
        <w:t xml:space="preserve">, A., </w:t>
      </w:r>
      <w:proofErr w:type="spellStart"/>
      <w:r w:rsidRPr="005908EC">
        <w:rPr>
          <w:rFonts w:ascii="Arial" w:hAnsi="Arial" w:cs="Arial"/>
          <w:bCs/>
          <w:kern w:val="36"/>
        </w:rPr>
        <w:t>Bevivino</w:t>
      </w:r>
      <w:proofErr w:type="spellEnd"/>
      <w:r w:rsidRPr="005908EC">
        <w:rPr>
          <w:rFonts w:ascii="Arial" w:hAnsi="Arial" w:cs="Arial"/>
          <w:bCs/>
          <w:kern w:val="36"/>
        </w:rPr>
        <w:t xml:space="preserve">, A., </w:t>
      </w:r>
      <w:proofErr w:type="spellStart"/>
      <w:r w:rsidRPr="005908EC">
        <w:rPr>
          <w:rFonts w:ascii="Arial" w:hAnsi="Arial" w:cs="Arial"/>
          <w:bCs/>
          <w:kern w:val="36"/>
        </w:rPr>
        <w:t>Ciancio</w:t>
      </w:r>
      <w:proofErr w:type="spellEnd"/>
      <w:r w:rsidRPr="005908EC">
        <w:rPr>
          <w:rFonts w:ascii="Arial" w:hAnsi="Arial" w:cs="Arial"/>
          <w:bCs/>
          <w:kern w:val="36"/>
        </w:rPr>
        <w:t xml:space="preserve">, A., </w:t>
      </w:r>
      <w:proofErr w:type="spellStart"/>
      <w:r w:rsidRPr="005908EC">
        <w:rPr>
          <w:rFonts w:ascii="Arial" w:hAnsi="Arial" w:cs="Arial"/>
          <w:bCs/>
          <w:kern w:val="36"/>
        </w:rPr>
        <w:t>Grenni</w:t>
      </w:r>
      <w:proofErr w:type="spellEnd"/>
      <w:r w:rsidRPr="005908EC">
        <w:rPr>
          <w:rFonts w:ascii="Arial" w:hAnsi="Arial" w:cs="Arial"/>
          <w:bCs/>
          <w:kern w:val="36"/>
        </w:rPr>
        <w:t xml:space="preserve">, P., </w:t>
      </w:r>
      <w:proofErr w:type="spellStart"/>
      <w:r w:rsidRPr="005908EC">
        <w:rPr>
          <w:rFonts w:ascii="Arial" w:hAnsi="Arial" w:cs="Arial"/>
          <w:bCs/>
          <w:kern w:val="36"/>
        </w:rPr>
        <w:t>Hrynkiewicz</w:t>
      </w:r>
      <w:proofErr w:type="spellEnd"/>
      <w:r w:rsidRPr="005908EC">
        <w:rPr>
          <w:rFonts w:ascii="Arial" w:hAnsi="Arial" w:cs="Arial"/>
          <w:bCs/>
          <w:kern w:val="36"/>
        </w:rPr>
        <w:t xml:space="preserve">, K., </w:t>
      </w:r>
      <w:proofErr w:type="spellStart"/>
      <w:r w:rsidRPr="005908EC">
        <w:rPr>
          <w:rFonts w:ascii="Arial" w:hAnsi="Arial" w:cs="Arial"/>
          <w:bCs/>
          <w:kern w:val="36"/>
        </w:rPr>
        <w:t>Kredics</w:t>
      </w:r>
      <w:proofErr w:type="spellEnd"/>
      <w:r w:rsidRPr="005908EC">
        <w:rPr>
          <w:rFonts w:ascii="Arial" w:hAnsi="Arial" w:cs="Arial"/>
          <w:bCs/>
          <w:kern w:val="36"/>
        </w:rPr>
        <w:t xml:space="preserve">, L., &amp; </w:t>
      </w:r>
      <w:proofErr w:type="spellStart"/>
      <w:r w:rsidRPr="005908EC">
        <w:rPr>
          <w:rFonts w:ascii="Arial" w:hAnsi="Arial" w:cs="Arial"/>
          <w:bCs/>
          <w:kern w:val="36"/>
        </w:rPr>
        <w:t>Proença</w:t>
      </w:r>
      <w:proofErr w:type="spellEnd"/>
      <w:r w:rsidRPr="005908EC">
        <w:rPr>
          <w:rFonts w:ascii="Arial" w:hAnsi="Arial" w:cs="Arial"/>
          <w:bCs/>
          <w:kern w:val="36"/>
        </w:rPr>
        <w:t xml:space="preserve">, D. N. (2018). Belowground Microbiota and the Health of Tree Crops. Frontiers in Microbiology, 9, 1006. </w:t>
      </w:r>
      <w:hyperlink r:id="rId63" w:history="1">
        <w:r w:rsidRPr="004B2A9A">
          <w:rPr>
            <w:rStyle w:val="Hyperlink"/>
            <w:rFonts w:ascii="Arial" w:hAnsi="Arial" w:cs="Arial"/>
            <w:bCs/>
            <w:kern w:val="36"/>
          </w:rPr>
          <w:t>https://doi.org/10.3389/fmicb.2018.</w:t>
        </w:r>
        <w:r w:rsidRPr="004B2A9A">
          <w:rPr>
            <w:rStyle w:val="Hyperlink"/>
          </w:rPr>
          <w:t>01006</w:t>
        </w:r>
      </w:hyperlink>
    </w:p>
    <w:p w14:paraId="7186AF0C"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t>Mohammadi</w:t>
      </w:r>
      <w:proofErr w:type="spellEnd"/>
      <w:r w:rsidRPr="005908EC">
        <w:t xml:space="preserve">, A. A., </w:t>
      </w:r>
      <w:proofErr w:type="spellStart"/>
      <w:r w:rsidRPr="005908EC">
        <w:t>Zarei</w:t>
      </w:r>
      <w:proofErr w:type="spellEnd"/>
      <w:r w:rsidRPr="005908EC">
        <w:t xml:space="preserve">, A., Majidi, S., </w:t>
      </w:r>
      <w:proofErr w:type="spellStart"/>
      <w:r w:rsidRPr="005908EC">
        <w:t>Ghaderpoury</w:t>
      </w:r>
      <w:proofErr w:type="spellEnd"/>
      <w:r w:rsidRPr="005908EC">
        <w:t xml:space="preserve">, A., </w:t>
      </w:r>
      <w:proofErr w:type="spellStart"/>
      <w:r w:rsidRPr="005908EC">
        <w:t>Hashempour</w:t>
      </w:r>
      <w:proofErr w:type="spellEnd"/>
      <w:r w:rsidRPr="005908EC">
        <w:t xml:space="preserve">, Y., </w:t>
      </w:r>
      <w:proofErr w:type="spellStart"/>
      <w:r w:rsidRPr="005908EC">
        <w:t>Saghi</w:t>
      </w:r>
      <w:proofErr w:type="spellEnd"/>
      <w:r w:rsidRPr="005908EC">
        <w:t xml:space="preserve">, M. H., Alinejad, A., </w:t>
      </w:r>
      <w:proofErr w:type="spellStart"/>
      <w:r w:rsidRPr="005908EC">
        <w:t>Yousefi</w:t>
      </w:r>
      <w:proofErr w:type="spellEnd"/>
      <w:r w:rsidRPr="005908EC">
        <w:t xml:space="preserve">, M., </w:t>
      </w:r>
      <w:proofErr w:type="spellStart"/>
      <w:r w:rsidRPr="005908EC">
        <w:t>Hosseingholizadeh</w:t>
      </w:r>
      <w:proofErr w:type="spellEnd"/>
      <w:r w:rsidRPr="005908EC">
        <w:t xml:space="preserve">, N., &amp; </w:t>
      </w:r>
      <w:proofErr w:type="spellStart"/>
      <w:r w:rsidRPr="005908EC">
        <w:t>Ghaderpoori</w:t>
      </w:r>
      <w:proofErr w:type="spellEnd"/>
      <w:r w:rsidRPr="005908EC">
        <w:t xml:space="preserve">, M. (2019). Carcinogenic and non-carcinogenic health risk assessment of heavy metals in drinking water of Khorramabad, Iran. </w:t>
      </w:r>
      <w:proofErr w:type="spellStart"/>
      <w:r w:rsidRPr="005908EC">
        <w:t>MethodsX</w:t>
      </w:r>
      <w:proofErr w:type="spellEnd"/>
      <w:r w:rsidRPr="005908EC">
        <w:t xml:space="preserve">, 6, 1642-1651. </w:t>
      </w:r>
      <w:hyperlink r:id="rId64" w:history="1">
        <w:r w:rsidRPr="004B2A9A">
          <w:rPr>
            <w:rStyle w:val="Hyperlink"/>
          </w:rPr>
          <w:t>https://doi.org/10.1016/j.mex.2019.07.017</w:t>
        </w:r>
      </w:hyperlink>
      <w:r>
        <w:t xml:space="preserve"> </w:t>
      </w:r>
    </w:p>
    <w:p w14:paraId="3ADDE0E8"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Narayanan, S. (2018). Effects of high temperature stress and traits associated with tolerance in wheat. Open Access Journal of Science, 2(3), 177–186. </w:t>
      </w:r>
      <w:hyperlink r:id="rId65" w:history="1">
        <w:r w:rsidRPr="004B2A9A">
          <w:rPr>
            <w:rStyle w:val="Hyperlink"/>
            <w:rFonts w:ascii="Arial" w:hAnsi="Arial" w:cs="Arial"/>
            <w:bCs/>
            <w:kern w:val="36"/>
          </w:rPr>
          <w:t>https://doi.org/10.15406/oajs.2018.02.00067</w:t>
        </w:r>
      </w:hyperlink>
      <w:r>
        <w:rPr>
          <w:rFonts w:ascii="Arial" w:hAnsi="Arial" w:cs="Arial"/>
          <w:bCs/>
          <w:kern w:val="36"/>
        </w:rPr>
        <w:t xml:space="preserve"> </w:t>
      </w:r>
    </w:p>
    <w:p w14:paraId="582CB217"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Norby, J., Wang, S., Wang, H., Deng, S., Jones, N., Mishra, A., Pavlov, C., He, H., Subramanian, S., </w:t>
      </w:r>
      <w:proofErr w:type="spellStart"/>
      <w:r w:rsidRPr="005908EC">
        <w:rPr>
          <w:rFonts w:ascii="Arial" w:hAnsi="Arial" w:cs="Arial"/>
        </w:rPr>
        <w:t>Thangavelu</w:t>
      </w:r>
      <w:proofErr w:type="spellEnd"/>
      <w:r w:rsidRPr="005908EC">
        <w:rPr>
          <w:rFonts w:ascii="Arial" w:hAnsi="Arial" w:cs="Arial"/>
        </w:rPr>
        <w:t xml:space="preserve">, V., </w:t>
      </w:r>
      <w:proofErr w:type="spellStart"/>
      <w:r w:rsidRPr="005908EC">
        <w:rPr>
          <w:rFonts w:ascii="Arial" w:hAnsi="Arial" w:cs="Arial"/>
        </w:rPr>
        <w:t>Sihota</w:t>
      </w:r>
      <w:proofErr w:type="spellEnd"/>
      <w:r w:rsidRPr="005908EC">
        <w:rPr>
          <w:rFonts w:ascii="Arial" w:hAnsi="Arial" w:cs="Arial"/>
        </w:rPr>
        <w:t xml:space="preserve">, N., </w:t>
      </w:r>
      <w:proofErr w:type="spellStart"/>
      <w:r w:rsidRPr="005908EC">
        <w:rPr>
          <w:rFonts w:ascii="Arial" w:hAnsi="Arial" w:cs="Arial"/>
        </w:rPr>
        <w:t>Hoelen</w:t>
      </w:r>
      <w:proofErr w:type="spellEnd"/>
      <w:r w:rsidRPr="005908EC">
        <w:rPr>
          <w:rFonts w:ascii="Arial" w:hAnsi="Arial" w:cs="Arial"/>
        </w:rPr>
        <w:t xml:space="preserve">, T., Johnson, A. M., &amp; Lowry, G. V. (2024). Path to autonomous soil sampling and analysis by ground-based robots. Journal of Environmental Management, 360, 121-130. </w:t>
      </w:r>
      <w:hyperlink r:id="rId66" w:history="1">
        <w:r w:rsidRPr="004B2A9A">
          <w:rPr>
            <w:rStyle w:val="Hyperlink"/>
            <w:rFonts w:ascii="Arial" w:hAnsi="Arial" w:cs="Arial"/>
          </w:rPr>
          <w:t>https://doi.org/10.1016/j.jenvman.2024.121130</w:t>
        </w:r>
      </w:hyperlink>
      <w:r>
        <w:rPr>
          <w:rFonts w:ascii="Arial" w:hAnsi="Arial" w:cs="Arial"/>
        </w:rPr>
        <w:t xml:space="preserve"> </w:t>
      </w:r>
    </w:p>
    <w:p w14:paraId="51786850"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Nosheen</w:t>
      </w:r>
      <w:proofErr w:type="spellEnd"/>
      <w:r w:rsidRPr="005908EC">
        <w:rPr>
          <w:rFonts w:ascii="Arial" w:hAnsi="Arial" w:cs="Arial"/>
          <w:bCs/>
          <w:kern w:val="36"/>
        </w:rPr>
        <w:t xml:space="preserve">, S., Ajmal, I., &amp; Song, Y. (2021). Microbes as Biofertilizers, a Potential Approach for Sustainable Crop Production. Sustainability, 13(4), 1868. </w:t>
      </w:r>
      <w:hyperlink r:id="rId67" w:history="1">
        <w:r w:rsidRPr="004B2A9A">
          <w:rPr>
            <w:rStyle w:val="Hyperlink"/>
            <w:rFonts w:ascii="Arial" w:hAnsi="Arial" w:cs="Arial"/>
            <w:bCs/>
            <w:kern w:val="36"/>
          </w:rPr>
          <w:t>https://doi.org/10.3390/su13041868</w:t>
        </w:r>
      </w:hyperlink>
      <w:r>
        <w:rPr>
          <w:rFonts w:ascii="Arial" w:hAnsi="Arial" w:cs="Arial"/>
          <w:bCs/>
          <w:kern w:val="36"/>
        </w:rPr>
        <w:t xml:space="preserve"> </w:t>
      </w:r>
    </w:p>
    <w:p w14:paraId="4FFA4F66"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Olanrewaju, O. S., Glick, B. R., &amp; Babalola, O. O. (2017). Mechanisms of action of plant growth promoting </w:t>
      </w:r>
      <w:r w:rsidRPr="005908EC">
        <w:rPr>
          <w:rFonts w:ascii="Arial" w:hAnsi="Arial" w:cs="Arial"/>
          <w:bCs/>
          <w:kern w:val="36"/>
        </w:rPr>
        <w:lastRenderedPageBreak/>
        <w:t xml:space="preserve">bacteria. World Journal of Microbiology and Biotechnology, 33(11), 197. </w:t>
      </w:r>
      <w:hyperlink r:id="rId68" w:history="1">
        <w:r w:rsidRPr="004B2A9A">
          <w:rPr>
            <w:rStyle w:val="Hyperlink"/>
            <w:rFonts w:ascii="Arial" w:hAnsi="Arial" w:cs="Arial"/>
            <w:bCs/>
            <w:kern w:val="36"/>
          </w:rPr>
          <w:t>https://doi.org/10.1007/s11274-017-2364-9</w:t>
        </w:r>
      </w:hyperlink>
      <w:r>
        <w:rPr>
          <w:rFonts w:ascii="Arial" w:hAnsi="Arial" w:cs="Arial"/>
          <w:bCs/>
          <w:kern w:val="36"/>
        </w:rPr>
        <w:t xml:space="preserve"> </w:t>
      </w:r>
    </w:p>
    <w:p w14:paraId="3A8088CA"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Qu, J., Xu, Y., Ai, G., Liu, Y., &amp; Liu, Z. (2015). Novel </w:t>
      </w:r>
      <w:proofErr w:type="spellStart"/>
      <w:r w:rsidRPr="005908EC">
        <w:rPr>
          <w:rFonts w:ascii="Arial" w:hAnsi="Arial" w:cs="Arial"/>
          <w:bCs/>
          <w:kern w:val="36"/>
        </w:rPr>
        <w:t>Chryseobacterium</w:t>
      </w:r>
      <w:proofErr w:type="spellEnd"/>
      <w:r w:rsidRPr="005908EC">
        <w:rPr>
          <w:rFonts w:ascii="Arial" w:hAnsi="Arial" w:cs="Arial"/>
          <w:bCs/>
          <w:kern w:val="36"/>
        </w:rPr>
        <w:t xml:space="preserve"> sp. PYR2 degrades various organochlorine pesticides (OCPs) and achieves enhancing removal and complete degradation of DDT in highly contaminated soil. Journal of Environmental Management, 161, 350-357. </w:t>
      </w:r>
      <w:hyperlink r:id="rId69" w:history="1">
        <w:r w:rsidRPr="004B2A9A">
          <w:rPr>
            <w:rStyle w:val="Hyperlink"/>
            <w:rFonts w:ascii="Arial" w:hAnsi="Arial" w:cs="Arial"/>
            <w:bCs/>
            <w:kern w:val="36"/>
          </w:rPr>
          <w:t>https://doi.org/10.1016/j.jenvman.2015.07.025</w:t>
        </w:r>
      </w:hyperlink>
      <w:r>
        <w:rPr>
          <w:rFonts w:ascii="Arial" w:hAnsi="Arial" w:cs="Arial"/>
          <w:bCs/>
          <w:kern w:val="36"/>
        </w:rPr>
        <w:t xml:space="preserve"> </w:t>
      </w:r>
    </w:p>
    <w:p w14:paraId="5F294827" w14:textId="4975309C"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Rigas</w:t>
      </w:r>
      <w:proofErr w:type="spellEnd"/>
      <w:r w:rsidRPr="005908EC">
        <w:rPr>
          <w:rFonts w:ascii="Arial" w:hAnsi="Arial" w:cs="Arial"/>
          <w:bCs/>
          <w:kern w:val="36"/>
        </w:rPr>
        <w:t xml:space="preserve">, S., </w:t>
      </w:r>
      <w:proofErr w:type="spellStart"/>
      <w:r w:rsidRPr="005908EC">
        <w:rPr>
          <w:rFonts w:ascii="Arial" w:hAnsi="Arial" w:cs="Arial"/>
          <w:bCs/>
          <w:kern w:val="36"/>
        </w:rPr>
        <w:t>Ditengou</w:t>
      </w:r>
      <w:proofErr w:type="spellEnd"/>
      <w:r w:rsidRPr="005908EC">
        <w:rPr>
          <w:rFonts w:ascii="Arial" w:hAnsi="Arial" w:cs="Arial"/>
          <w:bCs/>
          <w:kern w:val="36"/>
        </w:rPr>
        <w:t xml:space="preserve">, F. A., </w:t>
      </w:r>
      <w:proofErr w:type="spellStart"/>
      <w:r w:rsidRPr="005908EC">
        <w:rPr>
          <w:rFonts w:ascii="Arial" w:hAnsi="Arial" w:cs="Arial"/>
          <w:bCs/>
          <w:kern w:val="36"/>
        </w:rPr>
        <w:t>Ljung</w:t>
      </w:r>
      <w:proofErr w:type="spellEnd"/>
      <w:r w:rsidRPr="005908EC">
        <w:rPr>
          <w:rFonts w:ascii="Arial" w:hAnsi="Arial" w:cs="Arial"/>
          <w:bCs/>
          <w:kern w:val="36"/>
        </w:rPr>
        <w:t xml:space="preserve">, K., </w:t>
      </w:r>
      <w:proofErr w:type="spellStart"/>
      <w:r w:rsidRPr="005908EC">
        <w:rPr>
          <w:rFonts w:ascii="Arial" w:hAnsi="Arial" w:cs="Arial"/>
          <w:bCs/>
          <w:kern w:val="36"/>
        </w:rPr>
        <w:t>Daras</w:t>
      </w:r>
      <w:proofErr w:type="spellEnd"/>
      <w:r w:rsidRPr="005908EC">
        <w:rPr>
          <w:rFonts w:ascii="Arial" w:hAnsi="Arial" w:cs="Arial"/>
          <w:bCs/>
          <w:kern w:val="36"/>
        </w:rPr>
        <w:t xml:space="preserve">, G., </w:t>
      </w:r>
      <w:proofErr w:type="spellStart"/>
      <w:r w:rsidRPr="005908EC">
        <w:rPr>
          <w:rFonts w:ascii="Arial" w:hAnsi="Arial" w:cs="Arial"/>
          <w:bCs/>
          <w:kern w:val="36"/>
        </w:rPr>
        <w:t>Tietz</w:t>
      </w:r>
      <w:proofErr w:type="spellEnd"/>
      <w:r w:rsidRPr="005908EC">
        <w:rPr>
          <w:rFonts w:ascii="Arial" w:hAnsi="Arial" w:cs="Arial"/>
          <w:bCs/>
          <w:kern w:val="36"/>
        </w:rPr>
        <w:t xml:space="preserve">, O., Palme, K., &amp; </w:t>
      </w:r>
      <w:proofErr w:type="spellStart"/>
      <w:r w:rsidRPr="005908EC">
        <w:rPr>
          <w:rFonts w:ascii="Arial" w:hAnsi="Arial" w:cs="Arial"/>
          <w:bCs/>
          <w:kern w:val="36"/>
        </w:rPr>
        <w:t>Hatzopoulos</w:t>
      </w:r>
      <w:proofErr w:type="spellEnd"/>
      <w:r w:rsidRPr="005908EC">
        <w:rPr>
          <w:rFonts w:ascii="Arial" w:hAnsi="Arial" w:cs="Arial"/>
          <w:bCs/>
          <w:kern w:val="36"/>
        </w:rPr>
        <w:t xml:space="preserve">, P. (2013). Root gravitropism and root hair development constitute coupled developmental responses regulated by auxin homeostasis in the Arabidopsis root apex. New </w:t>
      </w:r>
      <w:proofErr w:type="spellStart"/>
      <w:r w:rsidRPr="005908EC">
        <w:rPr>
          <w:rFonts w:ascii="Arial" w:hAnsi="Arial" w:cs="Arial"/>
          <w:bCs/>
          <w:kern w:val="36"/>
        </w:rPr>
        <w:t>Phytologist</w:t>
      </w:r>
      <w:proofErr w:type="spellEnd"/>
      <w:r w:rsidRPr="005908EC">
        <w:rPr>
          <w:rFonts w:ascii="Arial" w:hAnsi="Arial" w:cs="Arial"/>
          <w:bCs/>
          <w:kern w:val="36"/>
        </w:rPr>
        <w:t xml:space="preserve">, 197(4), 1130-1141. </w:t>
      </w:r>
      <w:hyperlink r:id="rId70" w:history="1">
        <w:r w:rsidRPr="004B2A9A">
          <w:rPr>
            <w:rStyle w:val="Hyperlink"/>
            <w:rFonts w:ascii="Arial" w:hAnsi="Arial" w:cs="Arial"/>
            <w:bCs/>
            <w:kern w:val="36"/>
          </w:rPr>
          <w:t>https://doi.org/10.1111/nph.12092</w:t>
        </w:r>
      </w:hyperlink>
    </w:p>
    <w:p w14:paraId="7CB66906"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Rizvi, A., Ahmed, B., Zaidi, A., &amp; Khan, M. S. (2020). Biosorption of heavy metals by dry biomass of metal tolerant bacterial </w:t>
      </w:r>
      <w:proofErr w:type="spellStart"/>
      <w:r w:rsidRPr="005908EC">
        <w:rPr>
          <w:rFonts w:ascii="Arial" w:hAnsi="Arial" w:cs="Arial"/>
          <w:bCs/>
          <w:kern w:val="36"/>
        </w:rPr>
        <w:t>biosorbents</w:t>
      </w:r>
      <w:proofErr w:type="spellEnd"/>
      <w:r w:rsidRPr="005908EC">
        <w:rPr>
          <w:rFonts w:ascii="Arial" w:hAnsi="Arial" w:cs="Arial"/>
          <w:bCs/>
          <w:kern w:val="36"/>
        </w:rPr>
        <w:t xml:space="preserve">: an efficient metal clean-up strategy. Environmental Monitoring and Assessment, 192(12), 801. </w:t>
      </w:r>
      <w:hyperlink r:id="rId71" w:history="1">
        <w:r w:rsidRPr="004B2A9A">
          <w:rPr>
            <w:rStyle w:val="Hyperlink"/>
            <w:rFonts w:ascii="Arial" w:hAnsi="Arial" w:cs="Arial"/>
            <w:bCs/>
            <w:kern w:val="36"/>
          </w:rPr>
          <w:t>https://doi.org/10.1007/s10661-020-08758-5</w:t>
        </w:r>
      </w:hyperlink>
      <w:r>
        <w:rPr>
          <w:rFonts w:ascii="Arial" w:hAnsi="Arial" w:cs="Arial"/>
          <w:bCs/>
          <w:kern w:val="36"/>
        </w:rPr>
        <w:t xml:space="preserve"> </w:t>
      </w:r>
    </w:p>
    <w:p w14:paraId="063EBE53" w14:textId="66DB0E09" w:rsidR="00CD3DE2"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Pr>
          <w:rFonts w:ascii="Arial" w:hAnsi="Arial" w:cs="Arial"/>
          <w:bCs/>
          <w:kern w:val="36"/>
        </w:rPr>
        <w:t>Saif</w:t>
      </w:r>
      <w:proofErr w:type="spellEnd"/>
      <w:r>
        <w:rPr>
          <w:rFonts w:ascii="Arial" w:hAnsi="Arial" w:cs="Arial"/>
          <w:bCs/>
          <w:kern w:val="36"/>
        </w:rPr>
        <w:t xml:space="preserve">, S., &amp; Khan, M. S. (2017). Assessment of heavy metals toxicity on plant growth promoting rhizobacteria and seedling characteristics of </w:t>
      </w:r>
      <w:r>
        <w:rPr>
          <w:rFonts w:ascii="Arial" w:hAnsi="Arial" w:cs="Arial"/>
          <w:bCs/>
          <w:i/>
          <w:kern w:val="36"/>
        </w:rPr>
        <w:t xml:space="preserve">Pseudomonas </w:t>
      </w:r>
      <w:proofErr w:type="spellStart"/>
      <w:r>
        <w:rPr>
          <w:rFonts w:ascii="Arial" w:hAnsi="Arial" w:cs="Arial"/>
          <w:bCs/>
          <w:i/>
          <w:kern w:val="36"/>
        </w:rPr>
        <w:t>putida</w:t>
      </w:r>
      <w:proofErr w:type="spellEnd"/>
      <w:r>
        <w:rPr>
          <w:rFonts w:ascii="Arial" w:hAnsi="Arial" w:cs="Arial"/>
          <w:bCs/>
          <w:kern w:val="36"/>
        </w:rPr>
        <w:t xml:space="preserve"> 9FB3 inoculated </w:t>
      </w:r>
      <w:proofErr w:type="spellStart"/>
      <w:r>
        <w:rPr>
          <w:rFonts w:ascii="Arial" w:hAnsi="Arial" w:cs="Arial"/>
          <w:bCs/>
          <w:kern w:val="36"/>
        </w:rPr>
        <w:t>greengram</w:t>
      </w:r>
      <w:proofErr w:type="spellEnd"/>
      <w:r>
        <w:rPr>
          <w:rFonts w:ascii="Arial" w:hAnsi="Arial" w:cs="Arial"/>
          <w:bCs/>
          <w:kern w:val="36"/>
        </w:rPr>
        <w:t>. Acta Scientific Agronomy, 39, 47–56.</w:t>
      </w:r>
    </w:p>
    <w:p w14:paraId="7CBB274B"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Saitou, N., &amp; </w:t>
      </w:r>
      <w:proofErr w:type="spellStart"/>
      <w:r w:rsidRPr="005908EC">
        <w:rPr>
          <w:rFonts w:ascii="Arial" w:hAnsi="Arial" w:cs="Arial"/>
          <w:bCs/>
          <w:kern w:val="36"/>
        </w:rPr>
        <w:t>Nei</w:t>
      </w:r>
      <w:proofErr w:type="spellEnd"/>
      <w:r w:rsidRPr="005908EC">
        <w:rPr>
          <w:rFonts w:ascii="Arial" w:hAnsi="Arial" w:cs="Arial"/>
          <w:bCs/>
          <w:kern w:val="36"/>
        </w:rPr>
        <w:t xml:space="preserve">, M. (1987). The neighbor-joining method: a new method for reconstructing phylogenetic trees. Molecular Biology and Evolution, 4(4), 406-425. </w:t>
      </w:r>
      <w:hyperlink r:id="rId72" w:history="1">
        <w:r w:rsidRPr="004B2A9A">
          <w:rPr>
            <w:rStyle w:val="Hyperlink"/>
            <w:rFonts w:ascii="Arial" w:hAnsi="Arial" w:cs="Arial"/>
            <w:bCs/>
            <w:kern w:val="36"/>
          </w:rPr>
          <w:t>https://doi.org/10.1093/oxfordjournals.molbev.a040454</w:t>
        </w:r>
      </w:hyperlink>
      <w:r>
        <w:rPr>
          <w:rFonts w:ascii="Arial" w:hAnsi="Arial" w:cs="Arial"/>
          <w:bCs/>
          <w:kern w:val="36"/>
        </w:rPr>
        <w:t xml:space="preserve"> </w:t>
      </w:r>
    </w:p>
    <w:p w14:paraId="7C57C287"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Díaz-Rodríguez, A. M., </w:t>
      </w:r>
      <w:proofErr w:type="spellStart"/>
      <w:r w:rsidRPr="005908EC">
        <w:rPr>
          <w:rFonts w:ascii="Arial" w:hAnsi="Arial" w:cs="Arial"/>
          <w:bCs/>
          <w:kern w:val="36"/>
        </w:rPr>
        <w:t>Salcedo</w:t>
      </w:r>
      <w:proofErr w:type="spellEnd"/>
      <w:r w:rsidRPr="005908EC">
        <w:rPr>
          <w:rFonts w:ascii="Arial" w:hAnsi="Arial" w:cs="Arial"/>
          <w:bCs/>
          <w:kern w:val="36"/>
        </w:rPr>
        <w:t xml:space="preserve"> </w:t>
      </w:r>
      <w:proofErr w:type="spellStart"/>
      <w:r w:rsidRPr="005908EC">
        <w:rPr>
          <w:rFonts w:ascii="Arial" w:hAnsi="Arial" w:cs="Arial"/>
          <w:bCs/>
          <w:kern w:val="36"/>
        </w:rPr>
        <w:t>Gastelum</w:t>
      </w:r>
      <w:proofErr w:type="spellEnd"/>
      <w:r w:rsidRPr="005908EC">
        <w:rPr>
          <w:rFonts w:ascii="Arial" w:hAnsi="Arial" w:cs="Arial"/>
          <w:bCs/>
          <w:kern w:val="36"/>
        </w:rPr>
        <w:t xml:space="preserve">, L. A., Félix </w:t>
      </w:r>
      <w:proofErr w:type="spellStart"/>
      <w:r w:rsidRPr="005908EC">
        <w:rPr>
          <w:rFonts w:ascii="Arial" w:hAnsi="Arial" w:cs="Arial"/>
          <w:bCs/>
          <w:kern w:val="36"/>
        </w:rPr>
        <w:t>Pablos</w:t>
      </w:r>
      <w:proofErr w:type="spellEnd"/>
      <w:r w:rsidRPr="005908EC">
        <w:rPr>
          <w:rFonts w:ascii="Arial" w:hAnsi="Arial" w:cs="Arial"/>
          <w:bCs/>
          <w:kern w:val="36"/>
        </w:rPr>
        <w:t xml:space="preserve">, C. M., Parra-Cota, F. I., Santoyo, G., Puente, M. L., Bhattacharya, D., Mukherjee, J., &amp; de los Santos-Villalobos, S. (2021). The current and future role of microbial culture collections in food security worldwide. *Frontiers in Sustainable Food Systems, 4*, Article 614739. </w:t>
      </w:r>
      <w:hyperlink r:id="rId73" w:history="1">
        <w:r w:rsidRPr="004B2A9A">
          <w:rPr>
            <w:rStyle w:val="Hyperlink"/>
            <w:rFonts w:ascii="Arial" w:hAnsi="Arial" w:cs="Arial"/>
            <w:bCs/>
            <w:kern w:val="36"/>
          </w:rPr>
          <w:t>https://doi.org/10.3389/fsufs.2020.614739</w:t>
        </w:r>
      </w:hyperlink>
      <w:r>
        <w:rPr>
          <w:rFonts w:ascii="Arial" w:hAnsi="Arial" w:cs="Arial"/>
          <w:bCs/>
          <w:kern w:val="36"/>
        </w:rPr>
        <w:t xml:space="preserve"> </w:t>
      </w:r>
    </w:p>
    <w:p w14:paraId="35A2A5DE"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Sang, M. K., </w:t>
      </w:r>
      <w:proofErr w:type="spellStart"/>
      <w:r w:rsidRPr="005908EC">
        <w:rPr>
          <w:rFonts w:ascii="Arial" w:hAnsi="Arial" w:cs="Arial"/>
          <w:bCs/>
          <w:kern w:val="36"/>
        </w:rPr>
        <w:t>Jeong</w:t>
      </w:r>
      <w:proofErr w:type="spellEnd"/>
      <w:r w:rsidRPr="005908EC">
        <w:rPr>
          <w:rFonts w:ascii="Arial" w:hAnsi="Arial" w:cs="Arial"/>
          <w:bCs/>
          <w:kern w:val="36"/>
        </w:rPr>
        <w:t xml:space="preserve">, J. J., Kim, J., &amp; Kim, K. D. (2018). Growth promotion and root </w:t>
      </w:r>
      <w:proofErr w:type="spellStart"/>
      <w:r w:rsidRPr="005908EC">
        <w:rPr>
          <w:rFonts w:ascii="Arial" w:hAnsi="Arial" w:cs="Arial"/>
          <w:bCs/>
          <w:kern w:val="36"/>
        </w:rPr>
        <w:t>colonisation</w:t>
      </w:r>
      <w:proofErr w:type="spellEnd"/>
      <w:r w:rsidRPr="005908EC">
        <w:rPr>
          <w:rFonts w:ascii="Arial" w:hAnsi="Arial" w:cs="Arial"/>
          <w:bCs/>
          <w:kern w:val="36"/>
        </w:rPr>
        <w:t xml:space="preserve"> in pepper plants by phosphate-</w:t>
      </w:r>
      <w:proofErr w:type="spellStart"/>
      <w:r w:rsidRPr="005908EC">
        <w:rPr>
          <w:rFonts w:ascii="Arial" w:hAnsi="Arial" w:cs="Arial"/>
          <w:bCs/>
          <w:kern w:val="36"/>
        </w:rPr>
        <w:t>solubilising</w:t>
      </w:r>
      <w:proofErr w:type="spellEnd"/>
      <w:r w:rsidRPr="005908EC">
        <w:rPr>
          <w:rFonts w:ascii="Arial" w:hAnsi="Arial" w:cs="Arial"/>
          <w:bCs/>
          <w:kern w:val="36"/>
        </w:rPr>
        <w:t xml:space="preserve"> </w:t>
      </w:r>
      <w:proofErr w:type="spellStart"/>
      <w:r w:rsidRPr="005908EC">
        <w:rPr>
          <w:rFonts w:ascii="Arial" w:hAnsi="Arial" w:cs="Arial"/>
          <w:bCs/>
          <w:kern w:val="36"/>
        </w:rPr>
        <w:t>Chryseobacterium</w:t>
      </w:r>
      <w:proofErr w:type="spellEnd"/>
      <w:r w:rsidRPr="005908EC">
        <w:rPr>
          <w:rFonts w:ascii="Arial" w:hAnsi="Arial" w:cs="Arial"/>
          <w:bCs/>
          <w:kern w:val="36"/>
        </w:rPr>
        <w:t xml:space="preserve"> sp. strain ISE14 that suppresses Phytophthora blight. Annals of Applied Biology, 172(2), 208–223. </w:t>
      </w:r>
      <w:hyperlink r:id="rId74" w:history="1">
        <w:r w:rsidRPr="004B2A9A">
          <w:rPr>
            <w:rStyle w:val="Hyperlink"/>
            <w:rFonts w:ascii="Arial" w:hAnsi="Arial" w:cs="Arial"/>
            <w:bCs/>
            <w:kern w:val="36"/>
          </w:rPr>
          <w:t>https://doi.org/10.1111/aab.12413</w:t>
        </w:r>
      </w:hyperlink>
      <w:r>
        <w:rPr>
          <w:rFonts w:ascii="Arial" w:hAnsi="Arial" w:cs="Arial"/>
          <w:bCs/>
          <w:kern w:val="36"/>
        </w:rPr>
        <w:t xml:space="preserve"> </w:t>
      </w:r>
    </w:p>
    <w:p w14:paraId="3121D1B9"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Seshachala</w:t>
      </w:r>
      <w:proofErr w:type="spellEnd"/>
      <w:r w:rsidRPr="005908EC">
        <w:rPr>
          <w:rFonts w:ascii="Arial" w:hAnsi="Arial" w:cs="Arial"/>
          <w:bCs/>
          <w:kern w:val="36"/>
        </w:rPr>
        <w:t xml:space="preserve">, U., &amp; </w:t>
      </w:r>
      <w:proofErr w:type="spellStart"/>
      <w:r w:rsidRPr="005908EC">
        <w:rPr>
          <w:rFonts w:ascii="Arial" w:hAnsi="Arial" w:cs="Arial"/>
          <w:bCs/>
          <w:kern w:val="36"/>
        </w:rPr>
        <w:t>Tallapragada</w:t>
      </w:r>
      <w:proofErr w:type="spellEnd"/>
      <w:r w:rsidRPr="005908EC">
        <w:rPr>
          <w:rFonts w:ascii="Arial" w:hAnsi="Arial" w:cs="Arial"/>
          <w:bCs/>
          <w:kern w:val="36"/>
        </w:rPr>
        <w:t xml:space="preserve">, P. (2012). Phosphate solubilizers from the rhizosphere of Piper nigrum L. in Karnataka, India. Chilean Journal of Agricultural Research, 72(3), 397-403. </w:t>
      </w:r>
      <w:hyperlink r:id="rId75" w:history="1">
        <w:r w:rsidRPr="004B2A9A">
          <w:rPr>
            <w:rStyle w:val="Hyperlink"/>
            <w:rFonts w:ascii="Arial" w:hAnsi="Arial" w:cs="Arial"/>
            <w:bCs/>
            <w:kern w:val="36"/>
          </w:rPr>
          <w:t>https://doi.org/10.4067/S0718-58392012000300014</w:t>
        </w:r>
      </w:hyperlink>
      <w:r>
        <w:rPr>
          <w:rFonts w:ascii="Arial" w:hAnsi="Arial" w:cs="Arial"/>
          <w:bCs/>
          <w:kern w:val="36"/>
        </w:rPr>
        <w:t xml:space="preserve"> </w:t>
      </w:r>
    </w:p>
    <w:p w14:paraId="354DFBAE"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Sharma, A., Kapoor, D., Wang, J., Shahzad, B., Kumar, V., Bali, A. S., </w:t>
      </w:r>
      <w:proofErr w:type="spellStart"/>
      <w:r w:rsidRPr="005908EC">
        <w:rPr>
          <w:rFonts w:ascii="Arial" w:hAnsi="Arial" w:cs="Arial"/>
          <w:bCs/>
          <w:kern w:val="36"/>
        </w:rPr>
        <w:t>Jasrotia</w:t>
      </w:r>
      <w:proofErr w:type="spellEnd"/>
      <w:r w:rsidRPr="005908EC">
        <w:rPr>
          <w:rFonts w:ascii="Arial" w:hAnsi="Arial" w:cs="Arial"/>
          <w:bCs/>
          <w:kern w:val="36"/>
        </w:rPr>
        <w:t xml:space="preserve">, S., Zheng, B., Yuan, H., &amp; Yan, D. (2020). Chromium bioaccumulation and its impacts on plants: An overview. Plants, 9(1), 100. </w:t>
      </w:r>
      <w:hyperlink r:id="rId76" w:history="1">
        <w:r w:rsidRPr="004B2A9A">
          <w:rPr>
            <w:rStyle w:val="Hyperlink"/>
            <w:rFonts w:ascii="Arial" w:hAnsi="Arial" w:cs="Arial"/>
            <w:bCs/>
            <w:kern w:val="36"/>
          </w:rPr>
          <w:t>https://doi.org/10.3390/plants9010100</w:t>
        </w:r>
      </w:hyperlink>
      <w:r>
        <w:rPr>
          <w:rFonts w:ascii="Arial" w:hAnsi="Arial" w:cs="Arial"/>
          <w:bCs/>
          <w:kern w:val="36"/>
        </w:rPr>
        <w:t xml:space="preserve"> </w:t>
      </w:r>
    </w:p>
    <w:p w14:paraId="42654E04"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Sharma, S. B., Sayyed, R. Z., Trivedi, M. H., &amp; Gobi, T. A. (2013). Phosphate solubilizing microbes: sustainable approach for managing phosphorus deficiency in agricultural soils. </w:t>
      </w:r>
      <w:proofErr w:type="spellStart"/>
      <w:r w:rsidRPr="005908EC">
        <w:rPr>
          <w:rFonts w:ascii="Arial" w:hAnsi="Arial" w:cs="Arial"/>
          <w:bCs/>
          <w:kern w:val="36"/>
        </w:rPr>
        <w:t>Springerplus</w:t>
      </w:r>
      <w:proofErr w:type="spellEnd"/>
      <w:r w:rsidRPr="005908EC">
        <w:rPr>
          <w:rFonts w:ascii="Arial" w:hAnsi="Arial" w:cs="Arial"/>
          <w:bCs/>
          <w:kern w:val="36"/>
        </w:rPr>
        <w:t xml:space="preserve">, 2, 587 </w:t>
      </w:r>
      <w:hyperlink r:id="rId77" w:history="1">
        <w:r w:rsidRPr="004B2A9A">
          <w:rPr>
            <w:rStyle w:val="Hyperlink"/>
            <w:rFonts w:ascii="Arial" w:hAnsi="Arial" w:cs="Arial"/>
            <w:bCs/>
            <w:kern w:val="36"/>
          </w:rPr>
          <w:t>https://doi.org/10.1186/2193-1801-2-587</w:t>
        </w:r>
      </w:hyperlink>
      <w:r>
        <w:rPr>
          <w:rFonts w:ascii="Arial" w:hAnsi="Arial" w:cs="Arial"/>
          <w:bCs/>
          <w:kern w:val="36"/>
        </w:rPr>
        <w:t xml:space="preserve"> </w:t>
      </w:r>
    </w:p>
    <w:p w14:paraId="560E4B6F"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Shrivastava, S., </w:t>
      </w:r>
      <w:proofErr w:type="spellStart"/>
      <w:r w:rsidRPr="005908EC">
        <w:rPr>
          <w:rFonts w:ascii="Arial" w:hAnsi="Arial" w:cs="Arial"/>
        </w:rPr>
        <w:t>Egamberdieva</w:t>
      </w:r>
      <w:proofErr w:type="spellEnd"/>
      <w:r w:rsidRPr="005908EC">
        <w:rPr>
          <w:rFonts w:ascii="Arial" w:hAnsi="Arial" w:cs="Arial"/>
        </w:rPr>
        <w:t xml:space="preserve">, D., &amp; Varma, A. (2015). Plant Growth-Promoting Rhizobacteria (PGPR) and Medicinal Plants: The State of the Art. In S. Shrivastava, D. </w:t>
      </w:r>
      <w:proofErr w:type="spellStart"/>
      <w:r w:rsidRPr="005908EC">
        <w:rPr>
          <w:rFonts w:ascii="Arial" w:hAnsi="Arial" w:cs="Arial"/>
        </w:rPr>
        <w:t>Egamberdieva</w:t>
      </w:r>
      <w:proofErr w:type="spellEnd"/>
      <w:r w:rsidRPr="005908EC">
        <w:rPr>
          <w:rFonts w:ascii="Arial" w:hAnsi="Arial" w:cs="Arial"/>
        </w:rPr>
        <w:t xml:space="preserve">, &amp; A. Varma (Eds.), Plant-Growth-Promoting Rhizobacteria (PGPR) and Medicinal Plants (Soil Biology, Vol. 42). Springer. </w:t>
      </w:r>
      <w:hyperlink r:id="rId78" w:history="1">
        <w:r w:rsidRPr="004B2A9A">
          <w:rPr>
            <w:rStyle w:val="Hyperlink"/>
            <w:rFonts w:ascii="Arial" w:hAnsi="Arial" w:cs="Arial"/>
          </w:rPr>
          <w:t>https://doi.org/10.1007/978-3-319-13401-7_1</w:t>
        </w:r>
      </w:hyperlink>
      <w:r>
        <w:rPr>
          <w:rFonts w:ascii="Arial" w:hAnsi="Arial" w:cs="Arial"/>
        </w:rPr>
        <w:t xml:space="preserve"> </w:t>
      </w:r>
    </w:p>
    <w:p w14:paraId="6CF3ED2C"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t>Szoboszlay</w:t>
      </w:r>
      <w:proofErr w:type="spellEnd"/>
      <w:r w:rsidRPr="005908EC">
        <w:t xml:space="preserve">, S., </w:t>
      </w:r>
      <w:proofErr w:type="spellStart"/>
      <w:r w:rsidRPr="005908EC">
        <w:t>Atzél</w:t>
      </w:r>
      <w:proofErr w:type="spellEnd"/>
      <w:r w:rsidRPr="005908EC">
        <w:t xml:space="preserve">, B., </w:t>
      </w:r>
      <w:proofErr w:type="spellStart"/>
      <w:r w:rsidRPr="005908EC">
        <w:t>Kukolya</w:t>
      </w:r>
      <w:proofErr w:type="spellEnd"/>
      <w:r w:rsidRPr="005908EC">
        <w:t xml:space="preserve">, J., </w:t>
      </w:r>
      <w:proofErr w:type="spellStart"/>
      <w:r w:rsidRPr="005908EC">
        <w:t>Tóth</w:t>
      </w:r>
      <w:proofErr w:type="spellEnd"/>
      <w:r w:rsidRPr="005908EC">
        <w:t xml:space="preserve">, E. M., </w:t>
      </w:r>
      <w:proofErr w:type="spellStart"/>
      <w:r w:rsidRPr="005908EC">
        <w:t>Márialigeti</w:t>
      </w:r>
      <w:proofErr w:type="spellEnd"/>
      <w:r w:rsidRPr="005908EC">
        <w:t xml:space="preserve">, K., Schumann, P., &amp; </w:t>
      </w:r>
      <w:proofErr w:type="spellStart"/>
      <w:r w:rsidRPr="005908EC">
        <w:t>Kriszt</w:t>
      </w:r>
      <w:proofErr w:type="spellEnd"/>
      <w:r w:rsidRPr="005908EC">
        <w:t xml:space="preserve">, B. (2008). </w:t>
      </w:r>
      <w:proofErr w:type="spellStart"/>
      <w:r w:rsidRPr="005908EC">
        <w:t>Chryseobacterium</w:t>
      </w:r>
      <w:proofErr w:type="spellEnd"/>
      <w:r w:rsidRPr="005908EC">
        <w:t xml:space="preserve"> </w:t>
      </w:r>
      <w:proofErr w:type="spellStart"/>
      <w:r w:rsidRPr="005908EC">
        <w:t>hungaricum</w:t>
      </w:r>
      <w:proofErr w:type="spellEnd"/>
      <w:r w:rsidRPr="005908EC">
        <w:t xml:space="preserve"> sp. </w:t>
      </w:r>
      <w:proofErr w:type="spellStart"/>
      <w:r w:rsidRPr="005908EC">
        <w:t>nov.</w:t>
      </w:r>
      <w:proofErr w:type="spellEnd"/>
      <w:r w:rsidRPr="005908EC">
        <w:t xml:space="preserve">, isolated from hydrocarbon-contaminated soil. International Journal of Systematic and Evolutionary Microbiology, 58(12). </w:t>
      </w:r>
      <w:hyperlink r:id="rId79" w:history="1">
        <w:r w:rsidRPr="004B2A9A">
          <w:rPr>
            <w:rStyle w:val="Hyperlink"/>
          </w:rPr>
          <w:t>https://doi.org/10.1099/ijs.0.65847-0</w:t>
        </w:r>
      </w:hyperlink>
      <w:r>
        <w:t xml:space="preserve"> </w:t>
      </w:r>
    </w:p>
    <w:p w14:paraId="78F272EF"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rPr>
        <w:t>Tapadar</w:t>
      </w:r>
      <w:proofErr w:type="spellEnd"/>
      <w:r w:rsidRPr="005908EC">
        <w:rPr>
          <w:rFonts w:ascii="Arial" w:hAnsi="Arial" w:cs="Arial"/>
        </w:rPr>
        <w:t xml:space="preserve">, S. A., &amp; Jha, D. K. (2015). Influence of open cast mining on the soil properties of </w:t>
      </w:r>
      <w:proofErr w:type="spellStart"/>
      <w:r w:rsidRPr="005908EC">
        <w:rPr>
          <w:rFonts w:ascii="Arial" w:hAnsi="Arial" w:cs="Arial"/>
        </w:rPr>
        <w:t>Ledo</w:t>
      </w:r>
      <w:proofErr w:type="spellEnd"/>
      <w:r w:rsidRPr="005908EC">
        <w:rPr>
          <w:rFonts w:ascii="Arial" w:hAnsi="Arial" w:cs="Arial"/>
        </w:rPr>
        <w:t xml:space="preserve"> Colliery of </w:t>
      </w:r>
      <w:proofErr w:type="spellStart"/>
      <w:r w:rsidRPr="005908EC">
        <w:rPr>
          <w:rFonts w:ascii="Arial" w:hAnsi="Arial" w:cs="Arial"/>
        </w:rPr>
        <w:t>Tinsukia</w:t>
      </w:r>
      <w:proofErr w:type="spellEnd"/>
      <w:r w:rsidRPr="005908EC">
        <w:rPr>
          <w:rFonts w:ascii="Arial" w:hAnsi="Arial" w:cs="Arial"/>
        </w:rPr>
        <w:t xml:space="preserve"> district of Assam, India. International Journal of Scientific and Research Publications, 5(3), 365-369. </w:t>
      </w:r>
      <w:hyperlink r:id="rId80" w:history="1">
        <w:r w:rsidRPr="004B2A9A">
          <w:rPr>
            <w:rStyle w:val="Hyperlink"/>
            <w:rFonts w:ascii="Arial" w:hAnsi="Arial" w:cs="Arial"/>
          </w:rPr>
          <w:t>http://www.ijsrp.org/research-paper-0315.php?rp=P393791</w:t>
        </w:r>
      </w:hyperlink>
      <w:r>
        <w:rPr>
          <w:rFonts w:ascii="Arial" w:hAnsi="Arial" w:cs="Arial"/>
        </w:rPr>
        <w:t xml:space="preserve"> </w:t>
      </w:r>
    </w:p>
    <w:p w14:paraId="2CDA46D9" w14:textId="52CA0FA6"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rPr>
        <w:t>Thenappan</w:t>
      </w:r>
      <w:proofErr w:type="spellEnd"/>
      <w:r w:rsidRPr="005908EC">
        <w:rPr>
          <w:rFonts w:ascii="Arial" w:hAnsi="Arial" w:cs="Arial"/>
        </w:rPr>
        <w:t xml:space="preserve">, D. P., Pandey, R., </w:t>
      </w:r>
      <w:proofErr w:type="spellStart"/>
      <w:r w:rsidRPr="005908EC">
        <w:rPr>
          <w:rFonts w:ascii="Arial" w:hAnsi="Arial" w:cs="Arial"/>
        </w:rPr>
        <w:t>Hada</w:t>
      </w:r>
      <w:proofErr w:type="spellEnd"/>
      <w:r w:rsidRPr="005908EC">
        <w:rPr>
          <w:rFonts w:ascii="Arial" w:hAnsi="Arial" w:cs="Arial"/>
        </w:rPr>
        <w:t xml:space="preserve">, A., Jaiswal, D. K., </w:t>
      </w:r>
      <w:proofErr w:type="spellStart"/>
      <w:r w:rsidRPr="005908EC">
        <w:rPr>
          <w:rFonts w:ascii="Arial" w:hAnsi="Arial" w:cs="Arial"/>
        </w:rPr>
        <w:t>Chinnusamy</w:t>
      </w:r>
      <w:proofErr w:type="spellEnd"/>
      <w:r w:rsidRPr="005908EC">
        <w:rPr>
          <w:rFonts w:ascii="Arial" w:hAnsi="Arial" w:cs="Arial"/>
        </w:rPr>
        <w:t xml:space="preserve">, V., Bhattacharya, R., &amp; Annapurna, K. (2024). Physiological basis of plant growth promotion in rice by </w:t>
      </w:r>
      <w:proofErr w:type="spellStart"/>
      <w:r w:rsidRPr="005908EC">
        <w:rPr>
          <w:rFonts w:ascii="Arial" w:hAnsi="Arial" w:cs="Arial"/>
        </w:rPr>
        <w:t>rhizosphere</w:t>
      </w:r>
      <w:proofErr w:type="spellEnd"/>
      <w:r w:rsidRPr="005908EC">
        <w:rPr>
          <w:rFonts w:ascii="Arial" w:hAnsi="Arial" w:cs="Arial"/>
        </w:rPr>
        <w:t xml:space="preserve"> and </w:t>
      </w:r>
      <w:proofErr w:type="spellStart"/>
      <w:r w:rsidRPr="005908EC">
        <w:rPr>
          <w:rFonts w:ascii="Arial" w:hAnsi="Arial" w:cs="Arial"/>
        </w:rPr>
        <w:t>endosphere</w:t>
      </w:r>
      <w:proofErr w:type="spellEnd"/>
      <w:r w:rsidRPr="005908EC">
        <w:rPr>
          <w:rFonts w:ascii="Arial" w:hAnsi="Arial" w:cs="Arial"/>
        </w:rPr>
        <w:t xml:space="preserve"> associated Streptomyces isolates from India. Rice. https://doi.org/10.1186/s12284-024-00732-</w:t>
      </w:r>
      <w:r w:rsidRPr="005908EC">
        <w:t xml:space="preserve">w </w:t>
      </w:r>
      <w:proofErr w:type="spellStart"/>
      <w:r w:rsidRPr="005908EC">
        <w:t>Thenappan</w:t>
      </w:r>
      <w:proofErr w:type="spellEnd"/>
      <w:r w:rsidRPr="005908EC">
        <w:t xml:space="preserve">, D. P., Pandey, R., </w:t>
      </w:r>
      <w:proofErr w:type="spellStart"/>
      <w:r w:rsidRPr="005908EC">
        <w:t>Hada</w:t>
      </w:r>
      <w:proofErr w:type="spellEnd"/>
      <w:r w:rsidRPr="005908EC">
        <w:t xml:space="preserve">, A., Jaiswal, D. K., </w:t>
      </w:r>
      <w:proofErr w:type="spellStart"/>
      <w:r w:rsidRPr="005908EC">
        <w:t>Chinnusamy</w:t>
      </w:r>
      <w:proofErr w:type="spellEnd"/>
      <w:r w:rsidRPr="005908EC">
        <w:t xml:space="preserve">, V., Bhattacharya, R., &amp; Annapurna, K. (2024). Physiological basis of plant growth promotion in rice by </w:t>
      </w:r>
      <w:proofErr w:type="spellStart"/>
      <w:r w:rsidRPr="005908EC">
        <w:t>rhizosphere</w:t>
      </w:r>
      <w:proofErr w:type="spellEnd"/>
      <w:r w:rsidRPr="005908EC">
        <w:t xml:space="preserve"> and </w:t>
      </w:r>
      <w:proofErr w:type="spellStart"/>
      <w:r w:rsidRPr="005908EC">
        <w:t>endosphere</w:t>
      </w:r>
      <w:proofErr w:type="spellEnd"/>
      <w:r w:rsidRPr="005908EC">
        <w:t xml:space="preserve"> associated Streptomyces isolates from India. Rice. </w:t>
      </w:r>
      <w:hyperlink r:id="rId81" w:history="1">
        <w:r w:rsidRPr="004B2A9A">
          <w:rPr>
            <w:rStyle w:val="Hyperlink"/>
          </w:rPr>
          <w:t>https://doi.org/10.1186/s12284-024-00732-w</w:t>
        </w:r>
      </w:hyperlink>
    </w:p>
    <w:p w14:paraId="7F4B6E67"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t>Tomar</w:t>
      </w:r>
      <w:proofErr w:type="spellEnd"/>
      <w:r w:rsidRPr="005908EC">
        <w:t xml:space="preserve">, R. S., Singh, B., &amp; </w:t>
      </w:r>
      <w:proofErr w:type="spellStart"/>
      <w:r w:rsidRPr="005908EC">
        <w:t>Jajoo</w:t>
      </w:r>
      <w:proofErr w:type="spellEnd"/>
      <w:r w:rsidRPr="005908EC">
        <w:t xml:space="preserve">, A. (2019). Effects of organic pollutants on photosynthesis. In P. Ahmad, M. A. </w:t>
      </w:r>
      <w:proofErr w:type="spellStart"/>
      <w:r w:rsidRPr="005908EC">
        <w:t>Ahanger</w:t>
      </w:r>
      <w:proofErr w:type="spellEnd"/>
      <w:r w:rsidRPr="005908EC">
        <w:t xml:space="preserve">, M. N. </w:t>
      </w:r>
      <w:proofErr w:type="spellStart"/>
      <w:r w:rsidRPr="005908EC">
        <w:t>Alyemeni</w:t>
      </w:r>
      <w:proofErr w:type="spellEnd"/>
      <w:r w:rsidRPr="005908EC">
        <w:t xml:space="preserve">, &amp; P. </w:t>
      </w:r>
      <w:proofErr w:type="spellStart"/>
      <w:r w:rsidRPr="005908EC">
        <w:t>Alam</w:t>
      </w:r>
      <w:proofErr w:type="spellEnd"/>
      <w:r w:rsidRPr="005908EC">
        <w:t xml:space="preserve"> (Eds.), Photosynthesis, productivity and environmental stress (pp. 1–26). John Wiley &amp; Sons Ltd. </w:t>
      </w:r>
      <w:hyperlink r:id="rId82" w:history="1">
        <w:r w:rsidRPr="004B2A9A">
          <w:rPr>
            <w:rStyle w:val="Hyperlink"/>
          </w:rPr>
          <w:t>https://doi.org/10.1002/9781119501800.ch1</w:t>
        </w:r>
      </w:hyperlink>
      <w:r>
        <w:t xml:space="preserve"> </w:t>
      </w:r>
    </w:p>
    <w:p w14:paraId="63F78B48"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eastAsia="SimSun" w:hAnsi="Arial" w:cs="Arial"/>
          <w:color w:val="000000"/>
          <w:lang w:eastAsia="zh-CN" w:bidi="ar"/>
        </w:rPr>
        <w:t xml:space="preserve">Walkley, A., &amp; Black, I. A. (1934). An examination of the </w:t>
      </w:r>
      <w:proofErr w:type="spellStart"/>
      <w:r w:rsidRPr="005908EC">
        <w:rPr>
          <w:rFonts w:ascii="Arial" w:eastAsia="SimSun" w:hAnsi="Arial" w:cs="Arial"/>
          <w:color w:val="000000"/>
          <w:lang w:eastAsia="zh-CN" w:bidi="ar"/>
        </w:rPr>
        <w:t>Degtjareff</w:t>
      </w:r>
      <w:proofErr w:type="spellEnd"/>
      <w:r w:rsidRPr="005908EC">
        <w:rPr>
          <w:rFonts w:ascii="Arial" w:eastAsia="SimSun" w:hAnsi="Arial" w:cs="Arial"/>
          <w:color w:val="000000"/>
          <w:lang w:eastAsia="zh-CN" w:bidi="ar"/>
        </w:rPr>
        <w:t xml:space="preserve"> method for determining Soil Organic Matter, and a Proposed Modification of the Chromic Acid Titration Method. Soil Science, 37(1), 29–38. </w:t>
      </w:r>
      <w:hyperlink r:id="rId83" w:history="1">
        <w:r w:rsidRPr="004B2A9A">
          <w:rPr>
            <w:rStyle w:val="Hyperlink"/>
            <w:rFonts w:ascii="Arial" w:eastAsia="SimSun" w:hAnsi="Arial" w:cs="Arial"/>
            <w:lang w:eastAsia="zh-CN" w:bidi="ar"/>
          </w:rPr>
          <w:t>https://doi.org/10.1097/00010694-193401000-00003</w:t>
        </w:r>
      </w:hyperlink>
      <w:r>
        <w:rPr>
          <w:rFonts w:ascii="Arial" w:eastAsia="SimSun" w:hAnsi="Arial" w:cs="Arial"/>
          <w:color w:val="000000"/>
          <w:lang w:eastAsia="zh-CN" w:bidi="ar"/>
        </w:rPr>
        <w:t xml:space="preserve"> </w:t>
      </w:r>
    </w:p>
    <w:p w14:paraId="2DBA9A16"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Wang, C., </w:t>
      </w:r>
      <w:proofErr w:type="spellStart"/>
      <w:r w:rsidRPr="005908EC">
        <w:rPr>
          <w:rFonts w:ascii="Arial" w:hAnsi="Arial" w:cs="Arial"/>
          <w:bCs/>
          <w:kern w:val="36"/>
        </w:rPr>
        <w:t>Linderholm</w:t>
      </w:r>
      <w:proofErr w:type="spellEnd"/>
      <w:r w:rsidRPr="005908EC">
        <w:rPr>
          <w:rFonts w:ascii="Arial" w:hAnsi="Arial" w:cs="Arial"/>
          <w:bCs/>
          <w:kern w:val="36"/>
        </w:rPr>
        <w:t xml:space="preserve">, H. W., Song, Y., Wang, F., Liu, Y., Tian, J., Xu, J., Song, Y., &amp; Ren, G. (2020). Impacts of drought on maize and soybean production in northeast China during the past five decades. International Journal of Environmental Research and Public Health, 17(7), 2459. </w:t>
      </w:r>
      <w:hyperlink r:id="rId84" w:history="1">
        <w:r w:rsidRPr="004B2A9A">
          <w:rPr>
            <w:rStyle w:val="Hyperlink"/>
            <w:rFonts w:ascii="Arial" w:hAnsi="Arial" w:cs="Arial"/>
            <w:bCs/>
            <w:kern w:val="36"/>
          </w:rPr>
          <w:t>https://doi.org/10.3390/ijerph17072459</w:t>
        </w:r>
      </w:hyperlink>
      <w:r>
        <w:rPr>
          <w:rFonts w:ascii="Arial" w:hAnsi="Arial" w:cs="Arial"/>
          <w:bCs/>
          <w:kern w:val="36"/>
        </w:rPr>
        <w:t xml:space="preserve"> </w:t>
      </w:r>
    </w:p>
    <w:p w14:paraId="4E3BC661"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bCs/>
          <w:kern w:val="36"/>
        </w:rPr>
        <w:t xml:space="preserve">Wang, J., Li, R., Zhang, H., Wei, G., &amp; Li, Z. (2020). Beneficial bacteria activate nutrients and promote wheat growth under conditions of reduced fertilizer application. BMC Microbiology, 20(1), 38. </w:t>
      </w:r>
      <w:hyperlink r:id="rId85" w:history="1">
        <w:r w:rsidRPr="004B2A9A">
          <w:rPr>
            <w:rStyle w:val="Hyperlink"/>
            <w:rFonts w:ascii="Arial" w:hAnsi="Arial" w:cs="Arial"/>
            <w:bCs/>
            <w:kern w:val="36"/>
          </w:rPr>
          <w:t>https://doi.org/10.1186/s12866-020-1708-z</w:t>
        </w:r>
      </w:hyperlink>
      <w:r>
        <w:rPr>
          <w:rFonts w:ascii="Arial" w:hAnsi="Arial" w:cs="Arial"/>
          <w:bCs/>
          <w:kern w:val="36"/>
        </w:rPr>
        <w:t xml:space="preserve"> </w:t>
      </w:r>
    </w:p>
    <w:p w14:paraId="34D86F15"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Wang, Z., Zhang, H., Liu, L., Li, S., </w:t>
      </w:r>
      <w:proofErr w:type="spellStart"/>
      <w:r w:rsidRPr="005908EC">
        <w:rPr>
          <w:rFonts w:ascii="Arial" w:hAnsi="Arial" w:cs="Arial"/>
        </w:rPr>
        <w:t>Xie</w:t>
      </w:r>
      <w:proofErr w:type="spellEnd"/>
      <w:r w:rsidRPr="005908EC">
        <w:rPr>
          <w:rFonts w:ascii="Arial" w:hAnsi="Arial" w:cs="Arial"/>
        </w:rPr>
        <w:t xml:space="preserve">, J., </w:t>
      </w:r>
      <w:proofErr w:type="spellStart"/>
      <w:r w:rsidRPr="005908EC">
        <w:rPr>
          <w:rFonts w:ascii="Arial" w:hAnsi="Arial" w:cs="Arial"/>
        </w:rPr>
        <w:t>Xue</w:t>
      </w:r>
      <w:proofErr w:type="spellEnd"/>
      <w:r w:rsidRPr="005908EC">
        <w:rPr>
          <w:rFonts w:ascii="Arial" w:hAnsi="Arial" w:cs="Arial"/>
        </w:rPr>
        <w:t xml:space="preserve">, X., &amp; Jiang, Y. (2022). Screening of phosphate-solubilizing bacteria and their abilities of phosphorus solubilization and wheat growth promotion. BMC Microbiology, 22, 296. </w:t>
      </w:r>
      <w:hyperlink r:id="rId86" w:history="1">
        <w:r w:rsidRPr="004B2A9A">
          <w:rPr>
            <w:rStyle w:val="Hyperlink"/>
            <w:rFonts w:ascii="Arial" w:hAnsi="Arial" w:cs="Arial"/>
          </w:rPr>
          <w:t>https://doi.org/10.1186/s12866-022-02715-7</w:t>
        </w:r>
      </w:hyperlink>
      <w:r>
        <w:rPr>
          <w:rFonts w:ascii="Arial" w:hAnsi="Arial" w:cs="Arial"/>
        </w:rPr>
        <w:t xml:space="preserve"> </w:t>
      </w:r>
    </w:p>
    <w:p w14:paraId="588B324D" w14:textId="77777777" w:rsidR="005908EC" w:rsidRP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proofErr w:type="spellStart"/>
      <w:r w:rsidRPr="005908EC">
        <w:rPr>
          <w:rFonts w:ascii="Arial" w:hAnsi="Arial" w:cs="Arial"/>
          <w:bCs/>
          <w:kern w:val="36"/>
        </w:rPr>
        <w:t>Wani</w:t>
      </w:r>
      <w:proofErr w:type="spellEnd"/>
      <w:r w:rsidRPr="005908EC">
        <w:rPr>
          <w:rFonts w:ascii="Arial" w:hAnsi="Arial" w:cs="Arial"/>
          <w:bCs/>
          <w:kern w:val="36"/>
        </w:rPr>
        <w:t xml:space="preserve">, P. P., Khan, M. M., &amp; Zaidi, A. A. (2007). Co-inoculation of nitrogen-fixing and phosphate-solubilizing bacteria to promote growth, yield and nutrient uptake in chickpea. </w:t>
      </w:r>
      <w:proofErr w:type="spellStart"/>
      <w:r w:rsidRPr="005908EC">
        <w:rPr>
          <w:rFonts w:ascii="Arial" w:hAnsi="Arial" w:cs="Arial"/>
          <w:bCs/>
          <w:kern w:val="36"/>
        </w:rPr>
        <w:t>Acta</w:t>
      </w:r>
      <w:proofErr w:type="spellEnd"/>
      <w:r w:rsidRPr="005908EC">
        <w:rPr>
          <w:rFonts w:ascii="Arial" w:hAnsi="Arial" w:cs="Arial"/>
          <w:bCs/>
          <w:kern w:val="36"/>
        </w:rPr>
        <w:t xml:space="preserve"> </w:t>
      </w:r>
      <w:proofErr w:type="spellStart"/>
      <w:r w:rsidRPr="005908EC">
        <w:rPr>
          <w:rFonts w:ascii="Arial" w:hAnsi="Arial" w:cs="Arial"/>
          <w:bCs/>
          <w:kern w:val="36"/>
        </w:rPr>
        <w:t>Agronomica</w:t>
      </w:r>
      <w:proofErr w:type="spellEnd"/>
      <w:r w:rsidRPr="005908EC">
        <w:rPr>
          <w:rFonts w:ascii="Arial" w:hAnsi="Arial" w:cs="Arial"/>
          <w:bCs/>
          <w:kern w:val="36"/>
        </w:rPr>
        <w:t xml:space="preserve"> </w:t>
      </w:r>
      <w:proofErr w:type="spellStart"/>
      <w:r w:rsidRPr="005908EC">
        <w:rPr>
          <w:rFonts w:ascii="Arial" w:hAnsi="Arial" w:cs="Arial"/>
          <w:bCs/>
          <w:kern w:val="36"/>
        </w:rPr>
        <w:t>Hungarica</w:t>
      </w:r>
      <w:proofErr w:type="spellEnd"/>
      <w:r w:rsidRPr="005908EC">
        <w:rPr>
          <w:rFonts w:ascii="Arial" w:hAnsi="Arial" w:cs="Arial"/>
          <w:bCs/>
          <w:kern w:val="36"/>
        </w:rPr>
        <w:t xml:space="preserve">, 55(3). </w:t>
      </w:r>
      <w:hyperlink r:id="rId87" w:history="1">
        <w:r w:rsidRPr="004B2A9A">
          <w:rPr>
            <w:rStyle w:val="Hyperlink"/>
            <w:rFonts w:ascii="Arial" w:hAnsi="Arial" w:cs="Arial"/>
            <w:bCs/>
            <w:kern w:val="36"/>
          </w:rPr>
          <w:t>https://doi.org/10.1556/aagr.55.2007.3.7</w:t>
        </w:r>
      </w:hyperlink>
      <w:r>
        <w:rPr>
          <w:rFonts w:ascii="Arial" w:hAnsi="Arial" w:cs="Arial"/>
          <w:bCs/>
          <w:kern w:val="36"/>
        </w:rPr>
        <w:t xml:space="preserve"> </w:t>
      </w:r>
    </w:p>
    <w:p w14:paraId="066A095D" w14:textId="77777777" w:rsidR="005908EC"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5908EC">
        <w:rPr>
          <w:rFonts w:ascii="Arial" w:hAnsi="Arial" w:cs="Arial"/>
        </w:rPr>
        <w:t xml:space="preserve">Xu, C., McDowell, N. G., Fisher, R. A., Wei, L., </w:t>
      </w:r>
      <w:proofErr w:type="spellStart"/>
      <w:r w:rsidRPr="005908EC">
        <w:rPr>
          <w:rFonts w:ascii="Arial" w:hAnsi="Arial" w:cs="Arial"/>
        </w:rPr>
        <w:t>Sevanto</w:t>
      </w:r>
      <w:proofErr w:type="spellEnd"/>
      <w:r w:rsidRPr="005908EC">
        <w:rPr>
          <w:rFonts w:ascii="Arial" w:hAnsi="Arial" w:cs="Arial"/>
        </w:rPr>
        <w:t xml:space="preserve">, S., </w:t>
      </w:r>
      <w:proofErr w:type="spellStart"/>
      <w:r w:rsidRPr="005908EC">
        <w:rPr>
          <w:rFonts w:ascii="Arial" w:hAnsi="Arial" w:cs="Arial"/>
        </w:rPr>
        <w:t>Christoffersen</w:t>
      </w:r>
      <w:proofErr w:type="spellEnd"/>
      <w:r w:rsidRPr="005908EC">
        <w:rPr>
          <w:rFonts w:ascii="Arial" w:hAnsi="Arial" w:cs="Arial"/>
        </w:rPr>
        <w:t xml:space="preserve">, B. O., Weng, E., &amp; Middleton, R. S. (2019). Increasing impacts of extreme droughts on vegetation productivity under climate change. Nature Climate Change, 9(12). </w:t>
      </w:r>
      <w:hyperlink r:id="rId88" w:history="1">
        <w:r w:rsidRPr="004B2A9A">
          <w:rPr>
            <w:rStyle w:val="Hyperlink"/>
            <w:rFonts w:ascii="Arial" w:hAnsi="Arial" w:cs="Arial"/>
          </w:rPr>
          <w:t>https://doi.org/10.1038/s41558-019-0630-6</w:t>
        </w:r>
      </w:hyperlink>
      <w:r>
        <w:rPr>
          <w:rFonts w:ascii="Arial" w:hAnsi="Arial" w:cs="Arial"/>
        </w:rPr>
        <w:t xml:space="preserve"> </w:t>
      </w:r>
    </w:p>
    <w:p w14:paraId="6781327D" w14:textId="59FAD27E" w:rsidR="00CD3DE2" w:rsidRDefault="005908EC"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Pr>
          <w:rFonts w:ascii="Arial" w:hAnsi="Arial" w:cs="Arial"/>
          <w:bCs/>
          <w:kern w:val="36"/>
        </w:rPr>
        <w:t>Zahra, N., Raza, Z. A., &amp; Mahmood, S. (2020). Effect of salinity stress on various growth and physiological attributes of two contrasting maize genotypes. Brazilian Archives of Biology and Technology</w:t>
      </w:r>
      <w:r>
        <w:rPr>
          <w:rFonts w:ascii="Arial" w:hAnsi="Arial" w:cs="Arial"/>
          <w:bCs/>
          <w:i/>
          <w:kern w:val="36"/>
        </w:rPr>
        <w:t>,</w:t>
      </w:r>
      <w:r>
        <w:rPr>
          <w:rFonts w:ascii="Arial" w:hAnsi="Arial" w:cs="Arial"/>
          <w:bCs/>
          <w:kern w:val="36"/>
        </w:rPr>
        <w:t xml:space="preserve"> 63.</w:t>
      </w:r>
    </w:p>
    <w:p w14:paraId="65D31BC0" w14:textId="78FA9804" w:rsidR="00395E99" w:rsidRDefault="00395E99"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395E99">
        <w:rPr>
          <w:rFonts w:ascii="Arial" w:hAnsi="Arial" w:cs="Arial"/>
        </w:rPr>
        <w:t xml:space="preserve">Zaidi, A., Ahmad, E., Khan, M. S., </w:t>
      </w:r>
      <w:proofErr w:type="spellStart"/>
      <w:r w:rsidRPr="00395E99">
        <w:rPr>
          <w:rFonts w:ascii="Arial" w:hAnsi="Arial" w:cs="Arial"/>
        </w:rPr>
        <w:t>Saif</w:t>
      </w:r>
      <w:proofErr w:type="spellEnd"/>
      <w:r w:rsidRPr="00395E99">
        <w:rPr>
          <w:rFonts w:ascii="Arial" w:hAnsi="Arial" w:cs="Arial"/>
        </w:rPr>
        <w:t xml:space="preserve">, S., &amp; Rizvi, A. (2015). Role of plant growth promoting rhizobacteria in sustainable production of vegetables: Current perspective. </w:t>
      </w:r>
      <w:proofErr w:type="spellStart"/>
      <w:r w:rsidRPr="00395E99">
        <w:rPr>
          <w:rFonts w:ascii="Arial" w:hAnsi="Arial" w:cs="Arial"/>
        </w:rPr>
        <w:t>Scientia</w:t>
      </w:r>
      <w:proofErr w:type="spellEnd"/>
      <w:r w:rsidRPr="00395E99">
        <w:rPr>
          <w:rFonts w:ascii="Arial" w:hAnsi="Arial" w:cs="Arial"/>
        </w:rPr>
        <w:t xml:space="preserve"> </w:t>
      </w:r>
      <w:proofErr w:type="spellStart"/>
      <w:r w:rsidRPr="00395E99">
        <w:rPr>
          <w:rFonts w:ascii="Arial" w:hAnsi="Arial" w:cs="Arial"/>
        </w:rPr>
        <w:t>Horticulturae</w:t>
      </w:r>
      <w:proofErr w:type="spellEnd"/>
      <w:r w:rsidRPr="00395E99">
        <w:rPr>
          <w:rFonts w:ascii="Arial" w:hAnsi="Arial" w:cs="Arial"/>
        </w:rPr>
        <w:t xml:space="preserve">, 193, 231-239. </w:t>
      </w:r>
      <w:hyperlink r:id="rId89" w:history="1">
        <w:r w:rsidRPr="004B2A9A">
          <w:rPr>
            <w:rStyle w:val="Hyperlink"/>
            <w:rFonts w:ascii="Arial" w:hAnsi="Arial" w:cs="Arial"/>
          </w:rPr>
          <w:t>https://doi.org/10.1016/j.scienta.2015.07.020</w:t>
        </w:r>
      </w:hyperlink>
    </w:p>
    <w:p w14:paraId="5F77ED27" w14:textId="77777777" w:rsidR="00395E99" w:rsidRPr="00395E99" w:rsidRDefault="00395E99"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395E99">
        <w:rPr>
          <w:rFonts w:ascii="Arial" w:hAnsi="Arial" w:cs="Arial"/>
          <w:bCs/>
          <w:kern w:val="36"/>
        </w:rPr>
        <w:t xml:space="preserve">Zaidi, A., Khan, M. S., Rizvi, A., </w:t>
      </w:r>
      <w:proofErr w:type="spellStart"/>
      <w:r w:rsidRPr="00395E99">
        <w:rPr>
          <w:rFonts w:ascii="Arial" w:hAnsi="Arial" w:cs="Arial"/>
          <w:bCs/>
          <w:kern w:val="36"/>
        </w:rPr>
        <w:t>Saif</w:t>
      </w:r>
      <w:proofErr w:type="spellEnd"/>
      <w:r w:rsidRPr="00395E99">
        <w:rPr>
          <w:rFonts w:ascii="Arial" w:hAnsi="Arial" w:cs="Arial"/>
          <w:bCs/>
          <w:kern w:val="36"/>
        </w:rPr>
        <w:t xml:space="preserve">, S., Ahmad, B., &amp; Shahid, M. (2017). Role of phosphate-solubilizing bacteria in legume improvement. In Microbes for Legume Improvement (pp. 175–197). Springer. </w:t>
      </w:r>
      <w:hyperlink r:id="rId90" w:history="1">
        <w:r w:rsidRPr="004B2A9A">
          <w:rPr>
            <w:rStyle w:val="Hyperlink"/>
            <w:rFonts w:ascii="Arial" w:hAnsi="Arial" w:cs="Arial"/>
            <w:bCs/>
            <w:kern w:val="36"/>
          </w:rPr>
          <w:t>https://doi.org/10.1007/978-3-319-59174-2_8v</w:t>
        </w:r>
      </w:hyperlink>
      <w:r>
        <w:rPr>
          <w:rFonts w:ascii="Arial" w:hAnsi="Arial" w:cs="Arial"/>
          <w:bCs/>
          <w:kern w:val="36"/>
        </w:rPr>
        <w:t xml:space="preserve"> </w:t>
      </w:r>
    </w:p>
    <w:p w14:paraId="5836EB97" w14:textId="5662ED68" w:rsidR="00395E99" w:rsidRPr="00395E99" w:rsidRDefault="00395E99" w:rsidP="00550364">
      <w:pPr>
        <w:widowControl w:val="0"/>
        <w:numPr>
          <w:ilvl w:val="0"/>
          <w:numId w:val="2"/>
        </w:numPr>
        <w:tabs>
          <w:tab w:val="left" w:pos="220"/>
          <w:tab w:val="left" w:pos="720"/>
        </w:tabs>
        <w:autoSpaceDE w:val="0"/>
        <w:autoSpaceDN w:val="0"/>
        <w:adjustRightInd w:val="0"/>
        <w:spacing w:after="320"/>
        <w:jc w:val="both"/>
        <w:rPr>
          <w:rFonts w:ascii="Arial" w:hAnsi="Arial" w:cs="Arial"/>
        </w:rPr>
      </w:pPr>
      <w:r w:rsidRPr="00395E99">
        <w:rPr>
          <w:rFonts w:ascii="Arial" w:hAnsi="Arial" w:cs="Arial"/>
          <w:bCs/>
          <w:kern w:val="36"/>
        </w:rPr>
        <w:t xml:space="preserve">Zhang, D., He, H., Ren, Y., Haider, R., </w:t>
      </w:r>
      <w:proofErr w:type="spellStart"/>
      <w:r w:rsidRPr="00395E99">
        <w:rPr>
          <w:rFonts w:ascii="Arial" w:hAnsi="Arial" w:cs="Arial"/>
          <w:bCs/>
          <w:kern w:val="36"/>
        </w:rPr>
        <w:t>Urynowicz</w:t>
      </w:r>
      <w:proofErr w:type="spellEnd"/>
      <w:r w:rsidRPr="00395E99">
        <w:rPr>
          <w:rFonts w:ascii="Arial" w:hAnsi="Arial" w:cs="Arial"/>
          <w:bCs/>
          <w:kern w:val="36"/>
        </w:rPr>
        <w:t xml:space="preserve">, M., </w:t>
      </w:r>
      <w:proofErr w:type="spellStart"/>
      <w:r w:rsidRPr="00395E99">
        <w:rPr>
          <w:rFonts w:ascii="Arial" w:hAnsi="Arial" w:cs="Arial"/>
          <w:bCs/>
          <w:kern w:val="36"/>
        </w:rPr>
        <w:t>Fallgren</w:t>
      </w:r>
      <w:proofErr w:type="spellEnd"/>
      <w:r w:rsidRPr="00395E99">
        <w:rPr>
          <w:rFonts w:ascii="Arial" w:hAnsi="Arial" w:cs="Arial"/>
          <w:bCs/>
          <w:kern w:val="36"/>
        </w:rPr>
        <w:t xml:space="preserve">, P. H., Jin, S., </w:t>
      </w:r>
      <w:proofErr w:type="spellStart"/>
      <w:r w:rsidRPr="00395E99">
        <w:rPr>
          <w:rFonts w:ascii="Arial" w:hAnsi="Arial" w:cs="Arial"/>
          <w:bCs/>
          <w:kern w:val="36"/>
        </w:rPr>
        <w:t>Ishtiaq</w:t>
      </w:r>
      <w:proofErr w:type="spellEnd"/>
      <w:r w:rsidRPr="00395E99">
        <w:rPr>
          <w:rFonts w:ascii="Arial" w:hAnsi="Arial" w:cs="Arial"/>
          <w:bCs/>
          <w:kern w:val="36"/>
        </w:rPr>
        <w:t xml:space="preserve"> Ali, M., Jamal, A., Adnan </w:t>
      </w:r>
      <w:proofErr w:type="spellStart"/>
      <w:r w:rsidRPr="00395E99">
        <w:rPr>
          <w:rFonts w:ascii="Arial" w:hAnsi="Arial" w:cs="Arial"/>
          <w:bCs/>
          <w:kern w:val="36"/>
        </w:rPr>
        <w:t>Sabar</w:t>
      </w:r>
      <w:proofErr w:type="spellEnd"/>
      <w:r w:rsidRPr="00395E99">
        <w:rPr>
          <w:rFonts w:ascii="Arial" w:hAnsi="Arial" w:cs="Arial"/>
          <w:bCs/>
          <w:kern w:val="36"/>
        </w:rPr>
        <w:t xml:space="preserve">, M., Guo, H., Liu, F., &amp; Huang, Z. (2022). A mini review on biotransformation of coal to methane by enhancement of chemical pretreatment. Fuel, 308, 121961. </w:t>
      </w:r>
      <w:hyperlink r:id="rId91" w:history="1">
        <w:r w:rsidRPr="004B2A9A">
          <w:rPr>
            <w:rStyle w:val="Hyperlink"/>
            <w:rFonts w:ascii="Arial" w:hAnsi="Arial" w:cs="Arial"/>
            <w:bCs/>
            <w:kern w:val="36"/>
          </w:rPr>
          <w:t>https://doi.org/10.1016/j.fuel.2021.121961</w:t>
        </w:r>
      </w:hyperlink>
    </w:p>
    <w:p w14:paraId="0A148075" w14:textId="2DE79F70" w:rsidR="00CD3DE2" w:rsidRDefault="00395E99">
      <w:pPr>
        <w:widowControl w:val="0"/>
        <w:numPr>
          <w:ilvl w:val="0"/>
          <w:numId w:val="2"/>
        </w:numPr>
        <w:tabs>
          <w:tab w:val="left" w:pos="220"/>
          <w:tab w:val="left" w:pos="720"/>
        </w:tabs>
        <w:autoSpaceDE w:val="0"/>
        <w:autoSpaceDN w:val="0"/>
        <w:adjustRightInd w:val="0"/>
        <w:spacing w:after="320" w:line="360" w:lineRule="auto"/>
        <w:ind w:hanging="720"/>
        <w:jc w:val="both"/>
        <w:rPr>
          <w:rFonts w:ascii="Arial" w:hAnsi="Arial" w:cs="Arial"/>
        </w:rPr>
      </w:pPr>
      <w:r w:rsidRPr="00395E99">
        <w:rPr>
          <w:rFonts w:ascii="Arial" w:hAnsi="Arial" w:cs="Arial"/>
          <w:bCs/>
          <w:kern w:val="36"/>
        </w:rPr>
        <w:t xml:space="preserve">Zhu, H. J., Sun, L. F., Zhang, Y. F., Zhang, X. L., &amp; </w:t>
      </w:r>
      <w:proofErr w:type="spellStart"/>
      <w:r w:rsidRPr="00395E99">
        <w:rPr>
          <w:rFonts w:ascii="Arial" w:hAnsi="Arial" w:cs="Arial"/>
          <w:bCs/>
          <w:kern w:val="36"/>
        </w:rPr>
        <w:t>Qiao</w:t>
      </w:r>
      <w:proofErr w:type="spellEnd"/>
      <w:r w:rsidRPr="00395E99">
        <w:rPr>
          <w:rFonts w:ascii="Arial" w:hAnsi="Arial" w:cs="Arial"/>
          <w:bCs/>
          <w:kern w:val="36"/>
        </w:rPr>
        <w:t xml:space="preserve">, J. J. (2012). Conversion of spent mushroom substrate to biofertilizer using a stress-tolerant phosphate-solubilizing Pichia farinose FL7. Bioresource Technology, 111, </w:t>
      </w:r>
      <w:r w:rsidRPr="00395E99">
        <w:rPr>
          <w:rFonts w:ascii="Arial" w:hAnsi="Arial" w:cs="Arial"/>
          <w:bCs/>
          <w:kern w:val="36"/>
        </w:rPr>
        <w:lastRenderedPageBreak/>
        <w:t xml:space="preserve">410-416. </w:t>
      </w:r>
      <w:hyperlink r:id="rId92" w:history="1">
        <w:r w:rsidRPr="004B2A9A">
          <w:rPr>
            <w:rStyle w:val="Hyperlink"/>
            <w:rFonts w:ascii="Arial" w:hAnsi="Arial" w:cs="Arial"/>
            <w:bCs/>
            <w:kern w:val="36"/>
          </w:rPr>
          <w:t>https://doi.org/10.1016/j.biortech.2012.02.042</w:t>
        </w:r>
      </w:hyperlink>
      <w:r>
        <w:rPr>
          <w:rFonts w:ascii="Arial" w:hAnsi="Arial" w:cs="Arial"/>
          <w:bCs/>
          <w:kern w:val="36"/>
        </w:rPr>
        <w:t xml:space="preserve"> </w:t>
      </w:r>
    </w:p>
    <w:p w14:paraId="4F90C831" w14:textId="77777777" w:rsidR="00CD3DE2" w:rsidRDefault="00CD3DE2">
      <w:pPr>
        <w:pStyle w:val="ReferHead"/>
        <w:spacing w:after="0"/>
        <w:jc w:val="both"/>
        <w:rPr>
          <w:rFonts w:ascii="Arial" w:hAnsi="Arial" w:cs="Arial"/>
        </w:rPr>
      </w:pPr>
    </w:p>
    <w:p w14:paraId="005CE8C8" w14:textId="77777777" w:rsidR="00CD3DE2" w:rsidRDefault="00CD3DE2">
      <w:pPr>
        <w:pStyle w:val="Body"/>
        <w:spacing w:after="0"/>
        <w:rPr>
          <w:rFonts w:ascii="Arial" w:hAnsi="Arial" w:cs="Arial"/>
          <w:b/>
        </w:rPr>
      </w:pPr>
    </w:p>
    <w:sectPr w:rsidR="00CD3DE2" w:rsidSect="00755D48">
      <w:headerReference w:type="even" r:id="rId93"/>
      <w:headerReference w:type="default" r:id="rId94"/>
      <w:footerReference w:type="default" r:id="rId95"/>
      <w:headerReference w:type="first" r:id="rId9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2o1O" w:date="2025-12-10T22:07:00Z" w:initials="DS2">
    <w:p w14:paraId="7659B3F5" w14:textId="6225F851" w:rsidR="00443CCF" w:rsidRDefault="00443CCF">
      <w:pPr>
        <w:pStyle w:val="a5"/>
      </w:pPr>
      <w:r>
        <w:rPr>
          <w:rStyle w:val="a4"/>
        </w:rPr>
        <w:annotationRef/>
      </w:r>
      <w:r w:rsidRPr="00443CCF">
        <w:t>The source was removed because it is old.</w:t>
      </w:r>
    </w:p>
  </w:comment>
  <w:comment w:id="1" w:author="DR.Ahmed Saker 2o1O" w:date="2025-12-10T22:09:00Z" w:initials="DS2">
    <w:p w14:paraId="65B43196" w14:textId="21E0FC0D" w:rsidR="00443CCF" w:rsidRDefault="00443CCF">
      <w:pPr>
        <w:pStyle w:val="a5"/>
      </w:pPr>
      <w:r>
        <w:rPr>
          <w:rStyle w:val="a4"/>
        </w:rPr>
        <w:annotationRef/>
      </w:r>
      <w:r w:rsidRPr="00443CCF">
        <w:t>The source was removed because it is old.</w:t>
      </w:r>
    </w:p>
  </w:comment>
  <w:comment w:id="2" w:author="DR.Ahmed Saker 2o1O" w:date="2025-12-10T23:37:00Z" w:initials="DS2">
    <w:p w14:paraId="7A1779C8" w14:textId="528AE099" w:rsidR="0031566A" w:rsidRDefault="0031566A">
      <w:pPr>
        <w:pStyle w:val="a5"/>
      </w:pPr>
      <w:r>
        <w:rPr>
          <w:rStyle w:val="a4"/>
        </w:rPr>
        <w:annotationRef/>
      </w:r>
      <w:r>
        <w:t>Delete</w:t>
      </w:r>
    </w:p>
  </w:comment>
  <w:comment w:id="3" w:author="DR.Ahmed Saker 2o1O" w:date="2025-12-10T23:48:00Z" w:initials="DS2">
    <w:p w14:paraId="7E484278" w14:textId="4C1325A2" w:rsidR="00946370" w:rsidRDefault="00946370">
      <w:pPr>
        <w:pStyle w:val="a5"/>
      </w:pPr>
      <w:r>
        <w:rPr>
          <w:rStyle w:val="a4"/>
        </w:rPr>
        <w:annotationRef/>
      </w:r>
      <w:r>
        <w:t>delete</w:t>
      </w:r>
    </w:p>
  </w:comment>
  <w:comment w:id="4" w:author="DR.Ahmed Saker 2o1O" w:date="2025-12-11T00:41:00Z" w:initials="DS2">
    <w:p w14:paraId="10C8EF8B" w14:textId="5368B764" w:rsidR="00046E4C" w:rsidRDefault="00046E4C">
      <w:pPr>
        <w:pStyle w:val="a5"/>
      </w:pPr>
      <w:r>
        <w:rPr>
          <w:rStyle w:val="a4"/>
        </w:rPr>
        <w:annotationRef/>
      </w:r>
      <w:r w:rsidRPr="00046E4C">
        <w:t>The introduction is lengthy and summarizes the most important key points of the research.</w:t>
      </w:r>
    </w:p>
  </w:comment>
  <w:comment w:id="5" w:author="DR.Ahmed Saker 2o1O" w:date="2025-12-11T00:42:00Z" w:initials="DS2">
    <w:p w14:paraId="735067CB" w14:textId="28F6F19E" w:rsidR="00046E4C" w:rsidRDefault="00046E4C">
      <w:pPr>
        <w:pStyle w:val="a5"/>
      </w:pPr>
      <w:r>
        <w:rPr>
          <w:rStyle w:val="a4"/>
        </w:rPr>
        <w:annotationRef/>
      </w:r>
      <w:r>
        <w:t>X</w:t>
      </w:r>
    </w:p>
  </w:comment>
  <w:comment w:id="6" w:author="DR.Ahmed Saker 2o1O" w:date="2025-12-11T00:45:00Z" w:initials="DS2">
    <w:p w14:paraId="5B0C9E28" w14:textId="46333F3B" w:rsidR="00752A2A" w:rsidRDefault="00752A2A">
      <w:pPr>
        <w:pStyle w:val="a5"/>
      </w:pPr>
      <w:r>
        <w:rPr>
          <w:rStyle w:val="a4"/>
        </w:rPr>
        <w:annotationRef/>
      </w:r>
      <w:r w:rsidRPr="00752A2A">
        <w:t>The instructions in the image need to be rewritten because the text is unclear.</w:t>
      </w:r>
    </w:p>
  </w:comment>
  <w:comment w:id="7" w:author="DR.Ahmed Saker 2o1O" w:date="2025-12-11T00:44:00Z" w:initials="DS2">
    <w:p w14:paraId="15333D71" w14:textId="59D56D74" w:rsidR="00046E4C" w:rsidRDefault="00046E4C">
      <w:pPr>
        <w:pStyle w:val="a5"/>
      </w:pPr>
      <w:r>
        <w:rPr>
          <w:rStyle w:val="a4"/>
        </w:rPr>
        <w:annotationRef/>
      </w:r>
      <w:r>
        <w:t>appeare</w:t>
      </w:r>
    </w:p>
  </w:comment>
  <w:comment w:id="8" w:author="DR.Ahmed Saker 2o1O" w:date="2025-12-11T00:57:00Z" w:initials="DS2">
    <w:p w14:paraId="2B9FB8D3" w14:textId="022C7EF0" w:rsidR="00D61115" w:rsidRDefault="00D61115">
      <w:pPr>
        <w:pStyle w:val="a5"/>
      </w:pPr>
      <w:r>
        <w:rPr>
          <w:rStyle w:val="a4"/>
        </w:rPr>
        <w:annotationRef/>
      </w:r>
      <w:r>
        <w:t xml:space="preserve">The results </w:t>
      </w:r>
    </w:p>
  </w:comment>
  <w:comment w:id="9" w:author="DR.Ahmed Saker 2o1O" w:date="2025-12-11T01:00:00Z" w:initials="DS2">
    <w:p w14:paraId="1D7309B1" w14:textId="63FB11CE" w:rsidR="00D61115" w:rsidRDefault="00D61115">
      <w:pPr>
        <w:pStyle w:val="a5"/>
      </w:pPr>
      <w:r>
        <w:rPr>
          <w:rStyle w:val="a4"/>
        </w:rPr>
        <w:annotationRef/>
      </w:r>
      <w:r w:rsidRPr="00D61115">
        <w:t>Avoiding old sources</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1BB99" w14:textId="77777777" w:rsidR="001873B0" w:rsidRDefault="001873B0">
      <w:r>
        <w:separator/>
      </w:r>
    </w:p>
  </w:endnote>
  <w:endnote w:type="continuationSeparator" w:id="0">
    <w:p w14:paraId="3E612F76" w14:textId="77777777" w:rsidR="001873B0" w:rsidRDefault="0018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B9437" w14:textId="77777777" w:rsidR="00443CCF" w:rsidRDefault="00443CC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D5E9" w14:textId="77777777" w:rsidR="00443CCF" w:rsidRDefault="00443CC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0B498" w14:textId="56170B4A" w:rsidR="00443CCF" w:rsidRPr="00653502" w:rsidRDefault="00443CCF" w:rsidP="0065350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0563A" w14:textId="77777777" w:rsidR="00443CCF" w:rsidRDefault="00443C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57C91" w14:textId="77777777" w:rsidR="001873B0" w:rsidRDefault="001873B0">
      <w:r>
        <w:separator/>
      </w:r>
    </w:p>
  </w:footnote>
  <w:footnote w:type="continuationSeparator" w:id="0">
    <w:p w14:paraId="56778CE9" w14:textId="77777777" w:rsidR="001873B0" w:rsidRDefault="00187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E5B0" w14:textId="5B1AE062" w:rsidR="00443CCF" w:rsidRDefault="00443CCF">
    <w:pPr>
      <w:pStyle w:val="a9"/>
    </w:pPr>
    <w:r>
      <w:rPr>
        <w:noProof/>
      </w:rPr>
      <w:pict w14:anchorId="645CE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C21F0" w14:textId="79DE8E5D" w:rsidR="00443CCF" w:rsidRDefault="00443CCF">
    <w:pPr>
      <w:pStyle w:val="a9"/>
    </w:pPr>
    <w:r>
      <w:rPr>
        <w:noProof/>
      </w:rPr>
      <w:pict w14:anchorId="15625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4E2C" w14:textId="440E7BF9" w:rsidR="00443CCF" w:rsidRDefault="00443CCF">
    <w:pPr>
      <w:ind w:left="2160"/>
      <w:jc w:val="center"/>
      <w:rPr>
        <w:rFonts w:ascii="Times New Roman" w:eastAsia="Calibri" w:hAnsi="Times New Roman"/>
        <w:i/>
        <w:sz w:val="18"/>
        <w:szCs w:val="22"/>
      </w:rPr>
    </w:pPr>
    <w:r>
      <w:rPr>
        <w:noProof/>
      </w:rPr>
      <w:pict w14:anchorId="655D3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9CA73" w14:textId="77777777" w:rsidR="00443CCF" w:rsidRDefault="00443CC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74856CC" w14:textId="77777777" w:rsidR="00443CCF" w:rsidRDefault="00443CCF">
    <w:pPr>
      <w:jc w:val="center"/>
      <w:rPr>
        <w:rFonts w:ascii="Times New Roman" w:eastAsia="Calibri" w:hAnsi="Times New Roman"/>
        <w:i/>
        <w:sz w:val="18"/>
        <w:szCs w:val="22"/>
      </w:rPr>
    </w:pPr>
    <w:r>
      <w:rPr>
        <w:rFonts w:ascii="Times New Roman" w:eastAsia="Calibri" w:hAnsi="Times New Roman"/>
        <w:i/>
        <w:sz w:val="18"/>
        <w:szCs w:val="22"/>
      </w:rPr>
      <w:t>.</w:t>
    </w:r>
  </w:p>
  <w:p w14:paraId="5D36B2B7" w14:textId="77777777" w:rsidR="00443CCF" w:rsidRDefault="00443CC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72F1D2" w14:textId="77777777" w:rsidR="00443CCF" w:rsidRDefault="00443CC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B3C8E0" w14:textId="77777777" w:rsidR="00443CCF" w:rsidRDefault="00443CC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2E0D12" w14:textId="77777777" w:rsidR="00443CCF" w:rsidRDefault="00443CCF">
    <w:pPr>
      <w:pStyle w:val="a9"/>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DF46" w14:textId="4879E1FD" w:rsidR="00443CCF" w:rsidRDefault="00443CCF">
    <w:pPr>
      <w:pStyle w:val="a9"/>
    </w:pPr>
    <w:r>
      <w:rPr>
        <w:noProof/>
      </w:rPr>
      <w:pict w14:anchorId="40599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811F" w14:textId="148D4AC6" w:rsidR="00443CCF" w:rsidRDefault="00443CCF">
    <w:pPr>
      <w:pStyle w:val="a9"/>
    </w:pPr>
    <w:r>
      <w:rPr>
        <w:noProof/>
      </w:rPr>
      <w:pict w14:anchorId="34C56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A381" w14:textId="7E2A7AD7" w:rsidR="00443CCF" w:rsidRDefault="00443CCF">
    <w:pPr>
      <w:pStyle w:val="a9"/>
    </w:pPr>
    <w:r>
      <w:rPr>
        <w:noProof/>
      </w:rPr>
      <w:pict w14:anchorId="30566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050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009000F"/>
    <w:lvl w:ilvl="0" w:tplc="B66A822E">
      <w:start w:val="1"/>
      <w:numFmt w:val="decimal"/>
      <w:lvlText w:val="%1."/>
      <w:lvlJc w:val="left"/>
      <w:pPr>
        <w:ind w:left="720" w:hanging="360"/>
      </w:pPr>
    </w:lvl>
    <w:lvl w:ilvl="1" w:tplc="AC0A7C5E" w:tentative="1">
      <w:start w:val="1"/>
      <w:numFmt w:val="lowerLetter"/>
      <w:lvlText w:val="%2."/>
      <w:lvlJc w:val="left"/>
      <w:pPr>
        <w:ind w:left="1440" w:hanging="360"/>
      </w:pPr>
    </w:lvl>
    <w:lvl w:ilvl="2" w:tplc="B4046C58" w:tentative="1">
      <w:start w:val="1"/>
      <w:numFmt w:val="lowerRoman"/>
      <w:lvlText w:val="%3."/>
      <w:lvlJc w:val="right"/>
      <w:pPr>
        <w:ind w:left="2160" w:hanging="180"/>
      </w:pPr>
    </w:lvl>
    <w:lvl w:ilvl="3" w:tplc="CBD2F69A" w:tentative="1">
      <w:start w:val="1"/>
      <w:numFmt w:val="decimal"/>
      <w:lvlText w:val="%4."/>
      <w:lvlJc w:val="left"/>
      <w:pPr>
        <w:ind w:left="2880" w:hanging="360"/>
      </w:pPr>
    </w:lvl>
    <w:lvl w:ilvl="4" w:tplc="0C546800" w:tentative="1">
      <w:start w:val="1"/>
      <w:numFmt w:val="lowerLetter"/>
      <w:lvlText w:val="%5."/>
      <w:lvlJc w:val="left"/>
      <w:pPr>
        <w:ind w:left="3600" w:hanging="360"/>
      </w:pPr>
    </w:lvl>
    <w:lvl w:ilvl="5" w:tplc="292CD14E" w:tentative="1">
      <w:start w:val="1"/>
      <w:numFmt w:val="lowerRoman"/>
      <w:lvlText w:val="%6."/>
      <w:lvlJc w:val="right"/>
      <w:pPr>
        <w:ind w:left="4320" w:hanging="180"/>
      </w:pPr>
    </w:lvl>
    <w:lvl w:ilvl="6" w:tplc="182A5958" w:tentative="1">
      <w:start w:val="1"/>
      <w:numFmt w:val="decimal"/>
      <w:lvlText w:val="%7."/>
      <w:lvlJc w:val="left"/>
      <w:pPr>
        <w:ind w:left="5040" w:hanging="360"/>
      </w:pPr>
    </w:lvl>
    <w:lvl w:ilvl="7" w:tplc="DCA2ACB0" w:tentative="1">
      <w:start w:val="1"/>
      <w:numFmt w:val="lowerLetter"/>
      <w:lvlText w:val="%8."/>
      <w:lvlJc w:val="left"/>
      <w:pPr>
        <w:ind w:left="5760" w:hanging="360"/>
      </w:pPr>
    </w:lvl>
    <w:lvl w:ilvl="8" w:tplc="65841712" w:tentative="1">
      <w:start w:val="1"/>
      <w:numFmt w:val="lowerRoman"/>
      <w:lvlText w:val="%9."/>
      <w:lvlJc w:val="right"/>
      <w:pPr>
        <w:ind w:left="6480" w:hanging="180"/>
      </w:pPr>
    </w:lvl>
  </w:abstractNum>
  <w:abstractNum w:abstractNumId="1">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46E4C"/>
    <w:rsid w:val="000A47FA"/>
    <w:rsid w:val="000A65D3"/>
    <w:rsid w:val="000B1E33"/>
    <w:rsid w:val="000D689F"/>
    <w:rsid w:val="000E7B7B"/>
    <w:rsid w:val="000E7D62"/>
    <w:rsid w:val="00103357"/>
    <w:rsid w:val="00103E6C"/>
    <w:rsid w:val="00123C9F"/>
    <w:rsid w:val="00126190"/>
    <w:rsid w:val="00130F17"/>
    <w:rsid w:val="001320BF"/>
    <w:rsid w:val="00163BC4"/>
    <w:rsid w:val="001873B0"/>
    <w:rsid w:val="00191062"/>
    <w:rsid w:val="00192B72"/>
    <w:rsid w:val="001A29D8"/>
    <w:rsid w:val="001A5CAA"/>
    <w:rsid w:val="001B0427"/>
    <w:rsid w:val="001B2007"/>
    <w:rsid w:val="001D3A51"/>
    <w:rsid w:val="001E10D2"/>
    <w:rsid w:val="001E25B4"/>
    <w:rsid w:val="001E44FE"/>
    <w:rsid w:val="001E62C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2FA9"/>
    <w:rsid w:val="00315186"/>
    <w:rsid w:val="0031566A"/>
    <w:rsid w:val="0033343E"/>
    <w:rsid w:val="003512C2"/>
    <w:rsid w:val="00371FB6"/>
    <w:rsid w:val="003763C1"/>
    <w:rsid w:val="00376BBE"/>
    <w:rsid w:val="0039224F"/>
    <w:rsid w:val="00395E99"/>
    <w:rsid w:val="003A43A4"/>
    <w:rsid w:val="003A7E18"/>
    <w:rsid w:val="003C4C86"/>
    <w:rsid w:val="003C6258"/>
    <w:rsid w:val="003E2904"/>
    <w:rsid w:val="00401927"/>
    <w:rsid w:val="004058ED"/>
    <w:rsid w:val="0041027F"/>
    <w:rsid w:val="00412475"/>
    <w:rsid w:val="00423789"/>
    <w:rsid w:val="00440F43"/>
    <w:rsid w:val="00441B6F"/>
    <w:rsid w:val="00443CCF"/>
    <w:rsid w:val="00446221"/>
    <w:rsid w:val="00450E62"/>
    <w:rsid w:val="004539DB"/>
    <w:rsid w:val="00471A80"/>
    <w:rsid w:val="004D305E"/>
    <w:rsid w:val="004D4277"/>
    <w:rsid w:val="00502516"/>
    <w:rsid w:val="00505F06"/>
    <w:rsid w:val="00506828"/>
    <w:rsid w:val="0053056E"/>
    <w:rsid w:val="005357BA"/>
    <w:rsid w:val="00550364"/>
    <w:rsid w:val="00554FDA"/>
    <w:rsid w:val="005908EC"/>
    <w:rsid w:val="005C784C"/>
    <w:rsid w:val="005D17F6"/>
    <w:rsid w:val="005E5539"/>
    <w:rsid w:val="00602BF5"/>
    <w:rsid w:val="00617FDD"/>
    <w:rsid w:val="00633614"/>
    <w:rsid w:val="00633F68"/>
    <w:rsid w:val="00634C49"/>
    <w:rsid w:val="00636EB2"/>
    <w:rsid w:val="006375B8"/>
    <w:rsid w:val="00647D4B"/>
    <w:rsid w:val="00653502"/>
    <w:rsid w:val="0066510A"/>
    <w:rsid w:val="00673F9F"/>
    <w:rsid w:val="00686953"/>
    <w:rsid w:val="00687DEA"/>
    <w:rsid w:val="00687E67"/>
    <w:rsid w:val="006967F7"/>
    <w:rsid w:val="006A250C"/>
    <w:rsid w:val="006B21D3"/>
    <w:rsid w:val="006B57D0"/>
    <w:rsid w:val="006D30FF"/>
    <w:rsid w:val="006D6940"/>
    <w:rsid w:val="006E240D"/>
    <w:rsid w:val="006F11EC"/>
    <w:rsid w:val="0070082C"/>
    <w:rsid w:val="0071435F"/>
    <w:rsid w:val="007369E6"/>
    <w:rsid w:val="00746E59"/>
    <w:rsid w:val="00752A2A"/>
    <w:rsid w:val="00754C9A"/>
    <w:rsid w:val="0075599A"/>
    <w:rsid w:val="00755D48"/>
    <w:rsid w:val="00761D52"/>
    <w:rsid w:val="0077749E"/>
    <w:rsid w:val="00790ADA"/>
    <w:rsid w:val="007A7D12"/>
    <w:rsid w:val="007D2288"/>
    <w:rsid w:val="007E088F"/>
    <w:rsid w:val="007F7B32"/>
    <w:rsid w:val="00804BC2"/>
    <w:rsid w:val="0081431A"/>
    <w:rsid w:val="0083216F"/>
    <w:rsid w:val="00860000"/>
    <w:rsid w:val="00863BD3"/>
    <w:rsid w:val="008641ED"/>
    <w:rsid w:val="00866D66"/>
    <w:rsid w:val="008671C6"/>
    <w:rsid w:val="00875803"/>
    <w:rsid w:val="008A733B"/>
    <w:rsid w:val="008B459E"/>
    <w:rsid w:val="008E13AE"/>
    <w:rsid w:val="008E1506"/>
    <w:rsid w:val="008E710C"/>
    <w:rsid w:val="008F69D6"/>
    <w:rsid w:val="00902823"/>
    <w:rsid w:val="00915CA6"/>
    <w:rsid w:val="00927834"/>
    <w:rsid w:val="0094637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DE2"/>
    <w:rsid w:val="00CD6755"/>
    <w:rsid w:val="00CD6856"/>
    <w:rsid w:val="00CE0089"/>
    <w:rsid w:val="00CE793C"/>
    <w:rsid w:val="00CF193C"/>
    <w:rsid w:val="00D173F1"/>
    <w:rsid w:val="00D6111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BC4"/>
    <w:rsid w:val="00F469F0"/>
    <w:rsid w:val="00F53273"/>
    <w:rsid w:val="00F755E4"/>
    <w:rsid w:val="00F77D02"/>
    <w:rsid w:val="00FB3A86"/>
    <w:rsid w:val="00FD36C8"/>
    <w:rsid w:val="0489606A"/>
    <w:rsid w:val="04B561C3"/>
    <w:rsid w:val="0932268F"/>
    <w:rsid w:val="15B13CA7"/>
    <w:rsid w:val="17B32A1C"/>
    <w:rsid w:val="1A187233"/>
    <w:rsid w:val="2AE8432B"/>
    <w:rsid w:val="3156520B"/>
    <w:rsid w:val="3497246F"/>
    <w:rsid w:val="3C7D2C88"/>
    <w:rsid w:val="46B5283F"/>
    <w:rsid w:val="4C2F714F"/>
    <w:rsid w:val="56854494"/>
    <w:rsid w:val="5E885313"/>
    <w:rsid w:val="67BC7EF1"/>
    <w:rsid w:val="68585AC2"/>
    <w:rsid w:val="774418C1"/>
    <w:rsid w:val="79537D6C"/>
    <w:rsid w:val="7C64692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7FD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Helvetica" w:hAnsi="Helvetica"/>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cs="Tahoma"/>
      <w:sz w:val="16"/>
      <w:szCs w:val="16"/>
    </w:rPr>
  </w:style>
  <w:style w:type="paragraph" w:styleId="2">
    <w:name w:val="Body Text 2"/>
    <w:basedOn w:val="a"/>
    <w:link w:val="2Char"/>
    <w:qFormat/>
    <w:pPr>
      <w:spacing w:after="120" w:line="480" w:lineRule="auto"/>
    </w:pPr>
  </w:style>
  <w:style w:type="paragraph" w:styleId="3">
    <w:name w:val="Body Text 3"/>
    <w:basedOn w:val="a"/>
    <w:link w:val="3Char"/>
    <w:qFormat/>
    <w:pPr>
      <w:spacing w:after="120"/>
    </w:pPr>
    <w:rPr>
      <w:sz w:val="16"/>
      <w:szCs w:val="16"/>
    </w:rPr>
  </w:style>
  <w:style w:type="character" w:styleId="a4">
    <w:name w:val="annotation reference"/>
    <w:basedOn w:val="a0"/>
    <w:uiPriority w:val="99"/>
    <w:unhideWhenUsed/>
    <w:qFormat/>
    <w:rPr>
      <w:sz w:val="16"/>
      <w:szCs w:val="16"/>
    </w:rPr>
  </w:style>
  <w:style w:type="paragraph" w:styleId="a5">
    <w:name w:val="annotation text"/>
    <w:basedOn w:val="a"/>
    <w:link w:val="Char0"/>
    <w:uiPriority w:val="99"/>
    <w:unhideWhenUsed/>
    <w:qFormat/>
    <w:rPr>
      <w:rFonts w:ascii="Times New Roman" w:hAnsi="Times New Roman"/>
      <w:lang w:val="nb-NO" w:eastAsia="nb-NO"/>
    </w:rPr>
  </w:style>
  <w:style w:type="character" w:styleId="a6">
    <w:name w:val="Emphasis"/>
    <w:basedOn w:val="a0"/>
    <w:uiPriority w:val="20"/>
    <w:qFormat/>
    <w:rPr>
      <w:i/>
      <w:iCs/>
    </w:rPr>
  </w:style>
  <w:style w:type="character" w:styleId="a7">
    <w:name w:val="FollowedHyperlink"/>
    <w:basedOn w:val="a0"/>
    <w:qFormat/>
    <w:rPr>
      <w:color w:val="800080"/>
      <w:u w:val="single"/>
    </w:rPr>
  </w:style>
  <w:style w:type="paragraph" w:styleId="a8">
    <w:name w:val="footer"/>
    <w:basedOn w:val="a"/>
    <w:qFormat/>
    <w:pPr>
      <w:tabs>
        <w:tab w:val="center" w:pos="4320"/>
        <w:tab w:val="right" w:pos="8640"/>
      </w:tabs>
    </w:pPr>
  </w:style>
  <w:style w:type="paragraph" w:styleId="a9">
    <w:name w:val="header"/>
    <w:basedOn w:val="a"/>
    <w:qFormat/>
    <w:pPr>
      <w:tabs>
        <w:tab w:val="center" w:pos="4320"/>
        <w:tab w:val="right" w:pos="8640"/>
      </w:tabs>
    </w:pPr>
  </w:style>
  <w:style w:type="character" w:styleId="Hyperlink">
    <w:name w:val="Hyperlink"/>
    <w:basedOn w:val="a0"/>
    <w:qFormat/>
    <w:rPr>
      <w:color w:val="FF0080"/>
      <w:u w:val="single"/>
    </w:rPr>
  </w:style>
  <w:style w:type="character" w:styleId="aa">
    <w:name w:val="line number"/>
    <w:basedOn w:val="a0"/>
    <w:qFormat/>
  </w:style>
  <w:style w:type="paragraph" w:styleId="ab">
    <w:name w:val="Normal (Web)"/>
    <w:basedOn w:val="a"/>
    <w:uiPriority w:val="99"/>
    <w:qFormat/>
    <w:pPr>
      <w:suppressAutoHyphens/>
      <w:spacing w:beforeAutospacing="1" w:after="160" w:afterAutospacing="1"/>
    </w:pPr>
    <w:rPr>
      <w:rFonts w:ascii="Times New Roman" w:eastAsia="Calibri" w:hAnsi="Times New Roman"/>
      <w:lang w:val="zh-CN"/>
    </w:rPr>
  </w:style>
  <w:style w:type="paragraph" w:styleId="ac">
    <w:name w:val="Signature"/>
    <w:basedOn w:val="a"/>
    <w:qFormat/>
    <w:pPr>
      <w:ind w:left="4320"/>
    </w:pPr>
  </w:style>
  <w:style w:type="character" w:styleId="ad">
    <w:name w:val="Strong"/>
    <w:basedOn w:val="a0"/>
    <w:uiPriority w:val="22"/>
    <w:qFormat/>
    <w:rPr>
      <w:b/>
      <w:bCs/>
    </w:rPr>
  </w:style>
  <w:style w:type="table" w:styleId="ae">
    <w:name w:val="Table Grid"/>
    <w:basedOn w:val="a1"/>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qFormat/>
    <w:pPr>
      <w:spacing w:after="360"/>
      <w:jc w:val="right"/>
    </w:pPr>
    <w:rPr>
      <w:b/>
      <w:kern w:val="28"/>
      <w:sz w:val="36"/>
    </w:r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qFormat/>
    <w:pPr>
      <w:spacing w:after="240"/>
      <w:jc w:val="both"/>
    </w:pPr>
  </w:style>
  <w:style w:type="paragraph" w:customStyle="1" w:styleId="AbstHead">
    <w:name w:val="Abst Head"/>
    <w:basedOn w:val="MainHead"/>
    <w:qFormat/>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Char">
    <w:name w:val="نص أساسي 2 Char"/>
    <w:basedOn w:val="a0"/>
    <w:link w:val="2"/>
    <w:qFormat/>
    <w:rPr>
      <w:rFonts w:ascii="Helvetica" w:hAnsi="Helvetica"/>
    </w:rPr>
  </w:style>
  <w:style w:type="character" w:customStyle="1" w:styleId="Char0">
    <w:name w:val="نص تعليق Char"/>
    <w:basedOn w:val="a0"/>
    <w:link w:val="a5"/>
    <w:uiPriority w:val="99"/>
    <w:qFormat/>
    <w:rPr>
      <w:lang w:val="nb-NO" w:eastAsia="nb-NO"/>
    </w:rPr>
  </w:style>
  <w:style w:type="character" w:customStyle="1" w:styleId="Char">
    <w:name w:val="نص في بالون Char"/>
    <w:basedOn w:val="a0"/>
    <w:link w:val="a3"/>
    <w:qFormat/>
    <w:rPr>
      <w:rFonts w:ascii="Tahoma" w:hAnsi="Tahoma" w:cs="Tahoma"/>
      <w:sz w:val="16"/>
      <w:szCs w:val="16"/>
    </w:rPr>
  </w:style>
  <w:style w:type="character" w:customStyle="1" w:styleId="3Char">
    <w:name w:val="نص أساسي 3 Char"/>
    <w:basedOn w:val="a0"/>
    <w:link w:val="3"/>
    <w:qFormat/>
    <w:rPr>
      <w:rFonts w:ascii="Helvetica" w:hAnsi="Helvetica"/>
      <w:sz w:val="16"/>
      <w:szCs w:val="16"/>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0">
    <w:name w:val="List Paragraph"/>
    <w:basedOn w:val="a"/>
    <w:uiPriority w:val="34"/>
    <w:qFormat/>
    <w:pPr>
      <w:ind w:left="720"/>
      <w:contextualSpacing/>
    </w:pPr>
  </w:style>
  <w:style w:type="paragraph" w:customStyle="1" w:styleId="Heading31">
    <w:name w:val="Heading 31"/>
    <w:basedOn w:val="a"/>
    <w:next w:val="a"/>
    <w:uiPriority w:val="9"/>
    <w:qFormat/>
    <w:pPr>
      <w:keepNext/>
      <w:keepLines/>
      <w:suppressAutoHyphens/>
      <w:spacing w:before="160" w:after="80" w:line="276" w:lineRule="auto"/>
      <w:outlineLvl w:val="2"/>
    </w:pPr>
    <w:rPr>
      <w:rFonts w:ascii="Calibri" w:eastAsia="SimSun" w:hAnsi="Calibri" w:cs="SimSun"/>
      <w:color w:val="2F5496"/>
      <w:kern w:val="2"/>
      <w:sz w:val="28"/>
      <w:szCs w:val="28"/>
      <w:lang w:val="zh-CN"/>
    </w:rPr>
  </w:style>
  <w:style w:type="character" w:customStyle="1" w:styleId="html-italic">
    <w:name w:val="html-italic"/>
    <w:basedOn w:val="a0"/>
    <w:qFormat/>
  </w:style>
  <w:style w:type="character" w:customStyle="1" w:styleId="UnresolvedMention">
    <w:name w:val="Unresolved Mention"/>
    <w:basedOn w:val="a0"/>
    <w:uiPriority w:val="99"/>
    <w:semiHidden/>
    <w:unhideWhenUsed/>
    <w:rsid w:val="0071435F"/>
    <w:rPr>
      <w:color w:val="605E5C"/>
      <w:shd w:val="clear" w:color="auto" w:fill="E1DFDD"/>
    </w:rPr>
  </w:style>
  <w:style w:type="paragraph" w:styleId="af1">
    <w:name w:val="annotation subject"/>
    <w:basedOn w:val="a5"/>
    <w:next w:val="a5"/>
    <w:link w:val="Char1"/>
    <w:semiHidden/>
    <w:unhideWhenUsed/>
    <w:rsid w:val="00443CCF"/>
    <w:rPr>
      <w:rFonts w:ascii="Helvetica" w:hAnsi="Helvetica"/>
      <w:b/>
      <w:bCs/>
      <w:lang w:val="en-US" w:eastAsia="en-US"/>
    </w:rPr>
  </w:style>
  <w:style w:type="character" w:customStyle="1" w:styleId="Char1">
    <w:name w:val="موضوع تعليق Char"/>
    <w:basedOn w:val="Char0"/>
    <w:link w:val="af1"/>
    <w:semiHidden/>
    <w:rsid w:val="00443CCF"/>
    <w:rPr>
      <w:rFonts w:ascii="Helvetica" w:hAnsi="Helvetica"/>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Helvetica" w:hAnsi="Helvetica"/>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cs="Tahoma"/>
      <w:sz w:val="16"/>
      <w:szCs w:val="16"/>
    </w:rPr>
  </w:style>
  <w:style w:type="paragraph" w:styleId="2">
    <w:name w:val="Body Text 2"/>
    <w:basedOn w:val="a"/>
    <w:link w:val="2Char"/>
    <w:qFormat/>
    <w:pPr>
      <w:spacing w:after="120" w:line="480" w:lineRule="auto"/>
    </w:pPr>
  </w:style>
  <w:style w:type="paragraph" w:styleId="3">
    <w:name w:val="Body Text 3"/>
    <w:basedOn w:val="a"/>
    <w:link w:val="3Char"/>
    <w:qFormat/>
    <w:pPr>
      <w:spacing w:after="120"/>
    </w:pPr>
    <w:rPr>
      <w:sz w:val="16"/>
      <w:szCs w:val="16"/>
    </w:rPr>
  </w:style>
  <w:style w:type="character" w:styleId="a4">
    <w:name w:val="annotation reference"/>
    <w:basedOn w:val="a0"/>
    <w:uiPriority w:val="99"/>
    <w:unhideWhenUsed/>
    <w:qFormat/>
    <w:rPr>
      <w:sz w:val="16"/>
      <w:szCs w:val="16"/>
    </w:rPr>
  </w:style>
  <w:style w:type="paragraph" w:styleId="a5">
    <w:name w:val="annotation text"/>
    <w:basedOn w:val="a"/>
    <w:link w:val="Char0"/>
    <w:uiPriority w:val="99"/>
    <w:unhideWhenUsed/>
    <w:qFormat/>
    <w:rPr>
      <w:rFonts w:ascii="Times New Roman" w:hAnsi="Times New Roman"/>
      <w:lang w:val="nb-NO" w:eastAsia="nb-NO"/>
    </w:rPr>
  </w:style>
  <w:style w:type="character" w:styleId="a6">
    <w:name w:val="Emphasis"/>
    <w:basedOn w:val="a0"/>
    <w:uiPriority w:val="20"/>
    <w:qFormat/>
    <w:rPr>
      <w:i/>
      <w:iCs/>
    </w:rPr>
  </w:style>
  <w:style w:type="character" w:styleId="a7">
    <w:name w:val="FollowedHyperlink"/>
    <w:basedOn w:val="a0"/>
    <w:qFormat/>
    <w:rPr>
      <w:color w:val="800080"/>
      <w:u w:val="single"/>
    </w:rPr>
  </w:style>
  <w:style w:type="paragraph" w:styleId="a8">
    <w:name w:val="footer"/>
    <w:basedOn w:val="a"/>
    <w:qFormat/>
    <w:pPr>
      <w:tabs>
        <w:tab w:val="center" w:pos="4320"/>
        <w:tab w:val="right" w:pos="8640"/>
      </w:tabs>
    </w:pPr>
  </w:style>
  <w:style w:type="paragraph" w:styleId="a9">
    <w:name w:val="header"/>
    <w:basedOn w:val="a"/>
    <w:qFormat/>
    <w:pPr>
      <w:tabs>
        <w:tab w:val="center" w:pos="4320"/>
        <w:tab w:val="right" w:pos="8640"/>
      </w:tabs>
    </w:pPr>
  </w:style>
  <w:style w:type="character" w:styleId="Hyperlink">
    <w:name w:val="Hyperlink"/>
    <w:basedOn w:val="a0"/>
    <w:qFormat/>
    <w:rPr>
      <w:color w:val="FF0080"/>
      <w:u w:val="single"/>
    </w:rPr>
  </w:style>
  <w:style w:type="character" w:styleId="aa">
    <w:name w:val="line number"/>
    <w:basedOn w:val="a0"/>
    <w:qFormat/>
  </w:style>
  <w:style w:type="paragraph" w:styleId="ab">
    <w:name w:val="Normal (Web)"/>
    <w:basedOn w:val="a"/>
    <w:uiPriority w:val="99"/>
    <w:qFormat/>
    <w:pPr>
      <w:suppressAutoHyphens/>
      <w:spacing w:beforeAutospacing="1" w:after="160" w:afterAutospacing="1"/>
    </w:pPr>
    <w:rPr>
      <w:rFonts w:ascii="Times New Roman" w:eastAsia="Calibri" w:hAnsi="Times New Roman"/>
      <w:lang w:val="zh-CN"/>
    </w:rPr>
  </w:style>
  <w:style w:type="paragraph" w:styleId="ac">
    <w:name w:val="Signature"/>
    <w:basedOn w:val="a"/>
    <w:qFormat/>
    <w:pPr>
      <w:ind w:left="4320"/>
    </w:pPr>
  </w:style>
  <w:style w:type="character" w:styleId="ad">
    <w:name w:val="Strong"/>
    <w:basedOn w:val="a0"/>
    <w:uiPriority w:val="22"/>
    <w:qFormat/>
    <w:rPr>
      <w:b/>
      <w:bCs/>
    </w:rPr>
  </w:style>
  <w:style w:type="table" w:styleId="ae">
    <w:name w:val="Table Grid"/>
    <w:basedOn w:val="a1"/>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Title"/>
    <w:basedOn w:val="a"/>
    <w:qFormat/>
    <w:pPr>
      <w:spacing w:after="360"/>
      <w:jc w:val="right"/>
    </w:pPr>
    <w:rPr>
      <w:b/>
      <w:kern w:val="28"/>
      <w:sz w:val="36"/>
    </w:r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qFormat/>
    <w:pPr>
      <w:spacing w:after="240"/>
      <w:jc w:val="both"/>
    </w:pPr>
  </w:style>
  <w:style w:type="paragraph" w:customStyle="1" w:styleId="AbstHead">
    <w:name w:val="Abst Head"/>
    <w:basedOn w:val="MainHead"/>
    <w:qFormat/>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Char">
    <w:name w:val="نص أساسي 2 Char"/>
    <w:basedOn w:val="a0"/>
    <w:link w:val="2"/>
    <w:qFormat/>
    <w:rPr>
      <w:rFonts w:ascii="Helvetica" w:hAnsi="Helvetica"/>
    </w:rPr>
  </w:style>
  <w:style w:type="character" w:customStyle="1" w:styleId="Char0">
    <w:name w:val="نص تعليق Char"/>
    <w:basedOn w:val="a0"/>
    <w:link w:val="a5"/>
    <w:uiPriority w:val="99"/>
    <w:qFormat/>
    <w:rPr>
      <w:lang w:val="nb-NO" w:eastAsia="nb-NO"/>
    </w:rPr>
  </w:style>
  <w:style w:type="character" w:customStyle="1" w:styleId="Char">
    <w:name w:val="نص في بالون Char"/>
    <w:basedOn w:val="a0"/>
    <w:link w:val="a3"/>
    <w:qFormat/>
    <w:rPr>
      <w:rFonts w:ascii="Tahoma" w:hAnsi="Tahoma" w:cs="Tahoma"/>
      <w:sz w:val="16"/>
      <w:szCs w:val="16"/>
    </w:rPr>
  </w:style>
  <w:style w:type="character" w:customStyle="1" w:styleId="3Char">
    <w:name w:val="نص أساسي 3 Char"/>
    <w:basedOn w:val="a0"/>
    <w:link w:val="3"/>
    <w:qFormat/>
    <w:rPr>
      <w:rFonts w:ascii="Helvetica" w:hAnsi="Helvetica"/>
      <w:sz w:val="16"/>
      <w:szCs w:val="16"/>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0">
    <w:name w:val="List Paragraph"/>
    <w:basedOn w:val="a"/>
    <w:uiPriority w:val="34"/>
    <w:qFormat/>
    <w:pPr>
      <w:ind w:left="720"/>
      <w:contextualSpacing/>
    </w:pPr>
  </w:style>
  <w:style w:type="paragraph" w:customStyle="1" w:styleId="Heading31">
    <w:name w:val="Heading 31"/>
    <w:basedOn w:val="a"/>
    <w:next w:val="a"/>
    <w:uiPriority w:val="9"/>
    <w:qFormat/>
    <w:pPr>
      <w:keepNext/>
      <w:keepLines/>
      <w:suppressAutoHyphens/>
      <w:spacing w:before="160" w:after="80" w:line="276" w:lineRule="auto"/>
      <w:outlineLvl w:val="2"/>
    </w:pPr>
    <w:rPr>
      <w:rFonts w:ascii="Calibri" w:eastAsia="SimSun" w:hAnsi="Calibri" w:cs="SimSun"/>
      <w:color w:val="2F5496"/>
      <w:kern w:val="2"/>
      <w:sz w:val="28"/>
      <w:szCs w:val="28"/>
      <w:lang w:val="zh-CN"/>
    </w:rPr>
  </w:style>
  <w:style w:type="character" w:customStyle="1" w:styleId="html-italic">
    <w:name w:val="html-italic"/>
    <w:basedOn w:val="a0"/>
    <w:qFormat/>
  </w:style>
  <w:style w:type="character" w:customStyle="1" w:styleId="UnresolvedMention">
    <w:name w:val="Unresolved Mention"/>
    <w:basedOn w:val="a0"/>
    <w:uiPriority w:val="99"/>
    <w:semiHidden/>
    <w:unhideWhenUsed/>
    <w:rsid w:val="0071435F"/>
    <w:rPr>
      <w:color w:val="605E5C"/>
      <w:shd w:val="clear" w:color="auto" w:fill="E1DFDD"/>
    </w:rPr>
  </w:style>
  <w:style w:type="paragraph" w:styleId="af1">
    <w:name w:val="annotation subject"/>
    <w:basedOn w:val="a5"/>
    <w:next w:val="a5"/>
    <w:link w:val="Char1"/>
    <w:semiHidden/>
    <w:unhideWhenUsed/>
    <w:rsid w:val="00443CCF"/>
    <w:rPr>
      <w:rFonts w:ascii="Helvetica" w:hAnsi="Helvetica"/>
      <w:b/>
      <w:bCs/>
      <w:lang w:val="en-US" w:eastAsia="en-US"/>
    </w:rPr>
  </w:style>
  <w:style w:type="character" w:customStyle="1" w:styleId="Char1">
    <w:name w:val="موضوع تعليق Char"/>
    <w:basedOn w:val="Char0"/>
    <w:link w:val="af1"/>
    <w:semiHidden/>
    <w:rsid w:val="00443CCF"/>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i.org/10.1016/j.rhisph.2017.12.001" TargetMode="External"/><Relationship Id="rId21" Type="http://schemas.openxmlformats.org/officeDocument/2006/relationships/image" Target="media/image5.png"/><Relationship Id="rId34" Type="http://schemas.openxmlformats.org/officeDocument/2006/relationships/hyperlink" Target="https://doi.org/10.1016/j.sjbs.2021.09.032" TargetMode="External"/><Relationship Id="rId42" Type="http://schemas.openxmlformats.org/officeDocument/2006/relationships/hyperlink" Target="https://doi.org/10.1038/s41598-019-45693-z" TargetMode="External"/><Relationship Id="rId47" Type="http://schemas.openxmlformats.org/officeDocument/2006/relationships/hyperlink" Target="https://doi.org/10.1155/2018/2568038" TargetMode="External"/><Relationship Id="rId50" Type="http://schemas.openxmlformats.org/officeDocument/2006/relationships/hyperlink" Target="https://doi.org/10.1155/2019/4917256" TargetMode="External"/><Relationship Id="rId55" Type="http://schemas.openxmlformats.org/officeDocument/2006/relationships/hyperlink" Target="https://doi.org/10.4038/ouslj.v8i0.7315" TargetMode="External"/><Relationship Id="rId63" Type="http://schemas.openxmlformats.org/officeDocument/2006/relationships/hyperlink" Target="https://doi.org/10.3389/fmicb.2018.01006" TargetMode="External"/><Relationship Id="rId68" Type="http://schemas.openxmlformats.org/officeDocument/2006/relationships/hyperlink" Target="https://doi.org/10.1007/s11274-017-2364-9" TargetMode="External"/><Relationship Id="rId76" Type="http://schemas.openxmlformats.org/officeDocument/2006/relationships/hyperlink" Target="https://doi.org/10.3390/plants9010100" TargetMode="External"/><Relationship Id="rId84" Type="http://schemas.openxmlformats.org/officeDocument/2006/relationships/hyperlink" Target="https://doi.org/10.3390/ijerph17072459" TargetMode="External"/><Relationship Id="rId89" Type="http://schemas.openxmlformats.org/officeDocument/2006/relationships/hyperlink" Target="https://doi.org/10.1016/j.scienta.2015.07.020"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doi.org/10.1007/s10661-020-08758-5" TargetMode="External"/><Relationship Id="rId92" Type="http://schemas.openxmlformats.org/officeDocument/2006/relationships/hyperlink" Target="https://doi.org/10.1016/j.biortech.2012.02.042" TargetMode="Externa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doi.org/10.1520/D0422-63R07E02" TargetMode="External"/><Relationship Id="rId11" Type="http://schemas.openxmlformats.org/officeDocument/2006/relationships/header" Target="header2.xml"/><Relationship Id="rId24" Type="http://schemas.openxmlformats.org/officeDocument/2006/relationships/hyperlink" Target="https://doi.org/10.5897/AJB2015.14549" TargetMode="External"/><Relationship Id="rId32" Type="http://schemas.openxmlformats.org/officeDocument/2006/relationships/hyperlink" Target="https://doi.org/10.1007/s13205-017-0739-0" TargetMode="External"/><Relationship Id="rId37" Type="http://schemas.openxmlformats.org/officeDocument/2006/relationships/hyperlink" Target="https://doi.org/10.1016/j.apsoil.2015.10.016" TargetMode="External"/><Relationship Id="rId40" Type="http://schemas.openxmlformats.org/officeDocument/2006/relationships/hyperlink" Target="https://doi.org/10.1111/j.1558-5646.1985.tb00420.x" TargetMode="External"/><Relationship Id="rId45" Type="http://schemas.openxmlformats.org/officeDocument/2006/relationships/hyperlink" Target="https://doi.org/10.1007/s10096-011-1223-0" TargetMode="External"/><Relationship Id="rId53" Type="http://schemas.openxmlformats.org/officeDocument/2006/relationships/hyperlink" Target="https://doi.org/10.1128/mra.01028-19" TargetMode="External"/><Relationship Id="rId58" Type="http://schemas.openxmlformats.org/officeDocument/2006/relationships/hyperlink" Target="https://www.koreascience.or.kr/article/JAKO201733050006000.page" TargetMode="External"/><Relationship Id="rId66" Type="http://schemas.openxmlformats.org/officeDocument/2006/relationships/hyperlink" Target="https://doi.org/10.1016/j.jenvman.2024.121130" TargetMode="External"/><Relationship Id="rId74" Type="http://schemas.openxmlformats.org/officeDocument/2006/relationships/hyperlink" Target="https://doi.org/10.1111/aab.12413" TargetMode="External"/><Relationship Id="rId79" Type="http://schemas.openxmlformats.org/officeDocument/2006/relationships/hyperlink" Target="https://doi.org/10.1099/ijs.0.65847-0" TargetMode="External"/><Relationship Id="rId87" Type="http://schemas.openxmlformats.org/officeDocument/2006/relationships/hyperlink" Target="https://doi.org/10.1556/aagr.55.2007.3.7" TargetMode="External"/><Relationship Id="rId5" Type="http://schemas.microsoft.com/office/2007/relationships/stylesWithEffects" Target="stylesWithEffects.xml"/><Relationship Id="rId61" Type="http://schemas.openxmlformats.org/officeDocument/2006/relationships/hyperlink" Target="https://doi.org/10.3390/d16020086" TargetMode="External"/><Relationship Id="rId82" Type="http://schemas.openxmlformats.org/officeDocument/2006/relationships/hyperlink" Target="https://doi.org/10.1002/9781119501800.ch1" TargetMode="External"/><Relationship Id="rId90" Type="http://schemas.openxmlformats.org/officeDocument/2006/relationships/hyperlink" Target="https://doi.org/10.1007/978-3-319-59174-2_8v" TargetMode="External"/><Relationship Id="rId95" Type="http://schemas.openxmlformats.org/officeDocument/2006/relationships/footer" Target="footer4.xml"/><Relationship Id="rId1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doi.org/10.1007/s10661-016-5377-1" TargetMode="External"/><Relationship Id="rId27" Type="http://schemas.openxmlformats.org/officeDocument/2006/relationships/hyperlink" Target="https://doi.org/10.1186/s13256-017-1269-4" TargetMode="External"/><Relationship Id="rId30" Type="http://schemas.openxmlformats.org/officeDocument/2006/relationships/hyperlink" Target="https://doi.org/10.1111/sum.12762" TargetMode="External"/><Relationship Id="rId35" Type="http://schemas.openxmlformats.org/officeDocument/2006/relationships/hyperlink" Target="https://doi.org/10.1099/ijsem.0.001680" TargetMode="External"/><Relationship Id="rId43" Type="http://schemas.openxmlformats.org/officeDocument/2006/relationships/hyperlink" Target="https://doi.org/10.3390/land10111112" TargetMode="External"/><Relationship Id="rId48" Type="http://schemas.openxmlformats.org/officeDocument/2006/relationships/hyperlink" Target="https://doi.org/10.1016/B978-1-4832-3211-9.50009-7" TargetMode="External"/><Relationship Id="rId56" Type="http://schemas.openxmlformats.org/officeDocument/2006/relationships/hyperlink" Target="https://www.hilarispublisher.com/phylogenetics-evolutionary-biology/physico-chemical-characterization-and-mine-soil-genesis-in-age-series-coal-mine-overburden-spoil-in-chronosequence-in-a-dry-tropical-environment.1000101.pdf" TargetMode="External"/><Relationship Id="rId64" Type="http://schemas.openxmlformats.org/officeDocument/2006/relationships/hyperlink" Target="https://doi.org/10.1016/j.mex.2019.07.017" TargetMode="External"/><Relationship Id="rId69" Type="http://schemas.openxmlformats.org/officeDocument/2006/relationships/hyperlink" Target="https://doi.org/10.1016/j.jenvman.2015.07.025" TargetMode="External"/><Relationship Id="rId77" Type="http://schemas.openxmlformats.org/officeDocument/2006/relationships/hyperlink" Target="https://doi.org/10.1186/2193-1801-2-587" TargetMode="External"/><Relationship Id="rId8" Type="http://schemas.openxmlformats.org/officeDocument/2006/relationships/footnotes" Target="footnotes.xml"/><Relationship Id="rId51" Type="http://schemas.openxmlformats.org/officeDocument/2006/relationships/hyperlink" Target="https://doi.org/10.1007/978-981-13-6986-5_1" TargetMode="External"/><Relationship Id="rId72" Type="http://schemas.openxmlformats.org/officeDocument/2006/relationships/hyperlink" Target="https://doi.org/10.1093/oxfordjournals.molbev.a040454" TargetMode="External"/><Relationship Id="rId80" Type="http://schemas.openxmlformats.org/officeDocument/2006/relationships/hyperlink" Target="http://www.ijsrp.org/research-paper-0315.php?rp=P393791" TargetMode="External"/><Relationship Id="rId85" Type="http://schemas.openxmlformats.org/officeDocument/2006/relationships/hyperlink" Target="https://doi.org/10.1186/s12866-020-1708-z" TargetMode="External"/><Relationship Id="rId93" Type="http://schemas.openxmlformats.org/officeDocument/2006/relationships/header" Target="header4.xml"/><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hyperlink" Target="https://doi.org/10.3389/fmicb.2017.00971" TargetMode="External"/><Relationship Id="rId33" Type="http://schemas.openxmlformats.org/officeDocument/2006/relationships/hyperlink" Target="https://doi.org/10.1016/b978-0-12-801238-3.04922-9" TargetMode="External"/><Relationship Id="rId38" Type="http://schemas.openxmlformats.org/officeDocument/2006/relationships/hyperlink" Target="https://doi.org/10.1007/s00253-020-10869-5" TargetMode="External"/><Relationship Id="rId46" Type="http://schemas.openxmlformats.org/officeDocument/2006/relationships/hyperlink" Target="https://doi.org/10.4314/jcmphc.v32i2.7" TargetMode="External"/><Relationship Id="rId59" Type="http://schemas.openxmlformats.org/officeDocument/2006/relationships/hyperlink" Target="https://doi.org/10.1007/s11356-016-8104-0" TargetMode="External"/><Relationship Id="rId67" Type="http://schemas.openxmlformats.org/officeDocument/2006/relationships/hyperlink" Target="https://doi.org/10.3390/su13041868" TargetMode="External"/><Relationship Id="rId20" Type="http://schemas.openxmlformats.org/officeDocument/2006/relationships/image" Target="media/image4.jpeg"/><Relationship Id="rId41" Type="http://schemas.openxmlformats.org/officeDocument/2006/relationships/hyperlink" Target="https://doi.org/10.3390/plants13172523" TargetMode="External"/><Relationship Id="rId54" Type="http://schemas.openxmlformats.org/officeDocument/2006/relationships/hyperlink" Target="https://doi.org/10.1016/j.crmicr.2022.100134" TargetMode="External"/><Relationship Id="rId62" Type="http://schemas.openxmlformats.org/officeDocument/2006/relationships/hyperlink" Target="https://doi.org/10.3746/pnf.2024.29.4.546" TargetMode="External"/><Relationship Id="rId70" Type="http://schemas.openxmlformats.org/officeDocument/2006/relationships/hyperlink" Target="https://doi.org/10.1111/nph.12092" TargetMode="External"/><Relationship Id="rId75" Type="http://schemas.openxmlformats.org/officeDocument/2006/relationships/hyperlink" Target="https://doi.org/10.4067/S0718-58392012000300014" TargetMode="External"/><Relationship Id="rId83" Type="http://schemas.openxmlformats.org/officeDocument/2006/relationships/hyperlink" Target="https://doi.org/10.1097/00010694-193401000-00003" TargetMode="External"/><Relationship Id="rId88" Type="http://schemas.openxmlformats.org/officeDocument/2006/relationships/hyperlink" Target="https://doi.org/10.1038/s41558-019-0630-6" TargetMode="External"/><Relationship Id="rId91" Type="http://schemas.openxmlformats.org/officeDocument/2006/relationships/hyperlink" Target="https://doi.org/10.1016/j.fuel.2021.121961" TargetMode="Externa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4236/as.2023.146056" TargetMode="External"/><Relationship Id="rId28" Type="http://schemas.openxmlformats.org/officeDocument/2006/relationships/hyperlink" Target="https://doi.org/10.1520/D2974-13" TargetMode="External"/><Relationship Id="rId36" Type="http://schemas.openxmlformats.org/officeDocument/2006/relationships/hyperlink" Target="https://doi.org/10.1016/j.jmii.2012.08.007" TargetMode="External"/><Relationship Id="rId49" Type="http://schemas.openxmlformats.org/officeDocument/2006/relationships/hyperlink" Target="https://doi.org/10.1099/mgen.0.001108" TargetMode="External"/><Relationship Id="rId57" Type="http://schemas.openxmlformats.org/officeDocument/2006/relationships/hyperlink" Target="https://doi.org/10.1016/j.crmicr.2021.100094" TargetMode="External"/><Relationship Id="rId10" Type="http://schemas.openxmlformats.org/officeDocument/2006/relationships/header" Target="header1.xml"/><Relationship Id="rId31" Type="http://schemas.openxmlformats.org/officeDocument/2006/relationships/hyperlink" Target="https://doi.org/10.1038/s41598-018-37899-4" TargetMode="External"/><Relationship Id="rId44" Type="http://schemas.openxmlformats.org/officeDocument/2006/relationships/hyperlink" Target="https://doi.org/10.1007/s11270-023-06409-2" TargetMode="External"/><Relationship Id="rId52" Type="http://schemas.openxmlformats.org/officeDocument/2006/relationships/hyperlink" Target="https://doi.org/10.1016/j.stress.2025.100949" TargetMode="External"/><Relationship Id="rId60" Type="http://schemas.openxmlformats.org/officeDocument/2006/relationships/hyperlink" Target="https://doi.org/10.3390/ijerph16203929" TargetMode="External"/><Relationship Id="rId65" Type="http://schemas.openxmlformats.org/officeDocument/2006/relationships/hyperlink" Target="https://doi.org/10.15406/oajs.2018.02.00067" TargetMode="External"/><Relationship Id="rId73" Type="http://schemas.openxmlformats.org/officeDocument/2006/relationships/hyperlink" Target="https://doi.org/10.3389/fsufs.2020.614739" TargetMode="External"/><Relationship Id="rId78" Type="http://schemas.openxmlformats.org/officeDocument/2006/relationships/hyperlink" Target="https://doi.org/10.1007/978-3-319-13401-7_1" TargetMode="External"/><Relationship Id="rId81" Type="http://schemas.openxmlformats.org/officeDocument/2006/relationships/hyperlink" Target="https://doi.org/10.1186/s12284-024-00732-w" TargetMode="External"/><Relationship Id="rId86" Type="http://schemas.openxmlformats.org/officeDocument/2006/relationships/hyperlink" Target="https://doi.org/10.1186/s12866-022-02715-7" TargetMode="External"/><Relationship Id="rId94"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9" Type="http://schemas.openxmlformats.org/officeDocument/2006/relationships/hyperlink" Target="https://doi.org/10.1016/j.micres.2024.1276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2D83A-93A2-4E0A-9E82-71E7DBF9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209</TotalTime>
  <Pages>17</Pages>
  <Words>8470</Words>
  <Characters>48282</Characters>
  <Application>Microsoft Office Word</Application>
  <DocSecurity>0</DocSecurity>
  <Lines>402</Lines>
  <Paragraphs>113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DR.Ahmed Saker 2o1O</cp:lastModifiedBy>
  <cp:revision>23</cp:revision>
  <cp:lastPrinted>1999-07-06T11:00:00Z</cp:lastPrinted>
  <dcterms:created xsi:type="dcterms:W3CDTF">2014-10-25T14:34:00Z</dcterms:created>
  <dcterms:modified xsi:type="dcterms:W3CDTF">2025-12-10T22:00:00Z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71BD3B748CCB44DD8647DE771B25058B_13</vt:lpwstr>
  </property>
</Properties>
</file>