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comments.xml" ContentType="application/vnd.openxmlformats-officedocument.wordprocessingml.comment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9DF" w:rsidRDefault="00C509DF" w:rsidP="00C509DF">
      <w:pPr>
        <w:tabs>
          <w:tab w:val="left" w:pos="180"/>
          <w:tab w:val="left" w:pos="211"/>
          <w:tab w:val="left" w:pos="360"/>
        </w:tabs>
        <w:spacing w:line="276" w:lineRule="auto"/>
        <w:rPr>
          <w:b/>
          <w:szCs w:val="24"/>
        </w:rPr>
      </w:pPr>
      <w:bookmarkStart w:id="0" w:name="_Toc532602639"/>
      <w:commentRangeStart w:id="1"/>
      <w:r w:rsidRPr="00582808">
        <w:rPr>
          <w:b/>
          <w:szCs w:val="24"/>
          <w:lang w:val="en-GB"/>
        </w:rPr>
        <w:t>Nitrogenous Fertilizer Application Rates and Plucking Intervals on Tea (</w:t>
      </w:r>
      <w:r w:rsidRPr="00582808">
        <w:rPr>
          <w:b/>
          <w:i/>
          <w:szCs w:val="24"/>
          <w:lang w:val="en-GB"/>
        </w:rPr>
        <w:t>Camellia sinensis</w:t>
      </w:r>
      <w:r w:rsidRPr="00582808">
        <w:rPr>
          <w:b/>
          <w:szCs w:val="24"/>
          <w:lang w:val="en-GB"/>
        </w:rPr>
        <w:t xml:space="preserve"> (L.) in Eastern Africa</w:t>
      </w:r>
      <w:r>
        <w:rPr>
          <w:b/>
          <w:szCs w:val="24"/>
          <w:lang w:val="en-GB"/>
        </w:rPr>
        <w:t xml:space="preserve">: III. </w:t>
      </w:r>
      <w:r>
        <w:rPr>
          <w:b/>
          <w:szCs w:val="24"/>
        </w:rPr>
        <w:t xml:space="preserve">Changes in </w:t>
      </w:r>
      <w:r w:rsidRPr="007575F3">
        <w:rPr>
          <w:b/>
          <w:szCs w:val="24"/>
        </w:rPr>
        <w:t xml:space="preserve">Soil </w:t>
      </w:r>
      <w:r>
        <w:rPr>
          <w:b/>
          <w:szCs w:val="24"/>
        </w:rPr>
        <w:t xml:space="preserve">Calcium, Magnesium and Manganese Levels </w:t>
      </w:r>
      <w:commentRangeEnd w:id="1"/>
      <w:r w:rsidR="00A50609">
        <w:rPr>
          <w:rStyle w:val="Marquedecommentaire"/>
        </w:rPr>
        <w:commentReference w:id="1"/>
      </w:r>
    </w:p>
    <w:p w:rsidR="00C509DF" w:rsidRPr="007575F3" w:rsidRDefault="00C509DF" w:rsidP="00C509DF">
      <w:pPr>
        <w:tabs>
          <w:tab w:val="left" w:pos="180"/>
          <w:tab w:val="left" w:pos="360"/>
        </w:tabs>
        <w:spacing w:line="276" w:lineRule="auto"/>
        <w:jc w:val="center"/>
        <w:rPr>
          <w:b/>
          <w:szCs w:val="24"/>
        </w:rPr>
      </w:pPr>
    </w:p>
    <w:bookmarkEnd w:id="0"/>
    <w:p w:rsidR="00FE34B0" w:rsidRDefault="00FE34B0" w:rsidP="00C509DF">
      <w:pPr>
        <w:tabs>
          <w:tab w:val="left" w:pos="360"/>
          <w:tab w:val="left" w:pos="450"/>
          <w:tab w:val="left" w:pos="540"/>
        </w:tabs>
        <w:rPr>
          <w:rFonts w:ascii="Calibri" w:hAnsi="Calibri" w:cs="Calibri"/>
          <w:sz w:val="20"/>
          <w:szCs w:val="20"/>
        </w:rPr>
      </w:pPr>
    </w:p>
    <w:p w:rsidR="00C509DF" w:rsidRDefault="00C509DF" w:rsidP="00C509DF">
      <w:pPr>
        <w:pStyle w:val="Titre1"/>
        <w:spacing w:before="0" w:after="0" w:line="360" w:lineRule="auto"/>
        <w:jc w:val="center"/>
        <w:rPr>
          <w:rFonts w:ascii="Times New Roman" w:hAnsi="Times New Roman"/>
          <w:sz w:val="24"/>
          <w:szCs w:val="24"/>
        </w:rPr>
      </w:pPr>
      <w:bookmarkStart w:id="2" w:name="_Toc532602642"/>
      <w:r w:rsidRPr="00490216">
        <w:rPr>
          <w:rFonts w:ascii="Times New Roman" w:hAnsi="Times New Roman"/>
          <w:sz w:val="24"/>
          <w:szCs w:val="24"/>
        </w:rPr>
        <w:t>ABSTRACT</w:t>
      </w:r>
      <w:bookmarkEnd w:id="2"/>
    </w:p>
    <w:p w:rsidR="00C509DF" w:rsidRDefault="00C509DF" w:rsidP="00C509DF">
      <w:pPr>
        <w:tabs>
          <w:tab w:val="left" w:pos="2610"/>
        </w:tabs>
        <w:rPr>
          <w:szCs w:val="24"/>
        </w:rPr>
      </w:pPr>
      <w:r>
        <w:rPr>
          <w:color w:val="000000"/>
          <w:szCs w:val="24"/>
          <w:lang w:val="en-GB"/>
        </w:rPr>
        <w:t>T</w:t>
      </w:r>
      <w:r w:rsidRPr="002A3499">
        <w:rPr>
          <w:color w:val="000000"/>
          <w:szCs w:val="24"/>
          <w:lang w:val="en-GB"/>
        </w:rPr>
        <w:t xml:space="preserve">ea </w:t>
      </w:r>
      <w:r>
        <w:rPr>
          <w:color w:val="000000"/>
          <w:szCs w:val="24"/>
          <w:lang w:val="en-GB"/>
        </w:rPr>
        <w:t>production requires</w:t>
      </w:r>
      <w:r w:rsidRPr="002A3499">
        <w:rPr>
          <w:color w:val="000000"/>
          <w:szCs w:val="24"/>
          <w:lang w:val="en-GB"/>
        </w:rPr>
        <w:t xml:space="preserve"> high rainfall areas </w:t>
      </w:r>
      <w:r>
        <w:rPr>
          <w:color w:val="000000"/>
          <w:szCs w:val="24"/>
          <w:lang w:val="en-GB"/>
        </w:rPr>
        <w:t xml:space="preserve">that cause </w:t>
      </w:r>
      <w:r w:rsidRPr="002A3499">
        <w:rPr>
          <w:color w:val="000000"/>
          <w:szCs w:val="24"/>
          <w:lang w:val="en-GB"/>
        </w:rPr>
        <w:t>nutrients depletion through surface run-off</w:t>
      </w:r>
      <w:r>
        <w:rPr>
          <w:color w:val="000000"/>
          <w:szCs w:val="24"/>
          <w:lang w:val="en-GB"/>
        </w:rPr>
        <w:t xml:space="preserve">, </w:t>
      </w:r>
      <w:r w:rsidRPr="002A3499">
        <w:rPr>
          <w:color w:val="000000"/>
          <w:szCs w:val="24"/>
          <w:lang w:val="en-GB"/>
        </w:rPr>
        <w:t>leaching</w:t>
      </w:r>
      <w:r>
        <w:rPr>
          <w:color w:val="000000"/>
          <w:szCs w:val="24"/>
          <w:lang w:val="en-GB"/>
        </w:rPr>
        <w:t>,and removal with crop</w:t>
      </w:r>
      <w:r w:rsidRPr="002A3499">
        <w:rPr>
          <w:color w:val="000000"/>
          <w:szCs w:val="24"/>
          <w:lang w:val="en-GB"/>
        </w:rPr>
        <w:t xml:space="preserve">. </w:t>
      </w:r>
      <w:r>
        <w:rPr>
          <w:color w:val="000000"/>
          <w:szCs w:val="24"/>
          <w:lang w:val="en-GB"/>
        </w:rPr>
        <w:t>This makes application of fertilisers mandatory to replenish the n</w:t>
      </w:r>
      <w:r w:rsidRPr="002A3499">
        <w:rPr>
          <w:color w:val="000000"/>
          <w:szCs w:val="24"/>
          <w:lang w:val="en-GB"/>
        </w:rPr>
        <w:t>utrients</w:t>
      </w:r>
      <w:r>
        <w:rPr>
          <w:color w:val="000000"/>
          <w:szCs w:val="24"/>
        </w:rPr>
        <w:t xml:space="preserve">. However, such applications could </w:t>
      </w:r>
      <w:r w:rsidRPr="00490216">
        <w:rPr>
          <w:color w:val="000000"/>
          <w:szCs w:val="24"/>
        </w:rPr>
        <w:t xml:space="preserve">cause </w:t>
      </w:r>
      <w:r>
        <w:rPr>
          <w:color w:val="000000"/>
          <w:szCs w:val="24"/>
        </w:rPr>
        <w:t xml:space="preserve">soil </w:t>
      </w:r>
      <w:r w:rsidRPr="00490216">
        <w:rPr>
          <w:color w:val="000000"/>
          <w:szCs w:val="24"/>
        </w:rPr>
        <w:t>nutrients imbalance.</w:t>
      </w:r>
      <w:r>
        <w:rPr>
          <w:szCs w:val="24"/>
        </w:rPr>
        <w:t>Harvesting f</w:t>
      </w:r>
      <w:r>
        <w:rPr>
          <w:color w:val="000000"/>
          <w:szCs w:val="24"/>
        </w:rPr>
        <w:t>requency</w:t>
      </w:r>
      <w:r w:rsidRPr="00490216">
        <w:rPr>
          <w:color w:val="000000"/>
          <w:szCs w:val="24"/>
        </w:rPr>
        <w:t xml:space="preserve"> cause variations </w:t>
      </w:r>
      <w:r>
        <w:rPr>
          <w:color w:val="000000"/>
          <w:szCs w:val="24"/>
        </w:rPr>
        <w:t>in yields</w:t>
      </w:r>
      <w:r w:rsidRPr="00490216">
        <w:rPr>
          <w:color w:val="000000"/>
          <w:szCs w:val="24"/>
        </w:rPr>
        <w:t xml:space="preserve">. </w:t>
      </w:r>
      <w:r>
        <w:rPr>
          <w:color w:val="000000"/>
          <w:szCs w:val="24"/>
        </w:rPr>
        <w:t>Despite variations in environmental factors r</w:t>
      </w:r>
      <w:r w:rsidRPr="00490216">
        <w:rPr>
          <w:color w:val="000000"/>
          <w:szCs w:val="24"/>
        </w:rPr>
        <w:t xml:space="preserve">ecommended fertilizer </w:t>
      </w:r>
      <w:r>
        <w:rPr>
          <w:color w:val="000000"/>
          <w:szCs w:val="24"/>
        </w:rPr>
        <w:t>useis similar whileharvesting frequency varies between 7 to 14 days</w:t>
      </w:r>
      <w:r w:rsidRPr="00490216">
        <w:rPr>
          <w:color w:val="000000"/>
          <w:szCs w:val="24"/>
        </w:rPr>
        <w:t xml:space="preserve">. </w:t>
      </w:r>
      <w:r>
        <w:rPr>
          <w:color w:val="000000"/>
          <w:szCs w:val="24"/>
          <w:lang w:val="en-GB"/>
        </w:rPr>
        <w:t>Fertilizer use and plucking are major agronomic inputs that may influence crop yields and soil nutrients removal.</w:t>
      </w:r>
      <w:r w:rsidRPr="00490216">
        <w:rPr>
          <w:color w:val="000000"/>
          <w:szCs w:val="24"/>
        </w:rPr>
        <w:t xml:space="preserve"> Th</w:t>
      </w:r>
      <w:r>
        <w:rPr>
          <w:color w:val="000000"/>
          <w:szCs w:val="24"/>
        </w:rPr>
        <w:t xml:space="preserve">einfluence of rates of </w:t>
      </w:r>
      <w:r w:rsidRPr="00490216">
        <w:rPr>
          <w:color w:val="000000"/>
          <w:szCs w:val="24"/>
        </w:rPr>
        <w:t xml:space="preserve">NPKS 25:5:5:5 fertilizer and </w:t>
      </w:r>
      <w:r>
        <w:rPr>
          <w:color w:val="000000"/>
          <w:szCs w:val="24"/>
        </w:rPr>
        <w:t xml:space="preserve">harvesting </w:t>
      </w:r>
      <w:r w:rsidRPr="00490216">
        <w:rPr>
          <w:color w:val="000000"/>
          <w:szCs w:val="24"/>
        </w:rPr>
        <w:t>intervals</w:t>
      </w:r>
      <w:r>
        <w:rPr>
          <w:color w:val="000000"/>
          <w:szCs w:val="24"/>
        </w:rPr>
        <w:t xml:space="preserve"> on soil calcium, magnesium and manganese levels</w:t>
      </w:r>
      <w:r w:rsidRPr="00490216">
        <w:rPr>
          <w:color w:val="000000"/>
          <w:szCs w:val="24"/>
        </w:rPr>
        <w:t xml:space="preserve"> and the relationship b</w:t>
      </w:r>
      <w:r>
        <w:rPr>
          <w:color w:val="000000"/>
          <w:szCs w:val="24"/>
        </w:rPr>
        <w:t xml:space="preserve">etween these </w:t>
      </w:r>
      <w:r w:rsidRPr="00490216">
        <w:rPr>
          <w:color w:val="000000"/>
          <w:szCs w:val="24"/>
        </w:rPr>
        <w:t>nutrients levels and tea yields in Eastern Africa</w:t>
      </w:r>
      <w:r>
        <w:rPr>
          <w:color w:val="000000"/>
          <w:szCs w:val="24"/>
        </w:rPr>
        <w:t xml:space="preserve"> were investigated</w:t>
      </w:r>
      <w:r w:rsidRPr="00490216">
        <w:rPr>
          <w:color w:val="000000"/>
          <w:szCs w:val="24"/>
        </w:rPr>
        <w:t xml:space="preserve">. Samples were </w:t>
      </w:r>
      <w:r>
        <w:rPr>
          <w:color w:val="000000"/>
          <w:szCs w:val="24"/>
        </w:rPr>
        <w:t xml:space="preserve">obtained </w:t>
      </w:r>
      <w:r w:rsidRPr="00490216">
        <w:rPr>
          <w:color w:val="000000"/>
          <w:szCs w:val="24"/>
        </w:rPr>
        <w:t xml:space="preserve">from fertilizer trials on clone TRFK 6/8 at </w:t>
      </w:r>
      <w:r>
        <w:rPr>
          <w:color w:val="000000"/>
          <w:szCs w:val="24"/>
        </w:rPr>
        <w:t xml:space="preserve">three, two and three sites in </w:t>
      </w:r>
      <w:r w:rsidRPr="00490216">
        <w:rPr>
          <w:color w:val="000000"/>
          <w:szCs w:val="24"/>
        </w:rPr>
        <w:t xml:space="preserve">Kenya, Tanzania, </w:t>
      </w:r>
      <w:r>
        <w:rPr>
          <w:color w:val="000000"/>
          <w:szCs w:val="24"/>
        </w:rPr>
        <w:t xml:space="preserve">and </w:t>
      </w:r>
      <w:r w:rsidRPr="00490216">
        <w:rPr>
          <w:color w:val="000000"/>
          <w:szCs w:val="24"/>
        </w:rPr>
        <w:t>Rwanda</w:t>
      </w:r>
      <w:r>
        <w:rPr>
          <w:color w:val="000000"/>
          <w:szCs w:val="24"/>
        </w:rPr>
        <w:t>, respectively,from a</w:t>
      </w:r>
      <w:r w:rsidRPr="00490216">
        <w:rPr>
          <w:color w:val="000000"/>
          <w:szCs w:val="24"/>
        </w:rPr>
        <w:t xml:space="preserve"> 5</w:t>
      </w:r>
      <w:r>
        <w:rPr>
          <w:color w:val="000000"/>
          <w:szCs w:val="24"/>
        </w:rPr>
        <w:t xml:space="preserve"> nitrogen rates by </w:t>
      </w:r>
      <w:r w:rsidRPr="00490216">
        <w:rPr>
          <w:color w:val="000000"/>
          <w:szCs w:val="24"/>
        </w:rPr>
        <w:t xml:space="preserve">3 </w:t>
      </w:r>
      <w:r>
        <w:rPr>
          <w:color w:val="000000"/>
          <w:szCs w:val="24"/>
        </w:rPr>
        <w:t xml:space="preserve">harvesting frequency </w:t>
      </w:r>
      <w:r w:rsidRPr="00490216">
        <w:rPr>
          <w:color w:val="000000"/>
          <w:szCs w:val="24"/>
        </w:rPr>
        <w:t xml:space="preserve">factorial </w:t>
      </w:r>
      <w:r>
        <w:rPr>
          <w:color w:val="000000"/>
          <w:szCs w:val="24"/>
        </w:rPr>
        <w:t xml:space="preserve">trials replicated three times at each site, </w:t>
      </w:r>
      <w:r w:rsidRPr="00490216">
        <w:rPr>
          <w:color w:val="000000"/>
          <w:szCs w:val="24"/>
        </w:rPr>
        <w:t>at 0-10, 10-2</w:t>
      </w:r>
      <w:r>
        <w:rPr>
          <w:color w:val="000000"/>
          <w:szCs w:val="24"/>
        </w:rPr>
        <w:t xml:space="preserve">0, 20-30, 40-60 cm soil </w:t>
      </w:r>
      <w:r w:rsidRPr="00490216">
        <w:rPr>
          <w:color w:val="000000"/>
          <w:szCs w:val="24"/>
        </w:rPr>
        <w:t>depths</w:t>
      </w:r>
      <w:r>
        <w:rPr>
          <w:color w:val="000000"/>
          <w:szCs w:val="24"/>
        </w:rPr>
        <w:t xml:space="preserve">. The </w:t>
      </w:r>
      <w:r w:rsidRPr="00490216">
        <w:rPr>
          <w:color w:val="000000"/>
          <w:szCs w:val="24"/>
        </w:rPr>
        <w:t xml:space="preserve">nutrients </w:t>
      </w:r>
      <w:r>
        <w:rPr>
          <w:color w:val="000000"/>
          <w:szCs w:val="24"/>
        </w:rPr>
        <w:t xml:space="preserve">were determined </w:t>
      </w:r>
      <w:r w:rsidRPr="00490216">
        <w:rPr>
          <w:color w:val="000000"/>
          <w:szCs w:val="24"/>
        </w:rPr>
        <w:t xml:space="preserve">using </w:t>
      </w:r>
      <w:r>
        <w:rPr>
          <w:color w:val="000000"/>
          <w:szCs w:val="24"/>
        </w:rPr>
        <w:t>ICPAES</w:t>
      </w:r>
      <w:r w:rsidRPr="00490216">
        <w:rPr>
          <w:color w:val="000000"/>
          <w:szCs w:val="24"/>
        </w:rPr>
        <w:t xml:space="preserve">. </w:t>
      </w:r>
      <w:r>
        <w:rPr>
          <w:color w:val="000000"/>
          <w:szCs w:val="24"/>
        </w:rPr>
        <w:t>Increasing</w:t>
      </w:r>
      <w:r w:rsidRPr="00490216">
        <w:rPr>
          <w:color w:val="000000"/>
          <w:szCs w:val="24"/>
        </w:rPr>
        <w:t xml:space="preserve"> nitrogen rates </w:t>
      </w:r>
      <w:r>
        <w:rPr>
          <w:color w:val="000000"/>
          <w:szCs w:val="24"/>
        </w:rPr>
        <w:t>elevated (p≤0.05) Mn</w:t>
      </w:r>
      <w:r w:rsidRPr="00490216">
        <w:rPr>
          <w:color w:val="000000"/>
          <w:szCs w:val="24"/>
        </w:rPr>
        <w:t xml:space="preserve"> but </w:t>
      </w:r>
      <w:r>
        <w:rPr>
          <w:color w:val="000000"/>
          <w:szCs w:val="24"/>
        </w:rPr>
        <w:t>reduce</w:t>
      </w:r>
      <w:r w:rsidRPr="00490216">
        <w:rPr>
          <w:color w:val="000000"/>
          <w:szCs w:val="24"/>
        </w:rPr>
        <w:t xml:space="preserve">d (p≤0.05) </w:t>
      </w:r>
      <w:r>
        <w:rPr>
          <w:color w:val="000000"/>
          <w:szCs w:val="24"/>
        </w:rPr>
        <w:t xml:space="preserve">Ca and </w:t>
      </w:r>
      <w:r w:rsidRPr="00490216">
        <w:rPr>
          <w:color w:val="000000"/>
          <w:szCs w:val="24"/>
        </w:rPr>
        <w:t>Mg</w:t>
      </w:r>
      <w:r w:rsidRPr="00490216">
        <w:rPr>
          <w:szCs w:val="24"/>
        </w:rPr>
        <w:t>.</w:t>
      </w:r>
      <w:r>
        <w:rPr>
          <w:color w:val="000000"/>
          <w:szCs w:val="24"/>
        </w:rPr>
        <w:t>Thus, long term use of nitrogenous fertilizers could cause nutrients imbalance that may make tea production uncertain as these nutrients are not controlled through supplementation. Harvesting frequency did</w:t>
      </w:r>
      <w:r w:rsidRPr="00490216">
        <w:rPr>
          <w:color w:val="000000"/>
          <w:szCs w:val="24"/>
        </w:rPr>
        <w:t xml:space="preserve"> no</w:t>
      </w:r>
      <w:r>
        <w:rPr>
          <w:color w:val="000000"/>
          <w:szCs w:val="24"/>
        </w:rPr>
        <w:t>t</w:t>
      </w:r>
      <w:r w:rsidRPr="00490216">
        <w:rPr>
          <w:color w:val="000000"/>
          <w:szCs w:val="24"/>
        </w:rPr>
        <w:t xml:space="preserve"> influence </w:t>
      </w:r>
      <w:r>
        <w:rPr>
          <w:color w:val="000000"/>
          <w:szCs w:val="24"/>
        </w:rPr>
        <w:t xml:space="preserve">soil Ca, Mg and Mn </w:t>
      </w:r>
      <w:r w:rsidRPr="00490216">
        <w:rPr>
          <w:color w:val="000000"/>
          <w:szCs w:val="24"/>
        </w:rPr>
        <w:t>levels at all sites</w:t>
      </w:r>
      <w:r>
        <w:rPr>
          <w:color w:val="000000"/>
          <w:szCs w:val="24"/>
        </w:rPr>
        <w:t>. The nutrients</w:t>
      </w:r>
      <w:r w:rsidRPr="00490216">
        <w:rPr>
          <w:color w:val="000000"/>
          <w:szCs w:val="24"/>
        </w:rPr>
        <w:t xml:space="preserve"> levels varied (p≤0.05) </w:t>
      </w:r>
      <w:r>
        <w:rPr>
          <w:color w:val="000000"/>
          <w:szCs w:val="24"/>
        </w:rPr>
        <w:t xml:space="preserve">with </w:t>
      </w:r>
      <w:r w:rsidRPr="00490216">
        <w:rPr>
          <w:color w:val="000000"/>
          <w:szCs w:val="24"/>
        </w:rPr>
        <w:t>location</w:t>
      </w:r>
      <w:r>
        <w:rPr>
          <w:color w:val="000000"/>
          <w:szCs w:val="24"/>
        </w:rPr>
        <w:t xml:space="preserve"> of production</w:t>
      </w:r>
      <w:r w:rsidRPr="00490216">
        <w:rPr>
          <w:color w:val="000000"/>
          <w:szCs w:val="24"/>
        </w:rPr>
        <w:t xml:space="preserve">. </w:t>
      </w:r>
      <w:r>
        <w:rPr>
          <w:color w:val="000000"/>
          <w:szCs w:val="24"/>
        </w:rPr>
        <w:t xml:space="preserve">Despite the variations the nutrient </w:t>
      </w:r>
      <w:r w:rsidRPr="00490216">
        <w:rPr>
          <w:color w:val="000000"/>
          <w:szCs w:val="24"/>
        </w:rPr>
        <w:t xml:space="preserve">levels were </w:t>
      </w:r>
      <w:r>
        <w:rPr>
          <w:color w:val="000000"/>
          <w:szCs w:val="24"/>
        </w:rPr>
        <w:t xml:space="preserve">still </w:t>
      </w:r>
      <w:r w:rsidRPr="00490216">
        <w:rPr>
          <w:color w:val="000000"/>
          <w:szCs w:val="24"/>
        </w:rPr>
        <w:t>optimal and therefore not co</w:t>
      </w:r>
      <w:r>
        <w:rPr>
          <w:color w:val="000000"/>
          <w:szCs w:val="24"/>
        </w:rPr>
        <w:t>nstraining tea production.</w:t>
      </w:r>
      <w:r>
        <w:rPr>
          <w:szCs w:val="24"/>
        </w:rPr>
        <w:t xml:space="preserve">These results suggest need for proper management of these nutrients to ensure continued high </w:t>
      </w:r>
      <w:r w:rsidRPr="00490216">
        <w:rPr>
          <w:szCs w:val="24"/>
        </w:rPr>
        <w:t>tea production.</w:t>
      </w:r>
    </w:p>
    <w:p w:rsidR="00C509DF" w:rsidRPr="00CC3842" w:rsidRDefault="00C509DF" w:rsidP="00C509DF">
      <w:pPr>
        <w:tabs>
          <w:tab w:val="left" w:pos="2610"/>
        </w:tabs>
        <w:rPr>
          <w:szCs w:val="24"/>
        </w:rPr>
      </w:pPr>
    </w:p>
    <w:p w:rsidR="00C509DF" w:rsidRDefault="00C509DF" w:rsidP="00C509DF">
      <w:pPr>
        <w:tabs>
          <w:tab w:val="left" w:pos="2610"/>
        </w:tabs>
        <w:spacing w:line="276" w:lineRule="auto"/>
        <w:rPr>
          <w:szCs w:val="24"/>
        </w:rPr>
      </w:pPr>
      <w:r w:rsidRPr="008035EA">
        <w:rPr>
          <w:b/>
          <w:szCs w:val="24"/>
        </w:rPr>
        <w:t>KEY WORDS</w:t>
      </w:r>
      <w:r w:rsidRPr="008035EA">
        <w:rPr>
          <w:szCs w:val="24"/>
        </w:rPr>
        <w:t xml:space="preserve">: Nitrogen </w:t>
      </w:r>
      <w:r>
        <w:rPr>
          <w:szCs w:val="24"/>
        </w:rPr>
        <w:t>fertilizer</w:t>
      </w:r>
      <w:r w:rsidRPr="008035EA">
        <w:rPr>
          <w:szCs w:val="24"/>
        </w:rPr>
        <w:t>; Harvesting</w:t>
      </w:r>
      <w:r>
        <w:rPr>
          <w:szCs w:val="24"/>
        </w:rPr>
        <w:t xml:space="preserve"> frequency</w:t>
      </w:r>
      <w:r w:rsidRPr="008035EA">
        <w:rPr>
          <w:szCs w:val="24"/>
        </w:rPr>
        <w:t xml:space="preserve">; </w:t>
      </w:r>
      <w:r w:rsidRPr="00D31FBF">
        <w:rPr>
          <w:color w:val="FF0000"/>
          <w:szCs w:val="24"/>
        </w:rPr>
        <w:t>Location of Production</w:t>
      </w:r>
      <w:r w:rsidRPr="008035EA">
        <w:rPr>
          <w:szCs w:val="24"/>
        </w:rPr>
        <w:t xml:space="preserve">; Soil </w:t>
      </w:r>
      <w:r>
        <w:rPr>
          <w:szCs w:val="24"/>
        </w:rPr>
        <w:t>Ca, Mg, Mn</w:t>
      </w:r>
      <w:r w:rsidRPr="008035EA">
        <w:rPr>
          <w:szCs w:val="24"/>
        </w:rPr>
        <w:t xml:space="preserve">; </w:t>
      </w:r>
      <w:r>
        <w:rPr>
          <w:szCs w:val="24"/>
        </w:rPr>
        <w:t>Tea</w:t>
      </w:r>
      <w:r w:rsidRPr="008035EA">
        <w:rPr>
          <w:szCs w:val="24"/>
        </w:rPr>
        <w:t xml:space="preserve">; </w:t>
      </w:r>
      <w:commentRangeStart w:id="3"/>
      <w:r w:rsidRPr="00D31FBF">
        <w:rPr>
          <w:color w:val="FF0000"/>
          <w:szCs w:val="24"/>
        </w:rPr>
        <w:t>Kenya; Rwanda; Tanzania</w:t>
      </w:r>
      <w:commentRangeEnd w:id="3"/>
      <w:r w:rsidR="00A50609">
        <w:rPr>
          <w:rStyle w:val="Marquedecommentaire"/>
        </w:rPr>
        <w:commentReference w:id="3"/>
      </w:r>
      <w:r w:rsidR="00E06FCB">
        <w:rPr>
          <w:szCs w:val="24"/>
        </w:rPr>
        <w:t>.</w:t>
      </w:r>
    </w:p>
    <w:p w:rsidR="00E06FCB" w:rsidRDefault="00E06FCB" w:rsidP="00C509DF">
      <w:pPr>
        <w:tabs>
          <w:tab w:val="left" w:pos="2610"/>
        </w:tabs>
        <w:spacing w:line="276" w:lineRule="auto"/>
        <w:rPr>
          <w:szCs w:val="24"/>
        </w:rPr>
      </w:pPr>
    </w:p>
    <w:p w:rsidR="00E06FCB" w:rsidRPr="007E5E50" w:rsidRDefault="00E06FCB" w:rsidP="00E06FCB">
      <w:pPr>
        <w:tabs>
          <w:tab w:val="left" w:pos="2610"/>
        </w:tabs>
        <w:spacing w:line="276" w:lineRule="auto"/>
        <w:jc w:val="left"/>
        <w:rPr>
          <w:rFonts w:ascii="Calibri" w:hAnsi="Calibri"/>
          <w:b/>
          <w:sz w:val="28"/>
          <w:szCs w:val="28"/>
        </w:rPr>
      </w:pPr>
      <w:r w:rsidRPr="007E5E50">
        <w:rPr>
          <w:rFonts w:ascii="Calibri" w:hAnsi="Calibri"/>
          <w:b/>
          <w:sz w:val="28"/>
          <w:szCs w:val="28"/>
        </w:rPr>
        <w:t>Introduction</w:t>
      </w:r>
    </w:p>
    <w:p w:rsidR="00E06FCB" w:rsidRPr="005B2D72" w:rsidRDefault="00E06FCB" w:rsidP="00E06FCB">
      <w:pPr>
        <w:autoSpaceDE w:val="0"/>
        <w:autoSpaceDN w:val="0"/>
        <w:adjustRightInd w:val="0"/>
        <w:spacing w:line="360" w:lineRule="auto"/>
        <w:rPr>
          <w:szCs w:val="24"/>
          <w:lang w:val="en-GB"/>
        </w:rPr>
      </w:pPr>
      <w:r>
        <w:rPr>
          <w:szCs w:val="24"/>
        </w:rPr>
        <w:t>Commercial t</w:t>
      </w:r>
      <w:r w:rsidRPr="007E5E50">
        <w:rPr>
          <w:szCs w:val="24"/>
        </w:rPr>
        <w:t>ea (</w:t>
      </w:r>
      <w:r w:rsidRPr="007E5E50">
        <w:rPr>
          <w:i/>
          <w:iCs/>
          <w:szCs w:val="24"/>
        </w:rPr>
        <w:t xml:space="preserve">Camellia sinensis, </w:t>
      </w:r>
      <w:r w:rsidRPr="007E5E50">
        <w:rPr>
          <w:iCs/>
          <w:szCs w:val="24"/>
        </w:rPr>
        <w:t>(L) O. Kuntze</w:t>
      </w:r>
      <w:r w:rsidRPr="007E5E50">
        <w:rPr>
          <w:szCs w:val="24"/>
        </w:rPr>
        <w:t>) is</w:t>
      </w:r>
      <w:r>
        <w:rPr>
          <w:szCs w:val="24"/>
        </w:rPr>
        <w:t xml:space="preserve"> grown within latitudes between</w:t>
      </w:r>
      <w:r w:rsidRPr="007E5E50">
        <w:rPr>
          <w:szCs w:val="24"/>
        </w:rPr>
        <w:t xml:space="preserve"> 45</w:t>
      </w:r>
      <w:r w:rsidRPr="007E5E50">
        <w:rPr>
          <w:szCs w:val="24"/>
          <w:vertAlign w:val="superscript"/>
        </w:rPr>
        <w:t>o</w:t>
      </w:r>
      <w:r w:rsidRPr="007E5E50">
        <w:rPr>
          <w:szCs w:val="24"/>
        </w:rPr>
        <w:t>N (Russia) to 30</w:t>
      </w:r>
      <w:r w:rsidRPr="007E5E50">
        <w:rPr>
          <w:szCs w:val="24"/>
          <w:vertAlign w:val="superscript"/>
        </w:rPr>
        <w:t>o</w:t>
      </w:r>
      <w:r w:rsidRPr="007E5E50">
        <w:rPr>
          <w:szCs w:val="24"/>
        </w:rPr>
        <w:t>S (South Africa), and from 150</w:t>
      </w:r>
      <w:r w:rsidRPr="007E5E50">
        <w:rPr>
          <w:szCs w:val="24"/>
          <w:vertAlign w:val="superscript"/>
        </w:rPr>
        <w:t>o</w:t>
      </w:r>
      <w:r w:rsidRPr="007E5E50">
        <w:rPr>
          <w:szCs w:val="24"/>
        </w:rPr>
        <w:t>E (New Guinea) to 60</w:t>
      </w:r>
      <w:r w:rsidRPr="007E5E50">
        <w:rPr>
          <w:szCs w:val="24"/>
          <w:vertAlign w:val="superscript"/>
        </w:rPr>
        <w:t>o</w:t>
      </w:r>
      <w:r w:rsidRPr="007E5E50">
        <w:rPr>
          <w:szCs w:val="24"/>
        </w:rPr>
        <w:t xml:space="preserve">W (Argentina) </w:t>
      </w:r>
      <w:r w:rsidR="00E90242">
        <w:rPr>
          <w:szCs w:val="24"/>
        </w:rPr>
        <w:fldChar w:fldCharType="begin"/>
      </w:r>
      <w:r w:rsidR="00BD09B5">
        <w:rPr>
          <w:szCs w:val="24"/>
        </w:rPr>
        <w:instrText xml:space="preserve"> ADDIN EN.CITE &lt;EndNote&gt;&lt;Cite&gt;&lt;Author&gt;Ombori&lt;/Author&gt;&lt;Year&gt;2020&lt;/Year&gt;&lt;RecNum&gt;132&lt;/RecNum&gt;&lt;DisplayText&gt;(Kebeney et al., 2010; 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00E90242">
        <w:rPr>
          <w:szCs w:val="24"/>
        </w:rPr>
        <w:fldChar w:fldCharType="separate"/>
      </w:r>
      <w:r w:rsidR="00BE2D15">
        <w:rPr>
          <w:noProof/>
          <w:szCs w:val="24"/>
        </w:rPr>
        <w:t>(Kebeney et al., 2010; Ombori et al., 2020)</w:t>
      </w:r>
      <w:r w:rsidR="00E90242">
        <w:rPr>
          <w:szCs w:val="24"/>
        </w:rPr>
        <w:fldChar w:fldCharType="end"/>
      </w:r>
      <w:r w:rsidRPr="007E5E50">
        <w:rPr>
          <w:szCs w:val="24"/>
        </w:rPr>
        <w:t xml:space="preserve">, </w:t>
      </w:r>
      <w:r>
        <w:rPr>
          <w:szCs w:val="24"/>
        </w:rPr>
        <w:t xml:space="preserve">and at </w:t>
      </w:r>
      <w:r w:rsidRPr="007E5E50">
        <w:rPr>
          <w:szCs w:val="24"/>
        </w:rPr>
        <w:t>altitudes from sea level to about 2,700 m above mean sea level (amsl)</w:t>
      </w:r>
      <w:commentRangeStart w:id="4"/>
      <w:r w:rsidR="00E90242">
        <w:rPr>
          <w:szCs w:val="24"/>
        </w:rPr>
        <w:fldChar w:fldCharType="begin"/>
      </w:r>
      <w:r w:rsidR="00BD09B5">
        <w:rPr>
          <w:szCs w:val="24"/>
        </w:rPr>
        <w:instrText xml:space="preserve"> ADDIN EN.CITE &lt;EndNote&gt;&lt;Cite&gt;&lt;Author&gt;Owuor&lt;/Author&gt;&lt;Year&gt;2011&lt;/Year&gt;&lt;RecNum&gt;129&lt;/RecNum&gt;&lt;DisplayText&gt;(P. O. Owuor et al., 2011)&lt;/DisplayText&gt;&lt;record&gt;&lt;rec-number&gt;129&lt;/rec-number&gt;&lt;foreign-keys&gt;&lt;key app="EN" db-id="zx5vprwxa0rsabew9f9xp5fcs9tz0dzwa2fa" timestamp="1595789441"&gt;129&lt;/key&gt;&lt;/foreign-keys&gt;&lt;ref-type name="Book Section"&gt;5&lt;/ref-type&gt;&lt;contributors&gt;&lt;authors&gt;&lt;author&gt;Owuor, P. O.&lt;/author&gt;&lt;author&gt;Kamau, D. M.&lt;/author&gt;&lt;author&gt;Kamunya, S. M.&lt;/author&gt;&lt;author&gt;Msomba, S. W.&lt;/author&gt;&lt;author&gt;Uwimana, M. A.&lt;/author&gt;&lt;author&gt;Okal, A. W.&lt;/author&gt;&lt;author&gt;Kwach, B. O.&lt;/author&gt;&lt;/authors&gt;&lt;secondary-authors&gt;&lt;author&gt;Lichtfouse, E.&lt;/author&gt;&lt;/secondary-authors&gt;&lt;/contributors&gt;&lt;titles&gt;&lt;title&gt;Effects of genotype, environment and management on yields and quality of black tea. In  (ed.), &lt;/title&gt;&lt;secondary-title&gt;Genetics, Biofuels and Local Farming Systems: Sustainable Agriculture Reviews, 7&lt;/secondary-title&gt;&lt;/titles&gt;&lt;pages&gt; 277-307, &lt;/pages&gt;&lt;dates&gt;&lt;year&gt;2011&lt;/year&gt;&lt;/dates&gt;&lt;pub-location&gt;Heidelberg&lt;/pub-location&gt;&lt;publisher&gt;Springer&lt;/publisher&gt;&lt;urls&gt;&lt;/urls&gt;&lt;electronic-resource-num&gt;&lt;style face="underline" font="default" size="100%"&gt;https://DOI:10.1007/978-94-007-1521-9_10&lt;/style&gt;&lt;/electronic-resource-num&gt;&lt;/record&gt;&lt;/Cite&gt;&lt;/EndNote&gt;</w:instrText>
      </w:r>
      <w:r w:rsidR="00E90242">
        <w:rPr>
          <w:szCs w:val="24"/>
        </w:rPr>
        <w:fldChar w:fldCharType="separate"/>
      </w:r>
      <w:r w:rsidR="00BE2D15">
        <w:rPr>
          <w:noProof/>
          <w:szCs w:val="24"/>
        </w:rPr>
        <w:t>(P. O. Owuor et al., 2011)</w:t>
      </w:r>
      <w:r w:rsidR="00E90242">
        <w:rPr>
          <w:szCs w:val="24"/>
        </w:rPr>
        <w:fldChar w:fldCharType="end"/>
      </w:r>
      <w:commentRangeEnd w:id="4"/>
      <w:r w:rsidR="004C14EF">
        <w:rPr>
          <w:rStyle w:val="Marquedecommentaire"/>
        </w:rPr>
        <w:commentReference w:id="4"/>
      </w:r>
      <w:r>
        <w:rPr>
          <w:szCs w:val="24"/>
        </w:rPr>
        <w:t>.</w:t>
      </w:r>
      <w:r>
        <w:rPr>
          <w:szCs w:val="24"/>
          <w:lang w:val="en-GB"/>
        </w:rPr>
        <w:t xml:space="preserve">Cool, </w:t>
      </w:r>
      <w:r w:rsidR="00AE0977">
        <w:rPr>
          <w:szCs w:val="24"/>
          <w:lang w:val="en-GB"/>
        </w:rPr>
        <w:t>humid</w:t>
      </w:r>
      <w:r>
        <w:rPr>
          <w:szCs w:val="24"/>
          <w:lang w:val="en-GB"/>
        </w:rPr>
        <w:t xml:space="preserve"> high altitude locations with well distributed annual </w:t>
      </w:r>
      <w:r w:rsidR="00AE0977">
        <w:rPr>
          <w:szCs w:val="24"/>
        </w:rPr>
        <w:t>rainfall</w:t>
      </w:r>
      <w:r>
        <w:rPr>
          <w:szCs w:val="24"/>
        </w:rPr>
        <w:t xml:space="preserve"> and soil pH in the range</w:t>
      </w:r>
      <w:r>
        <w:rPr>
          <w:szCs w:val="24"/>
          <w:lang w:val="en-GB"/>
        </w:rPr>
        <w:t xml:space="preserve"> of </w:t>
      </w:r>
      <w:r w:rsidRPr="009E324A">
        <w:rPr>
          <w:szCs w:val="24"/>
          <w:lang w:val="en-GB"/>
        </w:rPr>
        <w:t>4.5-5.6</w:t>
      </w:r>
      <w:r>
        <w:rPr>
          <w:szCs w:val="24"/>
          <w:lang w:val="en-GB"/>
        </w:rPr>
        <w:t xml:space="preserve"> are suitable for tea production i</w:t>
      </w:r>
      <w:r w:rsidRPr="009E324A">
        <w:rPr>
          <w:szCs w:val="24"/>
          <w:lang w:val="en-GB"/>
        </w:rPr>
        <w:t xml:space="preserve">n </w:t>
      </w:r>
      <w:r>
        <w:rPr>
          <w:szCs w:val="24"/>
          <w:lang w:val="en-GB"/>
        </w:rPr>
        <w:t>eastern</w:t>
      </w:r>
      <w:r w:rsidRPr="009E324A">
        <w:rPr>
          <w:szCs w:val="24"/>
          <w:lang w:val="en-GB"/>
        </w:rPr>
        <w:t xml:space="preserve"> Africa</w:t>
      </w:r>
      <w:r w:rsidR="00E90242">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E90242">
        <w:rPr>
          <w:szCs w:val="24"/>
          <w:lang w:val="en-GB"/>
        </w:rPr>
        <w:fldChar w:fldCharType="separate"/>
      </w:r>
      <w:r w:rsidR="00BE2D15">
        <w:rPr>
          <w:noProof/>
          <w:szCs w:val="24"/>
          <w:lang w:val="en-GB"/>
        </w:rPr>
        <w:t>(Ombori et al., 2020)</w:t>
      </w:r>
      <w:r w:rsidR="00E90242">
        <w:rPr>
          <w:szCs w:val="24"/>
          <w:lang w:val="en-GB"/>
        </w:rPr>
        <w:fldChar w:fldCharType="end"/>
      </w:r>
      <w:r w:rsidRPr="007E5E50">
        <w:rPr>
          <w:szCs w:val="24"/>
        </w:rPr>
        <w:t xml:space="preserve">. </w:t>
      </w:r>
      <w:r>
        <w:rPr>
          <w:szCs w:val="24"/>
        </w:rPr>
        <w:t>In these locations, t</w:t>
      </w:r>
      <w:r w:rsidRPr="0077693D">
        <w:rPr>
          <w:szCs w:val="24"/>
          <w:lang w:val="en-GB"/>
        </w:rPr>
        <w:t>e</w:t>
      </w:r>
      <w:r>
        <w:rPr>
          <w:szCs w:val="24"/>
          <w:lang w:val="en-GB"/>
        </w:rPr>
        <w:t xml:space="preserve">agrows well with large variations </w:t>
      </w:r>
      <w:r w:rsidRPr="0077693D">
        <w:rPr>
          <w:szCs w:val="24"/>
          <w:lang w:val="en-GB"/>
        </w:rPr>
        <w:t xml:space="preserve">in nutrients before visible signs of deficiency/toxicity </w:t>
      </w:r>
      <w:r>
        <w:rPr>
          <w:szCs w:val="24"/>
          <w:lang w:val="en-GB"/>
        </w:rPr>
        <w:t xml:space="preserve">in </w:t>
      </w:r>
      <w:r w:rsidR="00AE0977">
        <w:rPr>
          <w:szCs w:val="24"/>
          <w:lang w:val="en-GB"/>
        </w:rPr>
        <w:t>foliage</w:t>
      </w:r>
      <w:r w:rsidRPr="0077693D">
        <w:rPr>
          <w:szCs w:val="24"/>
          <w:lang w:val="en-GB"/>
        </w:rPr>
        <w:t xml:space="preserve">begin to appear. </w:t>
      </w:r>
      <w:r>
        <w:rPr>
          <w:szCs w:val="24"/>
          <w:lang w:val="en-GB"/>
        </w:rPr>
        <w:t xml:space="preserve">Tea soils are therefore usually </w:t>
      </w:r>
      <w:r w:rsidRPr="0077693D">
        <w:rPr>
          <w:szCs w:val="24"/>
          <w:lang w:val="en-GB"/>
        </w:rPr>
        <w:t>test</w:t>
      </w:r>
      <w:r>
        <w:rPr>
          <w:szCs w:val="24"/>
          <w:lang w:val="en-GB"/>
        </w:rPr>
        <w:t xml:space="preserve">ed </w:t>
      </w:r>
      <w:r w:rsidRPr="0077693D">
        <w:rPr>
          <w:szCs w:val="24"/>
          <w:lang w:val="en-GB"/>
        </w:rPr>
        <w:t xml:space="preserve">to detect </w:t>
      </w:r>
      <w:r>
        <w:rPr>
          <w:szCs w:val="24"/>
          <w:lang w:val="en-GB"/>
        </w:rPr>
        <w:t xml:space="preserve">possible </w:t>
      </w:r>
      <w:r w:rsidRPr="0077693D">
        <w:rPr>
          <w:szCs w:val="24"/>
          <w:lang w:val="en-GB"/>
        </w:rPr>
        <w:t>nutrients deficienc</w:t>
      </w:r>
      <w:r>
        <w:rPr>
          <w:szCs w:val="24"/>
          <w:lang w:val="en-GB"/>
        </w:rPr>
        <w:t>ies</w:t>
      </w:r>
      <w:r w:rsidRPr="0077693D">
        <w:rPr>
          <w:szCs w:val="24"/>
          <w:lang w:val="en-GB"/>
        </w:rPr>
        <w:t>/t</w:t>
      </w:r>
      <w:r>
        <w:rPr>
          <w:szCs w:val="24"/>
          <w:lang w:val="en-GB"/>
        </w:rPr>
        <w:t xml:space="preserve">oxicities that may affect growth and reduce yields </w:t>
      </w:r>
      <w:r w:rsidR="00E90242">
        <w:rPr>
          <w:szCs w:val="24"/>
          <w:lang w:val="en-GB"/>
        </w:rPr>
        <w:fldChar w:fldCharType="begin"/>
      </w:r>
      <w:r w:rsidR="00BD09B5">
        <w:rPr>
          <w:szCs w:val="24"/>
          <w:lang w:val="en-GB"/>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E90242">
        <w:rPr>
          <w:szCs w:val="24"/>
          <w:lang w:val="en-GB"/>
        </w:rPr>
        <w:fldChar w:fldCharType="separate"/>
      </w:r>
      <w:r w:rsidR="00312DFF">
        <w:rPr>
          <w:noProof/>
          <w:szCs w:val="24"/>
          <w:lang w:val="en-GB"/>
        </w:rPr>
        <w:t>(TRFK, 2002)</w:t>
      </w:r>
      <w:r w:rsidR="00E90242">
        <w:rPr>
          <w:szCs w:val="24"/>
          <w:lang w:val="en-GB"/>
        </w:rPr>
        <w:fldChar w:fldCharType="end"/>
      </w:r>
      <w:r w:rsidRPr="005B2D72">
        <w:rPr>
          <w:szCs w:val="24"/>
          <w:lang w:val="en-GB"/>
        </w:rPr>
        <w:t>.</w:t>
      </w:r>
    </w:p>
    <w:p w:rsidR="00E06FCB" w:rsidRDefault="00E06FCB" w:rsidP="00E06FCB">
      <w:pPr>
        <w:autoSpaceDE w:val="0"/>
        <w:autoSpaceDN w:val="0"/>
        <w:adjustRightInd w:val="0"/>
        <w:spacing w:line="360" w:lineRule="auto"/>
        <w:rPr>
          <w:szCs w:val="24"/>
        </w:rPr>
      </w:pPr>
      <w:r>
        <w:rPr>
          <w:szCs w:val="24"/>
          <w:lang w:val="en-GB"/>
        </w:rPr>
        <w:t>Despite variations in tea growing environments, uniform a</w:t>
      </w:r>
      <w:r w:rsidRPr="009E324A">
        <w:rPr>
          <w:color w:val="000000"/>
          <w:szCs w:val="24"/>
          <w:lang w:val="en-GB"/>
        </w:rPr>
        <w:t>gronomic recomm</w:t>
      </w:r>
      <w:r w:rsidRPr="009E324A">
        <w:rPr>
          <w:szCs w:val="24"/>
          <w:lang w:val="en-GB"/>
        </w:rPr>
        <w:t>endations</w:t>
      </w:r>
      <w:r>
        <w:rPr>
          <w:szCs w:val="24"/>
          <w:lang w:val="en-GB"/>
        </w:rPr>
        <w:t>, m</w:t>
      </w:r>
      <w:r w:rsidRPr="009E324A">
        <w:rPr>
          <w:szCs w:val="24"/>
          <w:lang w:val="en-GB"/>
        </w:rPr>
        <w:t>ainlyfrom Kenya</w:t>
      </w:r>
      <w:r w:rsidR="00E90242">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E90242">
        <w:rPr>
          <w:szCs w:val="24"/>
        </w:rPr>
        <w:fldChar w:fldCharType="separate"/>
      </w:r>
      <w:r w:rsidR="00312DFF">
        <w:rPr>
          <w:noProof/>
          <w:szCs w:val="24"/>
        </w:rPr>
        <w:t>(TRFK, 2002)</w:t>
      </w:r>
      <w:r w:rsidR="00E90242">
        <w:rPr>
          <w:szCs w:val="24"/>
        </w:rPr>
        <w:fldChar w:fldCharType="end"/>
      </w:r>
      <w:r>
        <w:rPr>
          <w:szCs w:val="24"/>
        </w:rPr>
        <w:t>,</w:t>
      </w:r>
      <w:r>
        <w:rPr>
          <w:szCs w:val="24"/>
          <w:lang w:val="en-GB"/>
        </w:rPr>
        <w:t>are used</w:t>
      </w:r>
      <w:r w:rsidRPr="009E324A">
        <w:rPr>
          <w:szCs w:val="24"/>
          <w:lang w:val="en-GB"/>
        </w:rPr>
        <w:t xml:space="preserve"> in </w:t>
      </w:r>
      <w:r>
        <w:rPr>
          <w:szCs w:val="24"/>
          <w:lang w:val="en-GB"/>
        </w:rPr>
        <w:t>the eastern</w:t>
      </w:r>
      <w:r w:rsidRPr="009E324A">
        <w:rPr>
          <w:szCs w:val="24"/>
          <w:lang w:val="en-GB"/>
        </w:rPr>
        <w:t xml:space="preserve"> Africa tea growing </w:t>
      </w:r>
      <w:r>
        <w:rPr>
          <w:szCs w:val="24"/>
          <w:lang w:val="en-GB"/>
        </w:rPr>
        <w:t>areas. F</w:t>
      </w:r>
      <w:r>
        <w:rPr>
          <w:szCs w:val="24"/>
        </w:rPr>
        <w:t xml:space="preserve">or example, </w:t>
      </w:r>
      <w:r w:rsidR="00AE0977" w:rsidRPr="009E324A">
        <w:rPr>
          <w:szCs w:val="24"/>
          <w:lang w:val="en-GB"/>
        </w:rPr>
        <w:t>nitrogen</w:t>
      </w:r>
      <w:r w:rsidRPr="009E324A">
        <w:rPr>
          <w:szCs w:val="24"/>
          <w:lang w:val="en-GB"/>
        </w:rPr>
        <w:t xml:space="preserve"> fertilizer </w:t>
      </w:r>
      <w:r>
        <w:rPr>
          <w:szCs w:val="24"/>
          <w:lang w:val="en-GB"/>
        </w:rPr>
        <w:t xml:space="preserve">application </w:t>
      </w:r>
      <w:r w:rsidRPr="009E324A">
        <w:rPr>
          <w:szCs w:val="24"/>
          <w:lang w:val="en-GB"/>
        </w:rPr>
        <w:t>rates vary between 100 and 250 kg N/ha/year</w:t>
      </w:r>
      <w:r w:rsidR="00E90242">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E90242">
        <w:rPr>
          <w:szCs w:val="24"/>
        </w:rPr>
        <w:fldChar w:fldCharType="separate"/>
      </w:r>
      <w:r w:rsidR="00312DFF">
        <w:rPr>
          <w:noProof/>
          <w:szCs w:val="24"/>
        </w:rPr>
        <w:t>(TRFK, 2002)</w:t>
      </w:r>
      <w:r w:rsidR="00E90242">
        <w:rPr>
          <w:szCs w:val="24"/>
        </w:rPr>
        <w:fldChar w:fldCharType="end"/>
      </w:r>
      <w:r>
        <w:rPr>
          <w:szCs w:val="24"/>
        </w:rPr>
        <w:t>. Similarly, c</w:t>
      </w:r>
      <w:r w:rsidRPr="002055B4">
        <w:rPr>
          <w:szCs w:val="24"/>
          <w:lang w:val="en-GB"/>
        </w:rPr>
        <w:t xml:space="preserve">lone TRFK 6/8 </w:t>
      </w:r>
      <w:r>
        <w:rPr>
          <w:szCs w:val="24"/>
          <w:lang w:val="en-GB"/>
        </w:rPr>
        <w:t xml:space="preserve">from Kenya is </w:t>
      </w:r>
      <w:r w:rsidRPr="002055B4">
        <w:rPr>
          <w:szCs w:val="24"/>
          <w:lang w:val="en-GB"/>
        </w:rPr>
        <w:t>widely grown</w:t>
      </w:r>
      <w:r>
        <w:rPr>
          <w:szCs w:val="24"/>
          <w:lang w:val="en-GB"/>
        </w:rPr>
        <w:t xml:space="preserve"> in eastern Africa</w:t>
      </w:r>
      <w:r w:rsidRPr="002055B4">
        <w:rPr>
          <w:szCs w:val="24"/>
          <w:lang w:val="en-GB"/>
        </w:rPr>
        <w:t xml:space="preserve">, constituting </w:t>
      </w:r>
      <w:r w:rsidR="00AE0977" w:rsidRPr="002055B4">
        <w:rPr>
          <w:szCs w:val="24"/>
          <w:lang w:val="en-GB"/>
        </w:rPr>
        <w:t>a</w:t>
      </w:r>
      <w:r w:rsidR="00AE0977">
        <w:rPr>
          <w:szCs w:val="24"/>
          <w:lang w:val="en-GB"/>
        </w:rPr>
        <w:t>pproximately</w:t>
      </w:r>
      <w:r w:rsidRPr="002055B4">
        <w:rPr>
          <w:szCs w:val="24"/>
          <w:lang w:val="en-GB"/>
        </w:rPr>
        <w:t xml:space="preserve"> 80% of tea in Rwanda, 60% of clonal</w:t>
      </w:r>
      <w:r w:rsidRPr="009E324A">
        <w:rPr>
          <w:szCs w:val="24"/>
          <w:lang w:val="en-GB"/>
        </w:rPr>
        <w:t xml:space="preserve"> tea in Kenya and 35-40% of tea in Tanzania </w:t>
      </w:r>
      <w:commentRangeStart w:id="5"/>
      <w:r w:rsidR="00E90242">
        <w:rPr>
          <w:szCs w:val="24"/>
          <w:lang w:val="en-GB"/>
        </w:rPr>
        <w:fldChar w:fldCharType="begin"/>
      </w:r>
      <w:r w:rsidR="00BD09B5">
        <w:rPr>
          <w:szCs w:val="24"/>
          <w:lang w:val="en-GB"/>
        </w:rPr>
        <w:instrText xml:space="preserve"> ADDIN EN.CITE &lt;EndNote&gt;&lt;Cite&gt;&lt;Author&gt;Owuor&lt;/Author&gt;&lt;Year&gt;2011&lt;/Year&gt;&lt;RecNum&gt;242&lt;/RecNum&gt;&lt;DisplayText&gt;(P.O. Owuor et al., 2011)&lt;/DisplayText&gt;&lt;record&gt;&lt;rec-number&gt;242&lt;/rec-number&gt;&lt;foreign-keys&gt;&lt;key app="EN" db-id="zx5vprwxa0rsabew9f9xp5fcs9tz0dzwa2fa" timestamp="1764098724"&gt;242&lt;/key&gt;&lt;/foreign-keys&gt;&lt;ref-type name="Book Section"&gt;5&lt;/ref-type&gt;&lt;contributors&gt;&lt;authors&gt;&lt;author&gt;Owuor, P.O.&lt;/author&gt;&lt;author&gt;Kamau, D.M.&lt;/author&gt;&lt;author&gt;Kamunya, S.M.&lt;/author&gt;&lt;author&gt;Msomba, S.W.&lt;/author&gt;&lt;author&gt;Uwimana, M.A.&lt;/author&gt;&lt;author&gt;Okal, A.W.&lt;/author&gt;&lt;author&gt;Kwach, B.O.&lt;/author&gt;&lt;/authors&gt;&lt;secondary-authors&gt;&lt;author&gt;Lichhouse E.&lt;/author&gt;&lt;/secondary-authors&gt;&lt;/contributors&gt;&lt;titles&gt;&lt;title&gt;Effects of genotype, environment and management on yields and quality of black tea&lt;/title&gt;&lt;secondary-title&gt;Genetics, Biofuels and Local Farming Systems: Sustainable Agriculture Reviews&lt;/secondary-title&gt;&lt;/titles&gt;&lt;pages&gt;277-307&lt;/pages&gt;&lt;volume&gt;7&lt;/volume&gt;&lt;dates&gt;&lt;year&gt;2011&lt;/year&gt;&lt;/dates&gt;&lt;pub-location&gt;Heidelberg&lt;/pub-location&gt;&lt;publisher&gt;Springer&lt;/publisher&gt;&lt;urls&gt;&lt;related-urls&gt;&lt;url&gt;&lt;style face="underline" font="default" size="100%"&gt;https://link.springer.com/chapter/10.1007/978-94-007-1521-9_10&lt;/style&gt;&lt;/url&gt;&lt;/related-urls&gt;&lt;/urls&gt;&lt;/record&gt;&lt;/Cite&gt;&lt;/EndNote&gt;</w:instrText>
      </w:r>
      <w:r w:rsidR="00E90242">
        <w:rPr>
          <w:szCs w:val="24"/>
          <w:lang w:val="en-GB"/>
        </w:rPr>
        <w:fldChar w:fldCharType="separate"/>
      </w:r>
      <w:r w:rsidR="00BE2D15">
        <w:rPr>
          <w:noProof/>
          <w:szCs w:val="24"/>
          <w:lang w:val="en-GB"/>
        </w:rPr>
        <w:t>(P.O. Owuor et al., 2011)</w:t>
      </w:r>
      <w:r w:rsidR="00E90242">
        <w:rPr>
          <w:szCs w:val="24"/>
          <w:lang w:val="en-GB"/>
        </w:rPr>
        <w:fldChar w:fldCharType="end"/>
      </w:r>
      <w:commentRangeEnd w:id="5"/>
      <w:r w:rsidR="004C14EF">
        <w:rPr>
          <w:rStyle w:val="Marquedecommentaire"/>
        </w:rPr>
        <w:commentReference w:id="5"/>
      </w:r>
      <w:r w:rsidRPr="007E5E50">
        <w:rPr>
          <w:szCs w:val="24"/>
        </w:rPr>
        <w:t xml:space="preserve">. </w:t>
      </w:r>
      <w:r>
        <w:rPr>
          <w:szCs w:val="24"/>
          <w:lang w:val="en-GB"/>
        </w:rPr>
        <w:t>T</w:t>
      </w:r>
      <w:r w:rsidRPr="009E324A">
        <w:rPr>
          <w:szCs w:val="24"/>
          <w:lang w:val="en-GB"/>
        </w:rPr>
        <w:t>he uniform</w:t>
      </w:r>
      <w:r>
        <w:rPr>
          <w:szCs w:val="24"/>
          <w:lang w:val="en-GB"/>
        </w:rPr>
        <w:t xml:space="preserve"> agronomic practices notwithstanding</w:t>
      </w:r>
      <w:r w:rsidRPr="009E324A">
        <w:rPr>
          <w:szCs w:val="24"/>
          <w:lang w:val="en-GB"/>
        </w:rPr>
        <w:t xml:space="preserve">, yields </w:t>
      </w:r>
      <w:r>
        <w:rPr>
          <w:szCs w:val="24"/>
          <w:lang w:val="en-GB"/>
        </w:rPr>
        <w:t xml:space="preserve">vary widely with locationof production </w:t>
      </w:r>
      <w:r w:rsidRPr="009E324A">
        <w:rPr>
          <w:szCs w:val="24"/>
          <w:lang w:val="en-GB"/>
        </w:rPr>
        <w:t>even in same c</w:t>
      </w:r>
      <w:r>
        <w:rPr>
          <w:szCs w:val="24"/>
          <w:lang w:val="en-GB"/>
        </w:rPr>
        <w:t xml:space="preserve">ultivar </w:t>
      </w:r>
      <w:r w:rsidR="00E90242">
        <w:rPr>
          <w:szCs w:val="24"/>
        </w:rPr>
        <w:fldChar w:fldCharType="begin">
          <w:fldData xml:space="preserve">PEVuZE5vdGU+PENpdGU+PEF1dGhvcj5Nc29tYmE8L0F1dGhvcj48WWVhcj4yMDE0PC9ZZWFyPjxS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</w:fldData>
        </w:fldChar>
      </w:r>
      <w:r w:rsidR="00CC5185">
        <w:rPr>
          <w:szCs w:val="24"/>
        </w:rPr>
        <w:instrText xml:space="preserve"> ADDIN EN.CITE </w:instrText>
      </w:r>
      <w:r w:rsidR="00E90242">
        <w:rPr>
          <w:szCs w:val="24"/>
        </w:rPr>
        <w:fldChar w:fldCharType="begin">
          <w:fldData xml:space="preserve">PEVuZE5vdGU+PENpdGU+PEF1dGhvcj5Nc29tYmE8L0F1dGhvcj48WWVhcj4yMDE0PC9ZZWFyPjxS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</w:fldData>
        </w:fldChar>
      </w:r>
      <w:r w:rsidR="00CC518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(Msomba et al., 2014; Owuor et al., 2013)</w:t>
      </w:r>
      <w:r w:rsidR="00E90242">
        <w:rPr>
          <w:szCs w:val="24"/>
        </w:rPr>
        <w:fldChar w:fldCharType="end"/>
      </w:r>
      <w:r>
        <w:rPr>
          <w:szCs w:val="24"/>
        </w:rPr>
        <w:t>.</w:t>
      </w:r>
      <w:r w:rsidRPr="009E324A">
        <w:rPr>
          <w:szCs w:val="24"/>
          <w:lang w:val="en-GB"/>
        </w:rPr>
        <w:t xml:space="preserve">Some recommendations may therefore be inappropriate in some </w:t>
      </w:r>
      <w:r>
        <w:rPr>
          <w:szCs w:val="24"/>
          <w:lang w:val="en-GB"/>
        </w:rPr>
        <w:lastRenderedPageBreak/>
        <w:t>locations</w:t>
      </w:r>
      <w:r w:rsidRPr="009E324A">
        <w:rPr>
          <w:szCs w:val="24"/>
          <w:lang w:val="en-GB"/>
        </w:rPr>
        <w:t xml:space="preserve">. </w:t>
      </w:r>
      <w:r>
        <w:rPr>
          <w:szCs w:val="24"/>
          <w:lang w:val="en-GB"/>
        </w:rPr>
        <w:t xml:space="preserve">Differences in yield </w:t>
      </w:r>
      <w:r w:rsidR="00E90242">
        <w:rPr>
          <w:szCs w:val="24"/>
          <w:lang w:val="en-GB"/>
        </w:rPr>
        <w:fldChar w:fldCharType="begin">
          <w:fldData xml:space="preserve">PEVuZE5vdGU+PENpdGU+PEF1dGhvcj5Nc29tYmE8L0F1dGhvcj48WWVhcj4yMDE0PC9ZZWFyPjxS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==
</w:fldData>
        </w:fldChar>
      </w:r>
      <w:r w:rsidR="00CC5185">
        <w:rPr>
          <w:szCs w:val="24"/>
          <w:lang w:val="en-GB"/>
        </w:rPr>
        <w:instrText xml:space="preserve"> ADDIN EN.CITE </w:instrText>
      </w:r>
      <w:r w:rsidR="00E90242">
        <w:rPr>
          <w:szCs w:val="24"/>
          <w:lang w:val="en-GB"/>
        </w:rPr>
        <w:fldChar w:fldCharType="begin">
          <w:fldData xml:space="preserve">PEVuZE5vdGU+PENpdGU+PEF1dGhvcj5Nc29tYmE8L0F1dGhvcj48WWVhcj4yMDE0PC9ZZWFyPjxS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==
</w:fldData>
        </w:fldChar>
      </w:r>
      <w:r w:rsidR="00CC5185">
        <w:rPr>
          <w:szCs w:val="24"/>
          <w:lang w:val="en-GB"/>
        </w:rPr>
        <w:instrText xml:space="preserve"> ADDIN EN.CITE.DATA </w:instrText>
      </w:r>
      <w:r w:rsidR="00E90242">
        <w:rPr>
          <w:szCs w:val="24"/>
          <w:lang w:val="en-GB"/>
        </w:rPr>
      </w:r>
      <w:r w:rsidR="00E90242">
        <w:rPr>
          <w:szCs w:val="24"/>
          <w:lang w:val="en-GB"/>
        </w:rPr>
        <w:fldChar w:fldCharType="end"/>
      </w:r>
      <w:r w:rsidR="00E90242">
        <w:rPr>
          <w:szCs w:val="24"/>
          <w:lang w:val="en-GB"/>
        </w:rPr>
      </w:r>
      <w:r w:rsidR="00E90242">
        <w:rPr>
          <w:szCs w:val="24"/>
          <w:lang w:val="en-GB"/>
        </w:rPr>
        <w:fldChar w:fldCharType="separate"/>
      </w:r>
      <w:r w:rsidR="00BE2D15">
        <w:rPr>
          <w:noProof/>
          <w:szCs w:val="24"/>
          <w:lang w:val="en-GB"/>
        </w:rPr>
        <w:t>(Msomba et al., 2014; Owuor et al., 2009, 2010; Owuor et al., 2013; P. O. Owuor et al., 2011)</w:t>
      </w:r>
      <w:r w:rsidR="00E90242">
        <w:rPr>
          <w:szCs w:val="24"/>
          <w:lang w:val="en-GB"/>
        </w:rPr>
        <w:fldChar w:fldCharType="end"/>
      </w:r>
      <w:r>
        <w:rPr>
          <w:szCs w:val="24"/>
          <w:lang w:val="en-GB"/>
        </w:rPr>
        <w:t xml:space="preserve">, quality </w:t>
      </w:r>
      <w:commentRangeStart w:id="6"/>
      <w:r w:rsidR="00E90242">
        <w:rPr>
          <w:szCs w:val="24"/>
          <w:lang w:val="en-GB"/>
        </w:rPr>
        <w:fldChar w:fldCharType="begin">
          <w:fldData xml:space="preserve">PEVuZE5vdGU+PENpdGU+PEF1dGhvcj5Pd3VvcjwvQXV0aG9yPjxZZWFyPjIwMDk8L1llYXI+PFJl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</w:fldData>
        </w:fldChar>
      </w:r>
      <w:r w:rsidR="00CC5185">
        <w:rPr>
          <w:szCs w:val="24"/>
          <w:lang w:val="en-GB"/>
        </w:rPr>
        <w:instrText xml:space="preserve"> ADDIN EN.CITE </w:instrText>
      </w:r>
      <w:r w:rsidR="00E90242">
        <w:rPr>
          <w:szCs w:val="24"/>
          <w:lang w:val="en-GB"/>
        </w:rPr>
        <w:fldChar w:fldCharType="begin">
          <w:fldData xml:space="preserve">PEVuZE5vdGU+PENpdGU+PEF1dGhvcj5Pd3VvcjwvQXV0aG9yPjxZZWFyPjIwMDk8L1llYXI+PFJl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</w:fldData>
        </w:fldChar>
      </w:r>
      <w:r w:rsidR="00CC5185">
        <w:rPr>
          <w:szCs w:val="24"/>
          <w:lang w:val="en-GB"/>
        </w:rPr>
        <w:instrText xml:space="preserve"> ADDIN EN.CITE.DATA </w:instrText>
      </w:r>
      <w:r w:rsidR="00E90242">
        <w:rPr>
          <w:szCs w:val="24"/>
          <w:lang w:val="en-GB"/>
        </w:rPr>
      </w:r>
      <w:r w:rsidR="00E90242">
        <w:rPr>
          <w:szCs w:val="24"/>
          <w:lang w:val="en-GB"/>
        </w:rPr>
        <w:fldChar w:fldCharType="end"/>
      </w:r>
      <w:r w:rsidR="00E90242">
        <w:rPr>
          <w:szCs w:val="24"/>
          <w:lang w:val="en-GB"/>
        </w:rPr>
      </w:r>
      <w:r w:rsidR="00E90242">
        <w:rPr>
          <w:szCs w:val="24"/>
          <w:lang w:val="en-GB"/>
        </w:rPr>
        <w:fldChar w:fldCharType="separate"/>
      </w:r>
      <w:r w:rsidR="00BE2D15">
        <w:rPr>
          <w:noProof/>
          <w:szCs w:val="24"/>
          <w:lang w:val="en-GB"/>
        </w:rPr>
        <w:t>(Owuor et al., 2009, 2010; Owuor et al., 2013; P. O. Owuor et al., 2011)</w:t>
      </w:r>
      <w:r w:rsidR="00E90242">
        <w:rPr>
          <w:szCs w:val="24"/>
          <w:lang w:val="en-GB"/>
        </w:rPr>
        <w:fldChar w:fldCharType="end"/>
      </w:r>
      <w:commentRangeEnd w:id="6"/>
      <w:r w:rsidR="004C14EF">
        <w:rPr>
          <w:rStyle w:val="Marquedecommentaire"/>
        </w:rPr>
        <w:commentReference w:id="6"/>
      </w:r>
      <w:r>
        <w:rPr>
          <w:szCs w:val="24"/>
          <w:lang w:val="en-GB"/>
        </w:rPr>
        <w:t xml:space="preserve">, precursor tea quality parameters </w:t>
      </w:r>
      <w:r w:rsidR="00E90242">
        <w:rPr>
          <w:szCs w:val="24"/>
          <w:lang w:val="en-GB"/>
        </w:rPr>
        <w:fldChar w:fldCharType="begin"/>
      </w:r>
      <w:r w:rsidR="00CC5185">
        <w:rPr>
          <w:szCs w:val="24"/>
          <w:lang w:val="en-GB"/>
        </w:rPr>
        <w:instrText xml:space="preserve"> ADDIN EN.CITE &lt;EndNote&gt;&lt;Cite&gt;&lt;Author&gt;Kwach&lt;/Author&gt;&lt;Year&gt;2016&lt;/Year&gt;&lt;RecNum&gt;127&lt;/RecNum&gt;&lt;DisplayText&gt;(Kwach et al., 2016; Okal et al., 2012)&lt;/DisplayText&gt;&lt;record&gt;&lt;rec-number&gt;127&lt;/rec-number&gt;&lt;foreign-keys&gt;&lt;key app="EN" db-id="zx5vprwxa0rsabew9f9xp5fcs9tz0dzwa2fa" timestamp="1595788962"&gt;127&lt;/key&gt;&lt;/foreign-keys&gt;&lt;ref-type name="Journal Article"&gt;17&lt;/ref-type&gt;&lt;contributors&gt;&lt;authors&gt;&lt;author&gt;Kwach, B. O.&lt;/author&gt;&lt;author&gt;Owuor, P. O.&lt;/author&gt;&lt;author&gt;Kamau, D. M.&lt;/author&gt;&lt;author&gt;Msomba, S. W.&lt;/author&gt;&lt;author&gt;Uwimana, M. A.&lt;/author&gt;&lt;/authors&gt;&lt;/contributors&gt;&lt;titles&gt;&lt;title&gt;Variations in the precursors of plain black tea quality parameters due to location of production and nitrogen fertilizer rates in Eastern African clonal tea leaves&lt;/title&gt;&lt;secondary-title&gt;Experimental Agriculture&lt;/secondary-title&gt;&lt;/titles&gt;&lt;periodical&gt;&lt;full-title&gt;Experimental Agriculture&lt;/full-title&gt;&lt;/periodical&gt;&lt;pages&gt;266-278&lt;/pages&gt;&lt;volume&gt;52&lt;/volume&gt;&lt;number&gt;2&lt;/number&gt;&lt;dates&gt;&lt;year&gt;2016&lt;/year&gt;&lt;/dates&gt;&lt;urls&gt;&lt;/urls&gt;&lt;electronic-resource-num&gt;https://doi.org/10.1017/S0014479715000083&lt;/electronic-resource-num&gt;&lt;/record&gt;&lt;/Cite&gt;&lt;Cite&gt;&lt;Author&gt;Okal&lt;/Author&gt;&lt;Year&gt;2012&lt;/Year&gt;&lt;RecNum&gt;105&lt;/RecNum&gt;&lt;record&gt;&lt;rec-number&gt;105&lt;/rec-number&gt;&lt;foreign-keys&gt;&lt;key app="EN" db-id="zx5vprwxa0rsabew9f9xp5fcs9tz0dzwa2fa" timestamp="1595649050"&gt;105&lt;/key&gt;&lt;/foreign-keys&gt;&lt;ref-type name="Journal Article"&gt;17&lt;/ref-type&gt;&lt;contributors&gt;&lt;authors&gt;&lt;author&gt;Okal, A. W.&lt;/author&gt;&lt;author&gt;Owuor, P. O.&lt;/author&gt;&lt;author&gt;Kamau, D. M.&lt;/author&gt;&lt;author&gt;Manguro,  L. A. O.&lt;/author&gt;&lt;/authors&gt;&lt;/contributors&gt;&lt;titles&gt;&lt;title&gt;Effect of production, location and plucking interval on fatty acids concentration in clonal tea&lt;/title&gt;&lt;secondary-title&gt;Food Science and Technology Research&lt;/secondary-title&gt;&lt;/titles&gt;&lt;periodical&gt;&lt;full-title&gt;Food Science and Technology Research&lt;/full-title&gt;&lt;/periodical&gt;&lt;pages&gt;351-356&lt;/pages&gt;&lt;volume&gt;18&lt;/volume&gt;&lt;number&gt;3&lt;/number&gt;&lt;dates&gt;&lt;year&gt;2012&lt;/year&gt;&lt;/dates&gt;&lt;urls&gt;&lt;/urls&gt;&lt;electronic-resource-num&gt;https://doi.org/10.3136/fstr.18.351&lt;/electronic-resource-num&gt;&lt;/record&gt;&lt;/Cite&gt;&lt;/EndNote&gt;</w:instrText>
      </w:r>
      <w:r w:rsidR="00E90242">
        <w:rPr>
          <w:szCs w:val="24"/>
          <w:lang w:val="en-GB"/>
        </w:rPr>
        <w:fldChar w:fldCharType="separate"/>
      </w:r>
      <w:r w:rsidR="00BE2D15">
        <w:rPr>
          <w:noProof/>
          <w:szCs w:val="24"/>
          <w:lang w:val="en-GB"/>
        </w:rPr>
        <w:t>(Kwach et al., 2016; Okal et al., 2012)</w:t>
      </w:r>
      <w:r w:rsidR="00E90242">
        <w:rPr>
          <w:szCs w:val="24"/>
          <w:lang w:val="en-GB"/>
        </w:rPr>
        <w:fldChar w:fldCharType="end"/>
      </w:r>
      <w:r>
        <w:rPr>
          <w:szCs w:val="24"/>
          <w:lang w:val="en-GB"/>
        </w:rPr>
        <w:t xml:space="preserve">, leaf nutrients </w:t>
      </w:r>
      <w:r w:rsidR="00E90242">
        <w:rPr>
          <w:szCs w:val="24"/>
          <w:lang w:val="en-GB"/>
        </w:rPr>
        <w:fldChar w:fldCharType="begin"/>
      </w:r>
      <w:r w:rsidR="00BD09B5">
        <w:rPr>
          <w:szCs w:val="24"/>
          <w:lang w:val="en-GB"/>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E90242">
        <w:rPr>
          <w:szCs w:val="24"/>
          <w:lang w:val="en-GB"/>
        </w:rPr>
        <w:fldChar w:fldCharType="separate"/>
      </w:r>
      <w:r w:rsidR="00BE2D15">
        <w:rPr>
          <w:noProof/>
          <w:szCs w:val="24"/>
          <w:lang w:val="en-GB"/>
        </w:rPr>
        <w:t>(Kwach et al., 2014)</w:t>
      </w:r>
      <w:r w:rsidR="00E90242">
        <w:rPr>
          <w:szCs w:val="24"/>
          <w:lang w:val="en-GB"/>
        </w:rPr>
        <w:fldChar w:fldCharType="end"/>
      </w:r>
      <w:r>
        <w:rPr>
          <w:szCs w:val="24"/>
          <w:lang w:val="en-GB"/>
        </w:rPr>
        <w:t xml:space="preserve"> and soil nitrogen, pH and organic carbon </w:t>
      </w:r>
      <w:r w:rsidR="00E90242">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E90242">
        <w:rPr>
          <w:szCs w:val="24"/>
          <w:lang w:val="en-GB"/>
        </w:rPr>
        <w:fldChar w:fldCharType="separate"/>
      </w:r>
      <w:r w:rsidR="00BE2D15">
        <w:rPr>
          <w:noProof/>
          <w:szCs w:val="24"/>
          <w:lang w:val="en-GB"/>
        </w:rPr>
        <w:t>(Ombori et al., 2020)</w:t>
      </w:r>
      <w:r w:rsidR="00E90242">
        <w:rPr>
          <w:szCs w:val="24"/>
          <w:lang w:val="en-GB"/>
        </w:rPr>
        <w:fldChar w:fldCharType="end"/>
      </w:r>
      <w:r>
        <w:rPr>
          <w:szCs w:val="24"/>
          <w:lang w:val="en-GB"/>
        </w:rPr>
        <w:t xml:space="preserve"> with geographical area of production have been observed in the same cultivars. The differences in productivity and quality could in part be arising from the variations of soil nutrients, including calcium, magnesium and manganese. Indeed, the variations intea </w:t>
      </w:r>
      <w:r w:rsidRPr="009E324A">
        <w:rPr>
          <w:szCs w:val="24"/>
          <w:lang w:val="en-GB"/>
        </w:rPr>
        <w:t>soil</w:t>
      </w:r>
      <w:r>
        <w:rPr>
          <w:szCs w:val="24"/>
          <w:lang w:val="en-GB"/>
        </w:rPr>
        <w:t xml:space="preserve"> calcium, magnesium and manganese</w:t>
      </w:r>
      <w:r w:rsidRPr="009E324A">
        <w:rPr>
          <w:szCs w:val="24"/>
          <w:lang w:val="en-GB"/>
        </w:rPr>
        <w:t xml:space="preserve"> levels </w:t>
      </w:r>
      <w:r>
        <w:rPr>
          <w:szCs w:val="24"/>
          <w:lang w:val="en-GB"/>
        </w:rPr>
        <w:t>in different locations within eastern Africa receiving similar agronomic inputs are not documented</w:t>
      </w:r>
      <w:r w:rsidRPr="007E5E50">
        <w:rPr>
          <w:szCs w:val="24"/>
        </w:rPr>
        <w:t>.</w:t>
      </w:r>
    </w:p>
    <w:p w:rsidR="00E06FCB" w:rsidRDefault="00E06FCB" w:rsidP="00E06FCB">
      <w:pPr>
        <w:autoSpaceDE w:val="0"/>
        <w:autoSpaceDN w:val="0"/>
        <w:adjustRightInd w:val="0"/>
        <w:spacing w:line="360" w:lineRule="auto"/>
        <w:rPr>
          <w:szCs w:val="24"/>
        </w:rPr>
      </w:pPr>
      <w:r>
        <w:rPr>
          <w:szCs w:val="24"/>
        </w:rPr>
        <w:t>C</w:t>
      </w:r>
      <w:r w:rsidRPr="007E5E50">
        <w:rPr>
          <w:szCs w:val="24"/>
        </w:rPr>
        <w:t xml:space="preserve">alcium, </w:t>
      </w:r>
      <w:r w:rsidR="00E90242">
        <w:rPr>
          <w:szCs w:val="24"/>
        </w:rPr>
        <w:fldChar w:fldCharType="begin">
          <w:fldData xml:space="preserve">PEVuZE5vdGU+PENpdGU+PEF1dGhvcj5SdWFuPC9BdXRob3I+PFllYXI+MjAwNDwvWWVhcj48UmVj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</w:fldData>
        </w:fldChar>
      </w:r>
      <w:r w:rsidR="00BD09B5">
        <w:rPr>
          <w:szCs w:val="24"/>
        </w:rPr>
        <w:instrText xml:space="preserve"> ADDIN EN.CITE </w:instrText>
      </w:r>
      <w:r w:rsidR="00E90242">
        <w:rPr>
          <w:szCs w:val="24"/>
        </w:rPr>
        <w:fldChar w:fldCharType="begin">
          <w:fldData xml:space="preserve">PEVuZE5vdGU+PENpdGU+PEF1dGhvcj5SdWFuPC9BdXRob3I+PFllYXI+MjAwNDwvWWVhcj48UmVj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</w:fldData>
        </w:fldChar>
      </w:r>
      <w:r w:rsidR="00BD09B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(Fung &amp; Wong, 2004; Ruan et al., 2004)</w:t>
      </w:r>
      <w:r w:rsidR="00E90242">
        <w:rPr>
          <w:szCs w:val="24"/>
        </w:rPr>
        <w:fldChar w:fldCharType="end"/>
      </w:r>
      <w:r w:rsidRPr="007E5E50">
        <w:rPr>
          <w:szCs w:val="24"/>
        </w:rPr>
        <w:t>magnesium</w:t>
      </w:r>
      <w:r w:rsidR="00E90242">
        <w:rPr>
          <w:szCs w:val="24"/>
        </w:rPr>
        <w:fldChar w:fldCharType="begin">
          <w:fldData xml:space="preserve">PEVuZE5vdGU+PENpdGU+PEF1dGhvcj5MaTwvQXV0aG9yPjxZZWFyPjIwMjE8L1llYXI+PFJlY051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</w:fldData>
        </w:fldChar>
      </w:r>
      <w:r w:rsidR="00BD09B5">
        <w:rPr>
          <w:szCs w:val="24"/>
        </w:rPr>
        <w:instrText xml:space="preserve"> ADDIN EN.CITE </w:instrText>
      </w:r>
      <w:r w:rsidR="00E90242">
        <w:rPr>
          <w:szCs w:val="24"/>
        </w:rPr>
        <w:fldChar w:fldCharType="begin">
          <w:fldData xml:space="preserve">PEVuZE5vdGU+PENpdGU+PEF1dGhvcj5MaTwvQXV0aG9yPjxZZWFyPjIwMjE8L1llYXI+PFJlY051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</w:fldData>
        </w:fldChar>
      </w:r>
      <w:r w:rsidR="00BD09B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(He et al., 2023; Li et al., 2021; Zhang et al., 2023)</w:t>
      </w:r>
      <w:r w:rsidR="00E90242">
        <w:rPr>
          <w:szCs w:val="24"/>
        </w:rPr>
        <w:fldChar w:fldCharType="end"/>
      </w:r>
      <w:r>
        <w:rPr>
          <w:szCs w:val="24"/>
        </w:rPr>
        <w:t xml:space="preserve"> and manganese</w:t>
      </w:r>
      <w:r w:rsidR="00E90242">
        <w:rPr>
          <w:szCs w:val="24"/>
        </w:rPr>
        <w:fldChar w:fldCharType="begin"/>
      </w:r>
      <w:r w:rsidR="00BD09B5">
        <w:rPr>
          <w:szCs w:val="24"/>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sidR="00E90242">
        <w:rPr>
          <w:szCs w:val="24"/>
        </w:rPr>
        <w:fldChar w:fldCharType="separate"/>
      </w:r>
      <w:r w:rsidR="00312DFF">
        <w:rPr>
          <w:noProof/>
          <w:szCs w:val="24"/>
        </w:rPr>
        <w:t>(Hajiboland, 2018)</w:t>
      </w:r>
      <w:r w:rsidR="00E90242">
        <w:rPr>
          <w:szCs w:val="24"/>
        </w:rPr>
        <w:fldChar w:fldCharType="end"/>
      </w:r>
      <w:r w:rsidRPr="007E5E50">
        <w:rPr>
          <w:szCs w:val="24"/>
        </w:rPr>
        <w:t xml:space="preserve">play </w:t>
      </w:r>
      <w:r>
        <w:rPr>
          <w:szCs w:val="24"/>
        </w:rPr>
        <w:t>important</w:t>
      </w:r>
      <w:r w:rsidRPr="007E5E50">
        <w:rPr>
          <w:szCs w:val="24"/>
        </w:rPr>
        <w:t xml:space="preserve"> functions in </w:t>
      </w:r>
      <w:r>
        <w:rPr>
          <w:szCs w:val="24"/>
        </w:rPr>
        <w:t>the</w:t>
      </w:r>
      <w:r w:rsidRPr="007E5E50">
        <w:rPr>
          <w:szCs w:val="24"/>
        </w:rPr>
        <w:t xml:space="preserve"> development of plant tissues and yields.</w:t>
      </w:r>
      <w:r>
        <w:rPr>
          <w:szCs w:val="24"/>
        </w:rPr>
        <w:t xml:space="preserve"> Large amount of these nutrients </w:t>
      </w:r>
      <w:r w:rsidRPr="007E5E50">
        <w:rPr>
          <w:szCs w:val="24"/>
        </w:rPr>
        <w:t xml:space="preserve">are </w:t>
      </w:r>
      <w:r>
        <w:rPr>
          <w:szCs w:val="24"/>
        </w:rPr>
        <w:t xml:space="preserve">harvested with crop </w:t>
      </w:r>
      <w:r w:rsidR="00E90242">
        <w:rPr>
          <w:szCs w:val="24"/>
        </w:rPr>
        <w:fldChar w:fldCharType="begin"/>
      </w:r>
      <w:r w:rsidR="00BD09B5">
        <w:rPr>
          <w:szCs w:val="24"/>
        </w:rPr>
        <w:instrText xml:space="preserve"> ADDIN EN.CITE &lt;EndNote&gt;&lt;Cite&gt;&lt;Author&gt;Pongrac&lt;/Author&gt;&lt;Year&gt;2020&lt;/Year&gt;&lt;RecNum&gt;202&lt;/RecNum&gt;&lt;DisplayText&gt;(Pongrac et al., 2020)&lt;/DisplayText&gt;&lt;record&gt;&lt;rec-number&gt;202&lt;/rec-number&gt;&lt;foreign-keys&gt;&lt;key app="EN" db-id="zx5vprwxa0rsabew9f9xp5fcs9tz0dzwa2fa" timestamp="1757536009"&gt;202&lt;/key&gt;&lt;/foreign-keys&gt;&lt;ref-type name="Journal Article"&gt;17&lt;/ref-type&gt;&lt;contributors&gt;&lt;authors&gt;&lt;author&gt;Pongrac, Paula&lt;/author&gt;&lt;author&gt;Tolra, Roser&lt;/author&gt;&lt;author&gt;Hajiboland, Roghieh&lt;/author&gt;&lt;author&gt;&lt;style face="normal" font="default" size="100%"&gt;Vogel-Miku&lt;/style&gt;&lt;style face="normal" font="default" charset="238" size="100%"&gt;š, Katarina&lt;/style&gt;&lt;/author&gt;&lt;author&gt;&lt;style face="normal" font="default" charset="238" size="100%"&gt;Kelemen, Mitja&lt;/style&gt;&lt;/author&gt;&lt;author&gt;&lt;style face="normal" font="default" charset="238" size="100%"&gt;Vavpetič, Primož&lt;/style&gt;&lt;/author&gt;&lt;author&gt;&lt;style face="normal" font="default" charset="238" size="100%"&gt;Pelicon, Primož&lt;/style&gt;&lt;/author&gt;&lt;author&gt;&lt;style face="normal" font="default" charset="238" size="100%"&gt;Barcelo, Juan&lt;/style&gt;&lt;/author&gt;&lt;author&gt;&lt;style face="normal" font="default" charset="238" size="100%"&gt;Regvar, Marjana&lt;/style&gt;&lt;/author&gt;&lt;author&gt;&lt;style face="normal" font="default" charset="238" size="100%"&gt;Poschenrieder, Charlotte&lt;/style&gt;&lt;/author&gt;&lt;/authors&gt;&lt;/contributors&gt;&lt;titles&gt;&lt;title&gt;&lt;style face="normal" font="default" size="100%"&gt;Contrasting allocation of magnesium, calcium and manganese in leaves of tea (&lt;/style&gt;&lt;style face="italic" font="default" size="100%"&gt;Camellia sinensis&lt;/style&gt;&lt;style face="normal" font="default" size="100%"&gt; (L.) Kuntze) plants may explain their different extraction efficiency into tea&lt;/style&gt;&lt;/title&gt;&lt;secondary-title&gt;Food and Chemical Toxicology&lt;/secondary-title&gt;&lt;/titles&gt;&lt;periodical&gt;&lt;full-title&gt;Food and Chemical Toxicology&lt;/full-title&gt;&lt;/periodical&gt;&lt;pages&gt;110974&lt;/pages&gt;&lt;volume&gt;135&lt;/volume&gt;&lt;dates&gt;&lt;year&gt;2020&lt;/year&gt;&lt;/dates&gt;&lt;isbn&gt;0278-6915&lt;/isbn&gt;&lt;urls&gt;&lt;/urls&gt;&lt;electronic-resource-num&gt;https://doi.org/10.1016/j.fct.2019.110974&lt;/electronic-resource-num&gt;&lt;/record&gt;&lt;/Cite&gt;&lt;/EndNote&gt;</w:instrText>
      </w:r>
      <w:r w:rsidR="00E90242">
        <w:rPr>
          <w:szCs w:val="24"/>
        </w:rPr>
        <w:fldChar w:fldCharType="separate"/>
      </w:r>
      <w:r w:rsidR="00BE2D15">
        <w:rPr>
          <w:noProof/>
          <w:szCs w:val="24"/>
        </w:rPr>
        <w:t>(Pongrac et al., 2020)</w:t>
      </w:r>
      <w:r w:rsidR="00E90242">
        <w:rPr>
          <w:szCs w:val="24"/>
        </w:rPr>
        <w:fldChar w:fldCharType="end"/>
      </w:r>
      <w:r>
        <w:rPr>
          <w:szCs w:val="24"/>
        </w:rPr>
        <w:t xml:space="preserve">, leached or washed off as surface run offs </w:t>
      </w:r>
      <w:r w:rsidR="00E90242">
        <w:rPr>
          <w:szCs w:val="24"/>
        </w:rPr>
        <w:fldChar w:fldCharType="begin"/>
      </w:r>
      <w:r w:rsidR="00BD09B5">
        <w:rPr>
          <w:szCs w:val="24"/>
        </w:rPr>
        <w:instrText xml:space="preserve"> ADDIN EN.CITE &lt;EndNote&gt;&lt;Cite&gt;&lt;Author&gt;Liu&lt;/Author&gt;&lt;Year&gt;2012&lt;/Year&gt;&lt;RecNum&gt;203&lt;/RecNum&gt;&lt;DisplayText&gt;(Liu et al., 2012)&lt;/DisplayText&gt;&lt;record&gt;&lt;rec-number&gt;203&lt;/rec-number&gt;&lt;foreign-keys&gt;&lt;key app="EN" db-id="zx5vprwxa0rsabew9f9xp5fcs9tz0dzwa2fa" timestamp="1757536301"&gt;203&lt;/key&gt;&lt;/foreign-keys&gt;&lt;ref-type name="Journal Article"&gt;17&lt;/ref-type&gt;&lt;contributors&gt;&lt;authors&gt;&lt;author&gt;Liu, Zong’an&lt;/author&gt;&lt;author&gt;Yang, Jingping&lt;/author&gt;&lt;author&gt;Yang, Zhengchao&lt;/author&gt;&lt;author&gt;Zou, Junliang&lt;/author&gt;&lt;/authors&gt;&lt;/contributors&gt;&lt;titles&gt;&lt;title&gt;Effects of rainfall and fertilizer types on nitrogen and phosphorus concentrations in surface runoff from subtropical tea fields in Zhejiang, China&lt;/title&gt;&lt;secondary-title&gt;Nutrient Cycling in Agroecosystems&lt;/secondary-title&gt;&lt;/titles&gt;&lt;periodical&gt;&lt;full-title&gt;Nutrient Cycling in Agroecosystems&lt;/full-title&gt;&lt;/periodical&gt;&lt;pages&gt;297-307&lt;/pages&gt;&lt;volume&gt;93&lt;/volume&gt;&lt;number&gt;3&lt;/number&gt;&lt;dates&gt;&lt;year&gt;2012&lt;/year&gt;&lt;/dates&gt;&lt;isbn&gt;1385-1314&lt;/isbn&gt;&lt;urls&gt;&lt;/urls&gt;&lt;electronic-resource-num&gt;https://doi.org/10.1007/s10705-012-9517-x&lt;/electronic-resource-num&gt;&lt;/record&gt;&lt;/Cite&gt;&lt;/EndNote&gt;</w:instrText>
      </w:r>
      <w:r w:rsidR="00E90242">
        <w:rPr>
          <w:szCs w:val="24"/>
        </w:rPr>
        <w:fldChar w:fldCharType="separate"/>
      </w:r>
      <w:r w:rsidR="00BE2D15">
        <w:rPr>
          <w:noProof/>
          <w:szCs w:val="24"/>
        </w:rPr>
        <w:t>(Liu et al., 2012)</w:t>
      </w:r>
      <w:r w:rsidR="00E90242">
        <w:rPr>
          <w:szCs w:val="24"/>
        </w:rPr>
        <w:fldChar w:fldCharType="end"/>
      </w:r>
      <w:r w:rsidRPr="007E5E50">
        <w:rPr>
          <w:szCs w:val="24"/>
        </w:rPr>
        <w:t xml:space="preserve">. </w:t>
      </w:r>
      <w:r>
        <w:rPr>
          <w:szCs w:val="24"/>
        </w:rPr>
        <w:t xml:space="preserve">Although excessive calcium in the soil may raise soil pH to beyond levels suitable for growing tea </w:t>
      </w:r>
      <w:r w:rsidR="00E90242">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E90242">
        <w:rPr>
          <w:szCs w:val="24"/>
        </w:rPr>
        <w:fldChar w:fldCharType="separate"/>
      </w:r>
      <w:r w:rsidR="00312DFF">
        <w:rPr>
          <w:noProof/>
          <w:szCs w:val="24"/>
        </w:rPr>
        <w:t>(TRFK, 2002)</w:t>
      </w:r>
      <w:r w:rsidR="00E90242">
        <w:rPr>
          <w:szCs w:val="24"/>
        </w:rPr>
        <w:fldChar w:fldCharType="end"/>
      </w:r>
      <w:r>
        <w:rPr>
          <w:szCs w:val="24"/>
        </w:rPr>
        <w:t xml:space="preserve"> and cause tea root damage </w:t>
      </w:r>
      <w:r w:rsidR="00E90242">
        <w:rPr>
          <w:szCs w:val="24"/>
        </w:rPr>
        <w:fldChar w:fldCharType="begin"/>
      </w:r>
      <w:r w:rsidR="00BD09B5">
        <w:rPr>
          <w:szCs w:val="24"/>
        </w:rPr>
        <w:instrText xml:space="preserve"> ADDIN EN.CITE &lt;EndNote&gt;&lt;Cite&gt;&lt;Author&gt;Liang&lt;/Author&gt;&lt;Year&gt;2021&lt;/Year&gt;&lt;RecNum&gt;205&lt;/RecNum&gt;&lt;DisplayText&gt;(Liang et al., 2021)&lt;/DisplayText&gt;&lt;record&gt;&lt;rec-number&gt;205&lt;/rec-number&gt;&lt;foreign-keys&gt;&lt;key app="EN" db-id="zx5vprwxa0rsabew9f9xp5fcs9tz0dzwa2fa" timestamp="1757537280"&gt;205&lt;/key&gt;&lt;/foreign-keys&gt;&lt;ref-type name="Journal Article"&gt;17&lt;/ref-type&gt;&lt;contributors&gt;&lt;authors&gt;&lt;author&gt;Liang, Li‐Li&lt;/author&gt;&lt;author&gt;Song, Ya‐kang&lt;/author&gt;&lt;author&gt;Qian, Wen‐jun&lt;/author&gt;&lt;author&gt;Ruan, Jian‐yun&lt;/author&gt;&lt;author&gt;Ding, Zhao‐Tang&lt;/author&gt;&lt;author&gt;Zhang, Qun‐feng&lt;/author&gt;&lt;author&gt;Hu, Jian‐hui&lt;/author&gt;&lt;/authors&gt;&lt;/contributors&gt;&lt;titles&gt;&lt;title&gt;Metabolomics analysis reveals the responses of tea plants to excessive calcium&lt;/title&gt;&lt;secondary-title&gt;Journal of the Science of Food and Agriculture&lt;/secondary-title&gt;&lt;/titles&gt;&lt;periodical&gt;&lt;full-title&gt;Journal of the Science of Food and Agriculture&lt;/full-title&gt;&lt;/periodical&gt;&lt;pages&gt;5678-5687&lt;/pages&gt;&lt;volume&gt;101&lt;/volume&gt;&lt;number&gt;13&lt;/number&gt;&lt;dates&gt;&lt;year&gt;2021&lt;/year&gt;&lt;/dates&gt;&lt;isbn&gt;0022-5142&lt;/isbn&gt;&lt;urls&gt;&lt;/urls&gt;&lt;electronic-resource-num&gt; https://doi.org/10.1002/jsfa.11222&lt;/electronic-resource-num&gt;&lt;/record&gt;&lt;/Cite&gt;&lt;/EndNote&gt;</w:instrText>
      </w:r>
      <w:r w:rsidR="00E90242">
        <w:rPr>
          <w:szCs w:val="24"/>
        </w:rPr>
        <w:fldChar w:fldCharType="separate"/>
      </w:r>
      <w:r w:rsidR="00BE2D15">
        <w:rPr>
          <w:noProof/>
          <w:szCs w:val="24"/>
        </w:rPr>
        <w:t>(Liang et al., 2021)</w:t>
      </w:r>
      <w:r w:rsidR="00E90242">
        <w:rPr>
          <w:szCs w:val="24"/>
        </w:rPr>
        <w:fldChar w:fldCharType="end"/>
      </w:r>
      <w:r>
        <w:rPr>
          <w:szCs w:val="24"/>
        </w:rPr>
        <w:t xml:space="preserve"> thereby reducing productivity, adequate levels of calcium helps the tea plant to withstand drought related stress </w:t>
      </w:r>
      <w:r w:rsidR="00E90242">
        <w:rPr>
          <w:szCs w:val="24"/>
        </w:rPr>
        <w:fldChar w:fldCharType="begin"/>
      </w:r>
      <w:r w:rsidR="00BD09B5">
        <w:rPr>
          <w:szCs w:val="24"/>
        </w:rPr>
        <w:instrText xml:space="preserve"> ADDIN EN.CITE &lt;EndNote&gt;&lt;Cite&gt;&lt;Author&gt;Oh&lt;/Author&gt;&lt;Year&gt;2006&lt;/Year&gt;&lt;RecNum&gt;204&lt;/RecNum&gt;&lt;DisplayText&gt;(Oh et al., 2006)&lt;/DisplayText&gt;&lt;record&gt;&lt;rec-number&gt;204&lt;/rec-number&gt;&lt;foreign-keys&gt;&lt;key app="EN" db-id="zx5vprwxa0rsabew9f9xp5fcs9tz0dzwa2fa" timestamp="1757536900"&gt;204&lt;/key&gt;&lt;/foreign-keys&gt;&lt;ref-type name="Journal Article"&gt;17&lt;/ref-type&gt;&lt;contributors&gt;&lt;authors&gt;&lt;author&gt;Oh, K.&lt;/author&gt;&lt;author&gt;Kato, T.&lt;/author&gt;&lt;author&gt;Zhong-Pei, Li&lt;/author&gt;&lt;author&gt;Fa-Yun, Li&lt;/author&gt;&lt;/authors&gt;&lt;/contributors&gt;&lt;titles&gt;&lt;title&gt;Environmental problems from tea cultivation in Japan and a control measure using calcium cyanamide&lt;/title&gt;&lt;secondary-title&gt;Pedosphere&lt;/secondary-title&gt;&lt;/titles&gt;&lt;periodical&gt;&lt;full-title&gt;Pedosphere&lt;/full-title&gt;&lt;/periodical&gt;&lt;pages&gt;770-777&lt;/pages&gt;&lt;volume&gt;16&lt;/volume&gt;&lt;number&gt;6&lt;/number&gt;&lt;dates&gt;&lt;year&gt;2006&lt;/year&gt;&lt;/dates&gt;&lt;publisher&gt;Elsevier&lt;/publisher&gt;&lt;isbn&gt;1002-0160&lt;/isbn&gt;&lt;urls&gt;&lt;/urls&gt;&lt;electronic-resource-num&gt;https://doi.org/10.1016/S1002-0160(06)60113-6&lt;/electronic-resource-num&gt;&lt;/record&gt;&lt;/Cite&gt;&lt;/EndNote&gt;</w:instrText>
      </w:r>
      <w:r w:rsidR="00E90242">
        <w:rPr>
          <w:szCs w:val="24"/>
        </w:rPr>
        <w:fldChar w:fldCharType="separate"/>
      </w:r>
      <w:r w:rsidR="00BE2D15">
        <w:rPr>
          <w:noProof/>
          <w:szCs w:val="24"/>
        </w:rPr>
        <w:t>(Oh et al., 2006)</w:t>
      </w:r>
      <w:r w:rsidR="00E90242">
        <w:rPr>
          <w:szCs w:val="24"/>
        </w:rPr>
        <w:fldChar w:fldCharType="end"/>
      </w:r>
      <w:r>
        <w:rPr>
          <w:szCs w:val="24"/>
        </w:rPr>
        <w:t xml:space="preserve">. Magnesium nutrition is important in plants as it allocates photosynthates which are the materials for </w:t>
      </w:r>
      <w:r w:rsidR="00AE0977">
        <w:rPr>
          <w:szCs w:val="24"/>
        </w:rPr>
        <w:t>metabolism</w:t>
      </w:r>
      <w:r>
        <w:rPr>
          <w:szCs w:val="24"/>
        </w:rPr>
        <w:t xml:space="preserve"> of quality compounds responsible for shoot and root growth </w:t>
      </w:r>
      <w:r w:rsidR="00E90242">
        <w:rPr>
          <w:szCs w:val="24"/>
        </w:rPr>
        <w:fldChar w:fldCharType="begin"/>
      </w:r>
      <w:r w:rsidR="00BD09B5">
        <w:rPr>
          <w:szCs w:val="24"/>
        </w:rPr>
        <w:instrText xml:space="preserve"> ADDIN EN.CITE &lt;EndNote&gt;&lt;Cite&gt;&lt;Author&gt;Chen&lt;/Author&gt;&lt;Year&gt;2024&lt;/Year&gt;&lt;RecNum&gt;209&lt;/RecNum&gt;&lt;DisplayText&gt;(Chen et al., 2024)&lt;/DisplayText&gt;&lt;record&gt;&lt;rec-number&gt;209&lt;/rec-number&gt;&lt;foreign-keys&gt;&lt;key app="EN" db-id="zx5vprwxa0rsabew9f9xp5fcs9tz0dzwa2fa" timestamp="1757538433"&gt;209&lt;/key&gt;&lt;/foreign-keys&gt;&lt;ref-type name="Journal Article"&gt;17&lt;/ref-type&gt;&lt;contributors&gt;&lt;authors&gt;&lt;author&gt;Chen, Liuru&lt;/author&gt;&lt;author&gt;Liu, Meiya&lt;/author&gt;&lt;author&gt;Cai, Yanjiang&lt;/author&gt;&lt;author&gt;Wu, Liangquan&lt;/author&gt;&lt;author&gt;Zhang, Qunfeng&lt;/author&gt;&lt;/authors&gt;&lt;/contributors&gt;&lt;titles&gt;&lt;title&gt;Magnesium deficiency differentiated effects on the roots growth and shoot metabolism by regulating the distribution of photosynthetic products in tea plants&lt;/title&gt;&lt;secondary-title&gt;Scientia Horticulturae&lt;/secondary-title&gt;&lt;/titles&gt;&lt;periodical&gt;&lt;full-title&gt;Scientia Horticulturae&lt;/full-title&gt;&lt;/periodical&gt;&lt;pages&gt;113748&lt;/pages&gt;&lt;volume&gt;338&lt;/volume&gt;&lt;dates&gt;&lt;year&gt;2024&lt;/year&gt;&lt;/dates&gt;&lt;isbn&gt;0304-4238&lt;/isbn&gt;&lt;urls&gt;&lt;/urls&gt;&lt;electronic-resource-num&gt;https://doi.org/10.1016/j.scienta.2024.113748&lt;/electronic-resource-num&gt;&lt;/record&gt;&lt;/Cite&gt;&lt;/EndNote&gt;</w:instrText>
      </w:r>
      <w:r w:rsidR="00E90242">
        <w:rPr>
          <w:szCs w:val="24"/>
        </w:rPr>
        <w:fldChar w:fldCharType="separate"/>
      </w:r>
      <w:r w:rsidR="00BE2D15">
        <w:rPr>
          <w:noProof/>
          <w:szCs w:val="24"/>
        </w:rPr>
        <w:t>(Chen et al., 2024)</w:t>
      </w:r>
      <w:r w:rsidR="00E90242">
        <w:rPr>
          <w:szCs w:val="24"/>
        </w:rPr>
        <w:fldChar w:fldCharType="end"/>
      </w:r>
      <w:r>
        <w:rPr>
          <w:szCs w:val="24"/>
        </w:rPr>
        <w:t xml:space="preserve">. Optimal levels of magnesium promote production of theanine amino acids in tea plants </w:t>
      </w:r>
      <w:r w:rsidR="00E90242">
        <w:rPr>
          <w:szCs w:val="24"/>
        </w:rPr>
        <w:fldChar w:fldCharType="begin"/>
      </w:r>
      <w:r w:rsidR="00BD09B5">
        <w:rPr>
          <w:szCs w:val="24"/>
        </w:rPr>
        <w:instrText xml:space="preserve"> ADDIN EN.CITE &lt;EndNote&gt;&lt;Cite&gt;&lt;Author&gt;Ruan&lt;/Author&gt;&lt;Year&gt;2012&lt;/Year&gt;&lt;RecNum&gt;206&lt;/RecNum&gt;&lt;DisplayText&gt;(Ruan et al., 2012)&lt;/DisplayText&gt;&lt;record&gt;&lt;rec-number&gt;206&lt;/rec-number&gt;&lt;foreign-keys&gt;&lt;key app="EN" db-id="zx5vprwxa0rsabew9f9xp5fcs9tz0dzwa2fa" timestamp="1757537724"&gt;206&lt;/key&gt;&lt;/foreign-keys&gt;&lt;ref-type name="Journal Article"&gt;17&lt;/ref-type&gt;&lt;contributors&gt;&lt;authors&gt;&lt;author&gt;Ruan, Jianyun&lt;/author&gt;&lt;author&gt;Ma, Lifeng&lt;/author&gt;&lt;author&gt;Yang, Yajun&lt;/author&gt;&lt;/authors&gt;&lt;/contributors&gt;&lt;titles&gt;&lt;title&gt;Magnesium nutrition on accumulation and transport of amino acids in tea plants&lt;/title&gt;&lt;secondary-title&gt;Journal of the Science of Food and Agriculture&lt;/secondary-title&gt;&lt;/titles&gt;&lt;periodical&gt;&lt;full-title&gt;Journal of the Science of Food and Agriculture&lt;/full-title&gt;&lt;/periodical&gt;&lt;pages&gt;1375-1383&lt;/pages&gt;&lt;volume&gt;92&lt;/volume&gt;&lt;number&gt;7&lt;/number&gt;&lt;dates&gt;&lt;year&gt;2012&lt;/year&gt;&lt;/dates&gt;&lt;isbn&gt;0022-5142&lt;/isbn&gt;&lt;urls&gt;&lt;/urls&gt;&lt;electronic-resource-num&gt; https://doi.org/10.1002/jsfa.4709&lt;/electronic-resource-num&gt;&lt;/record&gt;&lt;/Cite&gt;&lt;/EndNote&gt;</w:instrText>
      </w:r>
      <w:r w:rsidR="00E90242">
        <w:rPr>
          <w:szCs w:val="24"/>
        </w:rPr>
        <w:fldChar w:fldCharType="separate"/>
      </w:r>
      <w:r w:rsidR="00BE2D15">
        <w:rPr>
          <w:noProof/>
          <w:szCs w:val="24"/>
        </w:rPr>
        <w:t>(Ruan et al., 2012)</w:t>
      </w:r>
      <w:r w:rsidR="00E90242">
        <w:rPr>
          <w:szCs w:val="24"/>
        </w:rPr>
        <w:fldChar w:fldCharType="end"/>
      </w:r>
      <w:r>
        <w:rPr>
          <w:szCs w:val="24"/>
        </w:rPr>
        <w:t xml:space="preserve">. However, magnesium deficiency retards shoot and root growth in tea plants </w:t>
      </w:r>
      <w:r w:rsidR="00E90242">
        <w:rPr>
          <w:szCs w:val="24"/>
        </w:rPr>
        <w:fldChar w:fldCharType="begin"/>
      </w:r>
      <w:r w:rsidR="00BD09B5">
        <w:rPr>
          <w:szCs w:val="24"/>
        </w:rPr>
        <w:instrText xml:space="preserve"> ADDIN EN.CITE &lt;EndNote&gt;&lt;Cite&gt;&lt;Author&gt;Chen&lt;/Author&gt;&lt;Year&gt;2024&lt;/Year&gt;&lt;RecNum&gt;209&lt;/RecNum&gt;&lt;DisplayText&gt;(Chen et al., 2024)&lt;/DisplayText&gt;&lt;record&gt;&lt;rec-number&gt;209&lt;/rec-number&gt;&lt;foreign-keys&gt;&lt;key app="EN" db-id="zx5vprwxa0rsabew9f9xp5fcs9tz0dzwa2fa" timestamp="1757538433"&gt;209&lt;/key&gt;&lt;/foreign-keys&gt;&lt;ref-type name="Journal Article"&gt;17&lt;/ref-type&gt;&lt;contributors&gt;&lt;authors&gt;&lt;author&gt;Chen, Liuru&lt;/author&gt;&lt;author&gt;Liu, Meiya&lt;/author&gt;&lt;author&gt;Cai, Yanjiang&lt;/author&gt;&lt;author&gt;Wu, Liangquan&lt;/author&gt;&lt;author&gt;Zhang, Qunfeng&lt;/author&gt;&lt;/authors&gt;&lt;/contributors&gt;&lt;titles&gt;&lt;title&gt;Magnesium deficiency differentiated effects on the roots growth and shoot metabolism by regulating the distribution of photosynthetic products in tea plants&lt;/title&gt;&lt;secondary-title&gt;Scientia Horticulturae&lt;/secondary-title&gt;&lt;/titles&gt;&lt;periodical&gt;&lt;full-title&gt;Scientia Horticulturae&lt;/full-title&gt;&lt;/periodical&gt;&lt;pages&gt;113748&lt;/pages&gt;&lt;volume&gt;338&lt;/volume&gt;&lt;dates&gt;&lt;year&gt;2024&lt;/year&gt;&lt;/dates&gt;&lt;isbn&gt;0304-4238&lt;/isbn&gt;&lt;urls&gt;&lt;/urls&gt;&lt;electronic-resource-num&gt;https://doi.org/10.1016/j.scienta.2024.113748&lt;/electronic-resource-num&gt;&lt;/record&gt;&lt;/Cite&gt;&lt;/EndNote&gt;</w:instrText>
      </w:r>
      <w:r w:rsidR="00E90242">
        <w:rPr>
          <w:szCs w:val="24"/>
        </w:rPr>
        <w:fldChar w:fldCharType="separate"/>
      </w:r>
      <w:r w:rsidR="00BE2D15">
        <w:rPr>
          <w:noProof/>
          <w:szCs w:val="24"/>
        </w:rPr>
        <w:t>(Chen et al., 2024)</w:t>
      </w:r>
      <w:r w:rsidR="00E90242">
        <w:rPr>
          <w:szCs w:val="24"/>
        </w:rPr>
        <w:fldChar w:fldCharType="end"/>
      </w:r>
      <w:r>
        <w:rPr>
          <w:szCs w:val="24"/>
        </w:rPr>
        <w:t xml:space="preserve">. </w:t>
      </w:r>
      <w:r w:rsidRPr="005E4439">
        <w:rPr>
          <w:szCs w:val="24"/>
        </w:rPr>
        <w:t xml:space="preserve">Both manganese toxicity </w:t>
      </w:r>
      <w:r w:rsidR="00E90242" w:rsidRPr="005E4439">
        <w:rPr>
          <w:szCs w:val="24"/>
        </w:rPr>
        <w:fldChar w:fldCharType="begin"/>
      </w:r>
      <w:r w:rsidR="00BD09B5">
        <w:rPr>
          <w:szCs w:val="24"/>
        </w:rPr>
        <w:instrText xml:space="preserve"> ADDIN EN.CITE &lt;EndNote&gt;&lt;Cite&gt;&lt;Author&gt;Morita&lt;/Author&gt;&lt;Year&gt;2006&lt;/Year&gt;&lt;RecNum&gt;210&lt;/RecNum&gt;&lt;DisplayText&gt;(Morita et al., 2006)&lt;/DisplayText&gt;&lt;record&gt;&lt;rec-number&gt;210&lt;/rec-number&gt;&lt;foreign-keys&gt;&lt;key app="EN" db-id="zx5vprwxa0rsabew9f9xp5fcs9tz0dzwa2fa" timestamp="1757539504"&gt;210&lt;/key&gt;&lt;/foreign-keys&gt;&lt;ref-type name="Journal Article"&gt;17&lt;/ref-type&gt;&lt;contributors&gt;&lt;authors&gt;&lt;author&gt;Morita, Akio&lt;/author&gt;&lt;author&gt;Yokota, Hiromi&lt;/author&gt;&lt;author&gt;Ishka, Maryam Rahmati&lt;/author&gt;&lt;author&gt;Ghanati, Faezeh&lt;/author&gt;&lt;/authors&gt;&lt;/contributors&gt;&lt;titles&gt;&lt;title&gt;Changes in peroxidase activity and lignin content of cultured tea cells in response to excess manganese&lt;/title&gt;&lt;secondary-title&gt;Soil Science and Plant Nutrition&lt;/secondary-title&gt;&lt;/titles&gt;&lt;periodical&gt;&lt;full-title&gt;Soil Science and Plant Nutrition&lt;/full-title&gt;&lt;/periodical&gt;&lt;pages&gt;26-31&lt;/pages&gt;&lt;volume&gt;52&lt;/volume&gt;&lt;number&gt;1&lt;/number&gt;&lt;dates&gt;&lt;year&gt;2006&lt;/year&gt;&lt;/dates&gt;&lt;isbn&gt;0038-0768&lt;/isbn&gt;&lt;urls&gt;&lt;/urls&gt;&lt;electronic-resource-num&gt;https://doi.org/10.1111/j.1747-0765.2006.00006.x&lt;/electronic-resource-num&gt;&lt;/record&gt;&lt;/Cite&gt;&lt;/EndNote&gt;</w:instrText>
      </w:r>
      <w:r w:rsidR="00E90242" w:rsidRPr="005E4439">
        <w:rPr>
          <w:szCs w:val="24"/>
        </w:rPr>
        <w:fldChar w:fldCharType="separate"/>
      </w:r>
      <w:r w:rsidR="00BE2D15">
        <w:rPr>
          <w:noProof/>
          <w:szCs w:val="24"/>
        </w:rPr>
        <w:t>(Morita et al., 2006)</w:t>
      </w:r>
      <w:r w:rsidR="00E90242" w:rsidRPr="005E4439">
        <w:rPr>
          <w:szCs w:val="24"/>
        </w:rPr>
        <w:fldChar w:fldCharType="end"/>
      </w:r>
      <w:r w:rsidRPr="005E4439">
        <w:rPr>
          <w:szCs w:val="24"/>
        </w:rPr>
        <w:t xml:space="preserve"> and deficiency </w:t>
      </w:r>
      <w:r w:rsidR="00E90242" w:rsidRPr="005E4439">
        <w:rPr>
          <w:szCs w:val="24"/>
        </w:rPr>
        <w:fldChar w:fldCharType="begin"/>
      </w:r>
      <w:r w:rsidR="00BD09B5">
        <w:rPr>
          <w:szCs w:val="24"/>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sidR="00E90242" w:rsidRPr="005E4439">
        <w:rPr>
          <w:szCs w:val="24"/>
        </w:rPr>
        <w:fldChar w:fldCharType="separate"/>
      </w:r>
      <w:r w:rsidR="00312DFF">
        <w:rPr>
          <w:noProof/>
          <w:szCs w:val="24"/>
        </w:rPr>
        <w:t>(Hajiboland, 2018)</w:t>
      </w:r>
      <w:r w:rsidR="00E90242" w:rsidRPr="005E4439">
        <w:rPr>
          <w:szCs w:val="24"/>
        </w:rPr>
        <w:fldChar w:fldCharType="end"/>
      </w:r>
      <w:r w:rsidRPr="005E4439">
        <w:rPr>
          <w:szCs w:val="24"/>
        </w:rPr>
        <w:t xml:space="preserve"> retard growth of tea. Tea grows on acid soil </w:t>
      </w:r>
      <w:r w:rsidR="00E90242" w:rsidRPr="005E4439">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E90242" w:rsidRPr="005E4439">
        <w:rPr>
          <w:szCs w:val="24"/>
        </w:rPr>
        <w:fldChar w:fldCharType="separate"/>
      </w:r>
      <w:r w:rsidR="00312DFF">
        <w:rPr>
          <w:noProof/>
          <w:szCs w:val="24"/>
        </w:rPr>
        <w:t>(TRFK, 2002)</w:t>
      </w:r>
      <w:r w:rsidR="00E90242" w:rsidRPr="005E4439">
        <w:rPr>
          <w:szCs w:val="24"/>
        </w:rPr>
        <w:fldChar w:fldCharType="end"/>
      </w:r>
      <w:r w:rsidRPr="005E4439">
        <w:rPr>
          <w:szCs w:val="24"/>
        </w:rPr>
        <w:t xml:space="preserve"> that are likely to have high manganese contents </w:t>
      </w:r>
      <w:commentRangeStart w:id="7"/>
      <w:r w:rsidR="00E90242" w:rsidRPr="005E4439">
        <w:rPr>
          <w:szCs w:val="24"/>
        </w:rPr>
        <w:fldChar w:fldCharType="begin"/>
      </w:r>
      <w:r w:rsidR="00BD09B5">
        <w:rPr>
          <w:szCs w:val="24"/>
        </w:rPr>
        <w:instrText xml:space="preserve"> ADDIN EN.CITE &lt;EndNote&gt;&lt;Cite&gt;&lt;Author&gt;Kamau&lt;/Author&gt;&lt;Year&gt;2008&lt;/Year&gt;&lt;RecNum&gt;136&lt;/RecNum&gt;&lt;DisplayText&gt;(Kamau, Wanyoko, Owuor, &amp;amp; Ng&amp;apos;etich, 2008; Kamau, Wanyoko, Owuor, &amp;amp; Ng’etich, 2008)&lt;/DisplayText&gt;&lt;record&gt;&lt;rec-number&gt;136&lt;/rec-number&gt;&lt;foreign-keys&gt;&lt;key app="EN" db-id="zx5vprwxa0rsabew9f9xp5fcs9tz0dzwa2fa" timestamp="1727296464"&gt;136&lt;/key&gt;&lt;/foreign-keys&gt;&lt;ref-type name="Journal Article"&gt;17&lt;/ref-type&gt;&lt;contributors&gt;&lt;authors&gt;&lt;author&gt;Kamau, D. M.&lt;/author&gt;&lt;author&gt;Wanyoko, J. K.&lt;/author&gt;&lt;author&gt;Owuor, P. O.&lt;/author&gt;&lt;author&gt;Ng’etich, W. K.&lt;/author&gt;&lt;/authors&gt;&lt;/contributors&gt;&lt;titles&gt;&lt;title&gt;NPK(S) fertilizer use in commercially cultivated clone BBK35 in different tea growing regions of Kenya: I. Experimental design and initial soil chemical properties&lt;/title&gt;&lt;secondary-title&gt;Tea&lt;/secondary-title&gt;&lt;/titles&gt;&lt;periodical&gt;&lt;full-title&gt;Tea&lt;/full-title&gt;&lt;/periodical&gt;&lt;pages&gt;31-36.&lt;/pages&gt;&lt;volume&gt;29&lt;/volume&gt;&lt;number&gt;1&lt;/number&gt;&lt;dates&gt;&lt;year&gt;2008&lt;/year&gt;&lt;/dates&gt;&lt;urls&gt;&lt;/urls&gt;&lt;/record&gt;&lt;/Cite&gt;&lt;Cite&gt;&lt;Author&gt;Kamau&lt;/Author&gt;&lt;Year&gt;2008&lt;/Year&gt;&lt;RecNum&gt;21&lt;/RecNum&gt;&lt;record&gt;&lt;rec-number&gt;21&lt;/rec-number&gt;&lt;foreign-keys&gt;&lt;key app="EN" db-id="zx5vprwxa0rsabew9f9xp5fcs9tz0dzwa2fa" timestamp="0"&gt;21&lt;/key&gt;&lt;/foreign-keys&gt;&lt;ref-type name="Journal Article"&gt;17&lt;/ref-type&gt;&lt;contributors&gt;&lt;authors&gt;&lt;author&gt;Kamau, D. M.&lt;/author&gt;&lt;author&gt;Wanyoko, J. K.&lt;/author&gt;&lt;author&gt;Owuor, P. O.&lt;/author&gt;&lt;author&gt;Ng&amp;apos;etich, W. K.&lt;/author&gt;&lt;/authors&gt;&lt;/contributors&gt;&lt;titles&gt;&lt;title&gt;NPK (S) fertilizer use in commercially cultivated clone BBK 35 in different tea growing regions of Kenya: II. Effects of nitrogen rates and plucking intervals on soil chemical properties.&lt;/title&gt;&lt;secondary-title&gt;Tea&lt;/secondary-title&gt;&lt;/titles&gt;&lt;periodical&gt;&lt;full-title&gt;Tea&lt;/full-title&gt;&lt;/periodical&gt;&lt;pages&gt;8-18.&lt;/pages&gt;&lt;volume&gt;29&lt;/volume&gt;&lt;number&gt;2&lt;/number&gt;&lt;dates&gt;&lt;year&gt;2008&lt;/year&gt;&lt;/dates&gt;&lt;urls&gt;&lt;related-urls&gt;&lt;url&gt;&lt;style face="underline" font="default" size="100%"&gt;https://www.cabdirect.org/cabdirect/abstract/20103355379&lt;/style&gt;&lt;/url&gt;&lt;/related-urls&gt;&lt;/urls&gt;&lt;/record&gt;&lt;/Cite&gt;&lt;/EndNote&gt;</w:instrText>
      </w:r>
      <w:r w:rsidR="00E90242" w:rsidRPr="005E4439">
        <w:rPr>
          <w:szCs w:val="24"/>
        </w:rPr>
        <w:fldChar w:fldCharType="separate"/>
      </w:r>
      <w:r w:rsidR="00BE2D15">
        <w:rPr>
          <w:noProof/>
          <w:szCs w:val="24"/>
        </w:rPr>
        <w:t>(Kamau, Wanyoko, Owuor, &amp; Ng'etich, 2008; Kamau, Wanyoko, Owuor, &amp; Ng’etich, 2008)</w:t>
      </w:r>
      <w:r w:rsidR="00E90242" w:rsidRPr="005E4439">
        <w:rPr>
          <w:szCs w:val="24"/>
        </w:rPr>
        <w:fldChar w:fldCharType="end"/>
      </w:r>
      <w:commentRangeEnd w:id="7"/>
      <w:r w:rsidR="004C14EF">
        <w:rPr>
          <w:rStyle w:val="Marquedecommentaire"/>
        </w:rPr>
        <w:commentReference w:id="7"/>
      </w:r>
      <w:r w:rsidRPr="005E4439">
        <w:rPr>
          <w:szCs w:val="24"/>
        </w:rPr>
        <w:t>. It is not documented if use of nitrogen</w:t>
      </w:r>
      <w:r>
        <w:rPr>
          <w:szCs w:val="24"/>
        </w:rPr>
        <w:t>ous</w:t>
      </w:r>
      <w:r w:rsidR="00AE0977" w:rsidRPr="005E4439">
        <w:rPr>
          <w:szCs w:val="24"/>
        </w:rPr>
        <w:t>fertilizers</w:t>
      </w:r>
      <w:r w:rsidRPr="005E4439">
        <w:rPr>
          <w:szCs w:val="24"/>
        </w:rPr>
        <w:t xml:space="preserve"> in </w:t>
      </w:r>
      <w:r>
        <w:rPr>
          <w:szCs w:val="24"/>
        </w:rPr>
        <w:t>eastern</w:t>
      </w:r>
      <w:r w:rsidRPr="005E4439">
        <w:rPr>
          <w:szCs w:val="24"/>
        </w:rPr>
        <w:t xml:space="preserve"> Africa is rendering the soil to avail toxic levels of manganese to the tea plant.</w:t>
      </w:r>
    </w:p>
    <w:p w:rsidR="00E06FCB" w:rsidRDefault="00E06FCB" w:rsidP="00E06FCB">
      <w:pPr>
        <w:autoSpaceDE w:val="0"/>
        <w:autoSpaceDN w:val="0"/>
        <w:adjustRightInd w:val="0"/>
        <w:spacing w:line="360" w:lineRule="auto"/>
        <w:rPr>
          <w:szCs w:val="24"/>
        </w:rPr>
      </w:pPr>
      <w:r w:rsidRPr="007E5E50">
        <w:rPr>
          <w:szCs w:val="24"/>
        </w:rPr>
        <w:t>Nitrogen is the major nutrient for tea</w:t>
      </w:r>
      <w:r>
        <w:rPr>
          <w:szCs w:val="24"/>
        </w:rPr>
        <w:t>, consequently</w:t>
      </w:r>
      <w:r w:rsidRPr="007E5E50">
        <w:rPr>
          <w:szCs w:val="24"/>
        </w:rPr>
        <w:t xml:space="preserve"> fertilizer use in tea cultivation is based on nitrogenous fertilizers </w:t>
      </w:r>
      <w:r w:rsidR="00E90242">
        <w:rPr>
          <w:szCs w:val="24"/>
        </w:rPr>
        <w:fldChar w:fldCharType="begin">
          <w:fldData xml:space="preserve">PEVuZE5vdGU+PENpdGU+PEF1dGhvcj5WZXJtYTwvQXV0aG9yPjxZZWFyPjIwMDE8L1llYXI+PFJl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=
</w:fldData>
        </w:fldChar>
      </w:r>
      <w:r w:rsidR="00BD09B5">
        <w:rPr>
          <w:szCs w:val="24"/>
        </w:rPr>
        <w:instrText xml:space="preserve"> ADDIN EN.CITE </w:instrText>
      </w:r>
      <w:r w:rsidR="00E90242">
        <w:rPr>
          <w:szCs w:val="24"/>
        </w:rPr>
        <w:fldChar w:fldCharType="begin">
          <w:fldData xml:space="preserve">PEVuZE5vdGU+PENpdGU+PEF1dGhvcj5WZXJtYTwvQXV0aG9yPjxZZWFyPjIwMDE8L1llYXI+PFJl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=
</w:fldData>
        </w:fldChar>
      </w:r>
      <w:r w:rsidR="00BD09B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(Ombori et al., 2020; Verma et al., 2001; Xiao et al., 2018)</w:t>
      </w:r>
      <w:r w:rsidR="00E90242">
        <w:rPr>
          <w:szCs w:val="24"/>
        </w:rPr>
        <w:fldChar w:fldCharType="end"/>
      </w:r>
      <w:r w:rsidRPr="007E5E50">
        <w:rPr>
          <w:szCs w:val="24"/>
        </w:rPr>
        <w:t xml:space="preserve">. </w:t>
      </w:r>
      <w:r>
        <w:rPr>
          <w:szCs w:val="24"/>
        </w:rPr>
        <w:t>The use of nitrogen fertilizer, however, causes changes in soil acidity and soil chemical composition</w:t>
      </w:r>
      <w:r w:rsidR="00E90242">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00E90242">
        <w:rPr>
          <w:szCs w:val="24"/>
        </w:rPr>
        <w:fldChar w:fldCharType="separate"/>
      </w:r>
      <w:r w:rsidR="00BE2D15">
        <w:rPr>
          <w:noProof/>
          <w:szCs w:val="24"/>
        </w:rPr>
        <w:t>(Kebeney et al., 2010)</w:t>
      </w:r>
      <w:r w:rsidR="00E90242">
        <w:rPr>
          <w:szCs w:val="24"/>
        </w:rPr>
        <w:fldChar w:fldCharType="end"/>
      </w:r>
      <w:r>
        <w:rPr>
          <w:szCs w:val="24"/>
        </w:rPr>
        <w:t>.P</w:t>
      </w:r>
      <w:r w:rsidRPr="007E5E50">
        <w:rPr>
          <w:szCs w:val="24"/>
        </w:rPr>
        <w:t xml:space="preserve">revious </w:t>
      </w:r>
      <w:r>
        <w:rPr>
          <w:szCs w:val="24"/>
        </w:rPr>
        <w:t xml:space="preserve">single locations </w:t>
      </w:r>
      <w:r w:rsidRPr="007E5E50">
        <w:rPr>
          <w:szCs w:val="24"/>
        </w:rPr>
        <w:t xml:space="preserve">studies demonstrated that </w:t>
      </w:r>
      <w:r>
        <w:rPr>
          <w:szCs w:val="24"/>
        </w:rPr>
        <w:t xml:space="preserve">increasing </w:t>
      </w:r>
      <w:r w:rsidRPr="007E5E50">
        <w:rPr>
          <w:szCs w:val="24"/>
        </w:rPr>
        <w:t xml:space="preserve">nitrogen </w:t>
      </w:r>
      <w:r>
        <w:rPr>
          <w:szCs w:val="24"/>
        </w:rPr>
        <w:t xml:space="preserve">fertilizer </w:t>
      </w:r>
      <w:r w:rsidRPr="007E5E50">
        <w:rPr>
          <w:szCs w:val="24"/>
        </w:rPr>
        <w:t xml:space="preserve">rates </w:t>
      </w:r>
      <w:r>
        <w:rPr>
          <w:szCs w:val="24"/>
        </w:rPr>
        <w:t>reduced</w:t>
      </w:r>
      <w:r w:rsidRPr="007E5E50">
        <w:rPr>
          <w:szCs w:val="24"/>
        </w:rPr>
        <w:t xml:space="preserve"> mature leaf calcium and magnesium</w:t>
      </w:r>
      <w:r>
        <w:rPr>
          <w:szCs w:val="24"/>
        </w:rPr>
        <w:t xml:space="preserve"> and increased manganese contents </w:t>
      </w:r>
      <w:r w:rsidR="00E90242">
        <w:rPr>
          <w:szCs w:val="24"/>
        </w:rPr>
        <w:fldChar w:fldCharType="begin"/>
      </w:r>
      <w:r w:rsidR="00BD09B5">
        <w:rPr>
          <w:szCs w:val="24"/>
        </w:rPr>
        <w:instrText xml:space="preserve"> ADDIN EN.CITE &lt;EndNote&gt;&lt;Cite&gt;&lt;Author&gt;Kamau&lt;/Author&gt;&lt;Year&gt;2005&lt;/Year&gt;&lt;RecNum&gt;106&lt;/RecNum&gt;&lt;DisplayText&gt;(Kamau et al., 2005; Kebeney et al., 2010)&lt;/DisplayText&gt;&lt;record&gt;&lt;rec-number&gt;106&lt;/rec-number&gt;&lt;foreign-keys&gt;&lt;key app="EN" db-id="zx5vprwxa0rsabew9f9xp5fcs9tz0dzwa2fa" timestamp="1595649294"&gt;106&lt;/key&gt;&lt;/foreign-keys&gt;&lt;ref-type name="Journal Article"&gt;17&lt;/ref-type&gt;&lt;contributors&gt;&lt;authors&gt;&lt;author&gt;Kamau, D. M.&lt;/author&gt;&lt;author&gt;Wanyoko, J. K.&lt;/author&gt;&lt;author&gt;Owuor, P. O.&lt;/author&gt;&lt;/authors&gt;&lt;/contributors&gt;&lt;titles&gt;&lt;title&gt;Mature leaf nutrients levels as a diagnostic tool for making fertilizer recommendations in mature tea. The case of clone BBK 35&lt;/title&gt;&lt;secondary-title&gt;Tea&lt;/secondary-title&gt;&lt;/titles&gt;&lt;periodical&gt;&lt;full-title&gt;Tea&lt;/full-title&gt;&lt;/periodical&gt;&lt;pages&gt;57- 69&lt;/pages&gt;&lt;volume&gt;26&lt;/volume&gt;&lt;dates&gt;&lt;year&gt;2005&lt;/year&gt;&lt;/dates&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00E90242">
        <w:rPr>
          <w:szCs w:val="24"/>
        </w:rPr>
        <w:fldChar w:fldCharType="separate"/>
      </w:r>
      <w:r w:rsidR="00BE2D15">
        <w:rPr>
          <w:noProof/>
          <w:szCs w:val="24"/>
        </w:rPr>
        <w:t>(Kamau et al., 2005; Kebeney et al., 2010)</w:t>
      </w:r>
      <w:r w:rsidR="00E90242">
        <w:rPr>
          <w:szCs w:val="24"/>
        </w:rPr>
        <w:fldChar w:fldCharType="end"/>
      </w:r>
      <w:r w:rsidRPr="007E5E50">
        <w:rPr>
          <w:szCs w:val="24"/>
        </w:rPr>
        <w:t xml:space="preserve">. It is not </w:t>
      </w:r>
      <w:r>
        <w:rPr>
          <w:szCs w:val="24"/>
        </w:rPr>
        <w:t xml:space="preserve">documented </w:t>
      </w:r>
      <w:r w:rsidRPr="007E5E50">
        <w:rPr>
          <w:szCs w:val="24"/>
        </w:rPr>
        <w:t xml:space="preserve">if these variations are related to </w:t>
      </w:r>
      <w:r>
        <w:rPr>
          <w:szCs w:val="24"/>
        </w:rPr>
        <w:t xml:space="preserve">their </w:t>
      </w:r>
      <w:r w:rsidRPr="007E5E50">
        <w:rPr>
          <w:szCs w:val="24"/>
        </w:rPr>
        <w:t>soillevels</w:t>
      </w:r>
      <w:r>
        <w:rPr>
          <w:szCs w:val="24"/>
        </w:rPr>
        <w:t>, especially</w:t>
      </w:r>
      <w:r w:rsidRPr="007E5E50">
        <w:rPr>
          <w:szCs w:val="24"/>
        </w:rPr>
        <w:t xml:space="preserve"> in different locations of production within </w:t>
      </w:r>
      <w:r>
        <w:rPr>
          <w:szCs w:val="24"/>
        </w:rPr>
        <w:t>e</w:t>
      </w:r>
      <w:r w:rsidRPr="007E5E50">
        <w:rPr>
          <w:szCs w:val="24"/>
        </w:rPr>
        <w:t>astern Africa.</w:t>
      </w:r>
      <w:r>
        <w:rPr>
          <w:szCs w:val="24"/>
        </w:rPr>
        <w:t xml:space="preserve"> Nitrogen fertilizer use and plucking are the most costly agronomic inputs in tea production. </w:t>
      </w:r>
      <w:r w:rsidRPr="007E5E50">
        <w:rPr>
          <w:szCs w:val="24"/>
        </w:rPr>
        <w:t>T</w:t>
      </w:r>
      <w:r>
        <w:rPr>
          <w:szCs w:val="24"/>
        </w:rPr>
        <w:t xml:space="preserve">his study </w:t>
      </w:r>
      <w:r w:rsidRPr="007E5E50">
        <w:rPr>
          <w:szCs w:val="24"/>
        </w:rPr>
        <w:t>e</w:t>
      </w:r>
      <w:r>
        <w:rPr>
          <w:szCs w:val="24"/>
        </w:rPr>
        <w:t xml:space="preserve">valuated </w:t>
      </w:r>
      <w:r w:rsidRPr="007E5E50">
        <w:rPr>
          <w:szCs w:val="24"/>
        </w:rPr>
        <w:t xml:space="preserve">if the soil </w:t>
      </w:r>
      <w:r>
        <w:rPr>
          <w:szCs w:val="24"/>
        </w:rPr>
        <w:t xml:space="preserve">calcium, magnesium and manganese </w:t>
      </w:r>
      <w:r w:rsidRPr="007E5E50">
        <w:rPr>
          <w:szCs w:val="24"/>
        </w:rPr>
        <w:t xml:space="preserve">nutrients </w:t>
      </w:r>
      <w:r>
        <w:rPr>
          <w:szCs w:val="24"/>
        </w:rPr>
        <w:t xml:space="preserve">levels vary with location of production, nitrogen fertilizer rates and plucking intervals </w:t>
      </w:r>
      <w:r w:rsidRPr="007E5E50">
        <w:rPr>
          <w:szCs w:val="24"/>
        </w:rPr>
        <w:t>and if the levels of</w:t>
      </w:r>
      <w:r>
        <w:rPr>
          <w:szCs w:val="24"/>
        </w:rPr>
        <w:t xml:space="preserve"> these</w:t>
      </w:r>
      <w:r w:rsidRPr="007E5E50">
        <w:rPr>
          <w:szCs w:val="24"/>
        </w:rPr>
        <w:t xml:space="preserve"> soil </w:t>
      </w:r>
      <w:r>
        <w:rPr>
          <w:szCs w:val="24"/>
        </w:rPr>
        <w:t>macro</w:t>
      </w:r>
      <w:r w:rsidRPr="007E5E50">
        <w:rPr>
          <w:szCs w:val="24"/>
        </w:rPr>
        <w:t xml:space="preserve"> nutrients are related to the tea producti</w:t>
      </w:r>
      <w:r>
        <w:rPr>
          <w:szCs w:val="24"/>
        </w:rPr>
        <w:t>on</w:t>
      </w:r>
      <w:r w:rsidRPr="007E5E50">
        <w:rPr>
          <w:szCs w:val="24"/>
        </w:rPr>
        <w:t xml:space="preserve"> in </w:t>
      </w:r>
      <w:r>
        <w:rPr>
          <w:szCs w:val="24"/>
        </w:rPr>
        <w:t>the e</w:t>
      </w:r>
      <w:r w:rsidRPr="007E5E50">
        <w:rPr>
          <w:szCs w:val="24"/>
        </w:rPr>
        <w:t>astern Africa tea growing regions.</w:t>
      </w:r>
    </w:p>
    <w:p w:rsidR="00156EE3" w:rsidRDefault="00156EE3" w:rsidP="00E06FCB">
      <w:pPr>
        <w:autoSpaceDE w:val="0"/>
        <w:autoSpaceDN w:val="0"/>
        <w:adjustRightInd w:val="0"/>
        <w:spacing w:line="360" w:lineRule="auto"/>
        <w:rPr>
          <w:szCs w:val="24"/>
        </w:rPr>
      </w:pPr>
    </w:p>
    <w:p w:rsidR="00156EE3" w:rsidRPr="00420B4F" w:rsidRDefault="00156EE3" w:rsidP="00156EE3">
      <w:pPr>
        <w:tabs>
          <w:tab w:val="left" w:pos="1155"/>
        </w:tabs>
        <w:spacing w:line="360" w:lineRule="auto"/>
        <w:rPr>
          <w:rFonts w:eastAsia="Times New Roman"/>
          <w:b/>
          <w:bCs/>
          <w:kern w:val="32"/>
          <w:szCs w:val="24"/>
        </w:rPr>
      </w:pPr>
      <w:r w:rsidRPr="00DE0F65">
        <w:rPr>
          <w:rFonts w:eastAsia="Times New Roman"/>
          <w:b/>
          <w:bCs/>
          <w:kern w:val="32"/>
          <w:szCs w:val="24"/>
        </w:rPr>
        <w:lastRenderedPageBreak/>
        <w:t>METHODOLOGY</w:t>
      </w:r>
    </w:p>
    <w:p w:rsidR="00156EE3" w:rsidRPr="00490216" w:rsidRDefault="00156EE3" w:rsidP="00156EE3">
      <w:pPr>
        <w:autoSpaceDE w:val="0"/>
        <w:autoSpaceDN w:val="0"/>
        <w:adjustRightInd w:val="0"/>
        <w:spacing w:line="360" w:lineRule="auto"/>
        <w:rPr>
          <w:b/>
          <w:szCs w:val="24"/>
        </w:rPr>
      </w:pPr>
      <w:r w:rsidRPr="008D17E9">
        <w:rPr>
          <w:szCs w:val="24"/>
          <w:lang w:val="en-GB"/>
        </w:rPr>
        <w:t xml:space="preserve">The study was set up as nitrogenous fertilizer trial on clone TRFK 6/8 in seven locations within the </w:t>
      </w:r>
      <w:r>
        <w:rPr>
          <w:szCs w:val="24"/>
          <w:lang w:val="en-GB"/>
        </w:rPr>
        <w:t>e</w:t>
      </w:r>
      <w:r w:rsidRPr="008D17E9">
        <w:rPr>
          <w:szCs w:val="24"/>
          <w:lang w:val="en-GB"/>
        </w:rPr>
        <w:t>astern Africa tea growing regions</w:t>
      </w:r>
      <w:r w:rsidR="00E90242">
        <w:rPr>
          <w:szCs w:val="24"/>
          <w:lang w:val="en-GB"/>
        </w:rPr>
        <w:fldChar w:fldCharType="begin">
          <w:fldData xml:space="preserve">PEVuZE5vdGU+PENpdGU+PEF1dGhvcj5Nc29tYmE8L0F1dGhvcj48WWVhcj4yMDE0PC9ZZWFyPjxS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dW0+PC9yZWNvcmQ+PC9DaXRlPjxDaXRlPjxBdXRob3I+S3dhY2g8L0F1dGhvcj48WWVhcj4yMDE0
PC9ZZWFyPjxSZWNOdW0+MjI8L1JlY051bT48cmVjb3JkPjxyZWMtbnVtYmVyPjIyPC9yZWMtbnVt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cmNlLW51bT48L3JlY29yZD48L0NpdGU+PC9FbmROb3RlPgB=
</w:fldData>
        </w:fldChar>
      </w:r>
      <w:r w:rsidR="00BD09B5">
        <w:rPr>
          <w:szCs w:val="24"/>
          <w:lang w:val="en-GB"/>
        </w:rPr>
        <w:instrText xml:space="preserve"> ADDIN EN.CITE </w:instrText>
      </w:r>
      <w:r w:rsidR="00E90242">
        <w:rPr>
          <w:szCs w:val="24"/>
          <w:lang w:val="en-GB"/>
        </w:rPr>
        <w:fldChar w:fldCharType="begin">
          <w:fldData xml:space="preserve">PEVuZE5vdGU+PENpdGU+PEF1dGhvcj5Nc29tYmE8L0F1dGhvcj48WWVhcj4yMDE0PC9ZZWFyPjxS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dW0+PC9yZWNvcmQ+PC9DaXRlPjxDaXRlPjxBdXRob3I+S3dhY2g8L0F1dGhvcj48WWVhcj4yMDE0
PC9ZZWFyPjxSZWNOdW0+MjI8L1JlY051bT48cmVjb3JkPjxyZWMtbnVtYmVyPjIyPC9yZWMtbnVt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cmNlLW51bT48L3JlY29yZD48L0NpdGU+PC9FbmROb3RlPgB=
</w:fldData>
        </w:fldChar>
      </w:r>
      <w:r w:rsidR="00BD09B5">
        <w:rPr>
          <w:szCs w:val="24"/>
          <w:lang w:val="en-GB"/>
        </w:rPr>
        <w:instrText xml:space="preserve"> ADDIN EN.CITE.DATA </w:instrText>
      </w:r>
      <w:r w:rsidR="00E90242">
        <w:rPr>
          <w:szCs w:val="24"/>
          <w:lang w:val="en-GB"/>
        </w:rPr>
      </w:r>
      <w:r w:rsidR="00E90242">
        <w:rPr>
          <w:szCs w:val="24"/>
          <w:lang w:val="en-GB"/>
        </w:rPr>
        <w:fldChar w:fldCharType="end"/>
      </w:r>
      <w:r w:rsidR="00E90242">
        <w:rPr>
          <w:szCs w:val="24"/>
          <w:lang w:val="en-GB"/>
        </w:rPr>
      </w:r>
      <w:r w:rsidR="00E90242">
        <w:rPr>
          <w:szCs w:val="24"/>
          <w:lang w:val="en-GB"/>
        </w:rPr>
        <w:fldChar w:fldCharType="separate"/>
      </w:r>
      <w:r w:rsidR="00BE2D15">
        <w:rPr>
          <w:noProof/>
          <w:szCs w:val="24"/>
          <w:lang w:val="en-GB"/>
        </w:rPr>
        <w:t>(Kwach et al., 2014; Msomba et al., 2014; Ombori et al., 2020)</w:t>
      </w:r>
      <w:r w:rsidR="00E90242">
        <w:rPr>
          <w:szCs w:val="24"/>
          <w:lang w:val="en-GB"/>
        </w:rPr>
        <w:fldChar w:fldCharType="end"/>
      </w:r>
      <w:r w:rsidRPr="008D17E9">
        <w:rPr>
          <w:szCs w:val="24"/>
          <w:lang w:val="en-GB"/>
        </w:rPr>
        <w:t xml:space="preserve">. The locations including the coordinates </w:t>
      </w:r>
      <w:r>
        <w:rPr>
          <w:szCs w:val="24"/>
          <w:lang w:val="en-GB"/>
        </w:rPr>
        <w:t>and t</w:t>
      </w:r>
      <w:r w:rsidRPr="008D17E9">
        <w:rPr>
          <w:szCs w:val="24"/>
          <w:lang w:val="en-GB"/>
        </w:rPr>
        <w:t xml:space="preserve">he soil physical characteristics at different sites </w:t>
      </w:r>
      <w:r>
        <w:rPr>
          <w:szCs w:val="24"/>
          <w:lang w:val="en-GB"/>
        </w:rPr>
        <w:t>we</w:t>
      </w:r>
      <w:r w:rsidRPr="008D17E9">
        <w:rPr>
          <w:szCs w:val="24"/>
          <w:lang w:val="en-GB"/>
        </w:rPr>
        <w:t xml:space="preserve">re presented in </w:t>
      </w:r>
      <w:r>
        <w:rPr>
          <w:szCs w:val="24"/>
          <w:lang w:val="en-GB"/>
        </w:rPr>
        <w:t xml:space="preserve">a previous communication </w:t>
      </w:r>
      <w:r w:rsidR="00E90242">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E90242">
        <w:rPr>
          <w:szCs w:val="24"/>
          <w:lang w:val="en-GB"/>
        </w:rPr>
        <w:fldChar w:fldCharType="separate"/>
      </w:r>
      <w:r w:rsidR="00BE2D15">
        <w:rPr>
          <w:noProof/>
          <w:szCs w:val="24"/>
          <w:lang w:val="en-GB"/>
        </w:rPr>
        <w:t>(Ombori et al., 2020)</w:t>
      </w:r>
      <w:r w:rsidR="00E90242">
        <w:rPr>
          <w:szCs w:val="24"/>
          <w:lang w:val="en-GB"/>
        </w:rPr>
        <w:fldChar w:fldCharType="end"/>
      </w:r>
      <w:r>
        <w:rPr>
          <w:szCs w:val="24"/>
          <w:lang w:val="en-GB"/>
        </w:rPr>
        <w:t xml:space="preserve">. </w:t>
      </w:r>
      <w:r w:rsidRPr="00C66B9A">
        <w:rPr>
          <w:szCs w:val="24"/>
        </w:rPr>
        <w:t>At each site, the trial was laid out as factorial two (5x3) in randomized complete block design and replicated 3 times. The main treatments were the seven sites with five nitrogen rates (0, 75, 150, 225 and 300 kg N/ha/year) as NPKS 25:5:5:5 and sub-treatments were three plucking intervals (7, 14 and 21 days). Each plot comprised of 50 bushes of clone TRFK 6/8.  Tea at each site was pruned between April and August 2012 so that all plants were in same pruning cycle life.The treatments commenced in September/October 2012, depending on when there was adequate soil moisture at different sites in the respective countries. In subsequent years, the trials received fertilizers in September/October in single annual dose.</w:t>
      </w:r>
      <w:r w:rsidRPr="00B30C4A">
        <w:rPr>
          <w:szCs w:val="24"/>
        </w:rPr>
        <w:t xml:space="preserve">Soil was sampled in October 2014 before </w:t>
      </w:r>
      <w:r>
        <w:rPr>
          <w:szCs w:val="24"/>
        </w:rPr>
        <w:t xml:space="preserve">annual fertilizer </w:t>
      </w:r>
      <w:r w:rsidRPr="00B30C4A">
        <w:rPr>
          <w:szCs w:val="24"/>
        </w:rPr>
        <w:t xml:space="preserve">application. The </w:t>
      </w:r>
      <w:r w:rsidRPr="00B30C4A">
        <w:rPr>
          <w:szCs w:val="24"/>
          <w:lang w:val="en-GB"/>
        </w:rPr>
        <w:t>sampling was done from 3 points within a plot using calibrated steel auger then mixed, at depths of 0-10cm, 10-20cm, 20-30cm, 40-60cm from all plots</w:t>
      </w:r>
      <w:r w:rsidRPr="007E5E50">
        <w:rPr>
          <w:szCs w:val="24"/>
        </w:rPr>
        <w:t>.</w:t>
      </w:r>
      <w:r w:rsidRPr="00B30C4A">
        <w:rPr>
          <w:szCs w:val="24"/>
        </w:rPr>
        <w:t>Part of the freshly sa</w:t>
      </w:r>
      <w:r>
        <w:rPr>
          <w:szCs w:val="24"/>
        </w:rPr>
        <w:t>mpled soils was used for soil nitrogen</w:t>
      </w:r>
      <w:r w:rsidRPr="00B30C4A">
        <w:rPr>
          <w:szCs w:val="24"/>
        </w:rPr>
        <w:t xml:space="preserve"> determination</w:t>
      </w:r>
      <w:r>
        <w:rPr>
          <w:szCs w:val="24"/>
        </w:rPr>
        <w:t xml:space="preserve">. </w:t>
      </w:r>
      <w:r w:rsidRPr="007E5E50">
        <w:rPr>
          <w:szCs w:val="24"/>
        </w:rPr>
        <w:t xml:space="preserve">The </w:t>
      </w:r>
      <w:r>
        <w:rPr>
          <w:szCs w:val="24"/>
        </w:rPr>
        <w:t xml:space="preserve">remaining </w:t>
      </w:r>
      <w:r w:rsidRPr="007E5E50">
        <w:rPr>
          <w:szCs w:val="24"/>
        </w:rPr>
        <w:t xml:space="preserve">samples were air-dried, ground into fine powder (&lt;2mm) using a ceramic mortar and pestle before processing </w:t>
      </w:r>
      <w:r>
        <w:rPr>
          <w:szCs w:val="24"/>
        </w:rPr>
        <w:t>for</w:t>
      </w:r>
      <w:r w:rsidRPr="007E5E50">
        <w:rPr>
          <w:szCs w:val="24"/>
        </w:rPr>
        <w:t xml:space="preserve"> chemical analysis.</w:t>
      </w:r>
      <w:bookmarkStart w:id="8" w:name="_Toc532602678"/>
      <w:r w:rsidRPr="00490216">
        <w:rPr>
          <w:spacing w:val="-2"/>
          <w:szCs w:val="24"/>
        </w:rPr>
        <w:t xml:space="preserve">Mehlich-3 extracting solution </w:t>
      </w:r>
      <w:r w:rsidR="00E90242">
        <w:rPr>
          <w:spacing w:val="-2"/>
          <w:szCs w:val="24"/>
        </w:rPr>
        <w:fldChar w:fldCharType="begin"/>
      </w:r>
      <w:r w:rsidR="00BD09B5">
        <w:rPr>
          <w:spacing w:val="-2"/>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sidR="00E90242">
        <w:rPr>
          <w:spacing w:val="-2"/>
          <w:szCs w:val="24"/>
        </w:rPr>
        <w:fldChar w:fldCharType="separate"/>
      </w:r>
      <w:r w:rsidR="00312DFF">
        <w:rPr>
          <w:noProof/>
          <w:spacing w:val="-2"/>
          <w:szCs w:val="24"/>
        </w:rPr>
        <w:t>(Mehlich, 1984)</w:t>
      </w:r>
      <w:r w:rsidR="00E90242">
        <w:rPr>
          <w:spacing w:val="-2"/>
          <w:szCs w:val="24"/>
        </w:rPr>
        <w:fldChar w:fldCharType="end"/>
      </w:r>
      <w:r w:rsidRPr="00490216">
        <w:rPr>
          <w:spacing w:val="-2"/>
          <w:szCs w:val="24"/>
        </w:rPr>
        <w:t>, a mixture of 0.2 N C</w:t>
      </w:r>
      <w:r w:rsidRPr="00490216">
        <w:rPr>
          <w:szCs w:val="24"/>
        </w:rPr>
        <w:t>H</w:t>
      </w:r>
      <w:r w:rsidRPr="00490216">
        <w:rPr>
          <w:spacing w:val="-2"/>
          <w:szCs w:val="24"/>
          <w:vertAlign w:val="subscript"/>
        </w:rPr>
        <w:t>3</w:t>
      </w:r>
      <w:r w:rsidRPr="00490216">
        <w:rPr>
          <w:spacing w:val="-2"/>
          <w:szCs w:val="24"/>
        </w:rPr>
        <w:t>COOH</w:t>
      </w:r>
      <w:r w:rsidRPr="00490216">
        <w:rPr>
          <w:spacing w:val="-4"/>
          <w:szCs w:val="24"/>
        </w:rPr>
        <w:t xml:space="preserve">, </w:t>
      </w:r>
      <w:r w:rsidRPr="00490216">
        <w:rPr>
          <w:spacing w:val="-2"/>
          <w:szCs w:val="24"/>
        </w:rPr>
        <w:t>0.25N N</w:t>
      </w:r>
      <w:r w:rsidRPr="00490216">
        <w:rPr>
          <w:szCs w:val="24"/>
        </w:rPr>
        <w:t>H</w:t>
      </w:r>
      <w:r w:rsidRPr="00490216">
        <w:rPr>
          <w:spacing w:val="-2"/>
          <w:szCs w:val="24"/>
          <w:vertAlign w:val="subscript"/>
        </w:rPr>
        <w:t>4</w:t>
      </w:r>
      <w:r w:rsidRPr="00490216">
        <w:rPr>
          <w:spacing w:val="-2"/>
          <w:szCs w:val="24"/>
        </w:rPr>
        <w:t>N</w:t>
      </w:r>
      <w:r w:rsidRPr="00490216">
        <w:rPr>
          <w:szCs w:val="24"/>
        </w:rPr>
        <w:t>O</w:t>
      </w:r>
      <w:r w:rsidRPr="00490216">
        <w:rPr>
          <w:spacing w:val="-2"/>
          <w:szCs w:val="24"/>
          <w:vertAlign w:val="subscript"/>
        </w:rPr>
        <w:t>3</w:t>
      </w:r>
      <w:r w:rsidRPr="00490216">
        <w:rPr>
          <w:spacing w:val="-2"/>
          <w:szCs w:val="24"/>
        </w:rPr>
        <w:t>, 0.015N N</w:t>
      </w:r>
      <w:r w:rsidRPr="00490216">
        <w:rPr>
          <w:szCs w:val="24"/>
        </w:rPr>
        <w:t>H</w:t>
      </w:r>
      <w:r w:rsidRPr="00490216">
        <w:rPr>
          <w:spacing w:val="-2"/>
          <w:szCs w:val="24"/>
          <w:vertAlign w:val="subscript"/>
        </w:rPr>
        <w:t>4</w:t>
      </w:r>
      <w:r w:rsidRPr="00490216">
        <w:rPr>
          <w:spacing w:val="-2"/>
          <w:szCs w:val="24"/>
        </w:rPr>
        <w:t>F, 0.013N HN</w:t>
      </w:r>
      <w:r w:rsidRPr="00490216">
        <w:rPr>
          <w:szCs w:val="24"/>
        </w:rPr>
        <w:t>O</w:t>
      </w:r>
      <w:r w:rsidRPr="00490216">
        <w:rPr>
          <w:spacing w:val="-2"/>
          <w:szCs w:val="24"/>
          <w:vertAlign w:val="subscript"/>
        </w:rPr>
        <w:t>3</w:t>
      </w:r>
      <w:r w:rsidRPr="00490216">
        <w:rPr>
          <w:spacing w:val="-2"/>
          <w:szCs w:val="24"/>
        </w:rPr>
        <w:t xml:space="preserve"> and 0.001 M EDTA at pH of 2.50</w:t>
      </w:r>
      <w:r w:rsidRPr="00490216">
        <w:rPr>
          <w:spacing w:val="-3"/>
          <w:szCs w:val="24"/>
        </w:rPr>
        <w:t xml:space="preserve"> was used. This solution was made by dissolving 40.03 g ammonium nitrate (N</w:t>
      </w:r>
      <w:r w:rsidRPr="00490216">
        <w:rPr>
          <w:szCs w:val="24"/>
        </w:rPr>
        <w:t>H</w:t>
      </w:r>
      <w:r w:rsidRPr="00490216">
        <w:rPr>
          <w:spacing w:val="-3"/>
          <w:szCs w:val="24"/>
          <w:vertAlign w:val="subscript"/>
        </w:rPr>
        <w:t>4</w:t>
      </w:r>
      <w:r w:rsidRPr="00490216">
        <w:rPr>
          <w:spacing w:val="-3"/>
          <w:szCs w:val="24"/>
        </w:rPr>
        <w:t>N</w:t>
      </w:r>
      <w:r w:rsidRPr="00490216">
        <w:rPr>
          <w:szCs w:val="24"/>
        </w:rPr>
        <w:t>O</w:t>
      </w:r>
      <w:r w:rsidRPr="00490216">
        <w:rPr>
          <w:spacing w:val="-3"/>
          <w:szCs w:val="24"/>
          <w:vertAlign w:val="subscript"/>
        </w:rPr>
        <w:t xml:space="preserve">3) </w:t>
      </w:r>
      <w:r w:rsidRPr="00490216">
        <w:rPr>
          <w:spacing w:val="-3"/>
          <w:szCs w:val="24"/>
        </w:rPr>
        <w:t>in about 1,000 mL of deionized water. This was followed by addition of 8.0 mL of 3.75M ammonium fluoride (N</w:t>
      </w:r>
      <w:r w:rsidRPr="00490216">
        <w:rPr>
          <w:szCs w:val="24"/>
        </w:rPr>
        <w:t>H</w:t>
      </w:r>
      <w:r w:rsidRPr="00490216">
        <w:rPr>
          <w:spacing w:val="-3"/>
          <w:szCs w:val="24"/>
          <w:vertAlign w:val="subscript"/>
        </w:rPr>
        <w:t>4</w:t>
      </w:r>
      <w:r w:rsidRPr="00490216">
        <w:rPr>
          <w:spacing w:val="-3"/>
          <w:szCs w:val="24"/>
        </w:rPr>
        <w:t xml:space="preserve">F)-0.25M </w:t>
      </w:r>
      <w:r w:rsidRPr="00490216">
        <w:rPr>
          <w:szCs w:val="24"/>
        </w:rPr>
        <w:t>Ethylenediamine tetraacetic acid (EDTA)</w:t>
      </w:r>
      <w:r w:rsidRPr="00490216">
        <w:rPr>
          <w:spacing w:val="-3"/>
          <w:szCs w:val="24"/>
        </w:rPr>
        <w:t xml:space="preserve"> stocksolution and mixed well. Then 23 mL of concentrated glacial acetic acid and 2</w:t>
      </w:r>
      <w:r>
        <w:rPr>
          <w:spacing w:val="-3"/>
          <w:szCs w:val="24"/>
        </w:rPr>
        <w:t xml:space="preserve"> mL of concentrated nitric acid</w:t>
      </w:r>
      <w:r w:rsidRPr="00490216">
        <w:rPr>
          <w:spacing w:val="-3"/>
          <w:szCs w:val="24"/>
        </w:rPr>
        <w:t>were added to th</w:t>
      </w:r>
      <w:r>
        <w:rPr>
          <w:spacing w:val="-3"/>
          <w:szCs w:val="24"/>
        </w:rPr>
        <w:t>e</w:t>
      </w:r>
      <w:r w:rsidRPr="00490216">
        <w:rPr>
          <w:spacing w:val="-3"/>
          <w:szCs w:val="24"/>
        </w:rPr>
        <w:t xml:space="preserve"> mixture and the final volume brought to 2,000 mL</w:t>
      </w:r>
      <w:r w:rsidRPr="00490216">
        <w:rPr>
          <w:szCs w:val="24"/>
        </w:rPr>
        <w:t xml:space="preserve"> with a pH of 2.50.</w:t>
      </w:r>
      <w:r>
        <w:rPr>
          <w:szCs w:val="24"/>
        </w:rPr>
        <w:t xml:space="preserve"> C</w:t>
      </w:r>
      <w:r w:rsidRPr="00490216">
        <w:rPr>
          <w:szCs w:val="24"/>
        </w:rPr>
        <w:t>alibration standards</w:t>
      </w:r>
      <w:r w:rsidRPr="00490216">
        <w:rPr>
          <w:spacing w:val="-2"/>
          <w:szCs w:val="24"/>
        </w:rPr>
        <w:t>in</w:t>
      </w:r>
      <w:r w:rsidRPr="00490216">
        <w:rPr>
          <w:spacing w:val="-3"/>
          <w:szCs w:val="24"/>
        </w:rPr>
        <w:t xml:space="preserve">Mehlich- 3 extracting solution </w:t>
      </w:r>
      <w:r>
        <w:rPr>
          <w:spacing w:val="-3"/>
          <w:szCs w:val="24"/>
        </w:rPr>
        <w:t xml:space="preserve">were used to quantify the concentrations of the micronutrients.  </w:t>
      </w:r>
    </w:p>
    <w:p w:rsidR="00156EE3" w:rsidRPr="00490216" w:rsidRDefault="00156EE3" w:rsidP="00156EE3">
      <w:pPr>
        <w:autoSpaceDE w:val="0"/>
        <w:autoSpaceDN w:val="0"/>
        <w:adjustRightInd w:val="0"/>
        <w:spacing w:line="360" w:lineRule="auto"/>
        <w:rPr>
          <w:szCs w:val="24"/>
        </w:rPr>
      </w:pPr>
      <w:r w:rsidRPr="00490216">
        <w:rPr>
          <w:szCs w:val="24"/>
        </w:rPr>
        <w:t>Exactly 5.0g of the powdered and dry soil sample was weighed on a digital analytical balance (Mettler Toledo, Switzerland) with ±0.0001g precision and transferred into a 200mL plastic shaking bottles. Fifty (50) millilit</w:t>
      </w:r>
      <w:r>
        <w:rPr>
          <w:szCs w:val="24"/>
        </w:rPr>
        <w:t>r</w:t>
      </w:r>
      <w:r w:rsidRPr="00490216">
        <w:rPr>
          <w:szCs w:val="24"/>
        </w:rPr>
        <w:t xml:space="preserve">ers of the extractant solution (Mehlich3) </w:t>
      </w:r>
      <w:r w:rsidR="00E90242">
        <w:rPr>
          <w:szCs w:val="24"/>
        </w:rPr>
        <w:fldChar w:fldCharType="begin"/>
      </w:r>
      <w:r w:rsidR="00BD09B5">
        <w:rPr>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sidR="00E90242">
        <w:rPr>
          <w:szCs w:val="24"/>
        </w:rPr>
        <w:fldChar w:fldCharType="separate"/>
      </w:r>
      <w:r w:rsidR="00312DFF">
        <w:rPr>
          <w:noProof/>
          <w:szCs w:val="24"/>
        </w:rPr>
        <w:t>(Mehlich, 1984)</w:t>
      </w:r>
      <w:r w:rsidR="00E90242">
        <w:rPr>
          <w:szCs w:val="24"/>
        </w:rPr>
        <w:fldChar w:fldCharType="end"/>
      </w:r>
      <w:r w:rsidRPr="00490216">
        <w:rPr>
          <w:szCs w:val="24"/>
        </w:rPr>
        <w:t xml:space="preserve"> was added to the soil samples and put on a reciprocating mechanical shaker for 10 minutes. This mixture was then immediately filtered into 40 mL Teflon tubes through Whatman No.2 filter paper. Two blanks without soil samples were prepared in the same way. Samples with concentrations above the highest standard were diluted using dilution factors </w:t>
      </w:r>
      <w:r w:rsidR="00E90242">
        <w:rPr>
          <w:szCs w:val="24"/>
        </w:rPr>
        <w:fldChar w:fldCharType="begin"/>
      </w:r>
      <w:r w:rsidR="00BD09B5">
        <w:rPr>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sidR="00E90242">
        <w:rPr>
          <w:szCs w:val="24"/>
        </w:rPr>
        <w:fldChar w:fldCharType="separate"/>
      </w:r>
      <w:r w:rsidR="00312DFF">
        <w:rPr>
          <w:noProof/>
          <w:szCs w:val="24"/>
        </w:rPr>
        <w:t>(Mehlich, 1984)</w:t>
      </w:r>
      <w:r w:rsidR="00E90242">
        <w:rPr>
          <w:szCs w:val="24"/>
        </w:rPr>
        <w:fldChar w:fldCharType="end"/>
      </w:r>
      <w:r w:rsidRPr="00490216">
        <w:rPr>
          <w:szCs w:val="24"/>
        </w:rPr>
        <w:t xml:space="preserve">. Inductively Coupled Plasma Atomic Emission Spectrophotometer (ICP- AES 9000) was </w:t>
      </w:r>
      <w:r>
        <w:rPr>
          <w:szCs w:val="24"/>
        </w:rPr>
        <w:t>used to analyze</w:t>
      </w:r>
      <w:r w:rsidRPr="00490216">
        <w:rPr>
          <w:szCs w:val="24"/>
        </w:rPr>
        <w:t xml:space="preserve"> ca</w:t>
      </w:r>
      <w:r>
        <w:rPr>
          <w:szCs w:val="24"/>
        </w:rPr>
        <w:t xml:space="preserve">lcium, </w:t>
      </w:r>
      <w:r w:rsidRPr="00490216">
        <w:rPr>
          <w:szCs w:val="24"/>
        </w:rPr>
        <w:t>magnesium</w:t>
      </w:r>
      <w:r>
        <w:rPr>
          <w:szCs w:val="24"/>
        </w:rPr>
        <w:t xml:space="preserve"> and manganese</w:t>
      </w:r>
      <w:r w:rsidRPr="00490216">
        <w:rPr>
          <w:szCs w:val="24"/>
        </w:rPr>
        <w:t xml:space="preserve">. The macronutrients were measured to 0.1ppm </w:t>
      </w:r>
      <w:r w:rsidR="00E90242">
        <w:rPr>
          <w:szCs w:val="24"/>
        </w:rPr>
        <w:fldChar w:fldCharType="begin"/>
      </w:r>
      <w:r w:rsidR="00BD09B5">
        <w:rPr>
          <w:szCs w:val="24"/>
        </w:rPr>
        <w:instrText xml:space="preserve"> ADDIN EN.CITE &lt;EndNote&gt;&lt;Cite&gt;&lt;Author&gt;Zhang&lt;/Author&gt;&lt;Year&gt;2009&lt;/Year&gt;&lt;RecNum&gt;83&lt;/RecNum&gt;&lt;DisplayText&gt;(Zhang et al., 2009)&lt;/DisplayText&gt;&lt;record&gt;&lt;rec-number&gt;83&lt;/rec-number&gt;&lt;foreign-keys&gt;&lt;key app="EN" db-id="zx5vprwxa0rsabew9f9xp5fcs9tz0dzwa2fa" timestamp="1595617049"&gt;83&lt;/key&gt;&lt;/foreign-keys&gt;&lt;ref-type name="Journal Article"&gt;17&lt;/ref-type&gt;&lt;contributors&gt;&lt;authors&gt;&lt;author&gt;Zhang, H.&lt;/author&gt;&lt;author&gt;Kariuki, S.&lt;/author&gt;&lt;author&gt;Schroder, J.&lt;/author&gt;&lt;author&gt;Payton, M.&lt;/author&gt;&lt;author&gt;Focht, C.&lt;/author&gt;&lt;/authors&gt;&lt;/contributors&gt;&lt;titles&gt;&lt;title&gt;Inter-laboratory validation of the Mehlich- 3 for extraction of plant-available phosphorus&lt;/title&gt;&lt;secondary-title&gt;Journal of AOAC International&lt;/secondary-title&gt;&lt;/titles&gt;&lt;periodical&gt;&lt;full-title&gt;Journal of AOAC International&lt;/full-title&gt;&lt;/periodical&gt;&lt;pages&gt;91-102&lt;/pages&gt;&lt;volume&gt;92&lt;/volume&gt;&lt;number&gt;1&lt;/number&gt;&lt;dates&gt;&lt;year&gt;2009&lt;/year&gt;&lt;/dates&gt;&lt;urls&gt;&lt;/urls&gt;&lt;electronic-resource-num&gt;https://doi.org/10.1093/jaoac/92.1.91&lt;/electronic-resource-num&gt;&lt;/record&gt;&lt;/Cite&gt;&lt;/EndNote&gt;</w:instrText>
      </w:r>
      <w:r w:rsidR="00E90242">
        <w:rPr>
          <w:szCs w:val="24"/>
        </w:rPr>
        <w:fldChar w:fldCharType="separate"/>
      </w:r>
      <w:r w:rsidR="00BE2D15">
        <w:rPr>
          <w:noProof/>
          <w:szCs w:val="24"/>
        </w:rPr>
        <w:t>(Zhang et al., 2009)</w:t>
      </w:r>
      <w:r w:rsidR="00E90242">
        <w:rPr>
          <w:szCs w:val="24"/>
        </w:rPr>
        <w:fldChar w:fldCharType="end"/>
      </w:r>
      <w:r w:rsidRPr="00490216">
        <w:rPr>
          <w:szCs w:val="24"/>
        </w:rPr>
        <w:t xml:space="preserve">. The data was analyzed using MSTATC, version 2.10 (1993)software package for ANOVAs. Student t-test was used and significant means were separated </w:t>
      </w:r>
      <w:r>
        <w:rPr>
          <w:szCs w:val="24"/>
        </w:rPr>
        <w:t>at</w:t>
      </w:r>
      <w:r w:rsidRPr="00490216">
        <w:rPr>
          <w:szCs w:val="24"/>
        </w:rPr>
        <w:t xml:space="preserve"> LSDs (p≤0.05)</w:t>
      </w:r>
      <w:r>
        <w:rPr>
          <w:szCs w:val="24"/>
        </w:rPr>
        <w:t>.</w:t>
      </w:r>
    </w:p>
    <w:bookmarkEnd w:id="8"/>
    <w:p w:rsidR="00156EE3" w:rsidRDefault="00156EE3" w:rsidP="00156EE3">
      <w:pPr>
        <w:keepNext/>
        <w:spacing w:line="360" w:lineRule="auto"/>
        <w:outlineLvl w:val="0"/>
        <w:rPr>
          <w:rFonts w:eastAsia="Times New Roman"/>
          <w:b/>
          <w:bCs/>
          <w:kern w:val="32"/>
          <w:szCs w:val="24"/>
        </w:rPr>
      </w:pPr>
    </w:p>
    <w:p w:rsidR="00156EE3" w:rsidRPr="00490216" w:rsidRDefault="00156EE3" w:rsidP="00156EE3">
      <w:pPr>
        <w:keepNext/>
        <w:spacing w:line="360" w:lineRule="auto"/>
        <w:outlineLvl w:val="0"/>
        <w:rPr>
          <w:rFonts w:eastAsia="Times New Roman"/>
          <w:b/>
          <w:bCs/>
          <w:kern w:val="32"/>
          <w:szCs w:val="24"/>
        </w:rPr>
      </w:pPr>
      <w:r w:rsidRPr="00490216">
        <w:rPr>
          <w:rFonts w:eastAsia="Times New Roman"/>
          <w:b/>
          <w:bCs/>
          <w:kern w:val="32"/>
          <w:szCs w:val="24"/>
        </w:rPr>
        <w:t>RESULTS AND DISCUSSION</w:t>
      </w:r>
    </w:p>
    <w:p w:rsidR="00156EE3" w:rsidRDefault="00156EE3" w:rsidP="00156EE3">
      <w:pPr>
        <w:spacing w:line="360" w:lineRule="auto"/>
        <w:rPr>
          <w:szCs w:val="24"/>
        </w:rPr>
      </w:pPr>
      <w:r>
        <w:rPr>
          <w:szCs w:val="24"/>
        </w:rPr>
        <w:t xml:space="preserve">Plucking standard did not influence soil calcium, magnesium and manganese levels in all locations. Similar observations was previously made on mature leaf contents </w:t>
      </w:r>
      <w:r w:rsidR="00E90242">
        <w:rPr>
          <w:szCs w:val="24"/>
        </w:rPr>
        <w:fldChar w:fldCharType="begin"/>
      </w:r>
      <w:r w:rsidR="00BD09B5">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E90242">
        <w:rPr>
          <w:szCs w:val="24"/>
        </w:rPr>
        <w:fldChar w:fldCharType="separate"/>
      </w:r>
      <w:r w:rsidR="00BE2D15">
        <w:rPr>
          <w:noProof/>
          <w:szCs w:val="24"/>
        </w:rPr>
        <w:t>(Kwach et al., 2014)</w:t>
      </w:r>
      <w:r w:rsidR="00E90242">
        <w:rPr>
          <w:szCs w:val="24"/>
        </w:rPr>
        <w:fldChar w:fldCharType="end"/>
      </w:r>
      <w:r>
        <w:rPr>
          <w:szCs w:val="24"/>
        </w:rPr>
        <w:t xml:space="preserve">, soil pH and organic carbon </w:t>
      </w:r>
      <w:r w:rsidR="00E90242">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w:instrText>
      </w:r>
      <w:r w:rsidR="00BD09B5" w:rsidRPr="00D31FBF">
        <w:rPr>
          <w:szCs w:val="24"/>
          <w:lang w:val="fr-FR"/>
        </w:rPr>
        <w:instrTex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E90242">
        <w:rPr>
          <w:szCs w:val="24"/>
        </w:rPr>
        <w:fldChar w:fldCharType="separate"/>
      </w:r>
      <w:r w:rsidR="00BE2D15" w:rsidRPr="00D31FBF">
        <w:rPr>
          <w:noProof/>
          <w:szCs w:val="24"/>
          <w:lang w:val="fr-FR"/>
        </w:rPr>
        <w:t>(Ombori et al., 2020)</w:t>
      </w:r>
      <w:r w:rsidR="00E90242">
        <w:rPr>
          <w:szCs w:val="24"/>
        </w:rPr>
        <w:fldChar w:fldCharType="end"/>
      </w:r>
      <w:r w:rsidRPr="00D31FBF">
        <w:rPr>
          <w:szCs w:val="24"/>
          <w:lang w:val="fr-FR"/>
        </w:rPr>
        <w:t>, macronutrients</w:t>
      </w:r>
      <w:r w:rsidR="00E90242">
        <w:rPr>
          <w:szCs w:val="24"/>
        </w:rPr>
        <w:fldChar w:fldCharType="begin"/>
      </w:r>
      <w:r w:rsidR="00BD09B5" w:rsidRPr="00D31FBF">
        <w:rPr>
          <w:szCs w:val="24"/>
          <w:lang w:val="fr-FR"/>
        </w:rPr>
        <w:instrText xml:space="preserve"> ADDIN EN.CITE &lt;EndNote&gt;&lt;Cite&gt;&lt;Author&gt;Ombori&lt;/Author&gt;&lt;Year&gt;2025&lt;/Year&gt;&lt;RecNum&gt;217&lt;/RecNum&gt;&lt;DisplayText&gt;(Ombori et al., 2025a)&lt;/DisplayText&gt;&lt;record&gt;&lt;rec-number&gt;217&lt;/rec-number&gt;&lt;foreign-keys&gt;&lt;key app="EN" db-id="zx5vprwxa0rsabew9f9xp5fcs9tz0dzwa2fa" timestamp="1757618599"&gt;217&lt;/key&gt;&lt;/foreign-keys&gt;&lt;ref-type name="Journal Article"&gt;17&lt;/ref-type&gt;&lt;co</w:instrText>
      </w:r>
      <w:r w:rsidR="00BD09B5" w:rsidRPr="004C0535">
        <w:rPr>
          <w:szCs w:val="24"/>
          <w:lang w:val="fr-FR"/>
        </w:rPr>
        <w:instrText>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II. Effects on soil nitrogen, phosphorous, and potassium&lt;/style&gt;&lt;/title&gt;&lt;secondary-title&gt;Asian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sidR="00E90242">
        <w:rPr>
          <w:szCs w:val="24"/>
        </w:rPr>
        <w:fldChar w:fldCharType="separate"/>
      </w:r>
      <w:r w:rsidR="00BE2D15" w:rsidRPr="004C0535">
        <w:rPr>
          <w:noProof/>
          <w:szCs w:val="24"/>
          <w:lang w:val="fr-FR"/>
        </w:rPr>
        <w:t>(Ombori et al., 2025a)</w:t>
      </w:r>
      <w:r w:rsidR="00E90242">
        <w:rPr>
          <w:szCs w:val="24"/>
        </w:rPr>
        <w:fldChar w:fldCharType="end"/>
      </w:r>
      <w:r w:rsidRPr="004C0535">
        <w:rPr>
          <w:szCs w:val="24"/>
          <w:lang w:val="fr-FR"/>
        </w:rPr>
        <w:t xml:space="preserve"> and micronutrients</w:t>
      </w:r>
      <w:r w:rsidR="00E90242">
        <w:rPr>
          <w:szCs w:val="24"/>
        </w:rPr>
        <w:fldChar w:fldCharType="begin"/>
      </w:r>
      <w:r w:rsidR="00BD09B5" w:rsidRPr="004C0535">
        <w:rPr>
          <w:szCs w:val="24"/>
          <w:lang w:val="fr-FR"/>
        </w:rPr>
        <w:instrText xml:space="preserve"> ADDIN EN.CITE &lt;EndNote&gt;&lt;Cite&gt;&lt;Author&gt;Ombori&lt;/Author&gt;&lt;Year&gt;2025&lt;/Year&gt;&lt;RecNum&gt;216&lt;/RecNum&gt;&lt;DisplayText&gt;(Ombori et al., 2025b)&lt;/DisplayText&gt;&lt;record&gt;&lt;rec-number&gt;216&lt;/rec-number&gt;&lt;foreign-keys&gt;&lt;key app="EN" db-id="zx5vprwxa0rsabew9f9xp5fcs9tz0dzwa2fa" timestamp="1757618287"&gt;216&lt;/key&gt;&lt;/foreign-keys&gt;&lt;ref-type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IV. Effects on soil micro-nutrients (Al, Fe, Zn, Cu)&lt;/style&gt;&lt;/title&gt;&lt;secondary-title&gt;Asian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sidR="00E90242">
        <w:rPr>
          <w:szCs w:val="24"/>
        </w:rPr>
        <w:fldChar w:fldCharType="separate"/>
      </w:r>
      <w:r w:rsidR="00BE2D15" w:rsidRPr="004C0535">
        <w:rPr>
          <w:noProof/>
          <w:szCs w:val="24"/>
          <w:lang w:val="fr-FR"/>
        </w:rPr>
        <w:t>(Ombori et al., 2025b)</w:t>
      </w:r>
      <w:r w:rsidR="00E90242">
        <w:rPr>
          <w:szCs w:val="24"/>
        </w:rPr>
        <w:fldChar w:fldCharType="end"/>
      </w:r>
      <w:r w:rsidRPr="004C0535">
        <w:rPr>
          <w:szCs w:val="24"/>
          <w:lang w:val="fr-FR"/>
        </w:rPr>
        <w:t xml:space="preserve">. </w:t>
      </w:r>
      <w:r>
        <w:rPr>
          <w:szCs w:val="24"/>
        </w:rPr>
        <w:t xml:space="preserve">As a consequence, the plucking intervals data are not presented in this current work. </w:t>
      </w:r>
    </w:p>
    <w:p w:rsidR="000622B8" w:rsidRDefault="000622B8" w:rsidP="00156EE3">
      <w:pPr>
        <w:spacing w:line="360" w:lineRule="auto"/>
        <w:rPr>
          <w:szCs w:val="24"/>
        </w:rPr>
      </w:pPr>
    </w:p>
    <w:p w:rsidR="000622B8" w:rsidRPr="00F07FB7" w:rsidRDefault="000622B8" w:rsidP="000622B8">
      <w:pPr>
        <w:spacing w:line="360" w:lineRule="auto"/>
        <w:rPr>
          <w:b/>
          <w:szCs w:val="24"/>
        </w:rPr>
      </w:pPr>
      <w:r w:rsidRPr="00F07FB7">
        <w:rPr>
          <w:b/>
          <w:szCs w:val="24"/>
        </w:rPr>
        <w:t>Calcium</w:t>
      </w:r>
    </w:p>
    <w:p w:rsidR="000622B8" w:rsidRPr="00490216" w:rsidRDefault="000622B8" w:rsidP="000622B8">
      <w:pPr>
        <w:spacing w:line="360" w:lineRule="auto"/>
        <w:rPr>
          <w:szCs w:val="24"/>
        </w:rPr>
      </w:pPr>
      <w:r w:rsidRPr="00490216">
        <w:rPr>
          <w:szCs w:val="24"/>
        </w:rPr>
        <w:t xml:space="preserve">The changes in soil </w:t>
      </w:r>
      <w:r>
        <w:rPr>
          <w:szCs w:val="24"/>
        </w:rPr>
        <w:t xml:space="preserve">available </w:t>
      </w:r>
      <w:r w:rsidRPr="00490216">
        <w:rPr>
          <w:szCs w:val="24"/>
        </w:rPr>
        <w:t>calcium with location</w:t>
      </w:r>
      <w:r>
        <w:rPr>
          <w:szCs w:val="24"/>
        </w:rPr>
        <w:t xml:space="preserve"> and </w:t>
      </w:r>
      <w:r w:rsidRPr="00490216">
        <w:rPr>
          <w:szCs w:val="24"/>
        </w:rPr>
        <w:t xml:space="preserve">nitrogenous fertilizer rates are presented in </w:t>
      </w:r>
      <w:r>
        <w:rPr>
          <w:szCs w:val="24"/>
        </w:rPr>
        <w:t>Figure 1</w:t>
      </w:r>
      <w:r w:rsidRPr="00490216">
        <w:rPr>
          <w:szCs w:val="24"/>
        </w:rPr>
        <w:t xml:space="preserve">. </w:t>
      </w:r>
      <w:r>
        <w:rPr>
          <w:szCs w:val="24"/>
        </w:rPr>
        <w:t>G</w:t>
      </w:r>
      <w:r w:rsidRPr="00490216">
        <w:rPr>
          <w:szCs w:val="24"/>
        </w:rPr>
        <w:t>eneral</w:t>
      </w:r>
      <w:r>
        <w:rPr>
          <w:szCs w:val="24"/>
        </w:rPr>
        <w:t xml:space="preserve">ly, </w:t>
      </w:r>
      <w:r w:rsidRPr="00490216">
        <w:rPr>
          <w:szCs w:val="24"/>
        </w:rPr>
        <w:t>calcium levels increase</w:t>
      </w:r>
      <w:r>
        <w:rPr>
          <w:szCs w:val="24"/>
        </w:rPr>
        <w:t>din</w:t>
      </w:r>
      <w:r w:rsidRPr="00490216">
        <w:rPr>
          <w:szCs w:val="24"/>
        </w:rPr>
        <w:t xml:space="preserve"> lower soil profile compared to the upper layers. </w:t>
      </w:r>
      <w:r>
        <w:rPr>
          <w:szCs w:val="24"/>
        </w:rPr>
        <w:t>Possibly this was due to</w:t>
      </w:r>
      <w:r w:rsidRPr="00490216">
        <w:rPr>
          <w:szCs w:val="24"/>
        </w:rPr>
        <w:t xml:space="preserve"> enhanced leaching of calcium to deeper soil horizons</w:t>
      </w:r>
      <w:r>
        <w:rPr>
          <w:szCs w:val="24"/>
        </w:rPr>
        <w:t xml:space="preserve"> as had been observed previously</w:t>
      </w:r>
      <w:r w:rsidR="00E90242">
        <w:rPr>
          <w:szCs w:val="24"/>
        </w:rPr>
        <w:fldChar w:fldCharType="begin"/>
      </w:r>
      <w:r w:rsidR="00BD09B5">
        <w:rPr>
          <w:szCs w:val="24"/>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00E90242">
        <w:rPr>
          <w:szCs w:val="24"/>
        </w:rPr>
        <w:fldChar w:fldCharType="separate"/>
      </w:r>
      <w:r w:rsidR="00BE2D15">
        <w:rPr>
          <w:noProof/>
          <w:szCs w:val="24"/>
        </w:rPr>
        <w:t>(Kamau et al., 1998; Kebeney et al., 2010)</w:t>
      </w:r>
      <w:r w:rsidR="00E90242">
        <w:rPr>
          <w:szCs w:val="24"/>
        </w:rPr>
        <w:fldChar w:fldCharType="end"/>
      </w:r>
      <w:r w:rsidRPr="00490216">
        <w:rPr>
          <w:szCs w:val="24"/>
        </w:rPr>
        <w:t xml:space="preserve"> as a result of higher acidity at the top soil levels.</w:t>
      </w:r>
    </w:p>
    <w:p w:rsidR="000622B8" w:rsidRDefault="000622B8" w:rsidP="000622B8">
      <w:pPr>
        <w:pStyle w:val="Default"/>
        <w:spacing w:line="360" w:lineRule="auto"/>
        <w:jc w:val="both"/>
        <w:rPr>
          <w:rFonts w:ascii="Times New Roman" w:hAnsi="Times New Roman" w:cs="Times New Roman"/>
        </w:rPr>
      </w:pPr>
      <w:r>
        <w:rPr>
          <w:rFonts w:ascii="Times New Roman" w:hAnsi="Times New Roman" w:cs="Times New Roman"/>
        </w:rPr>
        <w:t xml:space="preserve">Locations had different </w:t>
      </w:r>
      <w:r w:rsidRPr="00490216">
        <w:rPr>
          <w:rFonts w:ascii="Times New Roman" w:hAnsi="Times New Roman" w:cs="Times New Roman"/>
        </w:rPr>
        <w:t>(</w:t>
      </w:r>
      <w:r>
        <w:rPr>
          <w:rFonts w:ascii="Times New Roman" w:hAnsi="Times New Roman" w:cs="Times New Roman"/>
        </w:rPr>
        <w:t>p</w:t>
      </w:r>
      <w:r w:rsidRPr="00490216">
        <w:rPr>
          <w:rFonts w:ascii="Times New Roman" w:hAnsi="Times New Roman" w:cs="Times New Roman"/>
          <w:u w:val="single"/>
        </w:rPr>
        <w:t>&lt;</w:t>
      </w:r>
      <w:r w:rsidRPr="00490216">
        <w:rPr>
          <w:rFonts w:ascii="Times New Roman" w:hAnsi="Times New Roman" w:cs="Times New Roman"/>
        </w:rPr>
        <w:t>0.05)</w:t>
      </w:r>
      <w:r>
        <w:rPr>
          <w:rFonts w:ascii="Times New Roman" w:hAnsi="Times New Roman" w:cs="Times New Roman"/>
        </w:rPr>
        <w:t xml:space="preserve"> s</w:t>
      </w:r>
      <w:r w:rsidRPr="00490216">
        <w:rPr>
          <w:rFonts w:ascii="Times New Roman" w:hAnsi="Times New Roman" w:cs="Times New Roman"/>
        </w:rPr>
        <w:t xml:space="preserve">oil </w:t>
      </w:r>
      <w:r>
        <w:rPr>
          <w:rFonts w:ascii="Times New Roman" w:hAnsi="Times New Roman" w:cs="Times New Roman"/>
        </w:rPr>
        <w:t xml:space="preserve">available </w:t>
      </w:r>
      <w:r w:rsidRPr="00490216">
        <w:rPr>
          <w:rFonts w:ascii="Times New Roman" w:hAnsi="Times New Roman" w:cs="Times New Roman"/>
        </w:rPr>
        <w:t xml:space="preserve">calcium </w:t>
      </w:r>
      <w:r>
        <w:rPr>
          <w:rFonts w:ascii="Times New Roman" w:hAnsi="Times New Roman" w:cs="Times New Roman"/>
        </w:rPr>
        <w:t>levels (Figure 1</w:t>
      </w:r>
      <w:r w:rsidRPr="00490216">
        <w:rPr>
          <w:rFonts w:ascii="Times New Roman" w:hAnsi="Times New Roman" w:cs="Times New Roman"/>
        </w:rPr>
        <w:t xml:space="preserve">). </w:t>
      </w:r>
      <w:r>
        <w:rPr>
          <w:rFonts w:ascii="Times New Roman" w:hAnsi="Times New Roman" w:cs="Times New Roman"/>
        </w:rPr>
        <w:t>Mulindi had the highest while Katoke recorded lowest c</w:t>
      </w:r>
      <w:r w:rsidRPr="00490216">
        <w:rPr>
          <w:rFonts w:ascii="Times New Roman" w:hAnsi="Times New Roman" w:cs="Times New Roman"/>
        </w:rPr>
        <w:t xml:space="preserve">alcium levels at all soil depths. </w:t>
      </w:r>
      <w:r>
        <w:rPr>
          <w:rFonts w:ascii="Times New Roman" w:hAnsi="Times New Roman" w:cs="Times New Roman"/>
        </w:rPr>
        <w:t>I</w:t>
      </w:r>
      <w:r w:rsidRPr="008035EA">
        <w:rPr>
          <w:rFonts w:ascii="Times New Roman" w:hAnsi="Times New Roman" w:cs="Times New Roman"/>
        </w:rPr>
        <w:t>n Timbilil, Kitabi, Katok</w:t>
      </w:r>
      <w:r>
        <w:rPr>
          <w:rFonts w:ascii="Times New Roman" w:hAnsi="Times New Roman" w:cs="Times New Roman"/>
        </w:rPr>
        <w:t>e</w:t>
      </w:r>
      <w:r w:rsidRPr="008035EA">
        <w:rPr>
          <w:rFonts w:ascii="Times New Roman" w:hAnsi="Times New Roman" w:cs="Times New Roman"/>
        </w:rPr>
        <w:t xml:space="preserve"> and Maruku</w:t>
      </w:r>
      <w:r>
        <w:rPr>
          <w:rFonts w:ascii="Times New Roman" w:hAnsi="Times New Roman" w:cs="Times New Roman"/>
        </w:rPr>
        <w:t xml:space="preserve">the calcium levels </w:t>
      </w:r>
      <w:r w:rsidRPr="008035EA">
        <w:rPr>
          <w:rFonts w:ascii="Times New Roman" w:hAnsi="Times New Roman" w:cs="Times New Roman"/>
        </w:rPr>
        <w:t>did not take particular patterns, but in Mulindi</w:t>
      </w:r>
      <w:r>
        <w:rPr>
          <w:rFonts w:ascii="Times New Roman" w:hAnsi="Times New Roman" w:cs="Times New Roman"/>
          <w:bCs/>
          <w:lang w:val="en-GB"/>
        </w:rPr>
        <w:t>,</w:t>
      </w:r>
      <w:r w:rsidRPr="008035EA">
        <w:rPr>
          <w:rFonts w:ascii="Times New Roman" w:hAnsi="Times New Roman" w:cs="Times New Roman"/>
          <w:bCs/>
          <w:lang w:val="en-GB"/>
        </w:rPr>
        <w:t xml:space="preserve">Arroket and </w:t>
      </w:r>
      <w:r w:rsidRPr="008035EA">
        <w:rPr>
          <w:rFonts w:ascii="Times New Roman" w:hAnsi="Times New Roman" w:cs="Times New Roman"/>
        </w:rPr>
        <w:t>Changoi</w:t>
      </w:r>
      <w:r w:rsidRPr="008035EA">
        <w:rPr>
          <w:rFonts w:ascii="Times New Roman" w:hAnsi="Times New Roman" w:cs="Times New Roman"/>
          <w:bCs/>
          <w:lang w:val="en-GB"/>
        </w:rPr>
        <w:t xml:space="preserve"> soil </w:t>
      </w:r>
      <w:r>
        <w:rPr>
          <w:rFonts w:ascii="Times New Roman" w:hAnsi="Times New Roman" w:cs="Times New Roman"/>
          <w:bCs/>
          <w:lang w:val="en-GB"/>
        </w:rPr>
        <w:t xml:space="preserve">available </w:t>
      </w:r>
      <w:r w:rsidRPr="008035EA">
        <w:rPr>
          <w:rFonts w:ascii="Times New Roman" w:hAnsi="Times New Roman" w:cs="Times New Roman"/>
          <w:bCs/>
          <w:lang w:val="en-GB"/>
        </w:rPr>
        <w:t xml:space="preserve">calcium levels increased with soil depth (Figure </w:t>
      </w:r>
      <w:r>
        <w:rPr>
          <w:rFonts w:ascii="Times New Roman" w:hAnsi="Times New Roman" w:cs="Times New Roman"/>
          <w:bCs/>
          <w:lang w:val="en-GB"/>
        </w:rPr>
        <w:t>1</w:t>
      </w:r>
      <w:r w:rsidRPr="008035EA">
        <w:rPr>
          <w:rFonts w:ascii="Times New Roman" w:hAnsi="Times New Roman" w:cs="Times New Roman"/>
          <w:bCs/>
          <w:lang w:val="en-GB"/>
        </w:rPr>
        <w:t xml:space="preserve">a). Calcium levels are usually low </w:t>
      </w:r>
      <w:r>
        <w:rPr>
          <w:rFonts w:ascii="Times New Roman" w:hAnsi="Times New Roman" w:cs="Times New Roman"/>
          <w:bCs/>
          <w:lang w:val="en-GB"/>
        </w:rPr>
        <w:t xml:space="preserve">in acidic soils in which tea is grown </w:t>
      </w:r>
      <w:r w:rsidR="00E90242" w:rsidRPr="008035EA">
        <w:rPr>
          <w:rFonts w:ascii="Times New Roman" w:hAnsi="Times New Roman" w:cs="Times New Roman"/>
          <w:bCs/>
          <w:lang w:val="en-GB"/>
        </w:rPr>
        <w:fldChar w:fldCharType="begin"/>
      </w:r>
      <w:r w:rsidR="00BD09B5">
        <w:rPr>
          <w:rFonts w:ascii="Times New Roman" w:hAnsi="Times New Roman" w:cs="Times New Roman"/>
          <w:bCs/>
          <w:lang w:val="en-GB"/>
        </w:rPr>
        <w:instrText xml:space="preserve"> ADDIN EN.CITE &lt;EndNote&gt;&lt;Cite&gt;&lt;Author&gt;Ruan&lt;/Author&gt;&lt;Year&gt;2004&lt;/Year&gt;&lt;RecNum&gt;140&lt;/RecNum&gt;&lt;DisplayText&gt;(Ruan et al., 2004)&lt;/DisplayText&gt;&lt;record&gt;&lt;rec-number&gt;140&lt;/rec-number&gt;&lt;foreign-keys&gt;&lt;key app="EN" db-id="zx5vprwxa0rsabew9f9xp5fcs9tz0dzwa2fa" timestamp="1727298548"&gt;140&lt;/key&gt;&lt;/foreign-keys&gt;&lt;ref-type name="Journal Article"&gt;17&lt;/ref-type&gt;&lt;contributors&gt;&lt;authors&gt;&lt;author&gt;Ruan, Jianyun&lt;/author&gt;&lt;author&gt;Ma, Lifeng&lt;/author&gt;&lt;author&gt;Shi, Yuanzhi&lt;/author&gt;&lt;author&gt;Han, Wenyan&lt;/author&gt;&lt;/authors&gt;&lt;/contributors&gt;&lt;titles&gt;&lt;title&gt;&lt;style face="normal" font="default" size="100%"&gt;The impact of pH and calcium on the uptake of fluoride by tea plants (&lt;/style&gt;&lt;style face="italic" font="default" size="100%"&gt;Camellia sinensis&lt;/style&gt;&lt;style face="normal" font="default" size="100%"&gt; L.)&lt;/style&gt;&lt;/title&gt;&lt;secondary-title&gt;Annals of Botany&lt;/secondary-title&gt;&lt;/titles&gt;&lt;periodical&gt;&lt;full-title&gt;Annals of Botany&lt;/full-title&gt;&lt;/periodical&gt;&lt;pages&gt;97-105&lt;/pages&gt;&lt;volume&gt;93&lt;/volume&gt;&lt;number&gt;1&lt;/number&gt;&lt;dates&gt;&lt;year&gt;2004&lt;/year&gt;&lt;/dates&gt;&lt;isbn&gt;1095-8290&lt;/isbn&gt;&lt;urls&gt;&lt;/urls&gt;&lt;electronic-resource-num&gt;https://doi.org/10.1093/aob/mch010&lt;/electronic-resource-num&gt;&lt;/record&gt;&lt;/Cite&gt;&lt;/EndNote&gt;</w:instrText>
      </w:r>
      <w:r w:rsidR="00E90242" w:rsidRPr="008035EA">
        <w:rPr>
          <w:rFonts w:ascii="Times New Roman" w:hAnsi="Times New Roman" w:cs="Times New Roman"/>
          <w:bCs/>
          <w:lang w:val="en-GB"/>
        </w:rPr>
        <w:fldChar w:fldCharType="separate"/>
      </w:r>
      <w:r w:rsidR="00BE2D15">
        <w:rPr>
          <w:rFonts w:ascii="Times New Roman" w:hAnsi="Times New Roman" w:cs="Times New Roman"/>
          <w:bCs/>
          <w:noProof/>
          <w:lang w:val="en-GB"/>
        </w:rPr>
        <w:t>(Ruan et al., 2004)</w:t>
      </w:r>
      <w:r w:rsidR="00E90242" w:rsidRPr="008035EA">
        <w:rPr>
          <w:rFonts w:ascii="Times New Roman" w:hAnsi="Times New Roman" w:cs="Times New Roman"/>
          <w:bCs/>
          <w:lang w:val="en-GB"/>
        </w:rPr>
        <w:fldChar w:fldCharType="end"/>
      </w:r>
      <w:r>
        <w:rPr>
          <w:rFonts w:ascii="Times New Roman" w:hAnsi="Times New Roman" w:cs="Times New Roman"/>
          <w:bCs/>
          <w:lang w:val="en-GB"/>
        </w:rPr>
        <w:t xml:space="preserve"> due</w:t>
      </w:r>
      <w:r w:rsidRPr="008035EA">
        <w:rPr>
          <w:rFonts w:ascii="Times New Roman" w:hAnsi="Times New Roman" w:cs="Times New Roman"/>
          <w:bCs/>
          <w:lang w:val="en-GB"/>
        </w:rPr>
        <w:t xml:space="preserve"> to differences </w:t>
      </w:r>
      <w:r>
        <w:rPr>
          <w:rFonts w:ascii="Times New Roman" w:hAnsi="Times New Roman" w:cs="Times New Roman"/>
          <w:bCs/>
          <w:lang w:val="en-GB"/>
        </w:rPr>
        <w:t>in</w:t>
      </w:r>
      <w:r w:rsidRPr="008035EA">
        <w:rPr>
          <w:rFonts w:ascii="Times New Roman" w:hAnsi="Times New Roman" w:cs="Times New Roman"/>
          <w:bCs/>
          <w:lang w:val="en-GB"/>
        </w:rPr>
        <w:t xml:space="preserve"> environmental and geological parameters. Increasing rates of nitrogen</w:t>
      </w:r>
      <w:r>
        <w:rPr>
          <w:rFonts w:ascii="Times New Roman" w:hAnsi="Times New Roman" w:cs="Times New Roman"/>
          <w:bCs/>
          <w:lang w:val="en-GB"/>
        </w:rPr>
        <w:t>ous</w:t>
      </w:r>
      <w:r w:rsidRPr="008035EA">
        <w:rPr>
          <w:rFonts w:ascii="Times New Roman" w:hAnsi="Times New Roman" w:cs="Times New Roman"/>
          <w:bCs/>
          <w:lang w:val="en-GB"/>
        </w:rPr>
        <w:t xml:space="preserve"> fertiliser reduced </w:t>
      </w:r>
      <w:r w:rsidRPr="00CE2C5F">
        <w:rPr>
          <w:rFonts w:ascii="Times New Roman" w:hAnsi="Times New Roman" w:cs="Times New Roman"/>
        </w:rPr>
        <w:t>(p</w:t>
      </w:r>
      <w:r w:rsidRPr="00CE2C5F">
        <w:rPr>
          <w:rFonts w:ascii="Times New Roman" w:hAnsi="Times New Roman" w:cs="Times New Roman"/>
          <w:u w:val="single"/>
        </w:rPr>
        <w:t>&lt;</w:t>
      </w:r>
      <w:r w:rsidRPr="00CE2C5F">
        <w:rPr>
          <w:rFonts w:ascii="Times New Roman" w:hAnsi="Times New Roman" w:cs="Times New Roman"/>
        </w:rPr>
        <w:t>0.05)</w:t>
      </w:r>
      <w:r w:rsidRPr="008035EA">
        <w:rPr>
          <w:rFonts w:ascii="Times New Roman" w:hAnsi="Times New Roman" w:cs="Times New Roman"/>
        </w:rPr>
        <w:t xml:space="preserve"> soil </w:t>
      </w:r>
      <w:r>
        <w:rPr>
          <w:rFonts w:ascii="Times New Roman" w:hAnsi="Times New Roman" w:cs="Times New Roman"/>
        </w:rPr>
        <w:t xml:space="preserve">available </w:t>
      </w:r>
      <w:r w:rsidRPr="008035EA">
        <w:rPr>
          <w:rFonts w:ascii="Times New Roman" w:hAnsi="Times New Roman" w:cs="Times New Roman"/>
        </w:rPr>
        <w:t xml:space="preserve">calcium levels at 0-10 cm (Figure </w:t>
      </w:r>
      <w:r>
        <w:rPr>
          <w:rFonts w:ascii="Times New Roman" w:hAnsi="Times New Roman" w:cs="Times New Roman"/>
        </w:rPr>
        <w:t>1</w:t>
      </w:r>
      <w:r w:rsidRPr="008035EA">
        <w:rPr>
          <w:rFonts w:ascii="Times New Roman" w:hAnsi="Times New Roman" w:cs="Times New Roman"/>
        </w:rPr>
        <w:t xml:space="preserve">b) and 10-20 cm </w:t>
      </w:r>
      <w:r>
        <w:rPr>
          <w:rFonts w:ascii="Times New Roman" w:hAnsi="Times New Roman" w:cs="Times New Roman"/>
        </w:rPr>
        <w:t>(</w:t>
      </w:r>
      <w:r w:rsidRPr="008035EA">
        <w:rPr>
          <w:rFonts w:ascii="Times New Roman" w:hAnsi="Times New Roman" w:cs="Times New Roman"/>
        </w:rPr>
        <w:t xml:space="preserve">Figure </w:t>
      </w:r>
      <w:r>
        <w:rPr>
          <w:rFonts w:ascii="Times New Roman" w:hAnsi="Times New Roman" w:cs="Times New Roman"/>
        </w:rPr>
        <w:t>1</w:t>
      </w:r>
      <w:r w:rsidRPr="008035EA">
        <w:rPr>
          <w:rFonts w:ascii="Times New Roman" w:hAnsi="Times New Roman" w:cs="Times New Roman"/>
        </w:rPr>
        <w:t>c)</w:t>
      </w:r>
      <w:r>
        <w:rPr>
          <w:rFonts w:ascii="Times New Roman" w:hAnsi="Times New Roman" w:cs="Times New Roman"/>
        </w:rPr>
        <w:t>.T</w:t>
      </w:r>
      <w:r w:rsidRPr="008035EA">
        <w:rPr>
          <w:rFonts w:ascii="Times New Roman" w:hAnsi="Times New Roman" w:cs="Times New Roman"/>
        </w:rPr>
        <w:t>hough the declin</w:t>
      </w:r>
      <w:r>
        <w:rPr>
          <w:rFonts w:ascii="Times New Roman" w:hAnsi="Times New Roman" w:cs="Times New Roman"/>
        </w:rPr>
        <w:t>ing trends</w:t>
      </w:r>
      <w:r w:rsidRPr="008035EA">
        <w:rPr>
          <w:rFonts w:ascii="Times New Roman" w:hAnsi="Times New Roman" w:cs="Times New Roman"/>
        </w:rPr>
        <w:t xml:space="preserve"> were also observed at 20-30 cm (</w:t>
      </w:r>
      <w:r w:rsidRPr="00780408">
        <w:rPr>
          <w:rFonts w:ascii="Times New Roman" w:hAnsi="Times New Roman" w:cs="Times New Roman"/>
          <w:color w:val="000000" w:themeColor="text1"/>
        </w:rPr>
        <w:t>Figure 1d</w:t>
      </w:r>
      <w:r w:rsidRPr="008035EA">
        <w:rPr>
          <w:rFonts w:ascii="Times New Roman" w:hAnsi="Times New Roman" w:cs="Times New Roman"/>
        </w:rPr>
        <w:t xml:space="preserve">) and 40-60 cm (Figure </w:t>
      </w:r>
      <w:r>
        <w:rPr>
          <w:rFonts w:ascii="Times New Roman" w:hAnsi="Times New Roman" w:cs="Times New Roman"/>
        </w:rPr>
        <w:t>1</w:t>
      </w:r>
      <w:r w:rsidRPr="008035EA">
        <w:rPr>
          <w:rFonts w:ascii="Times New Roman" w:hAnsi="Times New Roman" w:cs="Times New Roman"/>
        </w:rPr>
        <w:t xml:space="preserve">e), the </w:t>
      </w:r>
      <w:r>
        <w:rPr>
          <w:rFonts w:ascii="Times New Roman" w:hAnsi="Times New Roman" w:cs="Times New Roman"/>
        </w:rPr>
        <w:t xml:space="preserve">differences were </w:t>
      </w:r>
      <w:r w:rsidRPr="008035EA">
        <w:rPr>
          <w:rFonts w:ascii="Times New Roman" w:hAnsi="Times New Roman" w:cs="Times New Roman"/>
        </w:rPr>
        <w:t>not significant.</w:t>
      </w:r>
      <w:r>
        <w:rPr>
          <w:rFonts w:ascii="Times New Roman" w:hAnsi="Times New Roman" w:cs="Times New Roman"/>
        </w:rPr>
        <w:t xml:space="preserve"> This pattern is related to the quantity of nitrogen at these sites. High rates of nitrogen reduce soil available calcium, possibly due the high acidity. Similar observations had been recorded in earlier studies </w:t>
      </w:r>
      <w:r w:rsidR="00E90242" w:rsidRPr="007B102E">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00E90242" w:rsidRPr="007B102E">
        <w:rPr>
          <w:rFonts w:ascii="Times New Roman" w:hAnsi="Times New Roman" w:cs="Times New Roman"/>
        </w:rPr>
        <w:fldChar w:fldCharType="separate"/>
      </w:r>
      <w:r w:rsidR="00BE2D15">
        <w:rPr>
          <w:rFonts w:ascii="Times New Roman" w:hAnsi="Times New Roman" w:cs="Times New Roman"/>
          <w:noProof/>
        </w:rPr>
        <w:t>(Kamau et al., 1998; Kebeney et al., 2010)</w:t>
      </w:r>
      <w:r w:rsidR="00E90242" w:rsidRPr="007B102E">
        <w:rPr>
          <w:rFonts w:ascii="Times New Roman" w:hAnsi="Times New Roman" w:cs="Times New Roman"/>
        </w:rPr>
        <w:fldChar w:fldCharType="end"/>
      </w:r>
      <w:r>
        <w:rPr>
          <w:rFonts w:ascii="Times New Roman" w:hAnsi="Times New Roman" w:cs="Times New Roman"/>
        </w:rPr>
        <w:t xml:space="preserve">. The pattern was attributed to increased acidity caused by nitrogenous fertilizers </w:t>
      </w:r>
      <w:r w:rsidR="00E90242">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00E90242">
        <w:rPr>
          <w:rFonts w:ascii="Times New Roman" w:hAnsi="Times New Roman" w:cs="Times New Roman"/>
        </w:rPr>
        <w:fldChar w:fldCharType="separate"/>
      </w:r>
      <w:r w:rsidR="00BE2D15">
        <w:rPr>
          <w:rFonts w:ascii="Times New Roman" w:hAnsi="Times New Roman" w:cs="Times New Roman"/>
          <w:noProof/>
        </w:rPr>
        <w:t>(Kamau et al., 1998; Kebeney et al., 2010)</w:t>
      </w:r>
      <w:r w:rsidR="00E90242">
        <w:rPr>
          <w:rFonts w:ascii="Times New Roman" w:hAnsi="Times New Roman" w:cs="Times New Roman"/>
        </w:rPr>
        <w:fldChar w:fldCharType="end"/>
      </w:r>
      <w:r>
        <w:rPr>
          <w:rFonts w:ascii="Times New Roman" w:hAnsi="Times New Roman" w:cs="Times New Roman"/>
        </w:rPr>
        <w:t>. Mature leaf calcium contents also followed the same pattern as the soil calcium</w:t>
      </w:r>
      <w:r w:rsidR="00E90242">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&lt;EndNote&gt;&lt;Cite&gt;&lt;Author&gt;Kwach&lt;/Author&gt;&lt;Year&gt;2014&lt;/Year&gt;&lt;RecNum&gt;22&lt;/RecNum&gt;&lt;DisplayText&gt;(Kebeney et al., 2010; 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00E90242">
        <w:rPr>
          <w:rFonts w:ascii="Times New Roman" w:hAnsi="Times New Roman" w:cs="Times New Roman"/>
        </w:rPr>
        <w:fldChar w:fldCharType="separate"/>
      </w:r>
      <w:r w:rsidR="00BE2D15">
        <w:rPr>
          <w:rFonts w:ascii="Times New Roman" w:hAnsi="Times New Roman" w:cs="Times New Roman"/>
          <w:noProof/>
        </w:rPr>
        <w:t>(Kebeney et al., 2010; Kwach et al., 2014)</w:t>
      </w:r>
      <w:r w:rsidR="00E90242">
        <w:rPr>
          <w:rFonts w:ascii="Times New Roman" w:hAnsi="Times New Roman" w:cs="Times New Roman"/>
        </w:rPr>
        <w:fldChar w:fldCharType="end"/>
      </w:r>
      <w:r>
        <w:rPr>
          <w:rFonts w:ascii="Times New Roman" w:hAnsi="Times New Roman" w:cs="Times New Roman"/>
        </w:rPr>
        <w:t>. L</w:t>
      </w:r>
      <w:r w:rsidRPr="00490216">
        <w:rPr>
          <w:rFonts w:ascii="Times New Roman" w:hAnsi="Times New Roman" w:cs="Times New Roman"/>
        </w:rPr>
        <w:t xml:space="preserve">ow soil </w:t>
      </w:r>
      <w:r>
        <w:rPr>
          <w:rFonts w:ascii="Times New Roman" w:hAnsi="Times New Roman" w:cs="Times New Roman"/>
        </w:rPr>
        <w:t xml:space="preserve">available </w:t>
      </w:r>
      <w:r w:rsidRPr="00490216">
        <w:rPr>
          <w:rFonts w:ascii="Times New Roman" w:hAnsi="Times New Roman" w:cs="Times New Roman"/>
        </w:rPr>
        <w:t xml:space="preserve">calcium leads to deficiency and low tea yield </w:t>
      </w:r>
      <w:r w:rsidR="00E90242">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sidR="00E90242">
        <w:rPr>
          <w:rFonts w:ascii="Times New Roman" w:hAnsi="Times New Roman" w:cs="Times New Roman"/>
        </w:rPr>
        <w:fldChar w:fldCharType="separate"/>
      </w:r>
      <w:r w:rsidR="00312DFF">
        <w:rPr>
          <w:rFonts w:ascii="Times New Roman" w:hAnsi="Times New Roman" w:cs="Times New Roman"/>
          <w:noProof/>
        </w:rPr>
        <w:t>(Hajiboland, 2018)</w:t>
      </w:r>
      <w:r w:rsidR="00E90242">
        <w:rPr>
          <w:rFonts w:ascii="Times New Roman" w:hAnsi="Times New Roman" w:cs="Times New Roman"/>
        </w:rPr>
        <w:fldChar w:fldCharType="end"/>
      </w:r>
      <w:r w:rsidRPr="00490216">
        <w:rPr>
          <w:rFonts w:ascii="Times New Roman" w:hAnsi="Times New Roman" w:cs="Times New Roman"/>
        </w:rPr>
        <w:t>.</w:t>
      </w:r>
      <w:r>
        <w:rPr>
          <w:rFonts w:ascii="Times New Roman" w:hAnsi="Times New Roman" w:cs="Times New Roman"/>
        </w:rPr>
        <w:t xml:space="preserve"> The </w:t>
      </w:r>
      <w:r w:rsidRPr="00490216">
        <w:rPr>
          <w:rFonts w:ascii="Times New Roman" w:hAnsi="Times New Roman" w:cs="Times New Roman"/>
        </w:rPr>
        <w:t xml:space="preserve">application of </w:t>
      </w:r>
      <w:r>
        <w:rPr>
          <w:rFonts w:ascii="Times New Roman" w:hAnsi="Times New Roman" w:cs="Times New Roman"/>
        </w:rPr>
        <w:t xml:space="preserve">high </w:t>
      </w:r>
      <w:r w:rsidRPr="00490216">
        <w:rPr>
          <w:rFonts w:ascii="Times New Roman" w:hAnsi="Times New Roman" w:cs="Times New Roman"/>
        </w:rPr>
        <w:t xml:space="preserve">nitrogen </w:t>
      </w:r>
      <w:r>
        <w:rPr>
          <w:rFonts w:ascii="Times New Roman" w:hAnsi="Times New Roman" w:cs="Times New Roman"/>
        </w:rPr>
        <w:t xml:space="preserve">fertilizer </w:t>
      </w:r>
      <w:r w:rsidRPr="00490216">
        <w:rPr>
          <w:rFonts w:ascii="Times New Roman" w:hAnsi="Times New Roman" w:cs="Times New Roman"/>
        </w:rPr>
        <w:t xml:space="preserve">rates </w:t>
      </w:r>
      <w:r>
        <w:rPr>
          <w:rFonts w:ascii="Times New Roman" w:hAnsi="Times New Roman" w:cs="Times New Roman"/>
        </w:rPr>
        <w:t xml:space="preserve">to tea </w:t>
      </w:r>
      <w:r w:rsidRPr="00490216">
        <w:rPr>
          <w:rFonts w:ascii="Times New Roman" w:hAnsi="Times New Roman" w:cs="Times New Roman"/>
        </w:rPr>
        <w:t xml:space="preserve">cause reduction in soil available calcium. This </w:t>
      </w:r>
      <w:r>
        <w:rPr>
          <w:rFonts w:ascii="Times New Roman" w:hAnsi="Times New Roman" w:cs="Times New Roman"/>
        </w:rPr>
        <w:t>may</w:t>
      </w:r>
      <w:r w:rsidRPr="00490216">
        <w:rPr>
          <w:rFonts w:ascii="Times New Roman" w:hAnsi="Times New Roman" w:cs="Times New Roman"/>
        </w:rPr>
        <w:t xml:space="preserve"> in the long run cause the nutrient deficiency in these regions and low</w:t>
      </w:r>
      <w:r>
        <w:rPr>
          <w:rFonts w:ascii="Times New Roman" w:hAnsi="Times New Roman" w:cs="Times New Roman"/>
        </w:rPr>
        <w:t>er</w:t>
      </w:r>
      <w:r w:rsidRPr="00490216">
        <w:rPr>
          <w:rFonts w:ascii="Times New Roman" w:hAnsi="Times New Roman" w:cs="Times New Roman"/>
        </w:rPr>
        <w:t xml:space="preserve"> yields, if calcium levels are not supplemented.</w:t>
      </w:r>
    </w:p>
    <w:p w:rsidR="00FE7770" w:rsidRDefault="000622B8" w:rsidP="000622B8">
      <w:pPr>
        <w:pStyle w:val="Default"/>
        <w:spacing w:line="360" w:lineRule="auto"/>
        <w:jc w:val="both"/>
        <w:rPr>
          <w:rFonts w:ascii="Times New Roman" w:hAnsi="Times New Roman" w:cs="Times New Roman"/>
        </w:rPr>
      </w:pPr>
      <w:r w:rsidRPr="00490216">
        <w:rPr>
          <w:rFonts w:ascii="Times New Roman" w:hAnsi="Times New Roman" w:cs="Times New Roman"/>
        </w:rPr>
        <w:t xml:space="preserve">There were significant (p≤0.05) interaction effects on soil </w:t>
      </w:r>
      <w:r>
        <w:rPr>
          <w:rFonts w:ascii="Times New Roman" w:hAnsi="Times New Roman" w:cs="Times New Roman"/>
        </w:rPr>
        <w:t xml:space="preserve">available </w:t>
      </w:r>
      <w:r w:rsidRPr="00490216">
        <w:rPr>
          <w:rFonts w:ascii="Times New Roman" w:hAnsi="Times New Roman" w:cs="Times New Roman"/>
        </w:rPr>
        <w:t xml:space="preserve">calcium levels between </w:t>
      </w:r>
      <w:r>
        <w:rPr>
          <w:rFonts w:ascii="Times New Roman" w:hAnsi="Times New Roman" w:cs="Times New Roman"/>
        </w:rPr>
        <w:t>location</w:t>
      </w:r>
      <w:r w:rsidRPr="00490216">
        <w:rPr>
          <w:rFonts w:ascii="Times New Roman" w:hAnsi="Times New Roman" w:cs="Times New Roman"/>
        </w:rPr>
        <w:t xml:space="preserve"> x nitrogen rates </w:t>
      </w:r>
      <w:r>
        <w:rPr>
          <w:rFonts w:ascii="Times New Roman" w:hAnsi="Times New Roman" w:cs="Times New Roman"/>
        </w:rPr>
        <w:t xml:space="preserve">at </w:t>
      </w:r>
      <w:r w:rsidRPr="00490216">
        <w:rPr>
          <w:rFonts w:ascii="Times New Roman" w:hAnsi="Times New Roman" w:cs="Times New Roman"/>
        </w:rPr>
        <w:t>all sites at 40-60 cm</w:t>
      </w:r>
      <w:r>
        <w:rPr>
          <w:rFonts w:ascii="Times New Roman" w:hAnsi="Times New Roman" w:cs="Times New Roman"/>
        </w:rPr>
        <w:t xml:space="preserve"> soil depth. </w:t>
      </w:r>
      <w:r w:rsidRPr="00490216">
        <w:rPr>
          <w:rFonts w:ascii="Times New Roman" w:hAnsi="Times New Roman" w:cs="Times New Roman"/>
        </w:rPr>
        <w:t xml:space="preserve">The </w:t>
      </w:r>
      <w:r>
        <w:rPr>
          <w:rFonts w:ascii="Times New Roman" w:hAnsi="Times New Roman" w:cs="Times New Roman"/>
        </w:rPr>
        <w:t xml:space="preserve">pattern of </w:t>
      </w:r>
      <w:r w:rsidRPr="00490216">
        <w:rPr>
          <w:rFonts w:ascii="Times New Roman" w:hAnsi="Times New Roman" w:cs="Times New Roman"/>
        </w:rPr>
        <w:t xml:space="preserve">responses varied from site to site </w:t>
      </w:r>
      <w:r>
        <w:rPr>
          <w:rFonts w:ascii="Times New Roman" w:hAnsi="Times New Roman" w:cs="Times New Roman"/>
        </w:rPr>
        <w:t xml:space="preserve">suggesting </w:t>
      </w:r>
      <w:r w:rsidRPr="00490216">
        <w:rPr>
          <w:rFonts w:ascii="Times New Roman" w:hAnsi="Times New Roman" w:cs="Times New Roman"/>
        </w:rPr>
        <w:t xml:space="preserve">that the factors affecting calcium availability changes varied with </w:t>
      </w:r>
      <w:r>
        <w:rPr>
          <w:rFonts w:ascii="Times New Roman" w:hAnsi="Times New Roman" w:cs="Times New Roman"/>
        </w:rPr>
        <w:t xml:space="preserve">environmental conditions </w:t>
      </w:r>
      <w:r w:rsidRPr="00490216">
        <w:rPr>
          <w:rFonts w:ascii="Times New Roman" w:hAnsi="Times New Roman" w:cs="Times New Roman"/>
        </w:rPr>
        <w:t xml:space="preserve">of production. </w:t>
      </w:r>
      <w:r>
        <w:rPr>
          <w:rFonts w:ascii="Times New Roman" w:hAnsi="Times New Roman" w:cs="Times New Roman"/>
        </w:rPr>
        <w:t>E</w:t>
      </w:r>
      <w:r w:rsidRPr="00490216">
        <w:rPr>
          <w:rFonts w:ascii="Times New Roman" w:hAnsi="Times New Roman" w:cs="Times New Roman"/>
        </w:rPr>
        <w:t xml:space="preserve">ach location may </w:t>
      </w:r>
      <w:r>
        <w:rPr>
          <w:rFonts w:ascii="Times New Roman" w:hAnsi="Times New Roman" w:cs="Times New Roman"/>
        </w:rPr>
        <w:t xml:space="preserve">therefore </w:t>
      </w:r>
      <w:r w:rsidRPr="00490216">
        <w:rPr>
          <w:rFonts w:ascii="Times New Roman" w:hAnsi="Times New Roman" w:cs="Times New Roman"/>
        </w:rPr>
        <w:t xml:space="preserve">require different nitrogen application rates </w:t>
      </w:r>
      <w:r>
        <w:rPr>
          <w:rFonts w:ascii="Times New Roman" w:hAnsi="Times New Roman" w:cs="Times New Roman"/>
        </w:rPr>
        <w:t>for realization of optimal yields</w:t>
      </w:r>
      <w:r w:rsidRPr="00490216">
        <w:rPr>
          <w:rFonts w:ascii="Times New Roman" w:hAnsi="Times New Roman" w:cs="Times New Roman"/>
        </w:rPr>
        <w:t>.</w:t>
      </w:r>
    </w:p>
    <w:p w:rsidR="00FE7770" w:rsidRDefault="00FE7770" w:rsidP="00FE7770">
      <w:pPr>
        <w:spacing w:line="360" w:lineRule="auto"/>
        <w:rPr>
          <w:b/>
        </w:rPr>
      </w:pPr>
    </w:p>
    <w:p w:rsidR="00FE7770" w:rsidRDefault="00FE7770" w:rsidP="00FE7770">
      <w:pPr>
        <w:spacing w:line="360" w:lineRule="auto"/>
        <w:rPr>
          <w:b/>
        </w:rPr>
      </w:pPr>
      <w:r w:rsidRPr="00F07FB7">
        <w:rPr>
          <w:b/>
        </w:rPr>
        <w:t>Magnesium</w:t>
      </w:r>
    </w:p>
    <w:p w:rsidR="00FE7770" w:rsidRPr="006843E4" w:rsidRDefault="00FE7770" w:rsidP="00FE7770">
      <w:pPr>
        <w:spacing w:line="360" w:lineRule="auto"/>
        <w:rPr>
          <w:bCs/>
          <w:szCs w:val="24"/>
        </w:rPr>
      </w:pPr>
      <w:r w:rsidRPr="00490216">
        <w:rPr>
          <w:szCs w:val="24"/>
        </w:rPr>
        <w:lastRenderedPageBreak/>
        <w:t xml:space="preserve">The effects of </w:t>
      </w:r>
      <w:r>
        <w:rPr>
          <w:szCs w:val="24"/>
        </w:rPr>
        <w:t xml:space="preserve">location of production and </w:t>
      </w:r>
      <w:r w:rsidRPr="00490216">
        <w:rPr>
          <w:szCs w:val="24"/>
        </w:rPr>
        <w:t xml:space="preserve">NPK(S) fertilizer rates on the soil </w:t>
      </w:r>
      <w:r>
        <w:rPr>
          <w:szCs w:val="24"/>
        </w:rPr>
        <w:t xml:space="preserve">exchangeable </w:t>
      </w:r>
      <w:r w:rsidRPr="00490216">
        <w:rPr>
          <w:szCs w:val="24"/>
        </w:rPr>
        <w:t xml:space="preserve">magnesium levels are shown in </w:t>
      </w:r>
      <w:r>
        <w:rPr>
          <w:szCs w:val="24"/>
        </w:rPr>
        <w:t>Figures (2a-e)</w:t>
      </w:r>
      <w:r w:rsidRPr="00490216">
        <w:rPr>
          <w:szCs w:val="24"/>
        </w:rPr>
        <w:t xml:space="preserve">. </w:t>
      </w:r>
      <w:r>
        <w:rPr>
          <w:szCs w:val="24"/>
        </w:rPr>
        <w:t>M</w:t>
      </w:r>
      <w:r w:rsidRPr="00490216">
        <w:rPr>
          <w:szCs w:val="24"/>
        </w:rPr>
        <w:t xml:space="preserve">agnesium levels </w:t>
      </w:r>
      <w:r>
        <w:rPr>
          <w:szCs w:val="24"/>
        </w:rPr>
        <w:t xml:space="preserve">increased at lower </w:t>
      </w:r>
      <w:r w:rsidRPr="00490216">
        <w:rPr>
          <w:szCs w:val="24"/>
        </w:rPr>
        <w:t xml:space="preserve">soil profiles as </w:t>
      </w:r>
      <w:r>
        <w:rPr>
          <w:szCs w:val="24"/>
        </w:rPr>
        <w:t xml:space="preserve">has been </w:t>
      </w:r>
      <w:r w:rsidRPr="00490216">
        <w:rPr>
          <w:szCs w:val="24"/>
        </w:rPr>
        <w:t xml:space="preserve">observed in previous studies </w:t>
      </w:r>
      <w:r w:rsidR="00E90242">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00E90242">
        <w:rPr>
          <w:szCs w:val="24"/>
        </w:rPr>
        <w:fldChar w:fldCharType="separate"/>
      </w:r>
      <w:r w:rsidR="00BE2D15">
        <w:rPr>
          <w:noProof/>
          <w:szCs w:val="24"/>
        </w:rPr>
        <w:t>(Kebeney et al., 2010)</w:t>
      </w:r>
      <w:r w:rsidR="00E90242">
        <w:rPr>
          <w:szCs w:val="24"/>
        </w:rPr>
        <w:fldChar w:fldCharType="end"/>
      </w:r>
      <w:r>
        <w:rPr>
          <w:szCs w:val="24"/>
        </w:rPr>
        <w:t>.</w:t>
      </w:r>
      <w:r w:rsidRPr="00490216">
        <w:rPr>
          <w:bCs/>
          <w:szCs w:val="24"/>
        </w:rPr>
        <w:t xml:space="preserve"> Low soil pH and high rainfall observed in the sites under study trigger</w:t>
      </w:r>
      <w:r>
        <w:rPr>
          <w:bCs/>
          <w:szCs w:val="24"/>
        </w:rPr>
        <w:t>ed</w:t>
      </w:r>
      <w:r w:rsidRPr="00490216">
        <w:rPr>
          <w:bCs/>
          <w:szCs w:val="24"/>
        </w:rPr>
        <w:t xml:space="preserve"> leaching </w:t>
      </w:r>
      <w:r w:rsidRPr="00DE0F65">
        <w:rPr>
          <w:bCs/>
          <w:szCs w:val="24"/>
        </w:rPr>
        <w:t>of magnesium</w:t>
      </w:r>
      <w:r w:rsidR="00E90242">
        <w:rPr>
          <w:szCs w:val="24"/>
        </w:rPr>
        <w:fldChar w:fldCharType="begin"/>
      </w:r>
      <w:r w:rsidR="00BD09B5">
        <w:rPr>
          <w:szCs w:val="24"/>
        </w:rPr>
        <w:instrText xml:space="preserve"> ADDIN EN.CITE &lt;EndNote&gt;&lt;Cite&gt;&lt;Author&gt;Wang&lt;/Author&gt;&lt;Year&gt;2024&lt;/Year&gt;&lt;RecNum&gt;218&lt;/RecNum&gt;&lt;DisplayText&gt;(Wang et al., 2024)&lt;/DisplayText&gt;&lt;record&gt;&lt;rec-number&gt;218&lt;/rec-number&gt;&lt;foreign-keys&gt;&lt;key app="EN" db-id="zx5vprwxa0rsabew9f9xp5fcs9tz0dzwa2fa" timestamp="1757660103"&gt;218&lt;/key&gt;&lt;/foreign-keys&gt;&lt;ref-type name="Journal Article"&gt;17&lt;/ref-type&gt;&lt;contributors&gt;&lt;authors&gt;&lt;author&gt;Wang, Sen&lt;/author&gt;&lt;author&gt;Lin, Wei&lt;/author&gt;&lt;author&gt;Ye, Qi&lt;/author&gt;&lt;author&gt;Lv, Wenzhuo&lt;/author&gt;&lt;author&gt;Liao, Penghui&lt;/author&gt;&lt;author&gt;Yu, Jinhui&lt;/author&gt;&lt;author&gt;Mu, Cong&lt;/author&gt;&lt;author&gt;Wu, LiangQuan&lt;/author&gt;&lt;author&gt;Muneer, Muhammad Atif&lt;/author&gt;&lt;author&gt;Zhang, Yinjie&lt;/author&gt;&lt;/authors&gt;&lt;/contributors&gt;&lt;titles&gt;&lt;title&gt;Effects of different nitrogen fertilizer rates on soil magnesium leaching in tea garden&lt;/title&gt;&lt;secondary-title&gt;Journal of Soil Science and Plant Nutrition&lt;/secondary-title&gt;&lt;/titles&gt;&lt;periodical&gt;&lt;full-title&gt;Journal of Soil Science and Plant Nutrition&lt;/full-title&gt;&lt;/periodical&gt;&lt;pages&gt;6630-6640&lt;/pages&gt;&lt;volume&gt;24&lt;/volume&gt;&lt;number&gt;4&lt;/number&gt;&lt;dates&gt;&lt;year&gt;2024&lt;/year&gt;&lt;/dates&gt;&lt;isbn&gt;0718-9508&lt;/isbn&gt;&lt;urls&gt;&lt;/urls&gt;&lt;electronic-resource-num&gt;https://doi.org/10.1007/s42729-024-01995-4&lt;/electronic-resource-num&gt;&lt;/record&gt;&lt;/Cite&gt;&lt;/EndNote&gt;</w:instrText>
      </w:r>
      <w:r w:rsidR="00E90242">
        <w:rPr>
          <w:szCs w:val="24"/>
        </w:rPr>
        <w:fldChar w:fldCharType="separate"/>
      </w:r>
      <w:r w:rsidR="00BE2D15">
        <w:rPr>
          <w:noProof/>
          <w:szCs w:val="24"/>
        </w:rPr>
        <w:t>(Wang et al., 2024)</w:t>
      </w:r>
      <w:r w:rsidR="00E90242">
        <w:rPr>
          <w:szCs w:val="24"/>
        </w:rPr>
        <w:fldChar w:fldCharType="end"/>
      </w:r>
      <w:r w:rsidRPr="00490216">
        <w:rPr>
          <w:bCs/>
          <w:szCs w:val="24"/>
        </w:rPr>
        <w:t xml:space="preserve"> into</w:t>
      </w:r>
      <w:r>
        <w:rPr>
          <w:bCs/>
          <w:szCs w:val="24"/>
        </w:rPr>
        <w:t xml:space="preserve"> the</w:t>
      </w:r>
      <w:r w:rsidRPr="00490216">
        <w:rPr>
          <w:bCs/>
          <w:szCs w:val="24"/>
        </w:rPr>
        <w:t xml:space="preserve"> lower soil </w:t>
      </w:r>
      <w:r w:rsidRPr="006843E4">
        <w:rPr>
          <w:bCs/>
          <w:szCs w:val="24"/>
        </w:rPr>
        <w:t>profiles.</w:t>
      </w:r>
    </w:p>
    <w:p w:rsidR="00FE7770" w:rsidRPr="006843E4" w:rsidRDefault="00FE7770" w:rsidP="00FE7770">
      <w:pPr>
        <w:pStyle w:val="Default"/>
        <w:spacing w:line="360" w:lineRule="auto"/>
        <w:jc w:val="both"/>
        <w:rPr>
          <w:rFonts w:ascii="Times New Roman" w:hAnsi="Times New Roman" w:cs="Times New Roman"/>
        </w:rPr>
      </w:pPr>
      <w:r w:rsidRPr="002512F2">
        <w:rPr>
          <w:rFonts w:ascii="Times New Roman" w:hAnsi="Times New Roman" w:cs="Times New Roman"/>
          <w:bCs/>
        </w:rPr>
        <w:t xml:space="preserve">Soil exchangeable magnesium levels varied (p≤0.05) with location of production (Figure </w:t>
      </w:r>
      <w:r>
        <w:rPr>
          <w:rFonts w:ascii="Times New Roman" w:hAnsi="Times New Roman" w:cs="Times New Roman"/>
          <w:bCs/>
        </w:rPr>
        <w:t>2</w:t>
      </w:r>
      <w:r w:rsidRPr="002512F2">
        <w:rPr>
          <w:rFonts w:ascii="Times New Roman" w:hAnsi="Times New Roman" w:cs="Times New Roman"/>
          <w:bCs/>
        </w:rPr>
        <w:t xml:space="preserve">). Arroket and Mulindi recorded higher (p≤0.05) values compared to the other sites. These observed changes with locations followed those in mature leaf </w:t>
      </w:r>
      <w:r w:rsidR="00E90242" w:rsidRPr="002512F2">
        <w:rPr>
          <w:rFonts w:ascii="Times New Roman" w:hAnsi="Times New Roman" w:cs="Times New Roman"/>
          <w:bCs/>
        </w:rPr>
        <w:fldChar w:fldCharType="begin"/>
      </w:r>
      <w:r w:rsidR="00BD09B5">
        <w:rPr>
          <w:rFonts w:ascii="Times New Roman" w:hAnsi="Times New Roman" w:cs="Times New Roman"/>
          <w:bCs/>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E90242" w:rsidRPr="002512F2">
        <w:rPr>
          <w:rFonts w:ascii="Times New Roman" w:hAnsi="Times New Roman" w:cs="Times New Roman"/>
          <w:bCs/>
        </w:rPr>
        <w:fldChar w:fldCharType="separate"/>
      </w:r>
      <w:r w:rsidR="00BE2D15">
        <w:rPr>
          <w:rFonts w:ascii="Times New Roman" w:hAnsi="Times New Roman" w:cs="Times New Roman"/>
          <w:bCs/>
          <w:noProof/>
        </w:rPr>
        <w:t>(Kwach et al., 2014)</w:t>
      </w:r>
      <w:r w:rsidR="00E90242" w:rsidRPr="002512F2">
        <w:rPr>
          <w:rFonts w:ascii="Times New Roman" w:hAnsi="Times New Roman" w:cs="Times New Roman"/>
          <w:bCs/>
        </w:rPr>
        <w:fldChar w:fldCharType="end"/>
      </w:r>
      <w:r w:rsidRPr="002512F2">
        <w:rPr>
          <w:rFonts w:ascii="Times New Roman" w:hAnsi="Times New Roman" w:cs="Times New Roman"/>
          <w:bCs/>
        </w:rPr>
        <w:t>. These variations could be attributed to differences in climatic factors and soil chemical characteristics like pH and organic carbon</w:t>
      </w:r>
      <w:r w:rsidRPr="002512F2">
        <w:rPr>
          <w:rFonts w:ascii="Times New Roman" w:hAnsi="Times New Roman" w:cs="Times New Roman"/>
          <w:bCs/>
          <w:vertAlign w:val="superscript"/>
        </w:rPr>
        <w:t>62</w:t>
      </w:r>
      <w:r w:rsidRPr="002512F2">
        <w:rPr>
          <w:rFonts w:ascii="Times New Roman" w:hAnsi="Times New Roman" w:cs="Times New Roman"/>
          <w:bCs/>
        </w:rPr>
        <w:t xml:space="preserve">. </w:t>
      </w:r>
      <w:r w:rsidRPr="002512F2">
        <w:rPr>
          <w:rFonts w:ascii="Times New Roman" w:hAnsi="Times New Roman" w:cs="Times New Roman"/>
        </w:rPr>
        <w:t xml:space="preserve">The soil pH levels and organic carbon contents might have contributed to the patterns observed for exchangeable magnesium levels where locations with high </w:t>
      </w:r>
      <w:r>
        <w:rPr>
          <w:rFonts w:ascii="Times New Roman" w:hAnsi="Times New Roman" w:cs="Times New Roman"/>
        </w:rPr>
        <w:t>soil organic carbon (</w:t>
      </w:r>
      <w:r w:rsidRPr="002512F2">
        <w:rPr>
          <w:rFonts w:ascii="Times New Roman" w:hAnsi="Times New Roman" w:cs="Times New Roman"/>
        </w:rPr>
        <w:t>SOC</w:t>
      </w:r>
      <w:r>
        <w:rPr>
          <w:rFonts w:ascii="Times New Roman" w:hAnsi="Times New Roman" w:cs="Times New Roman"/>
        </w:rPr>
        <w:t>)</w:t>
      </w:r>
      <w:r w:rsidRPr="002512F2">
        <w:rPr>
          <w:rFonts w:ascii="Times New Roman" w:hAnsi="Times New Roman" w:cs="Times New Roman"/>
        </w:rPr>
        <w:t xml:space="preserve"> contents like Mulindi</w:t>
      </w:r>
      <w:r w:rsidR="00E90242" w:rsidRPr="002512F2">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E90242" w:rsidRPr="002512F2">
        <w:rPr>
          <w:rFonts w:ascii="Times New Roman" w:hAnsi="Times New Roman" w:cs="Times New Roman"/>
        </w:rPr>
        <w:fldChar w:fldCharType="separate"/>
      </w:r>
      <w:r w:rsidR="00BE2D15">
        <w:rPr>
          <w:rFonts w:ascii="Times New Roman" w:hAnsi="Times New Roman" w:cs="Times New Roman"/>
          <w:noProof/>
        </w:rPr>
        <w:t>(Ombori et al., 2020)</w:t>
      </w:r>
      <w:r w:rsidR="00E90242" w:rsidRPr="002512F2">
        <w:rPr>
          <w:rFonts w:ascii="Times New Roman" w:hAnsi="Times New Roman" w:cs="Times New Roman"/>
        </w:rPr>
        <w:fldChar w:fldCharType="end"/>
      </w:r>
      <w:r w:rsidRPr="002512F2">
        <w:rPr>
          <w:rFonts w:ascii="Times New Roman" w:hAnsi="Times New Roman" w:cs="Times New Roman"/>
        </w:rPr>
        <w:t xml:space="preserve"> had relatively high soil magnesium levels.</w:t>
      </w:r>
    </w:p>
    <w:p w:rsidR="000622B8" w:rsidRDefault="000622B8" w:rsidP="000622B8">
      <w:pPr>
        <w:pStyle w:val="Default"/>
        <w:spacing w:line="360" w:lineRule="auto"/>
        <w:jc w:val="both"/>
        <w:rPr>
          <w:rFonts w:ascii="Times New Roman" w:hAnsi="Times New Roman" w:cs="Times New Roman"/>
        </w:rPr>
      </w:pPr>
    </w:p>
    <w:tbl>
      <w:tblPr>
        <w:tblW w:w="10201" w:type="dxa"/>
        <w:tblLayout w:type="fixed"/>
        <w:tblLook w:val="04A0"/>
      </w:tblPr>
      <w:tblGrid>
        <w:gridCol w:w="5328"/>
        <w:gridCol w:w="4873"/>
      </w:tblGrid>
      <w:tr w:rsidR="000622B8" w:rsidRPr="00762DCA" w:rsidTr="00F12C21">
        <w:tc>
          <w:tcPr>
            <w:tcW w:w="10201" w:type="dxa"/>
            <w:gridSpan w:val="2"/>
          </w:tcPr>
          <w:p w:rsidR="000622B8" w:rsidRPr="00762DCA" w:rsidRDefault="000622B8" w:rsidP="00F12C21">
            <w:pPr>
              <w:jc w:val="center"/>
            </w:pPr>
            <w:r>
              <w:rPr>
                <w:noProof/>
                <w:lang w:val="fr-FR" w:eastAsia="fr-FR"/>
              </w:rPr>
              <w:drawing>
                <wp:inline distT="0" distB="0" distL="0" distR="0">
                  <wp:extent cx="4267200" cy="2351314"/>
                  <wp:effectExtent l="0" t="0" r="0" b="11430"/>
                  <wp:docPr id="8" name="Chart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BA5EB31-9B87-357A-F5F9-E7A713082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r w:rsidR="000622B8" w:rsidRPr="00762DCA" w:rsidTr="00F12C21">
        <w:tc>
          <w:tcPr>
            <w:tcW w:w="10201" w:type="dxa"/>
            <w:gridSpan w:val="2"/>
          </w:tcPr>
          <w:p w:rsidR="000622B8" w:rsidRPr="00762DCA" w:rsidRDefault="000622B8" w:rsidP="00F12C21">
            <w:pPr>
              <w:jc w:val="center"/>
              <w:rPr>
                <w:sz w:val="20"/>
                <w:szCs w:val="20"/>
              </w:rPr>
            </w:pPr>
            <w:r w:rsidRPr="00762DCA">
              <w:rPr>
                <w:sz w:val="20"/>
                <w:szCs w:val="20"/>
              </w:rPr>
              <w:t xml:space="preserve">Figure </w:t>
            </w:r>
            <w:r>
              <w:rPr>
                <w:sz w:val="20"/>
                <w:szCs w:val="20"/>
              </w:rPr>
              <w:t>1</w:t>
            </w:r>
            <w:r w:rsidRPr="00762DCA">
              <w:rPr>
                <w:sz w:val="20"/>
                <w:szCs w:val="20"/>
              </w:rPr>
              <w:t xml:space="preserve">a: Soil available </w:t>
            </w:r>
            <w:r>
              <w:rPr>
                <w:sz w:val="20"/>
                <w:szCs w:val="20"/>
              </w:rPr>
              <w:t>Calcium</w:t>
            </w:r>
            <w:r w:rsidRPr="00762DCA">
              <w:rPr>
                <w:sz w:val="20"/>
                <w:szCs w:val="20"/>
              </w:rPr>
              <w:t xml:space="preserve"> levels (ppm) in different locations at various soil depths</w:t>
            </w:r>
          </w:p>
        </w:tc>
      </w:tr>
      <w:tr w:rsidR="000622B8" w:rsidRPr="00762DCA" w:rsidTr="00F12C21">
        <w:tc>
          <w:tcPr>
            <w:tcW w:w="5328" w:type="dxa"/>
          </w:tcPr>
          <w:p w:rsidR="000622B8" w:rsidRPr="00762DCA" w:rsidRDefault="000622B8" w:rsidP="00F12C21">
            <w:r>
              <w:rPr>
                <w:noProof/>
                <w:lang w:val="fr-FR" w:eastAsia="fr-FR"/>
              </w:rPr>
              <w:drawing>
                <wp:inline distT="0" distB="0" distL="0" distR="0">
                  <wp:extent cx="2876005" cy="2394857"/>
                  <wp:effectExtent l="0" t="0" r="635" b="5715"/>
                  <wp:docPr id="9" name="Chart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ADA541D-B13C-0025-CB01-F7DB52954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873" w:type="dxa"/>
          </w:tcPr>
          <w:p w:rsidR="000622B8" w:rsidRPr="00762DCA" w:rsidRDefault="000622B8" w:rsidP="00F12C21">
            <w:r>
              <w:rPr>
                <w:noProof/>
                <w:lang w:val="fr-FR" w:eastAsia="fr-FR"/>
              </w:rPr>
              <w:drawing>
                <wp:inline distT="0" distB="0" distL="0" distR="0">
                  <wp:extent cx="2739480" cy="2394585"/>
                  <wp:effectExtent l="0" t="0" r="3810" b="5715"/>
                  <wp:docPr id="10" name="Chart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FC35830-74EB-115C-EEF6-6B1BFC265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0622B8" w:rsidRPr="00762DCA" w:rsidTr="00F12C21">
        <w:tc>
          <w:tcPr>
            <w:tcW w:w="5328" w:type="dxa"/>
          </w:tcPr>
          <w:p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b: Changes in soil available </w:t>
            </w:r>
            <w:r>
              <w:rPr>
                <w:sz w:val="20"/>
                <w:szCs w:val="20"/>
              </w:rPr>
              <w:t>calcium</w:t>
            </w:r>
            <w:r w:rsidRPr="00762DCA">
              <w:rPr>
                <w:sz w:val="20"/>
                <w:szCs w:val="20"/>
              </w:rPr>
              <w:t xml:space="preserve"> (ppm) at 0-10 cm depth</w:t>
            </w:r>
          </w:p>
        </w:tc>
        <w:tc>
          <w:tcPr>
            <w:tcW w:w="4873" w:type="dxa"/>
          </w:tcPr>
          <w:p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c: Changes in soil available </w:t>
            </w:r>
            <w:r>
              <w:rPr>
                <w:sz w:val="20"/>
                <w:szCs w:val="20"/>
              </w:rPr>
              <w:t>calcium</w:t>
            </w:r>
            <w:r w:rsidRPr="00762DCA">
              <w:rPr>
                <w:sz w:val="20"/>
                <w:szCs w:val="20"/>
              </w:rPr>
              <w:t xml:space="preserve"> (ppm) at 10-20 cm depth</w:t>
            </w:r>
          </w:p>
        </w:tc>
      </w:tr>
      <w:tr w:rsidR="000622B8" w:rsidRPr="00762DCA" w:rsidTr="00F12C21">
        <w:tc>
          <w:tcPr>
            <w:tcW w:w="5328" w:type="dxa"/>
          </w:tcPr>
          <w:p w:rsidR="000622B8" w:rsidRPr="00762DCA" w:rsidRDefault="000622B8" w:rsidP="00F12C21">
            <w:r>
              <w:rPr>
                <w:noProof/>
                <w:lang w:val="fr-FR" w:eastAsia="fr-FR"/>
              </w:rPr>
              <w:lastRenderedPageBreak/>
              <w:drawing>
                <wp:inline distT="0" distB="0" distL="0" distR="0">
                  <wp:extent cx="3246120" cy="2780071"/>
                  <wp:effectExtent l="0" t="0" r="11430" b="1270"/>
                  <wp:docPr id="11" name="Chart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E60D186-3165-2A76-4E4C-0D6888C69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873" w:type="dxa"/>
          </w:tcPr>
          <w:p w:rsidR="000622B8" w:rsidRPr="00762DCA" w:rsidRDefault="000622B8" w:rsidP="00F12C21">
            <w:r>
              <w:rPr>
                <w:noProof/>
                <w:lang w:val="fr-FR" w:eastAsia="fr-FR"/>
              </w:rPr>
              <w:drawing>
                <wp:inline distT="0" distB="0" distL="0" distR="0">
                  <wp:extent cx="2957195" cy="2839065"/>
                  <wp:effectExtent l="0" t="0" r="14605" b="0"/>
                  <wp:docPr id="12" name="Chart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1EE4AE6-D9F4-B420-14B8-046D23CC3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0622B8" w:rsidRPr="00762DCA" w:rsidTr="00F12C21">
        <w:tc>
          <w:tcPr>
            <w:tcW w:w="5328" w:type="dxa"/>
          </w:tcPr>
          <w:p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d: Changes in soil available </w:t>
            </w:r>
            <w:r>
              <w:rPr>
                <w:sz w:val="20"/>
                <w:szCs w:val="20"/>
              </w:rPr>
              <w:t>calcium</w:t>
            </w:r>
            <w:r w:rsidRPr="00762DCA">
              <w:rPr>
                <w:sz w:val="20"/>
                <w:szCs w:val="20"/>
              </w:rPr>
              <w:t xml:space="preserve"> (ppm) at 20-30 cm depth</w:t>
            </w:r>
          </w:p>
        </w:tc>
        <w:tc>
          <w:tcPr>
            <w:tcW w:w="4873" w:type="dxa"/>
          </w:tcPr>
          <w:p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e: Changes in soil available </w:t>
            </w:r>
            <w:r>
              <w:rPr>
                <w:sz w:val="20"/>
                <w:szCs w:val="20"/>
              </w:rPr>
              <w:t>calcium</w:t>
            </w:r>
            <w:r w:rsidRPr="00762DCA">
              <w:rPr>
                <w:sz w:val="20"/>
                <w:szCs w:val="20"/>
              </w:rPr>
              <w:t xml:space="preserve"> (ppm) at 40-60 cm depth</w:t>
            </w:r>
          </w:p>
        </w:tc>
      </w:tr>
    </w:tbl>
    <w:p w:rsidR="000622B8" w:rsidRDefault="000622B8" w:rsidP="000622B8">
      <w:pPr>
        <w:pStyle w:val="Default"/>
        <w:spacing w:line="360" w:lineRule="auto"/>
        <w:jc w:val="both"/>
        <w:rPr>
          <w:rFonts w:ascii="Times New Roman" w:hAnsi="Times New Roman" w:cs="Times New Roman"/>
        </w:rPr>
      </w:pPr>
    </w:p>
    <w:p w:rsidR="000622B8" w:rsidRPr="00386910" w:rsidRDefault="000622B8" w:rsidP="000622B8">
      <w:pPr>
        <w:spacing w:line="360" w:lineRule="auto"/>
        <w:rPr>
          <w:szCs w:val="24"/>
        </w:rPr>
      </w:pPr>
      <w:r w:rsidRPr="006843E4">
        <w:rPr>
          <w:szCs w:val="24"/>
        </w:rPr>
        <w:t>Soil excha</w:t>
      </w:r>
      <w:r>
        <w:rPr>
          <w:szCs w:val="24"/>
        </w:rPr>
        <w:t>ngeable m</w:t>
      </w:r>
      <w:r w:rsidRPr="00490216">
        <w:rPr>
          <w:szCs w:val="24"/>
        </w:rPr>
        <w:t>agnesium contents decreased with increasing nitrogen fertilizer rates</w:t>
      </w:r>
      <w:r>
        <w:rPr>
          <w:szCs w:val="24"/>
        </w:rPr>
        <w:t xml:space="preserve"> (Figures (2a-e)</w:t>
      </w:r>
      <w:r w:rsidRPr="00490216">
        <w:rPr>
          <w:szCs w:val="24"/>
        </w:rPr>
        <w:t>)</w:t>
      </w:r>
      <w:r>
        <w:rPr>
          <w:szCs w:val="24"/>
        </w:rPr>
        <w:t xml:space="preserve"> at all sites</w:t>
      </w:r>
      <w:r w:rsidRPr="00490216">
        <w:rPr>
          <w:szCs w:val="24"/>
        </w:rPr>
        <w:t>. The</w:t>
      </w:r>
      <w:r>
        <w:rPr>
          <w:szCs w:val="24"/>
        </w:rPr>
        <w:t>se</w:t>
      </w:r>
      <w:r w:rsidRPr="00490216">
        <w:rPr>
          <w:szCs w:val="24"/>
        </w:rPr>
        <w:t xml:space="preserve"> effects were </w:t>
      </w:r>
      <w:r>
        <w:rPr>
          <w:szCs w:val="24"/>
        </w:rPr>
        <w:t xml:space="preserve">only </w:t>
      </w:r>
      <w:r w:rsidRPr="00490216">
        <w:rPr>
          <w:szCs w:val="24"/>
        </w:rPr>
        <w:t xml:space="preserve">significant (p≤0.05) at </w:t>
      </w:r>
      <w:r>
        <w:rPr>
          <w:szCs w:val="24"/>
        </w:rPr>
        <w:t xml:space="preserve">the </w:t>
      </w:r>
      <w:r w:rsidRPr="00490216">
        <w:rPr>
          <w:szCs w:val="24"/>
        </w:rPr>
        <w:t>0-10 cm soil depth. The results agree with earl</w:t>
      </w:r>
      <w:r>
        <w:rPr>
          <w:szCs w:val="24"/>
        </w:rPr>
        <w:t>ier</w:t>
      </w:r>
      <w:r w:rsidRPr="00490216">
        <w:rPr>
          <w:szCs w:val="24"/>
        </w:rPr>
        <w:t xml:space="preserve"> work</w:t>
      </w:r>
      <w:r>
        <w:rPr>
          <w:szCs w:val="24"/>
        </w:rPr>
        <w:t>s</w:t>
      </w:r>
      <w:r w:rsidR="00E90242">
        <w:rPr>
          <w:szCs w:val="24"/>
        </w:rPr>
        <w:fldChar w:fldCharType="begin"/>
      </w:r>
      <w:r w:rsidR="00BD09B5">
        <w:rPr>
          <w:szCs w:val="24"/>
        </w:rPr>
        <w:instrText xml:space="preserve"> ADDIN EN.CITE &lt;EndNote&gt;&lt;Cite&gt;&lt;Author&gt;Kebeney&lt;/Author&gt;&lt;Year&gt;2010&lt;/Year&gt;&lt;RecNum&gt;88&lt;/RecNum&gt;&lt;DisplayText&gt;(Kebeney et al., 2010; Ruan et al., 2006)&lt;/DisplayText&gt;&lt;record&gt;&lt;rec-number&gt;88&lt;/rec-number&gt;&lt;foreign-keys&gt;&lt;key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Cite&gt;&lt;Author&gt;Ruan&lt;/Author&gt;&lt;Year&gt;2006&lt;/Year&gt;&lt;RecNum&gt;49&lt;/RecNum&gt;&lt;record&gt;&lt;rec-number&gt;49&lt;/rec-number&gt;&lt;foreign-keys&gt;&lt;key app="EN" db-id="zx5vprwxa0rsabew9f9xp5fcs9tz0dzwa2fa" timestamp="1573335969"&gt;49&lt;/key&gt;&lt;/foreign-keys&gt;&lt;ref-type name="Journal Article"&gt;17&lt;/ref-type&gt;&lt;contributors&gt;&lt;authors&gt;&lt;author&gt;Ruan, Jianyun&lt;/author&gt;&lt;author&gt;Ma, Lifeng&lt;/author&gt;&lt;author&gt;Shi, Yuanzhi&lt;/author&gt;&lt;/authors&gt;&lt;/contributors&gt;&lt;titles&gt;&lt;title&gt;Aluminium in tea plantations: mobility in soils and plants, and the influence of nitrogen fertilization&lt;/title&gt;&lt;secondary-title&gt;Environmental Geochemistry and Health&lt;/secondary-title&gt;&lt;/titles&gt;&lt;periodical&gt;&lt;full-title&gt;Environmental geochemistry and health&lt;/full-title&gt;&lt;/periodical&gt;&lt;pages&gt;519-528&lt;/pages&gt;&lt;volume&gt;28&lt;/volume&gt;&lt;number&gt;6&lt;/number&gt;&lt;dates&gt;&lt;year&gt;2006&lt;/year&gt;&lt;/dates&gt;&lt;isbn&gt;0269-4042&lt;/isbn&gt;&lt;urls&gt;&lt;related-urls&gt;&lt;url&gt;&lt;style face="underline" font="default" size="100%"&gt;https://link.springer.com/article/10.1007/s10653-006-9047-z&lt;/style&gt;&lt;/url&gt;&lt;/related-urls&gt;&lt;/urls&gt;&lt;/record&gt;&lt;/Cite&gt;&lt;/EndNote&gt;</w:instrText>
      </w:r>
      <w:r w:rsidR="00E90242">
        <w:rPr>
          <w:szCs w:val="24"/>
        </w:rPr>
        <w:fldChar w:fldCharType="separate"/>
      </w:r>
      <w:r w:rsidR="00BE2D15">
        <w:rPr>
          <w:noProof/>
          <w:szCs w:val="24"/>
        </w:rPr>
        <w:t>(Kebeney et al., 2010; Ruan et al., 2006)</w:t>
      </w:r>
      <w:r w:rsidR="00E90242">
        <w:rPr>
          <w:szCs w:val="24"/>
        </w:rPr>
        <w:fldChar w:fldCharType="end"/>
      </w:r>
      <w:r w:rsidRPr="00490216">
        <w:rPr>
          <w:szCs w:val="24"/>
        </w:rPr>
        <w:t xml:space="preserve"> where increased nitrogenous fertilizer rates reduced soil magnesium contents</w:t>
      </w:r>
      <w:r w:rsidR="00E90242">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00E90242">
        <w:rPr>
          <w:szCs w:val="24"/>
        </w:rPr>
        <w:fldChar w:fldCharType="separate"/>
      </w:r>
      <w:r w:rsidR="00BE2D15">
        <w:rPr>
          <w:noProof/>
          <w:szCs w:val="24"/>
        </w:rPr>
        <w:t>(Kebeney et al., 2010)</w:t>
      </w:r>
      <w:r w:rsidR="00E90242">
        <w:rPr>
          <w:szCs w:val="24"/>
        </w:rPr>
        <w:fldChar w:fldCharType="end"/>
      </w:r>
      <w:r w:rsidRPr="00490216">
        <w:rPr>
          <w:szCs w:val="24"/>
        </w:rPr>
        <w:t>. The leaf</w:t>
      </w:r>
      <w:r>
        <w:rPr>
          <w:szCs w:val="24"/>
        </w:rPr>
        <w:t xml:space="preserve"> magnesium contents also declined with increasing rates of nitrogen fertilizer</w:t>
      </w:r>
      <w:r w:rsidR="00E90242">
        <w:rPr>
          <w:szCs w:val="24"/>
        </w:rPr>
        <w:fldChar w:fldCharType="begin">
          <w:fldData xml:space="preserve">PEVuZE5vdGU+PENpdGU+PEF1dGhvcj5LZWJlbmV5PC9BdXRob3I+PFllYXI+MjAxMDwvWWVhcj48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</w:fldData>
        </w:fldChar>
      </w:r>
      <w:r w:rsidR="00BD09B5">
        <w:rPr>
          <w:szCs w:val="24"/>
        </w:rPr>
        <w:instrText xml:space="preserve"> ADDIN EN.CITE </w:instrText>
      </w:r>
      <w:r w:rsidR="00E90242">
        <w:rPr>
          <w:szCs w:val="24"/>
        </w:rPr>
        <w:fldChar w:fldCharType="begin">
          <w:fldData xml:space="preserve">PEVuZE5vdGU+PENpdGU+PEF1dGhvcj5LZWJlbmV5PC9BdXRob3I+PFllYXI+MjAxMDwvWWVhcj48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</w:fldData>
        </w:fldChar>
      </w:r>
      <w:r w:rsidR="00BD09B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(Kebeney et al., 2010; Kwach et al., 2014; Venkatesan et al., 2004)</w:t>
      </w:r>
      <w:r w:rsidR="00E90242">
        <w:rPr>
          <w:szCs w:val="24"/>
        </w:rPr>
        <w:fldChar w:fldCharType="end"/>
      </w:r>
      <w:r w:rsidRPr="00490216">
        <w:rPr>
          <w:szCs w:val="24"/>
        </w:rPr>
        <w:t>. The low levels of</w:t>
      </w:r>
      <w:r>
        <w:rPr>
          <w:szCs w:val="24"/>
        </w:rPr>
        <w:t xml:space="preserve"> exchangeable </w:t>
      </w:r>
      <w:r w:rsidRPr="00490216">
        <w:rPr>
          <w:szCs w:val="24"/>
        </w:rPr>
        <w:t xml:space="preserve">magnesium in tea soils were possibly a result of depletion through the continuous harvesting of young shoots </w:t>
      </w:r>
      <w:commentRangeStart w:id="9"/>
      <w:r w:rsidR="00E90242">
        <w:rPr>
          <w:szCs w:val="24"/>
        </w:rPr>
        <w:fldChar w:fldCharType="begin">
          <w:fldData xml:space="preserve">PEVuZE5vdGU+PENpdGU+PEF1dGhvcj5Pd3VvcjwvQXV0aG9yPjxZZWFyPjIwMTE8L1llYXI+PFJl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</w:fldData>
        </w:fldChar>
      </w:r>
      <w:r w:rsidR="00BD09B5">
        <w:rPr>
          <w:szCs w:val="24"/>
        </w:rPr>
        <w:instrText xml:space="preserve"> ADDIN EN.CITE </w:instrText>
      </w:r>
      <w:r w:rsidR="00E90242">
        <w:rPr>
          <w:szCs w:val="24"/>
        </w:rPr>
        <w:fldChar w:fldCharType="begin">
          <w:fldData xml:space="preserve">PEVuZE5vdGU+PENpdGU+PEF1dGhvcj5Pd3VvcjwvQXV0aG9yPjxZZWFyPjIwMTE8L1llYXI+PFJl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</w:fldData>
        </w:fldChar>
      </w:r>
      <w:r w:rsidR="00BD09B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(Hajiboland, 2018; P.O. Owuor et al., 2011)</w:t>
      </w:r>
      <w:r w:rsidR="00E90242">
        <w:rPr>
          <w:szCs w:val="24"/>
        </w:rPr>
        <w:fldChar w:fldCharType="end"/>
      </w:r>
      <w:commentRangeEnd w:id="9"/>
      <w:r w:rsidR="004C14EF">
        <w:rPr>
          <w:rStyle w:val="Marquedecommentaire"/>
        </w:rPr>
        <w:commentReference w:id="9"/>
      </w:r>
      <w:r>
        <w:rPr>
          <w:szCs w:val="24"/>
        </w:rPr>
        <w:t>,</w:t>
      </w:r>
      <w:r w:rsidRPr="00490216">
        <w:rPr>
          <w:szCs w:val="24"/>
        </w:rPr>
        <w:t xml:space="preserve"> increased leaching </w:t>
      </w:r>
      <w:r w:rsidR="00E90242">
        <w:rPr>
          <w:szCs w:val="24"/>
        </w:rPr>
        <w:fldChar w:fldCharType="begin"/>
      </w:r>
      <w:r w:rsidR="00BD09B5">
        <w:rPr>
          <w:szCs w:val="24"/>
        </w:rPr>
        <w:instrText xml:space="preserve"> ADDIN EN.CITE &lt;EndNote&gt;&lt;Cite&gt;&lt;Author&gt;Wang&lt;/Author&gt;&lt;Year&gt;2024&lt;/Year&gt;&lt;RecNum&gt;218&lt;/RecNum&gt;&lt;DisplayText&gt;(Wang et al., 2024)&lt;/DisplayText&gt;&lt;record&gt;&lt;rec-number&gt;218&lt;/rec-number&gt;&lt;foreign-keys&gt;&lt;key app="EN" db-id="zx5vprwxa0rsabew9f9xp5fcs9tz0dzwa2fa" timestamp="1757660103"&gt;218&lt;/key&gt;&lt;/foreign-keys&gt;&lt;ref-type name="Journal Article"&gt;17&lt;/ref-type&gt;&lt;contributors&gt;&lt;authors&gt;&lt;author&gt;Wang, Sen&lt;/author&gt;&lt;author&gt;Lin, Wei&lt;/author&gt;&lt;author&gt;Ye, Qi&lt;/author&gt;&lt;author&gt;Lv, Wenzhuo&lt;/author&gt;&lt;author&gt;Liao, Penghui&lt;/author&gt;&lt;author&gt;Yu, Jinhui&lt;/author&gt;&lt;author&gt;Mu, Cong&lt;/author&gt;&lt;author&gt;Wu, LiangQuan&lt;/author&gt;&lt;author&gt;Muneer, Muhammad Atif&lt;/author&gt;&lt;author&gt;Zhang, Yinjie&lt;/author&gt;&lt;/authors&gt;&lt;/contributors&gt;&lt;titles&gt;&lt;title&gt;Effects of different nitrogen fertilizer rates on soil magnesium leaching in tea garden&lt;/title&gt;&lt;secondary-title&gt;Journal of Soil Science and Plant Nutrition&lt;/secondary-title&gt;&lt;/titles&gt;&lt;periodical&gt;&lt;full-title&gt;Journal of Soil Science and Plant Nutrition&lt;/full-title&gt;&lt;/periodical&gt;&lt;pages&gt;6630-6640&lt;/pages&gt;&lt;volume&gt;24&lt;/volume&gt;&lt;number&gt;4&lt;/number&gt;&lt;dates&gt;&lt;year&gt;2024&lt;/year&gt;&lt;/dates&gt;&lt;isbn&gt;0718-9508&lt;/isbn&gt;&lt;urls&gt;&lt;/urls&gt;&lt;electronic-resource-num&gt;https://doi.org/10.1007/s42729-024-01995-4&lt;/electronic-resource-num&gt;&lt;/record&gt;&lt;/Cite&gt;&lt;/EndNote&gt;</w:instrText>
      </w:r>
      <w:r w:rsidR="00E90242">
        <w:rPr>
          <w:szCs w:val="24"/>
        </w:rPr>
        <w:fldChar w:fldCharType="separate"/>
      </w:r>
      <w:r w:rsidR="00BE2D15">
        <w:rPr>
          <w:noProof/>
          <w:szCs w:val="24"/>
        </w:rPr>
        <w:t>(Wang et al., 2024)</w:t>
      </w:r>
      <w:r w:rsidR="00E90242">
        <w:rPr>
          <w:szCs w:val="24"/>
        </w:rPr>
        <w:fldChar w:fldCharType="end"/>
      </w:r>
      <w:r>
        <w:rPr>
          <w:szCs w:val="24"/>
        </w:rPr>
        <w:t>,</w:t>
      </w:r>
      <w:r w:rsidRPr="00490216">
        <w:rPr>
          <w:szCs w:val="24"/>
        </w:rPr>
        <w:t xml:space="preserve"> soil acidification </w:t>
      </w:r>
      <w:r w:rsidR="00E90242">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E90242">
        <w:rPr>
          <w:szCs w:val="24"/>
        </w:rPr>
        <w:fldChar w:fldCharType="separate"/>
      </w:r>
      <w:r w:rsidR="00BE2D15">
        <w:rPr>
          <w:noProof/>
          <w:szCs w:val="24"/>
        </w:rPr>
        <w:t>(Ombori et al., 2020)</w:t>
      </w:r>
      <w:r w:rsidR="00E90242">
        <w:rPr>
          <w:szCs w:val="24"/>
        </w:rPr>
        <w:fldChar w:fldCharType="end"/>
      </w:r>
      <w:r w:rsidRPr="00490216">
        <w:rPr>
          <w:szCs w:val="24"/>
        </w:rPr>
        <w:t xml:space="preserve"> and </w:t>
      </w:r>
      <w:r>
        <w:rPr>
          <w:szCs w:val="24"/>
        </w:rPr>
        <w:t xml:space="preserve">surface runoff due to </w:t>
      </w:r>
      <w:r w:rsidRPr="00490216">
        <w:rPr>
          <w:szCs w:val="24"/>
        </w:rPr>
        <w:t>high rainfall</w:t>
      </w:r>
      <w:r w:rsidR="00E90242">
        <w:rPr>
          <w:szCs w:val="24"/>
        </w:rPr>
        <w:fldChar w:fldCharType="begin"/>
      </w:r>
      <w:r w:rsidR="00BD09B5">
        <w:rPr>
          <w:szCs w:val="24"/>
        </w:rPr>
        <w:instrText xml:space="preserve"> ADDIN EN.CITE &lt;EndNote&gt;&lt;Cite&gt;&lt;Author&gt;Liu&lt;/Author&gt;&lt;Year&gt;2012&lt;/Year&gt;&lt;RecNum&gt;203&lt;/RecNum&gt;&lt;DisplayText&gt;(Liu et al., 2012)&lt;/DisplayText&gt;&lt;record&gt;&lt;rec-number&gt;203&lt;/rec-number&gt;&lt;foreign-keys&gt;&lt;key app="EN" db-id="zx5vprwxa0rsabew9f9xp5fcs9tz0dzwa2fa" timestamp="1757536301"&gt;203&lt;/key&gt;&lt;/foreign-keys&gt;&lt;ref-type name="Journal Article"&gt;17&lt;/ref-type&gt;&lt;contributors&gt;&lt;authors&gt;&lt;author&gt;Liu, Zong’an&lt;/author&gt;&lt;author&gt;Yang, Jingping&lt;/author&gt;&lt;author&gt;Yang, Zhengchao&lt;/author&gt;&lt;author&gt;Zou, Junliang&lt;/author&gt;&lt;/authors&gt;&lt;/contributors&gt;&lt;titles&gt;&lt;title&gt;Effects of rainfall and fertilizer types on nitrogen and phosphorus concentrations in surface runoff from subtropical tea fields in Zhejiang, China&lt;/title&gt;&lt;secondary-title&gt;Nutrient Cycling in Agroecosystems&lt;/secondary-title&gt;&lt;/titles&gt;&lt;periodical&gt;&lt;full-title&gt;Nutrient Cycling in Agroecosystems&lt;/full-title&gt;&lt;/periodical&gt;&lt;pages&gt;297-307&lt;/pages&gt;&lt;volume&gt;93&lt;/volume&gt;&lt;number&gt;3&lt;/number&gt;&lt;dates&gt;&lt;year&gt;2012&lt;/year&gt;&lt;/dates&gt;&lt;isbn&gt;1385-1314&lt;/isbn&gt;&lt;urls&gt;&lt;/urls&gt;&lt;electronic-resource-num&gt;https://doi.org/10.1007/s10705-012-9517-x&lt;/electronic-resource-num&gt;&lt;/record&gt;&lt;/Cite&gt;&lt;/EndNote&gt;</w:instrText>
      </w:r>
      <w:r w:rsidR="00E90242">
        <w:rPr>
          <w:szCs w:val="24"/>
        </w:rPr>
        <w:fldChar w:fldCharType="separate"/>
      </w:r>
      <w:r w:rsidR="00BE2D15">
        <w:rPr>
          <w:noProof/>
          <w:szCs w:val="24"/>
        </w:rPr>
        <w:t>(Liu et al., 2012)</w:t>
      </w:r>
      <w:r w:rsidR="00E90242">
        <w:rPr>
          <w:szCs w:val="24"/>
        </w:rPr>
        <w:fldChar w:fldCharType="end"/>
      </w:r>
      <w:r w:rsidRPr="000A4AB9">
        <w:rPr>
          <w:szCs w:val="24"/>
        </w:rPr>
        <w:t>.</w:t>
      </w:r>
    </w:p>
    <w:p w:rsidR="000622B8" w:rsidRDefault="000622B8" w:rsidP="000622B8">
      <w:pPr>
        <w:spacing w:line="360" w:lineRule="auto"/>
        <w:rPr>
          <w:szCs w:val="24"/>
        </w:rPr>
      </w:pPr>
    </w:p>
    <w:p w:rsidR="000622B8" w:rsidRPr="00AF0E2C" w:rsidRDefault="000622B8" w:rsidP="000622B8">
      <w:pPr>
        <w:pStyle w:val="Titre2"/>
        <w:spacing w:before="0" w:after="0" w:line="360" w:lineRule="auto"/>
        <w:rPr>
          <w:rFonts w:ascii="Times New Roman" w:hAnsi="Times New Roman"/>
          <w:i/>
          <w:color w:val="auto"/>
          <w:sz w:val="24"/>
          <w:szCs w:val="24"/>
        </w:rPr>
      </w:pPr>
      <w:r w:rsidRPr="00AF0E2C">
        <w:rPr>
          <w:rFonts w:ascii="Times New Roman" w:hAnsi="Times New Roman"/>
          <w:color w:val="auto"/>
          <w:sz w:val="24"/>
          <w:szCs w:val="24"/>
        </w:rPr>
        <w:t xml:space="preserve">Soil Manganese </w:t>
      </w:r>
    </w:p>
    <w:p w:rsidR="000622B8" w:rsidRDefault="000622B8" w:rsidP="000622B8">
      <w:pPr>
        <w:spacing w:line="360" w:lineRule="auto"/>
        <w:rPr>
          <w:szCs w:val="24"/>
        </w:rPr>
      </w:pPr>
      <w:r>
        <w:rPr>
          <w:szCs w:val="24"/>
        </w:rPr>
        <w:t xml:space="preserve">Changes in </w:t>
      </w:r>
      <w:r w:rsidRPr="00490216">
        <w:rPr>
          <w:szCs w:val="24"/>
        </w:rPr>
        <w:t xml:space="preserve">soil manganese levels </w:t>
      </w:r>
      <w:r>
        <w:rPr>
          <w:szCs w:val="24"/>
        </w:rPr>
        <w:t xml:space="preserve">with location of production and nitrogen rates </w:t>
      </w:r>
      <w:r w:rsidRPr="00490216">
        <w:rPr>
          <w:szCs w:val="24"/>
        </w:rPr>
        <w:t xml:space="preserve">are presented in </w:t>
      </w:r>
      <w:r>
        <w:rPr>
          <w:szCs w:val="24"/>
        </w:rPr>
        <w:t>Figures (3a-e)</w:t>
      </w:r>
      <w:r w:rsidRPr="00490216">
        <w:rPr>
          <w:szCs w:val="24"/>
        </w:rPr>
        <w:t>. There was a general decrease in manganese contents down the soil profiles. The upper soil layers recorded higher manganese contents in comparison to lower depths.</w:t>
      </w:r>
      <w:r>
        <w:rPr>
          <w:szCs w:val="24"/>
        </w:rPr>
        <w:t xml:space="preserve"> Similar results had been </w:t>
      </w:r>
      <w:r w:rsidRPr="00490216">
        <w:rPr>
          <w:szCs w:val="24"/>
        </w:rPr>
        <w:t xml:space="preserve">observed </w:t>
      </w:r>
      <w:r w:rsidR="00E90242">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BD09B5">
        <w:rPr>
          <w:szCs w:val="24"/>
        </w:rPr>
        <w:instrText xml:space="preserve"> ADDIN EN.CITE </w:instrText>
      </w:r>
      <w:r w:rsidR="00E90242">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BD09B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(Özyazıcı et al., 2011; Sitienei et al., 2016)</w:t>
      </w:r>
      <w:r w:rsidR="00E90242">
        <w:rPr>
          <w:szCs w:val="24"/>
        </w:rPr>
        <w:fldChar w:fldCharType="end"/>
      </w:r>
      <w:r w:rsidRPr="00490216">
        <w:rPr>
          <w:szCs w:val="24"/>
        </w:rPr>
        <w:t>. Th</w:t>
      </w:r>
      <w:r>
        <w:rPr>
          <w:szCs w:val="24"/>
        </w:rPr>
        <w:t xml:space="preserve">is </w:t>
      </w:r>
      <w:r w:rsidRPr="00490216">
        <w:rPr>
          <w:szCs w:val="24"/>
        </w:rPr>
        <w:t xml:space="preserve">pattern </w:t>
      </w:r>
      <w:r>
        <w:rPr>
          <w:szCs w:val="24"/>
        </w:rPr>
        <w:t xml:space="preserve">was attributed to </w:t>
      </w:r>
      <w:r w:rsidRPr="00490216">
        <w:rPr>
          <w:szCs w:val="24"/>
        </w:rPr>
        <w:t>decrease in organic carbon and soil acidity</w:t>
      </w:r>
      <w:r w:rsidR="00E90242">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E90242">
        <w:rPr>
          <w:szCs w:val="24"/>
        </w:rPr>
        <w:fldChar w:fldCharType="separate"/>
      </w:r>
      <w:r w:rsidR="00BE2D15">
        <w:rPr>
          <w:noProof/>
          <w:szCs w:val="24"/>
        </w:rPr>
        <w:t>(Ombori et al., 2020)</w:t>
      </w:r>
      <w:r w:rsidR="00E90242">
        <w:rPr>
          <w:szCs w:val="24"/>
        </w:rPr>
        <w:fldChar w:fldCharType="end"/>
      </w:r>
      <w:r w:rsidRPr="00490216">
        <w:rPr>
          <w:szCs w:val="24"/>
        </w:rPr>
        <w:t>down the soil profiles. The concentration of manganese increases with increase in organic matter content in the soil</w:t>
      </w:r>
      <w:r w:rsidR="00E90242">
        <w:rPr>
          <w:szCs w:val="24"/>
        </w:rPr>
        <w:fldChar w:fldCharType="begin"/>
      </w:r>
      <w:r w:rsidR="00BD09B5">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00E90242">
        <w:rPr>
          <w:szCs w:val="24"/>
        </w:rPr>
        <w:fldChar w:fldCharType="separate"/>
      </w:r>
      <w:r w:rsidR="00312DFF">
        <w:rPr>
          <w:noProof/>
          <w:szCs w:val="24"/>
        </w:rPr>
        <w:t>(Nath, 2013)</w:t>
      </w:r>
      <w:r w:rsidR="00E90242">
        <w:rPr>
          <w:szCs w:val="24"/>
        </w:rPr>
        <w:fldChar w:fldCharType="end"/>
      </w:r>
      <w:r w:rsidRPr="00490216">
        <w:rPr>
          <w:szCs w:val="24"/>
        </w:rPr>
        <w:t xml:space="preserve">. The upper soil depths </w:t>
      </w:r>
      <w:r>
        <w:rPr>
          <w:szCs w:val="24"/>
        </w:rPr>
        <w:t xml:space="preserve">had </w:t>
      </w:r>
      <w:r w:rsidRPr="00490216">
        <w:rPr>
          <w:szCs w:val="24"/>
        </w:rPr>
        <w:t xml:space="preserve">high levels of zinc </w:t>
      </w:r>
      <w:r w:rsidR="00E90242">
        <w:rPr>
          <w:szCs w:val="24"/>
        </w:rPr>
        <w:fldChar w:fldCharType="begin"/>
      </w:r>
      <w:r w:rsidR="00BD09B5">
        <w:rPr>
          <w:szCs w:val="24"/>
        </w:rPr>
        <w:instrText xml:space="preserve"> ADDIN EN.CITE &lt;EndNote&gt;&lt;Cite&gt;&lt;Author&gt;Ombori&lt;/Author&gt;&lt;Year&gt;2025&lt;/Year&gt;&lt;RecNum&gt;216&lt;/RecNum&gt;&lt;DisplayText&gt;(Ombori et al., 2025b)&lt;/DisplayText&gt;&lt;record&gt;&lt;rec-number&gt;216&lt;/rec-number&gt;&lt;foreign-keys&gt;&lt;key app="EN" db-id="zx5vprwxa0rsabew9f9xp5fcs9tz0dzwa2fa" timestamp="1757618287"&gt;216&lt;/key&gt;&lt;/foreign-keys&gt;&lt;ref-type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IV. Effects on soil micro-nutrients (Al, Fe, Zn, Cu)&lt;/style&gt;&lt;/title&gt;&lt;secondary-title&gt;Asian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sidR="00E90242">
        <w:rPr>
          <w:szCs w:val="24"/>
        </w:rPr>
        <w:fldChar w:fldCharType="separate"/>
      </w:r>
      <w:r w:rsidR="00BE2D15">
        <w:rPr>
          <w:noProof/>
          <w:szCs w:val="24"/>
        </w:rPr>
        <w:t>(Ombori et al., 2025b)</w:t>
      </w:r>
      <w:r w:rsidR="00E90242">
        <w:rPr>
          <w:szCs w:val="24"/>
        </w:rPr>
        <w:fldChar w:fldCharType="end"/>
      </w:r>
      <w:r>
        <w:rPr>
          <w:szCs w:val="24"/>
        </w:rPr>
        <w:t xml:space="preserve"> and </w:t>
      </w:r>
      <w:r w:rsidRPr="00490216">
        <w:rPr>
          <w:szCs w:val="24"/>
        </w:rPr>
        <w:t>high organic matter content</w:t>
      </w:r>
      <w:r w:rsidR="00E90242">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E90242">
        <w:rPr>
          <w:szCs w:val="24"/>
        </w:rPr>
        <w:fldChar w:fldCharType="separate"/>
      </w:r>
      <w:r w:rsidR="00BE2D15">
        <w:rPr>
          <w:noProof/>
          <w:szCs w:val="24"/>
        </w:rPr>
        <w:t>(Ombori et al., 2020)</w:t>
      </w:r>
      <w:r w:rsidR="00E90242">
        <w:rPr>
          <w:szCs w:val="24"/>
        </w:rPr>
        <w:fldChar w:fldCharType="end"/>
      </w:r>
      <w:r w:rsidRPr="00490216">
        <w:rPr>
          <w:szCs w:val="24"/>
        </w:rPr>
        <w:t>. High levels of zinc reduce the ability of soil to absorb manganese</w:t>
      </w:r>
      <w:r w:rsidR="00E90242">
        <w:rPr>
          <w:szCs w:val="24"/>
        </w:rPr>
        <w:fldChar w:fldCharType="begin"/>
      </w:r>
      <w:r w:rsidR="00BD09B5">
        <w:rPr>
          <w:szCs w:val="24"/>
        </w:rPr>
        <w:instrText xml:space="preserve"> ADDIN EN.CITE &lt;EndNote&gt;&lt;Cite&gt;&lt;Author&gt;Rejula&lt;/Author&gt;&lt;Year&gt;2012&lt;/Year&gt;&lt;RecNum&gt;199&lt;/RecNum&gt;&lt;DisplayText&gt;(Rejula &amp;amp; Dhinakaran, 2012)&lt;/DisplayText&gt;&lt;record&gt;&lt;rec-number&gt;199&lt;/rec-number&gt;&lt;foreign-keys&gt;&lt;key app="EN" db-id="zx5vprwxa0rsabew9f9xp5fcs9tz0dzwa2fa" timestamp="1757428131"&gt;199&lt;/key&gt;&lt;/foreign-keys&gt;&lt;ref-type name="Journal Article"&gt;17&lt;/ref-type&gt;&lt;contributors&gt;&lt;authors&gt;&lt;author&gt;Rejula, Francis Amala&lt;/author&gt;&lt;author&gt;Dhinakaran, Masilamai&lt;/author&gt;&lt;/authors&gt;&lt;/contributors&gt;&lt;titles&gt;&lt;title&gt;&lt;style face="normal" font="default" size="100%"&gt;Removal of zinc (II) by non living biomass of &lt;/style&gt;&lt;style face="italic" font="default" size="100%"&gt;Agaricus bisporus&lt;/style&gt;&lt;/title&gt;&lt;secondary-title&gt;Research Journal of Recent Sciences &lt;/secondary-title&gt;&lt;/titles&gt;&lt;pages&gt;13-17&lt;/pages&gt;&lt;volume&gt;1&lt;/volume&gt;&lt;number&gt;9&lt;/number&gt;&lt;dates&gt;&lt;year&gt;2012&lt;/year&gt;&lt;/dates&gt;&lt;urls&gt;&lt;/urls&gt;&lt;/record&gt;&lt;/Cite&gt;&lt;/EndNote&gt;</w:instrText>
      </w:r>
      <w:r w:rsidR="00E90242">
        <w:rPr>
          <w:szCs w:val="24"/>
        </w:rPr>
        <w:fldChar w:fldCharType="separate"/>
      </w:r>
      <w:r w:rsidR="00BE2D15">
        <w:rPr>
          <w:noProof/>
          <w:szCs w:val="24"/>
        </w:rPr>
        <w:t>(Rejula &amp; Dhinakaran, 2012)</w:t>
      </w:r>
      <w:r w:rsidR="00E90242">
        <w:rPr>
          <w:szCs w:val="24"/>
        </w:rPr>
        <w:fldChar w:fldCharType="end"/>
      </w:r>
      <w:r>
        <w:rPr>
          <w:szCs w:val="24"/>
        </w:rPr>
        <w:t xml:space="preserve">, which may </w:t>
      </w:r>
      <w:r w:rsidRPr="00490216">
        <w:rPr>
          <w:szCs w:val="24"/>
        </w:rPr>
        <w:t xml:space="preserve">reduce manganese in tea soil </w:t>
      </w:r>
      <w:r>
        <w:rPr>
          <w:szCs w:val="24"/>
        </w:rPr>
        <w:t xml:space="preserve">thereby </w:t>
      </w:r>
      <w:r w:rsidRPr="00490216">
        <w:rPr>
          <w:szCs w:val="24"/>
        </w:rPr>
        <w:t>affecting crop productivity.</w:t>
      </w:r>
    </w:p>
    <w:p w:rsidR="00FE7770" w:rsidRDefault="00FE7770" w:rsidP="00FE7770">
      <w:pPr>
        <w:pStyle w:val="Default"/>
        <w:spacing w:line="360" w:lineRule="auto"/>
        <w:jc w:val="both"/>
        <w:rPr>
          <w:rFonts w:ascii="Times New Roman" w:hAnsi="Times New Roman" w:cs="Times New Roman"/>
        </w:rPr>
      </w:pPr>
    </w:p>
    <w:p w:rsidR="00FE7770" w:rsidRPr="00490216" w:rsidRDefault="00FE7770" w:rsidP="00FE7770">
      <w:pPr>
        <w:spacing w:line="360" w:lineRule="auto"/>
        <w:rPr>
          <w:szCs w:val="24"/>
        </w:rPr>
      </w:pPr>
      <w:r>
        <w:rPr>
          <w:szCs w:val="24"/>
        </w:rPr>
        <w:lastRenderedPageBreak/>
        <w:t>There were variations (p</w:t>
      </w:r>
      <m:oMath>
        <m:r>
          <w:rPr>
            <w:rFonts w:ascii="Cambria Math" w:hAnsi="Cambria Math"/>
            <w:szCs w:val="24"/>
          </w:rPr>
          <m:t>≤</m:t>
        </m:r>
      </m:oMath>
      <w:r>
        <w:rPr>
          <w:szCs w:val="24"/>
        </w:rPr>
        <w:t xml:space="preserve">0.05) in manganese levels with locations and at different soil depths (Figure 3a). Very low manganese levels were observed in Kitabi and Maruku locations. </w:t>
      </w:r>
      <w:r w:rsidRPr="00490216">
        <w:rPr>
          <w:szCs w:val="24"/>
        </w:rPr>
        <w:t>Manganese</w:t>
      </w:r>
      <w:r>
        <w:rPr>
          <w:szCs w:val="24"/>
        </w:rPr>
        <w:t xml:space="preserve"> aids plants in photosynthesis and activating </w:t>
      </w:r>
      <w:r w:rsidRPr="00490216">
        <w:rPr>
          <w:szCs w:val="24"/>
        </w:rPr>
        <w:t>several enzymes</w:t>
      </w:r>
      <w:r w:rsidR="00E90242">
        <w:rPr>
          <w:szCs w:val="24"/>
        </w:rPr>
        <w:fldChar w:fldCharType="begin"/>
      </w:r>
      <w:r w:rsidR="00BD09B5">
        <w:rPr>
          <w:szCs w:val="24"/>
        </w:rPr>
        <w:instrText xml:space="preserve"> ADDIN EN.CITE &lt;EndNote&gt;&lt;Cite&gt;&lt;Author&gt;Roy&lt;/Author&gt;&lt;Year&gt;2006&lt;/Year&gt;&lt;RecNum&gt;73&lt;/RecNum&gt;&lt;DisplayText&gt;(Roy et al., 2006)&lt;/DisplayText&gt;&lt;record&gt;&lt;rec-number&gt;73&lt;/rec-number&gt;&lt;foreign-keys&gt;&lt;key app="EN" db-id="zx5vprwxa0rsabew9f9xp5fcs9tz0dzwa2fa" timestamp="1595614090"&gt;73&lt;/key&gt;&lt;/foreign-keys&gt;&lt;ref-type name="Book Section"&gt;5&lt;/ref-type&gt;&lt;contributors&gt;&lt;authors&gt;&lt;author&gt;Roy, R. N.&lt;/author&gt;&lt;author&gt;Finck, A.&lt;/author&gt;&lt;author&gt;Blair, G. J.&lt;/author&gt;&lt;author&gt;Tandon, H. L. S.&lt;/author&gt;&lt;/authors&gt;&lt;secondary-authors&gt;&lt;author&gt;FAO&lt;/author&gt;&lt;/secondary-authors&gt;&lt;/contributors&gt;&lt;titles&gt;&lt;title&gt;Plant nutrition for food security&lt;/title&gt;&lt;secondary-title&gt;Fertilizer and Plant Nutrition Bulletin, Number 16&lt;/secondary-title&gt;&lt;/titles&gt;&lt;pages&gt;25-42&lt;/pages&gt;&lt;dates&gt;&lt;year&gt;2006&lt;/year&gt;&lt;/dates&gt;&lt;pub-location&gt;Rome&lt;/pub-location&gt;&lt;publisher&gt;FAO&lt;/publisher&gt;&lt;urls&gt;&lt;/urls&gt;&lt;/record&gt;&lt;/Cite&gt;&lt;/EndNote&gt;</w:instrText>
      </w:r>
      <w:r w:rsidR="00E90242">
        <w:rPr>
          <w:szCs w:val="24"/>
        </w:rPr>
        <w:fldChar w:fldCharType="separate"/>
      </w:r>
      <w:r w:rsidR="00BE2D15">
        <w:rPr>
          <w:noProof/>
          <w:szCs w:val="24"/>
        </w:rPr>
        <w:t>(Roy et al., 2006)</w:t>
      </w:r>
      <w:r w:rsidR="00E90242">
        <w:rPr>
          <w:szCs w:val="24"/>
        </w:rPr>
        <w:fldChar w:fldCharType="end"/>
      </w:r>
      <w:r w:rsidRPr="00490216">
        <w:rPr>
          <w:szCs w:val="24"/>
        </w:rPr>
        <w:t xml:space="preserve">. Soil manganese levels between 4-14 ppm, 14-50 ppm, 50-170 ppm and &gt;170 ppm are classified as low, sufficient, high and very high respectively </w:t>
      </w:r>
      <w:r w:rsidR="00E90242">
        <w:rPr>
          <w:szCs w:val="24"/>
        </w:rPr>
        <w:fldChar w:fldCharType="begin"/>
      </w:r>
      <w:r w:rsidR="00BD09B5">
        <w:rPr>
          <w:szCs w:val="24"/>
        </w:rPr>
        <w:instrText xml:space="preserve"> ADDIN EN.CITE &lt;EndNote&gt;&lt;Cite&gt;&lt;Author&gt;Sillanpaa&lt;/Author&gt;&lt;Year&gt;1990&lt;/Year&gt;&lt;RecNum&gt;198&lt;/RecNum&gt;&lt;DisplayText&gt;(Sillanpaa, 1990)&lt;/DisplayText&gt;&lt;record&gt;&lt;rec-number&gt;198&lt;/rec-number&gt;&lt;foreign-keys&gt;&lt;key app="EN" db-id="zx5vprwxa0rsabew9f9xp5fcs9tz0dzwa2fa" timestamp="1757427835"&gt;198&lt;/key&gt;&lt;/foreign-keys&gt;&lt;ref-type name="Journal Article"&gt;17&lt;/ref-type&gt;&lt;contributors&gt;&lt;authors&gt;&lt;author&gt;Sillanpaa, Mikko&lt;/author&gt;&lt;/authors&gt;&lt;/contributors&gt;&lt;titles&gt;&lt;title&gt;Micronutrients assessment at the country level&lt;/title&gt;&lt;secondary-title&gt;An international Study FAO Soils Bulletin&lt;/secondary-title&gt;&lt;/titles&gt;&lt;periodical&gt;&lt;full-title&gt;An international Study FAO Soils Bulletin&lt;/full-title&gt;&lt;/periodical&gt;&lt;volume&gt;63&lt;/volume&gt;&lt;dates&gt;&lt;year&gt;1990&lt;/year&gt;&lt;/dates&gt;&lt;urls&gt;&lt;/urls&gt;&lt;/record&gt;&lt;/Cite&gt;&lt;/EndNote&gt;</w:instrText>
      </w:r>
      <w:r w:rsidR="00E90242">
        <w:rPr>
          <w:szCs w:val="24"/>
        </w:rPr>
        <w:fldChar w:fldCharType="separate"/>
      </w:r>
      <w:r w:rsidR="00312DFF">
        <w:rPr>
          <w:noProof/>
          <w:szCs w:val="24"/>
        </w:rPr>
        <w:t>(Sillanpaa, 1990)</w:t>
      </w:r>
      <w:r w:rsidR="00E90242">
        <w:rPr>
          <w:szCs w:val="24"/>
        </w:rPr>
        <w:fldChar w:fldCharType="end"/>
      </w:r>
      <w:r w:rsidRPr="00490216">
        <w:rPr>
          <w:szCs w:val="24"/>
        </w:rPr>
        <w:t xml:space="preserve">. </w:t>
      </w:r>
      <w:r>
        <w:rPr>
          <w:szCs w:val="24"/>
        </w:rPr>
        <w:t xml:space="preserve">The levels of manganese at these two sites could be limiting productivity. The soil available manganese levels at Timbilil, Arroket and Changoi, especially at the 0-10 cm soil depths were very high (Figure 3a). Similar high manganese levels at the top tea soil had been observed </w:t>
      </w:r>
      <w:r w:rsidR="00E90242">
        <w:rPr>
          <w:szCs w:val="24"/>
        </w:rPr>
        <w:fldChar w:fldCharType="begin"/>
      </w:r>
      <w:r w:rsidR="00BD09B5">
        <w:rPr>
          <w:szCs w:val="24"/>
        </w:rPr>
        <w:instrText xml:space="preserve"> ADDIN EN.CITE &lt;EndNote&gt;&lt;Cite&gt;&lt;Author&gt;Chien&lt;/Author&gt;&lt;Year&gt;2024&lt;/Year&gt;&lt;RecNum&gt;219&lt;/RecNum&gt;&lt;DisplayText&gt;(Chien et al., 2024)&lt;/DisplayText&gt;&lt;record&gt;&lt;rec-number&gt;219&lt;/rec-number&gt;&lt;foreign-keys&gt;&lt;key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sidR="00E90242">
        <w:rPr>
          <w:szCs w:val="24"/>
        </w:rPr>
        <w:fldChar w:fldCharType="separate"/>
      </w:r>
      <w:r w:rsidR="00BE2D15">
        <w:rPr>
          <w:noProof/>
          <w:szCs w:val="24"/>
        </w:rPr>
        <w:t>(Chien et al., 2024)</w:t>
      </w:r>
      <w:r w:rsidR="00E90242">
        <w:rPr>
          <w:szCs w:val="24"/>
        </w:rPr>
        <w:fldChar w:fldCharType="end"/>
      </w:r>
      <w:r>
        <w:rPr>
          <w:szCs w:val="24"/>
        </w:rPr>
        <w:t xml:space="preserve">. This was in part attributed to the high soil acidities at these sites </w:t>
      </w:r>
      <w:r w:rsidR="00E90242">
        <w:rPr>
          <w:szCs w:val="24"/>
        </w:rPr>
        <w:fldChar w:fldCharType="begin">
          <w:fldData xml:space="preserve">PEVuZE5vdGU+PENpdGU+PEF1dGhvcj5PbWJvcmk8L0F1dGhvcj48WWVhcj4yMDIwPC9ZZWFyPjxS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=
</w:fldData>
        </w:fldChar>
      </w:r>
      <w:r w:rsidR="00BD09B5">
        <w:rPr>
          <w:szCs w:val="24"/>
        </w:rPr>
        <w:instrText xml:space="preserve"> ADDIN EN.CITE </w:instrText>
      </w:r>
      <w:r w:rsidR="00E90242">
        <w:rPr>
          <w:szCs w:val="24"/>
        </w:rPr>
        <w:fldChar w:fldCharType="begin">
          <w:fldData xml:space="preserve">PEVuZE5vdGU+PENpdGU+PEF1dGhvcj5PbWJvcmk8L0F1dGhvcj48WWVhcj4yMDIwPC9ZZWFyPjxS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=
</w:fldData>
        </w:fldChar>
      </w:r>
      <w:r w:rsidR="00BD09B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(Chien et al., 2024; Ombori et al., 2020)</w:t>
      </w:r>
      <w:r w:rsidR="00E90242">
        <w:rPr>
          <w:szCs w:val="24"/>
        </w:rPr>
        <w:fldChar w:fldCharType="end"/>
      </w:r>
      <w:r>
        <w:rPr>
          <w:szCs w:val="24"/>
        </w:rPr>
        <w:t xml:space="preserve">. </w:t>
      </w:r>
      <w:r w:rsidRPr="00490216">
        <w:rPr>
          <w:szCs w:val="24"/>
        </w:rPr>
        <w:t xml:space="preserve">Changes in manganese </w:t>
      </w:r>
      <w:r>
        <w:rPr>
          <w:szCs w:val="24"/>
        </w:rPr>
        <w:t xml:space="preserve">levels with location </w:t>
      </w:r>
      <w:r w:rsidRPr="00490216">
        <w:rPr>
          <w:szCs w:val="24"/>
        </w:rPr>
        <w:t>had also been recorded in the soil</w:t>
      </w:r>
      <w:r w:rsidR="00E90242">
        <w:rPr>
          <w:szCs w:val="24"/>
        </w:rPr>
        <w:fldChar w:fldCharType="begin">
          <w:fldData xml:space="preserve">PEVuZE5vdGU+PENpdGU+PEF1dGhvcj5BZGlsb8SfbHU8L0F1dGhvcj48WWVhcj4yMDA2PC9ZZWFy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</w:fldData>
        </w:fldChar>
      </w:r>
      <w:r w:rsidR="00BD09B5">
        <w:rPr>
          <w:szCs w:val="24"/>
        </w:rPr>
        <w:instrText xml:space="preserve"> ADDIN EN.CITE </w:instrText>
      </w:r>
      <w:r w:rsidR="00E90242">
        <w:rPr>
          <w:szCs w:val="24"/>
        </w:rPr>
        <w:fldChar w:fldCharType="begin">
          <w:fldData xml:space="preserve">PEVuZE5vdGU+PENpdGU+PEF1dGhvcj5BZGlsb8SfbHU8L0F1dGhvcj48WWVhcj4yMDA2PC9ZZWFy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</w:fldData>
        </w:fldChar>
      </w:r>
      <w:r w:rsidR="00BD09B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(Adiloğlu &amp; Adiloğlu, 2006; Kebeney et al., 2010)</w:t>
      </w:r>
      <w:r w:rsidR="00E90242">
        <w:rPr>
          <w:szCs w:val="24"/>
        </w:rPr>
        <w:fldChar w:fldCharType="end"/>
      </w:r>
      <w:r w:rsidRPr="00490216">
        <w:rPr>
          <w:szCs w:val="24"/>
        </w:rPr>
        <w:t>, mature leaf</w:t>
      </w:r>
      <w:r w:rsidR="00E90242">
        <w:rPr>
          <w:szCs w:val="24"/>
        </w:rPr>
        <w:fldChar w:fldCharType="begin">
          <w:fldData xml:space="preserve">PEVuZE5vdGU+PENpdGU+PEF1dGhvcj5Ld2FjaDwvQXV0aG9yPjxZZWFyPjIwMTQ8L1llYXI+PFJl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</w:fldData>
        </w:fldChar>
      </w:r>
      <w:r w:rsidR="00BD09B5">
        <w:rPr>
          <w:szCs w:val="24"/>
        </w:rPr>
        <w:instrText xml:space="preserve"> ADDIN EN.CITE </w:instrText>
      </w:r>
      <w:r w:rsidR="00E90242">
        <w:rPr>
          <w:szCs w:val="24"/>
        </w:rPr>
        <w:fldChar w:fldCharType="begin">
          <w:fldData xml:space="preserve">PEVuZE5vdGU+PENpdGU+PEF1dGhvcj5Ld2FjaDwvQXV0aG9yPjxZZWFyPjIwMTQ8L1llYXI+PFJl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</w:fldData>
        </w:fldChar>
      </w:r>
      <w:r w:rsidR="00BD09B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(Adiloğlu &amp; Adiloğlu, 2006; Kebeney et al., 2010; Kwach et al., 2014)</w:t>
      </w:r>
      <w:r w:rsidR="00E90242">
        <w:rPr>
          <w:szCs w:val="24"/>
        </w:rPr>
        <w:fldChar w:fldCharType="end"/>
      </w:r>
      <w:r>
        <w:rPr>
          <w:szCs w:val="24"/>
        </w:rPr>
        <w:t>,</w:t>
      </w:r>
      <w:r w:rsidRPr="00490216">
        <w:rPr>
          <w:szCs w:val="24"/>
        </w:rPr>
        <w:t xml:space="preserve"> and black tea</w:t>
      </w:r>
      <w:r w:rsidR="00E90242">
        <w:rPr>
          <w:szCs w:val="24"/>
        </w:rPr>
        <w:fldChar w:fldCharType="begin"/>
      </w:r>
      <w:r w:rsidR="00CC5185">
        <w:rPr>
          <w:szCs w:val="24"/>
        </w:rPr>
        <w:instrText xml:space="preserve"> ADDIN EN.CITE &lt;EndNote&gt;&lt;Cite&gt;&lt;Author&gt;Omwoyo&lt;/Author&gt;&lt;Year&gt;2013&lt;/Year&gt;&lt;RecNum&gt;240&lt;/RecNum&gt;&lt;DisplayText&gt;(Omwoyo et al., 2014; Omwoyo et al., 2013)&lt;/DisplayText&gt;&lt;record&gt;&lt;rec-number&gt;240&lt;/rec-number&gt;&lt;foreign-keys&gt;&lt;key app="EN" db-id="zx5vprwxa0rsabew9f9xp5fcs9tz0dzwa2fa" timestamp="1759787228"&gt;240&lt;/key&gt;&lt;/foreign-keys&gt;&lt;ref-type name="Journal Article"&gt;17&lt;/ref-type&gt;&lt;contributors&gt;&lt;authors&gt;&lt;author&gt;Omwoyo, W. N.&lt;/author&gt;&lt;author&gt;Owuor, P. O.&lt;/author&gt;&lt;author&gt;Ongeri, D. M.&lt;/author&gt;&lt;author&gt;Kamau, D. M.&lt;/author&gt;&lt;/authors&gt;&lt;/contributors&gt;&lt;titles&gt;&lt;title&gt;Effect of genotypes in different tea growing location in Kenya on some micronutrients content of black tea&lt;/title&gt;&lt;secondary-title&gt;International Journal of Tea Science&lt;/secondary-title&gt;&lt;/titles&gt;&lt;periodical&gt;&lt;full-title&gt;International Journal of Tea Science&lt;/full-title&gt;&lt;/periodical&gt;&lt;pages&gt;6-13&lt;/pages&gt;&lt;volume&gt;9&lt;/volume&gt;&lt;number&gt;4&lt;/number&gt;&lt;dates&gt;&lt;year&gt;2013&lt;/year&gt;&lt;/dates&gt;&lt;urls&gt;&lt;/urls&gt;&lt;electronic-resource-num&gt; 10.20425/ijts.v9i4.4749&lt;/electronic-resource-num&gt;&lt;/record&gt;&lt;/Cite&gt;&lt;Cite&gt;&lt;Author&gt;Omwoyo&lt;/Author&gt;&lt;Year&gt;2014&lt;/Year&gt;&lt;RecNum&gt;179&lt;/RecNum&gt;&lt;record&gt;&lt;rec-number&gt;179&lt;/rec-number&gt;&lt;foreign-keys&gt;&lt;key app="EN" db-id="zx5vprwxa0rsabew9f9xp5fcs9tz0dzwa2fa" timestamp="1757261828"&gt;179&lt;/key&gt;&lt;/foreign-keys&gt;&lt;ref-type name="Journal Article"&gt;17&lt;/ref-type&gt;&lt;contributors&gt;&lt;authors&gt;&lt;author&gt;Omwoyo, N. W.&lt;/author&gt;&lt;author&gt;Owuor, P. O.&lt;/author&gt;&lt;author&gt;Ongeri, D. M.&lt;/author&gt;&lt;author&gt;Kamau, D. M.&lt;/author&gt;&lt;/authors&gt;&lt;/contributors&gt;&lt;titles&gt;&lt;title&gt;Effect of genotypes in different environments on micronutrient contents of black tea&lt;/title&gt;&lt;secondary-title&gt;Journal of Tea Science Research&lt;/secondary-title&gt;&lt;/titles&gt;&lt;periodical&gt;&lt;full-title&gt;Journal of Tea Science Research&lt;/full-title&gt;&lt;/periodical&gt;&lt;pages&gt;17-26&lt;/pages&gt;&lt;volume&gt;4&lt;/volume&gt;&lt;number&gt;2&lt;/number&gt;&lt;dates&gt;&lt;year&gt;2014&lt;/year&gt;&lt;/dates&gt;&lt;urls&gt;&lt;/urls&gt;&lt;/record&gt;&lt;/Cite&gt;&lt;/EndNote&gt;</w:instrText>
      </w:r>
      <w:r w:rsidR="00E90242">
        <w:rPr>
          <w:szCs w:val="24"/>
        </w:rPr>
        <w:fldChar w:fldCharType="separate"/>
      </w:r>
      <w:r w:rsidR="00BE2D15">
        <w:rPr>
          <w:noProof/>
          <w:szCs w:val="24"/>
        </w:rPr>
        <w:t>(Omwoyo et al., 2014; Omwoyo et al., 2013)</w:t>
      </w:r>
      <w:r w:rsidR="00E90242">
        <w:rPr>
          <w:szCs w:val="24"/>
        </w:rPr>
        <w:fldChar w:fldCharType="end"/>
      </w:r>
      <w:r w:rsidRPr="00490216">
        <w:rPr>
          <w:szCs w:val="24"/>
        </w:rPr>
        <w:t>. The differences in manganese levels with location of production indicate that the sites have varied reserves of the nutrient. The</w:t>
      </w:r>
      <w:r>
        <w:rPr>
          <w:szCs w:val="24"/>
        </w:rPr>
        <w:t>se</w:t>
      </w:r>
      <w:r w:rsidRPr="00490216">
        <w:rPr>
          <w:szCs w:val="24"/>
        </w:rPr>
        <w:t xml:space="preserve"> large variations in manganese contentscould</w:t>
      </w:r>
      <w:r>
        <w:rPr>
          <w:szCs w:val="24"/>
        </w:rPr>
        <w:t xml:space="preserve"> bea </w:t>
      </w:r>
      <w:r w:rsidRPr="00490216">
        <w:rPr>
          <w:szCs w:val="24"/>
        </w:rPr>
        <w:t xml:space="preserve">constraining factor in tea production in </w:t>
      </w:r>
      <w:r>
        <w:rPr>
          <w:szCs w:val="24"/>
        </w:rPr>
        <w:t>some parts of e</w:t>
      </w:r>
      <w:r w:rsidRPr="00490216">
        <w:rPr>
          <w:szCs w:val="24"/>
        </w:rPr>
        <w:t>astern Africa.</w:t>
      </w:r>
    </w:p>
    <w:p w:rsidR="00AF0E2C" w:rsidRDefault="00AF0E2C" w:rsidP="000622B8">
      <w:pPr>
        <w:pStyle w:val="Default"/>
        <w:spacing w:line="360" w:lineRule="auto"/>
        <w:jc w:val="both"/>
        <w:rPr>
          <w:rFonts w:ascii="Times New Roman" w:hAnsi="Times New Roman" w:cs="Times New Roman"/>
        </w:rPr>
      </w:pPr>
    </w:p>
    <w:tbl>
      <w:tblPr>
        <w:tblW w:w="10338" w:type="dxa"/>
        <w:tblLayout w:type="fixed"/>
        <w:tblLook w:val="04A0"/>
      </w:tblPr>
      <w:tblGrid>
        <w:gridCol w:w="137"/>
        <w:gridCol w:w="5191"/>
        <w:gridCol w:w="196"/>
        <w:gridCol w:w="4677"/>
        <w:gridCol w:w="137"/>
      </w:tblGrid>
      <w:tr w:rsidR="00AF0E2C" w:rsidRPr="001055EF" w:rsidTr="002D304B">
        <w:trPr>
          <w:gridAfter w:val="1"/>
          <w:wAfter w:w="137" w:type="dxa"/>
        </w:trPr>
        <w:tc>
          <w:tcPr>
            <w:tcW w:w="10201" w:type="dxa"/>
            <w:gridSpan w:val="4"/>
          </w:tcPr>
          <w:p w:rsidR="00AF0E2C" w:rsidRPr="001055EF" w:rsidRDefault="00AF0E2C" w:rsidP="00F12C21">
            <w:pPr>
              <w:jc w:val="center"/>
            </w:pPr>
            <w:r>
              <w:rPr>
                <w:noProof/>
                <w:lang w:val="fr-FR" w:eastAsia="fr-FR"/>
              </w:rPr>
              <w:drawing>
                <wp:inline distT="0" distB="0" distL="0" distR="0">
                  <wp:extent cx="4572000" cy="2743200"/>
                  <wp:effectExtent l="0" t="0" r="0" b="0"/>
                  <wp:docPr id="13" name="Chart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9EC407F-442B-F2DB-36BC-A00DF89F0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AF0E2C" w:rsidRPr="001055EF" w:rsidTr="002D304B">
        <w:trPr>
          <w:gridAfter w:val="1"/>
          <w:wAfter w:w="137" w:type="dxa"/>
        </w:trPr>
        <w:tc>
          <w:tcPr>
            <w:tcW w:w="10201" w:type="dxa"/>
            <w:gridSpan w:val="4"/>
          </w:tcPr>
          <w:p w:rsidR="00AF0E2C" w:rsidRPr="001055EF" w:rsidRDefault="00AF0E2C" w:rsidP="00F12C21">
            <w:pPr>
              <w:jc w:val="center"/>
              <w:rPr>
                <w:sz w:val="20"/>
                <w:szCs w:val="20"/>
              </w:rPr>
            </w:pPr>
            <w:r w:rsidRPr="00762DCA">
              <w:rPr>
                <w:sz w:val="20"/>
                <w:szCs w:val="20"/>
              </w:rPr>
              <w:t xml:space="preserve">Figure </w:t>
            </w:r>
            <w:r>
              <w:rPr>
                <w:sz w:val="20"/>
                <w:szCs w:val="20"/>
              </w:rPr>
              <w:t>2</w:t>
            </w:r>
            <w:r w:rsidRPr="00762DCA">
              <w:rPr>
                <w:sz w:val="20"/>
                <w:szCs w:val="20"/>
              </w:rPr>
              <w:t xml:space="preserve">a: Soil available </w:t>
            </w:r>
            <w:r>
              <w:rPr>
                <w:sz w:val="20"/>
                <w:szCs w:val="20"/>
              </w:rPr>
              <w:t>magnesium</w:t>
            </w:r>
            <w:r w:rsidRPr="00762DCA">
              <w:rPr>
                <w:sz w:val="20"/>
                <w:szCs w:val="20"/>
              </w:rPr>
              <w:t xml:space="preserve"> levels (ppm) in different locations at various soil depths</w:t>
            </w:r>
          </w:p>
        </w:tc>
      </w:tr>
      <w:tr w:rsidR="00AF0E2C" w:rsidRPr="001055EF" w:rsidTr="002D304B">
        <w:trPr>
          <w:gridAfter w:val="1"/>
          <w:wAfter w:w="137" w:type="dxa"/>
        </w:trPr>
        <w:tc>
          <w:tcPr>
            <w:tcW w:w="5328" w:type="dxa"/>
            <w:gridSpan w:val="2"/>
          </w:tcPr>
          <w:p w:rsidR="00AF0E2C" w:rsidRPr="001055EF" w:rsidRDefault="00AF0E2C" w:rsidP="00F12C21">
            <w:r>
              <w:rPr>
                <w:noProof/>
                <w:lang w:val="fr-FR" w:eastAsia="fr-FR"/>
              </w:rPr>
              <w:lastRenderedPageBreak/>
              <w:drawing>
                <wp:inline distT="0" distB="0" distL="0" distR="0">
                  <wp:extent cx="3246120" cy="2956560"/>
                  <wp:effectExtent l="0" t="0" r="11430" b="15240"/>
                  <wp:docPr id="1615754397" name="Chart 161575439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4517197-BA15-51F5-EAFD-C04DE086E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873" w:type="dxa"/>
            <w:gridSpan w:val="2"/>
          </w:tcPr>
          <w:p w:rsidR="00AF0E2C" w:rsidRPr="001055EF" w:rsidRDefault="00AF0E2C" w:rsidP="00F12C21">
            <w:r>
              <w:rPr>
                <w:noProof/>
                <w:lang w:val="fr-FR" w:eastAsia="fr-FR"/>
              </w:rPr>
              <w:drawing>
                <wp:inline distT="0" distB="0" distL="0" distR="0">
                  <wp:extent cx="2957195" cy="2979174"/>
                  <wp:effectExtent l="0" t="0" r="14605" b="12065"/>
                  <wp:docPr id="2118920883" name="Chart 211892088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B071D1B-43F2-86D1-1EB3-A1BEB87B0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AF0E2C" w:rsidRPr="001055EF" w:rsidTr="002D304B">
        <w:trPr>
          <w:gridAfter w:val="1"/>
          <w:wAfter w:w="137" w:type="dxa"/>
        </w:trPr>
        <w:tc>
          <w:tcPr>
            <w:tcW w:w="5328" w:type="dxa"/>
            <w:gridSpan w:val="2"/>
          </w:tcPr>
          <w:p w:rsidR="00AF0E2C" w:rsidRPr="001055EF" w:rsidRDefault="00AF0E2C" w:rsidP="00F12C21">
            <w:pPr>
              <w:rPr>
                <w:sz w:val="20"/>
                <w:szCs w:val="20"/>
              </w:rPr>
            </w:pPr>
            <w:r w:rsidRPr="00762DCA">
              <w:rPr>
                <w:sz w:val="20"/>
                <w:szCs w:val="20"/>
              </w:rPr>
              <w:t xml:space="preserve">Figure </w:t>
            </w:r>
            <w:r>
              <w:rPr>
                <w:sz w:val="20"/>
                <w:szCs w:val="20"/>
              </w:rPr>
              <w:t>2</w:t>
            </w:r>
            <w:r w:rsidRPr="00762DCA">
              <w:rPr>
                <w:sz w:val="20"/>
                <w:szCs w:val="20"/>
              </w:rPr>
              <w:t xml:space="preserve">b: Changes in soil available </w:t>
            </w:r>
            <w:r>
              <w:rPr>
                <w:sz w:val="20"/>
                <w:szCs w:val="20"/>
              </w:rPr>
              <w:t>magnesium</w:t>
            </w:r>
            <w:r w:rsidRPr="00762DCA">
              <w:rPr>
                <w:sz w:val="20"/>
                <w:szCs w:val="20"/>
              </w:rPr>
              <w:t xml:space="preserve"> (ppm) at 0-10 cm</w:t>
            </w:r>
          </w:p>
        </w:tc>
        <w:tc>
          <w:tcPr>
            <w:tcW w:w="4873" w:type="dxa"/>
            <w:gridSpan w:val="2"/>
          </w:tcPr>
          <w:p w:rsidR="00AF0E2C" w:rsidRPr="001055EF" w:rsidRDefault="00AF0E2C" w:rsidP="00F12C21">
            <w:pPr>
              <w:rPr>
                <w:sz w:val="20"/>
                <w:szCs w:val="20"/>
              </w:rPr>
            </w:pPr>
            <w:r w:rsidRPr="00762DCA">
              <w:rPr>
                <w:sz w:val="20"/>
                <w:szCs w:val="20"/>
              </w:rPr>
              <w:t>Figure</w:t>
            </w:r>
            <w:r>
              <w:rPr>
                <w:sz w:val="20"/>
                <w:szCs w:val="20"/>
              </w:rPr>
              <w:t>2c</w:t>
            </w:r>
            <w:r w:rsidRPr="00762DCA">
              <w:rPr>
                <w:sz w:val="20"/>
                <w:szCs w:val="20"/>
              </w:rPr>
              <w:t xml:space="preserve">: Changes in soil available </w:t>
            </w:r>
            <w:r>
              <w:rPr>
                <w:sz w:val="20"/>
                <w:szCs w:val="20"/>
              </w:rPr>
              <w:t xml:space="preserve">magnesium </w:t>
            </w:r>
            <w:r w:rsidRPr="00762DCA">
              <w:rPr>
                <w:sz w:val="20"/>
                <w:szCs w:val="20"/>
              </w:rPr>
              <w:t xml:space="preserve">(ppm) at </w:t>
            </w:r>
            <w:r>
              <w:rPr>
                <w:sz w:val="20"/>
                <w:szCs w:val="20"/>
              </w:rPr>
              <w:t>1</w:t>
            </w:r>
            <w:r w:rsidRPr="00762DCA">
              <w:rPr>
                <w:sz w:val="20"/>
                <w:szCs w:val="20"/>
              </w:rPr>
              <w:t>0-</w:t>
            </w:r>
            <w:r>
              <w:rPr>
                <w:sz w:val="20"/>
                <w:szCs w:val="20"/>
              </w:rPr>
              <w:t>2</w:t>
            </w:r>
            <w:r w:rsidRPr="00762DCA">
              <w:rPr>
                <w:sz w:val="20"/>
                <w:szCs w:val="20"/>
              </w:rPr>
              <w:t>0 cm</w:t>
            </w:r>
          </w:p>
        </w:tc>
      </w:tr>
      <w:tr w:rsidR="00AF0E2C" w:rsidRPr="001055EF" w:rsidTr="002D304B">
        <w:trPr>
          <w:gridAfter w:val="1"/>
          <w:wAfter w:w="137" w:type="dxa"/>
        </w:trPr>
        <w:tc>
          <w:tcPr>
            <w:tcW w:w="5328" w:type="dxa"/>
            <w:gridSpan w:val="2"/>
          </w:tcPr>
          <w:p w:rsidR="00AF0E2C" w:rsidRPr="001055EF" w:rsidRDefault="00AF0E2C" w:rsidP="00F12C21">
            <w:r>
              <w:rPr>
                <w:noProof/>
                <w:lang w:val="fr-FR" w:eastAsia="fr-FR"/>
              </w:rPr>
              <w:drawing>
                <wp:inline distT="0" distB="0" distL="0" distR="0">
                  <wp:extent cx="3246120" cy="2795270"/>
                  <wp:effectExtent l="0" t="0" r="11430" b="5080"/>
                  <wp:docPr id="905789991" name="Chart 90578999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C82C3F5-1744-9067-269D-5F0ED3293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873" w:type="dxa"/>
            <w:gridSpan w:val="2"/>
          </w:tcPr>
          <w:p w:rsidR="00AF0E2C" w:rsidRPr="001055EF" w:rsidRDefault="00AF0E2C" w:rsidP="00F12C21">
            <w:r>
              <w:rPr>
                <w:noProof/>
                <w:lang w:val="fr-FR" w:eastAsia="fr-FR"/>
              </w:rPr>
              <w:drawing>
                <wp:inline distT="0" distB="0" distL="0" distR="0">
                  <wp:extent cx="2957195" cy="2764790"/>
                  <wp:effectExtent l="0" t="0" r="14605" b="16510"/>
                  <wp:docPr id="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79BDD89-2B16-7798-8DFE-891ECDD81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2D304B" w:rsidRPr="001055EF" w:rsidTr="002D304B">
        <w:trPr>
          <w:gridAfter w:val="1"/>
          <w:wAfter w:w="137" w:type="dxa"/>
        </w:trPr>
        <w:tc>
          <w:tcPr>
            <w:tcW w:w="5328" w:type="dxa"/>
            <w:gridSpan w:val="2"/>
          </w:tcPr>
          <w:p w:rsidR="002D304B" w:rsidRDefault="002D304B" w:rsidP="00F12C21">
            <w:pPr>
              <w:rPr>
                <w:noProof/>
              </w:rPr>
            </w:pPr>
          </w:p>
          <w:p w:rsidR="002D304B" w:rsidRDefault="002D304B" w:rsidP="00F12C21">
            <w:pPr>
              <w:rPr>
                <w:noProof/>
              </w:rPr>
            </w:pPr>
          </w:p>
          <w:p w:rsidR="002D304B" w:rsidRDefault="002D304B" w:rsidP="002D304B">
            <w:pPr>
              <w:rPr>
                <w:noProof/>
              </w:rPr>
            </w:pPr>
          </w:p>
        </w:tc>
        <w:tc>
          <w:tcPr>
            <w:tcW w:w="4873" w:type="dxa"/>
            <w:gridSpan w:val="2"/>
          </w:tcPr>
          <w:p w:rsidR="002D304B" w:rsidRDefault="002D304B" w:rsidP="00F12C21">
            <w:pPr>
              <w:rPr>
                <w:noProof/>
              </w:rPr>
            </w:pPr>
          </w:p>
        </w:tc>
      </w:tr>
      <w:tr w:rsidR="002D304B" w:rsidRPr="001055EF" w:rsidTr="002D304B">
        <w:trPr>
          <w:gridAfter w:val="1"/>
          <w:wAfter w:w="137" w:type="dxa"/>
        </w:trPr>
        <w:tc>
          <w:tcPr>
            <w:tcW w:w="5328" w:type="dxa"/>
            <w:gridSpan w:val="2"/>
          </w:tcPr>
          <w:p w:rsidR="002D304B" w:rsidRPr="001055EF" w:rsidRDefault="002D304B" w:rsidP="000D2C63">
            <w:pPr>
              <w:rPr>
                <w:sz w:val="20"/>
                <w:szCs w:val="20"/>
              </w:rPr>
            </w:pPr>
            <w:r w:rsidRPr="00762DCA">
              <w:rPr>
                <w:sz w:val="20"/>
                <w:szCs w:val="20"/>
              </w:rPr>
              <w:t xml:space="preserve">Figure </w:t>
            </w:r>
            <w:r>
              <w:rPr>
                <w:sz w:val="20"/>
                <w:szCs w:val="20"/>
              </w:rPr>
              <w:t>2d</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0 cm</w:t>
            </w:r>
          </w:p>
        </w:tc>
        <w:tc>
          <w:tcPr>
            <w:tcW w:w="4873" w:type="dxa"/>
            <w:gridSpan w:val="2"/>
          </w:tcPr>
          <w:p w:rsidR="002D304B" w:rsidRPr="001055EF" w:rsidRDefault="002D304B" w:rsidP="000D2C63">
            <w:pPr>
              <w:rPr>
                <w:sz w:val="20"/>
                <w:szCs w:val="20"/>
              </w:rPr>
            </w:pPr>
            <w:r w:rsidRPr="00762DCA">
              <w:rPr>
                <w:sz w:val="20"/>
                <w:szCs w:val="20"/>
              </w:rPr>
              <w:t xml:space="preserve">Figure </w:t>
            </w:r>
            <w:r>
              <w:rPr>
                <w:sz w:val="20"/>
                <w:szCs w:val="20"/>
              </w:rPr>
              <w:t>2e</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t>4</w:t>
            </w:r>
            <w:r w:rsidRPr="00762DCA">
              <w:rPr>
                <w:sz w:val="20"/>
                <w:szCs w:val="20"/>
              </w:rPr>
              <w:t>0-</w:t>
            </w:r>
            <w:r>
              <w:rPr>
                <w:sz w:val="20"/>
                <w:szCs w:val="20"/>
              </w:rPr>
              <w:t>6</w:t>
            </w:r>
            <w:r w:rsidRPr="00762DCA">
              <w:rPr>
                <w:sz w:val="20"/>
                <w:szCs w:val="20"/>
              </w:rPr>
              <w:t>0 cm</w:t>
            </w:r>
          </w:p>
        </w:tc>
      </w:tr>
      <w:tr w:rsidR="00AF0E2C" w:rsidRPr="00AC4088" w:rsidTr="002D304B">
        <w:trPr>
          <w:gridBefore w:val="1"/>
          <w:wBefore w:w="137" w:type="dxa"/>
        </w:trPr>
        <w:tc>
          <w:tcPr>
            <w:tcW w:w="10201" w:type="dxa"/>
            <w:gridSpan w:val="4"/>
          </w:tcPr>
          <w:p w:rsidR="002D304B" w:rsidRDefault="002D304B" w:rsidP="00F12C21">
            <w:pPr>
              <w:jc w:val="center"/>
            </w:pPr>
          </w:p>
          <w:p w:rsidR="002D304B" w:rsidRDefault="002D304B" w:rsidP="00F12C21">
            <w:pPr>
              <w:jc w:val="center"/>
            </w:pPr>
          </w:p>
          <w:p w:rsidR="002D304B" w:rsidRDefault="002D304B" w:rsidP="00F12C21">
            <w:pPr>
              <w:jc w:val="center"/>
            </w:pPr>
          </w:p>
          <w:p w:rsidR="00AF0E2C" w:rsidRDefault="00AF0E2C" w:rsidP="00F12C21">
            <w:pPr>
              <w:jc w:val="center"/>
            </w:pPr>
            <w:r>
              <w:rPr>
                <w:noProof/>
                <w:lang w:val="fr-FR" w:eastAsia="fr-FR"/>
              </w:rPr>
              <w:lastRenderedPageBreak/>
              <w:drawing>
                <wp:inline distT="0" distB="0" distL="0" distR="0">
                  <wp:extent cx="4439285" cy="2707574"/>
                  <wp:effectExtent l="0" t="0" r="18415" b="17145"/>
                  <wp:docPr id="1497917315" name="Chart 14979173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354DF60-5097-1E37-10AE-A20230C84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304B" w:rsidRPr="00AC4088" w:rsidRDefault="002D304B" w:rsidP="00F12C21">
            <w:pPr>
              <w:jc w:val="center"/>
            </w:pPr>
          </w:p>
        </w:tc>
      </w:tr>
      <w:tr w:rsidR="00AF0E2C" w:rsidRPr="00AC4088" w:rsidTr="002D304B">
        <w:trPr>
          <w:gridBefore w:val="1"/>
          <w:wBefore w:w="137" w:type="dxa"/>
        </w:trPr>
        <w:tc>
          <w:tcPr>
            <w:tcW w:w="10201" w:type="dxa"/>
            <w:gridSpan w:val="4"/>
          </w:tcPr>
          <w:p w:rsidR="00AF0E2C" w:rsidRPr="00AC4088" w:rsidRDefault="00AF0E2C" w:rsidP="00F12C21">
            <w:pPr>
              <w:jc w:val="center"/>
              <w:rPr>
                <w:sz w:val="20"/>
                <w:szCs w:val="20"/>
              </w:rPr>
            </w:pPr>
            <w:r w:rsidRPr="00AC4088">
              <w:rPr>
                <w:sz w:val="20"/>
                <w:szCs w:val="20"/>
              </w:rPr>
              <w:lastRenderedPageBreak/>
              <w:t xml:space="preserve">Figure </w:t>
            </w:r>
            <w:r>
              <w:rPr>
                <w:sz w:val="20"/>
                <w:szCs w:val="20"/>
              </w:rPr>
              <w:t>3</w:t>
            </w:r>
            <w:r w:rsidRPr="00AC4088">
              <w:rPr>
                <w:sz w:val="20"/>
                <w:szCs w:val="20"/>
              </w:rPr>
              <w:t xml:space="preserve">a: </w:t>
            </w:r>
            <w:r>
              <w:rPr>
                <w:sz w:val="20"/>
                <w:szCs w:val="20"/>
              </w:rPr>
              <w:t xml:space="preserve">Changes in soil </w:t>
            </w:r>
            <w:r w:rsidRPr="00AC4088">
              <w:rPr>
                <w:sz w:val="20"/>
                <w:szCs w:val="20"/>
              </w:rPr>
              <w:t>available</w:t>
            </w:r>
            <w:r>
              <w:rPr>
                <w:sz w:val="20"/>
                <w:szCs w:val="20"/>
              </w:rPr>
              <w:t xml:space="preserve"> manganese</w:t>
            </w:r>
            <w:r w:rsidRPr="00AC4088">
              <w:rPr>
                <w:sz w:val="20"/>
                <w:szCs w:val="20"/>
              </w:rPr>
              <w:t xml:space="preserve"> (ppm) in different locations at various soil depths</w:t>
            </w:r>
          </w:p>
        </w:tc>
      </w:tr>
      <w:tr w:rsidR="00AF0E2C" w:rsidRPr="00AC4088" w:rsidTr="002D304B">
        <w:trPr>
          <w:gridBefore w:val="1"/>
          <w:wBefore w:w="137" w:type="dxa"/>
        </w:trPr>
        <w:tc>
          <w:tcPr>
            <w:tcW w:w="5387" w:type="dxa"/>
            <w:gridSpan w:val="2"/>
          </w:tcPr>
          <w:p w:rsidR="00AF0E2C" w:rsidRPr="00AC4088" w:rsidRDefault="00AF0E2C" w:rsidP="00F12C21">
            <w:r>
              <w:rPr>
                <w:noProof/>
                <w:lang w:val="fr-FR" w:eastAsia="fr-FR"/>
              </w:rPr>
              <w:drawing>
                <wp:inline distT="0" distB="0" distL="0" distR="0">
                  <wp:extent cx="3283585" cy="2949678"/>
                  <wp:effectExtent l="0" t="0" r="12065" b="3175"/>
                  <wp:docPr id="25" name="Chart 2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6FD331-FD7C-4EAC-06B1-24829F8AC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814" w:type="dxa"/>
            <w:gridSpan w:val="2"/>
          </w:tcPr>
          <w:p w:rsidR="00AF0E2C" w:rsidRPr="00AC4088" w:rsidRDefault="00AF0E2C" w:rsidP="00F12C21">
            <w:r>
              <w:rPr>
                <w:noProof/>
                <w:lang w:val="fr-FR" w:eastAsia="fr-FR"/>
              </w:rPr>
              <w:drawing>
                <wp:inline distT="0" distB="0" distL="0" distR="0">
                  <wp:extent cx="2919730" cy="2971800"/>
                  <wp:effectExtent l="0" t="0" r="13970" b="0"/>
                  <wp:docPr id="280658139" name="Chart 28065813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87F9571-4EF5-58E2-A57A-AE76AC580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AF0E2C" w:rsidRPr="00AC4088" w:rsidTr="002D304B">
        <w:trPr>
          <w:gridBefore w:val="1"/>
          <w:wBefore w:w="137" w:type="dxa"/>
        </w:trPr>
        <w:tc>
          <w:tcPr>
            <w:tcW w:w="5387" w:type="dxa"/>
            <w:gridSpan w:val="2"/>
          </w:tcPr>
          <w:p w:rsidR="00AF0E2C" w:rsidRPr="00AC4088" w:rsidRDefault="00AF0E2C" w:rsidP="00F12C21">
            <w:pPr>
              <w:rPr>
                <w:sz w:val="20"/>
                <w:szCs w:val="20"/>
              </w:rPr>
            </w:pPr>
            <w:r w:rsidRPr="00762DCA">
              <w:rPr>
                <w:sz w:val="20"/>
                <w:szCs w:val="20"/>
              </w:rPr>
              <w:t xml:space="preserve">Figure </w:t>
            </w:r>
            <w:r>
              <w:rPr>
                <w:sz w:val="20"/>
                <w:szCs w:val="20"/>
              </w:rPr>
              <w:t>3b</w:t>
            </w:r>
            <w:r w:rsidRPr="00762DCA">
              <w:rPr>
                <w:sz w:val="20"/>
                <w:szCs w:val="20"/>
              </w:rPr>
              <w:t xml:space="preserve">: Changes in soil available </w:t>
            </w:r>
            <w:r>
              <w:rPr>
                <w:sz w:val="20"/>
                <w:szCs w:val="20"/>
              </w:rPr>
              <w:t>manganese</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0 cm</w:t>
            </w:r>
          </w:p>
        </w:tc>
        <w:tc>
          <w:tcPr>
            <w:tcW w:w="4814" w:type="dxa"/>
            <w:gridSpan w:val="2"/>
          </w:tcPr>
          <w:p w:rsidR="00AF0E2C" w:rsidRPr="00AC4088" w:rsidRDefault="00AF0E2C" w:rsidP="00F12C21">
            <w:pPr>
              <w:rPr>
                <w:sz w:val="20"/>
                <w:szCs w:val="20"/>
              </w:rPr>
            </w:pPr>
            <w:r w:rsidRPr="00AC4088">
              <w:rPr>
                <w:sz w:val="20"/>
                <w:szCs w:val="20"/>
              </w:rPr>
              <w:t xml:space="preserve">Figure </w:t>
            </w:r>
            <w:r>
              <w:rPr>
                <w:sz w:val="20"/>
                <w:szCs w:val="20"/>
              </w:rPr>
              <w:t>3</w:t>
            </w:r>
            <w:r w:rsidRPr="00AC4088">
              <w:rPr>
                <w:sz w:val="20"/>
                <w:szCs w:val="20"/>
              </w:rPr>
              <w:t>c:</w:t>
            </w:r>
            <w:r w:rsidRPr="00762DCA">
              <w:rPr>
                <w:sz w:val="20"/>
                <w:szCs w:val="20"/>
              </w:rPr>
              <w:t xml:space="preserve"> Changes in soil available </w:t>
            </w:r>
            <w:r>
              <w:rPr>
                <w:sz w:val="20"/>
                <w:szCs w:val="20"/>
              </w:rPr>
              <w:t>manganese</w:t>
            </w:r>
            <w:r w:rsidRPr="00762DCA">
              <w:rPr>
                <w:sz w:val="20"/>
                <w:szCs w:val="20"/>
              </w:rPr>
              <w:t xml:space="preserve"> (ppm)</w:t>
            </w:r>
            <w:r w:rsidRPr="00AC4088">
              <w:rPr>
                <w:sz w:val="20"/>
                <w:szCs w:val="20"/>
              </w:rPr>
              <w:t xml:space="preserve"> at 10-20 cm depth</w:t>
            </w:r>
          </w:p>
        </w:tc>
      </w:tr>
      <w:tr w:rsidR="00AF0E2C" w:rsidRPr="00AC4088" w:rsidTr="002D304B">
        <w:trPr>
          <w:gridBefore w:val="1"/>
          <w:wBefore w:w="137" w:type="dxa"/>
        </w:trPr>
        <w:tc>
          <w:tcPr>
            <w:tcW w:w="5387" w:type="dxa"/>
            <w:gridSpan w:val="2"/>
          </w:tcPr>
          <w:p w:rsidR="00AF0E2C" w:rsidRPr="00AC4088" w:rsidRDefault="00AF0E2C" w:rsidP="00F12C21">
            <w:pPr>
              <w:tabs>
                <w:tab w:val="left" w:pos="5119"/>
              </w:tabs>
            </w:pPr>
            <w:r>
              <w:rPr>
                <w:noProof/>
                <w:lang w:val="fr-FR" w:eastAsia="fr-FR"/>
              </w:rPr>
              <w:drawing>
                <wp:inline distT="0" distB="0" distL="0" distR="0">
                  <wp:extent cx="3283585" cy="2595716"/>
                  <wp:effectExtent l="0" t="0" r="12065" b="14605"/>
                  <wp:docPr id="40787097" name="Chart 4078709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F413F9B-6011-A526-4F12-3B8AD52D5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814" w:type="dxa"/>
            <w:gridSpan w:val="2"/>
          </w:tcPr>
          <w:p w:rsidR="00AF0E2C" w:rsidRPr="00AC4088" w:rsidRDefault="00AF0E2C" w:rsidP="00F12C21">
            <w:r>
              <w:rPr>
                <w:noProof/>
                <w:lang w:val="fr-FR" w:eastAsia="fr-FR"/>
              </w:rPr>
              <w:drawing>
                <wp:inline distT="0" distB="0" distL="0" distR="0">
                  <wp:extent cx="2919730" cy="2595245"/>
                  <wp:effectExtent l="0" t="0" r="13970" b="14605"/>
                  <wp:docPr id="36" name="Chart 3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2D528B9-6DCF-81C4-921B-98634683B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AF0E2C" w:rsidRPr="00AC4088" w:rsidTr="002D304B">
        <w:trPr>
          <w:gridBefore w:val="1"/>
          <w:wBefore w:w="137" w:type="dxa"/>
          <w:trHeight w:val="95"/>
        </w:trPr>
        <w:tc>
          <w:tcPr>
            <w:tcW w:w="5387" w:type="dxa"/>
            <w:gridSpan w:val="2"/>
          </w:tcPr>
          <w:p w:rsidR="00AF0E2C" w:rsidRPr="00AC4088" w:rsidRDefault="00AF0E2C" w:rsidP="00F12C21">
            <w:pPr>
              <w:rPr>
                <w:sz w:val="20"/>
                <w:szCs w:val="20"/>
              </w:rPr>
            </w:pPr>
            <w:r w:rsidRPr="00762DCA">
              <w:rPr>
                <w:sz w:val="20"/>
                <w:szCs w:val="20"/>
              </w:rPr>
              <w:t xml:space="preserve">Figure </w:t>
            </w:r>
            <w:r>
              <w:rPr>
                <w:sz w:val="20"/>
                <w:szCs w:val="20"/>
              </w:rPr>
              <w:t>3d</w:t>
            </w:r>
            <w:r w:rsidRPr="00762DCA">
              <w:rPr>
                <w:sz w:val="20"/>
                <w:szCs w:val="20"/>
              </w:rPr>
              <w:t xml:space="preserve">: Changes in soil available </w:t>
            </w:r>
            <w:r>
              <w:rPr>
                <w:sz w:val="20"/>
                <w:szCs w:val="20"/>
              </w:rPr>
              <w:t>manganese</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 xml:space="preserve">0 </w:t>
            </w:r>
            <w:r w:rsidRPr="00762DCA">
              <w:rPr>
                <w:sz w:val="20"/>
                <w:szCs w:val="20"/>
              </w:rPr>
              <w:lastRenderedPageBreak/>
              <w:t>cm</w:t>
            </w:r>
          </w:p>
        </w:tc>
        <w:tc>
          <w:tcPr>
            <w:tcW w:w="4814" w:type="dxa"/>
            <w:gridSpan w:val="2"/>
          </w:tcPr>
          <w:p w:rsidR="00AF0E2C" w:rsidRPr="00AC4088" w:rsidRDefault="00AF0E2C" w:rsidP="00F12C21">
            <w:pPr>
              <w:rPr>
                <w:sz w:val="20"/>
                <w:szCs w:val="20"/>
              </w:rPr>
            </w:pPr>
            <w:r w:rsidRPr="00762DCA">
              <w:rPr>
                <w:sz w:val="20"/>
                <w:szCs w:val="20"/>
              </w:rPr>
              <w:lastRenderedPageBreak/>
              <w:t xml:space="preserve">Figure </w:t>
            </w:r>
            <w:r>
              <w:rPr>
                <w:sz w:val="20"/>
                <w:szCs w:val="20"/>
              </w:rPr>
              <w:t>3e</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lastRenderedPageBreak/>
              <w:t>4</w:t>
            </w:r>
            <w:r w:rsidRPr="00762DCA">
              <w:rPr>
                <w:sz w:val="20"/>
                <w:szCs w:val="20"/>
              </w:rPr>
              <w:t>0-</w:t>
            </w:r>
            <w:r>
              <w:rPr>
                <w:sz w:val="20"/>
                <w:szCs w:val="20"/>
              </w:rPr>
              <w:t>40</w:t>
            </w:r>
            <w:r w:rsidRPr="00762DCA">
              <w:rPr>
                <w:sz w:val="20"/>
                <w:szCs w:val="20"/>
              </w:rPr>
              <w:t xml:space="preserve"> cm</w:t>
            </w:r>
          </w:p>
        </w:tc>
      </w:tr>
    </w:tbl>
    <w:p w:rsidR="000622B8" w:rsidRDefault="000622B8" w:rsidP="000622B8">
      <w:pPr>
        <w:pStyle w:val="Default"/>
        <w:spacing w:line="360" w:lineRule="auto"/>
        <w:jc w:val="both"/>
        <w:rPr>
          <w:rFonts w:ascii="Times New Roman" w:hAnsi="Times New Roman" w:cs="Times New Roman"/>
        </w:rPr>
      </w:pPr>
    </w:p>
    <w:p w:rsidR="00FE7770" w:rsidRDefault="00FE7770" w:rsidP="00FE7770">
      <w:pPr>
        <w:spacing w:line="360" w:lineRule="auto"/>
        <w:rPr>
          <w:szCs w:val="24"/>
        </w:rPr>
      </w:pPr>
      <w:r w:rsidRPr="00490216">
        <w:rPr>
          <w:szCs w:val="24"/>
        </w:rPr>
        <w:t xml:space="preserve">Increasing nitrogen fertilizer application rates raised (p≤0.05) the levels of soil manganese at </w:t>
      </w:r>
      <w:r>
        <w:rPr>
          <w:szCs w:val="24"/>
        </w:rPr>
        <w:t xml:space="preserve">all soil depths in </w:t>
      </w:r>
      <w:r w:rsidRPr="00490216">
        <w:rPr>
          <w:szCs w:val="24"/>
        </w:rPr>
        <w:t>all sites</w:t>
      </w:r>
      <w:r>
        <w:rPr>
          <w:szCs w:val="24"/>
        </w:rPr>
        <w:t xml:space="preserve"> (Figures 3b–3e)</w:t>
      </w:r>
      <w:r w:rsidRPr="00490216">
        <w:rPr>
          <w:szCs w:val="24"/>
        </w:rPr>
        <w:t xml:space="preserve">. The results </w:t>
      </w:r>
      <w:r>
        <w:rPr>
          <w:szCs w:val="24"/>
        </w:rPr>
        <w:t xml:space="preserve">were similar to </w:t>
      </w:r>
      <w:r w:rsidRPr="00490216">
        <w:rPr>
          <w:szCs w:val="24"/>
        </w:rPr>
        <w:t>earlier</w:t>
      </w:r>
      <w:r>
        <w:rPr>
          <w:szCs w:val="24"/>
        </w:rPr>
        <w:t xml:space="preserve"> single site studies </w:t>
      </w:r>
      <w:r w:rsidR="00E90242">
        <w:rPr>
          <w:szCs w:val="24"/>
        </w:rPr>
        <w:fldChar w:fldCharType="begin"/>
      </w:r>
      <w:r w:rsidR="00BD09B5">
        <w:rPr>
          <w:szCs w:val="24"/>
        </w:rPr>
        <w:instrText xml:space="preserve"> ADDIN EN.CITE &lt;EndNote&gt;&lt;Cite&gt;&lt;Author&gt;Kebeney&lt;/Author&gt;&lt;Year&gt;2010&lt;/Year&gt;&lt;RecNum&gt;88&lt;/RecNum&gt;&lt;DisplayText&gt;(Chien et al., 2024; 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Cite&gt;&lt;Author&gt;Chien&lt;/Author&gt;&lt;Year&gt;2024&lt;/Year&gt;&lt;RecNum&gt;219&lt;/RecNum&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sidR="00E90242">
        <w:rPr>
          <w:szCs w:val="24"/>
        </w:rPr>
        <w:fldChar w:fldCharType="separate"/>
      </w:r>
      <w:r w:rsidR="00BE2D15">
        <w:rPr>
          <w:noProof/>
          <w:szCs w:val="24"/>
        </w:rPr>
        <w:t>(Chien et al., 2024; Kebeney et al., 2010)</w:t>
      </w:r>
      <w:r w:rsidR="00E90242">
        <w:rPr>
          <w:szCs w:val="24"/>
        </w:rPr>
        <w:fldChar w:fldCharType="end"/>
      </w:r>
      <w:r w:rsidRPr="00490216">
        <w:rPr>
          <w:szCs w:val="24"/>
        </w:rPr>
        <w:t xml:space="preserve"> where increased nitrogen rates improved the levels of available manganese. The increase in </w:t>
      </w:r>
      <w:r>
        <w:rPr>
          <w:szCs w:val="24"/>
        </w:rPr>
        <w:t>manganese</w:t>
      </w:r>
      <w:r w:rsidRPr="00490216">
        <w:rPr>
          <w:szCs w:val="24"/>
        </w:rPr>
        <w:t xml:space="preserve"> levels </w:t>
      </w:r>
      <w:r>
        <w:rPr>
          <w:szCs w:val="24"/>
        </w:rPr>
        <w:t>was</w:t>
      </w:r>
      <w:r w:rsidRPr="00490216">
        <w:rPr>
          <w:szCs w:val="24"/>
        </w:rPr>
        <w:t xml:space="preserve"> due to solubilization as the soil acidity increase</w:t>
      </w:r>
      <w:r>
        <w:rPr>
          <w:szCs w:val="24"/>
        </w:rPr>
        <w:t xml:space="preserve">d </w:t>
      </w:r>
      <w:r w:rsidR="00E90242">
        <w:rPr>
          <w:szCs w:val="24"/>
        </w:rPr>
        <w:fldChar w:fldCharType="begin"/>
      </w:r>
      <w:r w:rsidR="00BD09B5">
        <w:rPr>
          <w:szCs w:val="24"/>
        </w:rPr>
        <w:instrText xml:space="preserve"> ADDIN EN.CITE &lt;EndNote&gt;&lt;Cite&gt;&lt;Author&gt;Chien&lt;/Author&gt;&lt;Year&gt;2024&lt;/Year&gt;&lt;RecNum&gt;219&lt;/RecNum&gt;&lt;DisplayText&gt;(Chien et al., 2024)&lt;/DisplayText&gt;&lt;record&gt;&lt;rec-number&gt;219&lt;/rec-number&gt;&lt;foreign-keys&gt;&lt;key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sidR="00E90242">
        <w:rPr>
          <w:szCs w:val="24"/>
        </w:rPr>
        <w:fldChar w:fldCharType="separate"/>
      </w:r>
      <w:r w:rsidR="00BE2D15">
        <w:rPr>
          <w:noProof/>
          <w:szCs w:val="24"/>
        </w:rPr>
        <w:t>(Chien et al., 2024)</w:t>
      </w:r>
      <w:r w:rsidR="00E90242">
        <w:rPr>
          <w:szCs w:val="24"/>
        </w:rPr>
        <w:fldChar w:fldCharType="end"/>
      </w:r>
      <w:r w:rsidRPr="00490216">
        <w:rPr>
          <w:szCs w:val="24"/>
        </w:rPr>
        <w:t xml:space="preserve">. </w:t>
      </w:r>
      <w:r>
        <w:rPr>
          <w:szCs w:val="24"/>
        </w:rPr>
        <w:t xml:space="preserve">Such increase was also reported in </w:t>
      </w:r>
      <w:r w:rsidRPr="00490216">
        <w:rPr>
          <w:szCs w:val="24"/>
        </w:rPr>
        <w:t>mature leaf manganese</w:t>
      </w:r>
      <w:r>
        <w:rPr>
          <w:szCs w:val="24"/>
        </w:rPr>
        <w:t xml:space="preserve"> levels </w:t>
      </w:r>
      <w:r w:rsidR="00E90242">
        <w:rPr>
          <w:szCs w:val="24"/>
        </w:rPr>
        <w:fldChar w:fldCharType="begin">
          <w:fldData xml:space="preserve">PEVuZE5vdGU+PENpdGU+PEF1dGhvcj5SdWFuPC9BdXRob3I+PFllYXI+MjAwNjwvWWVhcj48UmVj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YXV0aG9yPjxhdXRob3I+TXVob3phLCBDLjwvYXV0aG9yPjxhdXRob3I+T3d1b3IsICBQLiBPLjwv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=
</w:fldData>
        </w:fldChar>
      </w:r>
      <w:r w:rsidR="00BD09B5">
        <w:rPr>
          <w:szCs w:val="24"/>
        </w:rPr>
        <w:instrText xml:space="preserve"> ADDIN EN.CITE </w:instrText>
      </w:r>
      <w:r w:rsidR="00E90242">
        <w:rPr>
          <w:szCs w:val="24"/>
        </w:rPr>
        <w:fldChar w:fldCharType="begin">
          <w:fldData xml:space="preserve">PEVuZE5vdGU+PENpdGU+PEF1dGhvcj5SdWFuPC9BdXRob3I+PFllYXI+MjAwNjwvWWVhcj48UmVj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YXV0aG9yPjxhdXRob3I+TXVob3phLCBDLjwvYXV0aG9yPjxhdXRob3I+T3d1b3IsICBQLiBPLjwv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=
</w:fldData>
        </w:fldChar>
      </w:r>
      <w:r w:rsidR="00BD09B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(Kwach et al., 2014; Ruan et al., 2006)</w:t>
      </w:r>
      <w:r w:rsidR="00E90242">
        <w:rPr>
          <w:szCs w:val="24"/>
        </w:rPr>
        <w:fldChar w:fldCharType="end"/>
      </w:r>
      <w:r w:rsidRPr="00490216">
        <w:rPr>
          <w:szCs w:val="24"/>
        </w:rPr>
        <w:t xml:space="preserve">. The increase </w:t>
      </w:r>
      <w:r>
        <w:rPr>
          <w:szCs w:val="24"/>
        </w:rPr>
        <w:t xml:space="preserve">could bedue to increased </w:t>
      </w:r>
      <w:r w:rsidRPr="00490216">
        <w:rPr>
          <w:szCs w:val="24"/>
        </w:rPr>
        <w:t xml:space="preserve">soil </w:t>
      </w:r>
      <w:r>
        <w:rPr>
          <w:szCs w:val="24"/>
        </w:rPr>
        <w:t xml:space="preserve">acidity </w:t>
      </w:r>
      <w:r w:rsidRPr="00490216">
        <w:rPr>
          <w:szCs w:val="24"/>
        </w:rPr>
        <w:t xml:space="preserve">caused by nitrogenous fertilizer rates </w:t>
      </w:r>
      <w:r w:rsidR="00E90242">
        <w:rPr>
          <w:szCs w:val="24"/>
        </w:rPr>
        <w:fldChar w:fldCharType="begin">
          <w:fldData xml:space="preserve">PEVuZE5vdGU+PENpdGU+PEF1dGhvcj5DaGllbjwvQXV0aG9yPjxZZWFyPjIwMjQ8L1llYXI+PFJl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</w:fldData>
        </w:fldChar>
      </w:r>
      <w:r w:rsidR="00BD09B5">
        <w:rPr>
          <w:szCs w:val="24"/>
        </w:rPr>
        <w:instrText xml:space="preserve"> ADDIN EN.CITE </w:instrText>
      </w:r>
      <w:r w:rsidR="00E90242">
        <w:rPr>
          <w:szCs w:val="24"/>
        </w:rPr>
        <w:fldChar w:fldCharType="begin">
          <w:fldData xml:space="preserve">PEVuZE5vdGU+PENpdGU+PEF1dGhvcj5DaGllbjwvQXV0aG9yPjxZZWFyPjIwMjQ8L1llYXI+PFJl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</w:fldData>
        </w:fldChar>
      </w:r>
      <w:r w:rsidR="00BD09B5">
        <w:rPr>
          <w:szCs w:val="24"/>
        </w:rPr>
        <w:instrText xml:space="preserve"> ADDIN EN.CITE.DATA </w:instrText>
      </w:r>
      <w:r w:rsidR="00E90242">
        <w:rPr>
          <w:szCs w:val="24"/>
        </w:rPr>
      </w:r>
      <w:r w:rsidR="00E90242">
        <w:rPr>
          <w:szCs w:val="24"/>
        </w:rPr>
        <w:fldChar w:fldCharType="end"/>
      </w:r>
      <w:r w:rsidR="00E90242">
        <w:rPr>
          <w:szCs w:val="24"/>
        </w:rPr>
      </w:r>
      <w:r w:rsidR="00E90242">
        <w:rPr>
          <w:szCs w:val="24"/>
        </w:rPr>
        <w:fldChar w:fldCharType="separate"/>
      </w:r>
      <w:r w:rsidR="00BE2D15">
        <w:rPr>
          <w:noProof/>
          <w:szCs w:val="24"/>
        </w:rPr>
        <w:t>(Chien et al., 2024; Kebeney et al., 2010; Ombori et al., 2020)</w:t>
      </w:r>
      <w:r w:rsidR="00E90242">
        <w:rPr>
          <w:szCs w:val="24"/>
        </w:rPr>
        <w:fldChar w:fldCharType="end"/>
      </w:r>
      <w:r w:rsidRPr="00490216">
        <w:rPr>
          <w:szCs w:val="24"/>
        </w:rPr>
        <w:t xml:space="preserve">which made the element more </w:t>
      </w:r>
      <w:r>
        <w:rPr>
          <w:szCs w:val="24"/>
        </w:rPr>
        <w:t>soluble</w:t>
      </w:r>
      <w:r w:rsidRPr="00490216">
        <w:rPr>
          <w:szCs w:val="24"/>
        </w:rPr>
        <w:t xml:space="preserve">. The high levels of nitrogen fertilizer application might increase manganese uptake by tea plants and thus improve crop productivity in </w:t>
      </w:r>
      <w:r>
        <w:rPr>
          <w:szCs w:val="24"/>
        </w:rPr>
        <w:t>e</w:t>
      </w:r>
      <w:r w:rsidRPr="00490216">
        <w:rPr>
          <w:szCs w:val="24"/>
        </w:rPr>
        <w:t>astern Africa.</w:t>
      </w:r>
      <w:r w:rsidRPr="00490216">
        <w:rPr>
          <w:bCs/>
          <w:szCs w:val="24"/>
        </w:rPr>
        <w:t xml:space="preserve">There were site and nitrogen rates interaction effects </w:t>
      </w:r>
      <w:r w:rsidRPr="00490216">
        <w:rPr>
          <w:szCs w:val="24"/>
        </w:rPr>
        <w:t xml:space="preserve">(p≤0.05) </w:t>
      </w:r>
      <w:r w:rsidRPr="00490216">
        <w:rPr>
          <w:bCs/>
          <w:szCs w:val="24"/>
        </w:rPr>
        <w:t xml:space="preserve">at </w:t>
      </w:r>
      <w:r>
        <w:rPr>
          <w:bCs/>
          <w:szCs w:val="24"/>
        </w:rPr>
        <w:t>all</w:t>
      </w:r>
      <w:r w:rsidRPr="00490216">
        <w:rPr>
          <w:bCs/>
          <w:szCs w:val="24"/>
        </w:rPr>
        <w:t xml:space="preserve"> sites for manganese, </w:t>
      </w:r>
      <w:r>
        <w:rPr>
          <w:bCs/>
          <w:szCs w:val="24"/>
        </w:rPr>
        <w:t xml:space="preserve">suggesting </w:t>
      </w:r>
      <w:r w:rsidRPr="00490216">
        <w:rPr>
          <w:bCs/>
          <w:szCs w:val="24"/>
        </w:rPr>
        <w:t xml:space="preserve">that the responses did not occur in the same pattern. </w:t>
      </w:r>
      <w:r w:rsidRPr="00490216">
        <w:rPr>
          <w:szCs w:val="24"/>
        </w:rPr>
        <w:t>These results indicate that due to variations in environmental factors at the sites, even with the application of the same agronomic inputs, the levels of the manganese will differ.</w:t>
      </w:r>
    </w:p>
    <w:p w:rsidR="00FE7770" w:rsidRDefault="00FE7770" w:rsidP="00FE7770">
      <w:pPr>
        <w:pStyle w:val="Default"/>
        <w:spacing w:line="360" w:lineRule="auto"/>
        <w:jc w:val="both"/>
        <w:rPr>
          <w:rFonts w:ascii="Times New Roman" w:hAnsi="Times New Roman" w:cs="Times New Roman"/>
        </w:rPr>
      </w:pPr>
    </w:p>
    <w:p w:rsidR="00AF0E2C" w:rsidRPr="00C9399F" w:rsidRDefault="00AF0E2C" w:rsidP="00AF0E2C">
      <w:pPr>
        <w:autoSpaceDE w:val="0"/>
        <w:autoSpaceDN w:val="0"/>
        <w:adjustRightInd w:val="0"/>
        <w:spacing w:line="360" w:lineRule="auto"/>
        <w:rPr>
          <w:b/>
          <w:szCs w:val="24"/>
        </w:rPr>
      </w:pPr>
      <w:r>
        <w:rPr>
          <w:b/>
          <w:szCs w:val="24"/>
        </w:rPr>
        <w:t>Conclusion</w:t>
      </w:r>
    </w:p>
    <w:p w:rsidR="00AF0E2C" w:rsidRDefault="00AF0E2C" w:rsidP="00AF0E2C">
      <w:pPr>
        <w:spacing w:line="360" w:lineRule="auto"/>
        <w:rPr>
          <w:szCs w:val="24"/>
        </w:rPr>
      </w:pPr>
      <w:r>
        <w:rPr>
          <w:szCs w:val="24"/>
        </w:rPr>
        <w:t xml:space="preserve">Soil Ca, Mg and Mn </w:t>
      </w:r>
      <w:r w:rsidRPr="00490216">
        <w:rPr>
          <w:szCs w:val="24"/>
        </w:rPr>
        <w:t>levels changed (p≤0.05) with location of production</w:t>
      </w:r>
      <w:r>
        <w:rPr>
          <w:szCs w:val="24"/>
        </w:rPr>
        <w:t xml:space="preserve"> even at the same level of nitrogen rates</w:t>
      </w:r>
      <w:r w:rsidRPr="00490216">
        <w:rPr>
          <w:szCs w:val="24"/>
        </w:rPr>
        <w:t>. These variations maybe the cause</w:t>
      </w:r>
      <w:r>
        <w:rPr>
          <w:szCs w:val="24"/>
        </w:rPr>
        <w:t>,</w:t>
      </w:r>
      <w:r w:rsidRPr="00490216">
        <w:rPr>
          <w:szCs w:val="24"/>
        </w:rPr>
        <w:t xml:space="preserve"> in part</w:t>
      </w:r>
      <w:r>
        <w:rPr>
          <w:szCs w:val="24"/>
        </w:rPr>
        <w:t>,</w:t>
      </w:r>
      <w:r w:rsidRPr="00490216">
        <w:rPr>
          <w:szCs w:val="24"/>
        </w:rPr>
        <w:t xml:space="preserve"> of the variations in yields of tea due to locations observed in the past.</w:t>
      </w:r>
      <w:r>
        <w:rPr>
          <w:szCs w:val="24"/>
        </w:rPr>
        <w:t xml:space="preserve"> While calcium and magnesium </w:t>
      </w:r>
      <w:r w:rsidRPr="00490216">
        <w:rPr>
          <w:szCs w:val="24"/>
        </w:rPr>
        <w:t xml:space="preserve">declined (p≤0.05), levels of soil </w:t>
      </w:r>
      <w:r>
        <w:rPr>
          <w:szCs w:val="24"/>
        </w:rPr>
        <w:t xml:space="preserve">manganese </w:t>
      </w:r>
      <w:r w:rsidRPr="00490216">
        <w:rPr>
          <w:szCs w:val="24"/>
        </w:rPr>
        <w:t xml:space="preserve">increased (p≤0.05) with rise in nitrogenous fertilizer rates at all sites. The nitrogen fertilizer application is </w:t>
      </w:r>
      <w:r>
        <w:rPr>
          <w:szCs w:val="24"/>
        </w:rPr>
        <w:t xml:space="preserve">therefore </w:t>
      </w:r>
      <w:r w:rsidRPr="00490216">
        <w:rPr>
          <w:szCs w:val="24"/>
        </w:rPr>
        <w:t xml:space="preserve">one way of improving levels of soil </w:t>
      </w:r>
      <w:r>
        <w:rPr>
          <w:szCs w:val="24"/>
        </w:rPr>
        <w:t xml:space="preserve">manganese </w:t>
      </w:r>
      <w:r w:rsidRPr="00490216">
        <w:rPr>
          <w:szCs w:val="24"/>
        </w:rPr>
        <w:t>in tea farms. However, continuous application of nitrogenous fertilizers could cause de</w:t>
      </w:r>
      <w:r>
        <w:rPr>
          <w:szCs w:val="24"/>
        </w:rPr>
        <w:t>ficiency of soil calcium and magnesium which could reduce</w:t>
      </w:r>
      <w:r w:rsidRPr="00490216">
        <w:rPr>
          <w:szCs w:val="24"/>
        </w:rPr>
        <w:t xml:space="preserve"> tea productivity. </w:t>
      </w:r>
      <w:r>
        <w:rPr>
          <w:szCs w:val="24"/>
        </w:rPr>
        <w:t xml:space="preserve">The three </w:t>
      </w:r>
      <w:r w:rsidRPr="00490216">
        <w:rPr>
          <w:szCs w:val="24"/>
        </w:rPr>
        <w:t>soilnutrients</w:t>
      </w:r>
      <w:r>
        <w:rPr>
          <w:szCs w:val="24"/>
        </w:rPr>
        <w:t xml:space="preserve"> levels</w:t>
      </w:r>
      <w:r w:rsidRPr="00490216">
        <w:rPr>
          <w:szCs w:val="24"/>
        </w:rPr>
        <w:t xml:space="preserve"> were not affected by har</w:t>
      </w:r>
      <w:r>
        <w:rPr>
          <w:szCs w:val="24"/>
        </w:rPr>
        <w:t>vesting intervals</w:t>
      </w:r>
      <w:r w:rsidRPr="00490216">
        <w:rPr>
          <w:szCs w:val="24"/>
        </w:rPr>
        <w:t>.</w:t>
      </w:r>
    </w:p>
    <w:p w:rsidR="00AF0E2C" w:rsidRDefault="00AF0E2C" w:rsidP="00AF0E2C">
      <w:pPr>
        <w:spacing w:line="360" w:lineRule="auto"/>
        <w:rPr>
          <w:szCs w:val="24"/>
        </w:rPr>
      </w:pPr>
    </w:p>
    <w:p w:rsidR="00541B28" w:rsidRDefault="00541B28" w:rsidP="00A50589">
      <w:pPr>
        <w:pStyle w:val="Titre2"/>
        <w:spacing w:before="0" w:after="0"/>
        <w:rPr>
          <w:rFonts w:ascii="Times New Roman" w:hAnsi="Times New Roman"/>
          <w:b/>
          <w:color w:val="auto"/>
          <w:sz w:val="24"/>
          <w:szCs w:val="24"/>
        </w:rPr>
      </w:pPr>
      <w:bookmarkStart w:id="10" w:name="_GoBack"/>
      <w:bookmarkEnd w:id="10"/>
    </w:p>
    <w:p w:rsidR="00A50589" w:rsidRPr="004C0535" w:rsidRDefault="00A50589" w:rsidP="00A50589">
      <w:pPr>
        <w:pStyle w:val="Titre2"/>
        <w:spacing w:before="0" w:after="0"/>
        <w:rPr>
          <w:rFonts w:ascii="Times New Roman" w:hAnsi="Times New Roman"/>
          <w:b/>
          <w:i/>
          <w:color w:val="auto"/>
          <w:sz w:val="24"/>
          <w:szCs w:val="24"/>
          <w:lang w:val="pt-BR"/>
        </w:rPr>
      </w:pPr>
      <w:r w:rsidRPr="004C0535">
        <w:rPr>
          <w:rFonts w:ascii="Times New Roman" w:hAnsi="Times New Roman"/>
          <w:b/>
          <w:color w:val="auto"/>
          <w:sz w:val="24"/>
          <w:szCs w:val="24"/>
          <w:lang w:val="pt-BR"/>
        </w:rPr>
        <w:t>REFERENCES</w:t>
      </w:r>
    </w:p>
    <w:p w:rsidR="00CC5185" w:rsidRPr="00CC5185" w:rsidRDefault="00E90242" w:rsidP="00CC5185">
      <w:pPr>
        <w:pStyle w:val="EndNoteBibliography"/>
        <w:ind w:left="720" w:hanging="720"/>
      </w:pPr>
      <w:r w:rsidRPr="00E90242">
        <w:rPr>
          <w:b/>
        </w:rPr>
        <w:fldChar w:fldCharType="begin"/>
      </w:r>
      <w:r w:rsidR="00A50589" w:rsidRPr="004C0535">
        <w:rPr>
          <w:b/>
          <w:lang w:val="pt-BR"/>
        </w:rPr>
        <w:instrText xml:space="preserve"> ADDIN EN.REFLIST </w:instrText>
      </w:r>
      <w:r w:rsidRPr="00E90242">
        <w:rPr>
          <w:b/>
        </w:rPr>
        <w:fldChar w:fldCharType="separate"/>
      </w:r>
      <w:r w:rsidR="00CC5185" w:rsidRPr="004C0535">
        <w:rPr>
          <w:lang w:val="pt-BR"/>
        </w:rPr>
        <w:t xml:space="preserve">Adiloğlu, A., &amp; Adiloğlu, S. (2006). </w:t>
      </w:r>
      <w:r w:rsidR="00CC5185" w:rsidRPr="00CC5185">
        <w:t>An investigation on nutritional status of tea (</w:t>
      </w:r>
      <w:r w:rsidR="00CC5185" w:rsidRPr="00CC5185">
        <w:rPr>
          <w:i/>
        </w:rPr>
        <w:t>Camellia sinensis</w:t>
      </w:r>
      <w:r w:rsidR="00CC5185" w:rsidRPr="00CC5185">
        <w:t xml:space="preserve"> L.) grown in eastern Black Sea region of Turkey. </w:t>
      </w:r>
      <w:r w:rsidR="00CC5185" w:rsidRPr="00CC5185">
        <w:rPr>
          <w:i/>
        </w:rPr>
        <w:t>Pakistan Journal of Biological Sciences</w:t>
      </w:r>
      <w:r w:rsidR="00CC5185" w:rsidRPr="00CC5185">
        <w:t>,</w:t>
      </w:r>
      <w:r w:rsidR="00CC5185" w:rsidRPr="00CC5185">
        <w:rPr>
          <w:i/>
        </w:rPr>
        <w:t xml:space="preserve"> 9</w:t>
      </w:r>
      <w:r w:rsidR="00CC5185" w:rsidRPr="00CC5185">
        <w:t xml:space="preserve">(3), 365-370. </w:t>
      </w:r>
      <w:r w:rsidR="004C0535" w:rsidRPr="004C0535">
        <w:t>https://doi.org/10.3923/pjbs.2006.365.370</w:t>
      </w:r>
    </w:p>
    <w:p w:rsidR="00CC5185" w:rsidRPr="00CC5185" w:rsidRDefault="00CC5185" w:rsidP="00CC5185">
      <w:pPr>
        <w:pStyle w:val="EndNoteBibliography"/>
        <w:ind w:left="720" w:hanging="720"/>
      </w:pPr>
      <w:r w:rsidRPr="00CC5185">
        <w:t xml:space="preserve">Chen, L., Liu, M., Cai, Y., Wu, L., &amp; Zhang, Q. (2024). Magnesium deficiency differentiated effects on the roots growth and shoot metabolism by regulating the distribution of photosynthetic products in tea plants. </w:t>
      </w:r>
      <w:r w:rsidRPr="00CC5185">
        <w:rPr>
          <w:i/>
        </w:rPr>
        <w:t>Scientia Horticulturae</w:t>
      </w:r>
      <w:r w:rsidRPr="00CC5185">
        <w:t>,</w:t>
      </w:r>
      <w:r w:rsidRPr="00CC5185">
        <w:rPr>
          <w:i/>
        </w:rPr>
        <w:t xml:space="preserve"> 338</w:t>
      </w:r>
      <w:r w:rsidRPr="00CC5185">
        <w:t xml:space="preserve">, 113748. </w:t>
      </w:r>
      <w:r w:rsidRPr="004C0535">
        <w:t>https://doi.org/10.1016/j.scienta.2024.113748</w:t>
      </w:r>
    </w:p>
    <w:p w:rsidR="00CC5185" w:rsidRPr="00CC5185" w:rsidRDefault="00CC5185" w:rsidP="00CC5185">
      <w:pPr>
        <w:pStyle w:val="EndNoteBibliography"/>
        <w:ind w:left="720" w:hanging="720"/>
      </w:pPr>
      <w:r w:rsidRPr="00CC5185">
        <w:t xml:space="preserve">Chien, H. H., Van Minh, D., Trung, N. H., Van Trung, C., Thi, N. Q., Hai, N. D., Tanaka, S., &amp; Iwasaki, K. (2024). Distribution of manganese fractions in soil under long-term tea cultivation at Thai Nguyen Province, Vietnam. </w:t>
      </w:r>
      <w:r w:rsidRPr="00CC5185">
        <w:rPr>
          <w:i/>
        </w:rPr>
        <w:t>Malaysian Journal of Soil Science</w:t>
      </w:r>
      <w:r w:rsidRPr="00CC5185">
        <w:t>,</w:t>
      </w:r>
      <w:r w:rsidRPr="00CC5185">
        <w:rPr>
          <w:i/>
        </w:rPr>
        <w:t xml:space="preserve"> 28</w:t>
      </w:r>
      <w:r w:rsidRPr="00CC5185">
        <w:t xml:space="preserve">, 165-171. </w:t>
      </w:r>
      <w:r w:rsidR="004C0535" w:rsidRPr="004C0535">
        <w:t>https://vertexaisearch.cloud.google.com/grounding-api-redirect/AUZIYQEX7WooKh8ntvFhAGWxFevGd52oZuI9YnT8CrIW-M6Mx_3slH8vdnYzT5j8-q0HH7jcU94dCBqd5eksfxKYjDivWIO3ZWRtFkPPut27noJYvO1kJ6TwdQjEHCouQXIk5JY6</w:t>
      </w:r>
      <w:r w:rsidR="004C0535" w:rsidRPr="004C0535">
        <w:lastRenderedPageBreak/>
        <w:t>HkavNCESYoVnY2DvaomYqOxPUP49m6EALodRb3LT-si84T_cxvugNHvEUDGBhbFFSVL4fm3kOPugEXMnkjwDyWCCdTNgHwQ510veve4kT40N4IL5aul5N3-Zf3B8k5pIBeI0m1BYR8IKhCPLoPqXcixqaHWiGOAVlw==</w:t>
      </w:r>
    </w:p>
    <w:p w:rsidR="00CC5185" w:rsidRPr="00CC5185" w:rsidRDefault="00CC5185" w:rsidP="00CC5185">
      <w:pPr>
        <w:pStyle w:val="EndNoteBibliography"/>
        <w:ind w:left="720" w:hanging="720"/>
      </w:pPr>
      <w:r w:rsidRPr="00CC5185">
        <w:t xml:space="preserve">Fung, K. F., &amp; Wong, M. H. (2004). Application of different forms of calcium to tea soil to prevent aluminium and fluorine accumulation. </w:t>
      </w:r>
      <w:r w:rsidRPr="00CC5185">
        <w:rPr>
          <w:i/>
        </w:rPr>
        <w:t>Journal of the Science of Food and Agriculture</w:t>
      </w:r>
      <w:r w:rsidRPr="00CC5185">
        <w:t>,</w:t>
      </w:r>
      <w:r w:rsidRPr="00CC5185">
        <w:rPr>
          <w:i/>
        </w:rPr>
        <w:t xml:space="preserve"> 84</w:t>
      </w:r>
      <w:r w:rsidRPr="00CC5185">
        <w:t xml:space="preserve">(12), 1469-1477. </w:t>
      </w:r>
      <w:hyperlink r:id="rId22" w:history="1">
        <w:r w:rsidRPr="00CC5185">
          <w:rPr>
            <w:rStyle w:val="Lienhypertexte"/>
          </w:rPr>
          <w:t>https://doi.org/</w:t>
        </w:r>
      </w:hyperlink>
      <w:hyperlink r:id="rId23" w:history="1">
        <w:r w:rsidRPr="00CC5185">
          <w:rPr>
            <w:rStyle w:val="Lienhypertexte"/>
          </w:rPr>
          <w:t>https://doi.org/10.1002/jsfa.1842</w:t>
        </w:r>
      </w:hyperlink>
    </w:p>
    <w:p w:rsidR="00CC5185" w:rsidRPr="00CC5185" w:rsidRDefault="00CC5185" w:rsidP="00CC5185">
      <w:pPr>
        <w:pStyle w:val="EndNoteBibliography"/>
        <w:ind w:left="720" w:hanging="720"/>
      </w:pPr>
      <w:r w:rsidRPr="00CC5185">
        <w:t xml:space="preserve">Hajiboland, R. (2018). Nutrient deficiency and abundance in tea plants: metabolism to productivity. In W.-Y. Han, X. Li, &amp; G. J. Ahammed (Eds.), </w:t>
      </w:r>
      <w:r w:rsidRPr="00CC5185">
        <w:rPr>
          <w:i/>
        </w:rPr>
        <w:t>Stress Physiology of Tea in the Face of Climate Change</w:t>
      </w:r>
      <w:r w:rsidRPr="00CC5185">
        <w:t xml:space="preserve"> (pp. 173-215). Springer </w:t>
      </w:r>
      <w:hyperlink r:id="rId24" w:history="1">
        <w:r w:rsidRPr="00CC5185">
          <w:rPr>
            <w:rStyle w:val="Lienhypertexte"/>
          </w:rPr>
          <w:t>https://doi.org/https://doi.org/10.1007/978-981-13-2140-5_9</w:t>
        </w:r>
      </w:hyperlink>
    </w:p>
    <w:p w:rsidR="00CC5185" w:rsidRPr="00CC5185" w:rsidRDefault="00CC5185" w:rsidP="00CC5185">
      <w:pPr>
        <w:pStyle w:val="EndNoteBibliography"/>
        <w:ind w:left="720" w:hanging="720"/>
      </w:pPr>
      <w:r w:rsidRPr="00CC5185">
        <w:t>He, D., Chen, X., Zhang, Y., Huang, Z., Yin, J., Weng, X., Yang, W., Wu, H., Zhang, F., &amp; Wu, L. (2023). Magnesium is a nutritional tool for the yield and quality of oolong tea (</w:t>
      </w:r>
      <w:r w:rsidRPr="00CC5185">
        <w:rPr>
          <w:i/>
        </w:rPr>
        <w:t>Camellia sinensis</w:t>
      </w:r>
      <w:r w:rsidRPr="00CC5185">
        <w:t xml:space="preserve"> L.) and reduces reactive nitrogen loss. </w:t>
      </w:r>
      <w:r w:rsidRPr="00CC5185">
        <w:rPr>
          <w:i/>
        </w:rPr>
        <w:t>Scientia Horticulturae</w:t>
      </w:r>
      <w:r w:rsidRPr="00CC5185">
        <w:t>,</w:t>
      </w:r>
      <w:r w:rsidRPr="00CC5185">
        <w:rPr>
          <w:i/>
        </w:rPr>
        <w:t xml:space="preserve"> 308</w:t>
      </w:r>
      <w:r w:rsidRPr="00CC5185">
        <w:t xml:space="preserve">, 111590. </w:t>
      </w:r>
      <w:hyperlink r:id="rId25" w:history="1">
        <w:r w:rsidRPr="00CC5185">
          <w:rPr>
            <w:rStyle w:val="Lienhypertexte"/>
          </w:rPr>
          <w:t>https://doi.org/https://doi.org/10.1016/j.scienta.2022.111590</w:t>
        </w:r>
      </w:hyperlink>
    </w:p>
    <w:p w:rsidR="00CC5185" w:rsidRPr="00CC5185" w:rsidRDefault="00CC5185" w:rsidP="00CC5185">
      <w:pPr>
        <w:pStyle w:val="EndNoteBibliography"/>
        <w:ind w:left="720" w:hanging="720"/>
      </w:pPr>
      <w:r w:rsidRPr="00CC5185">
        <w:t>Kamau, D. M., Owuor, P. O., &amp; Wanyoko, J. K. (1998, 13-19th December). Influence of types and rates of nitrogenous fertilizers in tea production on some soil chemical properties. The 16th Soil Science Society of East Africa Conference, Mkonge Hotel, Tanga, Tanzania.</w:t>
      </w:r>
    </w:p>
    <w:p w:rsidR="00CC5185" w:rsidRPr="00CC5185" w:rsidRDefault="00CC5185" w:rsidP="00CC5185">
      <w:pPr>
        <w:pStyle w:val="EndNoteBibliography"/>
        <w:ind w:left="720" w:hanging="720"/>
      </w:pPr>
      <w:r w:rsidRPr="00CC5185">
        <w:t xml:space="preserve">Kamau, D. M., Wanyoko, J. K., &amp; Owuor, P. O. (2005). Mature leaf nutrients levels as a diagnostic tool for making fertilizer recommendations in mature tea. The case of clone BBK 35. </w:t>
      </w:r>
      <w:r w:rsidRPr="00CC5185">
        <w:rPr>
          <w:i/>
        </w:rPr>
        <w:t>Tea</w:t>
      </w:r>
      <w:r w:rsidRPr="00CC5185">
        <w:t>,</w:t>
      </w:r>
      <w:r w:rsidRPr="00CC5185">
        <w:rPr>
          <w:i/>
        </w:rPr>
        <w:t xml:space="preserve"> 26</w:t>
      </w:r>
      <w:r w:rsidRPr="00CC5185">
        <w:t xml:space="preserve">, 57- 69. </w:t>
      </w:r>
    </w:p>
    <w:p w:rsidR="00CC5185" w:rsidRPr="00CC5185" w:rsidRDefault="00CC5185" w:rsidP="00CC5185">
      <w:pPr>
        <w:pStyle w:val="EndNoteBibliography"/>
        <w:ind w:left="720" w:hanging="720"/>
      </w:pPr>
      <w:r w:rsidRPr="00CC5185">
        <w:t xml:space="preserve">Kamau, D. M., Wanyoko, J. K., Owuor, P. O., &amp; Ng'etich, W. K. (2008). NPK (S) fertilizer use in commercially cultivated clone BBK 35 in different tea growing regions of Kenya: II. Effects of nitrogen rates and plucking intervals on soil chemical properties. </w:t>
      </w:r>
      <w:r w:rsidRPr="00CC5185">
        <w:rPr>
          <w:i/>
        </w:rPr>
        <w:t>Tea</w:t>
      </w:r>
      <w:r w:rsidRPr="00CC5185">
        <w:t>,</w:t>
      </w:r>
      <w:r w:rsidRPr="00CC5185">
        <w:rPr>
          <w:i/>
        </w:rPr>
        <w:t xml:space="preserve"> 29</w:t>
      </w:r>
      <w:r w:rsidRPr="00CC5185">
        <w:t xml:space="preserve">(2), 8-18. </w:t>
      </w:r>
      <w:r w:rsidR="004C0535" w:rsidRPr="004C0535">
        <w:t>https://www.cabdirect.org/cabdirect/abstract/20103355379</w:t>
      </w:r>
    </w:p>
    <w:p w:rsidR="00CC5185" w:rsidRPr="00CC5185" w:rsidRDefault="00CC5185" w:rsidP="00CC5185">
      <w:pPr>
        <w:pStyle w:val="EndNoteBibliography"/>
        <w:ind w:left="720" w:hanging="720"/>
      </w:pPr>
      <w:r w:rsidRPr="00CC5185">
        <w:t xml:space="preserve">Kamau, D. M., Wanyoko, J. K., Owuor, P. O., &amp; Ng’etich, W. K. (2008). NPK(S) fertilizer use in commercially cultivated clone BBK35 in different tea growing regions of Kenya: I. Experimental design and initial soil chemical properties. </w:t>
      </w:r>
      <w:r w:rsidRPr="00CC5185">
        <w:rPr>
          <w:i/>
        </w:rPr>
        <w:t>Tea</w:t>
      </w:r>
      <w:r w:rsidRPr="00CC5185">
        <w:t>,</w:t>
      </w:r>
      <w:r w:rsidRPr="00CC5185">
        <w:rPr>
          <w:i/>
        </w:rPr>
        <w:t xml:space="preserve"> 29</w:t>
      </w:r>
      <w:r w:rsidRPr="00CC5185">
        <w:t>(1), 31-36.</w:t>
      </w:r>
      <w:r w:rsidR="00AC599B" w:rsidRPr="00AC599B">
        <w:t xml:space="preserve"> https://repository.maseno.ac.ke/handle/123456789/1725</w:t>
      </w:r>
    </w:p>
    <w:p w:rsidR="00CC5185" w:rsidRPr="00CC5185" w:rsidRDefault="00CC5185" w:rsidP="00CC5185">
      <w:pPr>
        <w:pStyle w:val="EndNoteBibliography"/>
        <w:ind w:left="720" w:hanging="720"/>
      </w:pPr>
      <w:r w:rsidRPr="00CC5185">
        <w:t xml:space="preserve">Kebeney, S. J., Kamau, D. M., Othieno, C. O., Ng’etich, W. K., &amp; Owuor, P. O. (2010). Changes in soil chemical properties and leaf nutrients contents due to nitrogen fertilizer rates and application intervals. </w:t>
      </w:r>
      <w:r w:rsidRPr="00CC5185">
        <w:rPr>
          <w:i/>
        </w:rPr>
        <w:t>Tea</w:t>
      </w:r>
      <w:r w:rsidRPr="00CC5185">
        <w:t>,</w:t>
      </w:r>
      <w:r w:rsidRPr="00CC5185">
        <w:rPr>
          <w:i/>
        </w:rPr>
        <w:t xml:space="preserve"> 31</w:t>
      </w:r>
      <w:r w:rsidRPr="00CC5185">
        <w:t xml:space="preserve">, 22-27. </w:t>
      </w:r>
    </w:p>
    <w:p w:rsidR="00CC5185" w:rsidRPr="00CC5185" w:rsidRDefault="00CC5185" w:rsidP="00CC5185">
      <w:pPr>
        <w:pStyle w:val="EndNoteBibliography"/>
        <w:ind w:left="720" w:hanging="720"/>
      </w:pPr>
      <w:r w:rsidRPr="00CC5185">
        <w:t xml:space="preserve">Kwach, B. O., Kamau, D. M., Msomba, S. W., Muhoza, C., &amp; Owuor, P. O. (2014). Effects of location of production, nitrogenous fertilizer rates and plucking intervals on tea clone TRFK 6/8 in East Africa: II. Mature leaf nutrients. </w:t>
      </w:r>
      <w:r w:rsidRPr="00CC5185">
        <w:rPr>
          <w:i/>
        </w:rPr>
        <w:t>International Journal of Tea Science</w:t>
      </w:r>
      <w:r w:rsidRPr="00CC5185">
        <w:t>,</w:t>
      </w:r>
      <w:r w:rsidRPr="00CC5185">
        <w:rPr>
          <w:i/>
        </w:rPr>
        <w:t xml:space="preserve"> 10</w:t>
      </w:r>
      <w:r w:rsidRPr="00CC5185">
        <w:t xml:space="preserve">(3&amp;4), 25-40. </w:t>
      </w:r>
      <w:r w:rsidR="00AC599B" w:rsidRPr="00AC599B">
        <w:t>https://doi.org/https://doi.org/10.20425/ijts.v10i3and4.4740</w:t>
      </w:r>
    </w:p>
    <w:p w:rsidR="00CC5185" w:rsidRPr="00D31FBF" w:rsidRDefault="00CC5185" w:rsidP="00CC5185">
      <w:pPr>
        <w:pStyle w:val="EndNoteBibliography"/>
        <w:ind w:left="720" w:hanging="720"/>
      </w:pPr>
      <w:r w:rsidRPr="00CC5185">
        <w:t xml:space="preserve">Kwach, B. O., Owuor, P. O., Kamau, D. M., Msomba, S. W., &amp; Uwimana, M. A. (2016). Variations in the precursors of plain black tea quality parameters due to location of production and nitrogen fertilizer rates in Eastern African clonal tea leaves. </w:t>
      </w:r>
      <w:r w:rsidRPr="00D31FBF">
        <w:rPr>
          <w:i/>
        </w:rPr>
        <w:t>Experimental Agriculture</w:t>
      </w:r>
      <w:r w:rsidRPr="00D31FBF">
        <w:t>,</w:t>
      </w:r>
      <w:r w:rsidRPr="00D31FBF">
        <w:rPr>
          <w:i/>
        </w:rPr>
        <w:t xml:space="preserve"> 52</w:t>
      </w:r>
      <w:r w:rsidRPr="00D31FBF">
        <w:t xml:space="preserve">(2), 266-278. </w:t>
      </w:r>
      <w:r w:rsidR="00AC599B" w:rsidRPr="00AC599B">
        <w:t>https://doi.org/10.1017/S0014479715000083</w:t>
      </w:r>
    </w:p>
    <w:p w:rsidR="00CC5185" w:rsidRPr="00CC5185" w:rsidRDefault="00CC5185" w:rsidP="00CC5185">
      <w:pPr>
        <w:pStyle w:val="EndNoteBibliography"/>
        <w:ind w:left="720" w:hanging="720"/>
      </w:pPr>
      <w:r w:rsidRPr="00D31FBF">
        <w:t xml:space="preserve">Li, J., Li, Q.-H., Zhang, X.-Y., Zhang, L.-Y., Zhao, P.-L., Wen, T., Zhang, J.-Q., Xu, W.-L., Guo, F., &amp; Zhao, H. (2021). </w:t>
      </w:r>
      <w:r w:rsidRPr="00CC5185">
        <w:t>Exploring the effects of magnesium deficiency on the quality constituents of hydroponic-cultivated tea (</w:t>
      </w:r>
      <w:r w:rsidRPr="00CC5185">
        <w:rPr>
          <w:i/>
        </w:rPr>
        <w:t>Camellia sinensis</w:t>
      </w:r>
      <w:r w:rsidRPr="00CC5185">
        <w:t xml:space="preserve"> L.) Leaves. </w:t>
      </w:r>
      <w:r w:rsidRPr="00CC5185">
        <w:rPr>
          <w:i/>
        </w:rPr>
        <w:t>Journaul of Agricultural and Food Chemistry</w:t>
      </w:r>
      <w:r w:rsidRPr="00CC5185">
        <w:t>,</w:t>
      </w:r>
      <w:r w:rsidRPr="00CC5185">
        <w:rPr>
          <w:i/>
        </w:rPr>
        <w:t xml:space="preserve"> 69</w:t>
      </w:r>
      <w:r w:rsidRPr="00CC5185">
        <w:t xml:space="preserve">(47), 14278-14286. </w:t>
      </w:r>
      <w:hyperlink r:id="rId26" w:history="1">
        <w:r w:rsidRPr="00CC5185">
          <w:rPr>
            <w:rStyle w:val="Lienhypertexte"/>
          </w:rPr>
          <w:t>https://doi.org/https://doi.org/10.1021/acs.jafc.1c05141</w:t>
        </w:r>
      </w:hyperlink>
    </w:p>
    <w:p w:rsidR="00CC5185" w:rsidRPr="00CC5185" w:rsidRDefault="00CC5185" w:rsidP="00CC5185">
      <w:pPr>
        <w:pStyle w:val="EndNoteBibliography"/>
        <w:ind w:left="720" w:hanging="720"/>
      </w:pPr>
      <w:r w:rsidRPr="00CC5185">
        <w:t xml:space="preserve">Liang, L. L., Song, Y. k., Qian, W. j., Ruan, J. y., Ding, Z. T., Zhang, Q. f., &amp; Hu, J. h. (2021). Metabolomics analysis reveals the responses of tea plants to excessive calcium. </w:t>
      </w:r>
      <w:r w:rsidRPr="00CC5185">
        <w:rPr>
          <w:i/>
        </w:rPr>
        <w:t>Journal of the Science of Food and Agriculture</w:t>
      </w:r>
      <w:r w:rsidRPr="00CC5185">
        <w:t>,</w:t>
      </w:r>
      <w:r w:rsidRPr="00CC5185">
        <w:rPr>
          <w:i/>
        </w:rPr>
        <w:t xml:space="preserve"> 101</w:t>
      </w:r>
      <w:r w:rsidRPr="00CC5185">
        <w:t xml:space="preserve">(13), 5678-5687. </w:t>
      </w:r>
      <w:hyperlink r:id="rId27" w:history="1">
        <w:r w:rsidRPr="00CC5185">
          <w:rPr>
            <w:rStyle w:val="Lienhypertexte"/>
          </w:rPr>
          <w:t>https://doi.org/</w:t>
        </w:r>
      </w:hyperlink>
      <w:hyperlink r:id="rId28" w:history="1">
        <w:r w:rsidRPr="00CC5185">
          <w:rPr>
            <w:rStyle w:val="Lienhypertexte"/>
          </w:rPr>
          <w:t>https://doi.org/10.1002/jsfa.11222</w:t>
        </w:r>
      </w:hyperlink>
    </w:p>
    <w:p w:rsidR="00CC5185" w:rsidRPr="00CC5185" w:rsidRDefault="00CC5185" w:rsidP="00CC5185">
      <w:pPr>
        <w:pStyle w:val="EndNoteBibliography"/>
        <w:ind w:left="720" w:hanging="720"/>
      </w:pPr>
      <w:r w:rsidRPr="00CC5185">
        <w:t xml:space="preserve">Liu, Z. a., Yang, J., Yang, Z., &amp; Zou, J. (2012). Effects of rainfall and fertilizer types on nitrogen and phosphorus concentrations in surface runoff from subtropical tea fields in Zhejiang, China. </w:t>
      </w:r>
      <w:r w:rsidRPr="00CC5185">
        <w:rPr>
          <w:i/>
        </w:rPr>
        <w:t>Nutrient Cycling in Agroecosystems</w:t>
      </w:r>
      <w:r w:rsidRPr="00CC5185">
        <w:t>,</w:t>
      </w:r>
      <w:r w:rsidRPr="00CC5185">
        <w:rPr>
          <w:i/>
        </w:rPr>
        <w:t xml:space="preserve"> 93</w:t>
      </w:r>
      <w:r w:rsidRPr="00CC5185">
        <w:t xml:space="preserve">(3), 297-307. </w:t>
      </w:r>
      <w:hyperlink r:id="rId29" w:history="1">
        <w:r w:rsidRPr="00CC5185">
          <w:rPr>
            <w:rStyle w:val="Lienhypertexte"/>
          </w:rPr>
          <w:t>https://doi.org/https://doi.org/10.1007/s10705-012-9517-x</w:t>
        </w:r>
      </w:hyperlink>
    </w:p>
    <w:p w:rsidR="00CC5185" w:rsidRPr="00CC5185" w:rsidRDefault="00CC5185" w:rsidP="00CC5185">
      <w:pPr>
        <w:pStyle w:val="EndNoteBibliography"/>
        <w:ind w:left="720" w:hanging="720"/>
      </w:pPr>
      <w:r w:rsidRPr="00CC5185">
        <w:t xml:space="preserve">Mehlich, A. (1984). Mehlich-3 soil test extractant: a modification of Mehlich-2 extractant. </w:t>
      </w:r>
      <w:r w:rsidRPr="00CC5185">
        <w:rPr>
          <w:i/>
        </w:rPr>
        <w:t>Communications Soil Science and Plant Analysis</w:t>
      </w:r>
      <w:r w:rsidRPr="00CC5185">
        <w:t>,</w:t>
      </w:r>
      <w:r w:rsidRPr="00CC5185">
        <w:rPr>
          <w:i/>
        </w:rPr>
        <w:t xml:space="preserve"> 15</w:t>
      </w:r>
      <w:r w:rsidRPr="00CC5185">
        <w:t xml:space="preserve">(12), 1409-1416. </w:t>
      </w:r>
      <w:hyperlink r:id="rId30" w:history="1">
        <w:r w:rsidRPr="00CC5185">
          <w:rPr>
            <w:rStyle w:val="Lienhypertexte"/>
          </w:rPr>
          <w:t>https://doi.org/https://doi.org/10.1080/00103628409367568</w:t>
        </w:r>
      </w:hyperlink>
    </w:p>
    <w:p w:rsidR="00CC5185" w:rsidRPr="00CC5185" w:rsidRDefault="00CC5185" w:rsidP="00CC5185">
      <w:pPr>
        <w:pStyle w:val="EndNoteBibliography"/>
        <w:ind w:left="720" w:hanging="720"/>
      </w:pPr>
      <w:r w:rsidRPr="00CC5185">
        <w:lastRenderedPageBreak/>
        <w:t xml:space="preserve">Morita, A., Yokota, H., Ishka, M. R., &amp; Ghanati, F. (2006). Changes in peroxidase activity and lignin content of cultured tea cells in response to excess manganese. </w:t>
      </w:r>
      <w:r w:rsidRPr="00CC5185">
        <w:rPr>
          <w:i/>
        </w:rPr>
        <w:t>Soil Science and Plant Nutrition</w:t>
      </w:r>
      <w:r w:rsidRPr="00CC5185">
        <w:t>,</w:t>
      </w:r>
      <w:r w:rsidRPr="00CC5185">
        <w:rPr>
          <w:i/>
        </w:rPr>
        <w:t xml:space="preserve"> 52</w:t>
      </w:r>
      <w:r w:rsidRPr="00CC5185">
        <w:t xml:space="preserve">(1), 26-31. </w:t>
      </w:r>
      <w:hyperlink r:id="rId31" w:history="1">
        <w:r w:rsidRPr="00CC5185">
          <w:rPr>
            <w:rStyle w:val="Lienhypertexte"/>
          </w:rPr>
          <w:t>https://doi.org/https://doi.org/10.1111/j.1747-0765.2006.00006.x</w:t>
        </w:r>
      </w:hyperlink>
    </w:p>
    <w:p w:rsidR="00CC5185" w:rsidRPr="00CC5185" w:rsidRDefault="00CC5185" w:rsidP="00CC5185">
      <w:pPr>
        <w:pStyle w:val="EndNoteBibliography"/>
        <w:ind w:left="720" w:hanging="720"/>
      </w:pPr>
      <w:r w:rsidRPr="00CC5185">
        <w:t xml:space="preserve">Msomba, S. W., Kamau, D. M., Uwimana, M. A., Muhoza, C., &amp; Owuor, P. O. (2014). Effects of location of production, nitrogenous fertilizer rates and plucking intervals on tea clone TRFK 6/8 tea in East Africa: I. Yields. </w:t>
      </w:r>
      <w:r w:rsidRPr="00CC5185">
        <w:rPr>
          <w:i/>
        </w:rPr>
        <w:t>International Journal of Tea Science (IJTS)</w:t>
      </w:r>
      <w:r w:rsidRPr="00CC5185">
        <w:t>,</w:t>
      </w:r>
      <w:r w:rsidRPr="00CC5185">
        <w:rPr>
          <w:i/>
        </w:rPr>
        <w:t xml:space="preserve"> 10</w:t>
      </w:r>
      <w:r w:rsidRPr="00CC5185">
        <w:t xml:space="preserve">(3/4), 14-24. </w:t>
      </w:r>
      <w:hyperlink r:id="rId32" w:history="1">
        <w:r w:rsidRPr="00CC5185">
          <w:rPr>
            <w:rStyle w:val="Lienhypertexte"/>
          </w:rPr>
          <w:t>https://doi.org/10.20425/ijts.v10i3and4.4739</w:t>
        </w:r>
      </w:hyperlink>
    </w:p>
    <w:p w:rsidR="00CC5185" w:rsidRPr="00CC5185" w:rsidRDefault="00CC5185" w:rsidP="00CC5185">
      <w:pPr>
        <w:pStyle w:val="EndNoteBibliography"/>
        <w:ind w:left="720" w:hanging="720"/>
      </w:pPr>
      <w:r w:rsidRPr="00CC5185">
        <w:t xml:space="preserve">Nath, T. N. (2013). The macronutrients status of long term tea cultivated soils in Dibugrah and Sivasgar Districts of Assam. India. </w:t>
      </w:r>
      <w:r w:rsidRPr="00CC5185">
        <w:rPr>
          <w:i/>
        </w:rPr>
        <w:t>International Journal of Scientific Research</w:t>
      </w:r>
      <w:r w:rsidRPr="00CC5185">
        <w:t>,</w:t>
      </w:r>
      <w:r w:rsidRPr="00CC5185">
        <w:rPr>
          <w:i/>
        </w:rPr>
        <w:t xml:space="preserve"> 2</w:t>
      </w:r>
      <w:r w:rsidRPr="00CC5185">
        <w:t xml:space="preserve">(5), 273-275. </w:t>
      </w:r>
      <w:r w:rsidR="00AC599B" w:rsidRPr="00AC599B">
        <w:t>http://citeseerx.ist.psu.edu/viewdoc/download?doi=10.1.1.679.6194&amp;rep=rep1&amp;type=pdf</w:t>
      </w:r>
    </w:p>
    <w:p w:rsidR="00CC5185" w:rsidRPr="00CC5185" w:rsidRDefault="00CC5185" w:rsidP="00CC5185">
      <w:pPr>
        <w:pStyle w:val="EndNoteBibliography"/>
        <w:ind w:left="720" w:hanging="720"/>
      </w:pPr>
      <w:r w:rsidRPr="00CC5185">
        <w:t xml:space="preserve">Oh, K., Kato, T., Zhong-Pei, L., &amp; Fa-Yun, L. (2006). Environmental problems from tea cultivation in Japan and a control measure using calcium cyanamide. </w:t>
      </w:r>
      <w:r w:rsidRPr="00CC5185">
        <w:rPr>
          <w:i/>
        </w:rPr>
        <w:t>Pedosphere</w:t>
      </w:r>
      <w:r w:rsidRPr="00CC5185">
        <w:t>,</w:t>
      </w:r>
      <w:r w:rsidRPr="00CC5185">
        <w:rPr>
          <w:i/>
        </w:rPr>
        <w:t xml:space="preserve"> 16</w:t>
      </w:r>
      <w:r w:rsidRPr="00CC5185">
        <w:t xml:space="preserve">(6), 770-777. </w:t>
      </w:r>
      <w:hyperlink r:id="rId33" w:history="1">
        <w:r w:rsidRPr="00CC5185">
          <w:rPr>
            <w:rStyle w:val="Lienhypertexte"/>
          </w:rPr>
          <w:t>https://doi.org/https://doi.org/10.1016/S1002-0160(06)60113-6</w:t>
        </w:r>
      </w:hyperlink>
    </w:p>
    <w:p w:rsidR="00CC5185" w:rsidRPr="00CC5185" w:rsidRDefault="00CC5185" w:rsidP="00CC5185">
      <w:pPr>
        <w:pStyle w:val="EndNoteBibliography"/>
        <w:ind w:left="720" w:hanging="720"/>
      </w:pPr>
      <w:r w:rsidRPr="00CC5185">
        <w:t xml:space="preserve">Okal, A. W., Owuor, P. O., Kamau, D. M., &amp; Manguro, L. A. O. (2012). Effect of production, location and plucking interval on fatty acids concentration in clonal tea. </w:t>
      </w:r>
      <w:r w:rsidRPr="00CC5185">
        <w:rPr>
          <w:i/>
        </w:rPr>
        <w:t>Food Science and Technology Research</w:t>
      </w:r>
      <w:r w:rsidRPr="00CC5185">
        <w:t>,</w:t>
      </w:r>
      <w:r w:rsidRPr="00CC5185">
        <w:rPr>
          <w:i/>
        </w:rPr>
        <w:t xml:space="preserve"> 18</w:t>
      </w:r>
      <w:r w:rsidRPr="00CC5185">
        <w:t xml:space="preserve">(3), 351-356. </w:t>
      </w:r>
      <w:hyperlink r:id="rId34" w:history="1">
        <w:r w:rsidRPr="00CC5185">
          <w:rPr>
            <w:rStyle w:val="Lienhypertexte"/>
          </w:rPr>
          <w:t>https://doi.org/https://doi.org/10.3136/fstr.18.351</w:t>
        </w:r>
      </w:hyperlink>
    </w:p>
    <w:p w:rsidR="00CC5185" w:rsidRPr="00CC5185" w:rsidRDefault="00CC5185" w:rsidP="00CC5185">
      <w:pPr>
        <w:pStyle w:val="EndNoteBibliography"/>
        <w:ind w:left="720" w:hanging="720"/>
      </w:pPr>
      <w:r w:rsidRPr="00CC5185">
        <w:t xml:space="preserve">Ombori, R. O., Owuor, P. O., Kamau, D. M., Kwach, B. O., Dufitumukiza, W., &amp; Msomba, S. W. (2020). Nitrogenous fertilizer rates and plucking intervals effects on soil organic carbon, pH and tea yields and their relationships in eastern Africa tea growing regions </w:t>
      </w:r>
      <w:r w:rsidRPr="00CC5185">
        <w:rPr>
          <w:i/>
        </w:rPr>
        <w:t>Internaational Journal of Tea Science</w:t>
      </w:r>
      <w:r w:rsidRPr="00CC5185">
        <w:t>,</w:t>
      </w:r>
      <w:r w:rsidRPr="00CC5185">
        <w:rPr>
          <w:i/>
        </w:rPr>
        <w:t xml:space="preserve"> 15</w:t>
      </w:r>
      <w:r w:rsidRPr="00CC5185">
        <w:t xml:space="preserve">, 18-33. </w:t>
      </w:r>
      <w:r w:rsidR="00AC599B" w:rsidRPr="00AC599B">
        <w:t>https://doi.org/10.20425/ijts1513</w:t>
      </w:r>
    </w:p>
    <w:p w:rsidR="00CC5185" w:rsidRPr="00CC5185" w:rsidRDefault="00CC5185" w:rsidP="00CC5185">
      <w:pPr>
        <w:pStyle w:val="EndNoteBibliography"/>
        <w:ind w:left="720" w:hanging="720"/>
      </w:pPr>
      <w:r w:rsidRPr="00CC5185">
        <w:t>Ombori, R. O., Owuor, P. O., Kwach, B. O., Kamau, D. M., Dufitumukiza, W., &amp; Msomba, S. W. (2025a). Nitrogenous fertilizer application rates and plucking intervals on tea (</w:t>
      </w:r>
      <w:r w:rsidRPr="00CC5185">
        <w:rPr>
          <w:i/>
        </w:rPr>
        <w:t>Camellia sinensis</w:t>
      </w:r>
      <w:r w:rsidRPr="00CC5185">
        <w:t xml:space="preserve"> (L.) in Eastern Africa: II. Effects on soil nitrogen, phosphorous, and potassium. </w:t>
      </w:r>
      <w:r w:rsidRPr="00CC5185">
        <w:rPr>
          <w:i/>
        </w:rPr>
        <w:t>Asian Soil Research Journal</w:t>
      </w:r>
      <w:r w:rsidRPr="00CC5185">
        <w:t>,</w:t>
      </w:r>
      <w:r w:rsidRPr="00CC5185">
        <w:rPr>
          <w:i/>
        </w:rPr>
        <w:t xml:space="preserve"> (submitted)</w:t>
      </w:r>
      <w:r w:rsidRPr="00CC5185">
        <w:t xml:space="preserve">. </w:t>
      </w:r>
    </w:p>
    <w:p w:rsidR="00CC5185" w:rsidRPr="00CC5185" w:rsidRDefault="00CC5185" w:rsidP="00CC5185">
      <w:pPr>
        <w:pStyle w:val="EndNoteBibliography"/>
        <w:ind w:left="720" w:hanging="720"/>
      </w:pPr>
      <w:r w:rsidRPr="00CC5185">
        <w:t>Ombori, R. O., Owuor, P. O., Kwach, B. O., Kamau, D. M., Dufitumukiza, W., &amp; Msomba, S. W. (2025b). Nitrogenous fertilizer application rates and plucking intervals on tea (</w:t>
      </w:r>
      <w:r w:rsidRPr="00CC5185">
        <w:rPr>
          <w:i/>
        </w:rPr>
        <w:t>Camellia sinensis</w:t>
      </w:r>
      <w:r w:rsidRPr="00CC5185">
        <w:t xml:space="preserve"> (L.) in Eastern Africa: IV. Effects on soil micro-nutrients (Al, Fe, Zn, Cu). </w:t>
      </w:r>
      <w:r w:rsidRPr="00CC5185">
        <w:rPr>
          <w:i/>
        </w:rPr>
        <w:t>Asian Soil Research Journal</w:t>
      </w:r>
      <w:r w:rsidRPr="00CC5185">
        <w:t>,</w:t>
      </w:r>
      <w:r w:rsidRPr="00CC5185">
        <w:rPr>
          <w:i/>
        </w:rPr>
        <w:t xml:space="preserve"> (submitted)</w:t>
      </w:r>
      <w:r w:rsidRPr="00CC5185">
        <w:t xml:space="preserve">. </w:t>
      </w:r>
    </w:p>
    <w:p w:rsidR="00CC5185" w:rsidRPr="00CC5185" w:rsidRDefault="00CC5185" w:rsidP="00CC5185">
      <w:pPr>
        <w:pStyle w:val="EndNoteBibliography"/>
        <w:ind w:left="720" w:hanging="720"/>
      </w:pPr>
      <w:r w:rsidRPr="00CC5185">
        <w:t xml:space="preserve">Omwoyo, N. W., Owuor, P. O., Ongeri, D. M., &amp; Kamau, D. M. (2014). Effect of genotypes in different environments on micronutrient contents of black tea. </w:t>
      </w:r>
      <w:r w:rsidRPr="00CC5185">
        <w:rPr>
          <w:i/>
        </w:rPr>
        <w:t>Journal of Tea Science Research</w:t>
      </w:r>
      <w:r w:rsidRPr="00CC5185">
        <w:t>,</w:t>
      </w:r>
      <w:r w:rsidRPr="00CC5185">
        <w:rPr>
          <w:i/>
        </w:rPr>
        <w:t xml:space="preserve"> 4</w:t>
      </w:r>
      <w:r w:rsidRPr="00CC5185">
        <w:t xml:space="preserve">(2), 17-26. </w:t>
      </w:r>
      <w:r w:rsidR="00AC599B" w:rsidRPr="00AC599B">
        <w:t>https://doi.org/10.5376/jtsr.2014.04.0002</w:t>
      </w:r>
    </w:p>
    <w:p w:rsidR="00CC5185" w:rsidRPr="00CC5185" w:rsidRDefault="00CC5185" w:rsidP="00CC5185">
      <w:pPr>
        <w:pStyle w:val="EndNoteBibliography"/>
        <w:ind w:left="720" w:hanging="720"/>
      </w:pPr>
      <w:r w:rsidRPr="00CC5185">
        <w:t xml:space="preserve">Omwoyo, W. N., Owuor, P. O., Ongeri, D. M., &amp; Kamau, D. M. (2013). Effect of genotypes in different tea growing location in Kenya on some micronutrients content of black tea. </w:t>
      </w:r>
      <w:r w:rsidRPr="00CC5185">
        <w:rPr>
          <w:i/>
        </w:rPr>
        <w:t>International Journal of Tea Science</w:t>
      </w:r>
      <w:r w:rsidRPr="00CC5185">
        <w:t>,</w:t>
      </w:r>
      <w:r w:rsidRPr="00CC5185">
        <w:rPr>
          <w:i/>
        </w:rPr>
        <w:t xml:space="preserve"> 9</w:t>
      </w:r>
      <w:r w:rsidRPr="00CC5185">
        <w:t xml:space="preserve">(4), 6-13. </w:t>
      </w:r>
      <w:hyperlink r:id="rId35" w:history="1">
        <w:r w:rsidRPr="00CC5185">
          <w:rPr>
            <w:rStyle w:val="Lienhypertexte"/>
          </w:rPr>
          <w:t>https://doi.org/</w:t>
        </w:r>
      </w:hyperlink>
      <w:r w:rsidRPr="00CC5185">
        <w:t xml:space="preserve"> 10.20425/ijts.v9i4.4749 </w:t>
      </w:r>
    </w:p>
    <w:p w:rsidR="00CC5185" w:rsidRPr="00CC5185" w:rsidRDefault="00CC5185" w:rsidP="00CC5185">
      <w:pPr>
        <w:pStyle w:val="EndNoteBibliography"/>
        <w:ind w:left="720" w:hanging="720"/>
      </w:pPr>
      <w:r w:rsidRPr="00CC5185">
        <w:t xml:space="preserve">Owuor, P. O., Kamau, D. M., &amp; Jondiko, E. O. (2009). Response of clonal tea to location of production and plucking intervals. </w:t>
      </w:r>
      <w:r w:rsidRPr="00CC5185">
        <w:rPr>
          <w:i/>
        </w:rPr>
        <w:t>Food Chemistry</w:t>
      </w:r>
      <w:r w:rsidRPr="00CC5185">
        <w:t>,</w:t>
      </w:r>
      <w:r w:rsidRPr="00CC5185">
        <w:rPr>
          <w:i/>
        </w:rPr>
        <w:t xml:space="preserve"> 115</w:t>
      </w:r>
      <w:r w:rsidRPr="00CC5185">
        <w:t xml:space="preserve">, 290-296. </w:t>
      </w:r>
      <w:hyperlink r:id="rId36" w:history="1">
        <w:r w:rsidRPr="00CC5185">
          <w:rPr>
            <w:rStyle w:val="Lienhypertexte"/>
          </w:rPr>
          <w:t>https://doi.org/https://doi.org/10.1016/j.foodchem.2008.11.073</w:t>
        </w:r>
      </w:hyperlink>
    </w:p>
    <w:p w:rsidR="00CC5185" w:rsidRDefault="00CC5185" w:rsidP="00CC5185">
      <w:pPr>
        <w:pStyle w:val="EndNoteBibliography"/>
        <w:ind w:left="720" w:hanging="720"/>
      </w:pPr>
      <w:r w:rsidRPr="00CC5185">
        <w:t xml:space="preserve">Owuor, P. O., Kamau, D. M., &amp; Jondiko, E. O. (2010). The influence of geographical area of production and nitrogenous fertilizer on yields and quality parameters of clonal tea. </w:t>
      </w:r>
      <w:r w:rsidRPr="00CC5185">
        <w:rPr>
          <w:i/>
        </w:rPr>
        <w:t>Journal of Agriculture, Food and Environment</w:t>
      </w:r>
      <w:r w:rsidRPr="00CC5185">
        <w:t>,</w:t>
      </w:r>
      <w:r w:rsidRPr="00CC5185">
        <w:rPr>
          <w:i/>
        </w:rPr>
        <w:t xml:space="preserve"> 8</w:t>
      </w:r>
      <w:r w:rsidRPr="00CC5185">
        <w:t xml:space="preserve">(2), 682-690. </w:t>
      </w:r>
      <w:r w:rsidR="00AC599B" w:rsidRPr="00AC599B">
        <w:t>https://www.researchgate.net/publication/285526978_The_influence_of_geographical_area_of_production_and_nitrogenous_fertiliser_on_yields_and_quality_parameters_of_clonal_tea</w:t>
      </w:r>
    </w:p>
    <w:p w:rsidR="00AC599B" w:rsidRPr="00CC5185" w:rsidRDefault="00AC599B" w:rsidP="00CC5185">
      <w:pPr>
        <w:pStyle w:val="EndNoteBibliography"/>
        <w:ind w:left="720" w:hanging="720"/>
      </w:pPr>
    </w:p>
    <w:p w:rsidR="00CC5185" w:rsidRPr="00CC5185" w:rsidRDefault="00CC5185" w:rsidP="00CC5185">
      <w:pPr>
        <w:pStyle w:val="EndNoteBibliography"/>
        <w:ind w:left="720" w:hanging="720"/>
      </w:pPr>
      <w:r w:rsidRPr="00CC5185">
        <w:t xml:space="preserve">Owuor, P. O., Kamau, D. M., Kamunya, S. M., Msomba, S. W., Jondiko, E. O., &amp; Uwimana, M. A. (2013). The response of clone BBK 35 tea to nitrogen fertilizer rates and harvesting intervals in the Lake Victoria Basin of Kenya. </w:t>
      </w:r>
      <w:r w:rsidRPr="00CC5185">
        <w:rPr>
          <w:i/>
        </w:rPr>
        <w:t>Journal of Agriculture, Food and Environment</w:t>
      </w:r>
      <w:r w:rsidRPr="00CC5185">
        <w:t>,</w:t>
      </w:r>
      <w:r w:rsidRPr="00CC5185">
        <w:rPr>
          <w:i/>
        </w:rPr>
        <w:t xml:space="preserve"> 11</w:t>
      </w:r>
      <w:r w:rsidRPr="00CC5185">
        <w:t xml:space="preserve">(3&amp;4), 757-763. </w:t>
      </w:r>
      <w:hyperlink r:id="rId37" w:history="1">
        <w:r w:rsidRPr="00CC5185">
          <w:rPr>
            <w:rStyle w:val="Lienhypertexte"/>
          </w:rPr>
          <w:t>https://doi.org/http://www.isfae.org/scientificjournal.php</w:t>
        </w:r>
      </w:hyperlink>
    </w:p>
    <w:p w:rsidR="00CC5185" w:rsidRPr="00CC5185" w:rsidRDefault="00CC5185" w:rsidP="00CC5185">
      <w:pPr>
        <w:pStyle w:val="EndNoteBibliography"/>
        <w:ind w:left="720" w:hanging="720"/>
      </w:pPr>
      <w:r w:rsidRPr="00CC5185">
        <w:t xml:space="preserve">Owuor, P. O., Kamau, D. M., Kamunya, S. M., Msomba, S. W., Uwimana, M. A., Okal, A. W., &amp; Kwach, B. O. (2011). Effects of genotype, environment and management on yields and quality of black tea. In L. E. (Ed.), </w:t>
      </w:r>
      <w:r w:rsidRPr="00CC5185">
        <w:rPr>
          <w:i/>
        </w:rPr>
        <w:t>Genetics, Biofuels and Local Farming Systems: Sustainable Agriculture Reviews</w:t>
      </w:r>
      <w:r w:rsidRPr="00CC5185">
        <w:t xml:space="preserve"> (Vol. 7, pp. 277-307). Springer. </w:t>
      </w:r>
      <w:hyperlink r:id="rId38" w:history="1">
        <w:r w:rsidRPr="00CC5185">
          <w:rPr>
            <w:rStyle w:val="Lienhypertexte"/>
          </w:rPr>
          <w:t>https://link.springer.com/chapter/10.1007/978-94-007-1521-9_10</w:t>
        </w:r>
      </w:hyperlink>
    </w:p>
    <w:p w:rsidR="00CC5185" w:rsidRPr="00CC5185" w:rsidRDefault="00CC5185" w:rsidP="00CC5185">
      <w:pPr>
        <w:pStyle w:val="EndNoteBibliography"/>
        <w:ind w:left="720" w:hanging="720"/>
      </w:pPr>
      <w:r w:rsidRPr="00CC5185">
        <w:lastRenderedPageBreak/>
        <w:t xml:space="preserve">Owuor, P. O., Kamau, D. M., Kamunya, S. M., Msomba, S. W., Uwimana, M. A., Okal, A. W., &amp; Kwach, B. O. (2011). Effects of genotype, environment and management on yields and quality of black tea. In  (ed.), . In E. Lichtfouse (Ed.), </w:t>
      </w:r>
      <w:r w:rsidRPr="00CC5185">
        <w:rPr>
          <w:i/>
        </w:rPr>
        <w:t>Genetics, Biofuels and Local Farming Systems: Sustainable Agriculture Reviews, 7</w:t>
      </w:r>
      <w:r w:rsidRPr="00CC5185">
        <w:t xml:space="preserve"> (pp. 277-307, ). Springer. </w:t>
      </w:r>
      <w:hyperlink r:id="rId39" w:history="1">
        <w:r w:rsidRPr="00CC5185">
          <w:rPr>
            <w:rStyle w:val="Lienhypertexte"/>
          </w:rPr>
          <w:t>https://doi.org/https://DOI:10.1007/978-94-007-1521-9_10</w:t>
        </w:r>
      </w:hyperlink>
    </w:p>
    <w:p w:rsidR="00CC5185" w:rsidRPr="00CC5185" w:rsidRDefault="00CC5185" w:rsidP="00CC5185">
      <w:pPr>
        <w:pStyle w:val="EndNoteBibliography"/>
        <w:ind w:left="720" w:hanging="720"/>
      </w:pPr>
      <w:r w:rsidRPr="00CC5185">
        <w:t xml:space="preserve">Özyazıcı, M. A., Özyazıcı, G., &amp; Dengiz, O. (2011). Determination of micronutrients in tea plantations in the eastern Black Sea Region, Turkey. </w:t>
      </w:r>
      <w:r w:rsidRPr="00CC5185">
        <w:rPr>
          <w:i/>
        </w:rPr>
        <w:t>African Journal of Agricultural Research</w:t>
      </w:r>
      <w:r w:rsidRPr="00CC5185">
        <w:t>,</w:t>
      </w:r>
      <w:r w:rsidRPr="00CC5185">
        <w:rPr>
          <w:i/>
        </w:rPr>
        <w:t xml:space="preserve"> 6</w:t>
      </w:r>
      <w:r w:rsidRPr="00CC5185">
        <w:t xml:space="preserve">(22), 5174-5180. </w:t>
      </w:r>
      <w:hyperlink r:id="rId40" w:history="1">
        <w:r w:rsidRPr="00CC5185">
          <w:rPr>
            <w:rStyle w:val="Lienhypertexte"/>
          </w:rPr>
          <w:t>https://doi.org/10.5897/AJAR11.1246</w:t>
        </w:r>
      </w:hyperlink>
    </w:p>
    <w:p w:rsidR="00CC5185" w:rsidRPr="00CC5185" w:rsidRDefault="00CC5185" w:rsidP="00CC5185">
      <w:pPr>
        <w:pStyle w:val="EndNoteBibliography"/>
        <w:ind w:left="720" w:hanging="720"/>
      </w:pPr>
      <w:r w:rsidRPr="00CC5185">
        <w:t>Pongrac, P., Tolra, R., Hajiboland, R., Vogel-Mikuš, K., Kelemen, M., Vavpetič, P., Pelicon, P., Barcelo, J., Regvar, M., &amp; Poschenrieder, C. (2020). Contrasting allocation of magnesium, calcium and manganese in leaves of tea (</w:t>
      </w:r>
      <w:r w:rsidRPr="00CC5185">
        <w:rPr>
          <w:i/>
        </w:rPr>
        <w:t>Camellia sinensis</w:t>
      </w:r>
      <w:r w:rsidRPr="00CC5185">
        <w:t xml:space="preserve"> (L.) Kuntze) plants may explain their different extraction efficiency into tea. </w:t>
      </w:r>
      <w:r w:rsidRPr="00CC5185">
        <w:rPr>
          <w:i/>
        </w:rPr>
        <w:t>Food and Chemical Toxicology</w:t>
      </w:r>
      <w:r w:rsidRPr="00CC5185">
        <w:t>,</w:t>
      </w:r>
      <w:r w:rsidRPr="00CC5185">
        <w:rPr>
          <w:i/>
        </w:rPr>
        <w:t xml:space="preserve"> 135</w:t>
      </w:r>
      <w:r w:rsidRPr="00CC5185">
        <w:t xml:space="preserve">, 110974. </w:t>
      </w:r>
      <w:hyperlink r:id="rId41" w:history="1">
        <w:r w:rsidRPr="00CC5185">
          <w:rPr>
            <w:rStyle w:val="Lienhypertexte"/>
          </w:rPr>
          <w:t>https://doi.org/https://doi.org/10.1016/j.fct.2019.110974</w:t>
        </w:r>
      </w:hyperlink>
    </w:p>
    <w:p w:rsidR="00CC5185" w:rsidRPr="00CC5185" w:rsidRDefault="00CC5185" w:rsidP="00CC5185">
      <w:pPr>
        <w:pStyle w:val="EndNoteBibliography"/>
        <w:ind w:left="720" w:hanging="720"/>
      </w:pPr>
      <w:r w:rsidRPr="00CC5185">
        <w:t xml:space="preserve">Rejula, F. A., &amp; Dhinakaran, M. (2012). Removal of zinc (II) by non living biomass of </w:t>
      </w:r>
      <w:r w:rsidRPr="00CC5185">
        <w:rPr>
          <w:i/>
        </w:rPr>
        <w:t>Agaricus bisporus</w:t>
      </w:r>
      <w:r w:rsidRPr="00CC5185">
        <w:t xml:space="preserve">. </w:t>
      </w:r>
      <w:r w:rsidRPr="00CC5185">
        <w:rPr>
          <w:i/>
        </w:rPr>
        <w:t>Research Journal of Recent Sciences 1</w:t>
      </w:r>
      <w:r w:rsidRPr="00CC5185">
        <w:t xml:space="preserve">(9), 13-17. </w:t>
      </w:r>
    </w:p>
    <w:p w:rsidR="00CC5185" w:rsidRPr="00AC599B" w:rsidRDefault="00CC5185" w:rsidP="00CC5185">
      <w:pPr>
        <w:pStyle w:val="EndNoteBibliography"/>
        <w:ind w:left="720" w:hanging="720"/>
        <w:rPr>
          <w:lang w:val="pt-BR"/>
        </w:rPr>
      </w:pPr>
      <w:r w:rsidRPr="00CC5185">
        <w:t xml:space="preserve">Roy, R. N., Finck, A., Blair, G. J., &amp; Tandon, H. L. S. (2006). Plant nutrition for food security. In FAO (Ed.), </w:t>
      </w:r>
      <w:r w:rsidRPr="00CC5185">
        <w:rPr>
          <w:i/>
        </w:rPr>
        <w:t>Fertilizer and Plant Nutrition Bulletin, Number 16</w:t>
      </w:r>
      <w:r w:rsidRPr="00CC5185">
        <w:t xml:space="preserve"> (pp. 25-42). </w:t>
      </w:r>
      <w:r w:rsidRPr="00AC599B">
        <w:rPr>
          <w:lang w:val="pt-BR"/>
        </w:rPr>
        <w:t xml:space="preserve">FAO. </w:t>
      </w:r>
      <w:r w:rsidR="00AC599B" w:rsidRPr="00AC599B">
        <w:rPr>
          <w:lang w:val="pt-BR"/>
        </w:rPr>
        <w:t xml:space="preserve">https://www.fao.org/documents/card/en/c/a0209e </w:t>
      </w:r>
    </w:p>
    <w:p w:rsidR="00CC5185" w:rsidRPr="00CC5185" w:rsidRDefault="00CC5185" w:rsidP="00CC5185">
      <w:pPr>
        <w:pStyle w:val="EndNoteBibliography"/>
        <w:ind w:left="720" w:hanging="720"/>
      </w:pPr>
      <w:r w:rsidRPr="00CC5185">
        <w:t xml:space="preserve">Ruan, J., Ma, L., &amp; Shi, Y. (2006). Aluminium in tea plantations: mobility in soils and plants, and the influence of nitrogen fertilization. </w:t>
      </w:r>
      <w:r w:rsidRPr="00CC5185">
        <w:rPr>
          <w:i/>
        </w:rPr>
        <w:t>Environmental geochemistry and health</w:t>
      </w:r>
      <w:r w:rsidRPr="00CC5185">
        <w:t>,</w:t>
      </w:r>
      <w:r w:rsidRPr="00CC5185">
        <w:rPr>
          <w:i/>
        </w:rPr>
        <w:t xml:space="preserve"> 28</w:t>
      </w:r>
      <w:r w:rsidRPr="00CC5185">
        <w:t xml:space="preserve">(6), 519-528. </w:t>
      </w:r>
      <w:hyperlink r:id="rId42" w:history="1">
        <w:r w:rsidRPr="00CC5185">
          <w:rPr>
            <w:rStyle w:val="Lienhypertexte"/>
          </w:rPr>
          <w:t>https://link.springer.com/article/10.1007/s10653-006-9047-z</w:t>
        </w:r>
      </w:hyperlink>
    </w:p>
    <w:p w:rsidR="00CC5185" w:rsidRPr="00CC5185" w:rsidRDefault="00CC5185" w:rsidP="00CC5185">
      <w:pPr>
        <w:pStyle w:val="EndNoteBibliography"/>
        <w:ind w:left="720" w:hanging="720"/>
      </w:pPr>
      <w:r w:rsidRPr="00CC5185">
        <w:t>Ruan, J., Ma, L., Shi, Y., &amp; Han, W. (2004). The impact of pH and calcium on the uptake of fluoride by tea plants (</w:t>
      </w:r>
      <w:r w:rsidRPr="00CC5185">
        <w:rPr>
          <w:i/>
        </w:rPr>
        <w:t>Camellia sinensis</w:t>
      </w:r>
      <w:r w:rsidRPr="00CC5185">
        <w:t xml:space="preserve"> L.). </w:t>
      </w:r>
      <w:r w:rsidRPr="00CC5185">
        <w:rPr>
          <w:i/>
        </w:rPr>
        <w:t>Annals of Botany</w:t>
      </w:r>
      <w:r w:rsidRPr="00CC5185">
        <w:t>,</w:t>
      </w:r>
      <w:r w:rsidRPr="00CC5185">
        <w:rPr>
          <w:i/>
        </w:rPr>
        <w:t xml:space="preserve"> 93</w:t>
      </w:r>
      <w:r w:rsidRPr="00CC5185">
        <w:t xml:space="preserve">(1), 97-105. </w:t>
      </w:r>
      <w:hyperlink r:id="rId43" w:history="1">
        <w:r w:rsidRPr="00CC5185">
          <w:rPr>
            <w:rStyle w:val="Lienhypertexte"/>
          </w:rPr>
          <w:t>https://doi.org/https://doi.org/10.1093/aob/mch010</w:t>
        </w:r>
      </w:hyperlink>
    </w:p>
    <w:p w:rsidR="00CC5185" w:rsidRPr="00CC5185" w:rsidRDefault="00CC5185" w:rsidP="00CC5185">
      <w:pPr>
        <w:pStyle w:val="EndNoteBibliography"/>
        <w:ind w:left="720" w:hanging="720"/>
      </w:pPr>
      <w:r w:rsidRPr="00CC5185">
        <w:t xml:space="preserve">Ruan, J., Ma, L., &amp; Yang, Y. (2012). Magnesium nutrition on accumulation and transport of amino acids in tea plants. </w:t>
      </w:r>
      <w:r w:rsidRPr="00CC5185">
        <w:rPr>
          <w:i/>
        </w:rPr>
        <w:t>Journal of the Science of Food and Agriculture</w:t>
      </w:r>
      <w:r w:rsidRPr="00CC5185">
        <w:t>,</w:t>
      </w:r>
      <w:r w:rsidRPr="00CC5185">
        <w:rPr>
          <w:i/>
        </w:rPr>
        <w:t xml:space="preserve"> 92</w:t>
      </w:r>
      <w:r w:rsidRPr="00CC5185">
        <w:t xml:space="preserve">(7), 1375-1383. </w:t>
      </w:r>
      <w:hyperlink r:id="rId44" w:history="1">
        <w:r w:rsidRPr="00CC5185">
          <w:rPr>
            <w:rStyle w:val="Lienhypertexte"/>
          </w:rPr>
          <w:t>https://doi.org/</w:t>
        </w:r>
      </w:hyperlink>
      <w:hyperlink r:id="rId45" w:history="1">
        <w:r w:rsidRPr="00CC5185">
          <w:rPr>
            <w:rStyle w:val="Lienhypertexte"/>
          </w:rPr>
          <w:t>https://doi.org/10.1002/jsfa.4709</w:t>
        </w:r>
      </w:hyperlink>
    </w:p>
    <w:p w:rsidR="00CC5185" w:rsidRPr="00CC5185" w:rsidRDefault="00CC5185" w:rsidP="00CC5185">
      <w:pPr>
        <w:pStyle w:val="EndNoteBibliography"/>
        <w:ind w:left="720" w:hanging="720"/>
      </w:pPr>
      <w:r w:rsidRPr="00CC5185">
        <w:t xml:space="preserve">Sillanpaa, M. (1990). Micronutrients assessment at the country level. </w:t>
      </w:r>
      <w:r w:rsidRPr="00CC5185">
        <w:rPr>
          <w:i/>
        </w:rPr>
        <w:t>An international Study FAO Soils Bulletin</w:t>
      </w:r>
      <w:r w:rsidRPr="00CC5185">
        <w:t>,</w:t>
      </w:r>
      <w:r w:rsidRPr="00CC5185">
        <w:rPr>
          <w:i/>
        </w:rPr>
        <w:t xml:space="preserve"> 63</w:t>
      </w:r>
      <w:r w:rsidRPr="00CC5185">
        <w:t xml:space="preserve">. </w:t>
      </w:r>
    </w:p>
    <w:p w:rsidR="00CC5185" w:rsidRPr="00CC5185" w:rsidRDefault="00CC5185" w:rsidP="00CC5185">
      <w:pPr>
        <w:pStyle w:val="EndNoteBibliography"/>
        <w:ind w:left="720" w:hanging="720"/>
      </w:pPr>
      <w:r w:rsidRPr="00CC5185">
        <w:t xml:space="preserve">Sitienei, K., Kirui, K., Kamau, D., Wanyoko, J., &amp; Langat, K. (2016). Effect of plant density, nitrogen fertilizer application rates and soil depth on clonal tea soil nutrient content. </w:t>
      </w:r>
      <w:r w:rsidRPr="00CC5185">
        <w:rPr>
          <w:i/>
        </w:rPr>
        <w:t>Journal of Tea Science Research</w:t>
      </w:r>
      <w:r w:rsidRPr="00CC5185">
        <w:t>,</w:t>
      </w:r>
      <w:r w:rsidRPr="00CC5185">
        <w:rPr>
          <w:i/>
        </w:rPr>
        <w:t xml:space="preserve"> 6</w:t>
      </w:r>
      <w:r w:rsidRPr="00CC5185">
        <w:t xml:space="preserve">(7), 1-5. </w:t>
      </w:r>
      <w:hyperlink r:id="rId46" w:history="1">
        <w:r w:rsidRPr="00CC5185">
          <w:rPr>
            <w:rStyle w:val="Lienhypertexte"/>
          </w:rPr>
          <w:t>https://doi.org/10.5376/jtsr.2016.06.0007</w:t>
        </w:r>
      </w:hyperlink>
    </w:p>
    <w:p w:rsidR="00CC5185" w:rsidRPr="00CC5185" w:rsidRDefault="00CC5185" w:rsidP="00CC5185">
      <w:pPr>
        <w:pStyle w:val="EndNoteBibliography"/>
        <w:ind w:left="720" w:hanging="720"/>
      </w:pPr>
      <w:r w:rsidRPr="00CC5185">
        <w:t xml:space="preserve">TRFK. (2002). </w:t>
      </w:r>
      <w:r w:rsidRPr="00CC5185">
        <w:rPr>
          <w:i/>
        </w:rPr>
        <w:t>Tea Growers Handbook</w:t>
      </w:r>
      <w:r w:rsidRPr="00CC5185">
        <w:t xml:space="preserve"> (5th ed.). Tea Research Foundation of Kenya. </w:t>
      </w:r>
      <w:r w:rsidR="00AC599B" w:rsidRPr="00AC599B">
        <w:t>https://vertexaisearch.cloud.google.com/grounding-api-redirect/AUZIYQFfq43Y-Wkl31EoWedI1le0qoO_NMi4qHDiLX5FAZQn_aE_A75-MUZQpQjkl0pJZrCq_3dS8wZZlSc1ZsBFMD-OByqGfo3W5OzEYc_ZytaAMqrIvV7LUX0aaGQNtcozZIm2gI8j7X2Hsyar74ge7mxMRqKNKwSxyk1_Mj85LCdRV_37272DZ62Ca44=</w:t>
      </w:r>
    </w:p>
    <w:p w:rsidR="00CC5185" w:rsidRPr="00CC5185" w:rsidRDefault="00CC5185" w:rsidP="00CC5185">
      <w:pPr>
        <w:pStyle w:val="EndNoteBibliography"/>
        <w:ind w:left="720" w:hanging="720"/>
      </w:pPr>
      <w:r w:rsidRPr="00CC5185">
        <w:t xml:space="preserve">Venkatesan, S., Murugesan, S., Ganapathy, M. N., &amp; Verma, D. P. (2004). Long‐term impact of nitrogen and potassium fertilizers on yield, soil nutrients and biochemical parameters of tea. </w:t>
      </w:r>
      <w:r w:rsidRPr="00CC5185">
        <w:rPr>
          <w:i/>
        </w:rPr>
        <w:t>Journal of the Science of Food and Agriculture</w:t>
      </w:r>
      <w:r w:rsidRPr="00CC5185">
        <w:t>,</w:t>
      </w:r>
      <w:r w:rsidRPr="00CC5185">
        <w:rPr>
          <w:i/>
        </w:rPr>
        <w:t xml:space="preserve"> 84</w:t>
      </w:r>
      <w:r w:rsidRPr="00CC5185">
        <w:t xml:space="preserve">(14), 1939-1944. </w:t>
      </w:r>
      <w:r w:rsidR="00AC599B" w:rsidRPr="00AC599B">
        <w:t>https://doi.org/10.1002/jsfa.1897</w:t>
      </w:r>
    </w:p>
    <w:p w:rsidR="00CC5185" w:rsidRPr="00CC5185" w:rsidRDefault="00CC5185" w:rsidP="00CC5185">
      <w:pPr>
        <w:pStyle w:val="EndNoteBibliography"/>
        <w:ind w:left="720" w:hanging="720"/>
      </w:pPr>
      <w:r w:rsidRPr="00D31FBF">
        <w:rPr>
          <w:lang w:val="fr-FR"/>
        </w:rPr>
        <w:t xml:space="preserve">Verma, D. P., Palani, N., Balasubramaniam, K., Kumaraguru, R., Venkatesan, S., &amp; Ganapathy, M. N. K. (2001). </w:t>
      </w:r>
      <w:r w:rsidRPr="00CC5185">
        <w:t xml:space="preserve">Nutritional management of tea for sustainable productivity in South India. </w:t>
      </w:r>
      <w:r w:rsidRPr="00CC5185">
        <w:rPr>
          <w:i/>
        </w:rPr>
        <w:t>The Planters Chronicle</w:t>
      </w:r>
      <w:r w:rsidRPr="00CC5185">
        <w:t xml:space="preserve">, 215-227. </w:t>
      </w:r>
    </w:p>
    <w:p w:rsidR="00CC5185" w:rsidRPr="00CC5185" w:rsidRDefault="00CC5185" w:rsidP="00CC5185">
      <w:pPr>
        <w:pStyle w:val="EndNoteBibliography"/>
        <w:ind w:left="720" w:hanging="720"/>
      </w:pPr>
      <w:r w:rsidRPr="00CC5185">
        <w:t xml:space="preserve">Wang, S., Lin, W., Ye, Q., Lv, W., Liao, P., Yu, J., Mu, C., Wu, L., Muneer, M. A., &amp; Zhang, Y. (2024). Effects of different nitrogen fertilizer rates on soil magnesium leaching in tea garden. </w:t>
      </w:r>
      <w:r w:rsidRPr="00CC5185">
        <w:rPr>
          <w:i/>
        </w:rPr>
        <w:t>Journal of Soil Science and Plant Nutrition</w:t>
      </w:r>
      <w:r w:rsidRPr="00CC5185">
        <w:t>,</w:t>
      </w:r>
      <w:r w:rsidRPr="00CC5185">
        <w:rPr>
          <w:i/>
        </w:rPr>
        <w:t xml:space="preserve"> 24</w:t>
      </w:r>
      <w:r w:rsidRPr="00CC5185">
        <w:t xml:space="preserve">(4), 6630-6640. </w:t>
      </w:r>
      <w:hyperlink r:id="rId47" w:history="1">
        <w:r w:rsidRPr="00CC5185">
          <w:rPr>
            <w:rStyle w:val="Lienhypertexte"/>
          </w:rPr>
          <w:t>https://doi.org/https://doi.org/10.1007/s42729-024-01995-4</w:t>
        </w:r>
      </w:hyperlink>
    </w:p>
    <w:p w:rsidR="00CC5185" w:rsidRPr="00CC5185" w:rsidRDefault="00CC5185" w:rsidP="00CC5185">
      <w:pPr>
        <w:pStyle w:val="EndNoteBibliography"/>
        <w:ind w:left="720" w:hanging="720"/>
      </w:pPr>
      <w:r w:rsidRPr="00CC5185">
        <w:t xml:space="preserve">Xiao, F., Yang, Z., Huang, H., Yang, F., Zhu, L., &amp; Han, D. (2018). Nitrogen fertilization in soil affects physiological characteristics and quality of green tea leaves. </w:t>
      </w:r>
      <w:r w:rsidRPr="00CC5185">
        <w:rPr>
          <w:i/>
        </w:rPr>
        <w:t>HortScience</w:t>
      </w:r>
      <w:r w:rsidRPr="00CC5185">
        <w:t>,</w:t>
      </w:r>
      <w:r w:rsidRPr="00CC5185">
        <w:rPr>
          <w:i/>
        </w:rPr>
        <w:t xml:space="preserve"> 53</w:t>
      </w:r>
      <w:r w:rsidRPr="00CC5185">
        <w:t xml:space="preserve">(5), 715-722. </w:t>
      </w:r>
      <w:hyperlink r:id="rId48" w:history="1">
        <w:r w:rsidRPr="00CC5185">
          <w:rPr>
            <w:rStyle w:val="Lienhypertexte"/>
          </w:rPr>
          <w:t>https://doi.org/0.21273/HORTSCI12897-18</w:t>
        </w:r>
      </w:hyperlink>
    </w:p>
    <w:p w:rsidR="00CC5185" w:rsidRPr="00CC5185" w:rsidRDefault="00CC5185" w:rsidP="00CC5185">
      <w:pPr>
        <w:pStyle w:val="EndNoteBibliography"/>
        <w:ind w:left="720" w:hanging="720"/>
      </w:pPr>
      <w:r w:rsidRPr="00CC5185">
        <w:lastRenderedPageBreak/>
        <w:t xml:space="preserve">Zhang, H., Kariuki, S., Schroder, J., Payton, M., &amp; Focht, C. (2009). Inter-laboratory validation of the Mehlich- 3 for extraction of plant-available phosphorus. </w:t>
      </w:r>
      <w:r w:rsidRPr="00CC5185">
        <w:rPr>
          <w:i/>
        </w:rPr>
        <w:t>Journal of AOAC International</w:t>
      </w:r>
      <w:r w:rsidRPr="00CC5185">
        <w:t>,</w:t>
      </w:r>
      <w:r w:rsidRPr="00CC5185">
        <w:rPr>
          <w:i/>
        </w:rPr>
        <w:t xml:space="preserve"> 92</w:t>
      </w:r>
      <w:r w:rsidRPr="00CC5185">
        <w:t xml:space="preserve">(1), 91-102. </w:t>
      </w:r>
      <w:hyperlink r:id="rId49" w:history="1">
        <w:r w:rsidRPr="00CC5185">
          <w:rPr>
            <w:rStyle w:val="Lienhypertexte"/>
          </w:rPr>
          <w:t>https://doi.org/https://doi.org/10.1093/jaoac/92.1.91</w:t>
        </w:r>
      </w:hyperlink>
    </w:p>
    <w:p w:rsidR="00CC5185" w:rsidRPr="00CC5185" w:rsidRDefault="00CC5185" w:rsidP="00CC5185">
      <w:pPr>
        <w:pStyle w:val="EndNoteBibliography"/>
        <w:ind w:left="720" w:hanging="720"/>
      </w:pPr>
      <w:r w:rsidRPr="00CC5185">
        <w:t xml:space="preserve">Zhang, Y., Zhang, Q., Wang, Y., Lin, S., Chen, M., Cheng, P., Du, M., Jia, X., Ye, J., &amp; Wang, H. (2023). Study on the effect of magnesium on leaf metabolites, growth and quality of tea tree. </w:t>
      </w:r>
      <w:r w:rsidRPr="00CC5185">
        <w:rPr>
          <w:i/>
        </w:rPr>
        <w:t>Frontiers in Plant Science</w:t>
      </w:r>
      <w:r w:rsidRPr="00CC5185">
        <w:t>,</w:t>
      </w:r>
      <w:r w:rsidRPr="00CC5185">
        <w:rPr>
          <w:i/>
        </w:rPr>
        <w:t xml:space="preserve"> 14</w:t>
      </w:r>
      <w:r w:rsidRPr="00CC5185">
        <w:t xml:space="preserve">, 1192151. </w:t>
      </w:r>
      <w:hyperlink r:id="rId50" w:history="1">
        <w:r w:rsidRPr="00CC5185">
          <w:rPr>
            <w:rStyle w:val="Lienhypertexte"/>
          </w:rPr>
          <w:t>https://doi.org/https://doi.org/10.3389/fpls.2023.1192151</w:t>
        </w:r>
      </w:hyperlink>
    </w:p>
    <w:p w:rsidR="00C509DF" w:rsidRPr="00D36250" w:rsidRDefault="00E90242" w:rsidP="00541B28">
      <w:pPr>
        <w:pStyle w:val="EndNoteBibliography"/>
        <w:ind w:left="720" w:hanging="720"/>
        <w:rPr>
          <w:b/>
          <w:szCs w:val="24"/>
        </w:rPr>
      </w:pPr>
      <w:r>
        <w:rPr>
          <w:b/>
          <w:szCs w:val="24"/>
        </w:rPr>
        <w:fldChar w:fldCharType="end"/>
      </w:r>
    </w:p>
    <w:sectPr w:rsidR="00C509DF" w:rsidRPr="00D36250" w:rsidSect="000622B8">
      <w:headerReference w:type="even" r:id="rId51"/>
      <w:headerReference w:type="default" r:id="rId52"/>
      <w:footerReference w:type="even" r:id="rId53"/>
      <w:footerReference w:type="default" r:id="rId54"/>
      <w:headerReference w:type="first" r:id="rId55"/>
      <w:footerReference w:type="first" r:id="rId56"/>
      <w:pgSz w:w="11906" w:h="16838"/>
      <w:pgMar w:top="993" w:right="707" w:bottom="1440" w:left="1134"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Pc" w:date="2025-11-27T20:22:00Z" w:initials="P">
    <w:p w:rsidR="00A50609" w:rsidRDefault="00A50609">
      <w:pPr>
        <w:pStyle w:val="Commentaire"/>
      </w:pPr>
      <w:r>
        <w:rPr>
          <w:rStyle w:val="Marquedecommentaire"/>
        </w:rPr>
        <w:annotationRef/>
      </w:r>
      <w:r>
        <w:t>???</w:t>
      </w:r>
    </w:p>
  </w:comment>
  <w:comment w:id="3" w:author="Pc" w:date="2025-11-27T20:22:00Z" w:initials="P">
    <w:p w:rsidR="00A50609" w:rsidRDefault="00A50609">
      <w:pPr>
        <w:pStyle w:val="Commentaire"/>
      </w:pPr>
      <w:r>
        <w:rPr>
          <w:rStyle w:val="Marquedecommentaire"/>
        </w:rPr>
        <w:annotationRef/>
      </w:r>
      <w:r>
        <w:t>???</w:t>
      </w:r>
    </w:p>
  </w:comment>
  <w:comment w:id="4" w:author="Pc" w:date="2025-11-27T20:25:00Z" w:initials="P">
    <w:p w:rsidR="004C14EF" w:rsidRDefault="004C14EF">
      <w:pPr>
        <w:pStyle w:val="Commentaire"/>
      </w:pPr>
      <w:r>
        <w:rPr>
          <w:rStyle w:val="Marquedecommentaire"/>
        </w:rPr>
        <w:annotationRef/>
      </w:r>
      <w:r>
        <w:t>???</w:t>
      </w:r>
    </w:p>
  </w:comment>
  <w:comment w:id="5" w:author="Pc" w:date="2025-11-27T20:25:00Z" w:initials="P">
    <w:p w:rsidR="004C14EF" w:rsidRDefault="004C14EF">
      <w:pPr>
        <w:pStyle w:val="Commentaire"/>
      </w:pPr>
      <w:r>
        <w:rPr>
          <w:rStyle w:val="Marquedecommentaire"/>
        </w:rPr>
        <w:annotationRef/>
      </w:r>
      <w:r>
        <w:t>????</w:t>
      </w:r>
    </w:p>
  </w:comment>
  <w:comment w:id="6" w:author="Pc" w:date="2025-11-27T20:25:00Z" w:initials="P">
    <w:p w:rsidR="004C14EF" w:rsidRDefault="004C14EF">
      <w:pPr>
        <w:pStyle w:val="Commentaire"/>
      </w:pPr>
      <w:r>
        <w:rPr>
          <w:rStyle w:val="Marquedecommentaire"/>
        </w:rPr>
        <w:annotationRef/>
      </w:r>
      <w:r>
        <w:t>???</w:t>
      </w:r>
    </w:p>
  </w:comment>
  <w:comment w:id="7" w:author="Pc" w:date="2025-11-27T20:26:00Z" w:initials="P">
    <w:p w:rsidR="004C14EF" w:rsidRDefault="004C14EF">
      <w:pPr>
        <w:pStyle w:val="Commentaire"/>
      </w:pPr>
      <w:r>
        <w:rPr>
          <w:rStyle w:val="Marquedecommentaire"/>
        </w:rPr>
        <w:annotationRef/>
      </w:r>
      <w:r>
        <w:t>???</w:t>
      </w:r>
    </w:p>
  </w:comment>
  <w:comment w:id="9" w:author="Pc" w:date="2025-11-27T20:30:00Z" w:initials="P">
    <w:p w:rsidR="004C14EF" w:rsidRDefault="004C14EF">
      <w:pPr>
        <w:pStyle w:val="Commentaire"/>
      </w:pPr>
      <w:r>
        <w:rPr>
          <w:rStyle w:val="Marquedecommentaire"/>
        </w:rPr>
        <w:annotationRef/>
      </w:r>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331" w:rsidRDefault="00202331" w:rsidP="00945D05">
      <w:r>
        <w:separator/>
      </w:r>
    </w:p>
  </w:endnote>
  <w:endnote w:type="continuationSeparator" w:id="1">
    <w:p w:rsidR="00202331" w:rsidRDefault="00202331" w:rsidP="00945D05">
      <w:r>
        <w:continuationSeparator/>
      </w:r>
    </w:p>
  </w:endnote>
</w:endnotes>
</file>

<file path=word/fontTable.xml><?xml version="1.0" encoding="utf-8"?>
<w:fonts xmlns:r="http://schemas.openxmlformats.org/officeDocument/2006/relationships" xmlns:w="http://schemas.openxmlformats.org/wordprocessingml/2006/main">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altName w:val="Arial"/>
    <w:charset w:val="00"/>
    <w:family w:val="swiss"/>
    <w:pitch w:val="variable"/>
    <w:sig w:usb0="20000287" w:usb1="00000003" w:usb2="00000000" w:usb3="00000000" w:csb0="000001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D05" w:rsidRDefault="00945D0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D05" w:rsidRDefault="00945D05">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D05" w:rsidRDefault="00945D0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331" w:rsidRDefault="00202331" w:rsidP="00945D05">
      <w:r>
        <w:separator/>
      </w:r>
    </w:p>
  </w:footnote>
  <w:footnote w:type="continuationSeparator" w:id="1">
    <w:p w:rsidR="00202331" w:rsidRDefault="00202331" w:rsidP="00945D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D05" w:rsidRDefault="00E90242">
    <w:pPr>
      <w:pStyle w:val="En-tte"/>
    </w:pPr>
    <w:r w:rsidRPr="00E9024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1" o:spid="_x0000_s2050" type="#_x0000_t136" style="position:absolute;left:0;text-align:left;margin-left:0;margin-top:0;width:637.6pt;height:71.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D05" w:rsidRDefault="00E90242">
    <w:pPr>
      <w:pStyle w:val="En-tte"/>
    </w:pPr>
    <w:r w:rsidRPr="00E9024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2" o:spid="_x0000_s2051" type="#_x0000_t136" style="position:absolute;left:0;text-align:left;margin-left:0;margin-top:0;width:637.6pt;height:71.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D05" w:rsidRDefault="00E90242">
    <w:pPr>
      <w:pStyle w:val="En-tte"/>
    </w:pPr>
    <w:r w:rsidRPr="00E9024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0" o:spid="_x0000_s2049" type="#_x0000_t136" style="position:absolute;left:0;text-align:left;margin-left:0;margin-top:0;width:637.6pt;height:71.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defaultTabStop w:val="720"/>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5vprwxa0rsabew9f9xp5fcs9tz0dzwa2fa&quot;&gt;Robert Ombori-Converted&lt;record-ids&gt;&lt;item&gt;21&lt;/item&gt;&lt;item&gt;22&lt;/item&gt;&lt;item&gt;26&lt;/item&gt;&lt;item&gt;28&lt;/item&gt;&lt;item&gt;42&lt;/item&gt;&lt;item&gt;49&lt;/item&gt;&lt;item&gt;57&lt;/item&gt;&lt;item&gt;71&lt;/item&gt;&lt;item&gt;73&lt;/item&gt;&lt;item&gt;77&lt;/item&gt;&lt;item&gt;79&lt;/item&gt;&lt;item&gt;80&lt;/item&gt;&lt;item&gt;82&lt;/item&gt;&lt;item&gt;83&lt;/item&gt;&lt;item&gt;86&lt;/item&gt;&lt;item&gt;88&lt;/item&gt;&lt;item&gt;105&lt;/item&gt;&lt;item&gt;106&lt;/item&gt;&lt;item&gt;109&lt;/item&gt;&lt;item&gt;127&lt;/item&gt;&lt;item&gt;129&lt;/item&gt;&lt;item&gt;130&lt;/item&gt;&lt;item&gt;132&lt;/item&gt;&lt;item&gt;136&lt;/item&gt;&lt;item&gt;137&lt;/item&gt;&lt;item&gt;138&lt;/item&gt;&lt;item&gt;139&lt;/item&gt;&lt;item&gt;140&lt;/item&gt;&lt;item&gt;141&lt;/item&gt;&lt;item&gt;147&lt;/item&gt;&lt;item&gt;175&lt;/item&gt;&lt;item&gt;179&lt;/item&gt;&lt;item&gt;198&lt;/item&gt;&lt;item&gt;199&lt;/item&gt;&lt;item&gt;202&lt;/item&gt;&lt;item&gt;203&lt;/item&gt;&lt;item&gt;204&lt;/item&gt;&lt;item&gt;205&lt;/item&gt;&lt;item&gt;206&lt;/item&gt;&lt;item&gt;209&lt;/item&gt;&lt;item&gt;210&lt;/item&gt;&lt;item&gt;213&lt;/item&gt;&lt;item&gt;216&lt;/item&gt;&lt;item&gt;217&lt;/item&gt;&lt;item&gt;218&lt;/item&gt;&lt;item&gt;219&lt;/item&gt;&lt;item&gt;240&lt;/item&gt;&lt;item&gt;242&lt;/item&gt;&lt;/record-ids&gt;&lt;/item&gt;&lt;/Libraries&gt;"/>
  </w:docVars>
  <w:rsids>
    <w:rsidRoot w:val="00C509DF"/>
    <w:rsid w:val="00046335"/>
    <w:rsid w:val="000622B8"/>
    <w:rsid w:val="00156EE3"/>
    <w:rsid w:val="00190C69"/>
    <w:rsid w:val="00202331"/>
    <w:rsid w:val="00232DBD"/>
    <w:rsid w:val="002D304B"/>
    <w:rsid w:val="00312DFF"/>
    <w:rsid w:val="00405917"/>
    <w:rsid w:val="004C0535"/>
    <w:rsid w:val="004C14EF"/>
    <w:rsid w:val="004C19EA"/>
    <w:rsid w:val="00541B28"/>
    <w:rsid w:val="00662C52"/>
    <w:rsid w:val="006C4F8A"/>
    <w:rsid w:val="007E52D0"/>
    <w:rsid w:val="00945D05"/>
    <w:rsid w:val="00A50589"/>
    <w:rsid w:val="00A50609"/>
    <w:rsid w:val="00A51665"/>
    <w:rsid w:val="00AC599B"/>
    <w:rsid w:val="00AE0977"/>
    <w:rsid w:val="00AF0E2C"/>
    <w:rsid w:val="00B03AE5"/>
    <w:rsid w:val="00BD09B5"/>
    <w:rsid w:val="00BE2D15"/>
    <w:rsid w:val="00C509DF"/>
    <w:rsid w:val="00CC5185"/>
    <w:rsid w:val="00D31FBF"/>
    <w:rsid w:val="00D36250"/>
    <w:rsid w:val="00E06FCB"/>
    <w:rsid w:val="00E90242"/>
    <w:rsid w:val="00EA4777"/>
    <w:rsid w:val="00F12C21"/>
    <w:rsid w:val="00FE34B0"/>
    <w:rsid w:val="00FE46D3"/>
    <w:rsid w:val="00FE777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9DF"/>
    <w:pPr>
      <w:spacing w:after="0" w:line="240" w:lineRule="auto"/>
      <w:jc w:val="both"/>
    </w:pPr>
    <w:rPr>
      <w:rFonts w:ascii="Times New Roman" w:eastAsia="Calibri" w:hAnsi="Times New Roman" w:cs="Times New Roman"/>
      <w:kern w:val="0"/>
      <w:szCs w:val="22"/>
    </w:rPr>
  </w:style>
  <w:style w:type="paragraph" w:styleId="Titre1">
    <w:name w:val="heading 1"/>
    <w:basedOn w:val="Normal"/>
    <w:next w:val="Normal"/>
    <w:link w:val="Titre1Car"/>
    <w:uiPriority w:val="9"/>
    <w:qFormat/>
    <w:rsid w:val="00C509DF"/>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rPr>
  </w:style>
  <w:style w:type="paragraph" w:styleId="Titre2">
    <w:name w:val="heading 2"/>
    <w:basedOn w:val="Normal"/>
    <w:next w:val="Normal"/>
    <w:link w:val="Titre2Car"/>
    <w:uiPriority w:val="9"/>
    <w:semiHidden/>
    <w:unhideWhenUsed/>
    <w:qFormat/>
    <w:rsid w:val="00C509DF"/>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rPr>
  </w:style>
  <w:style w:type="paragraph" w:styleId="Titre3">
    <w:name w:val="heading 3"/>
    <w:basedOn w:val="Normal"/>
    <w:next w:val="Normal"/>
    <w:link w:val="Titre3Car"/>
    <w:uiPriority w:val="9"/>
    <w:semiHidden/>
    <w:unhideWhenUsed/>
    <w:qFormat/>
    <w:rsid w:val="00C509DF"/>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rPr>
  </w:style>
  <w:style w:type="paragraph" w:styleId="Titre4">
    <w:name w:val="heading 4"/>
    <w:basedOn w:val="Normal"/>
    <w:next w:val="Normal"/>
    <w:link w:val="Titre4Car"/>
    <w:uiPriority w:val="9"/>
    <w:semiHidden/>
    <w:unhideWhenUsed/>
    <w:qFormat/>
    <w:rsid w:val="00C509DF"/>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rPr>
  </w:style>
  <w:style w:type="paragraph" w:styleId="Titre5">
    <w:name w:val="heading 5"/>
    <w:basedOn w:val="Normal"/>
    <w:next w:val="Normal"/>
    <w:link w:val="Titre5Car"/>
    <w:uiPriority w:val="9"/>
    <w:semiHidden/>
    <w:unhideWhenUsed/>
    <w:qFormat/>
    <w:rsid w:val="00C509DF"/>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rPr>
  </w:style>
  <w:style w:type="paragraph" w:styleId="Titre6">
    <w:name w:val="heading 6"/>
    <w:basedOn w:val="Normal"/>
    <w:next w:val="Normal"/>
    <w:link w:val="Titre6Car"/>
    <w:uiPriority w:val="9"/>
    <w:semiHidden/>
    <w:unhideWhenUsed/>
    <w:qFormat/>
    <w:rsid w:val="00C509DF"/>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rPr>
  </w:style>
  <w:style w:type="paragraph" w:styleId="Titre7">
    <w:name w:val="heading 7"/>
    <w:basedOn w:val="Normal"/>
    <w:next w:val="Normal"/>
    <w:link w:val="Titre7Car"/>
    <w:uiPriority w:val="9"/>
    <w:semiHidden/>
    <w:unhideWhenUsed/>
    <w:qFormat/>
    <w:rsid w:val="00C509DF"/>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rPr>
  </w:style>
  <w:style w:type="paragraph" w:styleId="Titre8">
    <w:name w:val="heading 8"/>
    <w:basedOn w:val="Normal"/>
    <w:next w:val="Normal"/>
    <w:link w:val="Titre8Car"/>
    <w:uiPriority w:val="9"/>
    <w:semiHidden/>
    <w:unhideWhenUsed/>
    <w:qFormat/>
    <w:rsid w:val="00C509DF"/>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rPr>
  </w:style>
  <w:style w:type="paragraph" w:styleId="Titre9">
    <w:name w:val="heading 9"/>
    <w:basedOn w:val="Normal"/>
    <w:next w:val="Normal"/>
    <w:link w:val="Titre9Car"/>
    <w:uiPriority w:val="9"/>
    <w:semiHidden/>
    <w:unhideWhenUsed/>
    <w:qFormat/>
    <w:rsid w:val="00C509DF"/>
    <w:pPr>
      <w:keepNext/>
      <w:keepLines/>
      <w:spacing w:line="278" w:lineRule="auto"/>
      <w:jc w:val="left"/>
      <w:outlineLvl w:val="8"/>
    </w:pPr>
    <w:rPr>
      <w:rFonts w:asciiTheme="minorHAnsi" w:eastAsiaTheme="majorEastAsia" w:hAnsiTheme="minorHAnsi" w:cstheme="majorBidi"/>
      <w:color w:val="272727" w:themeColor="text1" w:themeTint="D8"/>
      <w:kern w:val="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09D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509D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509D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509D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509D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509D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509D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509D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509DF"/>
    <w:rPr>
      <w:rFonts w:eastAsiaTheme="majorEastAsia" w:cstheme="majorBidi"/>
      <w:color w:val="272727" w:themeColor="text1" w:themeTint="D8"/>
    </w:rPr>
  </w:style>
  <w:style w:type="paragraph" w:styleId="Titre">
    <w:name w:val="Title"/>
    <w:basedOn w:val="Normal"/>
    <w:next w:val="Normal"/>
    <w:link w:val="TitreCar"/>
    <w:uiPriority w:val="10"/>
    <w:qFormat/>
    <w:rsid w:val="00C509DF"/>
    <w:pPr>
      <w:spacing w:after="80"/>
      <w:contextualSpacing/>
      <w:jc w:val="left"/>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509D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509DF"/>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rPr>
  </w:style>
  <w:style w:type="character" w:customStyle="1" w:styleId="Sous-titreCar">
    <w:name w:val="Sous-titre Car"/>
    <w:basedOn w:val="Policepardfaut"/>
    <w:link w:val="Sous-titre"/>
    <w:uiPriority w:val="11"/>
    <w:rsid w:val="00C509D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509DF"/>
    <w:pPr>
      <w:spacing w:before="160" w:after="160" w:line="278" w:lineRule="auto"/>
      <w:jc w:val="center"/>
    </w:pPr>
    <w:rPr>
      <w:rFonts w:asciiTheme="minorHAnsi" w:eastAsiaTheme="minorHAnsi" w:hAnsiTheme="minorHAnsi" w:cstheme="minorBidi"/>
      <w:i/>
      <w:iCs/>
      <w:color w:val="404040" w:themeColor="text1" w:themeTint="BF"/>
      <w:kern w:val="2"/>
      <w:szCs w:val="24"/>
    </w:rPr>
  </w:style>
  <w:style w:type="character" w:customStyle="1" w:styleId="CitationCar">
    <w:name w:val="Citation Car"/>
    <w:basedOn w:val="Policepardfaut"/>
    <w:link w:val="Citation"/>
    <w:uiPriority w:val="29"/>
    <w:rsid w:val="00C509DF"/>
    <w:rPr>
      <w:i/>
      <w:iCs/>
      <w:color w:val="404040" w:themeColor="text1" w:themeTint="BF"/>
    </w:rPr>
  </w:style>
  <w:style w:type="paragraph" w:styleId="Paragraphedeliste">
    <w:name w:val="List Paragraph"/>
    <w:basedOn w:val="Normal"/>
    <w:uiPriority w:val="34"/>
    <w:qFormat/>
    <w:rsid w:val="00C509DF"/>
    <w:pPr>
      <w:spacing w:after="160" w:line="278" w:lineRule="auto"/>
      <w:ind w:left="720"/>
      <w:contextualSpacing/>
      <w:jc w:val="left"/>
    </w:pPr>
    <w:rPr>
      <w:rFonts w:asciiTheme="minorHAnsi" w:eastAsiaTheme="minorHAnsi" w:hAnsiTheme="minorHAnsi" w:cstheme="minorBidi"/>
      <w:kern w:val="2"/>
      <w:szCs w:val="24"/>
    </w:rPr>
  </w:style>
  <w:style w:type="character" w:styleId="Emphaseintense">
    <w:name w:val="Intense Emphasis"/>
    <w:basedOn w:val="Policepardfaut"/>
    <w:uiPriority w:val="21"/>
    <w:qFormat/>
    <w:rsid w:val="00C509DF"/>
    <w:rPr>
      <w:i/>
      <w:iCs/>
      <w:color w:val="0F4761" w:themeColor="accent1" w:themeShade="BF"/>
    </w:rPr>
  </w:style>
  <w:style w:type="paragraph" w:styleId="Citationintense">
    <w:name w:val="Intense Quote"/>
    <w:basedOn w:val="Normal"/>
    <w:next w:val="Normal"/>
    <w:link w:val="CitationintenseCar"/>
    <w:uiPriority w:val="30"/>
    <w:qFormat/>
    <w:rsid w:val="00C509D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rPr>
  </w:style>
  <w:style w:type="character" w:customStyle="1" w:styleId="CitationintenseCar">
    <w:name w:val="Citation intense Car"/>
    <w:basedOn w:val="Policepardfaut"/>
    <w:link w:val="Citationintense"/>
    <w:uiPriority w:val="30"/>
    <w:rsid w:val="00C509DF"/>
    <w:rPr>
      <w:i/>
      <w:iCs/>
      <w:color w:val="0F4761" w:themeColor="accent1" w:themeShade="BF"/>
    </w:rPr>
  </w:style>
  <w:style w:type="character" w:styleId="Rfrenceintense">
    <w:name w:val="Intense Reference"/>
    <w:basedOn w:val="Policepardfaut"/>
    <w:uiPriority w:val="32"/>
    <w:qFormat/>
    <w:rsid w:val="00C509DF"/>
    <w:rPr>
      <w:b/>
      <w:bCs/>
      <w:smallCaps/>
      <w:color w:val="0F4761" w:themeColor="accent1" w:themeShade="BF"/>
      <w:spacing w:val="5"/>
    </w:rPr>
  </w:style>
  <w:style w:type="character" w:styleId="Lienhypertexte">
    <w:name w:val="Hyperlink"/>
    <w:uiPriority w:val="99"/>
    <w:unhideWhenUsed/>
    <w:rsid w:val="00C509DF"/>
    <w:rPr>
      <w:color w:val="0000FF"/>
      <w:u w:val="single"/>
    </w:rPr>
  </w:style>
  <w:style w:type="paragraph" w:customStyle="1" w:styleId="Default">
    <w:name w:val="Default"/>
    <w:rsid w:val="000622B8"/>
    <w:pPr>
      <w:autoSpaceDE w:val="0"/>
      <w:autoSpaceDN w:val="0"/>
      <w:adjustRightInd w:val="0"/>
      <w:spacing w:after="0" w:line="240" w:lineRule="auto"/>
    </w:pPr>
    <w:rPr>
      <w:rFonts w:ascii="Times New Roman PS" w:eastAsia="Calibri" w:hAnsi="Times New Roman PS" w:cs="Times New Roman PS"/>
      <w:color w:val="000000"/>
      <w:kern w:val="0"/>
    </w:rPr>
  </w:style>
  <w:style w:type="paragraph" w:customStyle="1" w:styleId="EndNoteBibliography">
    <w:name w:val="EndNote Bibliography"/>
    <w:basedOn w:val="Normal"/>
    <w:link w:val="EndNoteBibliographyChar"/>
    <w:rsid w:val="00A50589"/>
    <w:rPr>
      <w:noProof/>
    </w:rPr>
  </w:style>
  <w:style w:type="character" w:customStyle="1" w:styleId="EndNoteBibliographyChar">
    <w:name w:val="EndNote Bibliography Char"/>
    <w:link w:val="EndNoteBibliography"/>
    <w:rsid w:val="00A50589"/>
    <w:rPr>
      <w:rFonts w:ascii="Times New Roman" w:eastAsia="Calibri" w:hAnsi="Times New Roman" w:cs="Times New Roman"/>
      <w:noProof/>
      <w:kern w:val="0"/>
      <w:szCs w:val="22"/>
    </w:rPr>
  </w:style>
  <w:style w:type="paragraph" w:customStyle="1" w:styleId="EndNoteBibliographyTitle">
    <w:name w:val="EndNote Bibliography Title"/>
    <w:basedOn w:val="Normal"/>
    <w:link w:val="EndNoteBibliographyTitleChar"/>
    <w:rsid w:val="00541B28"/>
    <w:pPr>
      <w:jc w:val="center"/>
    </w:pPr>
    <w:rPr>
      <w:noProof/>
    </w:rPr>
  </w:style>
  <w:style w:type="character" w:customStyle="1" w:styleId="EndNoteBibliographyTitleChar">
    <w:name w:val="EndNote Bibliography Title Char"/>
    <w:basedOn w:val="EndNoteBibliographyChar"/>
    <w:link w:val="EndNoteBibliographyTitle"/>
    <w:rsid w:val="00541B28"/>
    <w:rPr>
      <w:rFonts w:ascii="Times New Roman" w:eastAsia="Calibri" w:hAnsi="Times New Roman" w:cs="Times New Roman"/>
      <w:noProof/>
      <w:kern w:val="0"/>
      <w:szCs w:val="22"/>
    </w:rPr>
  </w:style>
  <w:style w:type="character" w:customStyle="1" w:styleId="UnresolvedMention">
    <w:name w:val="Unresolved Mention"/>
    <w:basedOn w:val="Policepardfaut"/>
    <w:uiPriority w:val="99"/>
    <w:semiHidden/>
    <w:unhideWhenUsed/>
    <w:rsid w:val="002D304B"/>
    <w:rPr>
      <w:color w:val="605E5C"/>
      <w:shd w:val="clear" w:color="auto" w:fill="E1DFDD"/>
    </w:rPr>
  </w:style>
  <w:style w:type="paragraph" w:styleId="En-tte">
    <w:name w:val="header"/>
    <w:basedOn w:val="Normal"/>
    <w:link w:val="En-tteCar"/>
    <w:uiPriority w:val="99"/>
    <w:unhideWhenUsed/>
    <w:rsid w:val="00945D05"/>
    <w:pPr>
      <w:tabs>
        <w:tab w:val="center" w:pos="4680"/>
        <w:tab w:val="right" w:pos="9360"/>
      </w:tabs>
    </w:pPr>
  </w:style>
  <w:style w:type="character" w:customStyle="1" w:styleId="En-tteCar">
    <w:name w:val="En-tête Car"/>
    <w:basedOn w:val="Policepardfaut"/>
    <w:link w:val="En-tte"/>
    <w:uiPriority w:val="99"/>
    <w:rsid w:val="00945D05"/>
    <w:rPr>
      <w:rFonts w:ascii="Times New Roman" w:eastAsia="Calibri" w:hAnsi="Times New Roman" w:cs="Times New Roman"/>
      <w:kern w:val="0"/>
      <w:szCs w:val="22"/>
    </w:rPr>
  </w:style>
  <w:style w:type="paragraph" w:styleId="Pieddepage">
    <w:name w:val="footer"/>
    <w:basedOn w:val="Normal"/>
    <w:link w:val="PieddepageCar"/>
    <w:uiPriority w:val="99"/>
    <w:unhideWhenUsed/>
    <w:rsid w:val="00945D05"/>
    <w:pPr>
      <w:tabs>
        <w:tab w:val="center" w:pos="4680"/>
        <w:tab w:val="right" w:pos="9360"/>
      </w:tabs>
    </w:pPr>
  </w:style>
  <w:style w:type="character" w:customStyle="1" w:styleId="PieddepageCar">
    <w:name w:val="Pied de page Car"/>
    <w:basedOn w:val="Policepardfaut"/>
    <w:link w:val="Pieddepage"/>
    <w:uiPriority w:val="99"/>
    <w:rsid w:val="00945D05"/>
    <w:rPr>
      <w:rFonts w:ascii="Times New Roman" w:eastAsia="Calibri" w:hAnsi="Times New Roman" w:cs="Times New Roman"/>
      <w:kern w:val="0"/>
      <w:szCs w:val="22"/>
    </w:rPr>
  </w:style>
  <w:style w:type="paragraph" w:styleId="Textedebulles">
    <w:name w:val="Balloon Text"/>
    <w:basedOn w:val="Normal"/>
    <w:link w:val="TextedebullesCar"/>
    <w:uiPriority w:val="99"/>
    <w:semiHidden/>
    <w:unhideWhenUsed/>
    <w:rsid w:val="00D31FBF"/>
    <w:rPr>
      <w:rFonts w:ascii="Tahoma" w:hAnsi="Tahoma" w:cs="Tahoma"/>
      <w:sz w:val="16"/>
      <w:szCs w:val="16"/>
    </w:rPr>
  </w:style>
  <w:style w:type="character" w:customStyle="1" w:styleId="TextedebullesCar">
    <w:name w:val="Texte de bulles Car"/>
    <w:basedOn w:val="Policepardfaut"/>
    <w:link w:val="Textedebulles"/>
    <w:uiPriority w:val="99"/>
    <w:semiHidden/>
    <w:rsid w:val="00D31FBF"/>
    <w:rPr>
      <w:rFonts w:ascii="Tahoma" w:eastAsia="Calibri" w:hAnsi="Tahoma" w:cs="Tahoma"/>
      <w:kern w:val="0"/>
      <w:sz w:val="16"/>
      <w:szCs w:val="16"/>
    </w:rPr>
  </w:style>
  <w:style w:type="character" w:styleId="Marquedecommentaire">
    <w:name w:val="annotation reference"/>
    <w:basedOn w:val="Policepardfaut"/>
    <w:uiPriority w:val="99"/>
    <w:semiHidden/>
    <w:unhideWhenUsed/>
    <w:rsid w:val="00A50609"/>
    <w:rPr>
      <w:sz w:val="16"/>
      <w:szCs w:val="16"/>
    </w:rPr>
  </w:style>
  <w:style w:type="paragraph" w:styleId="Commentaire">
    <w:name w:val="annotation text"/>
    <w:basedOn w:val="Normal"/>
    <w:link w:val="CommentaireCar"/>
    <w:uiPriority w:val="99"/>
    <w:semiHidden/>
    <w:unhideWhenUsed/>
    <w:rsid w:val="00A50609"/>
    <w:rPr>
      <w:sz w:val="20"/>
      <w:szCs w:val="20"/>
    </w:rPr>
  </w:style>
  <w:style w:type="character" w:customStyle="1" w:styleId="CommentaireCar">
    <w:name w:val="Commentaire Car"/>
    <w:basedOn w:val="Policepardfaut"/>
    <w:link w:val="Commentaire"/>
    <w:uiPriority w:val="99"/>
    <w:semiHidden/>
    <w:rsid w:val="00A50609"/>
    <w:rPr>
      <w:rFonts w:ascii="Times New Roman" w:eastAsia="Calibri" w:hAnsi="Times New Roman" w:cs="Times New Roman"/>
      <w:kern w:val="0"/>
      <w:sz w:val="20"/>
      <w:szCs w:val="20"/>
    </w:rPr>
  </w:style>
  <w:style w:type="paragraph" w:styleId="Objetducommentaire">
    <w:name w:val="annotation subject"/>
    <w:basedOn w:val="Commentaire"/>
    <w:next w:val="Commentaire"/>
    <w:link w:val="ObjetducommentaireCar"/>
    <w:uiPriority w:val="99"/>
    <w:semiHidden/>
    <w:unhideWhenUsed/>
    <w:rsid w:val="00A50609"/>
    <w:rPr>
      <w:b/>
      <w:bCs/>
    </w:rPr>
  </w:style>
  <w:style w:type="character" w:customStyle="1" w:styleId="ObjetducommentaireCar">
    <w:name w:val="Objet du commentaire Car"/>
    <w:basedOn w:val="CommentaireCar"/>
    <w:link w:val="Objetducommentaire"/>
    <w:uiPriority w:val="99"/>
    <w:semiHidden/>
    <w:rsid w:val="00A50609"/>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hyperlink" Target="https://doi.org/https://doi.org/10.1021/acs.jafc.1c05141" TargetMode="External"/><Relationship Id="rId39" Type="http://schemas.openxmlformats.org/officeDocument/2006/relationships/hyperlink" Target="https://doi.org/https://DOI:10.1007/978-94-007-1521-9_10" TargetMode="External"/><Relationship Id="rId21" Type="http://schemas.openxmlformats.org/officeDocument/2006/relationships/chart" Target="charts/chart15.xml"/><Relationship Id="rId34" Type="http://schemas.openxmlformats.org/officeDocument/2006/relationships/hyperlink" Target="https://doi.org/https://doi.org/10.3136/fstr.18.351" TargetMode="External"/><Relationship Id="rId42" Type="http://schemas.openxmlformats.org/officeDocument/2006/relationships/hyperlink" Target="https://link.springer.com/article/10.1007/s10653-006-9047-z" TargetMode="External"/><Relationship Id="rId47" Type="http://schemas.openxmlformats.org/officeDocument/2006/relationships/hyperlink" Target="https://doi.org/https://doi.org/10.1007/s42729-024-01995-4" TargetMode="External"/><Relationship Id="rId50" Type="http://schemas.openxmlformats.org/officeDocument/2006/relationships/hyperlink" Target="https://doi.org/https://doi.org/10.3389/fpls.2023.1192151" TargetMode="External"/><Relationship Id="rId55" Type="http://schemas.openxmlformats.org/officeDocument/2006/relationships/header" Target="header3.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hyperlink" Target="https://doi.org/https://doi.org/10.1016/j.scienta.2022.111590" TargetMode="External"/><Relationship Id="rId33" Type="http://schemas.openxmlformats.org/officeDocument/2006/relationships/hyperlink" Target="https://doi.org/https://doi.org/10.1016/S1002-0160(06)60113-6" TargetMode="External"/><Relationship Id="rId38" Type="http://schemas.openxmlformats.org/officeDocument/2006/relationships/hyperlink" Target="https://link.springer.com/chapter/10.1007/978-94-007-1521-9_10" TargetMode="External"/><Relationship Id="rId46" Type="http://schemas.openxmlformats.org/officeDocument/2006/relationships/hyperlink" Target="https://doi.org/10.5376/jtsr.2016.06.0007" TargetMode="External"/><Relationship Id="rId2" Type="http://schemas.openxmlformats.org/officeDocument/2006/relationships/settings" Target="setting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hyperlink" Target="https://doi.org/https://doi.org/10.1007/s10705-012-9517-x" TargetMode="External"/><Relationship Id="rId41" Type="http://schemas.openxmlformats.org/officeDocument/2006/relationships/hyperlink" Target="https://doi.org/https://doi.org/10.1016/j.fct.2019.110974" TargetMode="External"/><Relationship Id="rId54" Type="http://schemas.openxmlformats.org/officeDocument/2006/relationships/footer" Target="footer2.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chart" Target="charts/chart5.xml"/><Relationship Id="rId24" Type="http://schemas.openxmlformats.org/officeDocument/2006/relationships/hyperlink" Target="https://doi.org/https://doi.org/10.1007/978-981-13-2140-5_9" TargetMode="External"/><Relationship Id="rId32" Type="http://schemas.openxmlformats.org/officeDocument/2006/relationships/hyperlink" Target="https://doi.org/10.20425/ijts.v10i3and4.4739" TargetMode="External"/><Relationship Id="rId37" Type="http://schemas.openxmlformats.org/officeDocument/2006/relationships/hyperlink" Target="https://doi.org/http://www.isfae.org/scientificjournal.php" TargetMode="External"/><Relationship Id="rId40" Type="http://schemas.openxmlformats.org/officeDocument/2006/relationships/hyperlink" Target="https://doi.org/10.5897/AJAR11.1246" TargetMode="External"/><Relationship Id="rId45" Type="http://schemas.openxmlformats.org/officeDocument/2006/relationships/hyperlink" Target="https://doi.org/10.1002/jsfa.4709"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chart" Target="charts/chart9.xml"/><Relationship Id="rId23" Type="http://schemas.openxmlformats.org/officeDocument/2006/relationships/hyperlink" Target="https://doi.org/10.1002/jsfa.1842" TargetMode="External"/><Relationship Id="rId28" Type="http://schemas.openxmlformats.org/officeDocument/2006/relationships/hyperlink" Target="https://doi.org/10.1002/jsfa.11222" TargetMode="External"/><Relationship Id="rId36" Type="http://schemas.openxmlformats.org/officeDocument/2006/relationships/hyperlink" Target="https://doi.org/https://doi.org/10.1016/j.foodchem.2008.11.073" TargetMode="External"/><Relationship Id="rId49" Type="http://schemas.openxmlformats.org/officeDocument/2006/relationships/hyperlink" Target="https://doi.org/https://doi.org/10.1093/jaoac/92.1.91" TargetMode="External"/><Relationship Id="rId57"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hyperlink" Target="https://doi.org/https://doi.org/10.1111/j.1747-0765.2006.00006.x" TargetMode="External"/><Relationship Id="rId44" Type="http://schemas.openxmlformats.org/officeDocument/2006/relationships/hyperlink" Target="https://doi.org/" TargetMode="External"/><Relationship Id="rId52"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hyperlink" Target="https://doi.org/" TargetMode="External"/><Relationship Id="rId27" Type="http://schemas.openxmlformats.org/officeDocument/2006/relationships/hyperlink" Target="https://doi.org/" TargetMode="External"/><Relationship Id="rId30" Type="http://schemas.openxmlformats.org/officeDocument/2006/relationships/hyperlink" Target="https://doi.org/https://doi.org/10.1080/00103628409367568" TargetMode="External"/><Relationship Id="rId35" Type="http://schemas.openxmlformats.org/officeDocument/2006/relationships/hyperlink" Target="https://doi.org/" TargetMode="External"/><Relationship Id="rId43" Type="http://schemas.openxmlformats.org/officeDocument/2006/relationships/hyperlink" Target="https://doi.org/https://doi.org/10.1093/aob/mch010" TargetMode="External"/><Relationship Id="rId48" Type="http://schemas.openxmlformats.org/officeDocument/2006/relationships/hyperlink" Target="https://doi.org/0.21273/HORTSCI12897-18" TargetMode="External"/><Relationship Id="rId56" Type="http://schemas.openxmlformats.org/officeDocument/2006/relationships/footer" Target="footer3.xml"/><Relationship Id="rId8" Type="http://schemas.openxmlformats.org/officeDocument/2006/relationships/chart" Target="charts/chart2.xml"/><Relationship Id="rId51" Type="http://schemas.openxmlformats.org/officeDocument/2006/relationships/header" Target="header1.xml"/><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Microsoft_Office_Excel15.xlsx"/></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Sheet1!$AT$3</c:f>
              <c:strCache>
                <c:ptCount val="1"/>
                <c:pt idx="0">
                  <c:v>Timbilil</c:v>
                </c:pt>
              </c:strCache>
            </c:strRef>
          </c:tx>
          <c:spPr>
            <a:solidFill>
              <a:schemeClr val="accent1"/>
            </a:solidFill>
            <a:ln>
              <a:noFill/>
            </a:ln>
            <a:effectLst/>
          </c:spPr>
          <c:cat>
            <c:strRef>
              <c:f>Sheet1!$AS$4:$AS$7</c:f>
              <c:strCache>
                <c:ptCount val="4"/>
                <c:pt idx="0">
                  <c:v>0-10</c:v>
                </c:pt>
                <c:pt idx="1">
                  <c:v>10-20</c:v>
                </c:pt>
                <c:pt idx="2">
                  <c:v>20-30</c:v>
                </c:pt>
                <c:pt idx="3">
                  <c:v>40-60</c:v>
                </c:pt>
              </c:strCache>
            </c:strRef>
          </c:cat>
          <c:val>
            <c:numRef>
              <c:f>Sheet1!$AT$4:$AT$7</c:f>
              <c:numCache>
                <c:formatCode>General</c:formatCode>
                <c:ptCount val="4"/>
                <c:pt idx="0">
                  <c:v>465</c:v>
                </c:pt>
                <c:pt idx="1">
                  <c:v>290</c:v>
                </c:pt>
                <c:pt idx="2">
                  <c:v>335</c:v>
                </c:pt>
                <c:pt idx="3">
                  <c:v>340</c:v>
                </c:pt>
              </c:numCache>
            </c:numRef>
          </c:val>
          <c:extLst xmlns:c16r2="http://schemas.microsoft.com/office/drawing/2015/06/chart">
            <c:ext xmlns:c16="http://schemas.microsoft.com/office/drawing/2014/chart" uri="{C3380CC4-5D6E-409C-BE32-E72D297353CC}">
              <c16:uniqueId val="{00000000-5144-4FF4-BE7D-9E11033BBCF5}"/>
            </c:ext>
          </c:extLst>
        </c:ser>
        <c:ser>
          <c:idx val="1"/>
          <c:order val="1"/>
          <c:tx>
            <c:strRef>
              <c:f>Sheet1!$AU$3</c:f>
              <c:strCache>
                <c:ptCount val="1"/>
                <c:pt idx="0">
                  <c:v>Changoi</c:v>
                </c:pt>
              </c:strCache>
            </c:strRef>
          </c:tx>
          <c:spPr>
            <a:solidFill>
              <a:schemeClr val="accent2"/>
            </a:solidFill>
            <a:ln>
              <a:noFill/>
            </a:ln>
            <a:effectLst/>
          </c:spPr>
          <c:cat>
            <c:strRef>
              <c:f>Sheet1!$AS$4:$AS$7</c:f>
              <c:strCache>
                <c:ptCount val="4"/>
                <c:pt idx="0">
                  <c:v>0-10</c:v>
                </c:pt>
                <c:pt idx="1">
                  <c:v>10-20</c:v>
                </c:pt>
                <c:pt idx="2">
                  <c:v>20-30</c:v>
                </c:pt>
                <c:pt idx="3">
                  <c:v>40-60</c:v>
                </c:pt>
              </c:strCache>
            </c:strRef>
          </c:cat>
          <c:val>
            <c:numRef>
              <c:f>Sheet1!$AU$4:$AU$7</c:f>
              <c:numCache>
                <c:formatCode>General</c:formatCode>
                <c:ptCount val="4"/>
                <c:pt idx="0">
                  <c:v>333</c:v>
                </c:pt>
                <c:pt idx="1">
                  <c:v>447</c:v>
                </c:pt>
                <c:pt idx="2">
                  <c:v>391</c:v>
                </c:pt>
                <c:pt idx="3">
                  <c:v>490</c:v>
                </c:pt>
              </c:numCache>
            </c:numRef>
          </c:val>
          <c:extLst xmlns:c16r2="http://schemas.microsoft.com/office/drawing/2015/06/chart">
            <c:ext xmlns:c16="http://schemas.microsoft.com/office/drawing/2014/chart" uri="{C3380CC4-5D6E-409C-BE32-E72D297353CC}">
              <c16:uniqueId val="{00000001-5144-4FF4-BE7D-9E11033BBCF5}"/>
            </c:ext>
          </c:extLst>
        </c:ser>
        <c:ser>
          <c:idx val="2"/>
          <c:order val="2"/>
          <c:tx>
            <c:strRef>
              <c:f>Sheet1!$AV$3</c:f>
              <c:strCache>
                <c:ptCount val="1"/>
                <c:pt idx="0">
                  <c:v>Arroket</c:v>
                </c:pt>
              </c:strCache>
            </c:strRef>
          </c:tx>
          <c:spPr>
            <a:solidFill>
              <a:schemeClr val="accent3"/>
            </a:solidFill>
            <a:ln>
              <a:noFill/>
            </a:ln>
            <a:effectLst/>
          </c:spPr>
          <c:cat>
            <c:strRef>
              <c:f>Sheet1!$AS$4:$AS$7</c:f>
              <c:strCache>
                <c:ptCount val="4"/>
                <c:pt idx="0">
                  <c:v>0-10</c:v>
                </c:pt>
                <c:pt idx="1">
                  <c:v>10-20</c:v>
                </c:pt>
                <c:pt idx="2">
                  <c:v>20-30</c:v>
                </c:pt>
                <c:pt idx="3">
                  <c:v>40-60</c:v>
                </c:pt>
              </c:strCache>
            </c:strRef>
          </c:cat>
          <c:val>
            <c:numRef>
              <c:f>Sheet1!$AV$4:$AV$7</c:f>
              <c:numCache>
                <c:formatCode>General</c:formatCode>
                <c:ptCount val="4"/>
                <c:pt idx="0">
                  <c:v>624</c:v>
                </c:pt>
                <c:pt idx="1">
                  <c:v>745</c:v>
                </c:pt>
                <c:pt idx="2">
                  <c:v>878</c:v>
                </c:pt>
                <c:pt idx="3">
                  <c:v>900</c:v>
                </c:pt>
              </c:numCache>
            </c:numRef>
          </c:val>
          <c:extLst xmlns:c16r2="http://schemas.microsoft.com/office/drawing/2015/06/chart">
            <c:ext xmlns:c16="http://schemas.microsoft.com/office/drawing/2014/chart" uri="{C3380CC4-5D6E-409C-BE32-E72D297353CC}">
              <c16:uniqueId val="{00000002-5144-4FF4-BE7D-9E11033BBCF5}"/>
            </c:ext>
          </c:extLst>
        </c:ser>
        <c:ser>
          <c:idx val="3"/>
          <c:order val="3"/>
          <c:tx>
            <c:strRef>
              <c:f>Sheet1!$AW$3</c:f>
              <c:strCache>
                <c:ptCount val="1"/>
                <c:pt idx="0">
                  <c:v>Kitabi</c:v>
                </c:pt>
              </c:strCache>
            </c:strRef>
          </c:tx>
          <c:spPr>
            <a:solidFill>
              <a:schemeClr val="accent4"/>
            </a:solidFill>
            <a:ln>
              <a:noFill/>
            </a:ln>
            <a:effectLst/>
          </c:spPr>
          <c:cat>
            <c:strRef>
              <c:f>Sheet1!$AS$4:$AS$7</c:f>
              <c:strCache>
                <c:ptCount val="4"/>
                <c:pt idx="0">
                  <c:v>0-10</c:v>
                </c:pt>
                <c:pt idx="1">
                  <c:v>10-20</c:v>
                </c:pt>
                <c:pt idx="2">
                  <c:v>20-30</c:v>
                </c:pt>
                <c:pt idx="3">
                  <c:v>40-60</c:v>
                </c:pt>
              </c:strCache>
            </c:strRef>
          </c:cat>
          <c:val>
            <c:numRef>
              <c:f>Sheet1!$AW$4:$AW$7</c:f>
              <c:numCache>
                <c:formatCode>General</c:formatCode>
                <c:ptCount val="4"/>
                <c:pt idx="0">
                  <c:v>156</c:v>
                </c:pt>
                <c:pt idx="1">
                  <c:v>136</c:v>
                </c:pt>
                <c:pt idx="2">
                  <c:v>144</c:v>
                </c:pt>
                <c:pt idx="3">
                  <c:v>170</c:v>
                </c:pt>
              </c:numCache>
            </c:numRef>
          </c:val>
          <c:extLst xmlns:c16r2="http://schemas.microsoft.com/office/drawing/2015/06/chart">
            <c:ext xmlns:c16="http://schemas.microsoft.com/office/drawing/2014/chart" uri="{C3380CC4-5D6E-409C-BE32-E72D297353CC}">
              <c16:uniqueId val="{00000003-5144-4FF4-BE7D-9E11033BBCF5}"/>
            </c:ext>
          </c:extLst>
        </c:ser>
        <c:ser>
          <c:idx val="4"/>
          <c:order val="4"/>
          <c:tx>
            <c:strRef>
              <c:f>Sheet1!$AX$3</c:f>
              <c:strCache>
                <c:ptCount val="1"/>
                <c:pt idx="0">
                  <c:v>Mulindi</c:v>
                </c:pt>
              </c:strCache>
            </c:strRef>
          </c:tx>
          <c:spPr>
            <a:solidFill>
              <a:schemeClr val="accent5"/>
            </a:solidFill>
            <a:ln>
              <a:noFill/>
            </a:ln>
            <a:effectLst/>
          </c:spPr>
          <c:cat>
            <c:strRef>
              <c:f>Sheet1!$AS$4:$AS$7</c:f>
              <c:strCache>
                <c:ptCount val="4"/>
                <c:pt idx="0">
                  <c:v>0-10</c:v>
                </c:pt>
                <c:pt idx="1">
                  <c:v>10-20</c:v>
                </c:pt>
                <c:pt idx="2">
                  <c:v>20-30</c:v>
                </c:pt>
                <c:pt idx="3">
                  <c:v>40-60</c:v>
                </c:pt>
              </c:strCache>
            </c:strRef>
          </c:cat>
          <c:val>
            <c:numRef>
              <c:f>Sheet1!$AX$4:$AX$7</c:f>
              <c:numCache>
                <c:formatCode>General</c:formatCode>
                <c:ptCount val="4"/>
                <c:pt idx="0">
                  <c:v>1249</c:v>
                </c:pt>
                <c:pt idx="1">
                  <c:v>1486</c:v>
                </c:pt>
                <c:pt idx="2">
                  <c:v>1632</c:v>
                </c:pt>
                <c:pt idx="3">
                  <c:v>2053</c:v>
                </c:pt>
              </c:numCache>
            </c:numRef>
          </c:val>
          <c:extLst xmlns:c16r2="http://schemas.microsoft.com/office/drawing/2015/06/chart">
            <c:ext xmlns:c16="http://schemas.microsoft.com/office/drawing/2014/chart" uri="{C3380CC4-5D6E-409C-BE32-E72D297353CC}">
              <c16:uniqueId val="{00000004-5144-4FF4-BE7D-9E11033BBCF5}"/>
            </c:ext>
          </c:extLst>
        </c:ser>
        <c:ser>
          <c:idx val="5"/>
          <c:order val="5"/>
          <c:tx>
            <c:strRef>
              <c:f>Sheet1!$AY$3</c:f>
              <c:strCache>
                <c:ptCount val="1"/>
                <c:pt idx="0">
                  <c:v>Katoke</c:v>
                </c:pt>
              </c:strCache>
            </c:strRef>
          </c:tx>
          <c:spPr>
            <a:solidFill>
              <a:schemeClr val="accent6"/>
            </a:solidFill>
            <a:ln>
              <a:noFill/>
            </a:ln>
            <a:effectLst/>
          </c:spPr>
          <c:cat>
            <c:strRef>
              <c:f>Sheet1!$AS$4:$AS$7</c:f>
              <c:strCache>
                <c:ptCount val="4"/>
                <c:pt idx="0">
                  <c:v>0-10</c:v>
                </c:pt>
                <c:pt idx="1">
                  <c:v>10-20</c:v>
                </c:pt>
                <c:pt idx="2">
                  <c:v>20-30</c:v>
                </c:pt>
                <c:pt idx="3">
                  <c:v>40-60</c:v>
                </c:pt>
              </c:strCache>
            </c:strRef>
          </c:cat>
          <c:val>
            <c:numRef>
              <c:f>Sheet1!$AY$4:$AY$7</c:f>
              <c:numCache>
                <c:formatCode>General</c:formatCode>
                <c:ptCount val="4"/>
                <c:pt idx="0">
                  <c:v>244</c:v>
                </c:pt>
                <c:pt idx="1">
                  <c:v>218</c:v>
                </c:pt>
                <c:pt idx="2">
                  <c:v>197</c:v>
                </c:pt>
                <c:pt idx="3">
                  <c:v>206</c:v>
                </c:pt>
              </c:numCache>
            </c:numRef>
          </c:val>
          <c:extLst xmlns:c16r2="http://schemas.microsoft.com/office/drawing/2015/06/chart">
            <c:ext xmlns:c16="http://schemas.microsoft.com/office/drawing/2014/chart" uri="{C3380CC4-5D6E-409C-BE32-E72D297353CC}">
              <c16:uniqueId val="{00000005-5144-4FF4-BE7D-9E11033BBCF5}"/>
            </c:ext>
          </c:extLst>
        </c:ser>
        <c:ser>
          <c:idx val="6"/>
          <c:order val="6"/>
          <c:tx>
            <c:strRef>
              <c:f>Sheet1!$AZ$3</c:f>
              <c:strCache>
                <c:ptCount val="1"/>
                <c:pt idx="0">
                  <c:v>Maruku</c:v>
                </c:pt>
              </c:strCache>
            </c:strRef>
          </c:tx>
          <c:spPr>
            <a:solidFill>
              <a:schemeClr val="accent1">
                <a:lumMod val="60000"/>
              </a:schemeClr>
            </a:solidFill>
            <a:ln>
              <a:noFill/>
            </a:ln>
            <a:effectLst/>
          </c:spPr>
          <c:cat>
            <c:strRef>
              <c:f>Sheet1!$AS$4:$AS$7</c:f>
              <c:strCache>
                <c:ptCount val="4"/>
                <c:pt idx="0">
                  <c:v>0-10</c:v>
                </c:pt>
                <c:pt idx="1">
                  <c:v>10-20</c:v>
                </c:pt>
                <c:pt idx="2">
                  <c:v>20-30</c:v>
                </c:pt>
                <c:pt idx="3">
                  <c:v>40-60</c:v>
                </c:pt>
              </c:strCache>
            </c:strRef>
          </c:cat>
          <c:val>
            <c:numRef>
              <c:f>Sheet1!$AZ$4:$AZ$7</c:f>
              <c:numCache>
                <c:formatCode>General</c:formatCode>
                <c:ptCount val="4"/>
                <c:pt idx="0">
                  <c:v>222</c:v>
                </c:pt>
                <c:pt idx="1">
                  <c:v>221</c:v>
                </c:pt>
                <c:pt idx="2">
                  <c:v>234</c:v>
                </c:pt>
                <c:pt idx="3">
                  <c:v>252</c:v>
                </c:pt>
              </c:numCache>
            </c:numRef>
          </c:val>
          <c:extLst xmlns:c16r2="http://schemas.microsoft.com/office/drawing/2015/06/chart">
            <c:ext xmlns:c16="http://schemas.microsoft.com/office/drawing/2014/chart" uri="{C3380CC4-5D6E-409C-BE32-E72D297353CC}">
              <c16:uniqueId val="{00000006-5144-4FF4-BE7D-9E11033BBCF5}"/>
            </c:ext>
          </c:extLst>
        </c:ser>
        <c:gapWidth val="300"/>
        <c:axId val="120782848"/>
        <c:axId val="121084160"/>
      </c:barChart>
      <c:lineChart>
        <c:grouping val="standard"/>
        <c:ser>
          <c:idx val="7"/>
          <c:order val="7"/>
          <c:tx>
            <c:strRef>
              <c:f>Sheet1!$BA$3</c:f>
              <c:strCache>
                <c:ptCount val="1"/>
              </c:strCache>
            </c:strRef>
          </c:tx>
          <c:spPr>
            <a:ln w="28575" cap="rnd">
              <a:noFill/>
              <a:round/>
            </a:ln>
            <a:effectLst/>
          </c:spPr>
          <c:marker>
            <c:symbol val="none"/>
          </c:marker>
          <c:errBars>
            <c:errDir val="y"/>
            <c:errBarType val="both"/>
            <c:errValType val="cust"/>
            <c:plus>
              <c:numRef>
                <c:f>Sheet1!$BB$4:$BB$7</c:f>
                <c:numCache>
                  <c:formatCode>General</c:formatCode>
                  <c:ptCount val="4"/>
                  <c:pt idx="0">
                    <c:v>10</c:v>
                  </c:pt>
                  <c:pt idx="1">
                    <c:v>20</c:v>
                  </c:pt>
                  <c:pt idx="2">
                    <c:v>15</c:v>
                  </c:pt>
                  <c:pt idx="3">
                    <c:v>15</c:v>
                  </c:pt>
                </c:numCache>
              </c:numRef>
            </c:plus>
            <c:minus>
              <c:numRef>
                <c:f>Sheet1!$BB$4:$BB$7</c:f>
                <c:numCache>
                  <c:formatCode>General</c:formatCode>
                  <c:ptCount val="4"/>
                  <c:pt idx="0">
                    <c:v>10</c:v>
                  </c:pt>
                  <c:pt idx="1">
                    <c:v>20</c:v>
                  </c:pt>
                  <c:pt idx="2">
                    <c:v>15</c:v>
                  </c:pt>
                  <c:pt idx="3">
                    <c:v>15</c:v>
                  </c:pt>
                </c:numCache>
              </c:numRef>
            </c:minus>
            <c:spPr>
              <a:noFill/>
              <a:ln w="9525" cap="flat" cmpd="sng" algn="ctr">
                <a:solidFill>
                  <a:schemeClr val="tx1">
                    <a:lumMod val="65000"/>
                    <a:lumOff val="35000"/>
                  </a:schemeClr>
                </a:solidFill>
                <a:round/>
              </a:ln>
              <a:effectLst/>
            </c:spPr>
          </c:errBars>
          <c:cat>
            <c:strRef>
              <c:f>Sheet1!$AS$4:$AS$7</c:f>
              <c:strCache>
                <c:ptCount val="4"/>
                <c:pt idx="0">
                  <c:v>0-10</c:v>
                </c:pt>
                <c:pt idx="1">
                  <c:v>10-20</c:v>
                </c:pt>
                <c:pt idx="2">
                  <c:v>20-30</c:v>
                </c:pt>
                <c:pt idx="3">
                  <c:v>40-60</c:v>
                </c:pt>
              </c:strCache>
            </c:strRef>
          </c:cat>
          <c:val>
            <c:numRef>
              <c:f>Sheet1!$BA$4:$BA$7</c:f>
              <c:numCache>
                <c:formatCode>General</c:formatCode>
                <c:ptCount val="4"/>
                <c:pt idx="0">
                  <c:v>700</c:v>
                </c:pt>
                <c:pt idx="1">
                  <c:v>800</c:v>
                </c:pt>
                <c:pt idx="2">
                  <c:v>1000</c:v>
                </c:pt>
                <c:pt idx="3">
                  <c:v>1000</c:v>
                </c:pt>
              </c:numCache>
            </c:numRef>
          </c:val>
          <c:extLst xmlns:c16r2="http://schemas.microsoft.com/office/drawing/2015/06/chart">
            <c:ext xmlns:c16="http://schemas.microsoft.com/office/drawing/2014/chart" uri="{C3380CC4-5D6E-409C-BE32-E72D297353CC}">
              <c16:uniqueId val="{00000007-5144-4FF4-BE7D-9E11033BBCF5}"/>
            </c:ext>
          </c:extLst>
        </c:ser>
        <c:marker val="1"/>
        <c:axId val="120782848"/>
        <c:axId val="121084160"/>
      </c:lineChart>
      <c:catAx>
        <c:axId val="120782848"/>
        <c:scaling>
          <c:orientation val="minMax"/>
        </c:scaling>
        <c:axPos val="b"/>
        <c:title>
          <c:tx>
            <c:rich>
              <a:bodyPr rot="0" vert="horz"/>
              <a:lstStyle/>
              <a:p>
                <a:pPr>
                  <a:defRPr lang="en-US" b="0"/>
                </a:pPr>
                <a:r>
                  <a:rPr lang="en-US" b="0"/>
                  <a:t>Soil Depths (cm) (bars are LSDs,≤0.05)</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21084160"/>
        <c:crosses val="autoZero"/>
        <c:auto val="1"/>
        <c:lblAlgn val="ctr"/>
        <c:lblOffset val="100"/>
      </c:catAx>
      <c:valAx>
        <c:axId val="121084160"/>
        <c:scaling>
          <c:orientation val="minMax"/>
          <c:max val="2055"/>
          <c:min val="100"/>
        </c:scaling>
        <c:axPos val="l"/>
        <c:minorGridlines>
          <c:spPr>
            <a:ln w="9525" cap="flat" cmpd="sng" algn="ctr">
              <a:noFill/>
              <a:round/>
            </a:ln>
            <a:effectLst/>
          </c:spPr>
        </c:minorGridlines>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20782848"/>
        <c:crosses val="autoZero"/>
        <c:crossBetween val="between"/>
        <c:majorUnit val="200"/>
        <c:minorUnit val="50"/>
      </c:valAx>
      <c:spPr>
        <a:noFill/>
        <a:ln>
          <a:noFill/>
        </a:ln>
        <a:effectLst/>
      </c:spPr>
    </c:plotArea>
    <c:legend>
      <c:legendPos val="b"/>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0"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4762790414565153"/>
          <c:y val="2.5436289917136572E-2"/>
          <c:w val="0.73917039627079095"/>
          <c:h val="0.64099660372035494"/>
        </c:manualLayout>
      </c:layout>
      <c:barChart>
        <c:barDir val="col"/>
        <c:grouping val="clustered"/>
        <c:ser>
          <c:idx val="0"/>
          <c:order val="0"/>
          <c:tx>
            <c:strRef>
              <c:f>Sheet1!$AI$33</c:f>
              <c:strCache>
                <c:ptCount val="1"/>
                <c:pt idx="0">
                  <c:v>0</c:v>
                </c:pt>
              </c:strCache>
            </c:strRef>
          </c:tx>
          <c:spPr>
            <a:solidFill>
              <a:schemeClr val="accent1"/>
            </a:solidFill>
            <a:ln>
              <a:noFill/>
            </a:ln>
            <a:effectLst/>
          </c:spPr>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Sheet1!$AI$34:$AI$41</c:f>
              <c:numCache>
                <c:formatCode>General</c:formatCode>
                <c:ptCount val="8"/>
                <c:pt idx="0">
                  <c:v>78</c:v>
                </c:pt>
                <c:pt idx="1">
                  <c:v>123</c:v>
                </c:pt>
                <c:pt idx="2">
                  <c:v>109</c:v>
                </c:pt>
                <c:pt idx="3">
                  <c:v>85</c:v>
                </c:pt>
                <c:pt idx="4">
                  <c:v>270</c:v>
                </c:pt>
                <c:pt idx="5">
                  <c:v>75</c:v>
                </c:pt>
                <c:pt idx="6">
                  <c:v>112</c:v>
                </c:pt>
                <c:pt idx="7">
                  <c:v>122</c:v>
                </c:pt>
              </c:numCache>
            </c:numRef>
          </c:val>
          <c:extLst xmlns:c16r2="http://schemas.microsoft.com/office/drawing/2015/06/chart">
            <c:ext xmlns:c16="http://schemas.microsoft.com/office/drawing/2014/chart" uri="{C3380CC4-5D6E-409C-BE32-E72D297353CC}">
              <c16:uniqueId val="{00000000-870C-493E-9DC3-1DC7047B2B75}"/>
            </c:ext>
          </c:extLst>
        </c:ser>
        <c:ser>
          <c:idx val="1"/>
          <c:order val="1"/>
          <c:tx>
            <c:strRef>
              <c:f>Sheet1!$AJ$33</c:f>
              <c:strCache>
                <c:ptCount val="1"/>
                <c:pt idx="0">
                  <c:v>75</c:v>
                </c:pt>
              </c:strCache>
            </c:strRef>
          </c:tx>
          <c:spPr>
            <a:solidFill>
              <a:schemeClr val="accent2"/>
            </a:solidFill>
            <a:ln>
              <a:noFill/>
            </a:ln>
            <a:effectLst/>
          </c:spPr>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Sheet1!$AJ$34:$AJ$41</c:f>
              <c:numCache>
                <c:formatCode>General</c:formatCode>
                <c:ptCount val="8"/>
                <c:pt idx="0">
                  <c:v>76</c:v>
                </c:pt>
                <c:pt idx="1">
                  <c:v>109</c:v>
                </c:pt>
                <c:pt idx="2">
                  <c:v>179</c:v>
                </c:pt>
                <c:pt idx="3">
                  <c:v>82</c:v>
                </c:pt>
                <c:pt idx="4">
                  <c:v>244</c:v>
                </c:pt>
                <c:pt idx="5">
                  <c:v>68</c:v>
                </c:pt>
                <c:pt idx="6">
                  <c:v>100</c:v>
                </c:pt>
                <c:pt idx="7">
                  <c:v>123</c:v>
                </c:pt>
              </c:numCache>
            </c:numRef>
          </c:val>
          <c:extLst xmlns:c16r2="http://schemas.microsoft.com/office/drawing/2015/06/chart">
            <c:ext xmlns:c16="http://schemas.microsoft.com/office/drawing/2014/chart" uri="{C3380CC4-5D6E-409C-BE32-E72D297353CC}">
              <c16:uniqueId val="{00000001-870C-493E-9DC3-1DC7047B2B75}"/>
            </c:ext>
          </c:extLst>
        </c:ser>
        <c:ser>
          <c:idx val="2"/>
          <c:order val="2"/>
          <c:tx>
            <c:strRef>
              <c:f>Sheet1!$AK$33</c:f>
              <c:strCache>
                <c:ptCount val="1"/>
                <c:pt idx="0">
                  <c:v>150</c:v>
                </c:pt>
              </c:strCache>
            </c:strRef>
          </c:tx>
          <c:spPr>
            <a:solidFill>
              <a:schemeClr val="accent3"/>
            </a:solidFill>
            <a:ln>
              <a:noFill/>
            </a:ln>
            <a:effectLst/>
          </c:spPr>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Sheet1!$AK$34:$AK$41</c:f>
              <c:numCache>
                <c:formatCode>General</c:formatCode>
                <c:ptCount val="8"/>
                <c:pt idx="0">
                  <c:v>71</c:v>
                </c:pt>
                <c:pt idx="1">
                  <c:v>89</c:v>
                </c:pt>
                <c:pt idx="2">
                  <c:v>152</c:v>
                </c:pt>
                <c:pt idx="3">
                  <c:v>75</c:v>
                </c:pt>
                <c:pt idx="4">
                  <c:v>221</c:v>
                </c:pt>
                <c:pt idx="5">
                  <c:v>64</c:v>
                </c:pt>
                <c:pt idx="6">
                  <c:v>91</c:v>
                </c:pt>
                <c:pt idx="7">
                  <c:v>109</c:v>
                </c:pt>
              </c:numCache>
            </c:numRef>
          </c:val>
          <c:extLst xmlns:c16r2="http://schemas.microsoft.com/office/drawing/2015/06/chart">
            <c:ext xmlns:c16="http://schemas.microsoft.com/office/drawing/2014/chart" uri="{C3380CC4-5D6E-409C-BE32-E72D297353CC}">
              <c16:uniqueId val="{00000002-870C-493E-9DC3-1DC7047B2B75}"/>
            </c:ext>
          </c:extLst>
        </c:ser>
        <c:ser>
          <c:idx val="3"/>
          <c:order val="3"/>
          <c:tx>
            <c:strRef>
              <c:f>Sheet1!$AL$33</c:f>
              <c:strCache>
                <c:ptCount val="1"/>
                <c:pt idx="0">
                  <c:v>225</c:v>
                </c:pt>
              </c:strCache>
            </c:strRef>
          </c:tx>
          <c:spPr>
            <a:solidFill>
              <a:schemeClr val="accent4"/>
            </a:solidFill>
            <a:ln>
              <a:noFill/>
            </a:ln>
            <a:effectLst/>
          </c:spPr>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Sheet1!$AL$34:$AL$41</c:f>
              <c:numCache>
                <c:formatCode>General</c:formatCode>
                <c:ptCount val="8"/>
                <c:pt idx="0">
                  <c:v>60</c:v>
                </c:pt>
                <c:pt idx="1">
                  <c:v>85</c:v>
                </c:pt>
                <c:pt idx="2">
                  <c:v>120</c:v>
                </c:pt>
                <c:pt idx="3">
                  <c:v>67</c:v>
                </c:pt>
                <c:pt idx="4">
                  <c:v>206</c:v>
                </c:pt>
                <c:pt idx="5">
                  <c:v>60</c:v>
                </c:pt>
                <c:pt idx="6">
                  <c:v>82</c:v>
                </c:pt>
                <c:pt idx="7">
                  <c:v>97</c:v>
                </c:pt>
              </c:numCache>
            </c:numRef>
          </c:val>
          <c:extLst xmlns:c16r2="http://schemas.microsoft.com/office/drawing/2015/06/chart">
            <c:ext xmlns:c16="http://schemas.microsoft.com/office/drawing/2014/chart" uri="{C3380CC4-5D6E-409C-BE32-E72D297353CC}">
              <c16:uniqueId val="{00000003-870C-493E-9DC3-1DC7047B2B75}"/>
            </c:ext>
          </c:extLst>
        </c:ser>
        <c:ser>
          <c:idx val="4"/>
          <c:order val="4"/>
          <c:tx>
            <c:strRef>
              <c:f>Sheet1!$AM$33</c:f>
              <c:strCache>
                <c:ptCount val="1"/>
                <c:pt idx="0">
                  <c:v>300</c:v>
                </c:pt>
              </c:strCache>
            </c:strRef>
          </c:tx>
          <c:spPr>
            <a:solidFill>
              <a:schemeClr val="accent5"/>
            </a:solidFill>
            <a:ln>
              <a:noFill/>
            </a:ln>
            <a:effectLst/>
          </c:spPr>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Sheet1!$AM$34:$AM$41</c:f>
              <c:numCache>
                <c:formatCode>General</c:formatCode>
                <c:ptCount val="8"/>
                <c:pt idx="0">
                  <c:v>53</c:v>
                </c:pt>
                <c:pt idx="1">
                  <c:v>71</c:v>
                </c:pt>
                <c:pt idx="2">
                  <c:v>109</c:v>
                </c:pt>
                <c:pt idx="3">
                  <c:v>59</c:v>
                </c:pt>
                <c:pt idx="4">
                  <c:v>175</c:v>
                </c:pt>
                <c:pt idx="5">
                  <c:v>52</c:v>
                </c:pt>
                <c:pt idx="6">
                  <c:v>79</c:v>
                </c:pt>
                <c:pt idx="7">
                  <c:v>85</c:v>
                </c:pt>
              </c:numCache>
            </c:numRef>
          </c:val>
          <c:extLst xmlns:c16r2="http://schemas.microsoft.com/office/drawing/2015/06/chart">
            <c:ext xmlns:c16="http://schemas.microsoft.com/office/drawing/2014/chart" uri="{C3380CC4-5D6E-409C-BE32-E72D297353CC}">
              <c16:uniqueId val="{00000004-870C-493E-9DC3-1DC7047B2B75}"/>
            </c:ext>
          </c:extLst>
        </c:ser>
        <c:gapWidth val="300"/>
        <c:axId val="131346432"/>
        <c:axId val="131348352"/>
      </c:barChart>
      <c:lineChart>
        <c:grouping val="standard"/>
        <c:ser>
          <c:idx val="5"/>
          <c:order val="5"/>
          <c:tx>
            <c:strRef>
              <c:f>Sheet1!$AN$33</c:f>
              <c:strCache>
                <c:ptCount val="1"/>
              </c:strCache>
            </c:strRef>
          </c:tx>
          <c:spPr>
            <a:ln w="28575" cap="rnd">
              <a:noFill/>
              <a:round/>
            </a:ln>
            <a:effectLst/>
          </c:spPr>
          <c:marker>
            <c:symbol val="none"/>
          </c:marker>
          <c:errBars>
            <c:errDir val="y"/>
            <c:errBarType val="both"/>
            <c:errValType val="cust"/>
            <c:plus>
              <c:numRef>
                <c:f>Sheet1!$AP$34:$AP$41</c:f>
                <c:numCache>
                  <c:formatCode>General</c:formatCode>
                  <c:ptCount val="8"/>
                  <c:pt idx="0">
                    <c:v>11</c:v>
                  </c:pt>
                  <c:pt idx="1">
                    <c:v>6</c:v>
                  </c:pt>
                  <c:pt idx="2">
                    <c:v>4.5</c:v>
                  </c:pt>
                  <c:pt idx="3">
                    <c:v>7</c:v>
                  </c:pt>
                  <c:pt idx="4">
                    <c:v>4</c:v>
                  </c:pt>
                  <c:pt idx="5">
                    <c:v>2</c:v>
                  </c:pt>
                  <c:pt idx="6">
                    <c:v>3</c:v>
                  </c:pt>
                  <c:pt idx="7">
                    <c:v>4</c:v>
                  </c:pt>
                </c:numCache>
              </c:numRef>
            </c:plus>
            <c:minus>
              <c:numRef>
                <c:f>Sheet1!$AP$34:$AP$41</c:f>
                <c:numCache>
                  <c:formatCode>General</c:formatCode>
                  <c:ptCount val="8"/>
                  <c:pt idx="0">
                    <c:v>11</c:v>
                  </c:pt>
                  <c:pt idx="1">
                    <c:v>6</c:v>
                  </c:pt>
                  <c:pt idx="2">
                    <c:v>4.5</c:v>
                  </c:pt>
                  <c:pt idx="3">
                    <c:v>7</c:v>
                  </c:pt>
                  <c:pt idx="4">
                    <c:v>4</c:v>
                  </c:pt>
                  <c:pt idx="5">
                    <c:v>2</c:v>
                  </c:pt>
                  <c:pt idx="6">
                    <c:v>3</c:v>
                  </c:pt>
                  <c:pt idx="7">
                    <c:v>4</c:v>
                  </c:pt>
                </c:numCache>
              </c:numRef>
            </c:minus>
            <c:spPr>
              <a:noFill/>
              <a:ln w="9525" cap="flat" cmpd="sng" algn="ctr">
                <a:solidFill>
                  <a:schemeClr val="tx1">
                    <a:lumMod val="65000"/>
                    <a:lumOff val="35000"/>
                  </a:schemeClr>
                </a:solidFill>
                <a:round/>
              </a:ln>
              <a:effectLst/>
            </c:spPr>
          </c:errBars>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Sheet1!$AN$34:$AN$41</c:f>
              <c:numCache>
                <c:formatCode>General</c:formatCode>
                <c:ptCount val="8"/>
                <c:pt idx="0">
                  <c:v>90</c:v>
                </c:pt>
                <c:pt idx="1">
                  <c:v>100</c:v>
                </c:pt>
                <c:pt idx="2">
                  <c:v>170</c:v>
                </c:pt>
                <c:pt idx="3">
                  <c:v>90</c:v>
                </c:pt>
                <c:pt idx="4">
                  <c:v>250</c:v>
                </c:pt>
                <c:pt idx="5">
                  <c:v>80</c:v>
                </c:pt>
                <c:pt idx="6">
                  <c:v>110</c:v>
                </c:pt>
                <c:pt idx="7">
                  <c:v>130</c:v>
                </c:pt>
              </c:numCache>
            </c:numRef>
          </c:val>
          <c:extLst xmlns:c16r2="http://schemas.microsoft.com/office/drawing/2015/06/chart">
            <c:ext xmlns:c16="http://schemas.microsoft.com/office/drawing/2014/chart" uri="{C3380CC4-5D6E-409C-BE32-E72D297353CC}">
              <c16:uniqueId val="{00000005-870C-493E-9DC3-1DC7047B2B75}"/>
            </c:ext>
          </c:extLst>
        </c:ser>
        <c:marker val="1"/>
        <c:axId val="131346432"/>
        <c:axId val="131348352"/>
      </c:lineChart>
      <c:catAx>
        <c:axId val="131346432"/>
        <c:scaling>
          <c:orientation val="minMax"/>
        </c:scaling>
        <c:axPos val="b"/>
        <c:title>
          <c:tx>
            <c:rich>
              <a:bodyPr rot="0" vert="horz"/>
              <a:lstStyle/>
              <a:p>
                <a:pPr>
                  <a:defRPr lang="en-US" b="0"/>
                </a:pPr>
                <a:r>
                  <a:rPr lang="en-US" b="0"/>
                  <a:t>Site (bars are LSDs, p≤0.05)</a:t>
                </a:r>
              </a:p>
            </c:rich>
          </c:tx>
          <c:layout>
            <c:manualLayout>
              <c:xMode val="edge"/>
              <c:yMode val="edge"/>
              <c:x val="2.4499229844497903E-2"/>
              <c:y val="0.89670101526698232"/>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31348352"/>
        <c:crosses val="autoZero"/>
        <c:auto val="1"/>
        <c:lblAlgn val="ctr"/>
        <c:lblOffset val="100"/>
      </c:catAx>
      <c:valAx>
        <c:axId val="131348352"/>
        <c:scaling>
          <c:orientation val="minMax"/>
          <c:max val="275"/>
          <c:min val="3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31346432"/>
        <c:crosses val="autoZero"/>
        <c:crossBetween val="between"/>
        <c:majorUnit val="30"/>
      </c:valAx>
      <c:spPr>
        <a:noFill/>
        <a:ln>
          <a:noFill/>
        </a:ln>
        <a:effectLst/>
      </c:spPr>
    </c:plotArea>
    <c:legend>
      <c:legendPos val="b"/>
      <c:layout>
        <c:manualLayout>
          <c:xMode val="edge"/>
          <c:yMode val="edge"/>
          <c:x val="3.4350118947177995E-2"/>
          <c:y val="0.81224107436731185"/>
          <c:w val="0.58773060281787304"/>
          <c:h val="7.7515471337786995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5147033812877531"/>
          <c:y val="0.15965024248066054"/>
          <c:w val="0.84852962575176227"/>
          <c:h val="0.76232599870617279"/>
        </c:manualLayout>
      </c:layout>
      <c:barChart>
        <c:barDir val="col"/>
        <c:grouping val="clustered"/>
        <c:ser>
          <c:idx val="0"/>
          <c:order val="0"/>
          <c:tx>
            <c:strRef>
              <c:f>Sheet1!$AP$151</c:f>
              <c:strCache>
                <c:ptCount val="1"/>
                <c:pt idx="0">
                  <c:v>Timbilil</c:v>
                </c:pt>
              </c:strCache>
            </c:strRef>
          </c:tx>
          <c:spPr>
            <a:solidFill>
              <a:schemeClr val="accent1"/>
            </a:solidFill>
            <a:ln>
              <a:noFill/>
            </a:ln>
            <a:effectLst/>
          </c:spPr>
          <c:cat>
            <c:strRef>
              <c:f>Sheet1!$AO$152:$AO$155</c:f>
              <c:strCache>
                <c:ptCount val="4"/>
                <c:pt idx="0">
                  <c:v>0-10</c:v>
                </c:pt>
                <c:pt idx="1">
                  <c:v>10-20</c:v>
                </c:pt>
                <c:pt idx="2">
                  <c:v>20-30</c:v>
                </c:pt>
                <c:pt idx="3">
                  <c:v>40-60</c:v>
                </c:pt>
              </c:strCache>
            </c:strRef>
          </c:cat>
          <c:val>
            <c:numRef>
              <c:f>Sheet1!$AP$152:$AP$155</c:f>
              <c:numCache>
                <c:formatCode>General</c:formatCode>
                <c:ptCount val="4"/>
                <c:pt idx="0">
                  <c:v>358</c:v>
                </c:pt>
                <c:pt idx="1">
                  <c:v>374</c:v>
                </c:pt>
                <c:pt idx="2">
                  <c:v>352</c:v>
                </c:pt>
                <c:pt idx="3">
                  <c:v>332</c:v>
                </c:pt>
              </c:numCache>
            </c:numRef>
          </c:val>
          <c:extLst xmlns:c16r2="http://schemas.microsoft.com/office/drawing/2015/06/chart">
            <c:ext xmlns:c16="http://schemas.microsoft.com/office/drawing/2014/chart" uri="{C3380CC4-5D6E-409C-BE32-E72D297353CC}">
              <c16:uniqueId val="{00000000-AF53-4D57-A969-C72BDC289216}"/>
            </c:ext>
          </c:extLst>
        </c:ser>
        <c:ser>
          <c:idx val="1"/>
          <c:order val="1"/>
          <c:tx>
            <c:strRef>
              <c:f>Sheet1!$AQ$151</c:f>
              <c:strCache>
                <c:ptCount val="1"/>
                <c:pt idx="0">
                  <c:v>Changoi</c:v>
                </c:pt>
              </c:strCache>
            </c:strRef>
          </c:tx>
          <c:spPr>
            <a:solidFill>
              <a:schemeClr val="accent2"/>
            </a:solidFill>
            <a:ln>
              <a:noFill/>
            </a:ln>
            <a:effectLst/>
          </c:spPr>
          <c:cat>
            <c:strRef>
              <c:f>Sheet1!$AO$152:$AO$155</c:f>
              <c:strCache>
                <c:ptCount val="4"/>
                <c:pt idx="0">
                  <c:v>0-10</c:v>
                </c:pt>
                <c:pt idx="1">
                  <c:v>10-20</c:v>
                </c:pt>
                <c:pt idx="2">
                  <c:v>20-30</c:v>
                </c:pt>
                <c:pt idx="3">
                  <c:v>40-60</c:v>
                </c:pt>
              </c:strCache>
            </c:strRef>
          </c:cat>
          <c:val>
            <c:numRef>
              <c:f>Sheet1!$AQ$152:$AQ$155</c:f>
              <c:numCache>
                <c:formatCode>General</c:formatCode>
                <c:ptCount val="4"/>
                <c:pt idx="0">
                  <c:v>282</c:v>
                </c:pt>
                <c:pt idx="1">
                  <c:v>213</c:v>
                </c:pt>
                <c:pt idx="2">
                  <c:v>205</c:v>
                </c:pt>
                <c:pt idx="3">
                  <c:v>126</c:v>
                </c:pt>
              </c:numCache>
            </c:numRef>
          </c:val>
          <c:extLst xmlns:c16r2="http://schemas.microsoft.com/office/drawing/2015/06/chart">
            <c:ext xmlns:c16="http://schemas.microsoft.com/office/drawing/2014/chart" uri="{C3380CC4-5D6E-409C-BE32-E72D297353CC}">
              <c16:uniqueId val="{00000001-AF53-4D57-A969-C72BDC289216}"/>
            </c:ext>
          </c:extLst>
        </c:ser>
        <c:ser>
          <c:idx val="2"/>
          <c:order val="2"/>
          <c:tx>
            <c:strRef>
              <c:f>Sheet1!$AR$151</c:f>
              <c:strCache>
                <c:ptCount val="1"/>
                <c:pt idx="0">
                  <c:v>Arroket</c:v>
                </c:pt>
              </c:strCache>
            </c:strRef>
          </c:tx>
          <c:spPr>
            <a:solidFill>
              <a:schemeClr val="accent3"/>
            </a:solidFill>
            <a:ln>
              <a:noFill/>
            </a:ln>
            <a:effectLst/>
          </c:spPr>
          <c:cat>
            <c:strRef>
              <c:f>Sheet1!$AO$152:$AO$155</c:f>
              <c:strCache>
                <c:ptCount val="4"/>
                <c:pt idx="0">
                  <c:v>0-10</c:v>
                </c:pt>
                <c:pt idx="1">
                  <c:v>10-20</c:v>
                </c:pt>
                <c:pt idx="2">
                  <c:v>20-30</c:v>
                </c:pt>
                <c:pt idx="3">
                  <c:v>40-60</c:v>
                </c:pt>
              </c:strCache>
            </c:strRef>
          </c:cat>
          <c:val>
            <c:numRef>
              <c:f>Sheet1!$AR$152:$AR$155</c:f>
              <c:numCache>
                <c:formatCode>General</c:formatCode>
                <c:ptCount val="4"/>
                <c:pt idx="0">
                  <c:v>319</c:v>
                </c:pt>
                <c:pt idx="1">
                  <c:v>307</c:v>
                </c:pt>
                <c:pt idx="2">
                  <c:v>259</c:v>
                </c:pt>
                <c:pt idx="3">
                  <c:v>276</c:v>
                </c:pt>
              </c:numCache>
            </c:numRef>
          </c:val>
          <c:extLst xmlns:c16r2="http://schemas.microsoft.com/office/drawing/2015/06/chart">
            <c:ext xmlns:c16="http://schemas.microsoft.com/office/drawing/2014/chart" uri="{C3380CC4-5D6E-409C-BE32-E72D297353CC}">
              <c16:uniqueId val="{00000002-AF53-4D57-A969-C72BDC289216}"/>
            </c:ext>
          </c:extLst>
        </c:ser>
        <c:ser>
          <c:idx val="3"/>
          <c:order val="3"/>
          <c:tx>
            <c:strRef>
              <c:f>Sheet1!$AS$151</c:f>
              <c:strCache>
                <c:ptCount val="1"/>
                <c:pt idx="0">
                  <c:v>Kitabi</c:v>
                </c:pt>
              </c:strCache>
            </c:strRef>
          </c:tx>
          <c:spPr>
            <a:solidFill>
              <a:schemeClr val="accent4"/>
            </a:solidFill>
            <a:ln>
              <a:noFill/>
            </a:ln>
            <a:effectLst/>
          </c:spPr>
          <c:cat>
            <c:strRef>
              <c:f>Sheet1!$AO$152:$AO$155</c:f>
              <c:strCache>
                <c:ptCount val="4"/>
                <c:pt idx="0">
                  <c:v>0-10</c:v>
                </c:pt>
                <c:pt idx="1">
                  <c:v>10-20</c:v>
                </c:pt>
                <c:pt idx="2">
                  <c:v>20-30</c:v>
                </c:pt>
                <c:pt idx="3">
                  <c:v>40-60</c:v>
                </c:pt>
              </c:strCache>
            </c:strRef>
          </c:cat>
          <c:val>
            <c:numRef>
              <c:f>Sheet1!$AS$152:$AS$155</c:f>
              <c:numCache>
                <c:formatCode>General</c:formatCode>
                <c:ptCount val="4"/>
                <c:pt idx="0">
                  <c:v>3</c:v>
                </c:pt>
                <c:pt idx="1">
                  <c:v>3</c:v>
                </c:pt>
                <c:pt idx="2">
                  <c:v>2</c:v>
                </c:pt>
                <c:pt idx="3">
                  <c:v>2</c:v>
                </c:pt>
              </c:numCache>
            </c:numRef>
          </c:val>
          <c:extLst xmlns:c16r2="http://schemas.microsoft.com/office/drawing/2015/06/chart">
            <c:ext xmlns:c16="http://schemas.microsoft.com/office/drawing/2014/chart" uri="{C3380CC4-5D6E-409C-BE32-E72D297353CC}">
              <c16:uniqueId val="{00000003-AF53-4D57-A969-C72BDC289216}"/>
            </c:ext>
          </c:extLst>
        </c:ser>
        <c:ser>
          <c:idx val="4"/>
          <c:order val="4"/>
          <c:tx>
            <c:strRef>
              <c:f>Sheet1!$AT$151</c:f>
              <c:strCache>
                <c:ptCount val="1"/>
                <c:pt idx="0">
                  <c:v>Mulindi</c:v>
                </c:pt>
              </c:strCache>
            </c:strRef>
          </c:tx>
          <c:spPr>
            <a:solidFill>
              <a:schemeClr val="accent5"/>
            </a:solidFill>
            <a:ln>
              <a:noFill/>
            </a:ln>
            <a:effectLst/>
          </c:spPr>
          <c:cat>
            <c:strRef>
              <c:f>Sheet1!$AO$152:$AO$155</c:f>
              <c:strCache>
                <c:ptCount val="4"/>
                <c:pt idx="0">
                  <c:v>0-10</c:v>
                </c:pt>
                <c:pt idx="1">
                  <c:v>10-20</c:v>
                </c:pt>
                <c:pt idx="2">
                  <c:v>20-30</c:v>
                </c:pt>
                <c:pt idx="3">
                  <c:v>40-60</c:v>
                </c:pt>
              </c:strCache>
            </c:strRef>
          </c:cat>
          <c:val>
            <c:numRef>
              <c:f>Sheet1!$AT$152:$AT$155</c:f>
              <c:numCache>
                <c:formatCode>General</c:formatCode>
                <c:ptCount val="4"/>
                <c:pt idx="0">
                  <c:v>72</c:v>
                </c:pt>
                <c:pt idx="1">
                  <c:v>80</c:v>
                </c:pt>
                <c:pt idx="2">
                  <c:v>106</c:v>
                </c:pt>
                <c:pt idx="3">
                  <c:v>86</c:v>
                </c:pt>
              </c:numCache>
            </c:numRef>
          </c:val>
          <c:extLst xmlns:c16r2="http://schemas.microsoft.com/office/drawing/2015/06/chart">
            <c:ext xmlns:c16="http://schemas.microsoft.com/office/drawing/2014/chart" uri="{C3380CC4-5D6E-409C-BE32-E72D297353CC}">
              <c16:uniqueId val="{00000004-AF53-4D57-A969-C72BDC289216}"/>
            </c:ext>
          </c:extLst>
        </c:ser>
        <c:ser>
          <c:idx val="5"/>
          <c:order val="5"/>
          <c:tx>
            <c:strRef>
              <c:f>Sheet1!$AU$151</c:f>
              <c:strCache>
                <c:ptCount val="1"/>
                <c:pt idx="0">
                  <c:v>Katoke</c:v>
                </c:pt>
              </c:strCache>
            </c:strRef>
          </c:tx>
          <c:spPr>
            <a:solidFill>
              <a:schemeClr val="accent6"/>
            </a:solidFill>
            <a:ln>
              <a:noFill/>
            </a:ln>
            <a:effectLst/>
          </c:spPr>
          <c:cat>
            <c:strRef>
              <c:f>Sheet1!$AO$152:$AO$155</c:f>
              <c:strCache>
                <c:ptCount val="4"/>
                <c:pt idx="0">
                  <c:v>0-10</c:v>
                </c:pt>
                <c:pt idx="1">
                  <c:v>10-20</c:v>
                </c:pt>
                <c:pt idx="2">
                  <c:v>20-30</c:v>
                </c:pt>
                <c:pt idx="3">
                  <c:v>40-60</c:v>
                </c:pt>
              </c:strCache>
            </c:strRef>
          </c:cat>
          <c:val>
            <c:numRef>
              <c:f>Sheet1!$AU$152:$AU$155</c:f>
              <c:numCache>
                <c:formatCode>General</c:formatCode>
                <c:ptCount val="4"/>
                <c:pt idx="0">
                  <c:v>25</c:v>
                </c:pt>
                <c:pt idx="1">
                  <c:v>24</c:v>
                </c:pt>
                <c:pt idx="2">
                  <c:v>18</c:v>
                </c:pt>
                <c:pt idx="3">
                  <c:v>22</c:v>
                </c:pt>
              </c:numCache>
            </c:numRef>
          </c:val>
          <c:extLst xmlns:c16r2="http://schemas.microsoft.com/office/drawing/2015/06/chart">
            <c:ext xmlns:c16="http://schemas.microsoft.com/office/drawing/2014/chart" uri="{C3380CC4-5D6E-409C-BE32-E72D297353CC}">
              <c16:uniqueId val="{00000005-AF53-4D57-A969-C72BDC289216}"/>
            </c:ext>
          </c:extLst>
        </c:ser>
        <c:ser>
          <c:idx val="6"/>
          <c:order val="6"/>
          <c:tx>
            <c:strRef>
              <c:f>Sheet1!$AV$151</c:f>
              <c:strCache>
                <c:ptCount val="1"/>
                <c:pt idx="0">
                  <c:v>Maruku</c:v>
                </c:pt>
              </c:strCache>
            </c:strRef>
          </c:tx>
          <c:spPr>
            <a:solidFill>
              <a:schemeClr val="accent1">
                <a:lumMod val="60000"/>
              </a:schemeClr>
            </a:solidFill>
            <a:ln>
              <a:noFill/>
            </a:ln>
            <a:effectLst/>
          </c:spPr>
          <c:cat>
            <c:strRef>
              <c:f>Sheet1!$AO$152:$AO$155</c:f>
              <c:strCache>
                <c:ptCount val="4"/>
                <c:pt idx="0">
                  <c:v>0-10</c:v>
                </c:pt>
                <c:pt idx="1">
                  <c:v>10-20</c:v>
                </c:pt>
                <c:pt idx="2">
                  <c:v>20-30</c:v>
                </c:pt>
                <c:pt idx="3">
                  <c:v>40-60</c:v>
                </c:pt>
              </c:strCache>
            </c:strRef>
          </c:cat>
          <c:val>
            <c:numRef>
              <c:f>Sheet1!$AV$152:$AV$155</c:f>
              <c:numCache>
                <c:formatCode>General</c:formatCode>
                <c:ptCount val="4"/>
                <c:pt idx="0">
                  <c:v>12</c:v>
                </c:pt>
                <c:pt idx="1">
                  <c:v>11</c:v>
                </c:pt>
                <c:pt idx="2">
                  <c:v>9</c:v>
                </c:pt>
                <c:pt idx="3">
                  <c:v>9</c:v>
                </c:pt>
              </c:numCache>
            </c:numRef>
          </c:val>
          <c:extLst xmlns:c16r2="http://schemas.microsoft.com/office/drawing/2015/06/chart">
            <c:ext xmlns:c16="http://schemas.microsoft.com/office/drawing/2014/chart" uri="{C3380CC4-5D6E-409C-BE32-E72D297353CC}">
              <c16:uniqueId val="{00000006-AF53-4D57-A969-C72BDC289216}"/>
            </c:ext>
          </c:extLst>
        </c:ser>
        <c:gapWidth val="300"/>
        <c:axId val="134859776"/>
        <c:axId val="135197824"/>
      </c:barChart>
      <c:lineChart>
        <c:grouping val="standard"/>
        <c:ser>
          <c:idx val="7"/>
          <c:order val="7"/>
          <c:tx>
            <c:strRef>
              <c:f>Sheet1!$AW$151</c:f>
              <c:strCache>
                <c:ptCount val="1"/>
              </c:strCache>
            </c:strRef>
          </c:tx>
          <c:spPr>
            <a:ln w="28575" cap="rnd">
              <a:noFill/>
              <a:round/>
            </a:ln>
            <a:effectLst/>
          </c:spPr>
          <c:marker>
            <c:symbol val="none"/>
          </c:marker>
          <c:errBars>
            <c:errDir val="y"/>
            <c:errBarType val="both"/>
            <c:errValType val="cust"/>
            <c:plus>
              <c:numRef>
                <c:f>Sheet1!$AX$152:$AX$155</c:f>
                <c:numCache>
                  <c:formatCode>General</c:formatCode>
                  <c:ptCount val="4"/>
                  <c:pt idx="0">
                    <c:v>2</c:v>
                  </c:pt>
                  <c:pt idx="1">
                    <c:v>2.5</c:v>
                  </c:pt>
                  <c:pt idx="2">
                    <c:v>2</c:v>
                  </c:pt>
                  <c:pt idx="3">
                    <c:v>2</c:v>
                  </c:pt>
                </c:numCache>
              </c:numRef>
            </c:plus>
            <c:minus>
              <c:numRef>
                <c:f>Sheet1!$AX$152:$AX$155</c:f>
                <c:numCache>
                  <c:formatCode>General</c:formatCode>
                  <c:ptCount val="4"/>
                  <c:pt idx="0">
                    <c:v>2</c:v>
                  </c:pt>
                  <c:pt idx="1">
                    <c:v>2.5</c:v>
                  </c:pt>
                  <c:pt idx="2">
                    <c:v>2</c:v>
                  </c:pt>
                  <c:pt idx="3">
                    <c:v>2</c:v>
                  </c:pt>
                </c:numCache>
              </c:numRef>
            </c:minus>
            <c:spPr>
              <a:noFill/>
              <a:ln w="9525" cap="flat" cmpd="sng" algn="ctr">
                <a:solidFill>
                  <a:schemeClr val="tx1">
                    <a:lumMod val="65000"/>
                    <a:lumOff val="35000"/>
                  </a:schemeClr>
                </a:solidFill>
                <a:round/>
              </a:ln>
              <a:effectLst/>
            </c:spPr>
          </c:errBars>
          <c:cat>
            <c:strRef>
              <c:f>Sheet1!$AO$152:$AO$155</c:f>
              <c:strCache>
                <c:ptCount val="4"/>
                <c:pt idx="0">
                  <c:v>0-10</c:v>
                </c:pt>
                <c:pt idx="1">
                  <c:v>10-20</c:v>
                </c:pt>
                <c:pt idx="2">
                  <c:v>20-30</c:v>
                </c:pt>
                <c:pt idx="3">
                  <c:v>40-60</c:v>
                </c:pt>
              </c:strCache>
            </c:strRef>
          </c:cat>
          <c:val>
            <c:numRef>
              <c:f>Sheet1!$AW$152:$AW$155</c:f>
              <c:numCache>
                <c:formatCode>General</c:formatCode>
                <c:ptCount val="4"/>
                <c:pt idx="0">
                  <c:v>340</c:v>
                </c:pt>
                <c:pt idx="1">
                  <c:v>320</c:v>
                </c:pt>
                <c:pt idx="2">
                  <c:v>280</c:v>
                </c:pt>
                <c:pt idx="3">
                  <c:v>280</c:v>
                </c:pt>
              </c:numCache>
            </c:numRef>
          </c:val>
          <c:extLst xmlns:c16r2="http://schemas.microsoft.com/office/drawing/2015/06/chart">
            <c:ext xmlns:c16="http://schemas.microsoft.com/office/drawing/2014/chart" uri="{C3380CC4-5D6E-409C-BE32-E72D297353CC}">
              <c16:uniqueId val="{00000007-AF53-4D57-A969-C72BDC289216}"/>
            </c:ext>
          </c:extLst>
        </c:ser>
        <c:marker val="1"/>
        <c:axId val="134859776"/>
        <c:axId val="135197824"/>
      </c:lineChart>
      <c:catAx>
        <c:axId val="134859776"/>
        <c:scaling>
          <c:orientation val="minMax"/>
        </c:scaling>
        <c:axPos val="b"/>
        <c:title>
          <c:tx>
            <c:rich>
              <a:bodyPr rot="0" vert="horz"/>
              <a:lstStyle/>
              <a:p>
                <a:pPr>
                  <a:defRPr lang="en-US" b="0"/>
                </a:pPr>
                <a:r>
                  <a:rPr lang="en-US" b="0"/>
                  <a:t>Soil Depths (cm) (bars are LSDs, p≤0.05)</a:t>
                </a:r>
              </a:p>
            </c:rich>
          </c:tx>
          <c:layout>
            <c:manualLayout>
              <c:xMode val="edge"/>
              <c:yMode val="edge"/>
              <c:x val="0.34298543028098982"/>
              <c:y val="0.8702876210319240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35197824"/>
        <c:crosses val="autoZero"/>
        <c:auto val="1"/>
        <c:lblAlgn val="ctr"/>
        <c:lblOffset val="100"/>
      </c:catAx>
      <c:valAx>
        <c:axId val="135197824"/>
        <c:scaling>
          <c:orientation val="minMax"/>
          <c:max val="375"/>
          <c:min val="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34859776"/>
        <c:crosses val="autoZero"/>
        <c:crossBetween val="between"/>
        <c:majorUnit val="40"/>
      </c:valAx>
      <c:spPr>
        <a:noFill/>
        <a:ln>
          <a:noFill/>
        </a:ln>
        <a:effectLst/>
      </c:spPr>
    </c:plotArea>
    <c:legend>
      <c:legendPos val="b"/>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8290861969463254"/>
          <c:y val="3.4445640473627602E-2"/>
          <c:w val="0.77454641801567536"/>
          <c:h val="0.6786082740733842"/>
        </c:manualLayout>
      </c:layout>
      <c:barChart>
        <c:barDir val="col"/>
        <c:grouping val="clustered"/>
        <c:ser>
          <c:idx val="0"/>
          <c:order val="0"/>
          <c:tx>
            <c:strRef>
              <c:f>Sheet1!$C$150</c:f>
              <c:strCache>
                <c:ptCount val="1"/>
                <c:pt idx="0">
                  <c:v>0</c:v>
                </c:pt>
              </c:strCache>
            </c:strRef>
          </c:tx>
          <c:spPr>
            <a:solidFill>
              <a:schemeClr val="accent1"/>
            </a:solidFill>
            <a:ln>
              <a:noFill/>
            </a:ln>
            <a:effectLst/>
          </c:spPr>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Sheet1!$C$151:$C$158</c:f>
              <c:numCache>
                <c:formatCode>General</c:formatCode>
                <c:ptCount val="8"/>
                <c:pt idx="0">
                  <c:v>320</c:v>
                </c:pt>
                <c:pt idx="1">
                  <c:v>188</c:v>
                </c:pt>
                <c:pt idx="2">
                  <c:v>192</c:v>
                </c:pt>
                <c:pt idx="3">
                  <c:v>2</c:v>
                </c:pt>
                <c:pt idx="4">
                  <c:v>35</c:v>
                </c:pt>
                <c:pt idx="5">
                  <c:v>15</c:v>
                </c:pt>
                <c:pt idx="6">
                  <c:v>9</c:v>
                </c:pt>
                <c:pt idx="7">
                  <c:v>115</c:v>
                </c:pt>
              </c:numCache>
            </c:numRef>
          </c:val>
          <c:extLst xmlns:c16r2="http://schemas.microsoft.com/office/drawing/2015/06/chart">
            <c:ext xmlns:c16="http://schemas.microsoft.com/office/drawing/2014/chart" uri="{C3380CC4-5D6E-409C-BE32-E72D297353CC}">
              <c16:uniqueId val="{00000000-C3BC-4203-AA3E-F24AE2F40DE7}"/>
            </c:ext>
          </c:extLst>
        </c:ser>
        <c:ser>
          <c:idx val="1"/>
          <c:order val="1"/>
          <c:tx>
            <c:strRef>
              <c:f>Sheet1!$D$150</c:f>
              <c:strCache>
                <c:ptCount val="1"/>
                <c:pt idx="0">
                  <c:v>75</c:v>
                </c:pt>
              </c:strCache>
            </c:strRef>
          </c:tx>
          <c:spPr>
            <a:solidFill>
              <a:schemeClr val="accent2"/>
            </a:solidFill>
            <a:ln>
              <a:noFill/>
            </a:ln>
            <a:effectLst/>
          </c:spPr>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Sheet1!$D$151:$D$158</c:f>
              <c:numCache>
                <c:formatCode>General</c:formatCode>
                <c:ptCount val="8"/>
                <c:pt idx="0">
                  <c:v>359</c:v>
                </c:pt>
                <c:pt idx="1">
                  <c:v>221</c:v>
                </c:pt>
                <c:pt idx="2">
                  <c:v>256</c:v>
                </c:pt>
                <c:pt idx="3">
                  <c:v>2</c:v>
                </c:pt>
                <c:pt idx="4">
                  <c:v>54</c:v>
                </c:pt>
                <c:pt idx="5">
                  <c:v>19</c:v>
                </c:pt>
                <c:pt idx="6">
                  <c:v>10</c:v>
                </c:pt>
                <c:pt idx="7">
                  <c:v>132</c:v>
                </c:pt>
              </c:numCache>
            </c:numRef>
          </c:val>
          <c:extLst xmlns:c16r2="http://schemas.microsoft.com/office/drawing/2015/06/chart">
            <c:ext xmlns:c16="http://schemas.microsoft.com/office/drawing/2014/chart" uri="{C3380CC4-5D6E-409C-BE32-E72D297353CC}">
              <c16:uniqueId val="{00000001-C3BC-4203-AA3E-F24AE2F40DE7}"/>
            </c:ext>
          </c:extLst>
        </c:ser>
        <c:ser>
          <c:idx val="2"/>
          <c:order val="2"/>
          <c:tx>
            <c:strRef>
              <c:f>Sheet1!$E$150</c:f>
              <c:strCache>
                <c:ptCount val="1"/>
                <c:pt idx="0">
                  <c:v>150</c:v>
                </c:pt>
              </c:strCache>
            </c:strRef>
          </c:tx>
          <c:spPr>
            <a:solidFill>
              <a:schemeClr val="accent3"/>
            </a:solidFill>
            <a:ln>
              <a:noFill/>
            </a:ln>
            <a:effectLst/>
          </c:spPr>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Sheet1!$E$151:$E$158</c:f>
              <c:numCache>
                <c:formatCode>General</c:formatCode>
                <c:ptCount val="8"/>
                <c:pt idx="0">
                  <c:v>365</c:v>
                </c:pt>
                <c:pt idx="1">
                  <c:v>298</c:v>
                </c:pt>
                <c:pt idx="2">
                  <c:v>307</c:v>
                </c:pt>
                <c:pt idx="3">
                  <c:v>3</c:v>
                </c:pt>
                <c:pt idx="4">
                  <c:v>71</c:v>
                </c:pt>
                <c:pt idx="5">
                  <c:v>25</c:v>
                </c:pt>
                <c:pt idx="6">
                  <c:v>12</c:v>
                </c:pt>
                <c:pt idx="7">
                  <c:v>155</c:v>
                </c:pt>
              </c:numCache>
            </c:numRef>
          </c:val>
          <c:extLst xmlns:c16r2="http://schemas.microsoft.com/office/drawing/2015/06/chart">
            <c:ext xmlns:c16="http://schemas.microsoft.com/office/drawing/2014/chart" uri="{C3380CC4-5D6E-409C-BE32-E72D297353CC}">
              <c16:uniqueId val="{00000002-C3BC-4203-AA3E-F24AE2F40DE7}"/>
            </c:ext>
          </c:extLst>
        </c:ser>
        <c:ser>
          <c:idx val="3"/>
          <c:order val="3"/>
          <c:tx>
            <c:strRef>
              <c:f>Sheet1!$F$150</c:f>
              <c:strCache>
                <c:ptCount val="1"/>
                <c:pt idx="0">
                  <c:v>225</c:v>
                </c:pt>
              </c:strCache>
            </c:strRef>
          </c:tx>
          <c:spPr>
            <a:solidFill>
              <a:schemeClr val="accent4"/>
            </a:solidFill>
            <a:ln>
              <a:noFill/>
            </a:ln>
            <a:effectLst/>
          </c:spPr>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Sheet1!$F$151:$F$158</c:f>
              <c:numCache>
                <c:formatCode>General</c:formatCode>
                <c:ptCount val="8"/>
                <c:pt idx="0">
                  <c:v>369</c:v>
                </c:pt>
                <c:pt idx="1">
                  <c:v>312</c:v>
                </c:pt>
                <c:pt idx="2">
                  <c:v>386</c:v>
                </c:pt>
                <c:pt idx="3">
                  <c:v>3</c:v>
                </c:pt>
                <c:pt idx="4">
                  <c:v>88</c:v>
                </c:pt>
                <c:pt idx="5">
                  <c:v>27</c:v>
                </c:pt>
                <c:pt idx="6">
                  <c:v>13</c:v>
                </c:pt>
                <c:pt idx="7">
                  <c:v>172</c:v>
                </c:pt>
              </c:numCache>
            </c:numRef>
          </c:val>
          <c:extLst xmlns:c16r2="http://schemas.microsoft.com/office/drawing/2015/06/chart">
            <c:ext xmlns:c16="http://schemas.microsoft.com/office/drawing/2014/chart" uri="{C3380CC4-5D6E-409C-BE32-E72D297353CC}">
              <c16:uniqueId val="{00000003-C3BC-4203-AA3E-F24AE2F40DE7}"/>
            </c:ext>
          </c:extLst>
        </c:ser>
        <c:ser>
          <c:idx val="4"/>
          <c:order val="4"/>
          <c:tx>
            <c:strRef>
              <c:f>Sheet1!$G$150</c:f>
              <c:strCache>
                <c:ptCount val="1"/>
                <c:pt idx="0">
                  <c:v>300</c:v>
                </c:pt>
              </c:strCache>
            </c:strRef>
          </c:tx>
          <c:spPr>
            <a:solidFill>
              <a:schemeClr val="accent5"/>
            </a:solidFill>
            <a:ln>
              <a:noFill/>
            </a:ln>
            <a:effectLst/>
          </c:spPr>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Sheet1!$G$151:$G$158</c:f>
              <c:numCache>
                <c:formatCode>General</c:formatCode>
                <c:ptCount val="8"/>
                <c:pt idx="0">
                  <c:v>376</c:v>
                </c:pt>
                <c:pt idx="1">
                  <c:v>393</c:v>
                </c:pt>
                <c:pt idx="2">
                  <c:v>452</c:v>
                </c:pt>
                <c:pt idx="3">
                  <c:v>4</c:v>
                </c:pt>
                <c:pt idx="4">
                  <c:v>115</c:v>
                </c:pt>
                <c:pt idx="5">
                  <c:v>36</c:v>
                </c:pt>
                <c:pt idx="6">
                  <c:v>16</c:v>
                </c:pt>
                <c:pt idx="7">
                  <c:v>191</c:v>
                </c:pt>
              </c:numCache>
            </c:numRef>
          </c:val>
          <c:extLst xmlns:c16r2="http://schemas.microsoft.com/office/drawing/2015/06/chart">
            <c:ext xmlns:c16="http://schemas.microsoft.com/office/drawing/2014/chart" uri="{C3380CC4-5D6E-409C-BE32-E72D297353CC}">
              <c16:uniqueId val="{00000004-C3BC-4203-AA3E-F24AE2F40DE7}"/>
            </c:ext>
          </c:extLst>
        </c:ser>
        <c:gapWidth val="300"/>
        <c:axId val="135507968"/>
        <c:axId val="135509888"/>
      </c:barChart>
      <c:lineChart>
        <c:grouping val="standard"/>
        <c:ser>
          <c:idx val="5"/>
          <c:order val="5"/>
          <c:tx>
            <c:strRef>
              <c:f>Sheet1!$H$150</c:f>
              <c:strCache>
                <c:ptCount val="1"/>
              </c:strCache>
            </c:strRef>
          </c:tx>
          <c:spPr>
            <a:ln w="28575" cap="rnd">
              <a:noFill/>
              <a:round/>
            </a:ln>
            <a:effectLst/>
          </c:spPr>
          <c:marker>
            <c:symbol val="none"/>
          </c:marker>
          <c:errBars>
            <c:errDir val="y"/>
            <c:errBarType val="both"/>
            <c:errValType val="cust"/>
            <c:plus>
              <c:numRef>
                <c:f>Sheet1!$I$151:$I$158</c:f>
                <c:numCache>
                  <c:formatCode>General</c:formatCode>
                  <c:ptCount val="8"/>
                  <c:pt idx="0">
                    <c:v>4</c:v>
                  </c:pt>
                  <c:pt idx="1">
                    <c:v>3.5</c:v>
                  </c:pt>
                  <c:pt idx="2">
                    <c:v>1.5</c:v>
                  </c:pt>
                  <c:pt idx="3">
                    <c:v>2</c:v>
                  </c:pt>
                  <c:pt idx="4">
                    <c:v>5</c:v>
                  </c:pt>
                  <c:pt idx="5">
                    <c:v>1</c:v>
                  </c:pt>
                  <c:pt idx="6">
                    <c:v>2</c:v>
                  </c:pt>
                  <c:pt idx="7">
                    <c:v>1</c:v>
                  </c:pt>
                </c:numCache>
              </c:numRef>
            </c:plus>
            <c:minus>
              <c:numRef>
                <c:f>Sheet1!$I$151:$I$158</c:f>
                <c:numCache>
                  <c:formatCode>General</c:formatCode>
                  <c:ptCount val="8"/>
                  <c:pt idx="0">
                    <c:v>4</c:v>
                  </c:pt>
                  <c:pt idx="1">
                    <c:v>3.5</c:v>
                  </c:pt>
                  <c:pt idx="2">
                    <c:v>1.5</c:v>
                  </c:pt>
                  <c:pt idx="3">
                    <c:v>2</c:v>
                  </c:pt>
                  <c:pt idx="4">
                    <c:v>5</c:v>
                  </c:pt>
                  <c:pt idx="5">
                    <c:v>1</c:v>
                  </c:pt>
                  <c:pt idx="6">
                    <c:v>2</c:v>
                  </c:pt>
                  <c:pt idx="7">
                    <c:v>1</c:v>
                  </c:pt>
                </c:numCache>
              </c:numRef>
            </c:minus>
            <c:spPr>
              <a:noFill/>
              <a:ln w="9525" cap="flat" cmpd="sng" algn="ctr">
                <a:solidFill>
                  <a:schemeClr val="tx1">
                    <a:lumMod val="65000"/>
                    <a:lumOff val="35000"/>
                  </a:schemeClr>
                </a:solidFill>
                <a:round/>
              </a:ln>
              <a:effectLst/>
            </c:spPr>
          </c:errBars>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Sheet1!$H$151:$H$158</c:f>
              <c:numCache>
                <c:formatCode>General</c:formatCode>
                <c:ptCount val="8"/>
                <c:pt idx="0">
                  <c:v>380</c:v>
                </c:pt>
                <c:pt idx="1">
                  <c:v>340</c:v>
                </c:pt>
                <c:pt idx="2">
                  <c:v>390</c:v>
                </c:pt>
                <c:pt idx="3">
                  <c:v>40</c:v>
                </c:pt>
                <c:pt idx="4">
                  <c:v>100</c:v>
                </c:pt>
                <c:pt idx="5">
                  <c:v>40</c:v>
                </c:pt>
                <c:pt idx="6">
                  <c:v>30</c:v>
                </c:pt>
                <c:pt idx="7">
                  <c:v>180</c:v>
                </c:pt>
              </c:numCache>
            </c:numRef>
          </c:val>
          <c:extLst xmlns:c16r2="http://schemas.microsoft.com/office/drawing/2015/06/chart">
            <c:ext xmlns:c16="http://schemas.microsoft.com/office/drawing/2014/chart" uri="{C3380CC4-5D6E-409C-BE32-E72D297353CC}">
              <c16:uniqueId val="{00000005-C3BC-4203-AA3E-F24AE2F40DE7}"/>
            </c:ext>
          </c:extLst>
        </c:ser>
        <c:marker val="1"/>
        <c:axId val="135507968"/>
        <c:axId val="135509888"/>
      </c:lineChart>
      <c:catAx>
        <c:axId val="135507968"/>
        <c:scaling>
          <c:orientation val="minMax"/>
        </c:scaling>
        <c:axPos val="b"/>
        <c:title>
          <c:tx>
            <c:rich>
              <a:bodyPr rot="0" vert="horz"/>
              <a:lstStyle/>
              <a:p>
                <a:pPr>
                  <a:defRPr lang="en-US" b="0"/>
                </a:pPr>
                <a:r>
                  <a:rPr lang="en-US" b="0"/>
                  <a:t>Site (bars are LSDs, p≤0.05)</a:t>
                </a:r>
              </a:p>
            </c:rich>
          </c:tx>
          <c:layout>
            <c:manualLayout>
              <c:xMode val="edge"/>
              <c:yMode val="edge"/>
              <c:x val="5.9738974322272785E-2"/>
              <c:y val="0.91284981734656734"/>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35509888"/>
        <c:crosses val="autoZero"/>
        <c:auto val="1"/>
        <c:lblAlgn val="ctr"/>
        <c:lblOffset val="100"/>
      </c:catAx>
      <c:valAx>
        <c:axId val="135509888"/>
        <c:scaling>
          <c:orientation val="minMax"/>
          <c:max val="455"/>
          <c:min val="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35507968"/>
        <c:crosses val="autoZero"/>
        <c:crossBetween val="between"/>
        <c:majorUnit val="30"/>
      </c:valAx>
      <c:spPr>
        <a:noFill/>
        <a:ln>
          <a:noFill/>
        </a:ln>
        <a:effectLst/>
      </c:spPr>
    </c:plotArea>
    <c:legend>
      <c:legendPos val="b"/>
      <c:layout>
        <c:manualLayout>
          <c:xMode val="edge"/>
          <c:yMode val="edge"/>
          <c:x val="6.9032779720945278E-2"/>
          <c:y val="0.82831594382241502"/>
          <c:w val="0.52930988538441981"/>
          <c:h val="7.2656744227675027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0570258208806991"/>
          <c:y val="4.7008547008547022E-2"/>
          <c:w val="0.74645052795977751"/>
          <c:h val="0.67686856450635979"/>
        </c:manualLayout>
      </c:layout>
      <c:barChart>
        <c:barDir val="col"/>
        <c:grouping val="clustered"/>
        <c:ser>
          <c:idx val="0"/>
          <c:order val="0"/>
          <c:tx>
            <c:strRef>
              <c:f>Sheet1!$L$150</c:f>
              <c:strCache>
                <c:ptCount val="1"/>
                <c:pt idx="0">
                  <c:v>0</c:v>
                </c:pt>
              </c:strCache>
            </c:strRef>
          </c:tx>
          <c:spPr>
            <a:solidFill>
              <a:schemeClr val="accent1"/>
            </a:solidFill>
            <a:ln>
              <a:noFill/>
            </a:ln>
            <a:effectLst/>
          </c:spPr>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Sheet1!$L$151:$L$158</c:f>
              <c:numCache>
                <c:formatCode>General</c:formatCode>
                <c:ptCount val="8"/>
                <c:pt idx="0">
                  <c:v>367</c:v>
                </c:pt>
                <c:pt idx="1">
                  <c:v>164</c:v>
                </c:pt>
                <c:pt idx="2">
                  <c:v>210</c:v>
                </c:pt>
                <c:pt idx="3">
                  <c:v>5</c:v>
                </c:pt>
                <c:pt idx="4">
                  <c:v>39</c:v>
                </c:pt>
                <c:pt idx="5">
                  <c:v>14</c:v>
                </c:pt>
                <c:pt idx="6">
                  <c:v>8</c:v>
                </c:pt>
                <c:pt idx="7">
                  <c:v>117</c:v>
                </c:pt>
              </c:numCache>
            </c:numRef>
          </c:val>
          <c:extLst xmlns:c16r2="http://schemas.microsoft.com/office/drawing/2015/06/chart">
            <c:ext xmlns:c16="http://schemas.microsoft.com/office/drawing/2014/chart" uri="{C3380CC4-5D6E-409C-BE32-E72D297353CC}">
              <c16:uniqueId val="{00000000-42AF-46CE-9CEF-791AB799D943}"/>
            </c:ext>
          </c:extLst>
        </c:ser>
        <c:ser>
          <c:idx val="1"/>
          <c:order val="1"/>
          <c:tx>
            <c:strRef>
              <c:f>Sheet1!$M$150</c:f>
              <c:strCache>
                <c:ptCount val="1"/>
                <c:pt idx="0">
                  <c:v>75</c:v>
                </c:pt>
              </c:strCache>
            </c:strRef>
          </c:tx>
          <c:spPr>
            <a:solidFill>
              <a:schemeClr val="accent2"/>
            </a:solidFill>
            <a:ln>
              <a:noFill/>
            </a:ln>
            <a:effectLst/>
          </c:spPr>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Sheet1!$M$151:$M$158</c:f>
              <c:numCache>
                <c:formatCode>General</c:formatCode>
                <c:ptCount val="8"/>
                <c:pt idx="0">
                  <c:v>368</c:v>
                </c:pt>
                <c:pt idx="1">
                  <c:v>179</c:v>
                </c:pt>
                <c:pt idx="2">
                  <c:v>263</c:v>
                </c:pt>
                <c:pt idx="3">
                  <c:v>5</c:v>
                </c:pt>
                <c:pt idx="4">
                  <c:v>68</c:v>
                </c:pt>
                <c:pt idx="5">
                  <c:v>17</c:v>
                </c:pt>
                <c:pt idx="6">
                  <c:v>10</c:v>
                </c:pt>
                <c:pt idx="7">
                  <c:v>130</c:v>
                </c:pt>
              </c:numCache>
            </c:numRef>
          </c:val>
          <c:extLst xmlns:c16r2="http://schemas.microsoft.com/office/drawing/2015/06/chart">
            <c:ext xmlns:c16="http://schemas.microsoft.com/office/drawing/2014/chart" uri="{C3380CC4-5D6E-409C-BE32-E72D297353CC}">
              <c16:uniqueId val="{00000001-42AF-46CE-9CEF-791AB799D943}"/>
            </c:ext>
          </c:extLst>
        </c:ser>
        <c:ser>
          <c:idx val="2"/>
          <c:order val="2"/>
          <c:tx>
            <c:strRef>
              <c:f>Sheet1!$N$150</c:f>
              <c:strCache>
                <c:ptCount val="1"/>
                <c:pt idx="0">
                  <c:v>150</c:v>
                </c:pt>
              </c:strCache>
            </c:strRef>
          </c:tx>
          <c:spPr>
            <a:solidFill>
              <a:schemeClr val="accent3"/>
            </a:solidFill>
            <a:ln>
              <a:noFill/>
            </a:ln>
            <a:effectLst/>
          </c:spPr>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Sheet1!$N$151:$N$158</c:f>
              <c:numCache>
                <c:formatCode>General</c:formatCode>
                <c:ptCount val="8"/>
                <c:pt idx="0">
                  <c:v>376</c:v>
                </c:pt>
                <c:pt idx="1">
                  <c:v>208</c:v>
                </c:pt>
                <c:pt idx="2">
                  <c:v>305</c:v>
                </c:pt>
                <c:pt idx="3">
                  <c:v>6</c:v>
                </c:pt>
                <c:pt idx="4">
                  <c:v>79</c:v>
                </c:pt>
                <c:pt idx="5">
                  <c:v>19</c:v>
                </c:pt>
                <c:pt idx="6">
                  <c:v>11</c:v>
                </c:pt>
                <c:pt idx="7">
                  <c:v>142</c:v>
                </c:pt>
              </c:numCache>
            </c:numRef>
          </c:val>
          <c:extLst xmlns:c16r2="http://schemas.microsoft.com/office/drawing/2015/06/chart">
            <c:ext xmlns:c16="http://schemas.microsoft.com/office/drawing/2014/chart" uri="{C3380CC4-5D6E-409C-BE32-E72D297353CC}">
              <c16:uniqueId val="{00000002-42AF-46CE-9CEF-791AB799D943}"/>
            </c:ext>
          </c:extLst>
        </c:ser>
        <c:ser>
          <c:idx val="3"/>
          <c:order val="3"/>
          <c:tx>
            <c:strRef>
              <c:f>Sheet1!$O$150</c:f>
              <c:strCache>
                <c:ptCount val="1"/>
                <c:pt idx="0">
                  <c:v>225</c:v>
                </c:pt>
              </c:strCache>
            </c:strRef>
          </c:tx>
          <c:spPr>
            <a:solidFill>
              <a:schemeClr val="accent4"/>
            </a:solidFill>
            <a:ln>
              <a:noFill/>
            </a:ln>
            <a:effectLst/>
          </c:spPr>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Sheet1!$O$151:$O$158</c:f>
              <c:numCache>
                <c:formatCode>General</c:formatCode>
                <c:ptCount val="8"/>
                <c:pt idx="0">
                  <c:v>377</c:v>
                </c:pt>
                <c:pt idx="1">
                  <c:v>242</c:v>
                </c:pt>
                <c:pt idx="2">
                  <c:v>364</c:v>
                </c:pt>
                <c:pt idx="3">
                  <c:v>6</c:v>
                </c:pt>
                <c:pt idx="4">
                  <c:v>93</c:v>
                </c:pt>
                <c:pt idx="5">
                  <c:v>29</c:v>
                </c:pt>
                <c:pt idx="6">
                  <c:v>13</c:v>
                </c:pt>
                <c:pt idx="7">
                  <c:v>160</c:v>
                </c:pt>
              </c:numCache>
            </c:numRef>
          </c:val>
          <c:extLst xmlns:c16r2="http://schemas.microsoft.com/office/drawing/2015/06/chart">
            <c:ext xmlns:c16="http://schemas.microsoft.com/office/drawing/2014/chart" uri="{C3380CC4-5D6E-409C-BE32-E72D297353CC}">
              <c16:uniqueId val="{00000003-42AF-46CE-9CEF-791AB799D943}"/>
            </c:ext>
          </c:extLst>
        </c:ser>
        <c:ser>
          <c:idx val="4"/>
          <c:order val="4"/>
          <c:tx>
            <c:strRef>
              <c:f>Sheet1!$P$150</c:f>
              <c:strCache>
                <c:ptCount val="1"/>
                <c:pt idx="0">
                  <c:v>300</c:v>
                </c:pt>
              </c:strCache>
            </c:strRef>
          </c:tx>
          <c:spPr>
            <a:solidFill>
              <a:schemeClr val="accent5"/>
            </a:solidFill>
            <a:ln>
              <a:noFill/>
            </a:ln>
            <a:effectLst/>
          </c:spPr>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Sheet1!$P$151:$P$158</c:f>
              <c:numCache>
                <c:formatCode>General</c:formatCode>
                <c:ptCount val="8"/>
                <c:pt idx="0">
                  <c:v>382</c:v>
                </c:pt>
                <c:pt idx="1">
                  <c:v>272</c:v>
                </c:pt>
                <c:pt idx="2">
                  <c:v>391</c:v>
                </c:pt>
                <c:pt idx="3">
                  <c:v>6</c:v>
                </c:pt>
                <c:pt idx="4">
                  <c:v>118</c:v>
                </c:pt>
                <c:pt idx="5">
                  <c:v>39</c:v>
                </c:pt>
                <c:pt idx="6">
                  <c:v>12</c:v>
                </c:pt>
                <c:pt idx="7">
                  <c:v>173</c:v>
                </c:pt>
              </c:numCache>
            </c:numRef>
          </c:val>
          <c:extLst xmlns:c16r2="http://schemas.microsoft.com/office/drawing/2015/06/chart">
            <c:ext xmlns:c16="http://schemas.microsoft.com/office/drawing/2014/chart" uri="{C3380CC4-5D6E-409C-BE32-E72D297353CC}">
              <c16:uniqueId val="{00000004-42AF-46CE-9CEF-791AB799D943}"/>
            </c:ext>
          </c:extLst>
        </c:ser>
        <c:gapWidth val="300"/>
        <c:axId val="153654016"/>
        <c:axId val="153655936"/>
      </c:barChart>
      <c:lineChart>
        <c:grouping val="standard"/>
        <c:ser>
          <c:idx val="5"/>
          <c:order val="5"/>
          <c:tx>
            <c:strRef>
              <c:f>Sheet1!$Q$150</c:f>
              <c:strCache>
                <c:ptCount val="1"/>
              </c:strCache>
            </c:strRef>
          </c:tx>
          <c:spPr>
            <a:ln w="28575" cap="rnd">
              <a:noFill/>
              <a:round/>
            </a:ln>
            <a:effectLst/>
          </c:spPr>
          <c:marker>
            <c:symbol val="none"/>
          </c:marker>
          <c:errBars>
            <c:errDir val="y"/>
            <c:errBarType val="both"/>
            <c:errValType val="cust"/>
            <c:plus>
              <c:numRef>
                <c:f>Sheet1!$R$151:$R$158</c:f>
                <c:numCache>
                  <c:formatCode>General</c:formatCode>
                  <c:ptCount val="8"/>
                  <c:pt idx="0">
                    <c:v>3.5</c:v>
                  </c:pt>
                  <c:pt idx="1">
                    <c:v>4</c:v>
                  </c:pt>
                  <c:pt idx="2">
                    <c:v>4</c:v>
                  </c:pt>
                  <c:pt idx="3">
                    <c:v>0.30000000000000021</c:v>
                  </c:pt>
                  <c:pt idx="4">
                    <c:v>4</c:v>
                  </c:pt>
                  <c:pt idx="5">
                    <c:v>2</c:v>
                  </c:pt>
                  <c:pt idx="6">
                    <c:v>0.5</c:v>
                  </c:pt>
                  <c:pt idx="7">
                    <c:v>1</c:v>
                  </c:pt>
                </c:numCache>
              </c:numRef>
            </c:plus>
            <c:minus>
              <c:numRef>
                <c:f>Sheet1!$R$151:$R$158</c:f>
                <c:numCache>
                  <c:formatCode>General</c:formatCode>
                  <c:ptCount val="8"/>
                  <c:pt idx="0">
                    <c:v>3.5</c:v>
                  </c:pt>
                  <c:pt idx="1">
                    <c:v>4</c:v>
                  </c:pt>
                  <c:pt idx="2">
                    <c:v>4</c:v>
                  </c:pt>
                  <c:pt idx="3">
                    <c:v>0.30000000000000021</c:v>
                  </c:pt>
                  <c:pt idx="4">
                    <c:v>4</c:v>
                  </c:pt>
                  <c:pt idx="5">
                    <c:v>2</c:v>
                  </c:pt>
                  <c:pt idx="6">
                    <c:v>0.5</c:v>
                  </c:pt>
                  <c:pt idx="7">
                    <c:v>1</c:v>
                  </c:pt>
                </c:numCache>
              </c:numRef>
            </c:minus>
            <c:spPr>
              <a:noFill/>
              <a:ln w="9525" cap="flat" cmpd="sng" algn="ctr">
                <a:solidFill>
                  <a:schemeClr val="tx1">
                    <a:lumMod val="65000"/>
                    <a:lumOff val="35000"/>
                  </a:schemeClr>
                </a:solidFill>
                <a:round/>
              </a:ln>
              <a:effectLst/>
            </c:spPr>
          </c:errBars>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Sheet1!$Q$151:$Q$158</c:f>
              <c:numCache>
                <c:formatCode>General</c:formatCode>
                <c:ptCount val="8"/>
                <c:pt idx="0">
                  <c:v>390</c:v>
                </c:pt>
                <c:pt idx="1">
                  <c:v>240</c:v>
                </c:pt>
                <c:pt idx="2">
                  <c:v>360</c:v>
                </c:pt>
                <c:pt idx="3">
                  <c:v>40</c:v>
                </c:pt>
                <c:pt idx="4">
                  <c:v>100</c:v>
                </c:pt>
                <c:pt idx="5">
                  <c:v>40</c:v>
                </c:pt>
                <c:pt idx="6">
                  <c:v>40</c:v>
                </c:pt>
                <c:pt idx="7">
                  <c:v>180</c:v>
                </c:pt>
              </c:numCache>
            </c:numRef>
          </c:val>
          <c:extLst xmlns:c16r2="http://schemas.microsoft.com/office/drawing/2015/06/chart">
            <c:ext xmlns:c16="http://schemas.microsoft.com/office/drawing/2014/chart" uri="{C3380CC4-5D6E-409C-BE32-E72D297353CC}">
              <c16:uniqueId val="{00000005-42AF-46CE-9CEF-791AB799D943}"/>
            </c:ext>
          </c:extLst>
        </c:ser>
        <c:marker val="1"/>
        <c:axId val="153654016"/>
        <c:axId val="153655936"/>
      </c:lineChart>
      <c:catAx>
        <c:axId val="153654016"/>
        <c:scaling>
          <c:orientation val="minMax"/>
        </c:scaling>
        <c:axPos val="b"/>
        <c:title>
          <c:tx>
            <c:rich>
              <a:bodyPr rot="0" vert="horz"/>
              <a:lstStyle/>
              <a:p>
                <a:pPr>
                  <a:defRPr lang="en-US" b="0"/>
                </a:pPr>
                <a:r>
                  <a:rPr lang="en-US" b="0"/>
                  <a:t>Site (bars are LSDs, p≤0.05)</a:t>
                </a:r>
              </a:p>
            </c:rich>
          </c:tx>
          <c:layout>
            <c:manualLayout>
              <c:xMode val="edge"/>
              <c:yMode val="edge"/>
              <c:x val="6.5769780082404874E-2"/>
              <c:y val="0.92217881418668846"/>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53655936"/>
        <c:crosses val="autoZero"/>
        <c:auto val="1"/>
        <c:lblAlgn val="ctr"/>
        <c:lblOffset val="100"/>
      </c:catAx>
      <c:valAx>
        <c:axId val="153655936"/>
        <c:scaling>
          <c:orientation val="minMax"/>
          <c:max val="395"/>
          <c:min val="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53654016"/>
        <c:crosses val="autoZero"/>
        <c:crossBetween val="between"/>
        <c:majorUnit val="30"/>
      </c:valAx>
      <c:spPr>
        <a:noFill/>
        <a:ln>
          <a:noFill/>
        </a:ln>
        <a:effectLst/>
      </c:spPr>
    </c:plotArea>
    <c:legend>
      <c:legendPos val="b"/>
      <c:layout>
        <c:manualLayout>
          <c:xMode val="edge"/>
          <c:yMode val="edge"/>
          <c:x val="3.272494374479834E-2"/>
          <c:y val="0.83814052089642643"/>
          <c:w val="0.59527216557695328"/>
          <c:h val="7.2115889359983892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8290861969463254"/>
          <c:y val="3.9148519696598973E-2"/>
          <c:w val="0.77454641801567536"/>
          <c:h val="0.6543027729559252"/>
        </c:manualLayout>
      </c:layout>
      <c:barChart>
        <c:barDir val="col"/>
        <c:grouping val="clustered"/>
        <c:ser>
          <c:idx val="0"/>
          <c:order val="0"/>
          <c:tx>
            <c:strRef>
              <c:f>Sheet1!$U$150</c:f>
              <c:strCache>
                <c:ptCount val="1"/>
                <c:pt idx="0">
                  <c:v>0</c:v>
                </c:pt>
              </c:strCache>
            </c:strRef>
          </c:tx>
          <c:spPr>
            <a:solidFill>
              <a:schemeClr val="accent1"/>
            </a:solidFill>
            <a:ln>
              <a:noFill/>
            </a:ln>
            <a:effectLst/>
          </c:spPr>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Sheet1!$U$151:$U$158</c:f>
              <c:numCache>
                <c:formatCode>General</c:formatCode>
                <c:ptCount val="8"/>
                <c:pt idx="0">
                  <c:v>325</c:v>
                </c:pt>
                <c:pt idx="1">
                  <c:v>178</c:v>
                </c:pt>
                <c:pt idx="2">
                  <c:v>191</c:v>
                </c:pt>
                <c:pt idx="3">
                  <c:v>5</c:v>
                </c:pt>
                <c:pt idx="4">
                  <c:v>55</c:v>
                </c:pt>
                <c:pt idx="5">
                  <c:v>12</c:v>
                </c:pt>
                <c:pt idx="6">
                  <c:v>8</c:v>
                </c:pt>
                <c:pt idx="7">
                  <c:v>110</c:v>
                </c:pt>
              </c:numCache>
            </c:numRef>
          </c:val>
          <c:extLst xmlns:c16r2="http://schemas.microsoft.com/office/drawing/2015/06/chart">
            <c:ext xmlns:c16="http://schemas.microsoft.com/office/drawing/2014/chart" uri="{C3380CC4-5D6E-409C-BE32-E72D297353CC}">
              <c16:uniqueId val="{00000000-29D2-4BBB-8F6A-B12E5996DE68}"/>
            </c:ext>
          </c:extLst>
        </c:ser>
        <c:ser>
          <c:idx val="1"/>
          <c:order val="1"/>
          <c:tx>
            <c:strRef>
              <c:f>Sheet1!$V$150</c:f>
              <c:strCache>
                <c:ptCount val="1"/>
                <c:pt idx="0">
                  <c:v>75</c:v>
                </c:pt>
              </c:strCache>
            </c:strRef>
          </c:tx>
          <c:spPr>
            <a:solidFill>
              <a:schemeClr val="accent2"/>
            </a:solidFill>
            <a:ln>
              <a:noFill/>
            </a:ln>
            <a:effectLst/>
          </c:spPr>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Sheet1!$V$151:$V$158</c:f>
              <c:numCache>
                <c:formatCode>General</c:formatCode>
                <c:ptCount val="8"/>
                <c:pt idx="0">
                  <c:v>352</c:v>
                </c:pt>
                <c:pt idx="1">
                  <c:v>190</c:v>
                </c:pt>
                <c:pt idx="2">
                  <c:v>200</c:v>
                </c:pt>
                <c:pt idx="3">
                  <c:v>5</c:v>
                </c:pt>
                <c:pt idx="4">
                  <c:v>78</c:v>
                </c:pt>
                <c:pt idx="5">
                  <c:v>15</c:v>
                </c:pt>
                <c:pt idx="6">
                  <c:v>8</c:v>
                </c:pt>
                <c:pt idx="7">
                  <c:v>121</c:v>
                </c:pt>
              </c:numCache>
            </c:numRef>
          </c:val>
          <c:extLst xmlns:c16r2="http://schemas.microsoft.com/office/drawing/2015/06/chart">
            <c:ext xmlns:c16="http://schemas.microsoft.com/office/drawing/2014/chart" uri="{C3380CC4-5D6E-409C-BE32-E72D297353CC}">
              <c16:uniqueId val="{00000001-29D2-4BBB-8F6A-B12E5996DE68}"/>
            </c:ext>
          </c:extLst>
        </c:ser>
        <c:ser>
          <c:idx val="2"/>
          <c:order val="2"/>
          <c:tx>
            <c:strRef>
              <c:f>Sheet1!$W$150</c:f>
              <c:strCache>
                <c:ptCount val="1"/>
                <c:pt idx="0">
                  <c:v>150</c:v>
                </c:pt>
              </c:strCache>
            </c:strRef>
          </c:tx>
          <c:spPr>
            <a:solidFill>
              <a:schemeClr val="accent3"/>
            </a:solidFill>
            <a:ln>
              <a:noFill/>
            </a:ln>
            <a:effectLst/>
          </c:spPr>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Sheet1!$W$151:$W$158</c:f>
              <c:numCache>
                <c:formatCode>General</c:formatCode>
                <c:ptCount val="8"/>
                <c:pt idx="0">
                  <c:v>353</c:v>
                </c:pt>
                <c:pt idx="1">
                  <c:v>212</c:v>
                </c:pt>
                <c:pt idx="2">
                  <c:v>253</c:v>
                </c:pt>
                <c:pt idx="3">
                  <c:v>6</c:v>
                </c:pt>
                <c:pt idx="4">
                  <c:v>100</c:v>
                </c:pt>
                <c:pt idx="5">
                  <c:v>18</c:v>
                </c:pt>
                <c:pt idx="6">
                  <c:v>9</c:v>
                </c:pt>
                <c:pt idx="7">
                  <c:v>135</c:v>
                </c:pt>
              </c:numCache>
            </c:numRef>
          </c:val>
          <c:extLst xmlns:c16r2="http://schemas.microsoft.com/office/drawing/2015/06/chart">
            <c:ext xmlns:c16="http://schemas.microsoft.com/office/drawing/2014/chart" uri="{C3380CC4-5D6E-409C-BE32-E72D297353CC}">
              <c16:uniqueId val="{00000002-29D2-4BBB-8F6A-B12E5996DE68}"/>
            </c:ext>
          </c:extLst>
        </c:ser>
        <c:ser>
          <c:idx val="3"/>
          <c:order val="3"/>
          <c:tx>
            <c:strRef>
              <c:f>Sheet1!$X$150</c:f>
              <c:strCache>
                <c:ptCount val="1"/>
                <c:pt idx="0">
                  <c:v>225</c:v>
                </c:pt>
              </c:strCache>
            </c:strRef>
          </c:tx>
          <c:spPr>
            <a:solidFill>
              <a:schemeClr val="accent4"/>
            </a:solidFill>
            <a:ln>
              <a:noFill/>
            </a:ln>
            <a:effectLst/>
          </c:spPr>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Sheet1!$X$151:$X$158</c:f>
              <c:numCache>
                <c:formatCode>General</c:formatCode>
                <c:ptCount val="8"/>
                <c:pt idx="0">
                  <c:v>358</c:v>
                </c:pt>
                <c:pt idx="1">
                  <c:v>220</c:v>
                </c:pt>
                <c:pt idx="2">
                  <c:v>305</c:v>
                </c:pt>
                <c:pt idx="3">
                  <c:v>6</c:v>
                </c:pt>
                <c:pt idx="4">
                  <c:v>141</c:v>
                </c:pt>
                <c:pt idx="5">
                  <c:v>20</c:v>
                </c:pt>
                <c:pt idx="6">
                  <c:v>10</c:v>
                </c:pt>
                <c:pt idx="7">
                  <c:v>151</c:v>
                </c:pt>
              </c:numCache>
            </c:numRef>
          </c:val>
          <c:extLst xmlns:c16r2="http://schemas.microsoft.com/office/drawing/2015/06/chart">
            <c:ext xmlns:c16="http://schemas.microsoft.com/office/drawing/2014/chart" uri="{C3380CC4-5D6E-409C-BE32-E72D297353CC}">
              <c16:uniqueId val="{00000003-29D2-4BBB-8F6A-B12E5996DE68}"/>
            </c:ext>
          </c:extLst>
        </c:ser>
        <c:ser>
          <c:idx val="4"/>
          <c:order val="4"/>
          <c:tx>
            <c:strRef>
              <c:f>Sheet1!$Y$150</c:f>
              <c:strCache>
                <c:ptCount val="1"/>
                <c:pt idx="0">
                  <c:v>300</c:v>
                </c:pt>
              </c:strCache>
            </c:strRef>
          </c:tx>
          <c:spPr>
            <a:solidFill>
              <a:schemeClr val="accent5"/>
            </a:solidFill>
            <a:ln>
              <a:noFill/>
            </a:ln>
            <a:effectLst/>
          </c:spPr>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Sheet1!$Y$151:$Y$158</c:f>
              <c:numCache>
                <c:formatCode>General</c:formatCode>
                <c:ptCount val="8"/>
                <c:pt idx="0">
                  <c:v>373</c:v>
                </c:pt>
                <c:pt idx="1">
                  <c:v>227</c:v>
                </c:pt>
                <c:pt idx="2">
                  <c:v>345</c:v>
                </c:pt>
                <c:pt idx="3">
                  <c:v>6</c:v>
                </c:pt>
                <c:pt idx="4">
                  <c:v>155</c:v>
                </c:pt>
                <c:pt idx="5">
                  <c:v>25</c:v>
                </c:pt>
                <c:pt idx="6">
                  <c:v>11</c:v>
                </c:pt>
                <c:pt idx="7">
                  <c:v>163</c:v>
                </c:pt>
              </c:numCache>
            </c:numRef>
          </c:val>
          <c:extLst xmlns:c16r2="http://schemas.microsoft.com/office/drawing/2015/06/chart">
            <c:ext xmlns:c16="http://schemas.microsoft.com/office/drawing/2014/chart" uri="{C3380CC4-5D6E-409C-BE32-E72D297353CC}">
              <c16:uniqueId val="{00000004-29D2-4BBB-8F6A-B12E5996DE68}"/>
            </c:ext>
          </c:extLst>
        </c:ser>
        <c:gapWidth val="300"/>
        <c:axId val="153822720"/>
        <c:axId val="153824640"/>
      </c:barChart>
      <c:lineChart>
        <c:grouping val="standard"/>
        <c:ser>
          <c:idx val="5"/>
          <c:order val="5"/>
          <c:tx>
            <c:strRef>
              <c:f>Sheet1!$Z$150</c:f>
              <c:strCache>
                <c:ptCount val="1"/>
              </c:strCache>
            </c:strRef>
          </c:tx>
          <c:spPr>
            <a:ln w="28575" cap="rnd">
              <a:noFill/>
              <a:round/>
            </a:ln>
            <a:effectLst/>
          </c:spPr>
          <c:marker>
            <c:symbol val="none"/>
          </c:marker>
          <c:errBars>
            <c:errDir val="y"/>
            <c:errBarType val="both"/>
            <c:errValType val="cust"/>
            <c:plus>
              <c:numRef>
                <c:f>Sheet1!$AA$151:$AA$158</c:f>
                <c:numCache>
                  <c:formatCode>General</c:formatCode>
                  <c:ptCount val="8"/>
                  <c:pt idx="0">
                    <c:v>3</c:v>
                  </c:pt>
                  <c:pt idx="1">
                    <c:v>5</c:v>
                  </c:pt>
                  <c:pt idx="2">
                    <c:v>4.5</c:v>
                  </c:pt>
                  <c:pt idx="3">
                    <c:v>0.5</c:v>
                  </c:pt>
                  <c:pt idx="4">
                    <c:v>4</c:v>
                  </c:pt>
                  <c:pt idx="5">
                    <c:v>2</c:v>
                  </c:pt>
                  <c:pt idx="6">
                    <c:v>0.5</c:v>
                  </c:pt>
                  <c:pt idx="7">
                    <c:v>2</c:v>
                  </c:pt>
                </c:numCache>
              </c:numRef>
            </c:plus>
            <c:minus>
              <c:numRef>
                <c:f>Sheet1!$AA$151:$AA$158</c:f>
                <c:numCache>
                  <c:formatCode>General</c:formatCode>
                  <c:ptCount val="8"/>
                  <c:pt idx="0">
                    <c:v>3</c:v>
                  </c:pt>
                  <c:pt idx="1">
                    <c:v>5</c:v>
                  </c:pt>
                  <c:pt idx="2">
                    <c:v>4.5</c:v>
                  </c:pt>
                  <c:pt idx="3">
                    <c:v>0.5</c:v>
                  </c:pt>
                  <c:pt idx="4">
                    <c:v>4</c:v>
                  </c:pt>
                  <c:pt idx="5">
                    <c:v>2</c:v>
                  </c:pt>
                  <c:pt idx="6">
                    <c:v>0.5</c:v>
                  </c:pt>
                  <c:pt idx="7">
                    <c:v>2</c:v>
                  </c:pt>
                </c:numCache>
              </c:numRef>
            </c:minus>
            <c:spPr>
              <a:noFill/>
              <a:ln w="9525" cap="flat" cmpd="sng" algn="ctr">
                <a:solidFill>
                  <a:schemeClr val="tx1">
                    <a:lumMod val="65000"/>
                    <a:lumOff val="35000"/>
                  </a:schemeClr>
                </a:solidFill>
                <a:round/>
              </a:ln>
              <a:effectLst/>
            </c:spPr>
          </c:errBars>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Sheet1!$Z$151:$Z$158</c:f>
              <c:numCache>
                <c:formatCode>General</c:formatCode>
                <c:ptCount val="8"/>
                <c:pt idx="0">
                  <c:v>370</c:v>
                </c:pt>
                <c:pt idx="1">
                  <c:v>220</c:v>
                </c:pt>
                <c:pt idx="2">
                  <c:v>300</c:v>
                </c:pt>
                <c:pt idx="3">
                  <c:v>20</c:v>
                </c:pt>
                <c:pt idx="4">
                  <c:v>120</c:v>
                </c:pt>
                <c:pt idx="5">
                  <c:v>40</c:v>
                </c:pt>
                <c:pt idx="6">
                  <c:v>20</c:v>
                </c:pt>
                <c:pt idx="7">
                  <c:v>150</c:v>
                </c:pt>
              </c:numCache>
            </c:numRef>
          </c:val>
          <c:extLst xmlns:c16r2="http://schemas.microsoft.com/office/drawing/2015/06/chart">
            <c:ext xmlns:c16="http://schemas.microsoft.com/office/drawing/2014/chart" uri="{C3380CC4-5D6E-409C-BE32-E72D297353CC}">
              <c16:uniqueId val="{00000005-29D2-4BBB-8F6A-B12E5996DE68}"/>
            </c:ext>
          </c:extLst>
        </c:ser>
        <c:marker val="1"/>
        <c:axId val="153822720"/>
        <c:axId val="153824640"/>
      </c:lineChart>
      <c:catAx>
        <c:axId val="153822720"/>
        <c:scaling>
          <c:orientation val="minMax"/>
        </c:scaling>
        <c:axPos val="b"/>
        <c:title>
          <c:tx>
            <c:rich>
              <a:bodyPr rot="0" vert="horz"/>
              <a:lstStyle/>
              <a:p>
                <a:pPr>
                  <a:defRPr lang="en-US" b="0"/>
                </a:pPr>
                <a:r>
                  <a:rPr lang="en-US" b="0"/>
                  <a:t>Site (bars are LSDs, p≤0.05)</a:t>
                </a:r>
              </a:p>
            </c:rich>
          </c:tx>
          <c:layout>
            <c:manualLayout>
              <c:xMode val="edge"/>
              <c:yMode val="edge"/>
              <c:x val="7.1342145855825281E-2"/>
              <c:y val="0.9205254224552982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53824640"/>
        <c:crosses val="autoZero"/>
        <c:auto val="1"/>
        <c:lblAlgn val="ctr"/>
        <c:lblOffset val="100"/>
      </c:catAx>
      <c:valAx>
        <c:axId val="153824640"/>
        <c:scaling>
          <c:orientation val="minMax"/>
          <c:max val="375"/>
          <c:min val="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53822720"/>
        <c:crosses val="autoZero"/>
        <c:crossBetween val="between"/>
        <c:majorUnit val="40"/>
      </c:valAx>
      <c:spPr>
        <a:noFill/>
        <a:ln w="25400">
          <a:noFill/>
        </a:ln>
        <a:effectLst/>
      </c:spPr>
    </c:plotArea>
    <c:legend>
      <c:legendPos val="b"/>
      <c:layout>
        <c:manualLayout>
          <c:xMode val="edge"/>
          <c:yMode val="edge"/>
          <c:x val="2.3206343067105017E-2"/>
          <c:y val="0.83426882625725141"/>
          <c:w val="0.52930988538441981"/>
          <c:h val="8.2564502434010562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0570258208806991"/>
          <c:y val="3.9148519696598973E-2"/>
          <c:w val="0.74645052795977751"/>
          <c:h val="0.6689834678421499"/>
        </c:manualLayout>
      </c:layout>
      <c:barChart>
        <c:barDir val="col"/>
        <c:grouping val="clustered"/>
        <c:ser>
          <c:idx val="0"/>
          <c:order val="0"/>
          <c:tx>
            <c:strRef>
              <c:f>Sheet1!$AE$151</c:f>
              <c:strCache>
                <c:ptCount val="1"/>
                <c:pt idx="0">
                  <c:v>0</c:v>
                </c:pt>
              </c:strCache>
            </c:strRef>
          </c:tx>
          <c:spPr>
            <a:solidFill>
              <a:schemeClr val="accent1"/>
            </a:solidFill>
            <a:ln>
              <a:noFill/>
            </a:ln>
            <a:effectLst/>
          </c:spPr>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Sheet1!$AE$152:$AE$159</c:f>
              <c:numCache>
                <c:formatCode>General</c:formatCode>
                <c:ptCount val="8"/>
                <c:pt idx="0">
                  <c:v>267</c:v>
                </c:pt>
                <c:pt idx="1">
                  <c:v>61</c:v>
                </c:pt>
                <c:pt idx="2">
                  <c:v>224</c:v>
                </c:pt>
                <c:pt idx="3">
                  <c:v>4</c:v>
                </c:pt>
                <c:pt idx="4">
                  <c:v>61</c:v>
                </c:pt>
                <c:pt idx="5">
                  <c:v>15</c:v>
                </c:pt>
                <c:pt idx="6">
                  <c:v>8</c:v>
                </c:pt>
                <c:pt idx="7">
                  <c:v>91</c:v>
                </c:pt>
              </c:numCache>
            </c:numRef>
          </c:val>
          <c:extLst xmlns:c16r2="http://schemas.microsoft.com/office/drawing/2015/06/chart">
            <c:ext xmlns:c16="http://schemas.microsoft.com/office/drawing/2014/chart" uri="{C3380CC4-5D6E-409C-BE32-E72D297353CC}">
              <c16:uniqueId val="{00000000-975B-4BFD-8BA8-66D61C7CAAA9}"/>
            </c:ext>
          </c:extLst>
        </c:ser>
        <c:ser>
          <c:idx val="1"/>
          <c:order val="1"/>
          <c:tx>
            <c:strRef>
              <c:f>Sheet1!$AF$151</c:f>
              <c:strCache>
                <c:ptCount val="1"/>
                <c:pt idx="0">
                  <c:v>75</c:v>
                </c:pt>
              </c:strCache>
            </c:strRef>
          </c:tx>
          <c:spPr>
            <a:solidFill>
              <a:schemeClr val="accent2"/>
            </a:solidFill>
            <a:ln>
              <a:noFill/>
            </a:ln>
            <a:effectLst/>
          </c:spPr>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Sheet1!$AF$152:$AF$159</c:f>
              <c:numCache>
                <c:formatCode>General</c:formatCode>
                <c:ptCount val="8"/>
                <c:pt idx="0">
                  <c:v>315</c:v>
                </c:pt>
                <c:pt idx="1">
                  <c:v>95</c:v>
                </c:pt>
                <c:pt idx="2">
                  <c:v>243</c:v>
                </c:pt>
                <c:pt idx="3">
                  <c:v>4</c:v>
                </c:pt>
                <c:pt idx="4">
                  <c:v>69</c:v>
                </c:pt>
                <c:pt idx="5">
                  <c:v>19</c:v>
                </c:pt>
                <c:pt idx="6">
                  <c:v>9</c:v>
                </c:pt>
                <c:pt idx="7">
                  <c:v>107</c:v>
                </c:pt>
              </c:numCache>
            </c:numRef>
          </c:val>
          <c:extLst xmlns:c16r2="http://schemas.microsoft.com/office/drawing/2015/06/chart">
            <c:ext xmlns:c16="http://schemas.microsoft.com/office/drawing/2014/chart" uri="{C3380CC4-5D6E-409C-BE32-E72D297353CC}">
              <c16:uniqueId val="{00000001-975B-4BFD-8BA8-66D61C7CAAA9}"/>
            </c:ext>
          </c:extLst>
        </c:ser>
        <c:ser>
          <c:idx val="2"/>
          <c:order val="2"/>
          <c:tx>
            <c:strRef>
              <c:f>Sheet1!$AG$151</c:f>
              <c:strCache>
                <c:ptCount val="1"/>
                <c:pt idx="0">
                  <c:v>150</c:v>
                </c:pt>
              </c:strCache>
            </c:strRef>
          </c:tx>
          <c:spPr>
            <a:solidFill>
              <a:schemeClr val="accent3"/>
            </a:solidFill>
            <a:ln>
              <a:noFill/>
            </a:ln>
            <a:effectLst/>
          </c:spPr>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Sheet1!$AG$152:$AG$159</c:f>
              <c:numCache>
                <c:formatCode>General</c:formatCode>
                <c:ptCount val="8"/>
                <c:pt idx="0">
                  <c:v>351</c:v>
                </c:pt>
                <c:pt idx="1">
                  <c:v>127</c:v>
                </c:pt>
                <c:pt idx="2">
                  <c:v>285</c:v>
                </c:pt>
                <c:pt idx="3">
                  <c:v>5</c:v>
                </c:pt>
                <c:pt idx="4">
                  <c:v>86</c:v>
                </c:pt>
                <c:pt idx="5">
                  <c:v>22</c:v>
                </c:pt>
                <c:pt idx="6">
                  <c:v>9</c:v>
                </c:pt>
                <c:pt idx="7">
                  <c:v>126</c:v>
                </c:pt>
              </c:numCache>
            </c:numRef>
          </c:val>
          <c:extLst xmlns:c16r2="http://schemas.microsoft.com/office/drawing/2015/06/chart">
            <c:ext xmlns:c16="http://schemas.microsoft.com/office/drawing/2014/chart" uri="{C3380CC4-5D6E-409C-BE32-E72D297353CC}">
              <c16:uniqueId val="{00000002-975B-4BFD-8BA8-66D61C7CAAA9}"/>
            </c:ext>
          </c:extLst>
        </c:ser>
        <c:ser>
          <c:idx val="3"/>
          <c:order val="3"/>
          <c:tx>
            <c:strRef>
              <c:f>Sheet1!$AH$151</c:f>
              <c:strCache>
                <c:ptCount val="1"/>
                <c:pt idx="0">
                  <c:v>225</c:v>
                </c:pt>
              </c:strCache>
            </c:strRef>
          </c:tx>
          <c:spPr>
            <a:solidFill>
              <a:schemeClr val="accent4"/>
            </a:solidFill>
            <a:ln>
              <a:noFill/>
            </a:ln>
            <a:effectLst/>
          </c:spPr>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Sheet1!$AH$152:$AH$159</c:f>
              <c:numCache>
                <c:formatCode>General</c:formatCode>
                <c:ptCount val="8"/>
                <c:pt idx="0">
                  <c:v>353</c:v>
                </c:pt>
                <c:pt idx="1">
                  <c:v>144</c:v>
                </c:pt>
                <c:pt idx="2">
                  <c:v>296</c:v>
                </c:pt>
                <c:pt idx="3">
                  <c:v>4</c:v>
                </c:pt>
                <c:pt idx="4">
                  <c:v>103</c:v>
                </c:pt>
                <c:pt idx="5">
                  <c:v>27</c:v>
                </c:pt>
                <c:pt idx="6">
                  <c:v>9</c:v>
                </c:pt>
                <c:pt idx="7">
                  <c:v>137</c:v>
                </c:pt>
              </c:numCache>
            </c:numRef>
          </c:val>
          <c:extLst xmlns:c16r2="http://schemas.microsoft.com/office/drawing/2015/06/chart">
            <c:ext xmlns:c16="http://schemas.microsoft.com/office/drawing/2014/chart" uri="{C3380CC4-5D6E-409C-BE32-E72D297353CC}">
              <c16:uniqueId val="{00000003-975B-4BFD-8BA8-66D61C7CAAA9}"/>
            </c:ext>
          </c:extLst>
        </c:ser>
        <c:ser>
          <c:idx val="4"/>
          <c:order val="4"/>
          <c:tx>
            <c:strRef>
              <c:f>Sheet1!$AI$151</c:f>
              <c:strCache>
                <c:ptCount val="1"/>
                <c:pt idx="0">
                  <c:v>300</c:v>
                </c:pt>
              </c:strCache>
            </c:strRef>
          </c:tx>
          <c:spPr>
            <a:solidFill>
              <a:schemeClr val="accent5"/>
            </a:solidFill>
            <a:ln>
              <a:noFill/>
            </a:ln>
            <a:effectLst/>
          </c:spPr>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Sheet1!$AI$152:$AI$159</c:f>
              <c:numCache>
                <c:formatCode>General</c:formatCode>
                <c:ptCount val="8"/>
                <c:pt idx="0">
                  <c:v>376</c:v>
                </c:pt>
                <c:pt idx="1">
                  <c:v>201</c:v>
                </c:pt>
                <c:pt idx="2">
                  <c:v>335</c:v>
                </c:pt>
                <c:pt idx="3">
                  <c:v>5</c:v>
                </c:pt>
                <c:pt idx="4">
                  <c:v>113</c:v>
                </c:pt>
                <c:pt idx="5">
                  <c:v>30</c:v>
                </c:pt>
                <c:pt idx="6">
                  <c:v>11</c:v>
                </c:pt>
                <c:pt idx="7">
                  <c:v>149</c:v>
                </c:pt>
              </c:numCache>
            </c:numRef>
          </c:val>
          <c:extLst xmlns:c16r2="http://schemas.microsoft.com/office/drawing/2015/06/chart">
            <c:ext xmlns:c16="http://schemas.microsoft.com/office/drawing/2014/chart" uri="{C3380CC4-5D6E-409C-BE32-E72D297353CC}">
              <c16:uniqueId val="{00000004-975B-4BFD-8BA8-66D61C7CAAA9}"/>
            </c:ext>
          </c:extLst>
        </c:ser>
        <c:gapWidth val="300"/>
        <c:axId val="172480768"/>
        <c:axId val="172487040"/>
      </c:barChart>
      <c:lineChart>
        <c:grouping val="standard"/>
        <c:ser>
          <c:idx val="5"/>
          <c:order val="5"/>
          <c:tx>
            <c:strRef>
              <c:f>Sheet1!$AJ$151</c:f>
              <c:strCache>
                <c:ptCount val="1"/>
              </c:strCache>
            </c:strRef>
          </c:tx>
          <c:spPr>
            <a:ln w="28575" cap="rnd">
              <a:noFill/>
              <a:round/>
            </a:ln>
            <a:effectLst/>
          </c:spPr>
          <c:marker>
            <c:symbol val="none"/>
          </c:marker>
          <c:errBars>
            <c:errDir val="y"/>
            <c:errBarType val="both"/>
            <c:errValType val="cust"/>
            <c:plus>
              <c:numRef>
                <c:f>Sheet1!$AK$152:$AK$159</c:f>
                <c:numCache>
                  <c:formatCode>General</c:formatCode>
                  <c:ptCount val="8"/>
                  <c:pt idx="0">
                    <c:v>3.5</c:v>
                  </c:pt>
                  <c:pt idx="1">
                    <c:v>3.5</c:v>
                  </c:pt>
                  <c:pt idx="2">
                    <c:v>4</c:v>
                  </c:pt>
                  <c:pt idx="3">
                    <c:v>0.5</c:v>
                  </c:pt>
                  <c:pt idx="4">
                    <c:v>3.5</c:v>
                  </c:pt>
                  <c:pt idx="5">
                    <c:v>2</c:v>
                  </c:pt>
                  <c:pt idx="6">
                    <c:v>0.5</c:v>
                  </c:pt>
                  <c:pt idx="7">
                    <c:v>3</c:v>
                  </c:pt>
                </c:numCache>
              </c:numRef>
            </c:plus>
            <c:minus>
              <c:numRef>
                <c:f>Sheet1!$AK$152:$AK$159</c:f>
                <c:numCache>
                  <c:formatCode>General</c:formatCode>
                  <c:ptCount val="8"/>
                  <c:pt idx="0">
                    <c:v>3.5</c:v>
                  </c:pt>
                  <c:pt idx="1">
                    <c:v>3.5</c:v>
                  </c:pt>
                  <c:pt idx="2">
                    <c:v>4</c:v>
                  </c:pt>
                  <c:pt idx="3">
                    <c:v>0.5</c:v>
                  </c:pt>
                  <c:pt idx="4">
                    <c:v>3.5</c:v>
                  </c:pt>
                  <c:pt idx="5">
                    <c:v>2</c:v>
                  </c:pt>
                  <c:pt idx="6">
                    <c:v>0.5</c:v>
                  </c:pt>
                  <c:pt idx="7">
                    <c:v>3</c:v>
                  </c:pt>
                </c:numCache>
              </c:numRef>
            </c:minus>
            <c:spPr>
              <a:noFill/>
              <a:ln w="9525" cap="flat" cmpd="sng" algn="ctr">
                <a:solidFill>
                  <a:schemeClr val="tx1">
                    <a:lumMod val="65000"/>
                    <a:lumOff val="35000"/>
                  </a:schemeClr>
                </a:solidFill>
                <a:round/>
              </a:ln>
              <a:effectLst/>
            </c:spPr>
          </c:errBars>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Sheet1!$AJ$152:$AJ$159</c:f>
              <c:numCache>
                <c:formatCode>General</c:formatCode>
                <c:ptCount val="8"/>
                <c:pt idx="0">
                  <c:v>360</c:v>
                </c:pt>
                <c:pt idx="1">
                  <c:v>140</c:v>
                </c:pt>
                <c:pt idx="2">
                  <c:v>300</c:v>
                </c:pt>
                <c:pt idx="3">
                  <c:v>20</c:v>
                </c:pt>
                <c:pt idx="4">
                  <c:v>100</c:v>
                </c:pt>
                <c:pt idx="5">
                  <c:v>50</c:v>
                </c:pt>
                <c:pt idx="6">
                  <c:v>30</c:v>
                </c:pt>
                <c:pt idx="7">
                  <c:v>140</c:v>
                </c:pt>
              </c:numCache>
            </c:numRef>
          </c:val>
          <c:extLst xmlns:c16r2="http://schemas.microsoft.com/office/drawing/2015/06/chart">
            <c:ext xmlns:c16="http://schemas.microsoft.com/office/drawing/2014/chart" uri="{C3380CC4-5D6E-409C-BE32-E72D297353CC}">
              <c16:uniqueId val="{00000005-975B-4BFD-8BA8-66D61C7CAAA9}"/>
            </c:ext>
          </c:extLst>
        </c:ser>
        <c:marker val="1"/>
        <c:axId val="172480768"/>
        <c:axId val="172487040"/>
      </c:lineChart>
      <c:catAx>
        <c:axId val="172480768"/>
        <c:scaling>
          <c:orientation val="minMax"/>
        </c:scaling>
        <c:axPos val="b"/>
        <c:title>
          <c:tx>
            <c:rich>
              <a:bodyPr rot="0" vert="horz"/>
              <a:lstStyle/>
              <a:p>
                <a:pPr>
                  <a:defRPr lang="en-US" b="0"/>
                </a:pPr>
                <a:r>
                  <a:rPr lang="en-US" b="0"/>
                  <a:t>Site (bars are LSDs, p≤0.05)</a:t>
                </a:r>
              </a:p>
            </c:rich>
          </c:tx>
          <c:layout>
            <c:manualLayout>
              <c:xMode val="edge"/>
              <c:yMode val="edge"/>
              <c:x val="3.9671476472139561E-2"/>
              <c:y val="0.9205254224552982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72487040"/>
        <c:crosses val="autoZero"/>
        <c:auto val="1"/>
        <c:lblAlgn val="ctr"/>
        <c:lblOffset val="100"/>
      </c:catAx>
      <c:valAx>
        <c:axId val="172487040"/>
        <c:scaling>
          <c:orientation val="minMax"/>
          <c:max val="375"/>
          <c:min val="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72480768"/>
        <c:crosses val="autoZero"/>
        <c:crossBetween val="between"/>
        <c:majorUnit val="40"/>
      </c:valAx>
      <c:spPr>
        <a:noFill/>
        <a:ln>
          <a:noFill/>
        </a:ln>
        <a:effectLst/>
      </c:spPr>
    </c:plotArea>
    <c:legend>
      <c:legendPos val="b"/>
      <c:layout>
        <c:manualLayout>
          <c:xMode val="edge"/>
          <c:yMode val="edge"/>
          <c:x val="2.8375226476420788E-2"/>
          <c:y val="0.83422990892960014"/>
          <c:w val="0.59527216557695328"/>
          <c:h val="8.257948671512709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99358002784876"/>
          <c:y val="2.7445557387179586E-2"/>
          <c:w val="0.72888278929922456"/>
          <c:h val="0.61745527817567913"/>
        </c:manualLayout>
      </c:layout>
      <c:barChart>
        <c:barDir val="col"/>
        <c:grouping val="clustered"/>
        <c:ser>
          <c:idx val="0"/>
          <c:order val="0"/>
          <c:tx>
            <c:strRef>
              <c:f>Sheet1!$D$4</c:f>
              <c:strCache>
                <c:ptCount val="1"/>
                <c:pt idx="0">
                  <c:v>0</c:v>
                </c:pt>
              </c:strCache>
            </c:strRef>
          </c:tx>
          <c:spPr>
            <a:solidFill>
              <a:schemeClr val="accent1"/>
            </a:solidFill>
            <a:ln>
              <a:noFill/>
            </a:ln>
            <a:effectLst/>
          </c:spPr>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Sheet1!$D$5:$D$12</c:f>
              <c:numCache>
                <c:formatCode>General</c:formatCode>
                <c:ptCount val="8"/>
                <c:pt idx="0">
                  <c:v>660</c:v>
                </c:pt>
                <c:pt idx="1">
                  <c:v>410</c:v>
                </c:pt>
                <c:pt idx="2">
                  <c:v>863</c:v>
                </c:pt>
                <c:pt idx="3">
                  <c:v>161</c:v>
                </c:pt>
                <c:pt idx="4">
                  <c:v>1505</c:v>
                </c:pt>
                <c:pt idx="5">
                  <c:v>278</c:v>
                </c:pt>
                <c:pt idx="6">
                  <c:v>285</c:v>
                </c:pt>
                <c:pt idx="7">
                  <c:v>595</c:v>
                </c:pt>
              </c:numCache>
            </c:numRef>
          </c:val>
          <c:extLst xmlns:c16r2="http://schemas.microsoft.com/office/drawing/2015/06/chart">
            <c:ext xmlns:c16="http://schemas.microsoft.com/office/drawing/2014/chart" uri="{C3380CC4-5D6E-409C-BE32-E72D297353CC}">
              <c16:uniqueId val="{00000000-20C2-40ED-92F1-66ACF614EC2A}"/>
            </c:ext>
          </c:extLst>
        </c:ser>
        <c:ser>
          <c:idx val="1"/>
          <c:order val="1"/>
          <c:tx>
            <c:strRef>
              <c:f>Sheet1!$E$4</c:f>
              <c:strCache>
                <c:ptCount val="1"/>
                <c:pt idx="0">
                  <c:v>75</c:v>
                </c:pt>
              </c:strCache>
            </c:strRef>
          </c:tx>
          <c:spPr>
            <a:solidFill>
              <a:schemeClr val="accent2"/>
            </a:solidFill>
            <a:ln>
              <a:noFill/>
            </a:ln>
            <a:effectLst/>
          </c:spPr>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Sheet1!$E$5:$E$12</c:f>
              <c:numCache>
                <c:formatCode>General</c:formatCode>
                <c:ptCount val="8"/>
                <c:pt idx="0">
                  <c:v>502</c:v>
                </c:pt>
                <c:pt idx="1">
                  <c:v>392</c:v>
                </c:pt>
                <c:pt idx="2">
                  <c:v>699</c:v>
                </c:pt>
                <c:pt idx="3">
                  <c:v>175</c:v>
                </c:pt>
                <c:pt idx="4">
                  <c:v>1446</c:v>
                </c:pt>
                <c:pt idx="5">
                  <c:v>231</c:v>
                </c:pt>
                <c:pt idx="6">
                  <c:v>232</c:v>
                </c:pt>
                <c:pt idx="7">
                  <c:v>525</c:v>
                </c:pt>
              </c:numCache>
            </c:numRef>
          </c:val>
          <c:extLst xmlns:c16r2="http://schemas.microsoft.com/office/drawing/2015/06/chart">
            <c:ext xmlns:c16="http://schemas.microsoft.com/office/drawing/2014/chart" uri="{C3380CC4-5D6E-409C-BE32-E72D297353CC}">
              <c16:uniqueId val="{00000001-20C2-40ED-92F1-66ACF614EC2A}"/>
            </c:ext>
          </c:extLst>
        </c:ser>
        <c:ser>
          <c:idx val="2"/>
          <c:order val="2"/>
          <c:tx>
            <c:strRef>
              <c:f>Sheet1!$F$4</c:f>
              <c:strCache>
                <c:ptCount val="1"/>
                <c:pt idx="0">
                  <c:v>150</c:v>
                </c:pt>
              </c:strCache>
            </c:strRef>
          </c:tx>
          <c:spPr>
            <a:solidFill>
              <a:schemeClr val="accent3"/>
            </a:solidFill>
            <a:ln>
              <a:noFill/>
            </a:ln>
            <a:effectLst/>
          </c:spPr>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Sheet1!$F$5:$F$12</c:f>
              <c:numCache>
                <c:formatCode>General</c:formatCode>
                <c:ptCount val="8"/>
                <c:pt idx="0">
                  <c:v>418</c:v>
                </c:pt>
                <c:pt idx="1">
                  <c:v>348</c:v>
                </c:pt>
                <c:pt idx="2">
                  <c:v>597</c:v>
                </c:pt>
                <c:pt idx="3">
                  <c:v>154</c:v>
                </c:pt>
                <c:pt idx="4">
                  <c:v>1319</c:v>
                </c:pt>
                <c:pt idx="5">
                  <c:v>255</c:v>
                </c:pt>
                <c:pt idx="6">
                  <c:v>197</c:v>
                </c:pt>
                <c:pt idx="7">
                  <c:v>470</c:v>
                </c:pt>
              </c:numCache>
            </c:numRef>
          </c:val>
          <c:extLst xmlns:c16r2="http://schemas.microsoft.com/office/drawing/2015/06/chart">
            <c:ext xmlns:c16="http://schemas.microsoft.com/office/drawing/2014/chart" uri="{C3380CC4-5D6E-409C-BE32-E72D297353CC}">
              <c16:uniqueId val="{00000002-20C2-40ED-92F1-66ACF614EC2A}"/>
            </c:ext>
          </c:extLst>
        </c:ser>
        <c:ser>
          <c:idx val="3"/>
          <c:order val="3"/>
          <c:tx>
            <c:strRef>
              <c:f>Sheet1!$G$4</c:f>
              <c:strCache>
                <c:ptCount val="1"/>
                <c:pt idx="0">
                  <c:v>225</c:v>
                </c:pt>
              </c:strCache>
            </c:strRef>
          </c:tx>
          <c:spPr>
            <a:solidFill>
              <a:schemeClr val="accent4"/>
            </a:solidFill>
            <a:ln>
              <a:noFill/>
            </a:ln>
            <a:effectLst/>
          </c:spPr>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Sheet1!$G$5:$G$12</c:f>
              <c:numCache>
                <c:formatCode>General</c:formatCode>
                <c:ptCount val="8"/>
                <c:pt idx="0">
                  <c:v>393</c:v>
                </c:pt>
                <c:pt idx="1">
                  <c:v>276</c:v>
                </c:pt>
                <c:pt idx="2">
                  <c:v>450</c:v>
                </c:pt>
                <c:pt idx="3">
                  <c:v>146</c:v>
                </c:pt>
                <c:pt idx="4">
                  <c:v>1133</c:v>
                </c:pt>
                <c:pt idx="5">
                  <c:v>241</c:v>
                </c:pt>
                <c:pt idx="6">
                  <c:v>211</c:v>
                </c:pt>
                <c:pt idx="7">
                  <c:v>407</c:v>
                </c:pt>
              </c:numCache>
            </c:numRef>
          </c:val>
          <c:extLst xmlns:c16r2="http://schemas.microsoft.com/office/drawing/2015/06/chart">
            <c:ext xmlns:c16="http://schemas.microsoft.com/office/drawing/2014/chart" uri="{C3380CC4-5D6E-409C-BE32-E72D297353CC}">
              <c16:uniqueId val="{00000003-20C2-40ED-92F1-66ACF614EC2A}"/>
            </c:ext>
          </c:extLst>
        </c:ser>
        <c:ser>
          <c:idx val="4"/>
          <c:order val="4"/>
          <c:tx>
            <c:strRef>
              <c:f>Sheet1!$H$4</c:f>
              <c:strCache>
                <c:ptCount val="1"/>
                <c:pt idx="0">
                  <c:v>300</c:v>
                </c:pt>
              </c:strCache>
            </c:strRef>
          </c:tx>
          <c:spPr>
            <a:solidFill>
              <a:schemeClr val="accent5"/>
            </a:solidFill>
            <a:ln>
              <a:noFill/>
            </a:ln>
            <a:effectLst/>
          </c:spPr>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Sheet1!$H$5:$H$12</c:f>
              <c:numCache>
                <c:formatCode>General</c:formatCode>
                <c:ptCount val="8"/>
                <c:pt idx="0">
                  <c:v>355</c:v>
                </c:pt>
                <c:pt idx="1">
                  <c:v>238</c:v>
                </c:pt>
                <c:pt idx="2">
                  <c:v>511</c:v>
                </c:pt>
                <c:pt idx="3">
                  <c:v>146</c:v>
                </c:pt>
                <c:pt idx="4">
                  <c:v>842</c:v>
                </c:pt>
                <c:pt idx="5">
                  <c:v>214</c:v>
                </c:pt>
                <c:pt idx="6">
                  <c:v>186</c:v>
                </c:pt>
                <c:pt idx="7">
                  <c:v>356</c:v>
                </c:pt>
              </c:numCache>
            </c:numRef>
          </c:val>
          <c:extLst xmlns:c16r2="http://schemas.microsoft.com/office/drawing/2015/06/chart">
            <c:ext xmlns:c16="http://schemas.microsoft.com/office/drawing/2014/chart" uri="{C3380CC4-5D6E-409C-BE32-E72D297353CC}">
              <c16:uniqueId val="{00000004-20C2-40ED-92F1-66ACF614EC2A}"/>
            </c:ext>
          </c:extLst>
        </c:ser>
        <c:gapWidth val="300"/>
        <c:axId val="130389888"/>
        <c:axId val="131385600"/>
      </c:barChart>
      <c:lineChart>
        <c:grouping val="standard"/>
        <c:ser>
          <c:idx val="5"/>
          <c:order val="5"/>
          <c:tx>
            <c:strRef>
              <c:f>Sheet1!$I$4</c:f>
              <c:strCache>
                <c:ptCount val="1"/>
              </c:strCache>
            </c:strRef>
          </c:tx>
          <c:spPr>
            <a:ln w="28575" cap="rnd">
              <a:noFill/>
              <a:round/>
            </a:ln>
            <a:effectLst/>
          </c:spPr>
          <c:marker>
            <c:symbol val="none"/>
          </c:marker>
          <c:errBars>
            <c:errDir val="y"/>
            <c:errBarType val="both"/>
            <c:errValType val="cust"/>
            <c:plus>
              <c:numRef>
                <c:f>Sheet1!$K$5:$K$11</c:f>
                <c:numCache>
                  <c:formatCode>General</c:formatCode>
                  <c:ptCount val="7"/>
                  <c:pt idx="0">
                    <c:v>19</c:v>
                  </c:pt>
                  <c:pt idx="1">
                    <c:v>10</c:v>
                  </c:pt>
                  <c:pt idx="2">
                    <c:v>61</c:v>
                  </c:pt>
                  <c:pt idx="3">
                    <c:v>9</c:v>
                  </c:pt>
                  <c:pt idx="4">
                    <c:v>9</c:v>
                  </c:pt>
                  <c:pt idx="5">
                    <c:v>7</c:v>
                  </c:pt>
                  <c:pt idx="6">
                    <c:v>12.5</c:v>
                  </c:pt>
                </c:numCache>
              </c:numRef>
            </c:plus>
            <c:minus>
              <c:numRef>
                <c:f>Sheet1!$K$5:$K$12</c:f>
                <c:numCache>
                  <c:formatCode>General</c:formatCode>
                  <c:ptCount val="8"/>
                  <c:pt idx="0">
                    <c:v>19</c:v>
                  </c:pt>
                  <c:pt idx="1">
                    <c:v>10</c:v>
                  </c:pt>
                  <c:pt idx="2">
                    <c:v>61</c:v>
                  </c:pt>
                  <c:pt idx="3">
                    <c:v>9</c:v>
                  </c:pt>
                  <c:pt idx="4">
                    <c:v>9</c:v>
                  </c:pt>
                  <c:pt idx="5">
                    <c:v>7</c:v>
                  </c:pt>
                  <c:pt idx="6">
                    <c:v>12.5</c:v>
                  </c:pt>
                  <c:pt idx="7">
                    <c:v>8</c:v>
                  </c:pt>
                </c:numCache>
              </c:numRef>
            </c:minus>
            <c:spPr>
              <a:noFill/>
              <a:ln w="9525" cap="flat" cmpd="sng" algn="ctr">
                <a:solidFill>
                  <a:schemeClr val="tx1">
                    <a:lumMod val="65000"/>
                    <a:lumOff val="35000"/>
                  </a:schemeClr>
                </a:solidFill>
                <a:round/>
              </a:ln>
              <a:effectLst/>
            </c:spPr>
          </c:errBars>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Sheet1!$I$5:$I$12</c:f>
              <c:numCache>
                <c:formatCode>General</c:formatCode>
                <c:ptCount val="8"/>
                <c:pt idx="0">
                  <c:v>500</c:v>
                </c:pt>
                <c:pt idx="1">
                  <c:v>500</c:v>
                </c:pt>
                <c:pt idx="2">
                  <c:v>700</c:v>
                </c:pt>
                <c:pt idx="3">
                  <c:v>200</c:v>
                </c:pt>
                <c:pt idx="4">
                  <c:v>1400</c:v>
                </c:pt>
                <c:pt idx="5">
                  <c:v>300</c:v>
                </c:pt>
                <c:pt idx="6">
                  <c:v>300</c:v>
                </c:pt>
                <c:pt idx="7">
                  <c:v>600</c:v>
                </c:pt>
              </c:numCache>
            </c:numRef>
          </c:val>
          <c:extLst xmlns:c16r2="http://schemas.microsoft.com/office/drawing/2015/06/chart">
            <c:ext xmlns:c16="http://schemas.microsoft.com/office/drawing/2014/chart" uri="{C3380CC4-5D6E-409C-BE32-E72D297353CC}">
              <c16:uniqueId val="{00000005-20C2-40ED-92F1-66ACF614EC2A}"/>
            </c:ext>
          </c:extLst>
        </c:ser>
        <c:marker val="1"/>
        <c:axId val="130389888"/>
        <c:axId val="131385600"/>
      </c:lineChart>
      <c:catAx>
        <c:axId val="130389888"/>
        <c:scaling>
          <c:orientation val="minMax"/>
        </c:scaling>
        <c:axPos val="b"/>
        <c:title>
          <c:tx>
            <c:rich>
              <a:bodyPr rot="0" vert="horz"/>
              <a:lstStyle/>
              <a:p>
                <a:pPr>
                  <a:defRPr lang="en-US" b="0"/>
                </a:pPr>
                <a:r>
                  <a:rPr lang="en-US" b="0"/>
                  <a:t>Site (bars are LSDs, p≤0.05)</a:t>
                </a:r>
              </a:p>
            </c:rich>
          </c:tx>
          <c:layout>
            <c:manualLayout>
              <c:xMode val="edge"/>
              <c:yMode val="edge"/>
              <c:x val="0.40873935652409638"/>
              <c:y val="0.92555115454283077"/>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31385600"/>
        <c:crosses val="autoZero"/>
        <c:auto val="1"/>
        <c:lblAlgn val="ctr"/>
        <c:lblOffset val="100"/>
      </c:catAx>
      <c:valAx>
        <c:axId val="131385600"/>
        <c:scaling>
          <c:orientation val="minMax"/>
          <c:max val="1510"/>
          <c:min val="10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30389888"/>
        <c:crosses val="autoZero"/>
        <c:crossBetween val="between"/>
      </c:valAx>
      <c:spPr>
        <a:noFill/>
        <a:ln w="25400">
          <a:noFill/>
        </a:ln>
        <a:effectLst/>
      </c:spPr>
    </c:plotArea>
    <c:legend>
      <c:legendPos val="b"/>
      <c:layout>
        <c:manualLayout>
          <c:xMode val="edge"/>
          <c:yMode val="edge"/>
          <c:x val="8.043048316143582E-2"/>
          <c:y val="0.77488248482110367"/>
          <c:w val="0.59657221544490036"/>
          <c:h val="7.6727604134948127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29513948184031"/>
          <c:y val="4.9217002237136528E-2"/>
          <c:w val="0.71546414761285571"/>
          <c:h val="0.58949215240712349"/>
        </c:manualLayout>
      </c:layout>
      <c:barChart>
        <c:barDir val="col"/>
        <c:grouping val="clustered"/>
        <c:ser>
          <c:idx val="0"/>
          <c:order val="0"/>
          <c:tx>
            <c:strRef>
              <c:f>Sheet1!$N$4</c:f>
              <c:strCache>
                <c:ptCount val="1"/>
                <c:pt idx="0">
                  <c:v>0</c:v>
                </c:pt>
              </c:strCache>
            </c:strRef>
          </c:tx>
          <c:spPr>
            <a:solidFill>
              <a:schemeClr val="accent1"/>
            </a:solidFill>
            <a:ln>
              <a:noFill/>
            </a:ln>
            <a:effectLst/>
          </c:spPr>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Sheet1!$N$5:$N$12</c:f>
              <c:numCache>
                <c:formatCode>General</c:formatCode>
                <c:ptCount val="8"/>
                <c:pt idx="0">
                  <c:v>459</c:v>
                </c:pt>
                <c:pt idx="1">
                  <c:v>551</c:v>
                </c:pt>
                <c:pt idx="2">
                  <c:v>894</c:v>
                </c:pt>
                <c:pt idx="3">
                  <c:v>150</c:v>
                </c:pt>
                <c:pt idx="4">
                  <c:v>1711</c:v>
                </c:pt>
                <c:pt idx="5">
                  <c:v>264</c:v>
                </c:pt>
                <c:pt idx="6">
                  <c:v>273</c:v>
                </c:pt>
                <c:pt idx="7">
                  <c:v>615</c:v>
                </c:pt>
              </c:numCache>
            </c:numRef>
          </c:val>
          <c:extLst xmlns:c16r2="http://schemas.microsoft.com/office/drawing/2015/06/chart">
            <c:ext xmlns:c16="http://schemas.microsoft.com/office/drawing/2014/chart" uri="{C3380CC4-5D6E-409C-BE32-E72D297353CC}">
              <c16:uniqueId val="{00000000-17B4-4886-A99E-59D54B7DCC27}"/>
            </c:ext>
          </c:extLst>
        </c:ser>
        <c:ser>
          <c:idx val="1"/>
          <c:order val="1"/>
          <c:tx>
            <c:strRef>
              <c:f>Sheet1!$O$4</c:f>
              <c:strCache>
                <c:ptCount val="1"/>
                <c:pt idx="0">
                  <c:v>75</c:v>
                </c:pt>
              </c:strCache>
            </c:strRef>
          </c:tx>
          <c:spPr>
            <a:solidFill>
              <a:schemeClr val="accent2"/>
            </a:solidFill>
            <a:ln>
              <a:noFill/>
            </a:ln>
            <a:effectLst/>
          </c:spPr>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Sheet1!$O$5:$O$12</c:f>
              <c:numCache>
                <c:formatCode>General</c:formatCode>
                <c:ptCount val="8"/>
                <c:pt idx="0">
                  <c:v>379</c:v>
                </c:pt>
                <c:pt idx="1">
                  <c:v>500</c:v>
                </c:pt>
                <c:pt idx="2">
                  <c:v>833</c:v>
                </c:pt>
                <c:pt idx="3">
                  <c:v>171</c:v>
                </c:pt>
                <c:pt idx="4">
                  <c:v>1572</c:v>
                </c:pt>
                <c:pt idx="5">
                  <c:v>255</c:v>
                </c:pt>
                <c:pt idx="6">
                  <c:v>243</c:v>
                </c:pt>
                <c:pt idx="7">
                  <c:v>565</c:v>
                </c:pt>
              </c:numCache>
            </c:numRef>
          </c:val>
          <c:extLst xmlns:c16r2="http://schemas.microsoft.com/office/drawing/2015/06/chart">
            <c:ext xmlns:c16="http://schemas.microsoft.com/office/drawing/2014/chart" uri="{C3380CC4-5D6E-409C-BE32-E72D297353CC}">
              <c16:uniqueId val="{00000001-17B4-4886-A99E-59D54B7DCC27}"/>
            </c:ext>
          </c:extLst>
        </c:ser>
        <c:ser>
          <c:idx val="2"/>
          <c:order val="2"/>
          <c:tx>
            <c:strRef>
              <c:f>Sheet1!$P$4</c:f>
              <c:strCache>
                <c:ptCount val="1"/>
                <c:pt idx="0">
                  <c:v>150</c:v>
                </c:pt>
              </c:strCache>
            </c:strRef>
          </c:tx>
          <c:spPr>
            <a:solidFill>
              <a:schemeClr val="accent3"/>
            </a:solidFill>
            <a:ln>
              <a:noFill/>
            </a:ln>
            <a:effectLst/>
          </c:spPr>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Sheet1!$P$5:$P$12</c:f>
              <c:numCache>
                <c:formatCode>General</c:formatCode>
                <c:ptCount val="8"/>
                <c:pt idx="0">
                  <c:v>269</c:v>
                </c:pt>
                <c:pt idx="1">
                  <c:v>436</c:v>
                </c:pt>
                <c:pt idx="2">
                  <c:v>755</c:v>
                </c:pt>
                <c:pt idx="3">
                  <c:v>142</c:v>
                </c:pt>
                <c:pt idx="4">
                  <c:v>1464</c:v>
                </c:pt>
                <c:pt idx="5">
                  <c:v>221</c:v>
                </c:pt>
                <c:pt idx="6">
                  <c:v>216</c:v>
                </c:pt>
                <c:pt idx="7">
                  <c:v>500</c:v>
                </c:pt>
              </c:numCache>
            </c:numRef>
          </c:val>
          <c:extLst xmlns:c16r2="http://schemas.microsoft.com/office/drawing/2015/06/chart">
            <c:ext xmlns:c16="http://schemas.microsoft.com/office/drawing/2014/chart" uri="{C3380CC4-5D6E-409C-BE32-E72D297353CC}">
              <c16:uniqueId val="{00000002-17B4-4886-A99E-59D54B7DCC27}"/>
            </c:ext>
          </c:extLst>
        </c:ser>
        <c:ser>
          <c:idx val="3"/>
          <c:order val="3"/>
          <c:tx>
            <c:strRef>
              <c:f>Sheet1!$Q$4</c:f>
              <c:strCache>
                <c:ptCount val="1"/>
                <c:pt idx="0">
                  <c:v>225</c:v>
                </c:pt>
              </c:strCache>
            </c:strRef>
          </c:tx>
          <c:spPr>
            <a:solidFill>
              <a:schemeClr val="accent4"/>
            </a:solidFill>
            <a:ln>
              <a:noFill/>
            </a:ln>
            <a:effectLst/>
          </c:spPr>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Sheet1!$Q$5:$Q$12</c:f>
              <c:numCache>
                <c:formatCode>General</c:formatCode>
                <c:ptCount val="8"/>
                <c:pt idx="0">
                  <c:v>186</c:v>
                </c:pt>
                <c:pt idx="1">
                  <c:v>369</c:v>
                </c:pt>
                <c:pt idx="2">
                  <c:v>670</c:v>
                </c:pt>
                <c:pt idx="3">
                  <c:v>116</c:v>
                </c:pt>
                <c:pt idx="4">
                  <c:v>1398</c:v>
                </c:pt>
                <c:pt idx="5">
                  <c:v>184</c:v>
                </c:pt>
                <c:pt idx="6">
                  <c:v>199</c:v>
                </c:pt>
                <c:pt idx="7">
                  <c:v>446</c:v>
                </c:pt>
              </c:numCache>
            </c:numRef>
          </c:val>
          <c:extLst xmlns:c16r2="http://schemas.microsoft.com/office/drawing/2015/06/chart">
            <c:ext xmlns:c16="http://schemas.microsoft.com/office/drawing/2014/chart" uri="{C3380CC4-5D6E-409C-BE32-E72D297353CC}">
              <c16:uniqueId val="{00000003-17B4-4886-A99E-59D54B7DCC27}"/>
            </c:ext>
          </c:extLst>
        </c:ser>
        <c:ser>
          <c:idx val="4"/>
          <c:order val="4"/>
          <c:tx>
            <c:strRef>
              <c:f>Sheet1!$R$4</c:f>
              <c:strCache>
                <c:ptCount val="1"/>
                <c:pt idx="0">
                  <c:v>300</c:v>
                </c:pt>
              </c:strCache>
            </c:strRef>
          </c:tx>
          <c:spPr>
            <a:solidFill>
              <a:schemeClr val="accent5"/>
            </a:solidFill>
            <a:ln>
              <a:noFill/>
            </a:ln>
            <a:effectLst/>
          </c:spPr>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Sheet1!$R$5:$R$12</c:f>
              <c:numCache>
                <c:formatCode>General</c:formatCode>
                <c:ptCount val="8"/>
                <c:pt idx="0">
                  <c:v>159</c:v>
                </c:pt>
                <c:pt idx="1">
                  <c:v>379</c:v>
                </c:pt>
                <c:pt idx="2">
                  <c:v>573</c:v>
                </c:pt>
                <c:pt idx="3">
                  <c:v>104</c:v>
                </c:pt>
                <c:pt idx="4">
                  <c:v>1284</c:v>
                </c:pt>
                <c:pt idx="5">
                  <c:v>167</c:v>
                </c:pt>
                <c:pt idx="6">
                  <c:v>176</c:v>
                </c:pt>
                <c:pt idx="7">
                  <c:v>406</c:v>
                </c:pt>
              </c:numCache>
            </c:numRef>
          </c:val>
          <c:extLst xmlns:c16r2="http://schemas.microsoft.com/office/drawing/2015/06/chart">
            <c:ext xmlns:c16="http://schemas.microsoft.com/office/drawing/2014/chart" uri="{C3380CC4-5D6E-409C-BE32-E72D297353CC}">
              <c16:uniqueId val="{00000004-17B4-4886-A99E-59D54B7DCC27}"/>
            </c:ext>
          </c:extLst>
        </c:ser>
        <c:gapWidth val="300"/>
        <c:axId val="132431232"/>
        <c:axId val="132487424"/>
      </c:barChart>
      <c:lineChart>
        <c:grouping val="standard"/>
        <c:ser>
          <c:idx val="5"/>
          <c:order val="5"/>
          <c:tx>
            <c:strRef>
              <c:f>Sheet1!$S$4</c:f>
              <c:strCache>
                <c:ptCount val="1"/>
              </c:strCache>
            </c:strRef>
          </c:tx>
          <c:spPr>
            <a:ln w="28575" cap="rnd">
              <a:noFill/>
              <a:round/>
            </a:ln>
            <a:effectLst/>
          </c:spPr>
          <c:marker>
            <c:symbol val="none"/>
          </c:marker>
          <c:errBars>
            <c:errDir val="y"/>
            <c:errBarType val="both"/>
            <c:errValType val="cust"/>
            <c:plus>
              <c:numRef>
                <c:f>Sheet1!$U$5:$U$12</c:f>
                <c:numCache>
                  <c:formatCode>General</c:formatCode>
                  <c:ptCount val="8"/>
                  <c:pt idx="0">
                    <c:v>11</c:v>
                  </c:pt>
                  <c:pt idx="1">
                    <c:v>4</c:v>
                  </c:pt>
                  <c:pt idx="2">
                    <c:v>3.5</c:v>
                  </c:pt>
                  <c:pt idx="3">
                    <c:v>5</c:v>
                  </c:pt>
                  <c:pt idx="4">
                    <c:v>5.5</c:v>
                  </c:pt>
                  <c:pt idx="5">
                    <c:v>10</c:v>
                  </c:pt>
                  <c:pt idx="6">
                    <c:v>6</c:v>
                  </c:pt>
                  <c:pt idx="7">
                    <c:v>3</c:v>
                  </c:pt>
                </c:numCache>
              </c:numRef>
            </c:plus>
            <c:minus>
              <c:numRef>
                <c:f>Sheet1!$U$5:$U$12</c:f>
                <c:numCache>
                  <c:formatCode>General</c:formatCode>
                  <c:ptCount val="8"/>
                  <c:pt idx="0">
                    <c:v>11</c:v>
                  </c:pt>
                  <c:pt idx="1">
                    <c:v>4</c:v>
                  </c:pt>
                  <c:pt idx="2">
                    <c:v>3.5</c:v>
                  </c:pt>
                  <c:pt idx="3">
                    <c:v>5</c:v>
                  </c:pt>
                  <c:pt idx="4">
                    <c:v>5.5</c:v>
                  </c:pt>
                  <c:pt idx="5">
                    <c:v>10</c:v>
                  </c:pt>
                  <c:pt idx="6">
                    <c:v>6</c:v>
                  </c:pt>
                  <c:pt idx="7">
                    <c:v>3</c:v>
                  </c:pt>
                </c:numCache>
              </c:numRef>
            </c:minus>
            <c:spPr>
              <a:noFill/>
              <a:ln w="9525" cap="flat" cmpd="sng" algn="ctr">
                <a:solidFill>
                  <a:schemeClr val="tx1">
                    <a:lumMod val="65000"/>
                    <a:lumOff val="35000"/>
                  </a:schemeClr>
                </a:solidFill>
                <a:round/>
              </a:ln>
              <a:effectLst/>
            </c:spPr>
          </c:errBars>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Sheet1!$S$5:$S$12</c:f>
              <c:numCache>
                <c:formatCode>General</c:formatCode>
                <c:ptCount val="8"/>
                <c:pt idx="0">
                  <c:v>400</c:v>
                </c:pt>
                <c:pt idx="1">
                  <c:v>600</c:v>
                </c:pt>
                <c:pt idx="2">
                  <c:v>870</c:v>
                </c:pt>
                <c:pt idx="3">
                  <c:v>200</c:v>
                </c:pt>
                <c:pt idx="4">
                  <c:v>1600</c:v>
                </c:pt>
                <c:pt idx="5">
                  <c:v>300</c:v>
                </c:pt>
                <c:pt idx="6">
                  <c:v>300</c:v>
                </c:pt>
                <c:pt idx="7">
                  <c:v>600</c:v>
                </c:pt>
              </c:numCache>
            </c:numRef>
          </c:val>
          <c:extLst xmlns:c16r2="http://schemas.microsoft.com/office/drawing/2015/06/chart">
            <c:ext xmlns:c16="http://schemas.microsoft.com/office/drawing/2014/chart" uri="{C3380CC4-5D6E-409C-BE32-E72D297353CC}">
              <c16:uniqueId val="{00000005-17B4-4886-A99E-59D54B7DCC27}"/>
            </c:ext>
          </c:extLst>
        </c:ser>
        <c:marker val="1"/>
        <c:axId val="132431232"/>
        <c:axId val="132487424"/>
      </c:lineChart>
      <c:catAx>
        <c:axId val="132431232"/>
        <c:scaling>
          <c:orientation val="minMax"/>
        </c:scaling>
        <c:axPos val="b"/>
        <c:title>
          <c:tx>
            <c:rich>
              <a:bodyPr rot="0" vert="horz"/>
              <a:lstStyle/>
              <a:p>
                <a:pPr>
                  <a:defRPr lang="en-US" b="0"/>
                </a:pPr>
                <a:r>
                  <a:rPr lang="en-US" b="0"/>
                  <a:t>Site (bars are LSDs, p≤0.05)</a:t>
                </a:r>
              </a:p>
            </c:rich>
          </c:tx>
          <c:layout>
            <c:manualLayout>
              <c:xMode val="edge"/>
              <c:yMode val="edge"/>
              <c:x val="0.36322562428247052"/>
              <c:y val="0.90449259278831751"/>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32487424"/>
        <c:crosses val="autoZero"/>
        <c:auto val="1"/>
        <c:lblAlgn val="ctr"/>
        <c:lblOffset val="100"/>
      </c:catAx>
      <c:valAx>
        <c:axId val="132487424"/>
        <c:scaling>
          <c:orientation val="minMax"/>
          <c:max val="1715"/>
          <c:min val="5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32431232"/>
        <c:crosses val="autoZero"/>
        <c:crossBetween val="between"/>
      </c:valAx>
      <c:spPr>
        <a:noFill/>
        <a:ln>
          <a:noFill/>
        </a:ln>
        <a:effectLst/>
      </c:spPr>
    </c:plotArea>
    <c:legend>
      <c:legendPos val="b"/>
      <c:layout>
        <c:manualLayout>
          <c:xMode val="edge"/>
          <c:yMode val="edge"/>
          <c:x val="3.7894355969085601E-2"/>
          <c:y val="0.78998050414485055"/>
          <c:w val="0.58923134930229437"/>
          <c:h val="7.1347080817099992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17438665237282"/>
          <c:y val="4.1114664230242133E-2"/>
          <c:w val="0.74078961960740886"/>
          <c:h val="0.64939011449516781"/>
        </c:manualLayout>
      </c:layout>
      <c:barChart>
        <c:barDir val="col"/>
        <c:grouping val="clustered"/>
        <c:ser>
          <c:idx val="0"/>
          <c:order val="0"/>
          <c:tx>
            <c:strRef>
              <c:f>Sheet1!$X$4</c:f>
              <c:strCache>
                <c:ptCount val="1"/>
                <c:pt idx="0">
                  <c:v>0</c:v>
                </c:pt>
              </c:strCache>
            </c:strRef>
          </c:tx>
          <c:spPr>
            <a:solidFill>
              <a:schemeClr val="accent1"/>
            </a:solidFill>
            <a:ln>
              <a:noFill/>
            </a:ln>
            <a:effectLst/>
          </c:spPr>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Sheet1!$X$5:$X$12</c:f>
              <c:numCache>
                <c:formatCode>General</c:formatCode>
                <c:ptCount val="8"/>
                <c:pt idx="0">
                  <c:v>389</c:v>
                </c:pt>
                <c:pt idx="1">
                  <c:v>490</c:v>
                </c:pt>
                <c:pt idx="2">
                  <c:v>990</c:v>
                </c:pt>
                <c:pt idx="3">
                  <c:v>139</c:v>
                </c:pt>
                <c:pt idx="4">
                  <c:v>1899</c:v>
                </c:pt>
                <c:pt idx="5">
                  <c:v>254</c:v>
                </c:pt>
                <c:pt idx="6">
                  <c:v>287</c:v>
                </c:pt>
                <c:pt idx="7">
                  <c:v>636</c:v>
                </c:pt>
              </c:numCache>
            </c:numRef>
          </c:val>
          <c:extLst xmlns:c16r2="http://schemas.microsoft.com/office/drawing/2015/06/chart">
            <c:ext xmlns:c16="http://schemas.microsoft.com/office/drawing/2014/chart" uri="{C3380CC4-5D6E-409C-BE32-E72D297353CC}">
              <c16:uniqueId val="{00000000-631D-4C71-BD28-F265F982A6F4}"/>
            </c:ext>
          </c:extLst>
        </c:ser>
        <c:ser>
          <c:idx val="1"/>
          <c:order val="1"/>
          <c:tx>
            <c:strRef>
              <c:f>Sheet1!$Y$4</c:f>
              <c:strCache>
                <c:ptCount val="1"/>
                <c:pt idx="0">
                  <c:v>75</c:v>
                </c:pt>
              </c:strCache>
            </c:strRef>
          </c:tx>
          <c:spPr>
            <a:solidFill>
              <a:schemeClr val="accent2"/>
            </a:solidFill>
            <a:ln>
              <a:noFill/>
            </a:ln>
            <a:effectLst/>
          </c:spPr>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Sheet1!$Y$5:$Y$12</c:f>
              <c:numCache>
                <c:formatCode>General</c:formatCode>
                <c:ptCount val="8"/>
                <c:pt idx="0">
                  <c:v>372</c:v>
                </c:pt>
                <c:pt idx="1">
                  <c:v>411</c:v>
                </c:pt>
                <c:pt idx="2">
                  <c:v>993</c:v>
                </c:pt>
                <c:pt idx="3">
                  <c:v>164</c:v>
                </c:pt>
                <c:pt idx="4">
                  <c:v>1816</c:v>
                </c:pt>
                <c:pt idx="5">
                  <c:v>203</c:v>
                </c:pt>
                <c:pt idx="6">
                  <c:v>251</c:v>
                </c:pt>
                <c:pt idx="7">
                  <c:v>601</c:v>
                </c:pt>
              </c:numCache>
            </c:numRef>
          </c:val>
          <c:extLst xmlns:c16r2="http://schemas.microsoft.com/office/drawing/2015/06/chart">
            <c:ext xmlns:c16="http://schemas.microsoft.com/office/drawing/2014/chart" uri="{C3380CC4-5D6E-409C-BE32-E72D297353CC}">
              <c16:uniqueId val="{00000001-631D-4C71-BD28-F265F982A6F4}"/>
            </c:ext>
          </c:extLst>
        </c:ser>
        <c:ser>
          <c:idx val="2"/>
          <c:order val="2"/>
          <c:tx>
            <c:strRef>
              <c:f>Sheet1!$Z$4</c:f>
              <c:strCache>
                <c:ptCount val="1"/>
                <c:pt idx="0">
                  <c:v>150</c:v>
                </c:pt>
              </c:strCache>
            </c:strRef>
          </c:tx>
          <c:spPr>
            <a:solidFill>
              <a:schemeClr val="accent3"/>
            </a:solidFill>
            <a:ln>
              <a:noFill/>
            </a:ln>
            <a:effectLst/>
          </c:spPr>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Sheet1!$Z$5:$Z$12</c:f>
              <c:numCache>
                <c:formatCode>General</c:formatCode>
                <c:ptCount val="8"/>
                <c:pt idx="0">
                  <c:v>345</c:v>
                </c:pt>
                <c:pt idx="1">
                  <c:v>392</c:v>
                </c:pt>
                <c:pt idx="2">
                  <c:v>895</c:v>
                </c:pt>
                <c:pt idx="3">
                  <c:v>150</c:v>
                </c:pt>
                <c:pt idx="4">
                  <c:v>1620</c:v>
                </c:pt>
                <c:pt idx="5">
                  <c:v>193</c:v>
                </c:pt>
                <c:pt idx="6">
                  <c:v>235</c:v>
                </c:pt>
                <c:pt idx="7">
                  <c:v>547</c:v>
                </c:pt>
              </c:numCache>
            </c:numRef>
          </c:val>
          <c:extLst xmlns:c16r2="http://schemas.microsoft.com/office/drawing/2015/06/chart">
            <c:ext xmlns:c16="http://schemas.microsoft.com/office/drawing/2014/chart" uri="{C3380CC4-5D6E-409C-BE32-E72D297353CC}">
              <c16:uniqueId val="{00000002-631D-4C71-BD28-F265F982A6F4}"/>
            </c:ext>
          </c:extLst>
        </c:ser>
        <c:ser>
          <c:idx val="3"/>
          <c:order val="3"/>
          <c:tx>
            <c:strRef>
              <c:f>Sheet1!$AA$4</c:f>
              <c:strCache>
                <c:ptCount val="1"/>
                <c:pt idx="0">
                  <c:v>225</c:v>
                </c:pt>
              </c:strCache>
            </c:strRef>
          </c:tx>
          <c:spPr>
            <a:solidFill>
              <a:schemeClr val="accent4"/>
            </a:solidFill>
            <a:ln>
              <a:noFill/>
            </a:ln>
            <a:effectLst/>
          </c:spPr>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Sheet1!$AA$5:$AA$12</c:f>
              <c:numCache>
                <c:formatCode>General</c:formatCode>
                <c:ptCount val="8"/>
                <c:pt idx="0">
                  <c:v>315</c:v>
                </c:pt>
                <c:pt idx="1">
                  <c:v>353</c:v>
                </c:pt>
                <c:pt idx="2">
                  <c:v>825</c:v>
                </c:pt>
                <c:pt idx="3">
                  <c:v>141</c:v>
                </c:pt>
                <c:pt idx="4">
                  <c:v>1509</c:v>
                </c:pt>
                <c:pt idx="5">
                  <c:v>173</c:v>
                </c:pt>
                <c:pt idx="6">
                  <c:v>210</c:v>
                </c:pt>
                <c:pt idx="7">
                  <c:v>504</c:v>
                </c:pt>
              </c:numCache>
            </c:numRef>
          </c:val>
          <c:extLst xmlns:c16r2="http://schemas.microsoft.com/office/drawing/2015/06/chart">
            <c:ext xmlns:c16="http://schemas.microsoft.com/office/drawing/2014/chart" uri="{C3380CC4-5D6E-409C-BE32-E72D297353CC}">
              <c16:uniqueId val="{00000003-631D-4C71-BD28-F265F982A6F4}"/>
            </c:ext>
          </c:extLst>
        </c:ser>
        <c:ser>
          <c:idx val="4"/>
          <c:order val="4"/>
          <c:tx>
            <c:strRef>
              <c:f>Sheet1!$AB$4</c:f>
              <c:strCache>
                <c:ptCount val="1"/>
                <c:pt idx="0">
                  <c:v>300</c:v>
                </c:pt>
              </c:strCache>
            </c:strRef>
          </c:tx>
          <c:spPr>
            <a:solidFill>
              <a:schemeClr val="accent5"/>
            </a:solidFill>
            <a:ln>
              <a:noFill/>
            </a:ln>
            <a:effectLst/>
          </c:spPr>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Sheet1!$AB$5:$AB$12</c:f>
              <c:numCache>
                <c:formatCode>General</c:formatCode>
                <c:ptCount val="8"/>
                <c:pt idx="0">
                  <c:v>254</c:v>
                </c:pt>
                <c:pt idx="1">
                  <c:v>309</c:v>
                </c:pt>
                <c:pt idx="2">
                  <c:v>685</c:v>
                </c:pt>
                <c:pt idx="3">
                  <c:v>125</c:v>
                </c:pt>
                <c:pt idx="4">
                  <c:v>1316</c:v>
                </c:pt>
                <c:pt idx="5">
                  <c:v>163</c:v>
                </c:pt>
                <c:pt idx="6">
                  <c:v>188</c:v>
                </c:pt>
                <c:pt idx="7">
                  <c:v>434</c:v>
                </c:pt>
              </c:numCache>
            </c:numRef>
          </c:val>
          <c:extLst xmlns:c16r2="http://schemas.microsoft.com/office/drawing/2015/06/chart">
            <c:ext xmlns:c16="http://schemas.microsoft.com/office/drawing/2014/chart" uri="{C3380CC4-5D6E-409C-BE32-E72D297353CC}">
              <c16:uniqueId val="{00000004-631D-4C71-BD28-F265F982A6F4}"/>
            </c:ext>
          </c:extLst>
        </c:ser>
        <c:gapWidth val="300"/>
        <c:axId val="135350144"/>
        <c:axId val="135369856"/>
      </c:barChart>
      <c:lineChart>
        <c:grouping val="standard"/>
        <c:ser>
          <c:idx val="5"/>
          <c:order val="5"/>
          <c:tx>
            <c:strRef>
              <c:f>Sheet1!$AC$4</c:f>
              <c:strCache>
                <c:ptCount val="1"/>
              </c:strCache>
            </c:strRef>
          </c:tx>
          <c:spPr>
            <a:ln w="28575" cap="rnd">
              <a:noFill/>
              <a:round/>
            </a:ln>
            <a:effectLst/>
          </c:spPr>
          <c:marker>
            <c:symbol val="none"/>
          </c:marker>
          <c:errBars>
            <c:errDir val="y"/>
            <c:errBarType val="both"/>
            <c:errValType val="cust"/>
            <c:plus>
              <c:numRef>
                <c:f>Sheet1!$AD$5:$AD$12</c:f>
                <c:numCache>
                  <c:formatCode>General</c:formatCode>
                  <c:ptCount val="8"/>
                  <c:pt idx="0">
                    <c:v>8</c:v>
                  </c:pt>
                  <c:pt idx="1">
                    <c:v>10</c:v>
                  </c:pt>
                  <c:pt idx="2">
                    <c:v>15</c:v>
                  </c:pt>
                  <c:pt idx="3">
                    <c:v>6</c:v>
                  </c:pt>
                  <c:pt idx="4">
                    <c:v>20</c:v>
                  </c:pt>
                  <c:pt idx="5">
                    <c:v>13</c:v>
                  </c:pt>
                  <c:pt idx="6">
                    <c:v>17</c:v>
                  </c:pt>
                  <c:pt idx="7">
                    <c:v>22</c:v>
                  </c:pt>
                </c:numCache>
              </c:numRef>
            </c:plus>
            <c:minus>
              <c:numRef>
                <c:f>Sheet1!$AD$5:$AD$12</c:f>
                <c:numCache>
                  <c:formatCode>General</c:formatCode>
                  <c:ptCount val="8"/>
                  <c:pt idx="0">
                    <c:v>8</c:v>
                  </c:pt>
                  <c:pt idx="1">
                    <c:v>10</c:v>
                  </c:pt>
                  <c:pt idx="2">
                    <c:v>15</c:v>
                  </c:pt>
                  <c:pt idx="3">
                    <c:v>6</c:v>
                  </c:pt>
                  <c:pt idx="4">
                    <c:v>20</c:v>
                  </c:pt>
                  <c:pt idx="5">
                    <c:v>13</c:v>
                  </c:pt>
                  <c:pt idx="6">
                    <c:v>17</c:v>
                  </c:pt>
                  <c:pt idx="7">
                    <c:v>22</c:v>
                  </c:pt>
                </c:numCache>
              </c:numRef>
            </c:minus>
            <c:spPr>
              <a:noFill/>
              <a:ln w="9525" cap="flat" cmpd="sng" algn="ctr">
                <a:solidFill>
                  <a:schemeClr val="tx1">
                    <a:lumMod val="65000"/>
                    <a:lumOff val="35000"/>
                  </a:schemeClr>
                </a:solidFill>
                <a:round/>
              </a:ln>
              <a:effectLst/>
            </c:spPr>
          </c:errBars>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Sheet1!$AC$5:$AC$12</c:f>
              <c:numCache>
                <c:formatCode>General</c:formatCode>
                <c:ptCount val="8"/>
                <c:pt idx="0">
                  <c:v>400</c:v>
                </c:pt>
                <c:pt idx="1">
                  <c:v>500</c:v>
                </c:pt>
                <c:pt idx="2">
                  <c:v>1000</c:v>
                </c:pt>
                <c:pt idx="3">
                  <c:v>200</c:v>
                </c:pt>
                <c:pt idx="4">
                  <c:v>1700</c:v>
                </c:pt>
                <c:pt idx="5">
                  <c:v>350</c:v>
                </c:pt>
                <c:pt idx="6">
                  <c:v>350</c:v>
                </c:pt>
                <c:pt idx="7">
                  <c:v>700</c:v>
                </c:pt>
              </c:numCache>
            </c:numRef>
          </c:val>
          <c:extLst xmlns:c16r2="http://schemas.microsoft.com/office/drawing/2015/06/chart">
            <c:ext xmlns:c16="http://schemas.microsoft.com/office/drawing/2014/chart" uri="{C3380CC4-5D6E-409C-BE32-E72D297353CC}">
              <c16:uniqueId val="{00000005-631D-4C71-BD28-F265F982A6F4}"/>
            </c:ext>
          </c:extLst>
        </c:ser>
        <c:marker val="1"/>
        <c:axId val="135350144"/>
        <c:axId val="135369856"/>
      </c:lineChart>
      <c:catAx>
        <c:axId val="135350144"/>
        <c:scaling>
          <c:orientation val="minMax"/>
        </c:scaling>
        <c:axPos val="b"/>
        <c:title>
          <c:tx>
            <c:rich>
              <a:bodyPr rot="0" vert="horz"/>
              <a:lstStyle/>
              <a:p>
                <a:pPr>
                  <a:defRPr lang="en-US" b="0"/>
                </a:pPr>
                <a:r>
                  <a:rPr lang="en-US" b="0"/>
                  <a:t>Site (bars are LSDs, p≤0.05)</a:t>
                </a:r>
              </a:p>
            </c:rich>
          </c:tx>
          <c:layout>
            <c:manualLayout>
              <c:xMode val="edge"/>
              <c:yMode val="edge"/>
              <c:x val="0.16021927716781886"/>
              <c:y val="0.91162217673909995"/>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35369856"/>
        <c:crosses val="autoZero"/>
        <c:auto val="1"/>
        <c:lblAlgn val="ctr"/>
        <c:lblOffset val="100"/>
      </c:catAx>
      <c:valAx>
        <c:axId val="135369856"/>
        <c:scaling>
          <c:orientation val="minMax"/>
          <c:max val="1900"/>
          <c:min val="5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35350144"/>
        <c:crosses val="autoZero"/>
        <c:crossBetween val="between"/>
      </c:valAx>
      <c:spPr>
        <a:noFill/>
        <a:ln w="25400">
          <a:noFill/>
        </a:ln>
        <a:effectLst/>
      </c:spPr>
    </c:plotArea>
    <c:legend>
      <c:legendPos val="b"/>
      <c:layout>
        <c:manualLayout>
          <c:xMode val="edge"/>
          <c:yMode val="edge"/>
          <c:x val="0.10249898340172267"/>
          <c:y val="0.8220702654287908"/>
          <c:w val="0.53678607075523976"/>
          <c:h val="7.2861088799530696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29513948184031"/>
          <c:y val="3.5794183445190156E-2"/>
          <c:w val="0.71546414761285571"/>
          <c:h val="0.65213197343620655"/>
        </c:manualLayout>
      </c:layout>
      <c:barChart>
        <c:barDir val="col"/>
        <c:grouping val="clustered"/>
        <c:ser>
          <c:idx val="0"/>
          <c:order val="0"/>
          <c:tx>
            <c:strRef>
              <c:f>Sheet1!$AI$4</c:f>
              <c:strCache>
                <c:ptCount val="1"/>
                <c:pt idx="0">
                  <c:v>0</c:v>
                </c:pt>
              </c:strCache>
            </c:strRef>
          </c:tx>
          <c:spPr>
            <a:solidFill>
              <a:schemeClr val="accent1"/>
            </a:solidFill>
            <a:ln>
              <a:noFill/>
            </a:ln>
            <a:effectLst/>
          </c:spPr>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Sheet1!$AI$5:$AI$12</c:f>
              <c:numCache>
                <c:formatCode>General</c:formatCode>
                <c:ptCount val="8"/>
                <c:pt idx="0">
                  <c:v>477</c:v>
                </c:pt>
                <c:pt idx="1">
                  <c:v>519</c:v>
                </c:pt>
                <c:pt idx="2">
                  <c:v>1030</c:v>
                </c:pt>
                <c:pt idx="3">
                  <c:v>142</c:v>
                </c:pt>
                <c:pt idx="4">
                  <c:v>2362</c:v>
                </c:pt>
                <c:pt idx="5">
                  <c:v>287</c:v>
                </c:pt>
                <c:pt idx="6">
                  <c:v>293</c:v>
                </c:pt>
                <c:pt idx="7">
                  <c:v>730</c:v>
                </c:pt>
              </c:numCache>
            </c:numRef>
          </c:val>
          <c:extLst xmlns:c16r2="http://schemas.microsoft.com/office/drawing/2015/06/chart">
            <c:ext xmlns:c16="http://schemas.microsoft.com/office/drawing/2014/chart" uri="{C3380CC4-5D6E-409C-BE32-E72D297353CC}">
              <c16:uniqueId val="{00000000-9B78-4752-A606-C95265D86E31}"/>
            </c:ext>
          </c:extLst>
        </c:ser>
        <c:ser>
          <c:idx val="1"/>
          <c:order val="1"/>
          <c:tx>
            <c:strRef>
              <c:f>Sheet1!$AJ$4</c:f>
              <c:strCache>
                <c:ptCount val="1"/>
                <c:pt idx="0">
                  <c:v>75</c:v>
                </c:pt>
              </c:strCache>
            </c:strRef>
          </c:tx>
          <c:spPr>
            <a:solidFill>
              <a:schemeClr val="accent2"/>
            </a:solidFill>
            <a:ln>
              <a:noFill/>
            </a:ln>
            <a:effectLst/>
          </c:spPr>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Sheet1!$AJ$5:$AJ$12</c:f>
              <c:numCache>
                <c:formatCode>General</c:formatCode>
                <c:ptCount val="8"/>
                <c:pt idx="0">
                  <c:v>363</c:v>
                </c:pt>
                <c:pt idx="1">
                  <c:v>600</c:v>
                </c:pt>
                <c:pt idx="2">
                  <c:v>950</c:v>
                </c:pt>
                <c:pt idx="3">
                  <c:v>199</c:v>
                </c:pt>
                <c:pt idx="4">
                  <c:v>2168</c:v>
                </c:pt>
                <c:pt idx="5">
                  <c:v>233</c:v>
                </c:pt>
                <c:pt idx="6">
                  <c:v>271</c:v>
                </c:pt>
                <c:pt idx="7">
                  <c:v>683</c:v>
                </c:pt>
              </c:numCache>
            </c:numRef>
          </c:val>
          <c:extLst xmlns:c16r2="http://schemas.microsoft.com/office/drawing/2015/06/chart">
            <c:ext xmlns:c16="http://schemas.microsoft.com/office/drawing/2014/chart" uri="{C3380CC4-5D6E-409C-BE32-E72D297353CC}">
              <c16:uniqueId val="{00000001-9B78-4752-A606-C95265D86E31}"/>
            </c:ext>
          </c:extLst>
        </c:ser>
        <c:ser>
          <c:idx val="2"/>
          <c:order val="2"/>
          <c:tx>
            <c:strRef>
              <c:f>Sheet1!$AK$4</c:f>
              <c:strCache>
                <c:ptCount val="1"/>
                <c:pt idx="0">
                  <c:v>150</c:v>
                </c:pt>
              </c:strCache>
            </c:strRef>
          </c:tx>
          <c:spPr>
            <a:solidFill>
              <a:schemeClr val="accent3"/>
            </a:solidFill>
            <a:ln>
              <a:noFill/>
            </a:ln>
            <a:effectLst/>
          </c:spPr>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Sheet1!$AK$5:$AK$12</c:f>
              <c:numCache>
                <c:formatCode>General</c:formatCode>
                <c:ptCount val="8"/>
                <c:pt idx="0">
                  <c:v>348</c:v>
                </c:pt>
                <c:pt idx="1">
                  <c:v>500</c:v>
                </c:pt>
                <c:pt idx="2">
                  <c:v>919</c:v>
                </c:pt>
                <c:pt idx="3">
                  <c:v>180</c:v>
                </c:pt>
                <c:pt idx="4">
                  <c:v>2004</c:v>
                </c:pt>
                <c:pt idx="5">
                  <c:v>179</c:v>
                </c:pt>
                <c:pt idx="6">
                  <c:v>252</c:v>
                </c:pt>
                <c:pt idx="7">
                  <c:v>626</c:v>
                </c:pt>
              </c:numCache>
            </c:numRef>
          </c:val>
          <c:extLst xmlns:c16r2="http://schemas.microsoft.com/office/drawing/2015/06/chart">
            <c:ext xmlns:c16="http://schemas.microsoft.com/office/drawing/2014/chart" uri="{C3380CC4-5D6E-409C-BE32-E72D297353CC}">
              <c16:uniqueId val="{00000002-9B78-4752-A606-C95265D86E31}"/>
            </c:ext>
          </c:extLst>
        </c:ser>
        <c:ser>
          <c:idx val="3"/>
          <c:order val="3"/>
          <c:tx>
            <c:strRef>
              <c:f>Sheet1!$AL$4</c:f>
              <c:strCache>
                <c:ptCount val="1"/>
                <c:pt idx="0">
                  <c:v>225</c:v>
                </c:pt>
              </c:strCache>
            </c:strRef>
          </c:tx>
          <c:spPr>
            <a:solidFill>
              <a:schemeClr val="accent4"/>
            </a:solidFill>
            <a:ln>
              <a:noFill/>
            </a:ln>
            <a:effectLst/>
          </c:spPr>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Sheet1!$AL$5:$AL$12</c:f>
              <c:numCache>
                <c:formatCode>General</c:formatCode>
                <c:ptCount val="8"/>
                <c:pt idx="0">
                  <c:v>267</c:v>
                </c:pt>
                <c:pt idx="1">
                  <c:v>441</c:v>
                </c:pt>
                <c:pt idx="2">
                  <c:v>861</c:v>
                </c:pt>
                <c:pt idx="3">
                  <c:v>166</c:v>
                </c:pt>
                <c:pt idx="4">
                  <c:v>2030</c:v>
                </c:pt>
                <c:pt idx="5">
                  <c:v>175</c:v>
                </c:pt>
                <c:pt idx="6">
                  <c:v>235</c:v>
                </c:pt>
                <c:pt idx="7">
                  <c:v>593</c:v>
                </c:pt>
              </c:numCache>
            </c:numRef>
          </c:val>
          <c:extLst xmlns:c16r2="http://schemas.microsoft.com/office/drawing/2015/06/chart">
            <c:ext xmlns:c16="http://schemas.microsoft.com/office/drawing/2014/chart" uri="{C3380CC4-5D6E-409C-BE32-E72D297353CC}">
              <c16:uniqueId val="{00000003-9B78-4752-A606-C95265D86E31}"/>
            </c:ext>
          </c:extLst>
        </c:ser>
        <c:ser>
          <c:idx val="4"/>
          <c:order val="4"/>
          <c:tx>
            <c:strRef>
              <c:f>Sheet1!$AM$4</c:f>
              <c:strCache>
                <c:ptCount val="1"/>
                <c:pt idx="0">
                  <c:v>300</c:v>
                </c:pt>
              </c:strCache>
            </c:strRef>
          </c:tx>
          <c:spPr>
            <a:solidFill>
              <a:schemeClr val="accent5"/>
            </a:solidFill>
            <a:ln>
              <a:noFill/>
            </a:ln>
            <a:effectLst/>
          </c:spPr>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Sheet1!$AM$5:$AM$12</c:f>
              <c:numCache>
                <c:formatCode>General</c:formatCode>
                <c:ptCount val="8"/>
                <c:pt idx="0">
                  <c:v>243</c:v>
                </c:pt>
                <c:pt idx="1">
                  <c:v>391</c:v>
                </c:pt>
                <c:pt idx="2">
                  <c:v>743</c:v>
                </c:pt>
                <c:pt idx="3">
                  <c:v>163</c:v>
                </c:pt>
                <c:pt idx="4">
                  <c:v>1699</c:v>
                </c:pt>
                <c:pt idx="5">
                  <c:v>154</c:v>
                </c:pt>
                <c:pt idx="6">
                  <c:v>206</c:v>
                </c:pt>
                <c:pt idx="7">
                  <c:v>518</c:v>
                </c:pt>
              </c:numCache>
            </c:numRef>
          </c:val>
          <c:extLst xmlns:c16r2="http://schemas.microsoft.com/office/drawing/2015/06/chart">
            <c:ext xmlns:c16="http://schemas.microsoft.com/office/drawing/2014/chart" uri="{C3380CC4-5D6E-409C-BE32-E72D297353CC}">
              <c16:uniqueId val="{00000004-9B78-4752-A606-C95265D86E31}"/>
            </c:ext>
          </c:extLst>
        </c:ser>
        <c:gapWidth val="300"/>
        <c:axId val="172611072"/>
        <c:axId val="172649856"/>
      </c:barChart>
      <c:lineChart>
        <c:grouping val="standard"/>
        <c:ser>
          <c:idx val="5"/>
          <c:order val="5"/>
          <c:tx>
            <c:strRef>
              <c:f>Sheet1!$AN$4</c:f>
              <c:strCache>
                <c:ptCount val="1"/>
              </c:strCache>
            </c:strRef>
          </c:tx>
          <c:spPr>
            <a:ln w="28575" cap="rnd">
              <a:noFill/>
              <a:round/>
            </a:ln>
            <a:effectLst/>
          </c:spPr>
          <c:marker>
            <c:symbol val="none"/>
          </c:marker>
          <c:errBars>
            <c:errDir val="y"/>
            <c:errBarType val="both"/>
            <c:errValType val="cust"/>
            <c:plus>
              <c:numRef>
                <c:f>Sheet1!$AO$5:$AO$12</c:f>
                <c:numCache>
                  <c:formatCode>General</c:formatCode>
                  <c:ptCount val="8"/>
                  <c:pt idx="0">
                    <c:v>10</c:v>
                  </c:pt>
                  <c:pt idx="1">
                    <c:v>15</c:v>
                  </c:pt>
                  <c:pt idx="2">
                    <c:v>9</c:v>
                  </c:pt>
                  <c:pt idx="3">
                    <c:v>5</c:v>
                  </c:pt>
                  <c:pt idx="4">
                    <c:v>22</c:v>
                  </c:pt>
                  <c:pt idx="5">
                    <c:v>10</c:v>
                  </c:pt>
                  <c:pt idx="6">
                    <c:v>15</c:v>
                  </c:pt>
                  <c:pt idx="7">
                    <c:v>19</c:v>
                  </c:pt>
                </c:numCache>
              </c:numRef>
            </c:plus>
            <c:minus>
              <c:numRef>
                <c:f>Sheet1!$AO$5:$AO$12</c:f>
                <c:numCache>
                  <c:formatCode>General</c:formatCode>
                  <c:ptCount val="8"/>
                  <c:pt idx="0">
                    <c:v>10</c:v>
                  </c:pt>
                  <c:pt idx="1">
                    <c:v>15</c:v>
                  </c:pt>
                  <c:pt idx="2">
                    <c:v>9</c:v>
                  </c:pt>
                  <c:pt idx="3">
                    <c:v>5</c:v>
                  </c:pt>
                  <c:pt idx="4">
                    <c:v>22</c:v>
                  </c:pt>
                  <c:pt idx="5">
                    <c:v>10</c:v>
                  </c:pt>
                  <c:pt idx="6">
                    <c:v>15</c:v>
                  </c:pt>
                  <c:pt idx="7">
                    <c:v>19</c:v>
                  </c:pt>
                </c:numCache>
              </c:numRef>
            </c:minus>
            <c:spPr>
              <a:noFill/>
              <a:ln w="9525" cap="flat" cmpd="sng" algn="ctr">
                <a:solidFill>
                  <a:schemeClr val="tx1">
                    <a:lumMod val="65000"/>
                    <a:lumOff val="35000"/>
                  </a:schemeClr>
                </a:solidFill>
                <a:round/>
              </a:ln>
              <a:effectLst/>
            </c:spPr>
          </c:errBars>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Sheet1!$AN$5:$AN$12</c:f>
              <c:numCache>
                <c:formatCode>General</c:formatCode>
                <c:ptCount val="8"/>
                <c:pt idx="0">
                  <c:v>500</c:v>
                </c:pt>
                <c:pt idx="1">
                  <c:v>700</c:v>
                </c:pt>
                <c:pt idx="2">
                  <c:v>1100</c:v>
                </c:pt>
                <c:pt idx="3">
                  <c:v>400</c:v>
                </c:pt>
                <c:pt idx="4">
                  <c:v>2300</c:v>
                </c:pt>
                <c:pt idx="5">
                  <c:v>400</c:v>
                </c:pt>
                <c:pt idx="6">
                  <c:v>400</c:v>
                </c:pt>
                <c:pt idx="7">
                  <c:v>700</c:v>
                </c:pt>
              </c:numCache>
            </c:numRef>
          </c:val>
          <c:extLst xmlns:c16r2="http://schemas.microsoft.com/office/drawing/2015/06/chart">
            <c:ext xmlns:c16="http://schemas.microsoft.com/office/drawing/2014/chart" uri="{C3380CC4-5D6E-409C-BE32-E72D297353CC}">
              <c16:uniqueId val="{00000005-9B78-4752-A606-C95265D86E31}"/>
            </c:ext>
          </c:extLst>
        </c:ser>
        <c:marker val="1"/>
        <c:axId val="172611072"/>
        <c:axId val="172649856"/>
      </c:lineChart>
      <c:catAx>
        <c:axId val="172611072"/>
        <c:scaling>
          <c:orientation val="minMax"/>
        </c:scaling>
        <c:axPos val="b"/>
        <c:title>
          <c:tx>
            <c:rich>
              <a:bodyPr rot="0" vert="horz"/>
              <a:lstStyle/>
              <a:p>
                <a:pPr>
                  <a:defRPr lang="en-US" b="0"/>
                </a:pPr>
                <a:r>
                  <a:rPr lang="en-US" b="0"/>
                  <a:t>Site (bars are LSDs, p≤0.05)</a:t>
                </a:r>
              </a:p>
            </c:rich>
          </c:tx>
          <c:layout>
            <c:manualLayout>
              <c:xMode val="edge"/>
              <c:yMode val="edge"/>
              <c:x val="0.12272744949183265"/>
              <c:y val="0.90001831985766845"/>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72649856"/>
        <c:crosses val="autoZero"/>
        <c:auto val="1"/>
        <c:lblAlgn val="ctr"/>
        <c:lblOffset val="100"/>
      </c:catAx>
      <c:valAx>
        <c:axId val="172649856"/>
        <c:scaling>
          <c:orientation val="minMax"/>
          <c:max val="2380"/>
          <c:min val="5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72611072"/>
        <c:crosses val="autoZero"/>
        <c:crossBetween val="between"/>
        <c:majorUnit val="200"/>
        <c:minorUnit val="50"/>
      </c:valAx>
      <c:spPr>
        <a:noFill/>
        <a:ln>
          <a:noFill/>
        </a:ln>
        <a:effectLst/>
      </c:spPr>
    </c:plotArea>
    <c:legend>
      <c:legendPos val="b"/>
      <c:layout>
        <c:manualLayout>
          <c:xMode val="edge"/>
          <c:yMode val="edge"/>
          <c:x val="3.3599745704967036E-2"/>
          <c:y val="0.82129648223502283"/>
          <c:w val="0.58923134930229437"/>
          <c:h val="7.1347080817099992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3815048118985129"/>
          <c:y val="2.5428331875182269E-2"/>
          <c:w val="0.83129396325459382"/>
          <c:h val="0.7295906240886556"/>
        </c:manualLayout>
      </c:layout>
      <c:barChart>
        <c:barDir val="col"/>
        <c:grouping val="clustered"/>
        <c:ser>
          <c:idx val="0"/>
          <c:order val="0"/>
          <c:tx>
            <c:strRef>
              <c:f>Sheet1!$AU$33</c:f>
              <c:strCache>
                <c:ptCount val="1"/>
                <c:pt idx="0">
                  <c:v>Timbilil</c:v>
                </c:pt>
              </c:strCache>
            </c:strRef>
          </c:tx>
          <c:spPr>
            <a:solidFill>
              <a:schemeClr val="accent1"/>
            </a:solidFill>
            <a:ln>
              <a:noFill/>
            </a:ln>
            <a:effectLst/>
          </c:spPr>
          <c:cat>
            <c:strRef>
              <c:f>Sheet1!$AT$34:$AT$38</c:f>
              <c:strCache>
                <c:ptCount val="4"/>
                <c:pt idx="0">
                  <c:v>0-10</c:v>
                </c:pt>
                <c:pt idx="1">
                  <c:v>10-20</c:v>
                </c:pt>
                <c:pt idx="2">
                  <c:v>20-30</c:v>
                </c:pt>
                <c:pt idx="3">
                  <c:v>40-60</c:v>
                </c:pt>
              </c:strCache>
            </c:strRef>
          </c:cat>
          <c:val>
            <c:numRef>
              <c:f>Sheet1!$AU$34:$AU$38</c:f>
              <c:numCache>
                <c:formatCode>General</c:formatCode>
                <c:ptCount val="5"/>
                <c:pt idx="0">
                  <c:v>59</c:v>
                </c:pt>
                <c:pt idx="1">
                  <c:v>53</c:v>
                </c:pt>
                <c:pt idx="2">
                  <c:v>62</c:v>
                </c:pt>
                <c:pt idx="3">
                  <c:v>68</c:v>
                </c:pt>
              </c:numCache>
            </c:numRef>
          </c:val>
          <c:extLst xmlns:c16r2="http://schemas.microsoft.com/office/drawing/2015/06/chart">
            <c:ext xmlns:c16="http://schemas.microsoft.com/office/drawing/2014/chart" uri="{C3380CC4-5D6E-409C-BE32-E72D297353CC}">
              <c16:uniqueId val="{00000000-453D-419E-A209-01E0DB2B46DF}"/>
            </c:ext>
          </c:extLst>
        </c:ser>
        <c:ser>
          <c:idx val="1"/>
          <c:order val="1"/>
          <c:tx>
            <c:strRef>
              <c:f>Sheet1!$AV$33</c:f>
              <c:strCache>
                <c:ptCount val="1"/>
                <c:pt idx="0">
                  <c:v>Changoi</c:v>
                </c:pt>
              </c:strCache>
            </c:strRef>
          </c:tx>
          <c:spPr>
            <a:solidFill>
              <a:schemeClr val="accent2"/>
            </a:solidFill>
            <a:ln>
              <a:noFill/>
            </a:ln>
            <a:effectLst/>
          </c:spPr>
          <c:cat>
            <c:strRef>
              <c:f>Sheet1!$AT$34:$AT$38</c:f>
              <c:strCache>
                <c:ptCount val="4"/>
                <c:pt idx="0">
                  <c:v>0-10</c:v>
                </c:pt>
                <c:pt idx="1">
                  <c:v>10-20</c:v>
                </c:pt>
                <c:pt idx="2">
                  <c:v>20-30</c:v>
                </c:pt>
                <c:pt idx="3">
                  <c:v>40-60</c:v>
                </c:pt>
              </c:strCache>
            </c:strRef>
          </c:cat>
          <c:val>
            <c:numRef>
              <c:f>Sheet1!$AV$34:$AV$38</c:f>
              <c:numCache>
                <c:formatCode>General</c:formatCode>
                <c:ptCount val="5"/>
                <c:pt idx="0">
                  <c:v>62</c:v>
                </c:pt>
                <c:pt idx="1">
                  <c:v>72</c:v>
                </c:pt>
                <c:pt idx="2">
                  <c:v>104</c:v>
                </c:pt>
                <c:pt idx="3">
                  <c:v>95</c:v>
                </c:pt>
              </c:numCache>
            </c:numRef>
          </c:val>
          <c:extLst xmlns:c16r2="http://schemas.microsoft.com/office/drawing/2015/06/chart">
            <c:ext xmlns:c16="http://schemas.microsoft.com/office/drawing/2014/chart" uri="{C3380CC4-5D6E-409C-BE32-E72D297353CC}">
              <c16:uniqueId val="{00000001-453D-419E-A209-01E0DB2B46DF}"/>
            </c:ext>
          </c:extLst>
        </c:ser>
        <c:ser>
          <c:idx val="2"/>
          <c:order val="2"/>
          <c:tx>
            <c:strRef>
              <c:f>Sheet1!$AW$33</c:f>
              <c:strCache>
                <c:ptCount val="1"/>
                <c:pt idx="0">
                  <c:v>Arroket</c:v>
                </c:pt>
              </c:strCache>
            </c:strRef>
          </c:tx>
          <c:spPr>
            <a:solidFill>
              <a:schemeClr val="accent3"/>
            </a:solidFill>
            <a:ln>
              <a:noFill/>
            </a:ln>
            <a:effectLst/>
          </c:spPr>
          <c:cat>
            <c:strRef>
              <c:f>Sheet1!$AT$34:$AT$38</c:f>
              <c:strCache>
                <c:ptCount val="4"/>
                <c:pt idx="0">
                  <c:v>0-10</c:v>
                </c:pt>
                <c:pt idx="1">
                  <c:v>10-20</c:v>
                </c:pt>
                <c:pt idx="2">
                  <c:v>20-30</c:v>
                </c:pt>
                <c:pt idx="3">
                  <c:v>40-60</c:v>
                </c:pt>
              </c:strCache>
            </c:strRef>
          </c:cat>
          <c:val>
            <c:numRef>
              <c:f>Sheet1!$AW$34:$AW$38</c:f>
              <c:numCache>
                <c:formatCode>General</c:formatCode>
                <c:ptCount val="5"/>
                <c:pt idx="0">
                  <c:v>145</c:v>
                </c:pt>
                <c:pt idx="1">
                  <c:v>151</c:v>
                </c:pt>
                <c:pt idx="2">
                  <c:v>203</c:v>
                </c:pt>
                <c:pt idx="3">
                  <c:v>134</c:v>
                </c:pt>
              </c:numCache>
            </c:numRef>
          </c:val>
          <c:extLst xmlns:c16r2="http://schemas.microsoft.com/office/drawing/2015/06/chart">
            <c:ext xmlns:c16="http://schemas.microsoft.com/office/drawing/2014/chart" uri="{C3380CC4-5D6E-409C-BE32-E72D297353CC}">
              <c16:uniqueId val="{00000002-453D-419E-A209-01E0DB2B46DF}"/>
            </c:ext>
          </c:extLst>
        </c:ser>
        <c:ser>
          <c:idx val="3"/>
          <c:order val="3"/>
          <c:tx>
            <c:strRef>
              <c:f>Sheet1!$AX$33</c:f>
              <c:strCache>
                <c:ptCount val="1"/>
                <c:pt idx="0">
                  <c:v>Kitabi</c:v>
                </c:pt>
              </c:strCache>
            </c:strRef>
          </c:tx>
          <c:spPr>
            <a:solidFill>
              <a:schemeClr val="accent4"/>
            </a:solidFill>
            <a:ln>
              <a:noFill/>
            </a:ln>
            <a:effectLst/>
          </c:spPr>
          <c:cat>
            <c:strRef>
              <c:f>Sheet1!$AT$34:$AT$38</c:f>
              <c:strCache>
                <c:ptCount val="4"/>
                <c:pt idx="0">
                  <c:v>0-10</c:v>
                </c:pt>
                <c:pt idx="1">
                  <c:v>10-20</c:v>
                </c:pt>
                <c:pt idx="2">
                  <c:v>20-30</c:v>
                </c:pt>
                <c:pt idx="3">
                  <c:v>40-60</c:v>
                </c:pt>
              </c:strCache>
            </c:strRef>
          </c:cat>
          <c:val>
            <c:numRef>
              <c:f>Sheet1!$AX$34:$AX$38</c:f>
              <c:numCache>
                <c:formatCode>General</c:formatCode>
                <c:ptCount val="5"/>
                <c:pt idx="0">
                  <c:v>69</c:v>
                </c:pt>
                <c:pt idx="1">
                  <c:v>76</c:v>
                </c:pt>
                <c:pt idx="2">
                  <c:v>76</c:v>
                </c:pt>
                <c:pt idx="3">
                  <c:v>74</c:v>
                </c:pt>
              </c:numCache>
            </c:numRef>
          </c:val>
          <c:extLst xmlns:c16r2="http://schemas.microsoft.com/office/drawing/2015/06/chart">
            <c:ext xmlns:c16="http://schemas.microsoft.com/office/drawing/2014/chart" uri="{C3380CC4-5D6E-409C-BE32-E72D297353CC}">
              <c16:uniqueId val="{00000003-453D-419E-A209-01E0DB2B46DF}"/>
            </c:ext>
          </c:extLst>
        </c:ser>
        <c:ser>
          <c:idx val="4"/>
          <c:order val="4"/>
          <c:tx>
            <c:strRef>
              <c:f>Sheet1!$AY$33</c:f>
              <c:strCache>
                <c:ptCount val="1"/>
                <c:pt idx="0">
                  <c:v>Mulindi</c:v>
                </c:pt>
              </c:strCache>
            </c:strRef>
          </c:tx>
          <c:spPr>
            <a:solidFill>
              <a:schemeClr val="accent5"/>
            </a:solidFill>
            <a:ln>
              <a:noFill/>
            </a:ln>
            <a:effectLst/>
          </c:spPr>
          <c:cat>
            <c:strRef>
              <c:f>Sheet1!$AT$34:$AT$38</c:f>
              <c:strCache>
                <c:ptCount val="4"/>
                <c:pt idx="0">
                  <c:v>0-10</c:v>
                </c:pt>
                <c:pt idx="1">
                  <c:v>10-20</c:v>
                </c:pt>
                <c:pt idx="2">
                  <c:v>20-30</c:v>
                </c:pt>
                <c:pt idx="3">
                  <c:v>40-60</c:v>
                </c:pt>
              </c:strCache>
            </c:strRef>
          </c:cat>
          <c:val>
            <c:numRef>
              <c:f>Sheet1!$AY$34:$AY$38</c:f>
              <c:numCache>
                <c:formatCode>General</c:formatCode>
                <c:ptCount val="5"/>
                <c:pt idx="0">
                  <c:v>125</c:v>
                </c:pt>
                <c:pt idx="1">
                  <c:v>139</c:v>
                </c:pt>
                <c:pt idx="2">
                  <c:v>171</c:v>
                </c:pt>
                <c:pt idx="3">
                  <c:v>223</c:v>
                </c:pt>
              </c:numCache>
            </c:numRef>
          </c:val>
          <c:extLst xmlns:c16r2="http://schemas.microsoft.com/office/drawing/2015/06/chart">
            <c:ext xmlns:c16="http://schemas.microsoft.com/office/drawing/2014/chart" uri="{C3380CC4-5D6E-409C-BE32-E72D297353CC}">
              <c16:uniqueId val="{00000004-453D-419E-A209-01E0DB2B46DF}"/>
            </c:ext>
          </c:extLst>
        </c:ser>
        <c:ser>
          <c:idx val="5"/>
          <c:order val="5"/>
          <c:tx>
            <c:strRef>
              <c:f>Sheet1!$AZ$33</c:f>
              <c:strCache>
                <c:ptCount val="1"/>
                <c:pt idx="0">
                  <c:v>Katoke</c:v>
                </c:pt>
              </c:strCache>
            </c:strRef>
          </c:tx>
          <c:spPr>
            <a:solidFill>
              <a:schemeClr val="accent6"/>
            </a:solidFill>
            <a:ln>
              <a:noFill/>
            </a:ln>
            <a:effectLst/>
          </c:spPr>
          <c:cat>
            <c:strRef>
              <c:f>Sheet1!$AT$34:$AT$38</c:f>
              <c:strCache>
                <c:ptCount val="4"/>
                <c:pt idx="0">
                  <c:v>0-10</c:v>
                </c:pt>
                <c:pt idx="1">
                  <c:v>10-20</c:v>
                </c:pt>
                <c:pt idx="2">
                  <c:v>20-30</c:v>
                </c:pt>
                <c:pt idx="3">
                  <c:v>40-60</c:v>
                </c:pt>
              </c:strCache>
            </c:strRef>
          </c:cat>
          <c:val>
            <c:numRef>
              <c:f>Sheet1!$AZ$34:$AZ$38</c:f>
              <c:numCache>
                <c:formatCode>General</c:formatCode>
                <c:ptCount val="5"/>
                <c:pt idx="0">
                  <c:v>91</c:v>
                </c:pt>
                <c:pt idx="1">
                  <c:v>68</c:v>
                </c:pt>
                <c:pt idx="2">
                  <c:v>66</c:v>
                </c:pt>
                <c:pt idx="3">
                  <c:v>64</c:v>
                </c:pt>
              </c:numCache>
            </c:numRef>
          </c:val>
          <c:extLst xmlns:c16r2="http://schemas.microsoft.com/office/drawing/2015/06/chart">
            <c:ext xmlns:c16="http://schemas.microsoft.com/office/drawing/2014/chart" uri="{C3380CC4-5D6E-409C-BE32-E72D297353CC}">
              <c16:uniqueId val="{00000005-453D-419E-A209-01E0DB2B46DF}"/>
            </c:ext>
          </c:extLst>
        </c:ser>
        <c:ser>
          <c:idx val="6"/>
          <c:order val="6"/>
          <c:tx>
            <c:strRef>
              <c:f>Sheet1!$BA$33</c:f>
              <c:strCache>
                <c:ptCount val="1"/>
                <c:pt idx="0">
                  <c:v>Maruku</c:v>
                </c:pt>
              </c:strCache>
            </c:strRef>
          </c:tx>
          <c:spPr>
            <a:solidFill>
              <a:schemeClr val="accent1">
                <a:lumMod val="60000"/>
              </a:schemeClr>
            </a:solidFill>
            <a:ln>
              <a:noFill/>
            </a:ln>
            <a:effectLst/>
          </c:spPr>
          <c:cat>
            <c:strRef>
              <c:f>Sheet1!$AT$34:$AT$38</c:f>
              <c:strCache>
                <c:ptCount val="4"/>
                <c:pt idx="0">
                  <c:v>0-10</c:v>
                </c:pt>
                <c:pt idx="1">
                  <c:v>10-20</c:v>
                </c:pt>
                <c:pt idx="2">
                  <c:v>20-30</c:v>
                </c:pt>
                <c:pt idx="3">
                  <c:v>40-60</c:v>
                </c:pt>
              </c:strCache>
            </c:strRef>
          </c:cat>
          <c:val>
            <c:numRef>
              <c:f>Sheet1!$BA$34:$BA$38</c:f>
              <c:numCache>
                <c:formatCode>General</c:formatCode>
                <c:ptCount val="5"/>
                <c:pt idx="0">
                  <c:v>99</c:v>
                </c:pt>
                <c:pt idx="1">
                  <c:v>97</c:v>
                </c:pt>
                <c:pt idx="2">
                  <c:v>85</c:v>
                </c:pt>
                <c:pt idx="3">
                  <c:v>93</c:v>
                </c:pt>
              </c:numCache>
            </c:numRef>
          </c:val>
          <c:extLst xmlns:c16r2="http://schemas.microsoft.com/office/drawing/2015/06/chart">
            <c:ext xmlns:c16="http://schemas.microsoft.com/office/drawing/2014/chart" uri="{C3380CC4-5D6E-409C-BE32-E72D297353CC}">
              <c16:uniqueId val="{00000006-453D-419E-A209-01E0DB2B46DF}"/>
            </c:ext>
          </c:extLst>
        </c:ser>
        <c:gapWidth val="300"/>
        <c:axId val="120914688"/>
        <c:axId val="120916608"/>
      </c:barChart>
      <c:lineChart>
        <c:grouping val="standard"/>
        <c:ser>
          <c:idx val="7"/>
          <c:order val="7"/>
          <c:tx>
            <c:strRef>
              <c:f>Sheet1!$BB$33</c:f>
              <c:strCache>
                <c:ptCount val="1"/>
              </c:strCache>
            </c:strRef>
          </c:tx>
          <c:spPr>
            <a:ln w="28575" cap="rnd">
              <a:noFill/>
              <a:round/>
            </a:ln>
            <a:effectLst/>
          </c:spPr>
          <c:marker>
            <c:symbol val="none"/>
          </c:marker>
          <c:errBars>
            <c:errDir val="y"/>
            <c:errBarType val="both"/>
            <c:errValType val="cust"/>
            <c:plus>
              <c:numRef>
                <c:f>Sheet1!$BD$34:$BD$37</c:f>
                <c:numCache>
                  <c:formatCode>General</c:formatCode>
                  <c:ptCount val="4"/>
                  <c:pt idx="0">
                    <c:v>1.5</c:v>
                  </c:pt>
                  <c:pt idx="1">
                    <c:v>2</c:v>
                  </c:pt>
                  <c:pt idx="2">
                    <c:v>4</c:v>
                  </c:pt>
                  <c:pt idx="3">
                    <c:v>3</c:v>
                  </c:pt>
                </c:numCache>
              </c:numRef>
            </c:plus>
            <c:minus>
              <c:numRef>
                <c:f>Sheet1!$BD$34:$BD$37</c:f>
                <c:numCache>
                  <c:formatCode>General</c:formatCode>
                  <c:ptCount val="4"/>
                  <c:pt idx="0">
                    <c:v>1.5</c:v>
                  </c:pt>
                  <c:pt idx="1">
                    <c:v>2</c:v>
                  </c:pt>
                  <c:pt idx="2">
                    <c:v>4</c:v>
                  </c:pt>
                  <c:pt idx="3">
                    <c:v>3</c:v>
                  </c:pt>
                </c:numCache>
              </c:numRef>
            </c:minus>
            <c:spPr>
              <a:noFill/>
              <a:ln w="9525" cap="flat" cmpd="sng" algn="ctr">
                <a:solidFill>
                  <a:schemeClr val="tx1">
                    <a:lumMod val="65000"/>
                    <a:lumOff val="35000"/>
                  </a:schemeClr>
                </a:solidFill>
                <a:round/>
              </a:ln>
              <a:effectLst/>
            </c:spPr>
          </c:errBars>
          <c:cat>
            <c:strRef>
              <c:f>Sheet1!$AT$34:$AT$38</c:f>
              <c:strCache>
                <c:ptCount val="4"/>
                <c:pt idx="0">
                  <c:v>0-10</c:v>
                </c:pt>
                <c:pt idx="1">
                  <c:v>10-20</c:v>
                </c:pt>
                <c:pt idx="2">
                  <c:v>20-30</c:v>
                </c:pt>
                <c:pt idx="3">
                  <c:v>40-60</c:v>
                </c:pt>
              </c:strCache>
            </c:strRef>
          </c:cat>
          <c:val>
            <c:numRef>
              <c:f>Sheet1!$BB$34:$BB$38</c:f>
              <c:numCache>
                <c:formatCode>General</c:formatCode>
                <c:ptCount val="5"/>
                <c:pt idx="0">
                  <c:v>150</c:v>
                </c:pt>
                <c:pt idx="1">
                  <c:v>160</c:v>
                </c:pt>
                <c:pt idx="2">
                  <c:v>180</c:v>
                </c:pt>
                <c:pt idx="3">
                  <c:v>140</c:v>
                </c:pt>
              </c:numCache>
            </c:numRef>
          </c:val>
          <c:extLst xmlns:c16r2="http://schemas.microsoft.com/office/drawing/2015/06/chart">
            <c:ext xmlns:c16="http://schemas.microsoft.com/office/drawing/2014/chart" uri="{C3380CC4-5D6E-409C-BE32-E72D297353CC}">
              <c16:uniqueId val="{00000007-453D-419E-A209-01E0DB2B46DF}"/>
            </c:ext>
          </c:extLst>
        </c:ser>
        <c:marker val="1"/>
        <c:axId val="120914688"/>
        <c:axId val="120916608"/>
      </c:lineChart>
      <c:catAx>
        <c:axId val="120914688"/>
        <c:scaling>
          <c:orientation val="minMax"/>
        </c:scaling>
        <c:axPos val="b"/>
        <c:title>
          <c:tx>
            <c:rich>
              <a:bodyPr rot="0" vert="horz"/>
              <a:lstStyle/>
              <a:p>
                <a:pPr>
                  <a:defRPr lang="en-US"/>
                </a:pPr>
                <a:r>
                  <a:rPr lang="en-US"/>
                  <a:t>Soil Depths (cm) (bars are LSDs, p≤0.05)</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20916608"/>
        <c:crosses val="autoZero"/>
        <c:auto val="1"/>
        <c:lblAlgn val="ctr"/>
        <c:lblOffset val="100"/>
      </c:catAx>
      <c:valAx>
        <c:axId val="120916608"/>
        <c:scaling>
          <c:orientation val="minMax"/>
          <c:max val="225"/>
          <c:min val="45"/>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20914688"/>
        <c:crosses val="autoZero"/>
        <c:crossBetween val="between"/>
        <c:majorUnit val="20"/>
      </c:valAx>
      <c:spPr>
        <a:noFill/>
        <a:ln w="25400">
          <a:noFill/>
        </a:ln>
        <a:effectLst/>
      </c:spPr>
    </c:plotArea>
    <c:legend>
      <c:legendPos val="b"/>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fr-FR"/>
  <c:chart>
    <c:autoTitleDeleted val="1"/>
    <c:plotArea>
      <c:layout>
        <c:manualLayout>
          <c:layoutTarget val="inner"/>
          <c:xMode val="edge"/>
          <c:yMode val="edge"/>
          <c:x val="0.19457814252091729"/>
          <c:y val="2.5773195876288658E-2"/>
          <c:w val="0.76238586373886363"/>
          <c:h val="0.67077651053927589"/>
        </c:manualLayout>
      </c:layout>
      <c:barChart>
        <c:barDir val="col"/>
        <c:grouping val="clustered"/>
        <c:ser>
          <c:idx val="0"/>
          <c:order val="0"/>
          <c:tx>
            <c:strRef>
              <c:f>Sheet1!$D$35</c:f>
              <c:strCache>
                <c:ptCount val="1"/>
                <c:pt idx="0">
                  <c:v>0</c:v>
                </c:pt>
              </c:strCache>
            </c:strRef>
          </c:tx>
          <c:spPr>
            <a:solidFill>
              <a:schemeClr val="accent1"/>
            </a:solidFill>
            <a:ln>
              <a:noFill/>
            </a:ln>
            <a:effectLst/>
          </c:spPr>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Sheet1!$D$36:$D$43</c:f>
              <c:numCache>
                <c:formatCode>General</c:formatCode>
                <c:ptCount val="8"/>
                <c:pt idx="0">
                  <c:v>96</c:v>
                </c:pt>
                <c:pt idx="1">
                  <c:v>65</c:v>
                </c:pt>
                <c:pt idx="2">
                  <c:v>222</c:v>
                </c:pt>
                <c:pt idx="3">
                  <c:v>84</c:v>
                </c:pt>
                <c:pt idx="4">
                  <c:v>149</c:v>
                </c:pt>
                <c:pt idx="5">
                  <c:v>121</c:v>
                </c:pt>
                <c:pt idx="6">
                  <c:v>118</c:v>
                </c:pt>
                <c:pt idx="7">
                  <c:v>122</c:v>
                </c:pt>
              </c:numCache>
            </c:numRef>
          </c:val>
          <c:extLst xmlns:c16r2="http://schemas.microsoft.com/office/drawing/2015/06/chart">
            <c:ext xmlns:c16="http://schemas.microsoft.com/office/drawing/2014/chart" uri="{C3380CC4-5D6E-409C-BE32-E72D297353CC}">
              <c16:uniqueId val="{00000000-1F17-45BF-BD4B-485E4E8F67F6}"/>
            </c:ext>
          </c:extLst>
        </c:ser>
        <c:ser>
          <c:idx val="1"/>
          <c:order val="1"/>
          <c:tx>
            <c:strRef>
              <c:f>Sheet1!$E$35</c:f>
              <c:strCache>
                <c:ptCount val="1"/>
                <c:pt idx="0">
                  <c:v>75</c:v>
                </c:pt>
              </c:strCache>
            </c:strRef>
          </c:tx>
          <c:spPr>
            <a:solidFill>
              <a:schemeClr val="accent2"/>
            </a:solidFill>
            <a:ln>
              <a:noFill/>
            </a:ln>
            <a:effectLst/>
          </c:spPr>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Sheet1!$E$36:$E$43</c:f>
              <c:numCache>
                <c:formatCode>General</c:formatCode>
                <c:ptCount val="8"/>
                <c:pt idx="0">
                  <c:v>68</c:v>
                </c:pt>
                <c:pt idx="1">
                  <c:v>80</c:v>
                </c:pt>
                <c:pt idx="2">
                  <c:v>189</c:v>
                </c:pt>
                <c:pt idx="3">
                  <c:v>72</c:v>
                </c:pt>
                <c:pt idx="4">
                  <c:v>134</c:v>
                </c:pt>
                <c:pt idx="5">
                  <c:v>97</c:v>
                </c:pt>
                <c:pt idx="6">
                  <c:v>115</c:v>
                </c:pt>
                <c:pt idx="7">
                  <c:v>108</c:v>
                </c:pt>
              </c:numCache>
            </c:numRef>
          </c:val>
          <c:extLst xmlns:c16r2="http://schemas.microsoft.com/office/drawing/2015/06/chart">
            <c:ext xmlns:c16="http://schemas.microsoft.com/office/drawing/2014/chart" uri="{C3380CC4-5D6E-409C-BE32-E72D297353CC}">
              <c16:uniqueId val="{00000001-1F17-45BF-BD4B-485E4E8F67F6}"/>
            </c:ext>
          </c:extLst>
        </c:ser>
        <c:ser>
          <c:idx val="2"/>
          <c:order val="2"/>
          <c:tx>
            <c:strRef>
              <c:f>Sheet1!$F$35</c:f>
              <c:strCache>
                <c:ptCount val="1"/>
                <c:pt idx="0">
                  <c:v>150</c:v>
                </c:pt>
              </c:strCache>
            </c:strRef>
          </c:tx>
          <c:spPr>
            <a:solidFill>
              <a:schemeClr val="accent3"/>
            </a:solidFill>
            <a:ln>
              <a:noFill/>
            </a:ln>
            <a:effectLst/>
          </c:spPr>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Sheet1!$F$36:$F$43</c:f>
              <c:numCache>
                <c:formatCode>General</c:formatCode>
                <c:ptCount val="8"/>
                <c:pt idx="0">
                  <c:v>59</c:v>
                </c:pt>
                <c:pt idx="1">
                  <c:v>72</c:v>
                </c:pt>
                <c:pt idx="2">
                  <c:v>134</c:v>
                </c:pt>
                <c:pt idx="3">
                  <c:v>71</c:v>
                </c:pt>
                <c:pt idx="4">
                  <c:v>119</c:v>
                </c:pt>
                <c:pt idx="5">
                  <c:v>86</c:v>
                </c:pt>
                <c:pt idx="6">
                  <c:v>100</c:v>
                </c:pt>
                <c:pt idx="7">
                  <c:v>92</c:v>
                </c:pt>
              </c:numCache>
            </c:numRef>
          </c:val>
          <c:extLst xmlns:c16r2="http://schemas.microsoft.com/office/drawing/2015/06/chart">
            <c:ext xmlns:c16="http://schemas.microsoft.com/office/drawing/2014/chart" uri="{C3380CC4-5D6E-409C-BE32-E72D297353CC}">
              <c16:uniqueId val="{00000002-1F17-45BF-BD4B-485E4E8F67F6}"/>
            </c:ext>
          </c:extLst>
        </c:ser>
        <c:ser>
          <c:idx val="3"/>
          <c:order val="3"/>
          <c:tx>
            <c:strRef>
              <c:f>Sheet1!$G$35</c:f>
              <c:strCache>
                <c:ptCount val="1"/>
                <c:pt idx="0">
                  <c:v>225</c:v>
                </c:pt>
              </c:strCache>
            </c:strRef>
          </c:tx>
          <c:spPr>
            <a:solidFill>
              <a:schemeClr val="accent4"/>
            </a:solidFill>
            <a:ln>
              <a:noFill/>
            </a:ln>
            <a:effectLst/>
          </c:spPr>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Sheet1!$G$36:$G$43</c:f>
              <c:numCache>
                <c:formatCode>General</c:formatCode>
                <c:ptCount val="8"/>
                <c:pt idx="0">
                  <c:v>40</c:v>
                </c:pt>
                <c:pt idx="1">
                  <c:v>51</c:v>
                </c:pt>
                <c:pt idx="2">
                  <c:v>96</c:v>
                </c:pt>
                <c:pt idx="3">
                  <c:v>61</c:v>
                </c:pt>
                <c:pt idx="4">
                  <c:v>116</c:v>
                </c:pt>
                <c:pt idx="5">
                  <c:v>82</c:v>
                </c:pt>
                <c:pt idx="6">
                  <c:v>86</c:v>
                </c:pt>
                <c:pt idx="7">
                  <c:v>77</c:v>
                </c:pt>
              </c:numCache>
            </c:numRef>
          </c:val>
          <c:extLst xmlns:c16r2="http://schemas.microsoft.com/office/drawing/2015/06/chart">
            <c:ext xmlns:c16="http://schemas.microsoft.com/office/drawing/2014/chart" uri="{C3380CC4-5D6E-409C-BE32-E72D297353CC}">
              <c16:uniqueId val="{00000003-1F17-45BF-BD4B-485E4E8F67F6}"/>
            </c:ext>
          </c:extLst>
        </c:ser>
        <c:ser>
          <c:idx val="4"/>
          <c:order val="4"/>
          <c:tx>
            <c:strRef>
              <c:f>Sheet1!$H$35</c:f>
              <c:strCache>
                <c:ptCount val="1"/>
                <c:pt idx="0">
                  <c:v>300</c:v>
                </c:pt>
              </c:strCache>
            </c:strRef>
          </c:tx>
          <c:spPr>
            <a:solidFill>
              <a:schemeClr val="accent5"/>
            </a:solidFill>
            <a:ln>
              <a:noFill/>
            </a:ln>
            <a:effectLst/>
          </c:spPr>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Sheet1!$H$36:$H$43</c:f>
              <c:numCache>
                <c:formatCode>General</c:formatCode>
                <c:ptCount val="8"/>
                <c:pt idx="0">
                  <c:v>34</c:v>
                </c:pt>
                <c:pt idx="1">
                  <c:v>42</c:v>
                </c:pt>
                <c:pt idx="2">
                  <c:v>84</c:v>
                </c:pt>
                <c:pt idx="3">
                  <c:v>59</c:v>
                </c:pt>
                <c:pt idx="4">
                  <c:v>107</c:v>
                </c:pt>
                <c:pt idx="5">
                  <c:v>69</c:v>
                </c:pt>
                <c:pt idx="6">
                  <c:v>77</c:v>
                </c:pt>
                <c:pt idx="7">
                  <c:v>67</c:v>
                </c:pt>
              </c:numCache>
            </c:numRef>
          </c:val>
          <c:extLst xmlns:c16r2="http://schemas.microsoft.com/office/drawing/2015/06/chart">
            <c:ext xmlns:c16="http://schemas.microsoft.com/office/drawing/2014/chart" uri="{C3380CC4-5D6E-409C-BE32-E72D297353CC}">
              <c16:uniqueId val="{00000004-1F17-45BF-BD4B-485E4E8F67F6}"/>
            </c:ext>
          </c:extLst>
        </c:ser>
        <c:gapWidth val="300"/>
        <c:axId val="121210368"/>
        <c:axId val="121212288"/>
      </c:barChart>
      <c:lineChart>
        <c:grouping val="standard"/>
        <c:ser>
          <c:idx val="5"/>
          <c:order val="5"/>
          <c:tx>
            <c:strRef>
              <c:f>Sheet1!$I$35</c:f>
              <c:strCache>
                <c:ptCount val="1"/>
              </c:strCache>
            </c:strRef>
          </c:tx>
          <c:spPr>
            <a:ln w="28575" cap="rnd">
              <a:noFill/>
              <a:round/>
            </a:ln>
            <a:effectLst/>
          </c:spPr>
          <c:marker>
            <c:symbol val="none"/>
          </c:marker>
          <c:errBars>
            <c:errDir val="y"/>
            <c:errBarType val="both"/>
            <c:errValType val="cust"/>
            <c:plus>
              <c:numRef>
                <c:f>Sheet1!$K$36:$K$43</c:f>
                <c:numCache>
                  <c:formatCode>General</c:formatCode>
                  <c:ptCount val="8"/>
                  <c:pt idx="0">
                    <c:v>1.5</c:v>
                  </c:pt>
                  <c:pt idx="1">
                    <c:v>3.5</c:v>
                  </c:pt>
                  <c:pt idx="2">
                    <c:v>4.5</c:v>
                  </c:pt>
                  <c:pt idx="3">
                    <c:v>3.5</c:v>
                  </c:pt>
                  <c:pt idx="4">
                    <c:v>4</c:v>
                  </c:pt>
                  <c:pt idx="5">
                    <c:v>3.5</c:v>
                  </c:pt>
                  <c:pt idx="6">
                    <c:v>4</c:v>
                  </c:pt>
                  <c:pt idx="7">
                    <c:v>1.5</c:v>
                  </c:pt>
                </c:numCache>
              </c:numRef>
            </c:plus>
            <c:minus>
              <c:numRef>
                <c:f>Sheet1!$K$36:$K$43</c:f>
                <c:numCache>
                  <c:formatCode>General</c:formatCode>
                  <c:ptCount val="8"/>
                  <c:pt idx="0">
                    <c:v>1.5</c:v>
                  </c:pt>
                  <c:pt idx="1">
                    <c:v>3.5</c:v>
                  </c:pt>
                  <c:pt idx="2">
                    <c:v>4.5</c:v>
                  </c:pt>
                  <c:pt idx="3">
                    <c:v>3.5</c:v>
                  </c:pt>
                  <c:pt idx="4">
                    <c:v>4</c:v>
                  </c:pt>
                  <c:pt idx="5">
                    <c:v>3.5</c:v>
                  </c:pt>
                  <c:pt idx="6">
                    <c:v>4</c:v>
                  </c:pt>
                  <c:pt idx="7">
                    <c:v>1.5</c:v>
                  </c:pt>
                </c:numCache>
              </c:numRef>
            </c:minus>
            <c:spPr>
              <a:noFill/>
              <a:ln w="9525" cap="flat" cmpd="sng" algn="ctr">
                <a:solidFill>
                  <a:schemeClr val="tx1">
                    <a:lumMod val="65000"/>
                    <a:lumOff val="35000"/>
                  </a:schemeClr>
                </a:solidFill>
                <a:round/>
              </a:ln>
              <a:effectLst/>
            </c:spPr>
          </c:errBars>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Sheet1!$I$36:$I$43</c:f>
              <c:numCache>
                <c:formatCode>General</c:formatCode>
                <c:ptCount val="8"/>
                <c:pt idx="0">
                  <c:v>80</c:v>
                </c:pt>
                <c:pt idx="1">
                  <c:v>80</c:v>
                </c:pt>
                <c:pt idx="2">
                  <c:v>200</c:v>
                </c:pt>
                <c:pt idx="3">
                  <c:v>80</c:v>
                </c:pt>
                <c:pt idx="4">
                  <c:v>130</c:v>
                </c:pt>
                <c:pt idx="5">
                  <c:v>100</c:v>
                </c:pt>
                <c:pt idx="6">
                  <c:v>110</c:v>
                </c:pt>
                <c:pt idx="7">
                  <c:v>110</c:v>
                </c:pt>
              </c:numCache>
            </c:numRef>
          </c:val>
          <c:extLst xmlns:c16r2="http://schemas.microsoft.com/office/drawing/2015/06/chart">
            <c:ext xmlns:c16="http://schemas.microsoft.com/office/drawing/2014/chart" uri="{C3380CC4-5D6E-409C-BE32-E72D297353CC}">
              <c16:uniqueId val="{00000005-1F17-45BF-BD4B-485E4E8F67F6}"/>
            </c:ext>
          </c:extLst>
        </c:ser>
        <c:marker val="1"/>
        <c:axId val="121210368"/>
        <c:axId val="121212288"/>
      </c:lineChart>
      <c:catAx>
        <c:axId val="121210368"/>
        <c:scaling>
          <c:orientation val="minMax"/>
        </c:scaling>
        <c:axPos val="b"/>
        <c:title>
          <c:tx>
            <c:rich>
              <a:bodyPr rot="0" vert="horz"/>
              <a:lstStyle/>
              <a:p>
                <a:pPr>
                  <a:defRPr lang="en-US" b="0"/>
                </a:pPr>
                <a:r>
                  <a:rPr lang="en-US" b="0"/>
                  <a:t>Site (bars are LSDs, p≤0.05)</a:t>
                </a:r>
              </a:p>
            </c:rich>
          </c:tx>
          <c:layout>
            <c:manualLayout>
              <c:xMode val="edge"/>
              <c:yMode val="edge"/>
              <c:x val="0.13075918327110525"/>
              <c:y val="0.92594231133479465"/>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21212288"/>
        <c:crosses val="autoZero"/>
        <c:auto val="1"/>
        <c:lblAlgn val="ctr"/>
        <c:lblOffset val="100"/>
      </c:catAx>
      <c:valAx>
        <c:axId val="121212288"/>
        <c:scaling>
          <c:orientation val="minMax"/>
          <c:max val="225"/>
          <c:min val="2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21210368"/>
        <c:crosses val="autoZero"/>
        <c:crossBetween val="between"/>
        <c:majorUnit val="20"/>
      </c:valAx>
      <c:spPr>
        <a:noFill/>
        <a:ln>
          <a:noFill/>
        </a:ln>
        <a:effectLst/>
      </c:spPr>
    </c:plotArea>
    <c:legend>
      <c:legendPos val="b"/>
      <c:layout>
        <c:manualLayout>
          <c:xMode val="edge"/>
          <c:yMode val="edge"/>
          <c:x val="8.3620753391741548E-2"/>
          <c:y val="0.8373061936845525"/>
          <c:w val="0.53541890010227566"/>
          <c:h val="7.248762074843744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1358889082390586"/>
          <c:y val="2.3417265764397236E-2"/>
          <c:w val="0.73917039627079095"/>
          <c:h val="0.64338849564503664"/>
        </c:manualLayout>
      </c:layout>
      <c:barChart>
        <c:barDir val="col"/>
        <c:grouping val="clustered"/>
        <c:ser>
          <c:idx val="0"/>
          <c:order val="0"/>
          <c:tx>
            <c:strRef>
              <c:f>Sheet1!$N$35</c:f>
              <c:strCache>
                <c:ptCount val="1"/>
                <c:pt idx="0">
                  <c:v>0</c:v>
                </c:pt>
              </c:strCache>
            </c:strRef>
          </c:tx>
          <c:spPr>
            <a:solidFill>
              <a:schemeClr val="accent1"/>
            </a:solidFill>
            <a:ln>
              <a:noFill/>
            </a:ln>
            <a:effectLst/>
          </c:spPr>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Sheet1!$N$36:$N$43</c:f>
              <c:numCache>
                <c:formatCode>General</c:formatCode>
                <c:ptCount val="8"/>
                <c:pt idx="0">
                  <c:v>83</c:v>
                </c:pt>
                <c:pt idx="1">
                  <c:v>105</c:v>
                </c:pt>
                <c:pt idx="2">
                  <c:v>181</c:v>
                </c:pt>
                <c:pt idx="3">
                  <c:v>89</c:v>
                </c:pt>
                <c:pt idx="4">
                  <c:v>189</c:v>
                </c:pt>
                <c:pt idx="5">
                  <c:v>81</c:v>
                </c:pt>
                <c:pt idx="6">
                  <c:v>118</c:v>
                </c:pt>
                <c:pt idx="7">
                  <c:v>121</c:v>
                </c:pt>
              </c:numCache>
            </c:numRef>
          </c:val>
          <c:extLst xmlns:c16r2="http://schemas.microsoft.com/office/drawing/2015/06/chart">
            <c:ext xmlns:c16="http://schemas.microsoft.com/office/drawing/2014/chart" uri="{C3380CC4-5D6E-409C-BE32-E72D297353CC}">
              <c16:uniqueId val="{00000000-F257-45C7-97CE-E9F9C932E694}"/>
            </c:ext>
          </c:extLst>
        </c:ser>
        <c:ser>
          <c:idx val="1"/>
          <c:order val="1"/>
          <c:tx>
            <c:strRef>
              <c:f>Sheet1!$O$35</c:f>
              <c:strCache>
                <c:ptCount val="1"/>
                <c:pt idx="0">
                  <c:v>75</c:v>
                </c:pt>
              </c:strCache>
            </c:strRef>
          </c:tx>
          <c:spPr>
            <a:solidFill>
              <a:schemeClr val="accent2"/>
            </a:solidFill>
            <a:ln>
              <a:noFill/>
            </a:ln>
            <a:effectLst/>
          </c:spPr>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Sheet1!$O$36:$O$43</c:f>
              <c:numCache>
                <c:formatCode>General</c:formatCode>
                <c:ptCount val="8"/>
                <c:pt idx="0">
                  <c:v>59</c:v>
                </c:pt>
                <c:pt idx="1">
                  <c:v>86</c:v>
                </c:pt>
                <c:pt idx="2">
                  <c:v>159</c:v>
                </c:pt>
                <c:pt idx="3">
                  <c:v>86</c:v>
                </c:pt>
                <c:pt idx="4">
                  <c:v>165</c:v>
                </c:pt>
                <c:pt idx="5">
                  <c:v>75</c:v>
                </c:pt>
                <c:pt idx="6">
                  <c:v>109</c:v>
                </c:pt>
                <c:pt idx="7">
                  <c:v>105</c:v>
                </c:pt>
              </c:numCache>
            </c:numRef>
          </c:val>
          <c:extLst xmlns:c16r2="http://schemas.microsoft.com/office/drawing/2015/06/chart">
            <c:ext xmlns:c16="http://schemas.microsoft.com/office/drawing/2014/chart" uri="{C3380CC4-5D6E-409C-BE32-E72D297353CC}">
              <c16:uniqueId val="{00000001-F257-45C7-97CE-E9F9C932E694}"/>
            </c:ext>
          </c:extLst>
        </c:ser>
        <c:ser>
          <c:idx val="2"/>
          <c:order val="2"/>
          <c:tx>
            <c:strRef>
              <c:f>Sheet1!$P$35</c:f>
              <c:strCache>
                <c:ptCount val="1"/>
                <c:pt idx="0">
                  <c:v>150</c:v>
                </c:pt>
              </c:strCache>
            </c:strRef>
          </c:tx>
          <c:spPr>
            <a:solidFill>
              <a:schemeClr val="accent3"/>
            </a:solidFill>
            <a:ln>
              <a:noFill/>
            </a:ln>
            <a:effectLst/>
          </c:spPr>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Sheet1!$P$36:$P$43</c:f>
              <c:numCache>
                <c:formatCode>General</c:formatCode>
                <c:ptCount val="8"/>
                <c:pt idx="0">
                  <c:v>52</c:v>
                </c:pt>
                <c:pt idx="1">
                  <c:v>73</c:v>
                </c:pt>
                <c:pt idx="2">
                  <c:v>173</c:v>
                </c:pt>
                <c:pt idx="3">
                  <c:v>72</c:v>
                </c:pt>
                <c:pt idx="4">
                  <c:v>138</c:v>
                </c:pt>
                <c:pt idx="5">
                  <c:v>69</c:v>
                </c:pt>
                <c:pt idx="6">
                  <c:v>93</c:v>
                </c:pt>
                <c:pt idx="7">
                  <c:v>96</c:v>
                </c:pt>
              </c:numCache>
            </c:numRef>
          </c:val>
          <c:extLst xmlns:c16r2="http://schemas.microsoft.com/office/drawing/2015/06/chart">
            <c:ext xmlns:c16="http://schemas.microsoft.com/office/drawing/2014/chart" uri="{C3380CC4-5D6E-409C-BE32-E72D297353CC}">
              <c16:uniqueId val="{00000002-F257-45C7-97CE-E9F9C932E694}"/>
            </c:ext>
          </c:extLst>
        </c:ser>
        <c:ser>
          <c:idx val="3"/>
          <c:order val="3"/>
          <c:tx>
            <c:strRef>
              <c:f>Sheet1!$Q$35</c:f>
              <c:strCache>
                <c:ptCount val="1"/>
                <c:pt idx="0">
                  <c:v>225</c:v>
                </c:pt>
              </c:strCache>
            </c:strRef>
          </c:tx>
          <c:spPr>
            <a:solidFill>
              <a:schemeClr val="accent4"/>
            </a:solidFill>
            <a:ln>
              <a:noFill/>
            </a:ln>
            <a:effectLst/>
          </c:spPr>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Sheet1!$Q$36:$Q$43</c:f>
              <c:numCache>
                <c:formatCode>General</c:formatCode>
                <c:ptCount val="8"/>
                <c:pt idx="0">
                  <c:v>40</c:v>
                </c:pt>
                <c:pt idx="1">
                  <c:v>52</c:v>
                </c:pt>
                <c:pt idx="2">
                  <c:v>139</c:v>
                </c:pt>
                <c:pt idx="3">
                  <c:v>61</c:v>
                </c:pt>
                <c:pt idx="4">
                  <c:v>111</c:v>
                </c:pt>
                <c:pt idx="5">
                  <c:v>65</c:v>
                </c:pt>
                <c:pt idx="6">
                  <c:v>85</c:v>
                </c:pt>
                <c:pt idx="7">
                  <c:v>79</c:v>
                </c:pt>
              </c:numCache>
            </c:numRef>
          </c:val>
          <c:extLst xmlns:c16r2="http://schemas.microsoft.com/office/drawing/2015/06/chart">
            <c:ext xmlns:c16="http://schemas.microsoft.com/office/drawing/2014/chart" uri="{C3380CC4-5D6E-409C-BE32-E72D297353CC}">
              <c16:uniqueId val="{00000003-F257-45C7-97CE-E9F9C932E694}"/>
            </c:ext>
          </c:extLst>
        </c:ser>
        <c:ser>
          <c:idx val="4"/>
          <c:order val="4"/>
          <c:tx>
            <c:strRef>
              <c:f>Sheet1!$R$35</c:f>
              <c:strCache>
                <c:ptCount val="1"/>
                <c:pt idx="0">
                  <c:v>300</c:v>
                </c:pt>
              </c:strCache>
            </c:strRef>
          </c:tx>
          <c:spPr>
            <a:solidFill>
              <a:schemeClr val="accent5"/>
            </a:solidFill>
            <a:ln>
              <a:noFill/>
            </a:ln>
            <a:effectLst/>
          </c:spPr>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Sheet1!$R$36:$R$43</c:f>
              <c:numCache>
                <c:formatCode>General</c:formatCode>
                <c:ptCount val="8"/>
                <c:pt idx="0">
                  <c:v>32</c:v>
                </c:pt>
                <c:pt idx="1">
                  <c:v>44</c:v>
                </c:pt>
                <c:pt idx="2">
                  <c:v>102</c:v>
                </c:pt>
                <c:pt idx="3">
                  <c:v>74</c:v>
                </c:pt>
                <c:pt idx="4">
                  <c:v>91</c:v>
                </c:pt>
                <c:pt idx="5">
                  <c:v>58</c:v>
                </c:pt>
                <c:pt idx="6">
                  <c:v>79</c:v>
                </c:pt>
                <c:pt idx="7">
                  <c:v>69</c:v>
                </c:pt>
              </c:numCache>
            </c:numRef>
          </c:val>
          <c:extLst xmlns:c16r2="http://schemas.microsoft.com/office/drawing/2015/06/chart">
            <c:ext xmlns:c16="http://schemas.microsoft.com/office/drawing/2014/chart" uri="{C3380CC4-5D6E-409C-BE32-E72D297353CC}">
              <c16:uniqueId val="{00000004-F257-45C7-97CE-E9F9C932E694}"/>
            </c:ext>
          </c:extLst>
        </c:ser>
        <c:gapWidth val="300"/>
        <c:axId val="125999360"/>
        <c:axId val="126157184"/>
      </c:barChart>
      <c:lineChart>
        <c:grouping val="standard"/>
        <c:ser>
          <c:idx val="5"/>
          <c:order val="5"/>
          <c:tx>
            <c:strRef>
              <c:f>Sheet1!$S$35</c:f>
              <c:strCache>
                <c:ptCount val="1"/>
              </c:strCache>
            </c:strRef>
          </c:tx>
          <c:spPr>
            <a:ln w="28575" cap="rnd">
              <a:noFill/>
              <a:round/>
            </a:ln>
            <a:effectLst/>
          </c:spPr>
          <c:marker>
            <c:symbol val="none"/>
          </c:marker>
          <c:errBars>
            <c:errDir val="y"/>
            <c:errBarType val="both"/>
            <c:errValType val="cust"/>
            <c:plus>
              <c:numRef>
                <c:f>Sheet1!$U$36:$U$43</c:f>
                <c:numCache>
                  <c:formatCode>General</c:formatCode>
                  <c:ptCount val="8"/>
                  <c:pt idx="0">
                    <c:v>7.5</c:v>
                  </c:pt>
                  <c:pt idx="1">
                    <c:v>9.5</c:v>
                  </c:pt>
                  <c:pt idx="2">
                    <c:v>10</c:v>
                  </c:pt>
                  <c:pt idx="3">
                    <c:v>7</c:v>
                  </c:pt>
                  <c:pt idx="4">
                    <c:v>4.5</c:v>
                  </c:pt>
                  <c:pt idx="5">
                    <c:v>3.5</c:v>
                  </c:pt>
                  <c:pt idx="6">
                    <c:v>4</c:v>
                  </c:pt>
                  <c:pt idx="7">
                    <c:v>3</c:v>
                  </c:pt>
                </c:numCache>
              </c:numRef>
            </c:plus>
            <c:minus>
              <c:numRef>
                <c:f>Sheet1!$U$43</c:f>
                <c:numCache>
                  <c:formatCode>General</c:formatCode>
                  <c:ptCount val="1"/>
                  <c:pt idx="0">
                    <c:v>3</c:v>
                  </c:pt>
                </c:numCache>
              </c:numRef>
            </c:minus>
            <c:spPr>
              <a:noFill/>
              <a:ln w="9525" cap="flat" cmpd="sng" algn="ctr">
                <a:solidFill>
                  <a:schemeClr val="tx1">
                    <a:lumMod val="65000"/>
                    <a:lumOff val="35000"/>
                  </a:schemeClr>
                </a:solidFill>
                <a:round/>
              </a:ln>
              <a:effectLst/>
            </c:spPr>
          </c:errBars>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Sheet1!$S$36:$S$43</c:f>
              <c:numCache>
                <c:formatCode>General</c:formatCode>
                <c:ptCount val="8"/>
                <c:pt idx="0">
                  <c:v>70</c:v>
                </c:pt>
                <c:pt idx="1">
                  <c:v>80</c:v>
                </c:pt>
                <c:pt idx="2">
                  <c:v>185</c:v>
                </c:pt>
                <c:pt idx="3">
                  <c:v>80</c:v>
                </c:pt>
                <c:pt idx="4">
                  <c:v>175</c:v>
                </c:pt>
                <c:pt idx="5">
                  <c:v>80</c:v>
                </c:pt>
                <c:pt idx="6">
                  <c:v>110</c:v>
                </c:pt>
                <c:pt idx="7">
                  <c:v>110</c:v>
                </c:pt>
              </c:numCache>
            </c:numRef>
          </c:val>
          <c:extLst xmlns:c16r2="http://schemas.microsoft.com/office/drawing/2015/06/chart">
            <c:ext xmlns:c16="http://schemas.microsoft.com/office/drawing/2014/chart" uri="{C3380CC4-5D6E-409C-BE32-E72D297353CC}">
              <c16:uniqueId val="{00000005-F257-45C7-97CE-E9F9C932E694}"/>
            </c:ext>
          </c:extLst>
        </c:ser>
        <c:marker val="1"/>
        <c:axId val="125999360"/>
        <c:axId val="126157184"/>
      </c:lineChart>
      <c:catAx>
        <c:axId val="125999360"/>
        <c:scaling>
          <c:orientation val="minMax"/>
        </c:scaling>
        <c:axPos val="b"/>
        <c:title>
          <c:tx>
            <c:rich>
              <a:bodyPr rot="0" vert="horz"/>
              <a:lstStyle/>
              <a:p>
                <a:pPr>
                  <a:defRPr lang="en-US" b="0"/>
                </a:pPr>
                <a:r>
                  <a:rPr lang="en-US" b="0"/>
                  <a:t>Site (bars are LSDs, p≤0.05)</a:t>
                </a:r>
              </a:p>
            </c:rich>
          </c:tx>
          <c:layout>
            <c:manualLayout>
              <c:xMode val="edge"/>
              <c:yMode val="edge"/>
              <c:x val="3.78659506728505E-2"/>
              <c:y val="0.9158042624761439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26157184"/>
        <c:crosses val="autoZero"/>
        <c:auto val="1"/>
        <c:lblAlgn val="ctr"/>
        <c:lblOffset val="100"/>
      </c:catAx>
      <c:valAx>
        <c:axId val="126157184"/>
        <c:scaling>
          <c:orientation val="minMax"/>
          <c:max val="195"/>
          <c:min val="25"/>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25999360"/>
        <c:crosses val="autoZero"/>
        <c:crossBetween val="between"/>
      </c:valAx>
      <c:spPr>
        <a:noFill/>
        <a:ln>
          <a:noFill/>
        </a:ln>
        <a:effectLst/>
      </c:spPr>
    </c:plotArea>
    <c:legend>
      <c:legendPos val="b"/>
      <c:layout>
        <c:manualLayout>
          <c:xMode val="edge"/>
          <c:yMode val="edge"/>
          <c:x val="0"/>
          <c:y val="0.81722648663800879"/>
          <c:w val="0.58773060281787304"/>
          <c:h val="7.1937389356915724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372780427094501"/>
          <c:y val="8.2921148940889505E-2"/>
          <c:w val="0.76238586373886363"/>
          <c:h val="0.65173310628311443"/>
        </c:manualLayout>
      </c:layout>
      <c:barChart>
        <c:barDir val="col"/>
        <c:grouping val="clustered"/>
        <c:ser>
          <c:idx val="0"/>
          <c:order val="0"/>
          <c:tx>
            <c:strRef>
              <c:f>Sheet1!$X$34</c:f>
              <c:strCache>
                <c:ptCount val="1"/>
                <c:pt idx="0">
                  <c:v>0</c:v>
                </c:pt>
              </c:strCache>
            </c:strRef>
          </c:tx>
          <c:spPr>
            <a:solidFill>
              <a:schemeClr val="accent1"/>
            </a:solidFill>
            <a:ln>
              <a:noFill/>
            </a:ln>
            <a:effectLst/>
          </c:spPr>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Sheet1!$X$35:$X$42</c:f>
              <c:numCache>
                <c:formatCode>General</c:formatCode>
                <c:ptCount val="8"/>
                <c:pt idx="0">
                  <c:v>70</c:v>
                </c:pt>
                <c:pt idx="1">
                  <c:v>128</c:v>
                </c:pt>
                <c:pt idx="2">
                  <c:v>228</c:v>
                </c:pt>
                <c:pt idx="3">
                  <c:v>81</c:v>
                </c:pt>
                <c:pt idx="4">
                  <c:v>217</c:v>
                </c:pt>
                <c:pt idx="5">
                  <c:v>82</c:v>
                </c:pt>
                <c:pt idx="6">
                  <c:v>107</c:v>
                </c:pt>
                <c:pt idx="7">
                  <c:v>130</c:v>
                </c:pt>
              </c:numCache>
            </c:numRef>
          </c:val>
          <c:extLst xmlns:c16r2="http://schemas.microsoft.com/office/drawing/2015/06/chart">
            <c:ext xmlns:c16="http://schemas.microsoft.com/office/drawing/2014/chart" uri="{C3380CC4-5D6E-409C-BE32-E72D297353CC}">
              <c16:uniqueId val="{00000000-8068-4706-BE5A-D9574EC5C1E5}"/>
            </c:ext>
          </c:extLst>
        </c:ser>
        <c:ser>
          <c:idx val="1"/>
          <c:order val="1"/>
          <c:tx>
            <c:strRef>
              <c:f>Sheet1!$Y$34</c:f>
              <c:strCache>
                <c:ptCount val="1"/>
                <c:pt idx="0">
                  <c:v>75</c:v>
                </c:pt>
              </c:strCache>
            </c:strRef>
          </c:tx>
          <c:spPr>
            <a:solidFill>
              <a:schemeClr val="accent2"/>
            </a:solidFill>
            <a:ln>
              <a:noFill/>
            </a:ln>
            <a:effectLst/>
          </c:spPr>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Sheet1!$Y$35:$Y$42</c:f>
              <c:numCache>
                <c:formatCode>General</c:formatCode>
                <c:ptCount val="8"/>
                <c:pt idx="0">
                  <c:v>77</c:v>
                </c:pt>
                <c:pt idx="1">
                  <c:v>119</c:v>
                </c:pt>
                <c:pt idx="2">
                  <c:v>229</c:v>
                </c:pt>
                <c:pt idx="3">
                  <c:v>88</c:v>
                </c:pt>
                <c:pt idx="4">
                  <c:v>185</c:v>
                </c:pt>
                <c:pt idx="5">
                  <c:v>71</c:v>
                </c:pt>
                <c:pt idx="6">
                  <c:v>94</c:v>
                </c:pt>
                <c:pt idx="7">
                  <c:v>123</c:v>
                </c:pt>
              </c:numCache>
            </c:numRef>
          </c:val>
          <c:extLst xmlns:c16r2="http://schemas.microsoft.com/office/drawing/2015/06/chart">
            <c:ext xmlns:c16="http://schemas.microsoft.com/office/drawing/2014/chart" uri="{C3380CC4-5D6E-409C-BE32-E72D297353CC}">
              <c16:uniqueId val="{00000001-8068-4706-BE5A-D9574EC5C1E5}"/>
            </c:ext>
          </c:extLst>
        </c:ser>
        <c:ser>
          <c:idx val="2"/>
          <c:order val="2"/>
          <c:tx>
            <c:strRef>
              <c:f>Sheet1!$Z$34</c:f>
              <c:strCache>
                <c:ptCount val="1"/>
                <c:pt idx="0">
                  <c:v>150</c:v>
                </c:pt>
              </c:strCache>
            </c:strRef>
          </c:tx>
          <c:spPr>
            <a:solidFill>
              <a:schemeClr val="accent3"/>
            </a:solidFill>
            <a:ln>
              <a:noFill/>
            </a:ln>
            <a:effectLst/>
          </c:spPr>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Sheet1!$Z$35:$Z$42</c:f>
              <c:numCache>
                <c:formatCode>General</c:formatCode>
                <c:ptCount val="8"/>
                <c:pt idx="0">
                  <c:v>67</c:v>
                </c:pt>
                <c:pt idx="1">
                  <c:v>98</c:v>
                </c:pt>
                <c:pt idx="2">
                  <c:v>206</c:v>
                </c:pt>
                <c:pt idx="3">
                  <c:v>78</c:v>
                </c:pt>
                <c:pt idx="4">
                  <c:v>173</c:v>
                </c:pt>
                <c:pt idx="5">
                  <c:v>66</c:v>
                </c:pt>
                <c:pt idx="6">
                  <c:v>80</c:v>
                </c:pt>
                <c:pt idx="7">
                  <c:v>110</c:v>
                </c:pt>
              </c:numCache>
            </c:numRef>
          </c:val>
          <c:extLst xmlns:c16r2="http://schemas.microsoft.com/office/drawing/2015/06/chart">
            <c:ext xmlns:c16="http://schemas.microsoft.com/office/drawing/2014/chart" uri="{C3380CC4-5D6E-409C-BE32-E72D297353CC}">
              <c16:uniqueId val="{00000002-8068-4706-BE5A-D9574EC5C1E5}"/>
            </c:ext>
          </c:extLst>
        </c:ser>
        <c:ser>
          <c:idx val="3"/>
          <c:order val="3"/>
          <c:tx>
            <c:strRef>
              <c:f>Sheet1!$AA$34</c:f>
              <c:strCache>
                <c:ptCount val="1"/>
                <c:pt idx="0">
                  <c:v>225</c:v>
                </c:pt>
              </c:strCache>
            </c:strRef>
          </c:tx>
          <c:spPr>
            <a:solidFill>
              <a:schemeClr val="accent4"/>
            </a:solidFill>
            <a:ln>
              <a:noFill/>
            </a:ln>
            <a:effectLst/>
          </c:spPr>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Sheet1!$AA$35:$AA$42</c:f>
              <c:numCache>
                <c:formatCode>General</c:formatCode>
                <c:ptCount val="8"/>
                <c:pt idx="0">
                  <c:v>52</c:v>
                </c:pt>
                <c:pt idx="1">
                  <c:v>91</c:v>
                </c:pt>
                <c:pt idx="2">
                  <c:v>185</c:v>
                </c:pt>
                <c:pt idx="3">
                  <c:v>68</c:v>
                </c:pt>
                <c:pt idx="4">
                  <c:v>144</c:v>
                </c:pt>
                <c:pt idx="5">
                  <c:v>60</c:v>
                </c:pt>
                <c:pt idx="6">
                  <c:v>73</c:v>
                </c:pt>
                <c:pt idx="7">
                  <c:v>96</c:v>
                </c:pt>
              </c:numCache>
            </c:numRef>
          </c:val>
          <c:extLst xmlns:c16r2="http://schemas.microsoft.com/office/drawing/2015/06/chart">
            <c:ext xmlns:c16="http://schemas.microsoft.com/office/drawing/2014/chart" uri="{C3380CC4-5D6E-409C-BE32-E72D297353CC}">
              <c16:uniqueId val="{00000003-8068-4706-BE5A-D9574EC5C1E5}"/>
            </c:ext>
          </c:extLst>
        </c:ser>
        <c:ser>
          <c:idx val="4"/>
          <c:order val="4"/>
          <c:tx>
            <c:strRef>
              <c:f>Sheet1!$AB$34</c:f>
              <c:strCache>
                <c:ptCount val="1"/>
                <c:pt idx="0">
                  <c:v>300</c:v>
                </c:pt>
              </c:strCache>
            </c:strRef>
          </c:tx>
          <c:spPr>
            <a:solidFill>
              <a:schemeClr val="accent5"/>
            </a:solidFill>
            <a:ln>
              <a:noFill/>
            </a:ln>
            <a:effectLst/>
          </c:spPr>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Sheet1!$AB$35:$AB$42</c:f>
              <c:numCache>
                <c:formatCode>General</c:formatCode>
                <c:ptCount val="8"/>
                <c:pt idx="0">
                  <c:v>44</c:v>
                </c:pt>
                <c:pt idx="1">
                  <c:v>85</c:v>
                </c:pt>
                <c:pt idx="2">
                  <c:v>166</c:v>
                </c:pt>
                <c:pt idx="3">
                  <c:v>64</c:v>
                </c:pt>
                <c:pt idx="4">
                  <c:v>134</c:v>
                </c:pt>
                <c:pt idx="5">
                  <c:v>52</c:v>
                </c:pt>
                <c:pt idx="6">
                  <c:v>69</c:v>
                </c:pt>
                <c:pt idx="7">
                  <c:v>88</c:v>
                </c:pt>
              </c:numCache>
            </c:numRef>
          </c:val>
          <c:extLst xmlns:c16r2="http://schemas.microsoft.com/office/drawing/2015/06/chart">
            <c:ext xmlns:c16="http://schemas.microsoft.com/office/drawing/2014/chart" uri="{C3380CC4-5D6E-409C-BE32-E72D297353CC}">
              <c16:uniqueId val="{00000004-8068-4706-BE5A-D9574EC5C1E5}"/>
            </c:ext>
          </c:extLst>
        </c:ser>
        <c:gapWidth val="300"/>
        <c:axId val="126475264"/>
        <c:axId val="126600320"/>
      </c:barChart>
      <c:lineChart>
        <c:grouping val="standard"/>
        <c:ser>
          <c:idx val="5"/>
          <c:order val="5"/>
          <c:tx>
            <c:strRef>
              <c:f>Sheet1!$AC$34</c:f>
              <c:strCache>
                <c:ptCount val="1"/>
              </c:strCache>
            </c:strRef>
          </c:tx>
          <c:spPr>
            <a:ln w="28575" cap="rnd">
              <a:noFill/>
              <a:round/>
            </a:ln>
            <a:effectLst/>
          </c:spPr>
          <c:marker>
            <c:symbol val="none"/>
          </c:marker>
          <c:errBars>
            <c:errDir val="y"/>
            <c:errBarType val="both"/>
            <c:errValType val="cust"/>
            <c:plus>
              <c:numRef>
                <c:f>Sheet1!$AE$35:$AE$42</c:f>
                <c:numCache>
                  <c:formatCode>General</c:formatCode>
                  <c:ptCount val="8"/>
                  <c:pt idx="0">
                    <c:v>7</c:v>
                  </c:pt>
                  <c:pt idx="1">
                    <c:v>8</c:v>
                  </c:pt>
                  <c:pt idx="2">
                    <c:v>9</c:v>
                  </c:pt>
                  <c:pt idx="3">
                    <c:v>6.5</c:v>
                  </c:pt>
                  <c:pt idx="4">
                    <c:v>5</c:v>
                  </c:pt>
                  <c:pt idx="5">
                    <c:v>5.5</c:v>
                  </c:pt>
                  <c:pt idx="6">
                    <c:v>3.5</c:v>
                  </c:pt>
                  <c:pt idx="7">
                    <c:v>2</c:v>
                  </c:pt>
                </c:numCache>
              </c:numRef>
            </c:plus>
            <c:minus>
              <c:numRef>
                <c:f>Sheet1!$AE$35:$AE$42</c:f>
                <c:numCache>
                  <c:formatCode>General</c:formatCode>
                  <c:ptCount val="8"/>
                  <c:pt idx="0">
                    <c:v>7</c:v>
                  </c:pt>
                  <c:pt idx="1">
                    <c:v>8</c:v>
                  </c:pt>
                  <c:pt idx="2">
                    <c:v>9</c:v>
                  </c:pt>
                  <c:pt idx="3">
                    <c:v>6.5</c:v>
                  </c:pt>
                  <c:pt idx="4">
                    <c:v>5</c:v>
                  </c:pt>
                  <c:pt idx="5">
                    <c:v>5.5</c:v>
                  </c:pt>
                  <c:pt idx="6">
                    <c:v>3.5</c:v>
                  </c:pt>
                  <c:pt idx="7">
                    <c:v>2</c:v>
                  </c:pt>
                </c:numCache>
              </c:numRef>
            </c:minus>
            <c:spPr>
              <a:noFill/>
              <a:ln w="9525" cap="flat" cmpd="sng" algn="ctr">
                <a:solidFill>
                  <a:schemeClr val="tx1">
                    <a:lumMod val="65000"/>
                    <a:lumOff val="35000"/>
                  </a:schemeClr>
                </a:solidFill>
                <a:round/>
              </a:ln>
              <a:effectLst/>
            </c:spPr>
          </c:errBars>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Sheet1!$AC$35:$AC$42</c:f>
              <c:numCache>
                <c:formatCode>General</c:formatCode>
                <c:ptCount val="8"/>
                <c:pt idx="0">
                  <c:v>80</c:v>
                </c:pt>
                <c:pt idx="1">
                  <c:v>120</c:v>
                </c:pt>
                <c:pt idx="2">
                  <c:v>220</c:v>
                </c:pt>
                <c:pt idx="3">
                  <c:v>90</c:v>
                </c:pt>
                <c:pt idx="4">
                  <c:v>190</c:v>
                </c:pt>
                <c:pt idx="5">
                  <c:v>80</c:v>
                </c:pt>
                <c:pt idx="6">
                  <c:v>100</c:v>
                </c:pt>
                <c:pt idx="7">
                  <c:v>130</c:v>
                </c:pt>
              </c:numCache>
            </c:numRef>
          </c:val>
          <c:extLst xmlns:c16r2="http://schemas.microsoft.com/office/drawing/2015/06/chart">
            <c:ext xmlns:c16="http://schemas.microsoft.com/office/drawing/2014/chart" uri="{C3380CC4-5D6E-409C-BE32-E72D297353CC}">
              <c16:uniqueId val="{00000005-8068-4706-BE5A-D9574EC5C1E5}"/>
            </c:ext>
          </c:extLst>
        </c:ser>
        <c:marker val="1"/>
        <c:axId val="126475264"/>
        <c:axId val="126600320"/>
      </c:lineChart>
      <c:catAx>
        <c:axId val="126475264"/>
        <c:scaling>
          <c:orientation val="minMax"/>
        </c:scaling>
        <c:axPos val="b"/>
        <c:title>
          <c:tx>
            <c:rich>
              <a:bodyPr rot="0" vert="horz"/>
              <a:lstStyle/>
              <a:p>
                <a:pPr>
                  <a:defRPr lang="en-US" b="0"/>
                </a:pPr>
                <a:r>
                  <a:rPr lang="en-US" b="0"/>
                  <a:t>Site (bars are LSDs, p≤0.05)</a:t>
                </a:r>
              </a:p>
            </c:rich>
          </c:tx>
          <c:layout>
            <c:manualLayout>
              <c:xMode val="edge"/>
              <c:yMode val="edge"/>
              <c:x val="7.1173893756238199E-2"/>
              <c:y val="0.91959166735234876"/>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fr-FR"/>
          </a:p>
        </c:txPr>
        <c:crossAx val="126600320"/>
        <c:crosses val="autoZero"/>
        <c:auto val="1"/>
        <c:lblAlgn val="ctr"/>
        <c:lblOffset val="100"/>
      </c:catAx>
      <c:valAx>
        <c:axId val="126600320"/>
        <c:scaling>
          <c:orientation val="minMax"/>
          <c:max val="230"/>
          <c:min val="30"/>
        </c:scaling>
        <c:axPos val="l"/>
        <c:title>
          <c:tx>
            <c:rich>
              <a:bodyPr rot="-5400000" vert="horz"/>
              <a:lstStyle/>
              <a:p>
                <a:pPr>
                  <a:defRPr lang="en-US"/>
                </a:pPr>
                <a:r>
                  <a:rPr lang="en-US"/>
                  <a:t>ppm</a:t>
                </a:r>
              </a:p>
            </c:rich>
          </c:tx>
          <c:spPr>
            <a:noFill/>
            <a:ln>
              <a:noFill/>
            </a:ln>
            <a:effectLst/>
          </c:spPr>
        </c:title>
        <c:numFmt formatCode="General" sourceLinked="1"/>
        <c:tickLblPos val="nextTo"/>
        <c:spPr>
          <a:noFill/>
          <a:ln>
            <a:noFill/>
          </a:ln>
          <a:effectLst/>
        </c:spPr>
        <c:txPr>
          <a:bodyPr rot="-60000000" vert="horz"/>
          <a:lstStyle/>
          <a:p>
            <a:pPr>
              <a:defRPr lang="en-US"/>
            </a:pPr>
            <a:endParaRPr lang="fr-FR"/>
          </a:p>
        </c:txPr>
        <c:crossAx val="126475264"/>
        <c:crosses val="autoZero"/>
        <c:crossBetween val="between"/>
        <c:majorUnit val="30"/>
      </c:valAx>
      <c:spPr>
        <a:noFill/>
        <a:ln w="25400">
          <a:noFill/>
        </a:ln>
        <a:effectLst/>
      </c:spPr>
    </c:plotArea>
    <c:legend>
      <c:legendPos val="b"/>
      <c:layout>
        <c:manualLayout>
          <c:xMode val="edge"/>
          <c:yMode val="edge"/>
          <c:x val="3.276003351693714E-2"/>
          <c:y val="0.83494510369302477"/>
          <c:w val="0.53541890010227566"/>
          <c:h val="7.7500530679417923E-2"/>
        </c:manualLayout>
      </c:layout>
      <c:spPr>
        <a:noFill/>
        <a:ln>
          <a:noFill/>
        </a:ln>
        <a:effectLst/>
      </c:spPr>
      <c:txPr>
        <a:bodyPr rot="0" vert="horz"/>
        <a:lstStyle/>
        <a:p>
          <a:pPr>
            <a:defRPr lang="en-US"/>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fr-F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85</TotalTime>
  <Pages>14</Pages>
  <Words>16732</Words>
  <Characters>92031</Characters>
  <Application>Microsoft Office Word</Application>
  <DocSecurity>0</DocSecurity>
  <Lines>766</Lines>
  <Paragraphs>217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7</cp:revision>
  <dcterms:created xsi:type="dcterms:W3CDTF">2025-11-25T18:49:00Z</dcterms:created>
  <dcterms:modified xsi:type="dcterms:W3CDTF">2025-11-27T19:32:00Z</dcterms:modified>
</cp:coreProperties>
</file>