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959" w:rsidRDefault="00B21959">
      <w:pPr>
        <w:rPr>
          <w:sz w:val="20"/>
        </w:rPr>
      </w:pPr>
    </w:p>
    <w:p w:rsidR="00B21959" w:rsidRDefault="00B21959">
      <w:pPr>
        <w:spacing w:before="133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4858"/>
        <w:gridCol w:w="439"/>
        <w:gridCol w:w="9262"/>
        <w:gridCol w:w="5147"/>
        <w:gridCol w:w="1230"/>
      </w:tblGrid>
      <w:tr w:rsidR="00B21959" w:rsidTr="00685082">
        <w:trPr>
          <w:gridAfter w:val="1"/>
          <w:wAfter w:w="1230" w:type="dxa"/>
          <w:trHeight w:val="580"/>
        </w:trPr>
        <w:tc>
          <w:tcPr>
            <w:tcW w:w="4865" w:type="dxa"/>
            <w:gridSpan w:val="2"/>
          </w:tcPr>
          <w:p w:rsidR="00B21959" w:rsidRDefault="00C44320">
            <w:pPr>
              <w:pStyle w:val="TableParagraph"/>
              <w:spacing w:before="152"/>
              <w:ind w:left="95"/>
              <w:rPr>
                <w:sz w:val="24"/>
              </w:rPr>
            </w:pPr>
            <w:r>
              <w:rPr>
                <w:sz w:val="24"/>
              </w:rPr>
              <w:t>Journal</w:t>
            </w:r>
            <w:r>
              <w:rPr>
                <w:spacing w:val="-2"/>
                <w:sz w:val="24"/>
              </w:rPr>
              <w:t xml:space="preserve"> Name:</w:t>
            </w:r>
          </w:p>
        </w:tc>
        <w:tc>
          <w:tcPr>
            <w:tcW w:w="14848" w:type="dxa"/>
            <w:gridSpan w:val="3"/>
          </w:tcPr>
          <w:p w:rsidR="00B21959" w:rsidRDefault="000C42A4">
            <w:pPr>
              <w:pStyle w:val="TableParagraph"/>
              <w:spacing w:before="152"/>
              <w:ind w:left="108"/>
              <w:rPr>
                <w:b/>
                <w:sz w:val="24"/>
              </w:rPr>
            </w:pPr>
            <w:hyperlink r:id="rId7">
              <w:r w:rsidR="00C44320">
                <w:rPr>
                  <w:b/>
                  <w:color w:val="0000FF"/>
                  <w:sz w:val="24"/>
                  <w:u w:val="single" w:color="0000FF"/>
                </w:rPr>
                <w:t>Asian</w:t>
              </w:r>
              <w:r w:rsidR="00C44320">
                <w:rPr>
                  <w:b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C44320">
                <w:rPr>
                  <w:b/>
                  <w:color w:val="0000FF"/>
                  <w:sz w:val="24"/>
                  <w:u w:val="single" w:color="0000FF"/>
                </w:rPr>
                <w:t>Research</w:t>
              </w:r>
              <w:r w:rsidR="00C44320">
                <w:rPr>
                  <w:b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C44320">
                <w:rPr>
                  <w:b/>
                  <w:color w:val="0000FF"/>
                  <w:sz w:val="24"/>
                  <w:u w:val="single" w:color="0000FF"/>
                </w:rPr>
                <w:t>Journal</w:t>
              </w:r>
              <w:r w:rsidR="00C44320">
                <w:rPr>
                  <w:b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C44320">
                <w:rPr>
                  <w:b/>
                  <w:color w:val="0000FF"/>
                  <w:sz w:val="24"/>
                  <w:u w:val="single" w:color="0000FF"/>
                </w:rPr>
                <w:t>of</w:t>
              </w:r>
              <w:r w:rsidR="00C44320">
                <w:rPr>
                  <w:b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C44320">
                <w:rPr>
                  <w:b/>
                  <w:color w:val="0000FF"/>
                  <w:spacing w:val="-2"/>
                  <w:sz w:val="24"/>
                  <w:u w:val="single" w:color="0000FF"/>
                </w:rPr>
                <w:t>Mathematics</w:t>
              </w:r>
            </w:hyperlink>
          </w:p>
        </w:tc>
      </w:tr>
      <w:tr w:rsidR="00B21959" w:rsidTr="00685082">
        <w:trPr>
          <w:gridAfter w:val="1"/>
          <w:wAfter w:w="1230" w:type="dxa"/>
          <w:trHeight w:val="582"/>
        </w:trPr>
        <w:tc>
          <w:tcPr>
            <w:tcW w:w="4865" w:type="dxa"/>
            <w:gridSpan w:val="2"/>
          </w:tcPr>
          <w:p w:rsidR="00B21959" w:rsidRDefault="00C44320">
            <w:pPr>
              <w:pStyle w:val="TableParagraph"/>
              <w:spacing w:before="152"/>
              <w:ind w:left="95"/>
              <w:rPr>
                <w:sz w:val="24"/>
              </w:rPr>
            </w:pPr>
            <w:r>
              <w:rPr>
                <w:sz w:val="24"/>
              </w:rPr>
              <w:t>Manuscript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14848" w:type="dxa"/>
            <w:gridSpan w:val="3"/>
          </w:tcPr>
          <w:p w:rsidR="00B21959" w:rsidRDefault="00C44320">
            <w:pPr>
              <w:pStyle w:val="TableParagraph"/>
              <w:spacing w:before="152"/>
              <w:ind w:left="108"/>
              <w:rPr>
                <w:b/>
                <w:sz w:val="24"/>
              </w:rPr>
            </w:pPr>
            <w:r>
              <w:rPr>
                <w:b/>
                <w:color w:val="2D74B5"/>
                <w:spacing w:val="-2"/>
                <w:sz w:val="24"/>
              </w:rPr>
              <w:t>Ms_ARJOM_147659</w:t>
            </w:r>
          </w:p>
        </w:tc>
      </w:tr>
      <w:tr w:rsidR="00B21959" w:rsidTr="00685082">
        <w:trPr>
          <w:gridAfter w:val="1"/>
          <w:wAfter w:w="1230" w:type="dxa"/>
          <w:trHeight w:val="729"/>
        </w:trPr>
        <w:tc>
          <w:tcPr>
            <w:tcW w:w="4865" w:type="dxa"/>
            <w:gridSpan w:val="2"/>
          </w:tcPr>
          <w:p w:rsidR="00B21959" w:rsidRDefault="00C44320">
            <w:pPr>
              <w:pStyle w:val="TableParagraph"/>
              <w:spacing w:before="224"/>
              <w:ind w:left="95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Manuscript:</w:t>
            </w:r>
          </w:p>
        </w:tc>
        <w:tc>
          <w:tcPr>
            <w:tcW w:w="14848" w:type="dxa"/>
            <w:gridSpan w:val="3"/>
          </w:tcPr>
          <w:p w:rsidR="00B21959" w:rsidRDefault="003C79E8">
            <w:pPr>
              <w:pStyle w:val="TableParagraph"/>
              <w:spacing w:before="224"/>
              <w:ind w:left="108"/>
              <w:rPr>
                <w:b/>
                <w:sz w:val="24"/>
              </w:rPr>
            </w:pPr>
            <w:bookmarkStart w:id="0" w:name="_Hlk213086154"/>
            <w:proofErr w:type="spellStart"/>
            <w:r>
              <w:rPr>
                <w:b/>
                <w:color w:val="2D74B5"/>
                <w:sz w:val="24"/>
              </w:rPr>
              <w:t>Sombor</w:t>
            </w:r>
            <w:proofErr w:type="spellEnd"/>
            <w:r>
              <w:rPr>
                <w:b/>
                <w:color w:val="2D74B5"/>
                <w:spacing w:val="-3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Indices</w:t>
            </w:r>
            <w:r>
              <w:rPr>
                <w:b/>
                <w:color w:val="2D74B5"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color w:val="2D74B5"/>
                <w:sz w:val="24"/>
              </w:rPr>
              <w:t>Of</w:t>
            </w:r>
            <w:proofErr w:type="gramEnd"/>
            <w:r>
              <w:rPr>
                <w:b/>
                <w:color w:val="2D74B5"/>
                <w:spacing w:val="-2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Some</w:t>
            </w:r>
            <w:r>
              <w:rPr>
                <w:b/>
                <w:color w:val="2D74B5"/>
                <w:spacing w:val="-1"/>
                <w:sz w:val="24"/>
              </w:rPr>
              <w:t xml:space="preserve"> </w:t>
            </w:r>
            <w:r>
              <w:rPr>
                <w:b/>
                <w:color w:val="2D74B5"/>
                <w:spacing w:val="-2"/>
                <w:sz w:val="24"/>
              </w:rPr>
              <w:t>Graphs</w:t>
            </w:r>
            <w:bookmarkEnd w:id="0"/>
          </w:p>
        </w:tc>
      </w:tr>
      <w:tr w:rsidR="00B21959" w:rsidTr="00685082">
        <w:trPr>
          <w:gridAfter w:val="1"/>
          <w:wAfter w:w="1230" w:type="dxa"/>
          <w:trHeight w:val="664"/>
        </w:trPr>
        <w:tc>
          <w:tcPr>
            <w:tcW w:w="4865" w:type="dxa"/>
            <w:gridSpan w:val="2"/>
          </w:tcPr>
          <w:p w:rsidR="00B21959" w:rsidRDefault="00C44320">
            <w:pPr>
              <w:pStyle w:val="TableParagraph"/>
              <w:spacing w:before="193"/>
              <w:ind w:left="95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Article</w:t>
            </w:r>
          </w:p>
        </w:tc>
        <w:tc>
          <w:tcPr>
            <w:tcW w:w="14848" w:type="dxa"/>
            <w:gridSpan w:val="3"/>
          </w:tcPr>
          <w:p w:rsidR="00B21959" w:rsidRDefault="00C44320">
            <w:pPr>
              <w:pStyle w:val="TableParagraph"/>
              <w:spacing w:before="193"/>
              <w:ind w:left="108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Research</w:t>
            </w:r>
            <w:r>
              <w:rPr>
                <w:b/>
                <w:color w:val="2D74B5"/>
                <w:spacing w:val="-3"/>
                <w:sz w:val="24"/>
              </w:rPr>
              <w:t xml:space="preserve"> </w:t>
            </w:r>
            <w:r>
              <w:rPr>
                <w:b/>
                <w:color w:val="2D74B5"/>
                <w:spacing w:val="-2"/>
                <w:sz w:val="24"/>
              </w:rPr>
              <w:t>Article</w:t>
            </w:r>
          </w:p>
        </w:tc>
      </w:tr>
      <w:tr w:rsidR="00B21959" w:rsidTr="00685082">
        <w:trPr>
          <w:gridBefore w:val="1"/>
          <w:wBefore w:w="7" w:type="dxa"/>
          <w:trHeight w:val="542"/>
        </w:trPr>
        <w:tc>
          <w:tcPr>
            <w:tcW w:w="20936" w:type="dxa"/>
            <w:gridSpan w:val="5"/>
            <w:tcBorders>
              <w:top w:val="nil"/>
              <w:left w:val="nil"/>
              <w:right w:val="nil"/>
            </w:tcBorders>
          </w:tcPr>
          <w:p w:rsidR="00685082" w:rsidRDefault="00685082">
            <w:pPr>
              <w:pStyle w:val="TableParagraph"/>
              <w:spacing w:line="266" w:lineRule="exact"/>
              <w:ind w:left="112"/>
              <w:rPr>
                <w:b/>
                <w:color w:val="000000"/>
                <w:sz w:val="24"/>
                <w:highlight w:val="yellow"/>
              </w:rPr>
            </w:pPr>
          </w:p>
          <w:p w:rsidR="00B21959" w:rsidRDefault="00C44320"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PART</w:t>
            </w:r>
            <w:r>
              <w:rPr>
                <w:b/>
                <w:color w:val="000000"/>
                <w:spacing w:val="58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</w:rPr>
              <w:t>Comments</w:t>
            </w:r>
          </w:p>
        </w:tc>
      </w:tr>
      <w:tr w:rsidR="00B21959" w:rsidTr="00685082">
        <w:trPr>
          <w:gridBefore w:val="1"/>
          <w:wBefore w:w="7" w:type="dxa"/>
          <w:trHeight w:val="1103"/>
        </w:trPr>
        <w:tc>
          <w:tcPr>
            <w:tcW w:w="5297" w:type="dxa"/>
            <w:gridSpan w:val="2"/>
          </w:tcPr>
          <w:p w:rsidR="00B21959" w:rsidRDefault="00B21959">
            <w:pPr>
              <w:pStyle w:val="TableParagraph"/>
              <w:ind w:left="0"/>
            </w:pPr>
          </w:p>
        </w:tc>
        <w:tc>
          <w:tcPr>
            <w:tcW w:w="9262" w:type="dxa"/>
          </w:tcPr>
          <w:p w:rsidR="00B21959" w:rsidRDefault="00C4432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Reviewer’s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</w:t>
            </w:r>
          </w:p>
          <w:p w:rsidR="00B21959" w:rsidRDefault="00C4432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Intelligence</w:t>
            </w:r>
            <w:r>
              <w:rPr>
                <w:b/>
                <w:color w:val="000000"/>
                <w:spacing w:val="-6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review</w:t>
            </w:r>
            <w:r>
              <w:rPr>
                <w:b/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are</w:t>
            </w:r>
            <w:r>
              <w:rPr>
                <w:b/>
                <w:color w:val="000000"/>
                <w:spacing w:val="-3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prohibited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during peer review.</w:t>
            </w:r>
          </w:p>
        </w:tc>
        <w:tc>
          <w:tcPr>
            <w:tcW w:w="6377" w:type="dxa"/>
            <w:gridSpan w:val="2"/>
          </w:tcPr>
          <w:p w:rsidR="00B21959" w:rsidRDefault="00C44320">
            <w:pPr>
              <w:pStyle w:val="TableParagraph"/>
              <w:spacing w:line="254" w:lineRule="auto"/>
              <w:ind w:left="108" w:right="260"/>
              <w:rPr>
                <w:sz w:val="24"/>
              </w:rPr>
            </w:pPr>
            <w:r>
              <w:rPr>
                <w:b/>
                <w:sz w:val="24"/>
              </w:rPr>
              <w:t>Author’s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Feedback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authors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write his/her feedback here)</w:t>
            </w:r>
          </w:p>
        </w:tc>
      </w:tr>
      <w:tr w:rsidR="00B21959" w:rsidTr="00685082">
        <w:trPr>
          <w:gridBefore w:val="1"/>
          <w:wBefore w:w="7" w:type="dxa"/>
          <w:trHeight w:val="3588"/>
        </w:trPr>
        <w:tc>
          <w:tcPr>
            <w:tcW w:w="5297" w:type="dxa"/>
            <w:gridSpan w:val="2"/>
          </w:tcPr>
          <w:p w:rsidR="00B21959" w:rsidRDefault="00C44320">
            <w:pPr>
              <w:pStyle w:val="TableParagraph"/>
              <w:spacing w:before="1"/>
              <w:ind w:left="46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write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few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sentences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regarding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 importance of this manuscript for the scientific community. A minimum of 3-4 sentences may be required for this part.</w:t>
            </w:r>
          </w:p>
        </w:tc>
        <w:tc>
          <w:tcPr>
            <w:tcW w:w="9262" w:type="dxa"/>
          </w:tcPr>
          <w:p w:rsidR="00B21959" w:rsidRDefault="00C44320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spacing w:before="1"/>
              <w:ind w:right="137"/>
              <w:rPr>
                <w:rFonts w:ascii="Wingdings" w:hAnsi="Wingdings"/>
                <w:color w:val="1F4E79"/>
                <w:sz w:val="24"/>
              </w:rPr>
            </w:pPr>
            <w:r>
              <w:rPr>
                <w:color w:val="1F4E79"/>
                <w:sz w:val="24"/>
              </w:rPr>
              <w:t>It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expands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investigation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of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F4E79"/>
                <w:sz w:val="24"/>
              </w:rPr>
              <w:t>Sombor</w:t>
            </w:r>
            <w:proofErr w:type="spellEnd"/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index,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contemporary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and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important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degree- based topological index.</w:t>
            </w:r>
          </w:p>
          <w:p w:rsidR="00B21959" w:rsidRDefault="00B21959">
            <w:pPr>
              <w:pStyle w:val="TableParagraph"/>
              <w:ind w:left="0"/>
              <w:rPr>
                <w:sz w:val="24"/>
              </w:rPr>
            </w:pPr>
          </w:p>
          <w:p w:rsidR="00B21959" w:rsidRDefault="00C44320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ind w:right="180"/>
              <w:rPr>
                <w:rFonts w:ascii="Wingdings" w:hAnsi="Wingdings"/>
                <w:color w:val="1F4E79"/>
                <w:sz w:val="24"/>
              </w:rPr>
            </w:pPr>
            <w:r>
              <w:rPr>
                <w:color w:val="1F4E79"/>
                <w:sz w:val="24"/>
              </w:rPr>
              <w:t xml:space="preserve">The paper gives clear formulas for the </w:t>
            </w:r>
            <w:proofErr w:type="spellStart"/>
            <w:r>
              <w:rPr>
                <w:color w:val="1F4E79"/>
                <w:sz w:val="24"/>
              </w:rPr>
              <w:t>Sombor</w:t>
            </w:r>
            <w:proofErr w:type="spellEnd"/>
            <w:r>
              <w:rPr>
                <w:color w:val="1F4E79"/>
                <w:sz w:val="24"/>
              </w:rPr>
              <w:t xml:space="preserve"> index of Subdivisions of Graph S(G), Triangle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Parallel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Graph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R(G</w:t>
            </w:r>
            <w:proofErr w:type="gramStart"/>
            <w:r>
              <w:rPr>
                <w:color w:val="1F4E79"/>
                <w:sz w:val="24"/>
              </w:rPr>
              <w:t>),Semi</w:t>
            </w:r>
            <w:proofErr w:type="gramEnd"/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Total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graph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Q(G)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and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Total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graph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T(G)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of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few classes of graph G.</w:t>
            </w:r>
          </w:p>
          <w:p w:rsidR="00B21959" w:rsidRDefault="00B21959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21959" w:rsidRDefault="00C44320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ind w:right="134"/>
              <w:rPr>
                <w:rFonts w:ascii="Wingdings" w:hAnsi="Wingdings"/>
                <w:color w:val="1F4E79"/>
                <w:sz w:val="24"/>
              </w:rPr>
            </w:pPr>
            <w:r>
              <w:rPr>
                <w:color w:val="1F4E79"/>
                <w:sz w:val="24"/>
              </w:rPr>
              <w:t>These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results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have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implications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for</w:t>
            </w:r>
            <w:r>
              <w:rPr>
                <w:color w:val="1F4E79"/>
                <w:spacing w:val="-6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practice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in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chemical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graph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theory,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where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topological indices serve to model and forecast molecular characteristics.</w:t>
            </w:r>
          </w:p>
          <w:p w:rsidR="00B21959" w:rsidRDefault="00C44320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spacing w:before="254" w:line="270" w:lineRule="atLeast"/>
              <w:ind w:right="101"/>
              <w:rPr>
                <w:rFonts w:ascii="Wingdings" w:hAnsi="Wingdings"/>
                <w:sz w:val="24"/>
              </w:rPr>
            </w:pPr>
            <w:r>
              <w:rPr>
                <w:color w:val="1F4E79"/>
                <w:sz w:val="24"/>
              </w:rPr>
              <w:t>The work sets a strong base for future studies on more complex or application-specific graph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structures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by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looking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at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well-known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graph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classes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like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paths,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stars,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regular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graphs, and friendship graphs</w:t>
            </w:r>
            <w:r>
              <w:rPr>
                <w:sz w:val="24"/>
              </w:rPr>
              <w:t>.</w:t>
            </w:r>
          </w:p>
        </w:tc>
        <w:tc>
          <w:tcPr>
            <w:tcW w:w="6377" w:type="dxa"/>
            <w:gridSpan w:val="2"/>
          </w:tcPr>
          <w:p w:rsidR="00B21959" w:rsidRDefault="00B21959">
            <w:pPr>
              <w:pStyle w:val="TableParagraph"/>
              <w:ind w:left="0"/>
            </w:pPr>
          </w:p>
        </w:tc>
      </w:tr>
      <w:tr w:rsidR="00B21959" w:rsidTr="00685082">
        <w:trPr>
          <w:gridBefore w:val="1"/>
          <w:wBefore w:w="7" w:type="dxa"/>
          <w:trHeight w:val="1262"/>
        </w:trPr>
        <w:tc>
          <w:tcPr>
            <w:tcW w:w="5297" w:type="dxa"/>
            <w:gridSpan w:val="2"/>
          </w:tcPr>
          <w:p w:rsidR="00B21959" w:rsidRDefault="00C44320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article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suitable?</w:t>
            </w:r>
          </w:p>
          <w:p w:rsidR="00B21959" w:rsidRDefault="00C44320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(If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suggest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alternative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title)</w:t>
            </w:r>
          </w:p>
        </w:tc>
        <w:tc>
          <w:tcPr>
            <w:tcW w:w="9262" w:type="dxa"/>
          </w:tcPr>
          <w:p w:rsidR="00B21959" w:rsidRDefault="00C44320">
            <w:pPr>
              <w:pStyle w:val="TableParagraph"/>
              <w:spacing w:before="1"/>
              <w:ind w:right="1563"/>
              <w:rPr>
                <w:sz w:val="24"/>
              </w:rPr>
            </w:pPr>
            <w:proofErr w:type="gramStart"/>
            <w:r>
              <w:rPr>
                <w:color w:val="1F4E79"/>
                <w:sz w:val="24"/>
              </w:rPr>
              <w:t>Yes</w:t>
            </w:r>
            <w:proofErr w:type="gramEnd"/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title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suitable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and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it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general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in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nature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covers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wider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 xml:space="preserve">aspect. </w:t>
            </w:r>
            <w:r>
              <w:rPr>
                <w:color w:val="1F4E79"/>
                <w:spacing w:val="-2"/>
                <w:sz w:val="24"/>
              </w:rPr>
              <w:t>Strengths:</w:t>
            </w:r>
          </w:p>
          <w:p w:rsidR="00B21959" w:rsidRDefault="00C4432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color w:val="1F4E79"/>
                <w:sz w:val="24"/>
              </w:rPr>
              <w:t>It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clearly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indicates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focus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on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F4E79"/>
                <w:sz w:val="24"/>
              </w:rPr>
              <w:t>Sombor</w:t>
            </w:r>
            <w:proofErr w:type="spellEnd"/>
            <w:r>
              <w:rPr>
                <w:color w:val="1F4E79"/>
                <w:sz w:val="24"/>
              </w:rPr>
              <w:t xml:space="preserve"> </w:t>
            </w:r>
            <w:r>
              <w:rPr>
                <w:color w:val="1F4E79"/>
                <w:spacing w:val="-2"/>
                <w:sz w:val="24"/>
              </w:rPr>
              <w:t>indices.</w:t>
            </w:r>
          </w:p>
          <w:p w:rsidR="00B21959" w:rsidRDefault="00C4432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color w:val="1F4E79"/>
                <w:sz w:val="24"/>
              </w:rPr>
              <w:t>It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suggests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computation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across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multiple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graph</w:t>
            </w:r>
            <w:r>
              <w:rPr>
                <w:color w:val="1F4E79"/>
                <w:spacing w:val="-2"/>
                <w:sz w:val="24"/>
              </w:rPr>
              <w:t xml:space="preserve"> types.</w:t>
            </w:r>
          </w:p>
        </w:tc>
        <w:tc>
          <w:tcPr>
            <w:tcW w:w="6377" w:type="dxa"/>
            <w:gridSpan w:val="2"/>
          </w:tcPr>
          <w:p w:rsidR="00B21959" w:rsidRDefault="00B21959">
            <w:pPr>
              <w:pStyle w:val="TableParagraph"/>
              <w:ind w:left="0"/>
            </w:pPr>
          </w:p>
        </w:tc>
      </w:tr>
      <w:tr w:rsidR="00B21959" w:rsidTr="00685082">
        <w:trPr>
          <w:gridBefore w:val="1"/>
          <w:wBefore w:w="7" w:type="dxa"/>
          <w:trHeight w:val="1658"/>
        </w:trPr>
        <w:tc>
          <w:tcPr>
            <w:tcW w:w="5297" w:type="dxa"/>
            <w:gridSpan w:val="2"/>
          </w:tcPr>
          <w:p w:rsidR="00B21959" w:rsidRDefault="00C44320">
            <w:pPr>
              <w:pStyle w:val="TableParagraph"/>
              <w:spacing w:before="1"/>
              <w:ind w:left="46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Is the abstract of the article comprehensive? Do you suggest the addition (or deletion) of some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points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section?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write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your suggestions here.</w:t>
            </w:r>
          </w:p>
        </w:tc>
        <w:tc>
          <w:tcPr>
            <w:tcW w:w="9262" w:type="dxa"/>
          </w:tcPr>
          <w:p w:rsidR="00B21959" w:rsidRDefault="00C44320">
            <w:pPr>
              <w:pStyle w:val="TableParagraph"/>
              <w:spacing w:before="1"/>
              <w:ind w:right="7"/>
              <w:rPr>
                <w:sz w:val="24"/>
              </w:rPr>
            </w:pPr>
            <w:r>
              <w:rPr>
                <w:color w:val="1F4E79"/>
                <w:sz w:val="24"/>
              </w:rPr>
              <w:t xml:space="preserve">The Abstract explains what the </w:t>
            </w:r>
            <w:proofErr w:type="spellStart"/>
            <w:r>
              <w:rPr>
                <w:color w:val="1F4E79"/>
                <w:sz w:val="24"/>
              </w:rPr>
              <w:t>Sombor</w:t>
            </w:r>
            <w:proofErr w:type="spellEnd"/>
            <w:r>
              <w:rPr>
                <w:color w:val="1F4E79"/>
                <w:sz w:val="24"/>
              </w:rPr>
              <w:t xml:space="preserve"> index is and why it is important in graph theory and chemical mathematics. It talks about the graph operations that were looked at: subdivision, triangle parallel, semi total, and total graphs. It explains the purpose of finding general formulas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for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these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transformed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graphs.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Also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address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briefly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about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how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computing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1F4E79"/>
                <w:sz w:val="24"/>
              </w:rPr>
              <w:t>Sombor</w:t>
            </w:r>
            <w:proofErr w:type="spellEnd"/>
          </w:p>
          <w:p w:rsidR="00B21959" w:rsidRDefault="00C44320">
            <w:pPr>
              <w:pStyle w:val="TableParagraph"/>
              <w:spacing w:line="270" w:lineRule="atLeast"/>
              <w:ind w:right="622"/>
              <w:rPr>
                <w:sz w:val="24"/>
              </w:rPr>
            </w:pPr>
            <w:r>
              <w:rPr>
                <w:color w:val="1F4E79"/>
                <w:sz w:val="24"/>
              </w:rPr>
              <w:t>index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can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be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used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for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these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graph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techniques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for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example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structural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analysis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or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chemical graph modeling.</w:t>
            </w:r>
          </w:p>
        </w:tc>
        <w:tc>
          <w:tcPr>
            <w:tcW w:w="6377" w:type="dxa"/>
            <w:gridSpan w:val="2"/>
          </w:tcPr>
          <w:p w:rsidR="00B21959" w:rsidRDefault="00B21959">
            <w:pPr>
              <w:pStyle w:val="TableParagraph"/>
              <w:ind w:left="0"/>
            </w:pPr>
          </w:p>
        </w:tc>
      </w:tr>
      <w:tr w:rsidR="00B21959" w:rsidTr="00685082">
        <w:trPr>
          <w:gridBefore w:val="1"/>
          <w:wBefore w:w="7" w:type="dxa"/>
          <w:trHeight w:val="702"/>
        </w:trPr>
        <w:tc>
          <w:tcPr>
            <w:tcW w:w="5297" w:type="dxa"/>
            <w:gridSpan w:val="2"/>
          </w:tcPr>
          <w:p w:rsidR="00B21959" w:rsidRDefault="00C44320">
            <w:pPr>
              <w:pStyle w:val="TableParagraph"/>
              <w:ind w:left="46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manuscript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scientifically,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correct? Please write here.</w:t>
            </w:r>
          </w:p>
        </w:tc>
        <w:tc>
          <w:tcPr>
            <w:tcW w:w="9262" w:type="dxa"/>
          </w:tcPr>
          <w:p w:rsidR="00B21959" w:rsidRDefault="00C44320">
            <w:pPr>
              <w:pStyle w:val="TableParagraph"/>
              <w:ind w:firstLine="60"/>
              <w:rPr>
                <w:sz w:val="24"/>
              </w:rPr>
            </w:pPr>
            <w:r>
              <w:rPr>
                <w:color w:val="1F4E79"/>
                <w:sz w:val="24"/>
              </w:rPr>
              <w:t>Yes,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Manuscript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scientifically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correct.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In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general,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work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technically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sound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and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adds significantly to the study of topological indices in graph theory.</w:t>
            </w:r>
          </w:p>
        </w:tc>
        <w:tc>
          <w:tcPr>
            <w:tcW w:w="6377" w:type="dxa"/>
            <w:gridSpan w:val="2"/>
          </w:tcPr>
          <w:p w:rsidR="00B21959" w:rsidRDefault="00B21959">
            <w:pPr>
              <w:pStyle w:val="TableParagraph"/>
              <w:ind w:left="0"/>
            </w:pPr>
          </w:p>
        </w:tc>
      </w:tr>
      <w:tr w:rsidR="00B21959" w:rsidTr="00685082">
        <w:trPr>
          <w:gridBefore w:val="1"/>
          <w:wBefore w:w="7" w:type="dxa"/>
          <w:trHeight w:val="1932"/>
        </w:trPr>
        <w:tc>
          <w:tcPr>
            <w:tcW w:w="5297" w:type="dxa"/>
            <w:gridSpan w:val="2"/>
          </w:tcPr>
          <w:p w:rsidR="00B21959" w:rsidRDefault="00C44320">
            <w:pPr>
              <w:pStyle w:val="TableParagraph"/>
              <w:ind w:left="46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Are the references sufficient and recent? If you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suggestions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additional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references, please mention them in the review form.</w:t>
            </w:r>
          </w:p>
        </w:tc>
        <w:tc>
          <w:tcPr>
            <w:tcW w:w="9262" w:type="dxa"/>
          </w:tcPr>
          <w:p w:rsidR="00B21959" w:rsidRDefault="00C44320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</w:tabs>
              <w:ind w:right="422"/>
              <w:rPr>
                <w:sz w:val="24"/>
              </w:rPr>
            </w:pPr>
            <w:r>
              <w:rPr>
                <w:color w:val="1F4E79"/>
                <w:sz w:val="24"/>
              </w:rPr>
              <w:t>Most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cited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works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are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from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2021–2022,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aligning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well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with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timeline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of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F4E79"/>
                <w:sz w:val="24"/>
              </w:rPr>
              <w:t>Sombor</w:t>
            </w:r>
            <w:proofErr w:type="spellEnd"/>
            <w:r>
              <w:rPr>
                <w:color w:val="1F4E79"/>
                <w:sz w:val="24"/>
              </w:rPr>
              <w:t xml:space="preserve"> index's development.</w:t>
            </w:r>
          </w:p>
          <w:p w:rsidR="00B21959" w:rsidRDefault="00C44320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</w:tabs>
              <w:ind w:right="332"/>
              <w:rPr>
                <w:sz w:val="24"/>
              </w:rPr>
            </w:pPr>
            <w:r>
              <w:rPr>
                <w:color w:val="1F4E79"/>
                <w:sz w:val="24"/>
              </w:rPr>
              <w:t>The</w:t>
            </w:r>
            <w:r>
              <w:rPr>
                <w:color w:val="1F4E79"/>
                <w:spacing w:val="-6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manuscript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includes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foundational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papers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by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I.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Gutman,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who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introduced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index, and other key contributors like Alikhani, Ghanbari, and Milovanovic.</w:t>
            </w:r>
          </w:p>
          <w:p w:rsidR="00B21959" w:rsidRDefault="00C44320">
            <w:pPr>
              <w:pStyle w:val="TableParagraph"/>
              <w:spacing w:before="256" w:line="270" w:lineRule="atLeast"/>
              <w:rPr>
                <w:sz w:val="24"/>
              </w:rPr>
            </w:pPr>
            <w:r>
              <w:rPr>
                <w:color w:val="1F4E79"/>
                <w:sz w:val="24"/>
              </w:rPr>
              <w:t>In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addition,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authors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may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include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most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recent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reference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to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indicate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recent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advances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of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 xml:space="preserve">the </w:t>
            </w:r>
            <w:r>
              <w:rPr>
                <w:color w:val="1F4E79"/>
                <w:spacing w:val="-2"/>
                <w:sz w:val="24"/>
              </w:rPr>
              <w:t>study.</w:t>
            </w:r>
          </w:p>
        </w:tc>
        <w:tc>
          <w:tcPr>
            <w:tcW w:w="6377" w:type="dxa"/>
            <w:gridSpan w:val="2"/>
          </w:tcPr>
          <w:p w:rsidR="00B21959" w:rsidRDefault="00B21959">
            <w:pPr>
              <w:pStyle w:val="TableParagraph"/>
              <w:ind w:left="0"/>
            </w:pPr>
          </w:p>
        </w:tc>
      </w:tr>
    </w:tbl>
    <w:p w:rsidR="00B21959" w:rsidRDefault="00B21959">
      <w:pPr>
        <w:pStyle w:val="TableParagraph"/>
        <w:sectPr w:rsidR="00B21959">
          <w:headerReference w:type="default" r:id="rId8"/>
          <w:footerReference w:type="default" r:id="rId9"/>
          <w:pgSz w:w="23820" w:h="16840" w:orient="landscape"/>
          <w:pgMar w:top="1820" w:right="1417" w:bottom="880" w:left="1417" w:header="1285" w:footer="694" w:gutter="0"/>
          <w:cols w:space="720"/>
        </w:sect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9262"/>
        <w:gridCol w:w="6377"/>
      </w:tblGrid>
      <w:tr w:rsidR="00B21959">
        <w:trPr>
          <w:trHeight w:val="3311"/>
        </w:trPr>
        <w:tc>
          <w:tcPr>
            <w:tcW w:w="5297" w:type="dxa"/>
          </w:tcPr>
          <w:p w:rsidR="00B21959" w:rsidRDefault="00C44320">
            <w:pPr>
              <w:pStyle w:val="TableParagraph"/>
              <w:ind w:left="46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language/English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article suitable for scholarly communications?</w:t>
            </w:r>
          </w:p>
        </w:tc>
        <w:tc>
          <w:tcPr>
            <w:tcW w:w="9262" w:type="dxa"/>
          </w:tcPr>
          <w:p w:rsidR="00B21959" w:rsidRDefault="00C44320">
            <w:pPr>
              <w:pStyle w:val="TableParagraph"/>
              <w:ind w:right="473"/>
              <w:jc w:val="both"/>
              <w:rPr>
                <w:sz w:val="24"/>
              </w:rPr>
            </w:pPr>
            <w:r>
              <w:rPr>
                <w:color w:val="1F4E79"/>
                <w:sz w:val="24"/>
              </w:rPr>
              <w:t>Though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manuscript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uses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appropriate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technical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vocabulary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relevant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to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graph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theory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and topological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indices.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Still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several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sentences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contain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grammatical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errors,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awkward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phrasing, and inconsistent verb usage. For example, phrases like “</w:t>
            </w:r>
            <w:proofErr w:type="spellStart"/>
            <w:r>
              <w:rPr>
                <w:color w:val="1F4E79"/>
                <w:sz w:val="24"/>
              </w:rPr>
              <w:t>Sombor</w:t>
            </w:r>
            <w:proofErr w:type="spellEnd"/>
            <w:r>
              <w:rPr>
                <w:color w:val="1F4E79"/>
                <w:sz w:val="24"/>
              </w:rPr>
              <w:t xml:space="preserve"> Index of the graph G is</w:t>
            </w:r>
          </w:p>
          <w:p w:rsidR="00B21959" w:rsidRDefault="00C44320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1F4E79"/>
                <w:sz w:val="24"/>
              </w:rPr>
              <w:t>defined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by” are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followed by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incomplete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or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 xml:space="preserve">unclear </w:t>
            </w:r>
            <w:r>
              <w:rPr>
                <w:color w:val="1F4E79"/>
                <w:spacing w:val="-2"/>
                <w:sz w:val="24"/>
              </w:rPr>
              <w:t>expressions.</w:t>
            </w:r>
          </w:p>
          <w:p w:rsidR="00B21959" w:rsidRDefault="00C44320">
            <w:pPr>
              <w:pStyle w:val="TableParagraph"/>
              <w:spacing w:before="275"/>
              <w:jc w:val="both"/>
              <w:rPr>
                <w:sz w:val="24"/>
              </w:rPr>
            </w:pPr>
            <w:r>
              <w:rPr>
                <w:color w:val="1F4E79"/>
                <w:sz w:val="24"/>
              </w:rPr>
              <w:t>The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flow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between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sections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and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within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paragraphs</w:t>
            </w:r>
            <w:r>
              <w:rPr>
                <w:color w:val="1F4E79"/>
                <w:spacing w:val="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can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be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improved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by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using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pacing w:val="-2"/>
                <w:sz w:val="24"/>
              </w:rPr>
              <w:t>appropriate</w:t>
            </w:r>
          </w:p>
          <w:p w:rsidR="00B21959" w:rsidRDefault="00C44320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1F4E79"/>
                <w:sz w:val="24"/>
              </w:rPr>
              <w:t>transition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words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(e.g.,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“Furthermore,”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“In contrast,”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“As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 result,”</w:t>
            </w:r>
            <w:r>
              <w:rPr>
                <w:color w:val="1F4E79"/>
                <w:spacing w:val="-2"/>
                <w:sz w:val="24"/>
              </w:rPr>
              <w:t xml:space="preserve"> “Therefore”).</w:t>
            </w:r>
          </w:p>
          <w:p w:rsidR="00B21959" w:rsidRDefault="00B21959">
            <w:pPr>
              <w:pStyle w:val="TableParagraph"/>
              <w:ind w:left="0"/>
              <w:rPr>
                <w:sz w:val="24"/>
              </w:rPr>
            </w:pPr>
          </w:p>
          <w:p w:rsidR="00B21959" w:rsidRDefault="00C44320">
            <w:pPr>
              <w:pStyle w:val="TableParagraph"/>
              <w:ind w:right="622"/>
              <w:rPr>
                <w:sz w:val="24"/>
              </w:rPr>
            </w:pPr>
            <w:r>
              <w:rPr>
                <w:color w:val="1F4E79"/>
                <w:sz w:val="24"/>
              </w:rPr>
              <w:t>A professional language edit is strongly advised to enhance the manuscript’s clarity, precision,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and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scholarly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tone.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This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will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ensure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</w:t>
            </w:r>
            <w:r>
              <w:rPr>
                <w:color w:val="1F4E79"/>
                <w:spacing w:val="-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paper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meets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standards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expected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by peer-reviewed journals and improves its overall impact.</w:t>
            </w:r>
          </w:p>
        </w:tc>
        <w:tc>
          <w:tcPr>
            <w:tcW w:w="6377" w:type="dxa"/>
          </w:tcPr>
          <w:p w:rsidR="00B21959" w:rsidRDefault="00B21959">
            <w:pPr>
              <w:pStyle w:val="TableParagraph"/>
              <w:ind w:left="0"/>
            </w:pPr>
          </w:p>
        </w:tc>
      </w:tr>
      <w:tr w:rsidR="00B21959">
        <w:trPr>
          <w:trHeight w:val="1181"/>
        </w:trPr>
        <w:tc>
          <w:tcPr>
            <w:tcW w:w="5297" w:type="dxa"/>
          </w:tcPr>
          <w:p w:rsidR="00B21959" w:rsidRDefault="00C44320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Optional/General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comments</w:t>
            </w:r>
          </w:p>
        </w:tc>
        <w:tc>
          <w:tcPr>
            <w:tcW w:w="9262" w:type="dxa"/>
          </w:tcPr>
          <w:p w:rsidR="00B21959" w:rsidRDefault="00C44320">
            <w:pPr>
              <w:pStyle w:val="TableParagraph"/>
              <w:spacing w:before="2"/>
              <w:ind w:right="96"/>
              <w:jc w:val="both"/>
              <w:rPr>
                <w:sz w:val="24"/>
              </w:rPr>
            </w:pPr>
            <w:r>
              <w:rPr>
                <w:color w:val="1F4E79"/>
                <w:sz w:val="24"/>
              </w:rPr>
              <w:t xml:space="preserve">The paper presents clear and systematic derivations of </w:t>
            </w:r>
            <w:proofErr w:type="spellStart"/>
            <w:r>
              <w:rPr>
                <w:color w:val="1F4E79"/>
                <w:sz w:val="24"/>
              </w:rPr>
              <w:t>Sombor</w:t>
            </w:r>
            <w:proofErr w:type="spellEnd"/>
            <w:r>
              <w:rPr>
                <w:color w:val="1F4E79"/>
                <w:sz w:val="24"/>
              </w:rPr>
              <w:t xml:space="preserve"> indices for various graph operations.</w:t>
            </w:r>
            <w:r>
              <w:rPr>
                <w:color w:val="1F4E79"/>
                <w:spacing w:val="-1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The</w:t>
            </w:r>
            <w:r>
              <w:rPr>
                <w:color w:val="1F4E79"/>
                <w:spacing w:val="-1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results</w:t>
            </w:r>
            <w:r>
              <w:rPr>
                <w:color w:val="1F4E79"/>
                <w:spacing w:val="-1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are</w:t>
            </w:r>
            <w:r>
              <w:rPr>
                <w:color w:val="1F4E79"/>
                <w:spacing w:val="-1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mathematically</w:t>
            </w:r>
            <w:r>
              <w:rPr>
                <w:color w:val="1F4E79"/>
                <w:spacing w:val="-1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sound</w:t>
            </w:r>
            <w:r>
              <w:rPr>
                <w:color w:val="1F4E79"/>
                <w:spacing w:val="-1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and</w:t>
            </w:r>
            <w:r>
              <w:rPr>
                <w:color w:val="1F4E79"/>
                <w:spacing w:val="-1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relevant</w:t>
            </w:r>
            <w:r>
              <w:rPr>
                <w:color w:val="1F4E79"/>
                <w:spacing w:val="-1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to</w:t>
            </w:r>
            <w:r>
              <w:rPr>
                <w:color w:val="1F4E79"/>
                <w:spacing w:val="-1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current</w:t>
            </w:r>
            <w:r>
              <w:rPr>
                <w:color w:val="1F4E79"/>
                <w:spacing w:val="-1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research</w:t>
            </w:r>
            <w:r>
              <w:rPr>
                <w:color w:val="1F4E79"/>
                <w:spacing w:val="-1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in</w:t>
            </w:r>
            <w:r>
              <w:rPr>
                <w:color w:val="1F4E79"/>
                <w:spacing w:val="-1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topological indices.</w:t>
            </w:r>
            <w:r>
              <w:rPr>
                <w:color w:val="1F4E79"/>
                <w:spacing w:val="-7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Minor</w:t>
            </w:r>
            <w:r>
              <w:rPr>
                <w:color w:val="1F4E79"/>
                <w:spacing w:val="-6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improvements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in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language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and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formatting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are</w:t>
            </w:r>
            <w:r>
              <w:rPr>
                <w:color w:val="1F4E79"/>
                <w:spacing w:val="-7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suggested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to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enhance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>
              <w:rPr>
                <w:color w:val="1F4E79"/>
                <w:spacing w:val="-2"/>
                <w:sz w:val="24"/>
              </w:rPr>
              <w:t>readability.</w:t>
            </w:r>
          </w:p>
        </w:tc>
        <w:tc>
          <w:tcPr>
            <w:tcW w:w="6377" w:type="dxa"/>
          </w:tcPr>
          <w:p w:rsidR="00B21959" w:rsidRDefault="00B21959">
            <w:pPr>
              <w:pStyle w:val="TableParagraph"/>
              <w:ind w:left="0"/>
            </w:pPr>
          </w:p>
        </w:tc>
      </w:tr>
    </w:tbl>
    <w:p w:rsidR="00B21959" w:rsidRDefault="00B2195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8"/>
        <w:gridCol w:w="7183"/>
        <w:gridCol w:w="7171"/>
      </w:tblGrid>
      <w:tr w:rsidR="00E35618" w:rsidRPr="00340561" w:rsidTr="001B610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618" w:rsidRPr="00340561" w:rsidRDefault="00E35618" w:rsidP="001B610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35618" w:rsidRPr="00340561" w:rsidRDefault="00E35618" w:rsidP="001B610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35618" w:rsidRPr="00340561" w:rsidTr="001B610C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618" w:rsidRPr="00340561" w:rsidRDefault="00E35618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618" w:rsidRPr="00340561" w:rsidRDefault="00E35618" w:rsidP="001B61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E35618" w:rsidRPr="008608EB" w:rsidRDefault="00E35618" w:rsidP="001B610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35618" w:rsidRPr="00340561" w:rsidRDefault="00E35618" w:rsidP="001B6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35618" w:rsidRPr="00340561" w:rsidTr="001B610C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618" w:rsidRPr="00340561" w:rsidRDefault="00E35618" w:rsidP="001B610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35618" w:rsidRPr="00340561" w:rsidRDefault="00E35618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618" w:rsidRPr="00340561" w:rsidRDefault="00E35618" w:rsidP="001B610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35618" w:rsidRPr="00340561" w:rsidRDefault="00E35618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35618" w:rsidRPr="00340561" w:rsidRDefault="00E35618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E35618" w:rsidRPr="00340561" w:rsidRDefault="00E35618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35618" w:rsidRPr="00340561" w:rsidRDefault="00E35618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35618" w:rsidRPr="00340561" w:rsidRDefault="00E35618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E35618" w:rsidRDefault="00E35618" w:rsidP="00E35618"/>
    <w:p w:rsidR="00685082" w:rsidRPr="00DA04B1" w:rsidRDefault="00685082" w:rsidP="0068508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685082" w:rsidRPr="00DA04B1" w:rsidRDefault="00685082" w:rsidP="0068508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A04B1">
        <w:rPr>
          <w:rFonts w:ascii="Arial" w:hAnsi="Arial" w:cs="Arial"/>
          <w:b/>
          <w:u w:val="single"/>
        </w:rPr>
        <w:t>Reviewer details:</w:t>
      </w:r>
    </w:p>
    <w:p w:rsidR="00685082" w:rsidRPr="00DA04B1" w:rsidRDefault="00685082" w:rsidP="0068508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685082" w:rsidRDefault="00685082" w:rsidP="00685082">
      <w:r w:rsidRPr="00DA04B1">
        <w:rPr>
          <w:rFonts w:ascii="Arial" w:hAnsi="Arial" w:cs="Arial"/>
          <w:sz w:val="20"/>
          <w:szCs w:val="20"/>
        </w:rPr>
        <w:t xml:space="preserve">J. </w:t>
      </w:r>
      <w:proofErr w:type="spellStart"/>
      <w:r w:rsidRPr="00DA04B1">
        <w:rPr>
          <w:rFonts w:ascii="Arial" w:hAnsi="Arial" w:cs="Arial"/>
          <w:sz w:val="20"/>
          <w:szCs w:val="20"/>
        </w:rPr>
        <w:t>Bala</w:t>
      </w:r>
      <w:proofErr w:type="spellEnd"/>
      <w:r w:rsidRPr="00DA04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04B1">
        <w:rPr>
          <w:rFonts w:ascii="Arial" w:hAnsi="Arial" w:cs="Arial"/>
          <w:sz w:val="20"/>
          <w:szCs w:val="20"/>
        </w:rPr>
        <w:t>Samuvel</w:t>
      </w:r>
      <w:proofErr w:type="spellEnd"/>
      <w:r w:rsidRPr="00DA04B1">
        <w:rPr>
          <w:rFonts w:ascii="Arial" w:hAnsi="Arial" w:cs="Arial"/>
          <w:sz w:val="20"/>
          <w:szCs w:val="20"/>
        </w:rPr>
        <w:t xml:space="preserve">, SRM Institute of Science and </w:t>
      </w:r>
      <w:proofErr w:type="spellStart"/>
      <w:proofErr w:type="gramStart"/>
      <w:r w:rsidRPr="00DA04B1">
        <w:rPr>
          <w:rFonts w:ascii="Arial" w:hAnsi="Arial" w:cs="Arial"/>
          <w:sz w:val="20"/>
          <w:szCs w:val="20"/>
        </w:rPr>
        <w:t>Technology,India</w:t>
      </w:r>
      <w:proofErr w:type="spellEnd"/>
      <w:proofErr w:type="gramEnd"/>
      <w:r w:rsidRPr="00DA04B1">
        <w:rPr>
          <w:rFonts w:ascii="Arial" w:hAnsi="Arial" w:cs="Arial"/>
          <w:sz w:val="20"/>
          <w:szCs w:val="20"/>
        </w:rPr>
        <w:br/>
      </w:r>
    </w:p>
    <w:p w:rsidR="00E35618" w:rsidRDefault="00E35618" w:rsidP="00E35618">
      <w:bookmarkStart w:id="3" w:name="_GoBack"/>
      <w:bookmarkEnd w:id="3"/>
    </w:p>
    <w:p w:rsidR="00E35618" w:rsidRPr="00375011" w:rsidRDefault="00E35618" w:rsidP="00E35618">
      <w:pPr>
        <w:rPr>
          <w:bCs/>
          <w:u w:val="single"/>
          <w:lang w:val="en-GB"/>
        </w:rPr>
      </w:pPr>
    </w:p>
    <w:bookmarkEnd w:id="2"/>
    <w:p w:rsidR="00E35618" w:rsidRDefault="00E35618" w:rsidP="00E35618"/>
    <w:p w:rsidR="00B21959" w:rsidRDefault="00B21959">
      <w:pPr>
        <w:rPr>
          <w:sz w:val="20"/>
        </w:rPr>
      </w:pPr>
    </w:p>
    <w:sectPr w:rsidR="00B21959">
      <w:pgSz w:w="23820" w:h="16840" w:orient="landscape"/>
      <w:pgMar w:top="1820" w:right="1417" w:bottom="880" w:left="1417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2A4" w:rsidRDefault="000C42A4">
      <w:r>
        <w:separator/>
      </w:r>
    </w:p>
  </w:endnote>
  <w:endnote w:type="continuationSeparator" w:id="0">
    <w:p w:rsidR="000C42A4" w:rsidRDefault="000C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959" w:rsidRDefault="00C4432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1959" w:rsidRDefault="00C4432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B21959" w:rsidRDefault="00C4432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1959" w:rsidRDefault="00C4432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B21959" w:rsidRDefault="00C4432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1959" w:rsidRDefault="00C4432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B21959" w:rsidRDefault="00C4432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1959" w:rsidRDefault="00C4432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B21959" w:rsidRDefault="00C4432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2A4" w:rsidRDefault="000C42A4">
      <w:r>
        <w:separator/>
      </w:r>
    </w:p>
  </w:footnote>
  <w:footnote w:type="continuationSeparator" w:id="0">
    <w:p w:rsidR="000C42A4" w:rsidRDefault="000C4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959" w:rsidRDefault="00C4432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1959" w:rsidRDefault="00C4432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B21959" w:rsidRDefault="00C4432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91E03"/>
    <w:multiLevelType w:val="hybridMultilevel"/>
    <w:tmpl w:val="032ABA24"/>
    <w:lvl w:ilvl="0" w:tplc="AFD29568">
      <w:numFmt w:val="bullet"/>
      <w:lvlText w:val="•"/>
      <w:lvlJc w:val="left"/>
      <w:pPr>
        <w:ind w:left="8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E79"/>
        <w:spacing w:val="0"/>
        <w:w w:val="100"/>
        <w:sz w:val="24"/>
        <w:szCs w:val="24"/>
        <w:lang w:val="en-US" w:eastAsia="en-US" w:bidi="ar-SA"/>
      </w:rPr>
    </w:lvl>
    <w:lvl w:ilvl="1" w:tplc="5A1EB7B2">
      <w:numFmt w:val="bullet"/>
      <w:lvlText w:val="•"/>
      <w:lvlJc w:val="left"/>
      <w:pPr>
        <w:ind w:left="1663" w:hanging="721"/>
      </w:pPr>
      <w:rPr>
        <w:rFonts w:hint="default"/>
        <w:lang w:val="en-US" w:eastAsia="en-US" w:bidi="ar-SA"/>
      </w:rPr>
    </w:lvl>
    <w:lvl w:ilvl="2" w:tplc="9B98B8F8">
      <w:numFmt w:val="bullet"/>
      <w:lvlText w:val="•"/>
      <w:lvlJc w:val="left"/>
      <w:pPr>
        <w:ind w:left="2506" w:hanging="721"/>
      </w:pPr>
      <w:rPr>
        <w:rFonts w:hint="default"/>
        <w:lang w:val="en-US" w:eastAsia="en-US" w:bidi="ar-SA"/>
      </w:rPr>
    </w:lvl>
    <w:lvl w:ilvl="3" w:tplc="99606844">
      <w:numFmt w:val="bullet"/>
      <w:lvlText w:val="•"/>
      <w:lvlJc w:val="left"/>
      <w:pPr>
        <w:ind w:left="3349" w:hanging="721"/>
      </w:pPr>
      <w:rPr>
        <w:rFonts w:hint="default"/>
        <w:lang w:val="en-US" w:eastAsia="en-US" w:bidi="ar-SA"/>
      </w:rPr>
    </w:lvl>
    <w:lvl w:ilvl="4" w:tplc="7D1E53B4">
      <w:numFmt w:val="bullet"/>
      <w:lvlText w:val="•"/>
      <w:lvlJc w:val="left"/>
      <w:pPr>
        <w:ind w:left="4192" w:hanging="721"/>
      </w:pPr>
      <w:rPr>
        <w:rFonts w:hint="default"/>
        <w:lang w:val="en-US" w:eastAsia="en-US" w:bidi="ar-SA"/>
      </w:rPr>
    </w:lvl>
    <w:lvl w:ilvl="5" w:tplc="AEEAE71E">
      <w:numFmt w:val="bullet"/>
      <w:lvlText w:val="•"/>
      <w:lvlJc w:val="left"/>
      <w:pPr>
        <w:ind w:left="5036" w:hanging="721"/>
      </w:pPr>
      <w:rPr>
        <w:rFonts w:hint="default"/>
        <w:lang w:val="en-US" w:eastAsia="en-US" w:bidi="ar-SA"/>
      </w:rPr>
    </w:lvl>
    <w:lvl w:ilvl="6" w:tplc="02D283F4">
      <w:numFmt w:val="bullet"/>
      <w:lvlText w:val="•"/>
      <w:lvlJc w:val="left"/>
      <w:pPr>
        <w:ind w:left="5879" w:hanging="721"/>
      </w:pPr>
      <w:rPr>
        <w:rFonts w:hint="default"/>
        <w:lang w:val="en-US" w:eastAsia="en-US" w:bidi="ar-SA"/>
      </w:rPr>
    </w:lvl>
    <w:lvl w:ilvl="7" w:tplc="D116CBA8">
      <w:numFmt w:val="bullet"/>
      <w:lvlText w:val="•"/>
      <w:lvlJc w:val="left"/>
      <w:pPr>
        <w:ind w:left="6722" w:hanging="721"/>
      </w:pPr>
      <w:rPr>
        <w:rFonts w:hint="default"/>
        <w:lang w:val="en-US" w:eastAsia="en-US" w:bidi="ar-SA"/>
      </w:rPr>
    </w:lvl>
    <w:lvl w:ilvl="8" w:tplc="76F06A3A">
      <w:numFmt w:val="bullet"/>
      <w:lvlText w:val="•"/>
      <w:lvlJc w:val="left"/>
      <w:pPr>
        <w:ind w:left="7565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1A6B31E9"/>
    <w:multiLevelType w:val="hybridMultilevel"/>
    <w:tmpl w:val="E4A05574"/>
    <w:lvl w:ilvl="0" w:tplc="DF3A5ECC">
      <w:numFmt w:val="bullet"/>
      <w:lvlText w:val=""/>
      <w:lvlJc w:val="left"/>
      <w:pPr>
        <w:ind w:left="641" w:hanging="4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spacing w:val="0"/>
        <w:w w:val="100"/>
        <w:sz w:val="24"/>
        <w:szCs w:val="24"/>
        <w:lang w:val="en-US" w:eastAsia="en-US" w:bidi="ar-SA"/>
      </w:rPr>
    </w:lvl>
    <w:lvl w:ilvl="1" w:tplc="55807FA8">
      <w:numFmt w:val="bullet"/>
      <w:lvlText w:val="•"/>
      <w:lvlJc w:val="left"/>
      <w:pPr>
        <w:ind w:left="1501" w:hanging="450"/>
      </w:pPr>
      <w:rPr>
        <w:rFonts w:hint="default"/>
        <w:lang w:val="en-US" w:eastAsia="en-US" w:bidi="ar-SA"/>
      </w:rPr>
    </w:lvl>
    <w:lvl w:ilvl="2" w:tplc="CCEAEB38">
      <w:numFmt w:val="bullet"/>
      <w:lvlText w:val="•"/>
      <w:lvlJc w:val="left"/>
      <w:pPr>
        <w:ind w:left="2362" w:hanging="450"/>
      </w:pPr>
      <w:rPr>
        <w:rFonts w:hint="default"/>
        <w:lang w:val="en-US" w:eastAsia="en-US" w:bidi="ar-SA"/>
      </w:rPr>
    </w:lvl>
    <w:lvl w:ilvl="3" w:tplc="8242839E">
      <w:numFmt w:val="bullet"/>
      <w:lvlText w:val="•"/>
      <w:lvlJc w:val="left"/>
      <w:pPr>
        <w:ind w:left="3223" w:hanging="450"/>
      </w:pPr>
      <w:rPr>
        <w:rFonts w:hint="default"/>
        <w:lang w:val="en-US" w:eastAsia="en-US" w:bidi="ar-SA"/>
      </w:rPr>
    </w:lvl>
    <w:lvl w:ilvl="4" w:tplc="E6F27A74">
      <w:numFmt w:val="bullet"/>
      <w:lvlText w:val="•"/>
      <w:lvlJc w:val="left"/>
      <w:pPr>
        <w:ind w:left="4084" w:hanging="450"/>
      </w:pPr>
      <w:rPr>
        <w:rFonts w:hint="default"/>
        <w:lang w:val="en-US" w:eastAsia="en-US" w:bidi="ar-SA"/>
      </w:rPr>
    </w:lvl>
    <w:lvl w:ilvl="5" w:tplc="405A4316">
      <w:numFmt w:val="bullet"/>
      <w:lvlText w:val="•"/>
      <w:lvlJc w:val="left"/>
      <w:pPr>
        <w:ind w:left="4946" w:hanging="450"/>
      </w:pPr>
      <w:rPr>
        <w:rFonts w:hint="default"/>
        <w:lang w:val="en-US" w:eastAsia="en-US" w:bidi="ar-SA"/>
      </w:rPr>
    </w:lvl>
    <w:lvl w:ilvl="6" w:tplc="3044FB16">
      <w:numFmt w:val="bullet"/>
      <w:lvlText w:val="•"/>
      <w:lvlJc w:val="left"/>
      <w:pPr>
        <w:ind w:left="5807" w:hanging="450"/>
      </w:pPr>
      <w:rPr>
        <w:rFonts w:hint="default"/>
        <w:lang w:val="en-US" w:eastAsia="en-US" w:bidi="ar-SA"/>
      </w:rPr>
    </w:lvl>
    <w:lvl w:ilvl="7" w:tplc="089E04C8">
      <w:numFmt w:val="bullet"/>
      <w:lvlText w:val="•"/>
      <w:lvlJc w:val="left"/>
      <w:pPr>
        <w:ind w:left="6668" w:hanging="450"/>
      </w:pPr>
      <w:rPr>
        <w:rFonts w:hint="default"/>
        <w:lang w:val="en-US" w:eastAsia="en-US" w:bidi="ar-SA"/>
      </w:rPr>
    </w:lvl>
    <w:lvl w:ilvl="8" w:tplc="DC36B25E">
      <w:numFmt w:val="bullet"/>
      <w:lvlText w:val="•"/>
      <w:lvlJc w:val="left"/>
      <w:pPr>
        <w:ind w:left="7529" w:hanging="450"/>
      </w:pPr>
      <w:rPr>
        <w:rFonts w:hint="default"/>
        <w:lang w:val="en-US" w:eastAsia="en-US" w:bidi="ar-SA"/>
      </w:rPr>
    </w:lvl>
  </w:abstractNum>
  <w:abstractNum w:abstractNumId="2" w15:restartNumberingAfterBreak="0">
    <w:nsid w:val="5CC834CE"/>
    <w:multiLevelType w:val="hybridMultilevel"/>
    <w:tmpl w:val="F3EE9C2E"/>
    <w:lvl w:ilvl="0" w:tplc="2966A470">
      <w:numFmt w:val="bullet"/>
      <w:lvlText w:val=""/>
      <w:lvlJc w:val="left"/>
      <w:pPr>
        <w:ind w:left="641" w:hanging="45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F8F47458">
      <w:numFmt w:val="bullet"/>
      <w:lvlText w:val="•"/>
      <w:lvlJc w:val="left"/>
      <w:pPr>
        <w:ind w:left="1501" w:hanging="450"/>
      </w:pPr>
      <w:rPr>
        <w:rFonts w:hint="default"/>
        <w:lang w:val="en-US" w:eastAsia="en-US" w:bidi="ar-SA"/>
      </w:rPr>
    </w:lvl>
    <w:lvl w:ilvl="2" w:tplc="BC72F8F6">
      <w:numFmt w:val="bullet"/>
      <w:lvlText w:val="•"/>
      <w:lvlJc w:val="left"/>
      <w:pPr>
        <w:ind w:left="2362" w:hanging="450"/>
      </w:pPr>
      <w:rPr>
        <w:rFonts w:hint="default"/>
        <w:lang w:val="en-US" w:eastAsia="en-US" w:bidi="ar-SA"/>
      </w:rPr>
    </w:lvl>
    <w:lvl w:ilvl="3" w:tplc="87C045F0">
      <w:numFmt w:val="bullet"/>
      <w:lvlText w:val="•"/>
      <w:lvlJc w:val="left"/>
      <w:pPr>
        <w:ind w:left="3223" w:hanging="450"/>
      </w:pPr>
      <w:rPr>
        <w:rFonts w:hint="default"/>
        <w:lang w:val="en-US" w:eastAsia="en-US" w:bidi="ar-SA"/>
      </w:rPr>
    </w:lvl>
    <w:lvl w:ilvl="4" w:tplc="63AC225C">
      <w:numFmt w:val="bullet"/>
      <w:lvlText w:val="•"/>
      <w:lvlJc w:val="left"/>
      <w:pPr>
        <w:ind w:left="4084" w:hanging="450"/>
      </w:pPr>
      <w:rPr>
        <w:rFonts w:hint="default"/>
        <w:lang w:val="en-US" w:eastAsia="en-US" w:bidi="ar-SA"/>
      </w:rPr>
    </w:lvl>
    <w:lvl w:ilvl="5" w:tplc="8390B856">
      <w:numFmt w:val="bullet"/>
      <w:lvlText w:val="•"/>
      <w:lvlJc w:val="left"/>
      <w:pPr>
        <w:ind w:left="4946" w:hanging="450"/>
      </w:pPr>
      <w:rPr>
        <w:rFonts w:hint="default"/>
        <w:lang w:val="en-US" w:eastAsia="en-US" w:bidi="ar-SA"/>
      </w:rPr>
    </w:lvl>
    <w:lvl w:ilvl="6" w:tplc="73E2281A">
      <w:numFmt w:val="bullet"/>
      <w:lvlText w:val="•"/>
      <w:lvlJc w:val="left"/>
      <w:pPr>
        <w:ind w:left="5807" w:hanging="450"/>
      </w:pPr>
      <w:rPr>
        <w:rFonts w:hint="default"/>
        <w:lang w:val="en-US" w:eastAsia="en-US" w:bidi="ar-SA"/>
      </w:rPr>
    </w:lvl>
    <w:lvl w:ilvl="7" w:tplc="D1BEF0A4">
      <w:numFmt w:val="bullet"/>
      <w:lvlText w:val="•"/>
      <w:lvlJc w:val="left"/>
      <w:pPr>
        <w:ind w:left="6668" w:hanging="450"/>
      </w:pPr>
      <w:rPr>
        <w:rFonts w:hint="default"/>
        <w:lang w:val="en-US" w:eastAsia="en-US" w:bidi="ar-SA"/>
      </w:rPr>
    </w:lvl>
    <w:lvl w:ilvl="8" w:tplc="486855A8">
      <w:numFmt w:val="bullet"/>
      <w:lvlText w:val="•"/>
      <w:lvlJc w:val="left"/>
      <w:pPr>
        <w:ind w:left="7529" w:hanging="45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1959"/>
    <w:rsid w:val="000C42A4"/>
    <w:rsid w:val="00237345"/>
    <w:rsid w:val="002948CE"/>
    <w:rsid w:val="003C79E8"/>
    <w:rsid w:val="00685082"/>
    <w:rsid w:val="009F4FDB"/>
    <w:rsid w:val="00B21959"/>
    <w:rsid w:val="00C44320"/>
    <w:rsid w:val="00CE1E47"/>
    <w:rsid w:val="00D75AE1"/>
    <w:rsid w:val="00E3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055C2"/>
  <w15:docId w15:val="{B22B792C-2E98-40A3-AF64-ED34019E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948CE"/>
    <w:rPr>
      <w:color w:val="0000FF"/>
      <w:u w:val="single"/>
    </w:rPr>
  </w:style>
  <w:style w:type="paragraph" w:customStyle="1" w:styleId="Affiliation">
    <w:name w:val="Affiliation"/>
    <w:basedOn w:val="Normal"/>
    <w:rsid w:val="0068508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om.com/index.php/ARJ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2025-11-03T10:17:00Z</dcterms:created>
  <dcterms:modified xsi:type="dcterms:W3CDTF">2025-11-10T11:31:00Z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2025-11-03T00:00:00Z</vt:filetime>
  </property>
  <property fmtid="{D5CDD505-2E9C-101B-9397-08002B2CF9AE}" pid="5" name="Producer">
    <vt:lpwstr>3-Heights(TM) PDF Security Shell 4.8.25.2 (http://www.pdf-tools.com)</vt:lpwstr>
  </property>
</Properties>
</file>