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5A67F" w14:textId="3B293163" w:rsidR="00AD71A9" w:rsidRPr="00E75137" w:rsidRDefault="00A768E6" w:rsidP="00D44A96">
      <w:pPr>
        <w:spacing w:line="276" w:lineRule="auto"/>
        <w:jc w:val="both"/>
        <w:rPr>
          <w:rFonts w:ascii="Times New Roman" w:hAnsi="Times New Roman" w:cs="Times New Roman"/>
          <w:bCs/>
          <w:sz w:val="24"/>
          <w:szCs w:val="24"/>
        </w:rPr>
      </w:pPr>
      <w:r w:rsidRPr="00E75137">
        <w:rPr>
          <w:rFonts w:ascii="Times New Roman" w:hAnsi="Times New Roman" w:cs="Times New Roman"/>
          <w:bCs/>
          <w:sz w:val="24"/>
          <w:szCs w:val="24"/>
        </w:rPr>
        <w:t xml:space="preserve">Exploring the association between hypertension, </w:t>
      </w:r>
      <w:r w:rsidRPr="0000404F">
        <w:rPr>
          <w:rFonts w:ascii="Times New Roman" w:hAnsi="Times New Roman" w:cs="Times New Roman"/>
          <w:bCs/>
          <w:color w:val="EE0000"/>
          <w:sz w:val="24"/>
          <w:szCs w:val="24"/>
        </w:rPr>
        <w:t>sex</w:t>
      </w:r>
      <w:r w:rsidRPr="00E75137">
        <w:rPr>
          <w:rFonts w:ascii="Times New Roman" w:hAnsi="Times New Roman" w:cs="Times New Roman"/>
          <w:bCs/>
          <w:sz w:val="24"/>
          <w:szCs w:val="24"/>
        </w:rPr>
        <w:t xml:space="preserve">, handedness and stature among patients attending Nnamdi Azikiwe University </w:t>
      </w:r>
      <w:r w:rsidR="00856B9C" w:rsidRPr="00E75137">
        <w:rPr>
          <w:rFonts w:ascii="Times New Roman" w:hAnsi="Times New Roman" w:cs="Times New Roman"/>
          <w:bCs/>
          <w:sz w:val="24"/>
          <w:szCs w:val="24"/>
        </w:rPr>
        <w:t>Teaching Hospital</w:t>
      </w:r>
      <w:r w:rsidRPr="00E75137">
        <w:rPr>
          <w:rFonts w:ascii="Times New Roman" w:hAnsi="Times New Roman" w:cs="Times New Roman"/>
          <w:bCs/>
          <w:sz w:val="24"/>
          <w:szCs w:val="24"/>
        </w:rPr>
        <w:t xml:space="preserve">, </w:t>
      </w:r>
      <w:r w:rsidR="00856B9C" w:rsidRPr="00E75137">
        <w:rPr>
          <w:rFonts w:ascii="Times New Roman" w:hAnsi="Times New Roman" w:cs="Times New Roman"/>
          <w:bCs/>
          <w:sz w:val="24"/>
          <w:szCs w:val="24"/>
        </w:rPr>
        <w:t>Nnewi</w:t>
      </w:r>
      <w:r w:rsidRPr="00E75137">
        <w:rPr>
          <w:rFonts w:ascii="Times New Roman" w:hAnsi="Times New Roman" w:cs="Times New Roman"/>
          <w:bCs/>
          <w:sz w:val="24"/>
          <w:szCs w:val="24"/>
        </w:rPr>
        <w:t>.</w:t>
      </w:r>
    </w:p>
    <w:p w14:paraId="5671100E" w14:textId="77777777" w:rsidR="00AD71A9" w:rsidRPr="00E75137" w:rsidRDefault="00AD71A9" w:rsidP="00D44A96">
      <w:pPr>
        <w:pStyle w:val="Heading1"/>
        <w:spacing w:before="0" w:line="276" w:lineRule="auto"/>
        <w:jc w:val="both"/>
        <w:rPr>
          <w:rFonts w:ascii="Times New Roman" w:hAnsi="Times New Roman" w:cs="Times New Roman"/>
          <w:bCs/>
          <w:color w:val="auto"/>
          <w:sz w:val="24"/>
          <w:szCs w:val="24"/>
        </w:rPr>
      </w:pPr>
    </w:p>
    <w:p w14:paraId="3D056896" w14:textId="77777777" w:rsidR="00D33DF5" w:rsidRDefault="00D33DF5" w:rsidP="00D44A96">
      <w:pPr>
        <w:shd w:val="clear" w:color="auto" w:fill="FFFFFF"/>
        <w:spacing w:after="0" w:line="276" w:lineRule="auto"/>
        <w:jc w:val="both"/>
        <w:rPr>
          <w:rFonts w:ascii="Times New Roman" w:eastAsia="Times New Roman" w:hAnsi="Times New Roman" w:cs="Times New Roman"/>
          <w:b/>
          <w:color w:val="222222"/>
          <w:sz w:val="24"/>
          <w:szCs w:val="24"/>
        </w:rPr>
      </w:pPr>
    </w:p>
    <w:p w14:paraId="13F9CAEF" w14:textId="6C52BC0E" w:rsidR="00AD71A9" w:rsidRPr="00E75137" w:rsidRDefault="00AD71A9" w:rsidP="00D44A96">
      <w:pPr>
        <w:shd w:val="clear" w:color="auto" w:fill="FFFFFF"/>
        <w:spacing w:after="0" w:line="276" w:lineRule="auto"/>
        <w:jc w:val="both"/>
        <w:rPr>
          <w:rFonts w:ascii="Times New Roman" w:hAnsi="Times New Roman" w:cs="Times New Roman"/>
          <w:sz w:val="24"/>
          <w:szCs w:val="24"/>
        </w:rPr>
      </w:pPr>
      <w:r w:rsidRPr="00E75137">
        <w:rPr>
          <w:rFonts w:ascii="Times New Roman" w:eastAsia="Times New Roman" w:hAnsi="Times New Roman" w:cs="Times New Roman"/>
          <w:b/>
          <w:color w:val="222222"/>
          <w:sz w:val="24"/>
          <w:szCs w:val="24"/>
        </w:rPr>
        <w:t>ABSTRACT</w:t>
      </w:r>
    </w:p>
    <w:p w14:paraId="70EAE64C" w14:textId="18F52169" w:rsidR="00AD71A9" w:rsidRPr="00E75137" w:rsidRDefault="00AD71A9" w:rsidP="00D44A96">
      <w:pPr>
        <w:shd w:val="clear" w:color="auto" w:fill="FFFFFF"/>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Hypertension is a major public health challenge in Nigeria, with complex interactions between biological, demographic, and lifestyle factors influencing its prevalence and severity. This study examined the association of gender, handedness, and stature indices (height, weight, body mass index (BMI), and body surface area (BSA) with hypertension among patients attending Nnamdi Azikiwe University Teaching Hospital, Nnewi. A total of 103 participants (52 males, 51 females; mean age 55–64 years) were recruited, and their socio-demographic, anthropometric, lifestyle, and clinical characteristics were analyzed using chi-square tests, Spearman’s correlation, regression analyses, and general linear models.</w:t>
      </w:r>
      <w:r w:rsidR="00ED603C" w:rsidRPr="00E75137">
        <w:rPr>
          <w:rFonts w:ascii="Times New Roman" w:hAnsi="Times New Roman" w:cs="Times New Roman"/>
          <w:sz w:val="24"/>
          <w:szCs w:val="24"/>
        </w:rPr>
        <w:t xml:space="preserve"> </w:t>
      </w:r>
      <w:r w:rsidRPr="00E75137">
        <w:rPr>
          <w:rFonts w:ascii="Times New Roman" w:hAnsi="Times New Roman" w:cs="Times New Roman"/>
          <w:sz w:val="24"/>
          <w:szCs w:val="24"/>
        </w:rPr>
        <w:t>The overall prevalence of hypertension was 68%, with higher occurrence in females (72.5%) than males (63.5%), though this difference was not statistically significant (p = 0.394). Handedness also showed no significant relationship with hypertension (p = 0.452), despite right-handed participants exhibiting slightly higher prevalence. Correlation analysis revealed no significant associations between blood pressure parameters and stature indices. Regression models demonstrated that BMI, height, weight, and BSA accounted for only 6.1% of the variance in systolic blood pressure and 11.1% in diastolic pressure, indicating limited predictive value. Logistic regression further showed that gender, handedness, and stature were not independent predictors of hypertension status. Three-way interactions among these variables were also non-significant. Among lifestyle and clinical factors, alcohol use emerged as the strongest predictor, with alcohol users being 6.4 times more likely to develop hypertension than non-users (p = 0.022). Other variables, including physical activity, smoking, dietary patterns, and family history, showed no significant associations. This study concludes that hypertension prevalence in this population is high, but gender, handedness, and stature indices exert minimal influence on its occurrence. Alcohol use, however, represents a significant modifiable risk factor. Targeted interventions emphasizing lifestyle modification and public health education are therefore recommended to reduce hypertension burden.</w:t>
      </w:r>
    </w:p>
    <w:p w14:paraId="7E91E9A4" w14:textId="77777777" w:rsidR="00AD71A9" w:rsidRPr="00E75137" w:rsidRDefault="00AD71A9" w:rsidP="00D44A96">
      <w:pPr>
        <w:shd w:val="clear" w:color="auto" w:fill="FFFFFF"/>
        <w:spacing w:after="0" w:line="276" w:lineRule="auto"/>
        <w:jc w:val="both"/>
        <w:rPr>
          <w:rFonts w:ascii="Times New Roman" w:hAnsi="Times New Roman" w:cs="Times New Roman"/>
          <w:sz w:val="24"/>
          <w:szCs w:val="24"/>
        </w:rPr>
      </w:pPr>
    </w:p>
    <w:p w14:paraId="3EBD387B" w14:textId="355A2908" w:rsidR="00AD71A9" w:rsidRPr="00E75137" w:rsidRDefault="00B768D7" w:rsidP="00D44A96">
      <w:pPr>
        <w:shd w:val="clear" w:color="auto" w:fill="FFFFFF"/>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Keywords: Handedness, hypertension, body mass index (BMI), </w:t>
      </w:r>
      <w:r w:rsidR="000A50B4" w:rsidRPr="00E75137">
        <w:rPr>
          <w:rFonts w:ascii="Times New Roman" w:hAnsi="Times New Roman" w:cs="Times New Roman"/>
          <w:sz w:val="24"/>
          <w:szCs w:val="24"/>
        </w:rPr>
        <w:t>blood pressure</w:t>
      </w:r>
    </w:p>
    <w:p w14:paraId="7C2CA2EB" w14:textId="77777777" w:rsidR="00AD71A9" w:rsidRPr="00E75137" w:rsidRDefault="00AD71A9" w:rsidP="00D44A96">
      <w:pPr>
        <w:shd w:val="clear" w:color="auto" w:fill="FFFFFF"/>
        <w:spacing w:after="0" w:line="276" w:lineRule="auto"/>
        <w:jc w:val="both"/>
        <w:rPr>
          <w:rFonts w:ascii="Times New Roman" w:hAnsi="Times New Roman" w:cs="Times New Roman"/>
          <w:sz w:val="24"/>
          <w:szCs w:val="24"/>
        </w:rPr>
      </w:pPr>
    </w:p>
    <w:p w14:paraId="1CDDE9F0" w14:textId="18BB2C47" w:rsidR="008D3FAB" w:rsidRPr="00E75137" w:rsidRDefault="009436FE" w:rsidP="00D44A96">
      <w:pPr>
        <w:pStyle w:val="Heading3"/>
        <w:spacing w:line="276" w:lineRule="auto"/>
        <w:jc w:val="both"/>
        <w:rPr>
          <w:rFonts w:ascii="Times New Roman" w:hAnsi="Times New Roman" w:cs="Times New Roman"/>
          <w:color w:val="auto"/>
          <w:sz w:val="24"/>
          <w:szCs w:val="24"/>
          <w:lang w:val="en-ZA"/>
        </w:rPr>
      </w:pPr>
      <w:r>
        <w:rPr>
          <w:rFonts w:ascii="Times New Roman" w:hAnsi="Times New Roman" w:cs="Times New Roman"/>
          <w:color w:val="auto"/>
          <w:sz w:val="24"/>
          <w:szCs w:val="24"/>
        </w:rPr>
        <w:t xml:space="preserve">1.0 </w:t>
      </w:r>
      <w:r w:rsidR="005221A9" w:rsidRPr="00E75137">
        <w:rPr>
          <w:rFonts w:ascii="Times New Roman" w:hAnsi="Times New Roman" w:cs="Times New Roman"/>
          <w:color w:val="auto"/>
          <w:sz w:val="24"/>
          <w:szCs w:val="24"/>
        </w:rPr>
        <w:t>Introduction</w:t>
      </w:r>
    </w:p>
    <w:p w14:paraId="086450DE" w14:textId="37CE1AD1" w:rsidR="008D3FAB" w:rsidRPr="00E75137" w:rsidRDefault="008D3FAB" w:rsidP="00D44A96">
      <w:pPr>
        <w:pStyle w:val="NormalWeb"/>
        <w:spacing w:line="276" w:lineRule="auto"/>
        <w:jc w:val="both"/>
      </w:pPr>
      <w:r w:rsidRPr="00E75137">
        <w:t>Handedness, defined as the preference for using one hand over the other, is a biological trait that exhibits sexual dimorphism and reflects differences in neurological and physiological development between males and females</w:t>
      </w:r>
      <w:r w:rsidR="00AD2FEB">
        <w:t xml:space="preserve"> (Adeoye and Dada, 2004)</w:t>
      </w:r>
      <w:r w:rsidRPr="00E75137">
        <w:t>. This study explores how sexual dimorphism in handedness relates to hypertension, while also considering physical stature indicators such as height, weight, Body Mass Index (BMI), and Body Surface Area (BSA)</w:t>
      </w:r>
      <w:r w:rsidR="00AD2FEB">
        <w:t xml:space="preserve"> (Pichler </w:t>
      </w:r>
      <w:r w:rsidR="00AD2FEB">
        <w:lastRenderedPageBreak/>
        <w:t>et al., 2015)</w:t>
      </w:r>
      <w:r w:rsidRPr="00E75137">
        <w:t>. Sexual dimorphism refers to differences between males and females that are not directly associated with reproductive functions</w:t>
      </w:r>
      <w:r w:rsidR="00AD2FEB">
        <w:t xml:space="preserve"> (</w:t>
      </w:r>
      <w:proofErr w:type="spellStart"/>
      <w:r w:rsidR="00AD2FEB">
        <w:t>Ocklenbury</w:t>
      </w:r>
      <w:proofErr w:type="spellEnd"/>
      <w:r w:rsidR="00AD2FEB">
        <w:t xml:space="preserve"> and </w:t>
      </w:r>
      <w:proofErr w:type="spellStart"/>
      <w:r w:rsidR="00AD2FEB">
        <w:t>Gunturkun</w:t>
      </w:r>
      <w:proofErr w:type="spellEnd"/>
      <w:r w:rsidR="00AD2FEB">
        <w:t xml:space="preserve"> 2018)</w:t>
      </w:r>
      <w:r w:rsidRPr="00E75137">
        <w:t>.</w:t>
      </w:r>
    </w:p>
    <w:p w14:paraId="0B7EFC5D" w14:textId="18269E57" w:rsidR="008D3FAB" w:rsidRPr="00E75137" w:rsidRDefault="008D3FAB" w:rsidP="00D44A96">
      <w:pPr>
        <w:pStyle w:val="NormalWeb"/>
        <w:spacing w:line="276" w:lineRule="auto"/>
        <w:jc w:val="both"/>
      </w:pPr>
      <w:r w:rsidRPr="00E75137">
        <w:t>Handedness begins to develop during fetal life. Research shows that fetuses more frequently suck the right thumb, move the right arm more, and rest with the head turned to the right. These prenatal preferences are believed to persist after birth, determining an individual's dominant hand</w:t>
      </w:r>
      <w:r w:rsidR="008C1CDB">
        <w:t xml:space="preserve"> (Steele and Uomini, 2005)</w:t>
      </w:r>
      <w:r w:rsidRPr="00E75137">
        <w:t>. While left-handedness generally represents natural variation, some forms may result from early developmental disturbances or genetic abnormalities</w:t>
      </w:r>
      <w:r w:rsidR="008C1CDB">
        <w:t xml:space="preserve"> (Schaafsma et al., 2012)</w:t>
      </w:r>
      <w:r w:rsidRPr="00E75137">
        <w:t>. Increased rates of left-handedness have been observed in individuals with neurological and developmental disorders such as epilepsy, schizophrenia, autism, and structural abnormalities like cleft lip and neural tube defects. A potential explanation is that intrauterine or perinatal disturbances, such as hypoxia or infections, disrupt cerebral development and alter interhemispheric connectivity</w:t>
      </w:r>
      <w:r w:rsidR="00DD6F5E">
        <w:t xml:space="preserve"> (Rogers et al., 2004)</w:t>
      </w:r>
      <w:r w:rsidRPr="00E75137">
        <w:t>.</w:t>
      </w:r>
    </w:p>
    <w:p w14:paraId="21A4399A" w14:textId="6E42D092" w:rsidR="008D3FAB" w:rsidRPr="00E75137" w:rsidRDefault="008D3FAB" w:rsidP="00D44A96">
      <w:pPr>
        <w:pStyle w:val="NormalWeb"/>
        <w:spacing w:line="276" w:lineRule="auto"/>
        <w:jc w:val="both"/>
      </w:pPr>
      <w:r w:rsidRPr="00E75137">
        <w:t>Another explanation for handedness variation is the delayed maturation of the left cerebral hemisphere, potentially shifting motor functions to the right hemisphere and producing left-handedness</w:t>
      </w:r>
      <w:r w:rsidR="00DD6F5E">
        <w:t xml:space="preserve"> (</w:t>
      </w:r>
      <w:proofErr w:type="spellStart"/>
      <w:r w:rsidR="00DD6F5E">
        <w:t>Vallortigara</w:t>
      </w:r>
      <w:proofErr w:type="spellEnd"/>
      <w:r w:rsidR="00DD6F5E">
        <w:t xml:space="preserve"> and Rogers, 2005)</w:t>
      </w:r>
      <w:r w:rsidRPr="00E75137">
        <w:t>. Elevated testosterone levels in utero have also been suggested to hinder left hemisphere development or promote loss of callosal axons, although this hypothesis remains controversial. Genetic theories such as Annett’s right-shift hypothesis propose that specific genes influence cerebral lateralization and hand preference. Environmental factors, including season of birth, vitamin D deficiency, and immune challenges during winter, may also influence handedness patterns</w:t>
      </w:r>
      <w:r w:rsidR="00DD6F5E">
        <w:t xml:space="preserve"> (Raymond et al., 1996)</w:t>
      </w:r>
      <w:r w:rsidRPr="00E75137">
        <w:t>.</w:t>
      </w:r>
    </w:p>
    <w:p w14:paraId="7A943463" w14:textId="20B76789" w:rsidR="008D3FAB" w:rsidRPr="00E75137" w:rsidRDefault="008D3FAB" w:rsidP="00D44A96">
      <w:pPr>
        <w:pStyle w:val="NormalWeb"/>
        <w:spacing w:line="276" w:lineRule="auto"/>
        <w:jc w:val="both"/>
      </w:pPr>
      <w:r w:rsidRPr="00E75137">
        <w:t>Hypertension, defined as systolic blood pressure of at least 130 mmHg or diastolic pressure of at least 80 mmHg, affects over one billion people globally and is a major contributor to cardiovascular morbidity and mortality</w:t>
      </w:r>
      <w:r w:rsidR="00CF1F87">
        <w:t xml:space="preserve"> (Schiffrin et al., 2020)</w:t>
      </w:r>
      <w:r w:rsidRPr="00E75137">
        <w:t>. Men typically display higher blood pressure levels than women, a difference partly attributed to sex hormones. Although menstrual cycle effects on blood pressure remain inconclusive, sex hormones clearly modulate both blood pressure regulation and brain asymmetry</w:t>
      </w:r>
      <w:r w:rsidR="00EA70FA">
        <w:t xml:space="preserve"> (</w:t>
      </w:r>
      <w:proofErr w:type="spellStart"/>
      <w:r w:rsidR="00EA70FA">
        <w:t>Vallortigara</w:t>
      </w:r>
      <w:proofErr w:type="spellEnd"/>
      <w:r w:rsidR="00EA70FA">
        <w:t xml:space="preserve"> and Rogers, 2005)</w:t>
      </w:r>
      <w:r w:rsidRPr="00E75137">
        <w:t>.</w:t>
      </w:r>
    </w:p>
    <w:p w14:paraId="22AABBE5" w14:textId="062FE467" w:rsidR="008D3FAB" w:rsidRPr="00E75137" w:rsidRDefault="008D3FAB" w:rsidP="00D44A96">
      <w:pPr>
        <w:pStyle w:val="NormalWeb"/>
        <w:spacing w:line="276" w:lineRule="auto"/>
        <w:jc w:val="both"/>
      </w:pPr>
      <w:r w:rsidRPr="00E75137">
        <w:t>Inter-arm blood pressure differences are common and can indicate cardiovascular risk, yet the connection between handedness and these differences has not been adequately explored. Given that brain lateralization and cardiovascular regulation may be interconnected, it is hypothesized that handedness, sex hormones, and blood pressure may share underlying physiological mechanisms</w:t>
      </w:r>
      <w:r w:rsidR="00CF1F87">
        <w:t xml:space="preserve"> (</w:t>
      </w:r>
      <w:proofErr w:type="spellStart"/>
      <w:r w:rsidR="00CF1F87">
        <w:t>Ocklenbury</w:t>
      </w:r>
      <w:proofErr w:type="spellEnd"/>
      <w:r w:rsidR="00CF1F87">
        <w:t xml:space="preserve"> and </w:t>
      </w:r>
      <w:proofErr w:type="spellStart"/>
      <w:r w:rsidR="00CF1F87">
        <w:t>Gunturkun</w:t>
      </w:r>
      <w:proofErr w:type="spellEnd"/>
      <w:r w:rsidR="00CF1F87">
        <w:t>, 2018)</w:t>
      </w:r>
      <w:r w:rsidRPr="00E75137">
        <w:t>.</w:t>
      </w:r>
    </w:p>
    <w:p w14:paraId="3EC0BADD" w14:textId="3E8EF8B2" w:rsidR="008D3FAB" w:rsidRPr="00E75137" w:rsidRDefault="008D3FAB" w:rsidP="00D44A96">
      <w:pPr>
        <w:pStyle w:val="NormalWeb"/>
        <w:spacing w:line="276" w:lineRule="auto"/>
        <w:jc w:val="both"/>
      </w:pPr>
      <w:r w:rsidRPr="00E75137">
        <w:t>Despite the extensive research on traditional hypertension risk factors such as age, lifestyle, genetics, and diet, limited attention has been given to the roles of sexual dimorphism, handedness, and physical stature. These factors may influence blood pressure regulation and hypertension severity. Understanding how they interact could offer more holistic insights into hypertension management</w:t>
      </w:r>
      <w:r w:rsidR="00A07F83">
        <w:t xml:space="preserve"> (Ramond and Pontier, 2004)</w:t>
      </w:r>
      <w:r w:rsidRPr="00E75137">
        <w:t>.</w:t>
      </w:r>
    </w:p>
    <w:p w14:paraId="02CD7EE4" w14:textId="77777777" w:rsidR="008D3FAB" w:rsidRPr="0000404F" w:rsidRDefault="008D3FAB" w:rsidP="00D44A96">
      <w:pPr>
        <w:pStyle w:val="NormalWeb"/>
        <w:spacing w:line="276" w:lineRule="auto"/>
        <w:jc w:val="both"/>
        <w:rPr>
          <w:highlight w:val="yellow"/>
        </w:rPr>
      </w:pPr>
      <w:r w:rsidRPr="0000404F">
        <w:rPr>
          <w:highlight w:val="yellow"/>
        </w:rPr>
        <w:lastRenderedPageBreak/>
        <w:t>This study therefore seeks to investigate the associations between sexual dimorphism, handedness, stature, and hypertension among patients attending Nnamdi Azikiwe University Teaching Hospital (NAUTH), Nnewi. By addressing these variables together, the study aims to deepen understanding of individualized hypertension risk and management approaches within this population.</w:t>
      </w:r>
    </w:p>
    <w:p w14:paraId="0BC38A70" w14:textId="07E1399D" w:rsidR="008D3FAB" w:rsidRPr="00E75137" w:rsidRDefault="008D3FAB" w:rsidP="00D44A96">
      <w:pPr>
        <w:pStyle w:val="NormalWeb"/>
        <w:spacing w:line="276" w:lineRule="auto"/>
        <w:jc w:val="both"/>
      </w:pPr>
      <w:r w:rsidRPr="0000404F">
        <w:rPr>
          <w:highlight w:val="yellow"/>
        </w:rPr>
        <w:t>Th</w:t>
      </w:r>
      <w:r w:rsidR="00FE31AA" w:rsidRPr="0000404F">
        <w:rPr>
          <w:highlight w:val="yellow"/>
        </w:rPr>
        <w:t>is study</w:t>
      </w:r>
      <w:r w:rsidRPr="0000404F">
        <w:rPr>
          <w:highlight w:val="yellow"/>
        </w:rPr>
        <w:t xml:space="preserve"> aim</w:t>
      </w:r>
      <w:r w:rsidR="00FE31AA" w:rsidRPr="0000404F">
        <w:rPr>
          <w:highlight w:val="yellow"/>
        </w:rPr>
        <w:t>s at</w:t>
      </w:r>
      <w:r w:rsidRPr="0000404F">
        <w:rPr>
          <w:highlight w:val="yellow"/>
        </w:rPr>
        <w:t xml:space="preserve"> examin</w:t>
      </w:r>
      <w:r w:rsidR="00FE31AA" w:rsidRPr="0000404F">
        <w:rPr>
          <w:highlight w:val="yellow"/>
        </w:rPr>
        <w:t>ing</w:t>
      </w:r>
      <w:r w:rsidRPr="0000404F">
        <w:rPr>
          <w:highlight w:val="yellow"/>
        </w:rPr>
        <w:t xml:space="preserve"> the relationship between sexual dimorphism, handedness, and stature among hypertensive patients at NAUTH, Nnewi</w:t>
      </w:r>
      <w:r w:rsidR="00FE31AA" w:rsidRPr="0000404F">
        <w:rPr>
          <w:highlight w:val="yellow"/>
        </w:rPr>
        <w:t xml:space="preserve">, </w:t>
      </w:r>
      <w:r w:rsidRPr="0000404F">
        <w:rPr>
          <w:highlight w:val="yellow"/>
        </w:rPr>
        <w:t>Determining the prevalence of hypertension among males and females.</w:t>
      </w:r>
      <w:r w:rsidR="00FE31AA" w:rsidRPr="0000404F">
        <w:rPr>
          <w:highlight w:val="yellow"/>
        </w:rPr>
        <w:t xml:space="preserve"> </w:t>
      </w:r>
      <w:r w:rsidRPr="0000404F">
        <w:rPr>
          <w:highlight w:val="yellow"/>
        </w:rPr>
        <w:t>Assessing the relationship between handedness and hypertension</w:t>
      </w:r>
      <w:r w:rsidR="00FE31AA" w:rsidRPr="0000404F">
        <w:rPr>
          <w:highlight w:val="yellow"/>
        </w:rPr>
        <w:t xml:space="preserve">, </w:t>
      </w:r>
      <w:r w:rsidR="00A4448A" w:rsidRPr="0000404F">
        <w:rPr>
          <w:highlight w:val="yellow"/>
        </w:rPr>
        <w:t>i</w:t>
      </w:r>
      <w:r w:rsidRPr="0000404F">
        <w:rPr>
          <w:highlight w:val="yellow"/>
        </w:rPr>
        <w:t>nvestigating associations between stature and blood pressure</w:t>
      </w:r>
      <w:r w:rsidR="00FE31AA" w:rsidRPr="0000404F">
        <w:rPr>
          <w:highlight w:val="yellow"/>
        </w:rPr>
        <w:t xml:space="preserve">, </w:t>
      </w:r>
      <w:r w:rsidRPr="0000404F">
        <w:rPr>
          <w:highlight w:val="yellow"/>
        </w:rPr>
        <w:t>Evaluating the combined impact of sexual dimorphism, handedness, and stature on hypertension severity</w:t>
      </w:r>
      <w:r w:rsidR="00FE31AA" w:rsidRPr="0000404F">
        <w:rPr>
          <w:highlight w:val="yellow"/>
        </w:rPr>
        <w:t xml:space="preserve">, </w:t>
      </w:r>
      <w:r w:rsidR="005B72B8" w:rsidRPr="0000404F">
        <w:rPr>
          <w:highlight w:val="yellow"/>
        </w:rPr>
        <w:t>c</w:t>
      </w:r>
      <w:r w:rsidRPr="0000404F">
        <w:rPr>
          <w:highlight w:val="yellow"/>
        </w:rPr>
        <w:t>omparing blood pressure readings based on gender, handedness, and stature</w:t>
      </w:r>
      <w:r w:rsidR="00FE31AA" w:rsidRPr="0000404F">
        <w:rPr>
          <w:highlight w:val="yellow"/>
        </w:rPr>
        <w:t xml:space="preserve">, </w:t>
      </w:r>
      <w:r w:rsidRPr="0000404F">
        <w:rPr>
          <w:highlight w:val="yellow"/>
        </w:rPr>
        <w:t>Exploring implications for personalized hypertension management</w:t>
      </w:r>
      <w:r w:rsidR="00FE31AA" w:rsidRPr="0000404F">
        <w:rPr>
          <w:highlight w:val="yellow"/>
        </w:rPr>
        <w:t xml:space="preserve">, </w:t>
      </w:r>
      <w:r w:rsidRPr="0000404F">
        <w:rPr>
          <w:highlight w:val="yellow"/>
        </w:rPr>
        <w:t>Contributing data relevant to sub-Saharan African populations.</w:t>
      </w:r>
    </w:p>
    <w:p w14:paraId="63BA4D04" w14:textId="136E817C" w:rsidR="008D3FAB" w:rsidRPr="00E75137" w:rsidRDefault="008D3FAB" w:rsidP="00D44A96">
      <w:pPr>
        <w:pStyle w:val="NormalWeb"/>
        <w:spacing w:line="276" w:lineRule="auto"/>
        <w:jc w:val="both"/>
      </w:pPr>
      <w:r w:rsidRPr="00E75137">
        <w:t xml:space="preserve">Handedness is linked to cerebral lateralization, a defining feature of human brain organization. About 97% of right-handers have speech dominance in the left hemisphere, whereas left-handers exhibit more bilateral or right-hemisphere processing. Left-handers often possess larger corpus </w:t>
      </w:r>
      <w:proofErr w:type="spellStart"/>
      <w:r w:rsidRPr="00E75137">
        <w:t>callosa</w:t>
      </w:r>
      <w:proofErr w:type="spellEnd"/>
      <w:r w:rsidRPr="00E75137">
        <w:t>, indicating increased interhemispheric connectivity, which may support enhanced cognitive abilities such as language fluency, creativity, and mathematical skill</w:t>
      </w:r>
      <w:r w:rsidR="003B674B">
        <w:t xml:space="preserve"> (Schaafsma et al., 2012)</w:t>
      </w:r>
      <w:r w:rsidRPr="00E75137">
        <w:t>.</w:t>
      </w:r>
    </w:p>
    <w:p w14:paraId="7D297A60" w14:textId="688B9EFF" w:rsidR="008D3FAB" w:rsidRPr="00E75137" w:rsidRDefault="008D3FAB" w:rsidP="00D44A96">
      <w:pPr>
        <w:pStyle w:val="NormalWeb"/>
        <w:spacing w:line="276" w:lineRule="auto"/>
        <w:jc w:val="both"/>
      </w:pPr>
      <w:r w:rsidRPr="00E75137">
        <w:t>Left-handed individuals are overrepresented among talented musicians and elite athletes, particularly in one-on-one sports, where their rarity provides a strategic advantage. However, left-handers may also experience disadvantages in a world designed for right-handers, such as increased accident risk and potentially reduced lifespan. This balance of advantages and disadvantages contributes to the evolutionary stability of handedness distribution, a phenomenon known as continuous polymorphism</w:t>
      </w:r>
      <w:r w:rsidR="00B761D3">
        <w:t xml:space="preserve"> (Coren and Halpern 1991)</w:t>
      </w:r>
      <w:r w:rsidRPr="00E75137">
        <w:t>.</w:t>
      </w:r>
    </w:p>
    <w:p w14:paraId="3B48B29B" w14:textId="0CFE3D46" w:rsidR="008D3FAB" w:rsidRPr="00E75137" w:rsidRDefault="008D3FAB" w:rsidP="00D44A96">
      <w:pPr>
        <w:pStyle w:val="NormalWeb"/>
        <w:spacing w:line="276" w:lineRule="auto"/>
        <w:jc w:val="both"/>
      </w:pPr>
      <w:r w:rsidRPr="00E75137">
        <w:t>Game theory suggests that left-handedness persists because rarity itself is advantageous in competitive interactions. Human brain lateralization was once considered unique, marking a cognitive boundary between humans and other species, reinforcing the evolutionary importance of handedness</w:t>
      </w:r>
      <w:r w:rsidR="00A4448A">
        <w:t xml:space="preserve"> (Carriere and Raymond, 2000)</w:t>
      </w:r>
      <w:r w:rsidRPr="00E75137">
        <w:t>.</w:t>
      </w:r>
    </w:p>
    <w:p w14:paraId="567896ED" w14:textId="77777777" w:rsidR="008D3FAB" w:rsidRPr="00E75137" w:rsidRDefault="008D3FAB" w:rsidP="00D44A96">
      <w:pPr>
        <w:pStyle w:val="NormalWeb"/>
        <w:spacing w:line="276" w:lineRule="auto"/>
        <w:jc w:val="both"/>
      </w:pPr>
      <w:r w:rsidRPr="00E75137">
        <w:t>Handedness emerges during prenatal development and is influenced by genetic, hormonal, and environmental factors. Intrauterine disturbances, such as hypoxia or infections, have been linked to deviations in handedness. Conditions like schizophrenia show increased prevalence of left-handedness, possibly due to altered brain development and disrupted corpus callosum differentiation.</w:t>
      </w:r>
    </w:p>
    <w:p w14:paraId="6B42E23A" w14:textId="77777777" w:rsidR="008D3FAB" w:rsidRPr="00E75137" w:rsidRDefault="008D3FAB" w:rsidP="00D44A96">
      <w:pPr>
        <w:pStyle w:val="NormalWeb"/>
        <w:spacing w:line="276" w:lineRule="auto"/>
        <w:jc w:val="both"/>
      </w:pPr>
      <w:r w:rsidRPr="00E75137">
        <w:t>The testosterone hypothesis suggests prenatal androgen exposure alters cerebral lateralization, but consensus remains unclear. The interaction between genetics and environment plays a crucial role, with cultural pressures often forcing left-handers to switch hand use, especially in writing.</w:t>
      </w:r>
    </w:p>
    <w:p w14:paraId="60DE2B46" w14:textId="049308B9" w:rsidR="008D3FAB" w:rsidRPr="00E75137" w:rsidRDefault="008D3FAB" w:rsidP="00D44A96">
      <w:pPr>
        <w:pStyle w:val="NormalWeb"/>
        <w:spacing w:line="276" w:lineRule="auto"/>
        <w:jc w:val="both"/>
      </w:pPr>
      <w:r w:rsidRPr="00E75137">
        <w:lastRenderedPageBreak/>
        <w:t>Right-handedness has predominated throughout human evolutionary history. However, the exact proportion of left-handers varies widely across populations. A large genome-wide association study (GWAS) found that approximately 11% of people are left-handed, with significant genetic variants linked to neurodevelopmental pathways. These genetic overlaps also relate to psychiatric disorders, further emphasizing that handedness is a complex neurobiological trait</w:t>
      </w:r>
      <w:r w:rsidR="00B115EA">
        <w:t xml:space="preserve"> (Deep-Soboslay et al., 2010)</w:t>
      </w:r>
      <w:r w:rsidRPr="00E75137">
        <w:t>.</w:t>
      </w:r>
    </w:p>
    <w:p w14:paraId="462F1823" w14:textId="77777777" w:rsidR="008D3FAB" w:rsidRPr="00E75137" w:rsidRDefault="008D3FAB" w:rsidP="00D44A96">
      <w:pPr>
        <w:pStyle w:val="NormalWeb"/>
        <w:spacing w:line="276" w:lineRule="auto"/>
        <w:jc w:val="both"/>
      </w:pPr>
      <w:r w:rsidRPr="00E75137">
        <w:t>Research consistently shows greater prevalence of non-right-handedness in psychiatric conditions such as schizophrenia, depression, bipolar disorder, autism, anxiety disorders, intellectual disability, and substance abuse. Understanding baseline handedness prevalence is therefore critical for both clinical and evolutionary research.</w:t>
      </w:r>
    </w:p>
    <w:p w14:paraId="60B6DE16" w14:textId="3FBA46A5" w:rsidR="008D3FAB" w:rsidRPr="00E75137" w:rsidRDefault="008D3FAB" w:rsidP="00D44A96">
      <w:pPr>
        <w:pStyle w:val="NormalWeb"/>
        <w:spacing w:line="276" w:lineRule="auto"/>
        <w:jc w:val="both"/>
      </w:pPr>
      <w:r w:rsidRPr="00E75137">
        <w:t>Handedness is influenced by multiple environmental factors including:</w:t>
      </w:r>
      <w:r w:rsidR="00C91D34" w:rsidRPr="00E75137">
        <w:t xml:space="preserve"> </w:t>
      </w:r>
      <w:r w:rsidRPr="00E75137">
        <w:t>Cultural enforcement: Certain societies discourage left-hand use</w:t>
      </w:r>
      <w:r w:rsidR="00C91D34" w:rsidRPr="00E75137">
        <w:t xml:space="preserve">; </w:t>
      </w:r>
      <w:r w:rsidRPr="00E75137">
        <w:t>Nutrition: Breastfeeding is associated with reduced non-right-handedness</w:t>
      </w:r>
      <w:r w:rsidR="00C91D34" w:rsidRPr="00E75137">
        <w:t xml:space="preserve">; </w:t>
      </w:r>
      <w:r w:rsidRPr="00E75137">
        <w:t>Season of birth: Higher rates of left-handedness occur in spring-born individuals</w:t>
      </w:r>
      <w:r w:rsidR="00C91D34" w:rsidRPr="00E75137">
        <w:t xml:space="preserve">; </w:t>
      </w:r>
      <w:r w:rsidRPr="00E75137">
        <w:t>Ancestry: Lower prevalence of left-handedness is found in Asian and highly conformist populations</w:t>
      </w:r>
      <w:r w:rsidR="00C91D34" w:rsidRPr="00E75137">
        <w:t xml:space="preserve">, </w:t>
      </w:r>
      <w:r w:rsidRPr="00E75137">
        <w:t>Age: Left-handedness appears to decline with advancing age, possibly due to survival bias or adaptation</w:t>
      </w:r>
      <w:r w:rsidR="00F21371">
        <w:t xml:space="preserve"> (Eze et al., 2009)</w:t>
      </w:r>
      <w:r w:rsidRPr="00E75137">
        <w:t>.</w:t>
      </w:r>
      <w:r w:rsidR="00C91D34" w:rsidRPr="00E75137">
        <w:t xml:space="preserve"> </w:t>
      </w:r>
      <w:r w:rsidRPr="00E75137">
        <w:t>Studies from Asia and Africa report notably lower left-handed prevalence, likely due to cultural pressures and social conformity rather than purely genetic differences.</w:t>
      </w:r>
      <w:r w:rsidR="00C91D34" w:rsidRPr="00E75137">
        <w:t xml:space="preserve"> </w:t>
      </w:r>
      <w:r w:rsidRPr="00E75137">
        <w:t>Understanding the biological and environmental foundations of handedness is essential for interpreting its relationship with hypertension. Given that handedness is associated with brain asymmetry, endocrine function, and developmental factors, it may influence cardiovascular regulation. The study at NAUTH, Nnewi seeks to integrate these insights to explore whether handedness and sexual dimorphism can contribute to more tailored and effective hypertension prevention and treatment strategies.</w:t>
      </w:r>
      <w:r w:rsidR="00C91D34" w:rsidRPr="00E75137">
        <w:t xml:space="preserve"> </w:t>
      </w:r>
      <w:r w:rsidRPr="00E75137">
        <w:t>By examining these variables in a Nigerian healthcare context, the research contributes to filling a major knowledge gap in sub-Saharan Africa, where genetic diversity, environmental exposure, and healthcare outcomes differ significantly from Western populations typically studied</w:t>
      </w:r>
      <w:r w:rsidR="00853AB1">
        <w:t xml:space="preserve"> (Carey et al., 2022)</w:t>
      </w:r>
      <w:r w:rsidRPr="00E75137">
        <w:t>.</w:t>
      </w:r>
    </w:p>
    <w:p w14:paraId="54112842" w14:textId="550CC887" w:rsidR="008D3FAB" w:rsidRPr="00E75137" w:rsidRDefault="008D3FAB" w:rsidP="00D44A96">
      <w:pPr>
        <w:pStyle w:val="NormalWeb"/>
        <w:spacing w:line="276" w:lineRule="auto"/>
        <w:jc w:val="both"/>
        <w:rPr>
          <w:lang w:val="en-ZA"/>
        </w:rPr>
      </w:pPr>
      <w:r w:rsidRPr="00E75137">
        <w:t>Hypertension (HTN) is a chronic medical condition marked by persistently elevated blood pressure in the arteries, forcing the heart to work harder to maintain blood circulation. It is a major global public health issue and a significant contributor to cardiovascular diseases (CVDs). The World Health Organization (WHO) estimates that high blood pressure accounts for approximately 62% of cardiovascular diseases and nearly half of ischemic heart diseases worldwide. In 2000, over 25% of the world’s population suffered from hypertension, and this figure is projected to rise to 1.56 billion by 2025, indicating a growing global burden.</w:t>
      </w:r>
      <w:r w:rsidR="00C91D34" w:rsidRPr="00E75137">
        <w:rPr>
          <w:lang w:val="en-ZA"/>
        </w:rPr>
        <w:t xml:space="preserve"> </w:t>
      </w:r>
      <w:r w:rsidRPr="00E75137">
        <w:t>Hypertension is associated with high mortality rates, both directly and through its complications</w:t>
      </w:r>
      <w:r w:rsidR="00853AB1">
        <w:t xml:space="preserve"> (Gabb, 2020)</w:t>
      </w:r>
      <w:r w:rsidRPr="00E75137">
        <w:t xml:space="preserve">. Cardiovascular diseases account for 48% of deaths from non-communicable diseases globally, with raised blood pressure responsible for about 13% of all deaths. Complications arising from hypertension contribute significantly to mortality, accounting for 9.4 million deaths annually out of the 17 million global CVD deaths. Specifically, hypertension is implicated in 45% of deaths from heart disease and 51% </w:t>
      </w:r>
      <w:r w:rsidRPr="00E75137">
        <w:lastRenderedPageBreak/>
        <w:t>of deaths due to stroke, underscoring its role as a critical health risk factor.</w:t>
      </w:r>
      <w:r w:rsidR="00C91D34" w:rsidRPr="00E75137">
        <w:t xml:space="preserve"> </w:t>
      </w:r>
      <w:r w:rsidRPr="00E75137">
        <w:t>In Ethiopia, the prevalence of hypertension has been increasing, with an estimated rate of 19.6%. This rise has been linked to lifestyle changes driven by urbanization and demographic transitions, which include reduced physical activity, unhealthy diets, and increased stress levels. These changes suggest that the national burden of hypertension is likely to continue increasing</w:t>
      </w:r>
      <w:r w:rsidR="00FE5615">
        <w:t xml:space="preserve"> (</w:t>
      </w:r>
      <w:proofErr w:type="spellStart"/>
      <w:r w:rsidR="00FE5615">
        <w:t>Greschwind</w:t>
      </w:r>
      <w:proofErr w:type="spellEnd"/>
      <w:r w:rsidR="00FE5615">
        <w:t xml:space="preserve"> and </w:t>
      </w:r>
      <w:proofErr w:type="spellStart"/>
      <w:r w:rsidR="00FE5615">
        <w:t>Galaburda</w:t>
      </w:r>
      <w:proofErr w:type="spellEnd"/>
      <w:r w:rsidR="00FE5615">
        <w:t>, 1985; Hall et al., 2015)</w:t>
      </w:r>
      <w:r w:rsidRPr="00E75137">
        <w:t>.</w:t>
      </w:r>
    </w:p>
    <w:p w14:paraId="559CFEAF" w14:textId="05469FA2" w:rsidR="008D3FAB" w:rsidRPr="00E75137" w:rsidRDefault="008D3FAB" w:rsidP="00D44A96">
      <w:pPr>
        <w:pStyle w:val="NormalWeb"/>
        <w:spacing w:line="276" w:lineRule="auto"/>
        <w:jc w:val="both"/>
      </w:pPr>
      <w:r w:rsidRPr="00E75137">
        <w:t>Hypertension is clinically defined as a sustained systolic blood pressure above 130 mmHg or diastolic blood pressure above 80 mmHg. Blood pressure reflects the force exerted by blood against vessel walls and is influenced by cardiac output and systemic vascular resistance. Persistent elevation places excessive strain on the cardiovascular system, increasing the risk of conditions such as stroke, myocardial infarction, and kidney disease</w:t>
      </w:r>
      <w:r w:rsidR="007C41D5">
        <w:t xml:space="preserve"> (</w:t>
      </w:r>
      <w:proofErr w:type="spellStart"/>
      <w:r w:rsidR="007C41D5">
        <w:t>Legese</w:t>
      </w:r>
      <w:proofErr w:type="spellEnd"/>
      <w:r w:rsidR="007C41D5">
        <w:t xml:space="preserve"> and </w:t>
      </w:r>
      <w:proofErr w:type="spellStart"/>
      <w:r w:rsidR="007C41D5">
        <w:t>Tadiwos</w:t>
      </w:r>
      <w:proofErr w:type="spellEnd"/>
      <w:r w:rsidR="007C41D5">
        <w:t>, 2020)</w:t>
      </w:r>
      <w:r w:rsidRPr="00E75137">
        <w:t>.</w:t>
      </w:r>
      <w:r w:rsidR="00C91D34" w:rsidRPr="00E75137">
        <w:t xml:space="preserve"> </w:t>
      </w:r>
      <w:r w:rsidRPr="00E75137">
        <w:t>Hypertension is a multifactorial condition influenced by genetic, environmental, and lifestyle factors including age, gender, diet, physical activity, and heredity. In recent years, research has expanded to examine its association with physical stature, particularly height. While traditional studies focus on behavioral and biological determinants, emerging evidence suggests that stature may also play a role in blood pressure regulation. This relationship is believed to involve physiological and structural factors, such as vascular resistance and arterial length, although the exact mechanisms remain under investigation</w:t>
      </w:r>
      <w:r w:rsidR="00FE5615">
        <w:t xml:space="preserve"> (Ibrahim and </w:t>
      </w:r>
      <w:proofErr w:type="spellStart"/>
      <w:r w:rsidR="00FE5615">
        <w:t>damasceno</w:t>
      </w:r>
      <w:proofErr w:type="spellEnd"/>
      <w:r w:rsidR="00FE5615">
        <w:t>, 2021; Ji et al., 2021)</w:t>
      </w:r>
      <w:r w:rsidRPr="00E75137">
        <w:t>.</w:t>
      </w:r>
    </w:p>
    <w:p w14:paraId="02E36781" w14:textId="0BE4292A" w:rsidR="008D3FAB" w:rsidRPr="00E75137" w:rsidRDefault="008D3FAB" w:rsidP="00D44A96">
      <w:pPr>
        <w:pStyle w:val="NormalWeb"/>
        <w:spacing w:line="276" w:lineRule="auto"/>
        <w:jc w:val="both"/>
      </w:pPr>
      <w:r w:rsidRPr="00E75137">
        <w:t>Overall, hypertension represents a growing global and regional health challenge, with significant implications for morbidity and mortality. Understanding its relationship with both conventional risk factors and emerging variables like stature is crucial for developing more effective prevention and management strategies</w:t>
      </w:r>
      <w:r w:rsidR="007C6E23">
        <w:t xml:space="preserve"> (Adebiyi et al., 2019)</w:t>
      </w:r>
      <w:r w:rsidRPr="00E75137">
        <w:t>.</w:t>
      </w:r>
    </w:p>
    <w:p w14:paraId="72CD47FF" w14:textId="77777777" w:rsidR="00B17A5F" w:rsidRPr="00E75137" w:rsidRDefault="00B17A5F" w:rsidP="00D44A96">
      <w:pPr>
        <w:spacing w:before="100" w:beforeAutospacing="1" w:after="100" w:afterAutospacing="1" w:line="276" w:lineRule="auto"/>
        <w:jc w:val="both"/>
        <w:rPr>
          <w:rFonts w:ascii="Times New Roman" w:eastAsia="Times New Roman" w:hAnsi="Times New Roman" w:cs="Times New Roman"/>
          <w:b/>
          <w:bCs/>
          <w:sz w:val="24"/>
          <w:szCs w:val="24"/>
        </w:rPr>
      </w:pPr>
    </w:p>
    <w:p w14:paraId="739E6A79" w14:textId="64DC6E44"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00AD71A9" w:rsidRPr="00E75137">
        <w:rPr>
          <w:rFonts w:ascii="Times New Roman" w:eastAsia="Times New Roman" w:hAnsi="Times New Roman" w:cs="Times New Roman"/>
          <w:b/>
          <w:bCs/>
          <w:sz w:val="24"/>
          <w:szCs w:val="24"/>
        </w:rPr>
        <w:t>MATERIALS AND METHODS</w:t>
      </w:r>
    </w:p>
    <w:p w14:paraId="1F67878A" w14:textId="4BD2CED2"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E75137">
        <w:rPr>
          <w:rFonts w:ascii="Times New Roman" w:eastAsia="Times New Roman" w:hAnsi="Times New Roman" w:cs="Times New Roman"/>
          <w:sz w:val="24"/>
          <w:szCs w:val="24"/>
        </w:rPr>
        <w:t>This study include</w:t>
      </w:r>
      <w:r w:rsidR="00B75409" w:rsidRPr="00E75137">
        <w:rPr>
          <w:rFonts w:ascii="Times New Roman" w:eastAsia="Times New Roman" w:hAnsi="Times New Roman" w:cs="Times New Roman"/>
          <w:sz w:val="24"/>
          <w:szCs w:val="24"/>
        </w:rPr>
        <w:t>d</w:t>
      </w:r>
      <w:r w:rsidRPr="00E75137">
        <w:rPr>
          <w:rFonts w:ascii="Times New Roman" w:eastAsia="Times New Roman" w:hAnsi="Times New Roman" w:cs="Times New Roman"/>
          <w:sz w:val="24"/>
          <w:szCs w:val="24"/>
        </w:rPr>
        <w:t xml:space="preserve"> 100 patients aged 30-60 years who visit Nnamdi Azikiwe University Teaching Hospital (NAUTH) out-patient station. Participants will be recruited from patients who visit Nnamdi Azikiwe University Teaching Hospital Outpatient clinic and ward. </w:t>
      </w:r>
    </w:p>
    <w:p w14:paraId="3CEE93B4" w14:textId="5BC0CD35"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AD71A9" w:rsidRPr="00E75137">
        <w:rPr>
          <w:rFonts w:ascii="Times New Roman" w:eastAsia="Times New Roman" w:hAnsi="Times New Roman" w:cs="Times New Roman"/>
          <w:b/>
          <w:bCs/>
          <w:sz w:val="24"/>
          <w:szCs w:val="24"/>
        </w:rPr>
        <w:t>ETHICAL CLEARANCE</w:t>
      </w:r>
    </w:p>
    <w:p w14:paraId="27A534D6" w14:textId="77777777"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bCs/>
          <w:sz w:val="24"/>
          <w:szCs w:val="24"/>
        </w:rPr>
      </w:pPr>
      <w:r w:rsidRPr="00E75137">
        <w:rPr>
          <w:rFonts w:ascii="Times New Roman" w:eastAsia="Times New Roman" w:hAnsi="Times New Roman" w:cs="Times New Roman"/>
          <w:bCs/>
          <w:sz w:val="24"/>
          <w:szCs w:val="24"/>
        </w:rPr>
        <w:t xml:space="preserve">Ethical approval for this research was sought and obtained from Nnamdi Azikiwe University Teaching Hospital Research Ethics committee with the number </w:t>
      </w:r>
      <w:r w:rsidRPr="00E75137">
        <w:rPr>
          <w:rFonts w:ascii="Times New Roman" w:eastAsia="Times New Roman" w:hAnsi="Times New Roman" w:cs="Times New Roman"/>
          <w:b/>
          <w:sz w:val="24"/>
          <w:szCs w:val="24"/>
        </w:rPr>
        <w:t>NAUTH/CS/668/VOL 3/76</w:t>
      </w:r>
      <w:r w:rsidRPr="00E75137">
        <w:rPr>
          <w:rFonts w:ascii="Times New Roman" w:eastAsia="Times New Roman" w:hAnsi="Times New Roman" w:cs="Times New Roman"/>
          <w:bCs/>
          <w:sz w:val="24"/>
          <w:szCs w:val="24"/>
        </w:rPr>
        <w:t xml:space="preserve"> and from NAUTH Health Research Ethics Committee (NAUTHHREC) with the number </w:t>
      </w:r>
      <w:r w:rsidRPr="00E75137">
        <w:rPr>
          <w:rFonts w:ascii="Times New Roman" w:eastAsia="Times New Roman" w:hAnsi="Times New Roman" w:cs="Times New Roman"/>
          <w:b/>
          <w:sz w:val="24"/>
          <w:szCs w:val="24"/>
        </w:rPr>
        <w:t>NAUTH/CS/66/VOL.18/VER.3/098/2025/49</w:t>
      </w:r>
      <w:r w:rsidRPr="00E75137">
        <w:rPr>
          <w:rFonts w:ascii="Times New Roman" w:eastAsia="Times New Roman" w:hAnsi="Times New Roman" w:cs="Times New Roman"/>
          <w:bCs/>
          <w:sz w:val="24"/>
          <w:szCs w:val="24"/>
        </w:rPr>
        <w:t xml:space="preserve">. Informed consent was obtained from the participants. </w:t>
      </w:r>
    </w:p>
    <w:p w14:paraId="07C40C13" w14:textId="327A5EB5"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w:t>
      </w:r>
      <w:r w:rsidR="00AD71A9" w:rsidRPr="00E75137">
        <w:rPr>
          <w:rFonts w:ascii="Times New Roman" w:eastAsia="Times New Roman" w:hAnsi="Times New Roman" w:cs="Times New Roman"/>
          <w:b/>
          <w:sz w:val="24"/>
          <w:szCs w:val="24"/>
        </w:rPr>
        <w:t>STUDY LOCATION</w:t>
      </w:r>
    </w:p>
    <w:p w14:paraId="070FE828" w14:textId="77777777" w:rsidR="00AD71A9" w:rsidRPr="00E75137" w:rsidRDefault="00AD71A9" w:rsidP="00D44A96">
      <w:pPr>
        <w:spacing w:line="276" w:lineRule="auto"/>
        <w:jc w:val="both"/>
        <w:rPr>
          <w:rFonts w:ascii="Times New Roman" w:eastAsia="Times New Roman" w:hAnsi="Times New Roman" w:cs="Times New Roman"/>
          <w:sz w:val="24"/>
          <w:szCs w:val="24"/>
        </w:rPr>
      </w:pPr>
      <w:r w:rsidRPr="000A25FE">
        <w:rPr>
          <w:rFonts w:ascii="Times New Roman" w:hAnsi="Times New Roman" w:cs="Times New Roman"/>
          <w:sz w:val="24"/>
          <w:szCs w:val="24"/>
          <w:highlight w:val="yellow"/>
        </w:rPr>
        <w:t>This quantitative survey was carried out at Nnamdi Azikiwe University Teaching Hospital Nnewi (</w:t>
      </w:r>
      <w:r w:rsidRPr="000A25FE">
        <w:rPr>
          <w:rFonts w:ascii="Times New Roman" w:eastAsia="Times New Roman" w:hAnsi="Times New Roman" w:cs="Times New Roman"/>
          <w:sz w:val="24"/>
          <w:szCs w:val="24"/>
          <w:highlight w:val="yellow"/>
        </w:rPr>
        <w:t>(NAUTH)</w:t>
      </w:r>
      <w:r w:rsidRPr="000A25FE">
        <w:rPr>
          <w:rFonts w:ascii="Times New Roman" w:hAnsi="Times New Roman" w:cs="Times New Roman"/>
          <w:sz w:val="24"/>
          <w:szCs w:val="24"/>
          <w:highlight w:val="yellow"/>
        </w:rPr>
        <w:t xml:space="preserve">, Anambra State. </w:t>
      </w:r>
      <w:r w:rsidRPr="000A25FE">
        <w:rPr>
          <w:rFonts w:ascii="Times New Roman" w:eastAsia="Times New Roman" w:hAnsi="Times New Roman" w:cs="Times New Roman"/>
          <w:sz w:val="24"/>
          <w:szCs w:val="24"/>
          <w:highlight w:val="yellow"/>
        </w:rPr>
        <w:t>NAUTH is a prominent medical institution located in Nnewi, Anambra State, Nigeria. It is named after Dr. Nnamdi Azikiwe, the first President of Nigeria, honoring his significant contributions to the country. The hospital plays a crucial role in the education and training of medical students and other healthcare professionals. The hospital integrates clinical practice with academic learning, providing students with hands-on experience in a real-world healthcare setting.</w:t>
      </w:r>
      <w:r w:rsidRPr="000A25FE">
        <w:rPr>
          <w:rFonts w:ascii="Times New Roman" w:hAnsi="Times New Roman" w:cs="Times New Roman"/>
          <w:b/>
          <w:sz w:val="24"/>
          <w:szCs w:val="24"/>
          <w:highlight w:val="yellow"/>
        </w:rPr>
        <w:t xml:space="preserve"> </w:t>
      </w:r>
      <w:r w:rsidRPr="000A25FE">
        <w:rPr>
          <w:rFonts w:ascii="Times New Roman" w:eastAsia="Times New Roman" w:hAnsi="Times New Roman" w:cs="Times New Roman"/>
          <w:sz w:val="24"/>
          <w:szCs w:val="24"/>
          <w:highlight w:val="yellow"/>
        </w:rPr>
        <w:t>Overall, Nnamdi Azikiwe University Teaching Hospital is a vital institution in Nigeria’s healthcare system, bridging the gap between academic knowledge and practical medical care, and making significant contributions to both education and community health</w:t>
      </w:r>
    </w:p>
    <w:p w14:paraId="3A3070FC" w14:textId="77777777" w:rsidR="003C5124" w:rsidRDefault="003C5124" w:rsidP="00D44A96">
      <w:pPr>
        <w:spacing w:line="276" w:lineRule="auto"/>
        <w:jc w:val="both"/>
        <w:rPr>
          <w:rFonts w:ascii="Times New Roman" w:hAnsi="Times New Roman" w:cs="Times New Roman"/>
          <w:b/>
          <w:sz w:val="24"/>
          <w:szCs w:val="24"/>
        </w:rPr>
      </w:pPr>
    </w:p>
    <w:p w14:paraId="1A6D605D" w14:textId="3E255B68" w:rsidR="00AD71A9" w:rsidRPr="00E75137" w:rsidRDefault="003C5124" w:rsidP="00D44A9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D71A9" w:rsidRPr="00E75137">
        <w:rPr>
          <w:rFonts w:ascii="Times New Roman" w:hAnsi="Times New Roman" w:cs="Times New Roman"/>
          <w:b/>
          <w:sz w:val="24"/>
          <w:szCs w:val="24"/>
        </w:rPr>
        <w:t>STUDY POPULATION</w:t>
      </w:r>
    </w:p>
    <w:p w14:paraId="71169CE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One hundred Patients (male and female) who visit the hospital within the 3-month period of the study were included in the study. </w:t>
      </w:r>
    </w:p>
    <w:p w14:paraId="69DFCDD0" w14:textId="77777777" w:rsidR="00B17A5F" w:rsidRPr="00E75137" w:rsidRDefault="00B17A5F" w:rsidP="00D44A96">
      <w:pPr>
        <w:spacing w:line="276" w:lineRule="auto"/>
        <w:jc w:val="both"/>
        <w:rPr>
          <w:rFonts w:ascii="Times New Roman" w:eastAsia="Times New Roman" w:hAnsi="Times New Roman" w:cs="Times New Roman"/>
          <w:b/>
          <w:sz w:val="24"/>
          <w:szCs w:val="24"/>
        </w:rPr>
      </w:pPr>
    </w:p>
    <w:p w14:paraId="4F788A16" w14:textId="79E76A38" w:rsidR="00AD71A9" w:rsidRPr="000A25FE" w:rsidRDefault="003C5124" w:rsidP="00D44A96">
      <w:pPr>
        <w:spacing w:line="276" w:lineRule="auto"/>
        <w:jc w:val="both"/>
        <w:rPr>
          <w:rFonts w:ascii="Times New Roman" w:eastAsia="Times New Roman" w:hAnsi="Times New Roman" w:cs="Times New Roman"/>
          <w:sz w:val="24"/>
          <w:szCs w:val="24"/>
        </w:rPr>
      </w:pPr>
      <w:r w:rsidRPr="000A25FE">
        <w:rPr>
          <w:rFonts w:ascii="Times New Roman" w:eastAsia="Times New Roman" w:hAnsi="Times New Roman" w:cs="Times New Roman"/>
          <w:b/>
          <w:sz w:val="24"/>
          <w:szCs w:val="24"/>
        </w:rPr>
        <w:t xml:space="preserve">2.4 </w:t>
      </w:r>
      <w:r w:rsidR="00AD71A9" w:rsidRPr="000A25FE">
        <w:rPr>
          <w:rFonts w:ascii="Times New Roman" w:eastAsia="Times New Roman" w:hAnsi="Times New Roman" w:cs="Times New Roman"/>
          <w:b/>
          <w:sz w:val="24"/>
          <w:szCs w:val="24"/>
        </w:rPr>
        <w:t>INCLUSION AND EXCLUSION CRITERIA</w:t>
      </w:r>
    </w:p>
    <w:p w14:paraId="5E564941" w14:textId="77777777" w:rsidR="00AD71A9" w:rsidRPr="000A25FE"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0A25FE">
        <w:rPr>
          <w:rFonts w:ascii="Times New Roman" w:eastAsia="Times New Roman" w:hAnsi="Times New Roman" w:cs="Times New Roman"/>
          <w:sz w:val="24"/>
          <w:szCs w:val="24"/>
        </w:rPr>
        <w:t xml:space="preserve">Inclusion criteria included a diagnosis of hypertension, falling within 30-60 years age bracket and willingness to participate in the study. </w:t>
      </w:r>
    </w:p>
    <w:p w14:paraId="2F452598" w14:textId="35CA63C2" w:rsidR="00AD71A9" w:rsidRPr="000A25FE"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0A25FE">
        <w:rPr>
          <w:rFonts w:ascii="Times New Roman" w:eastAsia="Times New Roman" w:hAnsi="Times New Roman" w:cs="Times New Roman"/>
          <w:sz w:val="24"/>
          <w:szCs w:val="24"/>
        </w:rPr>
        <w:t xml:space="preserve">Exclusion criteria included presence of other chronic illnesses or disabilities affecting blood pressure and handedness. </w:t>
      </w:r>
      <w:r w:rsidR="000A25FE">
        <w:rPr>
          <w:rFonts w:ascii="Times New Roman" w:eastAsia="Times New Roman" w:hAnsi="Times New Roman" w:cs="Times New Roman"/>
          <w:sz w:val="24"/>
          <w:szCs w:val="24"/>
        </w:rPr>
        <w:t xml:space="preserve"> </w:t>
      </w:r>
      <w:r w:rsidR="000A25FE" w:rsidRPr="000A25FE">
        <w:rPr>
          <w:rFonts w:ascii="Times New Roman" w:eastAsia="Times New Roman" w:hAnsi="Times New Roman" w:cs="Times New Roman"/>
          <w:color w:val="EE0000"/>
          <w:sz w:val="24"/>
          <w:szCs w:val="24"/>
        </w:rPr>
        <w:t xml:space="preserve">Mention these criteria </w:t>
      </w:r>
    </w:p>
    <w:p w14:paraId="0533FE9E" w14:textId="00594E01" w:rsidR="00AD71A9" w:rsidRPr="000A25FE" w:rsidRDefault="00A51D61" w:rsidP="00D44A96">
      <w:pPr>
        <w:spacing w:line="276" w:lineRule="auto"/>
        <w:jc w:val="both"/>
        <w:rPr>
          <w:rFonts w:ascii="Times New Roman" w:hAnsi="Times New Roman" w:cs="Times New Roman"/>
          <w:b/>
          <w:sz w:val="24"/>
          <w:szCs w:val="24"/>
          <w:highlight w:val="yellow"/>
        </w:rPr>
      </w:pPr>
      <w:r w:rsidRPr="000A25FE">
        <w:rPr>
          <w:rFonts w:ascii="Times New Roman" w:hAnsi="Times New Roman" w:cs="Times New Roman"/>
          <w:b/>
          <w:sz w:val="24"/>
          <w:szCs w:val="24"/>
          <w:highlight w:val="yellow"/>
        </w:rPr>
        <w:t xml:space="preserve">2.5 </w:t>
      </w:r>
      <w:r w:rsidR="00AD71A9" w:rsidRPr="000A25FE">
        <w:rPr>
          <w:rFonts w:ascii="Times New Roman" w:hAnsi="Times New Roman" w:cs="Times New Roman"/>
          <w:b/>
          <w:sz w:val="24"/>
          <w:szCs w:val="24"/>
          <w:highlight w:val="yellow"/>
        </w:rPr>
        <w:t>SAMPLING</w:t>
      </w:r>
    </w:p>
    <w:p w14:paraId="36BBA29B" w14:textId="77777777" w:rsidR="00AD71A9" w:rsidRPr="000A25FE" w:rsidRDefault="00AD71A9" w:rsidP="00D44A96">
      <w:pPr>
        <w:pStyle w:val="NormalWeb"/>
        <w:spacing w:line="276" w:lineRule="auto"/>
        <w:jc w:val="both"/>
        <w:rPr>
          <w:highlight w:val="yellow"/>
        </w:rPr>
      </w:pPr>
      <w:r w:rsidRPr="000A25FE">
        <w:rPr>
          <w:rStyle w:val="Strong"/>
          <w:rFonts w:eastAsiaTheme="majorEastAsia"/>
          <w:highlight w:val="yellow"/>
        </w:rPr>
        <w:t>Systematic random sampling</w:t>
      </w:r>
      <w:r w:rsidRPr="000A25FE">
        <w:rPr>
          <w:highlight w:val="yellow"/>
        </w:rPr>
        <w:t xml:space="preserve"> of eligible patients at clinic attendance. Estimate average hypertensive attendees per clinic day (</w:t>
      </w:r>
      <w:r w:rsidRPr="000A25FE">
        <w:rPr>
          <w:rStyle w:val="Strong"/>
          <w:rFonts w:eastAsiaTheme="majorEastAsia"/>
          <w:highlight w:val="yellow"/>
        </w:rPr>
        <w:t>N/day</w:t>
      </w:r>
      <w:r w:rsidRPr="000A25FE">
        <w:rPr>
          <w:highlight w:val="yellow"/>
        </w:rPr>
        <w:t>).</w:t>
      </w:r>
    </w:p>
    <w:p w14:paraId="5759D86B" w14:textId="77777777" w:rsidR="00AD71A9" w:rsidRPr="000A25FE" w:rsidRDefault="00AD71A9" w:rsidP="005B2663">
      <w:pPr>
        <w:pStyle w:val="NormalWeb"/>
        <w:numPr>
          <w:ilvl w:val="0"/>
          <w:numId w:val="2"/>
        </w:numPr>
        <w:spacing w:line="276" w:lineRule="auto"/>
        <w:jc w:val="both"/>
        <w:rPr>
          <w:highlight w:val="yellow"/>
        </w:rPr>
      </w:pPr>
      <w:r w:rsidRPr="000A25FE">
        <w:rPr>
          <w:highlight w:val="yellow"/>
        </w:rPr>
        <w:t>Sampling interval K</w:t>
      </w:r>
      <w:r w:rsidRPr="000A25FE">
        <w:rPr>
          <w:rStyle w:val="katex-mathml"/>
          <w:highlight w:val="yellow"/>
        </w:rPr>
        <w:t xml:space="preserve"> = N/day ÷ daily recruitment target </w:t>
      </w:r>
    </w:p>
    <w:p w14:paraId="2CD05EFC" w14:textId="77777777" w:rsidR="00AD71A9" w:rsidRPr="000A25FE" w:rsidRDefault="00AD71A9" w:rsidP="00D44A96">
      <w:pPr>
        <w:pStyle w:val="Heading2"/>
        <w:spacing w:line="276" w:lineRule="auto"/>
        <w:jc w:val="both"/>
        <w:rPr>
          <w:rFonts w:ascii="Times New Roman" w:hAnsi="Times New Roman" w:cs="Times New Roman"/>
          <w:color w:val="000000" w:themeColor="text1"/>
          <w:sz w:val="24"/>
          <w:szCs w:val="24"/>
          <w:highlight w:val="yellow"/>
        </w:rPr>
      </w:pPr>
      <w:r w:rsidRPr="000A25FE">
        <w:rPr>
          <w:rFonts w:ascii="Times New Roman" w:hAnsi="Times New Roman" w:cs="Times New Roman"/>
          <w:color w:val="000000" w:themeColor="text1"/>
          <w:sz w:val="24"/>
          <w:szCs w:val="24"/>
          <w:highlight w:val="yellow"/>
        </w:rPr>
        <w:t>Sample size determination (n = 100)</w:t>
      </w:r>
    </w:p>
    <w:p w14:paraId="50D8A26B" w14:textId="77777777" w:rsidR="00AD71A9" w:rsidRPr="000A25FE" w:rsidRDefault="00AD71A9" w:rsidP="00D44A96">
      <w:pPr>
        <w:pStyle w:val="NormalWeb"/>
        <w:spacing w:line="276" w:lineRule="auto"/>
        <w:jc w:val="both"/>
        <w:rPr>
          <w:highlight w:val="yellow"/>
        </w:rPr>
      </w:pPr>
      <w:r w:rsidRPr="000A25FE">
        <w:rPr>
          <w:highlight w:val="yellow"/>
        </w:rPr>
        <w:t>Cochran formula (Single-population proportion) is appropriate for a cross-sectional estimate when population size is unknown. This sample size is determined with the formular;</w:t>
      </w:r>
    </w:p>
    <w:p w14:paraId="21DBB78B" w14:textId="77777777" w:rsidR="00AD71A9" w:rsidRPr="000A25FE" w:rsidRDefault="00AD71A9" w:rsidP="00D44A96">
      <w:pPr>
        <w:pStyle w:val="NormalWeb"/>
        <w:spacing w:before="0" w:beforeAutospacing="0" w:after="0" w:afterAutospacing="0" w:line="276" w:lineRule="auto"/>
        <w:jc w:val="both"/>
        <w:rPr>
          <w:highlight w:val="yellow"/>
          <w:vertAlign w:val="superscript"/>
        </w:rPr>
      </w:pPr>
      <w:r w:rsidRPr="000A25FE">
        <w:rPr>
          <w:highlight w:val="yellow"/>
        </w:rPr>
        <w:t xml:space="preserve">n = </w:t>
      </w:r>
      <w:r w:rsidRPr="000A25FE">
        <w:rPr>
          <w:highlight w:val="yellow"/>
          <w:u w:val="single"/>
        </w:rPr>
        <w:t>Z</w:t>
      </w:r>
      <w:r w:rsidRPr="000A25FE">
        <w:rPr>
          <w:highlight w:val="yellow"/>
          <w:u w:val="single"/>
          <w:vertAlign w:val="superscript"/>
        </w:rPr>
        <w:t xml:space="preserve">2 </w:t>
      </w:r>
      <w:r w:rsidRPr="000A25FE">
        <w:rPr>
          <w:highlight w:val="yellow"/>
          <w:u w:val="single"/>
        </w:rPr>
        <w:t>α/2 P (1-P)</w:t>
      </w:r>
    </w:p>
    <w:p w14:paraId="051D0CB7" w14:textId="77777777" w:rsidR="00AD71A9" w:rsidRPr="000A25FE" w:rsidRDefault="00AD71A9" w:rsidP="00D44A96">
      <w:pPr>
        <w:pStyle w:val="NormalWeb"/>
        <w:spacing w:before="0" w:beforeAutospacing="0" w:after="0" w:afterAutospacing="0" w:line="276" w:lineRule="auto"/>
        <w:jc w:val="both"/>
        <w:rPr>
          <w:highlight w:val="yellow"/>
          <w:vertAlign w:val="superscript"/>
        </w:rPr>
      </w:pPr>
      <w:r w:rsidRPr="000A25FE">
        <w:rPr>
          <w:highlight w:val="yellow"/>
        </w:rPr>
        <w:t>d</w:t>
      </w:r>
      <w:r w:rsidRPr="000A25FE">
        <w:rPr>
          <w:highlight w:val="yellow"/>
          <w:vertAlign w:val="superscript"/>
        </w:rPr>
        <w:t>2</w:t>
      </w:r>
    </w:p>
    <w:p w14:paraId="467D8B51" w14:textId="77777777" w:rsidR="00AD71A9" w:rsidRPr="000A25FE" w:rsidRDefault="00AD71A9" w:rsidP="005B2663">
      <w:pPr>
        <w:pStyle w:val="NormalWeb"/>
        <w:numPr>
          <w:ilvl w:val="0"/>
          <w:numId w:val="1"/>
        </w:numPr>
        <w:spacing w:line="276" w:lineRule="auto"/>
        <w:jc w:val="both"/>
        <w:rPr>
          <w:highlight w:val="yellow"/>
        </w:rPr>
      </w:pPr>
      <w:r w:rsidRPr="000A25FE">
        <w:rPr>
          <w:highlight w:val="yellow"/>
        </w:rPr>
        <w:lastRenderedPageBreak/>
        <w:t xml:space="preserve">Confidence level = 95% </w:t>
      </w:r>
    </w:p>
    <w:p w14:paraId="59567D2A" w14:textId="77777777" w:rsidR="00AD71A9" w:rsidRPr="000A25FE" w:rsidRDefault="00AD71A9" w:rsidP="005B2663">
      <w:pPr>
        <w:pStyle w:val="NormalWeb"/>
        <w:numPr>
          <w:ilvl w:val="0"/>
          <w:numId w:val="1"/>
        </w:numPr>
        <w:spacing w:line="276" w:lineRule="auto"/>
        <w:jc w:val="both"/>
        <w:rPr>
          <w:highlight w:val="yellow"/>
        </w:rPr>
      </w:pPr>
      <w:r w:rsidRPr="000A25FE">
        <w:rPr>
          <w:rStyle w:val="katex-mathml"/>
          <w:highlight w:val="yellow"/>
        </w:rPr>
        <w:t xml:space="preserve">Zα/2=1.96 </w:t>
      </w:r>
    </w:p>
    <w:p w14:paraId="660C8CD2" w14:textId="77777777" w:rsidR="00AD71A9" w:rsidRPr="000A25FE" w:rsidRDefault="00AD71A9" w:rsidP="005B2663">
      <w:pPr>
        <w:pStyle w:val="NormalWeb"/>
        <w:numPr>
          <w:ilvl w:val="0"/>
          <w:numId w:val="1"/>
        </w:numPr>
        <w:spacing w:line="276" w:lineRule="auto"/>
        <w:jc w:val="both"/>
        <w:rPr>
          <w:highlight w:val="yellow"/>
        </w:rPr>
      </w:pPr>
      <w:r w:rsidRPr="000A25FE">
        <w:rPr>
          <w:rStyle w:val="katex-mathml"/>
          <w:highlight w:val="yellow"/>
        </w:rPr>
        <w:t xml:space="preserve">p=0.50p </w:t>
      </w:r>
      <w:r w:rsidRPr="000A25FE">
        <w:rPr>
          <w:highlight w:val="yellow"/>
        </w:rPr>
        <w:t>(maximizes sample size)</w:t>
      </w:r>
    </w:p>
    <w:p w14:paraId="0A8348F5" w14:textId="77777777" w:rsidR="00AD71A9" w:rsidRPr="000A25FE" w:rsidRDefault="00AD71A9" w:rsidP="005B2663">
      <w:pPr>
        <w:pStyle w:val="NormalWeb"/>
        <w:numPr>
          <w:ilvl w:val="0"/>
          <w:numId w:val="1"/>
        </w:numPr>
        <w:spacing w:line="276" w:lineRule="auto"/>
        <w:jc w:val="both"/>
        <w:rPr>
          <w:highlight w:val="yellow"/>
        </w:rPr>
      </w:pPr>
      <w:r w:rsidRPr="000A25FE">
        <w:rPr>
          <w:highlight w:val="yellow"/>
        </w:rPr>
        <w:t xml:space="preserve">Margin of error </w:t>
      </w:r>
      <w:r w:rsidRPr="000A25FE">
        <w:rPr>
          <w:rStyle w:val="katex-mathml"/>
          <w:highlight w:val="yellow"/>
        </w:rPr>
        <w:t xml:space="preserve">d=0.098d </w:t>
      </w:r>
    </w:p>
    <w:p w14:paraId="69928B5C" w14:textId="77777777" w:rsidR="00AD71A9" w:rsidRPr="000A25FE" w:rsidRDefault="00AD71A9" w:rsidP="00D44A96">
      <w:pPr>
        <w:pStyle w:val="NormalWeb"/>
        <w:spacing w:line="276" w:lineRule="auto"/>
        <w:jc w:val="both"/>
        <w:rPr>
          <w:highlight w:val="yellow"/>
        </w:rPr>
      </w:pPr>
      <w:r w:rsidRPr="000A25FE">
        <w:rPr>
          <w:highlight w:val="yellow"/>
        </w:rPr>
        <w:t>Computation:</w:t>
      </w:r>
    </w:p>
    <w:p w14:paraId="35F936A4" w14:textId="77777777" w:rsidR="00AD71A9" w:rsidRPr="000A25FE" w:rsidRDefault="00AD71A9" w:rsidP="00D44A96">
      <w:pPr>
        <w:spacing w:line="276" w:lineRule="auto"/>
        <w:jc w:val="both"/>
        <w:rPr>
          <w:rFonts w:ascii="Times New Roman" w:hAnsi="Times New Roman" w:cs="Times New Roman"/>
          <w:sz w:val="24"/>
          <w:szCs w:val="24"/>
          <w:highlight w:val="yellow"/>
        </w:rPr>
      </w:pPr>
      <w:r w:rsidRPr="000A25FE">
        <w:rPr>
          <w:rStyle w:val="katex-mathml"/>
          <w:rFonts w:ascii="Times New Roman" w:hAnsi="Times New Roman" w:cs="Times New Roman"/>
          <w:sz w:val="24"/>
          <w:szCs w:val="24"/>
          <w:highlight w:val="yellow"/>
        </w:rPr>
        <w:t xml:space="preserve">N = (1.96)2×0.5×0.5(0.098)2 = 3.8416×0.250.009604=0.96040.009604 ≈ 100n </w:t>
      </w:r>
    </w:p>
    <w:p w14:paraId="34B212D6" w14:textId="77777777" w:rsidR="00AD71A9" w:rsidRPr="000A25FE" w:rsidRDefault="00AD71A9" w:rsidP="00D44A96">
      <w:pPr>
        <w:spacing w:line="276" w:lineRule="auto"/>
        <w:jc w:val="both"/>
        <w:rPr>
          <w:rFonts w:ascii="Times New Roman" w:hAnsi="Times New Roman" w:cs="Times New Roman"/>
          <w:sz w:val="24"/>
          <w:szCs w:val="24"/>
          <w:highlight w:val="yellow"/>
        </w:rPr>
      </w:pPr>
      <w:r w:rsidRPr="000A25FE">
        <w:rPr>
          <w:rFonts w:ascii="Times New Roman" w:hAnsi="Times New Roman" w:cs="Times New Roman"/>
          <w:sz w:val="24"/>
          <w:szCs w:val="24"/>
          <w:highlight w:val="yellow"/>
        </w:rPr>
        <w:t xml:space="preserve">Using the systematic random sampling method, 100 patients who meet the study criteria will be enrolled for the study. </w:t>
      </w:r>
    </w:p>
    <w:p w14:paraId="3FE72414" w14:textId="77777777" w:rsidR="00A51D61" w:rsidRPr="000A25FE" w:rsidRDefault="00A51D61" w:rsidP="00D44A96">
      <w:pPr>
        <w:pStyle w:val="Heading2"/>
        <w:spacing w:before="0" w:line="276" w:lineRule="auto"/>
        <w:jc w:val="both"/>
        <w:rPr>
          <w:rFonts w:ascii="Times New Roman" w:hAnsi="Times New Roman" w:cs="Times New Roman"/>
          <w:b/>
          <w:bCs/>
          <w:color w:val="000000" w:themeColor="text1"/>
          <w:sz w:val="24"/>
          <w:szCs w:val="24"/>
          <w:highlight w:val="yellow"/>
        </w:rPr>
      </w:pPr>
    </w:p>
    <w:p w14:paraId="691D760F" w14:textId="1E4A8564" w:rsidR="00AD71A9" w:rsidRPr="000A25FE" w:rsidRDefault="00A51D61" w:rsidP="00D44A96">
      <w:pPr>
        <w:pStyle w:val="Heading2"/>
        <w:spacing w:before="0" w:line="276" w:lineRule="auto"/>
        <w:jc w:val="both"/>
        <w:rPr>
          <w:rFonts w:ascii="Times New Roman" w:hAnsi="Times New Roman" w:cs="Times New Roman"/>
          <w:b/>
          <w:bCs/>
          <w:color w:val="000000" w:themeColor="text1"/>
          <w:sz w:val="24"/>
          <w:szCs w:val="24"/>
          <w:highlight w:val="yellow"/>
        </w:rPr>
      </w:pPr>
      <w:r w:rsidRPr="000A25FE">
        <w:rPr>
          <w:rFonts w:ascii="Times New Roman" w:hAnsi="Times New Roman" w:cs="Times New Roman"/>
          <w:b/>
          <w:bCs/>
          <w:color w:val="000000" w:themeColor="text1"/>
          <w:sz w:val="24"/>
          <w:szCs w:val="24"/>
          <w:highlight w:val="yellow"/>
        </w:rPr>
        <w:t xml:space="preserve">2.6 </w:t>
      </w:r>
      <w:r w:rsidR="00AD71A9" w:rsidRPr="000A25FE">
        <w:rPr>
          <w:rFonts w:ascii="Times New Roman" w:hAnsi="Times New Roman" w:cs="Times New Roman"/>
          <w:b/>
          <w:bCs/>
          <w:color w:val="000000" w:themeColor="text1"/>
          <w:sz w:val="24"/>
          <w:szCs w:val="24"/>
          <w:highlight w:val="yellow"/>
        </w:rPr>
        <w:t>Data collection instruments</w:t>
      </w:r>
    </w:p>
    <w:p w14:paraId="56BF38C8" w14:textId="77777777" w:rsidR="0086089B" w:rsidRDefault="00AD71A9" w:rsidP="0086089B">
      <w:pPr>
        <w:pStyle w:val="Heading3"/>
        <w:shd w:val="clear" w:color="auto" w:fill="FFFFFF"/>
        <w:spacing w:line="300" w:lineRule="atLeast"/>
        <w:rPr>
          <w:rFonts w:ascii="Helvetica" w:hAnsi="Helvetica" w:cs="Helvetica"/>
          <w:color w:val="5F6368"/>
        </w:rPr>
      </w:pPr>
      <w:r w:rsidRPr="000A25FE">
        <w:rPr>
          <w:rStyle w:val="Strong"/>
          <w:highlight w:val="yellow"/>
        </w:rPr>
        <w:t>Structured interviewer-administered questionnaire</w:t>
      </w:r>
      <w:r w:rsidRPr="000A25FE">
        <w:rPr>
          <w:highlight w:val="yellow"/>
        </w:rPr>
        <w:t xml:space="preserve">: The research will be carried out using a structured questionnaire. The questionnaires will comprise two sections – biodata and then </w:t>
      </w:r>
      <w:r w:rsidRPr="000A25FE">
        <w:rPr>
          <w:color w:val="000000" w:themeColor="text1"/>
          <w:highlight w:val="yellow"/>
        </w:rPr>
        <w:t>questions</w:t>
      </w:r>
      <w:r w:rsidRPr="000A25FE">
        <w:rPr>
          <w:highlight w:val="yellow"/>
        </w:rPr>
        <w:t xml:space="preserve"> about handedness, stature and hypertension.  The questionnaire will identify age, sex, ethnic group, information on their socio-demographic characteristics and hand preference for different activities, stature and hypertension. Names will not be required on the questionnaire to ensure confidentiality and to prevent likely </w:t>
      </w:r>
      <w:r w:rsidR="0086089B">
        <w:rPr>
          <w:rStyle w:val="go"/>
          <w:rFonts w:ascii="Helvetica" w:hAnsi="Helvetica" w:cs="Helvetica"/>
          <w:color w:val="5E5E5E"/>
        </w:rPr>
        <w:t>falah.alhasnawi@uokufa.edu.iq</w:t>
      </w:r>
    </w:p>
    <w:p w14:paraId="2A4710C4" w14:textId="5DC7D83B" w:rsidR="00AD71A9" w:rsidRPr="00E75137" w:rsidRDefault="00AD71A9" w:rsidP="00D44A96">
      <w:pPr>
        <w:pStyle w:val="NormalWeb"/>
        <w:spacing w:before="0" w:beforeAutospacing="0" w:after="0" w:afterAutospacing="0" w:line="276" w:lineRule="auto"/>
        <w:jc w:val="both"/>
      </w:pPr>
      <w:bookmarkStart w:id="0" w:name="_GoBack"/>
      <w:bookmarkEnd w:id="0"/>
      <w:r w:rsidRPr="000A25FE">
        <w:rPr>
          <w:highlight w:val="yellow"/>
        </w:rPr>
        <w:t xml:space="preserve"> in participants’ response to the questions. We will categorize a left hander as an individual who can show the ability to write on paper with left, do some elementary job like sweeping, eating, washing, throwing a ball or catching it. The rationale behind this classification or</w:t>
      </w:r>
      <w:r w:rsidR="00F05F5B" w:rsidRPr="000A25FE">
        <w:rPr>
          <w:highlight w:val="yellow"/>
        </w:rPr>
        <w:t xml:space="preserve"> </w:t>
      </w:r>
      <w:r w:rsidRPr="000A25FE">
        <w:rPr>
          <w:highlight w:val="yellow"/>
        </w:rPr>
        <w:t>grouping is the fact that it allows a perfect understanding and basis for this two grouping.</w:t>
      </w:r>
    </w:p>
    <w:p w14:paraId="4B00DF90" w14:textId="77777777" w:rsidR="003C070D" w:rsidRPr="00E75137" w:rsidRDefault="003C070D" w:rsidP="00D44A96">
      <w:pPr>
        <w:pStyle w:val="NormalWeb"/>
        <w:spacing w:before="0" w:beforeAutospacing="0" w:after="0" w:afterAutospacing="0" w:line="276" w:lineRule="auto"/>
        <w:ind w:right="-279"/>
        <w:jc w:val="both"/>
        <w:rPr>
          <w:rStyle w:val="Strong"/>
          <w:rFonts w:eastAsiaTheme="majorEastAsia"/>
        </w:rPr>
      </w:pPr>
    </w:p>
    <w:p w14:paraId="7DA10191" w14:textId="591D1022" w:rsidR="00AD71A9" w:rsidRPr="00E75137" w:rsidRDefault="00AD71A9" w:rsidP="00D44A96">
      <w:pPr>
        <w:pStyle w:val="NormalWeb"/>
        <w:spacing w:before="0" w:beforeAutospacing="0" w:after="0" w:afterAutospacing="0" w:line="276" w:lineRule="auto"/>
        <w:ind w:right="-279"/>
        <w:jc w:val="both"/>
      </w:pPr>
      <w:r w:rsidRPr="00E75137">
        <w:rPr>
          <w:rStyle w:val="Strong"/>
          <w:rFonts w:eastAsiaTheme="majorEastAsia"/>
        </w:rPr>
        <w:t>Blood pressure measurement</w:t>
      </w:r>
      <w:r w:rsidRPr="00E75137">
        <w:t>: validated automated sphygmomanometer; appropriate cuff size; patient seated ≥5 min, back and arm supported, feet flat, no caffeine/exercise/smoking within 30 min. two readings will be taken 1–2 minutes apart and the mean of the two readings recorded.</w:t>
      </w:r>
      <w:r w:rsidR="00F05F5B" w:rsidRPr="00E75137">
        <w:t xml:space="preserve"> </w:t>
      </w:r>
      <w:r w:rsidRPr="00E75137">
        <w:t>The weight (kg) and height (m) of the respondents are taken using a stadiometer.</w:t>
      </w:r>
    </w:p>
    <w:p w14:paraId="39541CFD" w14:textId="77777777" w:rsidR="00A51D61" w:rsidRDefault="00A51D61" w:rsidP="00D44A96">
      <w:pPr>
        <w:spacing w:before="100" w:beforeAutospacing="1" w:after="100" w:afterAutospacing="1" w:line="276" w:lineRule="auto"/>
        <w:jc w:val="both"/>
        <w:rPr>
          <w:rFonts w:ascii="Times New Roman" w:eastAsia="Times New Roman" w:hAnsi="Times New Roman" w:cs="Times New Roman"/>
          <w:b/>
          <w:sz w:val="24"/>
          <w:szCs w:val="24"/>
        </w:rPr>
      </w:pPr>
    </w:p>
    <w:p w14:paraId="25101149" w14:textId="77777777" w:rsidR="00E71478" w:rsidRDefault="00E71478" w:rsidP="00D44A96">
      <w:pPr>
        <w:spacing w:before="100" w:beforeAutospacing="1" w:after="100" w:afterAutospacing="1" w:line="276" w:lineRule="auto"/>
        <w:jc w:val="both"/>
        <w:rPr>
          <w:rFonts w:ascii="Times New Roman" w:eastAsia="Times New Roman" w:hAnsi="Times New Roman" w:cs="Times New Roman"/>
          <w:b/>
          <w:sz w:val="24"/>
          <w:szCs w:val="24"/>
        </w:rPr>
      </w:pPr>
    </w:p>
    <w:p w14:paraId="755B1F58" w14:textId="6E21E30B" w:rsidR="00AD71A9" w:rsidRPr="00E75137" w:rsidRDefault="00A51D61" w:rsidP="00D44A96">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AD71A9" w:rsidRPr="00E75137">
        <w:rPr>
          <w:rFonts w:ascii="Times New Roman" w:eastAsia="Times New Roman" w:hAnsi="Times New Roman" w:cs="Times New Roman"/>
          <w:b/>
          <w:sz w:val="24"/>
          <w:szCs w:val="24"/>
        </w:rPr>
        <w:t>.7</w:t>
      </w:r>
      <w:r w:rsidR="00AD71A9" w:rsidRPr="00E75137">
        <w:rPr>
          <w:rFonts w:ascii="Times New Roman" w:eastAsia="Times New Roman" w:hAnsi="Times New Roman" w:cs="Times New Roman"/>
          <w:sz w:val="24"/>
          <w:szCs w:val="24"/>
        </w:rPr>
        <w:tab/>
      </w:r>
      <w:r w:rsidR="00AD71A9" w:rsidRPr="00E75137">
        <w:rPr>
          <w:rFonts w:ascii="Times New Roman" w:eastAsia="Times New Roman" w:hAnsi="Times New Roman" w:cs="Times New Roman"/>
          <w:b/>
          <w:sz w:val="24"/>
          <w:szCs w:val="24"/>
        </w:rPr>
        <w:t>DATA ANALYSIS</w:t>
      </w:r>
    </w:p>
    <w:p w14:paraId="43CE6E1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The data were analyzed using the Statistical package for social sciences (SPSS) version 23 software. Data was presented as frequency and percentage distribution. Chi-square, Fisher exact test, Monte Carlo simulation, correlation, Cramer’s V test and binary logistic regression was used </w:t>
      </w:r>
      <w:r w:rsidRPr="00E75137">
        <w:rPr>
          <w:rFonts w:ascii="Times New Roman" w:hAnsi="Times New Roman" w:cs="Times New Roman"/>
          <w:sz w:val="24"/>
          <w:szCs w:val="24"/>
        </w:rPr>
        <w:lastRenderedPageBreak/>
        <w:t xml:space="preserve">to assess the association between categorical variables. The threshold for statistical significance was set at p-value ≤ 0.05 at 95% confidence interval. Tables and charts were used for data presentation.  </w:t>
      </w:r>
    </w:p>
    <w:p w14:paraId="6161B986"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A12392B" w14:textId="60FCCA0E" w:rsidR="00AD71A9" w:rsidRPr="00E75137" w:rsidRDefault="003D1278" w:rsidP="00D44A9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AD71A9" w:rsidRPr="00E75137">
        <w:rPr>
          <w:rFonts w:ascii="Times New Roman" w:hAnsi="Times New Roman" w:cs="Times New Roman"/>
          <w:b/>
          <w:sz w:val="24"/>
          <w:szCs w:val="24"/>
        </w:rPr>
        <w:t>RESULTS AND DISCUSSION</w:t>
      </w:r>
    </w:p>
    <w:p w14:paraId="10A8DA55" w14:textId="4701384B"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1: Socio-demographic Characteristics of Respondents (N = 103)</w:t>
      </w:r>
    </w:p>
    <w:tbl>
      <w:tblPr>
        <w:tblStyle w:val="PlainTable1"/>
        <w:tblW w:w="9738" w:type="dxa"/>
        <w:tblLook w:val="04A0" w:firstRow="1" w:lastRow="0" w:firstColumn="1" w:lastColumn="0" w:noHBand="0" w:noVBand="1"/>
      </w:tblPr>
      <w:tblGrid>
        <w:gridCol w:w="4158"/>
        <w:gridCol w:w="1800"/>
        <w:gridCol w:w="1800"/>
        <w:gridCol w:w="1980"/>
      </w:tblGrid>
      <w:tr w:rsidR="00AD71A9" w:rsidRPr="00E75137" w14:paraId="43C4F606"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8CCA0B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Variables</w:t>
            </w:r>
          </w:p>
        </w:tc>
        <w:tc>
          <w:tcPr>
            <w:tcW w:w="1800" w:type="dxa"/>
          </w:tcPr>
          <w:p w14:paraId="1D3E1194"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Categories</w:t>
            </w:r>
          </w:p>
        </w:tc>
        <w:tc>
          <w:tcPr>
            <w:tcW w:w="1800" w:type="dxa"/>
          </w:tcPr>
          <w:p w14:paraId="71351BBA"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Frequency (n)</w:t>
            </w:r>
          </w:p>
        </w:tc>
        <w:tc>
          <w:tcPr>
            <w:tcW w:w="1980" w:type="dxa"/>
          </w:tcPr>
          <w:p w14:paraId="1D759AEB"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Percentages (%)</w:t>
            </w:r>
          </w:p>
        </w:tc>
      </w:tr>
      <w:tr w:rsidR="001228F1" w:rsidRPr="00E75137" w14:paraId="55C8005A"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761F170C"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Age</w:t>
            </w:r>
          </w:p>
        </w:tc>
        <w:tc>
          <w:tcPr>
            <w:tcW w:w="1800" w:type="dxa"/>
          </w:tcPr>
          <w:p w14:paraId="21C4238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35-44</w:t>
            </w:r>
          </w:p>
        </w:tc>
        <w:tc>
          <w:tcPr>
            <w:tcW w:w="1800" w:type="dxa"/>
          </w:tcPr>
          <w:p w14:paraId="7C93580A"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w:t>
            </w:r>
          </w:p>
        </w:tc>
        <w:tc>
          <w:tcPr>
            <w:tcW w:w="1980" w:type="dxa"/>
          </w:tcPr>
          <w:p w14:paraId="3BA576B6"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r>
      <w:tr w:rsidR="001228F1" w:rsidRPr="00E75137" w14:paraId="7296C3B7"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74C26D89"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61F10FBD"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45-54</w:t>
            </w:r>
          </w:p>
        </w:tc>
        <w:tc>
          <w:tcPr>
            <w:tcW w:w="1800" w:type="dxa"/>
          </w:tcPr>
          <w:p w14:paraId="77F59FF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31</w:t>
            </w:r>
          </w:p>
        </w:tc>
        <w:tc>
          <w:tcPr>
            <w:tcW w:w="1980" w:type="dxa"/>
          </w:tcPr>
          <w:p w14:paraId="2506026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30.1</w:t>
            </w:r>
          </w:p>
        </w:tc>
      </w:tr>
      <w:tr w:rsidR="001228F1" w:rsidRPr="00E75137" w14:paraId="064570DB"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1CDF3A52"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3ACD1290"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55-64</w:t>
            </w:r>
          </w:p>
        </w:tc>
        <w:tc>
          <w:tcPr>
            <w:tcW w:w="1800" w:type="dxa"/>
          </w:tcPr>
          <w:p w14:paraId="684DEFAF"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42</w:t>
            </w:r>
          </w:p>
        </w:tc>
        <w:tc>
          <w:tcPr>
            <w:tcW w:w="1980" w:type="dxa"/>
          </w:tcPr>
          <w:p w14:paraId="10F0F07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40.8</w:t>
            </w:r>
          </w:p>
        </w:tc>
      </w:tr>
      <w:tr w:rsidR="001228F1" w:rsidRPr="00E75137" w14:paraId="28811D2B"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107257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7A3486D7"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65+</w:t>
            </w:r>
          </w:p>
        </w:tc>
        <w:tc>
          <w:tcPr>
            <w:tcW w:w="1800" w:type="dxa"/>
          </w:tcPr>
          <w:p w14:paraId="4C25CCA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w:t>
            </w:r>
          </w:p>
        </w:tc>
        <w:tc>
          <w:tcPr>
            <w:tcW w:w="1980" w:type="dxa"/>
          </w:tcPr>
          <w:p w14:paraId="612A22A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28.2</w:t>
            </w:r>
          </w:p>
        </w:tc>
      </w:tr>
      <w:tr w:rsidR="001228F1" w:rsidRPr="00E75137" w14:paraId="2A4F031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7C48B7AF"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w:t>
            </w:r>
          </w:p>
        </w:tc>
        <w:tc>
          <w:tcPr>
            <w:tcW w:w="1800" w:type="dxa"/>
          </w:tcPr>
          <w:p w14:paraId="0CBBB63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Male</w:t>
            </w:r>
          </w:p>
        </w:tc>
        <w:tc>
          <w:tcPr>
            <w:tcW w:w="1800" w:type="dxa"/>
          </w:tcPr>
          <w:p w14:paraId="1849A5A9"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52</w:t>
            </w:r>
          </w:p>
        </w:tc>
        <w:tc>
          <w:tcPr>
            <w:tcW w:w="1980" w:type="dxa"/>
          </w:tcPr>
          <w:p w14:paraId="5C6503C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50.5</w:t>
            </w:r>
          </w:p>
        </w:tc>
      </w:tr>
      <w:tr w:rsidR="001228F1" w:rsidRPr="00E75137" w14:paraId="27D2C595"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4379295"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52FF1B3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Female</w:t>
            </w:r>
          </w:p>
        </w:tc>
        <w:tc>
          <w:tcPr>
            <w:tcW w:w="1800" w:type="dxa"/>
          </w:tcPr>
          <w:p w14:paraId="1FC3286E"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51</w:t>
            </w:r>
          </w:p>
        </w:tc>
        <w:tc>
          <w:tcPr>
            <w:tcW w:w="1980" w:type="dxa"/>
          </w:tcPr>
          <w:p w14:paraId="1CF2C095"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49.5</w:t>
            </w:r>
          </w:p>
        </w:tc>
      </w:tr>
      <w:tr w:rsidR="001228F1" w:rsidRPr="00E75137" w14:paraId="69A58506"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5BF2BA79"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Diagnosed with Hypertension</w:t>
            </w:r>
          </w:p>
        </w:tc>
        <w:tc>
          <w:tcPr>
            <w:tcW w:w="1800" w:type="dxa"/>
          </w:tcPr>
          <w:p w14:paraId="09E8898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38F0C42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w:t>
            </w:r>
          </w:p>
        </w:tc>
        <w:tc>
          <w:tcPr>
            <w:tcW w:w="1980" w:type="dxa"/>
          </w:tcPr>
          <w:p w14:paraId="07A1EA4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68.0</w:t>
            </w:r>
          </w:p>
        </w:tc>
      </w:tr>
      <w:tr w:rsidR="001228F1" w:rsidRPr="00E75137" w14:paraId="742CE73E"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0DED3237" w14:textId="77777777" w:rsidR="001228F1" w:rsidRPr="00E75137" w:rsidRDefault="001228F1" w:rsidP="00D44A96">
            <w:pPr>
              <w:spacing w:line="276" w:lineRule="auto"/>
              <w:jc w:val="both"/>
              <w:rPr>
                <w:rFonts w:ascii="Times New Roman" w:hAnsi="Times New Roman" w:cs="Times New Roman"/>
                <w:sz w:val="24"/>
                <w:szCs w:val="24"/>
              </w:rPr>
            </w:pPr>
          </w:p>
        </w:tc>
        <w:tc>
          <w:tcPr>
            <w:tcW w:w="1800" w:type="dxa"/>
          </w:tcPr>
          <w:p w14:paraId="5FAC253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A1BD85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c>
          <w:tcPr>
            <w:tcW w:w="1980" w:type="dxa"/>
          </w:tcPr>
          <w:p w14:paraId="4948428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9.7</w:t>
            </w:r>
          </w:p>
        </w:tc>
      </w:tr>
      <w:tr w:rsidR="001228F1" w:rsidRPr="00E75137" w14:paraId="57E20CB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79B02A2F"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764F463B"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5A463AB2"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w:t>
            </w:r>
          </w:p>
        </w:tc>
        <w:tc>
          <w:tcPr>
            <w:tcW w:w="1980" w:type="dxa"/>
          </w:tcPr>
          <w:p w14:paraId="5346A2D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22.3</w:t>
            </w:r>
          </w:p>
        </w:tc>
      </w:tr>
      <w:tr w:rsidR="001228F1" w:rsidRPr="00E75137" w14:paraId="09D55229"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160D9C13"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w:t>
            </w:r>
          </w:p>
        </w:tc>
        <w:tc>
          <w:tcPr>
            <w:tcW w:w="1800" w:type="dxa"/>
          </w:tcPr>
          <w:p w14:paraId="23293A1B"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Right</w:t>
            </w:r>
          </w:p>
        </w:tc>
        <w:tc>
          <w:tcPr>
            <w:tcW w:w="1800" w:type="dxa"/>
          </w:tcPr>
          <w:p w14:paraId="7FA6CFE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39</w:t>
            </w:r>
          </w:p>
        </w:tc>
        <w:tc>
          <w:tcPr>
            <w:tcW w:w="1980" w:type="dxa"/>
          </w:tcPr>
          <w:p w14:paraId="3D83F185"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37.9</w:t>
            </w:r>
          </w:p>
        </w:tc>
      </w:tr>
      <w:tr w:rsidR="001228F1" w:rsidRPr="00E75137" w14:paraId="5B9AB6C7"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7BDB660"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240A65A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Left</w:t>
            </w:r>
          </w:p>
        </w:tc>
        <w:tc>
          <w:tcPr>
            <w:tcW w:w="1800" w:type="dxa"/>
          </w:tcPr>
          <w:p w14:paraId="3DEA9D4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w:t>
            </w:r>
          </w:p>
        </w:tc>
        <w:tc>
          <w:tcPr>
            <w:tcW w:w="1980" w:type="dxa"/>
          </w:tcPr>
          <w:p w14:paraId="6CA0459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27.2</w:t>
            </w:r>
          </w:p>
        </w:tc>
      </w:tr>
      <w:tr w:rsidR="001228F1" w:rsidRPr="00E75137" w14:paraId="79F3F6BB"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5962D31F"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3F4A3C8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Ambidextrous</w:t>
            </w:r>
          </w:p>
        </w:tc>
        <w:tc>
          <w:tcPr>
            <w:tcW w:w="1800" w:type="dxa"/>
          </w:tcPr>
          <w:p w14:paraId="1DFFFE73"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36</w:t>
            </w:r>
          </w:p>
        </w:tc>
        <w:tc>
          <w:tcPr>
            <w:tcW w:w="1980" w:type="dxa"/>
          </w:tcPr>
          <w:p w14:paraId="00D1569A"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35</w:t>
            </w:r>
          </w:p>
        </w:tc>
      </w:tr>
      <w:tr w:rsidR="001228F1" w:rsidRPr="00E75137" w14:paraId="214B0F4C"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1F4D6B42"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Physical Activity</w:t>
            </w:r>
          </w:p>
        </w:tc>
        <w:tc>
          <w:tcPr>
            <w:tcW w:w="1800" w:type="dxa"/>
          </w:tcPr>
          <w:p w14:paraId="781883A3"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 3x/week</w:t>
            </w:r>
          </w:p>
        </w:tc>
        <w:tc>
          <w:tcPr>
            <w:tcW w:w="1800" w:type="dxa"/>
          </w:tcPr>
          <w:p w14:paraId="5F7EFB0D"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26</w:t>
            </w:r>
          </w:p>
        </w:tc>
        <w:tc>
          <w:tcPr>
            <w:tcW w:w="1980" w:type="dxa"/>
          </w:tcPr>
          <w:p w14:paraId="2571FED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25.2</w:t>
            </w:r>
          </w:p>
        </w:tc>
      </w:tr>
      <w:tr w:rsidR="001228F1" w:rsidRPr="00E75137" w14:paraId="09BAA042"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57969420"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46BD6E5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&lt; 3x/week</w:t>
            </w:r>
          </w:p>
        </w:tc>
        <w:tc>
          <w:tcPr>
            <w:tcW w:w="1800" w:type="dxa"/>
          </w:tcPr>
          <w:p w14:paraId="6C3EA37E"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w:t>
            </w:r>
          </w:p>
        </w:tc>
        <w:tc>
          <w:tcPr>
            <w:tcW w:w="1980" w:type="dxa"/>
          </w:tcPr>
          <w:p w14:paraId="3A131934"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26.2</w:t>
            </w:r>
          </w:p>
        </w:tc>
      </w:tr>
      <w:tr w:rsidR="001228F1" w:rsidRPr="00E75137" w14:paraId="0FE85EF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7A2B89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188FCCE0"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 exercise</w:t>
            </w:r>
          </w:p>
        </w:tc>
        <w:tc>
          <w:tcPr>
            <w:tcW w:w="1800" w:type="dxa"/>
          </w:tcPr>
          <w:p w14:paraId="5FB36F4F"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w:t>
            </w:r>
          </w:p>
        </w:tc>
        <w:tc>
          <w:tcPr>
            <w:tcW w:w="1980" w:type="dxa"/>
          </w:tcPr>
          <w:p w14:paraId="01C223E9"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48.5</w:t>
            </w:r>
          </w:p>
        </w:tc>
      </w:tr>
      <w:tr w:rsidR="001228F1" w:rsidRPr="00E75137" w14:paraId="70DFF1C5"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608EE6FE"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Special Diet</w:t>
            </w:r>
          </w:p>
        </w:tc>
        <w:tc>
          <w:tcPr>
            <w:tcW w:w="1800" w:type="dxa"/>
          </w:tcPr>
          <w:p w14:paraId="65408BE4"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7843A010"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c>
          <w:tcPr>
            <w:tcW w:w="1980" w:type="dxa"/>
          </w:tcPr>
          <w:p w14:paraId="556077C7"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9.7</w:t>
            </w:r>
          </w:p>
        </w:tc>
      </w:tr>
      <w:tr w:rsidR="001228F1" w:rsidRPr="00E75137" w14:paraId="2E370432"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A4B02A8"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0AB1DD0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479CC0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93</w:t>
            </w:r>
          </w:p>
        </w:tc>
        <w:tc>
          <w:tcPr>
            <w:tcW w:w="1980" w:type="dxa"/>
          </w:tcPr>
          <w:p w14:paraId="2F9625DB"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90.3</w:t>
            </w:r>
          </w:p>
        </w:tc>
      </w:tr>
      <w:tr w:rsidR="001228F1" w:rsidRPr="00E75137" w14:paraId="7989BCA7"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0FA8D081"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Alcohol Use</w:t>
            </w:r>
          </w:p>
        </w:tc>
        <w:tc>
          <w:tcPr>
            <w:tcW w:w="1800" w:type="dxa"/>
          </w:tcPr>
          <w:p w14:paraId="5A538C4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52394819"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w:t>
            </w:r>
          </w:p>
        </w:tc>
        <w:tc>
          <w:tcPr>
            <w:tcW w:w="1980" w:type="dxa"/>
          </w:tcPr>
          <w:p w14:paraId="7A8FCBC8"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8.7</w:t>
            </w:r>
          </w:p>
        </w:tc>
      </w:tr>
      <w:tr w:rsidR="001228F1" w:rsidRPr="00E75137" w14:paraId="7BEC5D0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4173C65"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7A74AD8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93309A2"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47</w:t>
            </w:r>
          </w:p>
        </w:tc>
        <w:tc>
          <w:tcPr>
            <w:tcW w:w="1980" w:type="dxa"/>
          </w:tcPr>
          <w:p w14:paraId="66057F2A"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45.6</w:t>
            </w:r>
          </w:p>
        </w:tc>
      </w:tr>
      <w:tr w:rsidR="001228F1" w:rsidRPr="00E75137" w14:paraId="60CA4B3F"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5B8B4AC"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09F80514"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Occasionally</w:t>
            </w:r>
          </w:p>
        </w:tc>
        <w:tc>
          <w:tcPr>
            <w:tcW w:w="1800" w:type="dxa"/>
          </w:tcPr>
          <w:p w14:paraId="0AE77489"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47</w:t>
            </w:r>
          </w:p>
        </w:tc>
        <w:tc>
          <w:tcPr>
            <w:tcW w:w="1980" w:type="dxa"/>
          </w:tcPr>
          <w:p w14:paraId="6C6E5BF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45.6</w:t>
            </w:r>
          </w:p>
        </w:tc>
      </w:tr>
      <w:tr w:rsidR="001228F1" w:rsidRPr="00E75137" w14:paraId="05692D58"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4BB5A54D"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Smoking Status</w:t>
            </w:r>
          </w:p>
        </w:tc>
        <w:tc>
          <w:tcPr>
            <w:tcW w:w="1800" w:type="dxa"/>
          </w:tcPr>
          <w:p w14:paraId="129346A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regular</w:t>
            </w:r>
          </w:p>
        </w:tc>
        <w:tc>
          <w:tcPr>
            <w:tcW w:w="1800" w:type="dxa"/>
          </w:tcPr>
          <w:p w14:paraId="370A39A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w:t>
            </w:r>
          </w:p>
        </w:tc>
        <w:tc>
          <w:tcPr>
            <w:tcW w:w="1980" w:type="dxa"/>
          </w:tcPr>
          <w:p w14:paraId="1E5386DA"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6.8</w:t>
            </w:r>
          </w:p>
        </w:tc>
      </w:tr>
      <w:tr w:rsidR="001228F1" w:rsidRPr="00E75137" w14:paraId="1BFCF373"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2EFD3BC6"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43EAD440"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quit</w:t>
            </w:r>
          </w:p>
        </w:tc>
        <w:tc>
          <w:tcPr>
            <w:tcW w:w="1800" w:type="dxa"/>
          </w:tcPr>
          <w:p w14:paraId="22DD735E"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w:t>
            </w:r>
          </w:p>
        </w:tc>
        <w:tc>
          <w:tcPr>
            <w:tcW w:w="1980" w:type="dxa"/>
          </w:tcPr>
          <w:p w14:paraId="249FA80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48.5</w:t>
            </w:r>
          </w:p>
        </w:tc>
      </w:tr>
      <w:tr w:rsidR="001228F1" w:rsidRPr="00E75137" w14:paraId="095737E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214486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6F29CDF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31D03C73"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46</w:t>
            </w:r>
          </w:p>
        </w:tc>
        <w:tc>
          <w:tcPr>
            <w:tcW w:w="1980" w:type="dxa"/>
          </w:tcPr>
          <w:p w14:paraId="1CABE40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44.7</w:t>
            </w:r>
          </w:p>
        </w:tc>
      </w:tr>
      <w:tr w:rsidR="001228F1" w:rsidRPr="00E75137" w14:paraId="219D557E"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7209946D"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Family History Hypertension</w:t>
            </w:r>
          </w:p>
        </w:tc>
        <w:tc>
          <w:tcPr>
            <w:tcW w:w="1800" w:type="dxa"/>
          </w:tcPr>
          <w:p w14:paraId="74901A2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5748FE7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w:t>
            </w:r>
          </w:p>
        </w:tc>
        <w:tc>
          <w:tcPr>
            <w:tcW w:w="1980" w:type="dxa"/>
          </w:tcPr>
          <w:p w14:paraId="2658395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10.7</w:t>
            </w:r>
          </w:p>
        </w:tc>
      </w:tr>
      <w:tr w:rsidR="001228F1" w:rsidRPr="00E75137" w14:paraId="129A337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2BE578CC"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1D58028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5465B56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w:t>
            </w:r>
          </w:p>
        </w:tc>
        <w:tc>
          <w:tcPr>
            <w:tcW w:w="1980" w:type="dxa"/>
          </w:tcPr>
          <w:p w14:paraId="5CED31B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42.7</w:t>
            </w:r>
          </w:p>
        </w:tc>
      </w:tr>
      <w:tr w:rsidR="001228F1" w:rsidRPr="00E75137" w14:paraId="23503A18"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40B6511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2D5119C0"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1B55980B"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w:t>
            </w:r>
          </w:p>
        </w:tc>
        <w:tc>
          <w:tcPr>
            <w:tcW w:w="1980" w:type="dxa"/>
          </w:tcPr>
          <w:p w14:paraId="3DB6A7CD"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46.6</w:t>
            </w:r>
          </w:p>
        </w:tc>
      </w:tr>
      <w:tr w:rsidR="001228F1" w:rsidRPr="00E75137" w14:paraId="4EDE3B17"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57D15D4B"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Family History of Other Conditions</w:t>
            </w:r>
          </w:p>
        </w:tc>
        <w:tc>
          <w:tcPr>
            <w:tcW w:w="1800" w:type="dxa"/>
          </w:tcPr>
          <w:p w14:paraId="15F4F76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71C37571"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w:t>
            </w:r>
          </w:p>
        </w:tc>
        <w:tc>
          <w:tcPr>
            <w:tcW w:w="1980" w:type="dxa"/>
          </w:tcPr>
          <w:p w14:paraId="727D602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10.7</w:t>
            </w:r>
          </w:p>
        </w:tc>
      </w:tr>
      <w:tr w:rsidR="001228F1" w:rsidRPr="00E75137" w14:paraId="0B4044C2"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E8DBE7E"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5ED1B925"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2EB8A45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63</w:t>
            </w:r>
          </w:p>
        </w:tc>
        <w:tc>
          <w:tcPr>
            <w:tcW w:w="1980" w:type="dxa"/>
          </w:tcPr>
          <w:p w14:paraId="7C84BC7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61.2</w:t>
            </w:r>
          </w:p>
        </w:tc>
      </w:tr>
      <w:tr w:rsidR="001228F1" w:rsidRPr="00E75137" w14:paraId="23866861"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B9A7A41"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3050D6C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284D190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w:t>
            </w:r>
          </w:p>
        </w:tc>
        <w:tc>
          <w:tcPr>
            <w:tcW w:w="1980" w:type="dxa"/>
          </w:tcPr>
          <w:p w14:paraId="30C57E2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28.2</w:t>
            </w:r>
          </w:p>
        </w:tc>
      </w:tr>
      <w:tr w:rsidR="001228F1" w:rsidRPr="00E75137" w14:paraId="07265C9D"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765F1785"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Current Other Medical conditions</w:t>
            </w:r>
          </w:p>
        </w:tc>
        <w:tc>
          <w:tcPr>
            <w:tcW w:w="1800" w:type="dxa"/>
          </w:tcPr>
          <w:p w14:paraId="391631B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237D2E3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w:t>
            </w:r>
          </w:p>
        </w:tc>
        <w:tc>
          <w:tcPr>
            <w:tcW w:w="1980" w:type="dxa"/>
          </w:tcPr>
          <w:p w14:paraId="1461CDF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7.8</w:t>
            </w:r>
          </w:p>
        </w:tc>
      </w:tr>
      <w:tr w:rsidR="001228F1" w:rsidRPr="00E75137" w14:paraId="54FE725B"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65BBA024"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69FB6C41"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D74D80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95</w:t>
            </w:r>
          </w:p>
        </w:tc>
        <w:tc>
          <w:tcPr>
            <w:tcW w:w="1980" w:type="dxa"/>
          </w:tcPr>
          <w:p w14:paraId="369032ED"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92.2</w:t>
            </w:r>
          </w:p>
        </w:tc>
      </w:tr>
    </w:tbl>
    <w:p w14:paraId="08E257CE" w14:textId="06355E21" w:rsidR="00AD71A9" w:rsidRPr="00E75137" w:rsidRDefault="00AD71A9" w:rsidP="00D44A96">
      <w:pPr>
        <w:pStyle w:val="NormalWeb"/>
        <w:spacing w:line="276" w:lineRule="auto"/>
        <w:jc w:val="both"/>
        <w:rPr>
          <w:lang w:val="en-ZA" w:eastAsia="en-ZA"/>
        </w:rPr>
      </w:pPr>
      <w:r w:rsidRPr="00E75137">
        <w:lastRenderedPageBreak/>
        <w:t xml:space="preserve">The table above highlights that the population studied is mostly </w:t>
      </w:r>
      <w:r w:rsidRPr="00E75137">
        <w:rPr>
          <w:rStyle w:val="Strong"/>
          <w:rFonts w:eastAsiaTheme="majorEastAsia"/>
          <w:b w:val="0"/>
          <w:bCs w:val="0"/>
        </w:rPr>
        <w:t>middle-aged/older adults</w:t>
      </w:r>
      <w:r w:rsidRPr="00E75137">
        <w:t xml:space="preserve"> with a </w:t>
      </w:r>
      <w:r w:rsidRPr="00E75137">
        <w:rPr>
          <w:rStyle w:val="Strong"/>
          <w:rFonts w:eastAsiaTheme="majorEastAsia"/>
          <w:b w:val="0"/>
          <w:bCs w:val="0"/>
        </w:rPr>
        <w:t>high burden of hypertension</w:t>
      </w:r>
      <w:r w:rsidRPr="00E75137">
        <w:t xml:space="preserve">. Lifestyle risk factors such as </w:t>
      </w:r>
      <w:r w:rsidRPr="00E75137">
        <w:rPr>
          <w:rStyle w:val="Strong"/>
          <w:rFonts w:eastAsiaTheme="majorEastAsia"/>
          <w:b w:val="0"/>
          <w:bCs w:val="0"/>
        </w:rPr>
        <w:t>low physical activity, alcohol use, and past smoking</w:t>
      </w:r>
      <w:r w:rsidRPr="00E75137">
        <w:t xml:space="preserve"> are prominent. Awareness of family medical history is </w:t>
      </w:r>
      <w:r w:rsidRPr="00E75137">
        <w:rPr>
          <w:rStyle w:val="Strong"/>
          <w:rFonts w:eastAsiaTheme="majorEastAsia"/>
          <w:b w:val="0"/>
          <w:bCs w:val="0"/>
        </w:rPr>
        <w:t>generally poor</w:t>
      </w:r>
      <w:r w:rsidRPr="00E75137">
        <w:t xml:space="preserve">, which could affect preventive health behavior. </w:t>
      </w:r>
      <w:r w:rsidRPr="00E75137">
        <w:rPr>
          <w:lang w:val="en-ZA" w:eastAsia="en-ZA"/>
        </w:rPr>
        <w:t>Majority of respondents are aged 55–64 years (40.8%),</w:t>
      </w:r>
      <w:r w:rsidR="00AD636F" w:rsidRPr="00E75137">
        <w:rPr>
          <w:lang w:val="en-ZA" w:eastAsia="en-ZA"/>
        </w:rPr>
        <w:t xml:space="preserve"> </w:t>
      </w:r>
      <w:r w:rsidRPr="00E75137">
        <w:rPr>
          <w:lang w:val="en-ZA" w:eastAsia="en-ZA"/>
        </w:rPr>
        <w:t>followed by 45–54 years (30.1%). Only 1 respondent (1.0%) is aged 35–44. This shows that the sample is mainly middle-aged to elderly, which is relevant since age is a known risk factor for hypertension.</w:t>
      </w:r>
    </w:p>
    <w:p w14:paraId="436B2400" w14:textId="08F1616B" w:rsidR="00AD71A9" w:rsidRPr="00E75137" w:rsidRDefault="00AD71A9" w:rsidP="00D44A96">
      <w:pPr>
        <w:spacing w:before="100" w:beforeAutospacing="1" w:after="100" w:afterAutospacing="1" w:line="276" w:lineRule="auto"/>
        <w:jc w:val="both"/>
        <w:outlineLvl w:val="2"/>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On gender: Male: 52 (50.5%), Female: 51 (49.5%). The sample is almost evenly distributed between men and women, giving a balanced gender perspective.</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For Hypertension Diagnosis, Yes: 70 (68.0%), No: 18 (17.5%) and Unsure: 15 (14.6%). A high proportion of respondents have been diagnosed with hypertension, which could reflect the age distribution.</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For Dominant Hand, Right-handed: 39 (37.9%), Left-handed: 28 (27.2%), Ambidextrous: 36 (35.0%)</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This is an unusual distribution — typically right-handedness is much higher in the general population. It could reflect either specific sampling characteristics or response bias.</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 xml:space="preserve">Physical Activity - No exercise: 50 (48.5%), Exercise once/week: 15 (14.6%), Exercise ≥ twice/week: 27 (26.2%), Ambiguous/other: 11 (10.7%). </w:t>
      </w:r>
    </w:p>
    <w:p w14:paraId="6A064B03" w14:textId="206E315D" w:rsidR="00AD71A9" w:rsidRPr="00E75137" w:rsidRDefault="00AD71A9" w:rsidP="00D44A96">
      <w:pPr>
        <w:spacing w:before="100" w:beforeAutospacing="1" w:after="100" w:afterAutospacing="1" w:line="276" w:lineRule="auto"/>
        <w:jc w:val="both"/>
        <w:outlineLvl w:val="2"/>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Nearly half of respondents reported no physical activity, which is concerning given the link between inactivity and cardiovascular disease.</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Special Diet - Yes: 10 (9.7%), No: 93 (90.3%), Very few follow a special diet, despite the high prevalence of hypertension.</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Alcohol Use - Yes: 49 (47.6%), No: 47 (45.6%), Occasional: 7 (6.8%), Alcohol consumption is quite common, with nearly half reporting regular use.</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Smoking Status - Quit: 50 (48.5%), No: 46 (44.7%), Yes (current smokers): 7 (6.8%).</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More than half either smoke or have smoked before, though only a small portion are current smokers.</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Family History of Hypertension - Yes: 44 (42.7%), No: 11 (10.7%), Unsure: 48 (46.6%).</w:t>
      </w:r>
    </w:p>
    <w:p w14:paraId="29E0DAD2" w14:textId="75680CD5"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A large proportion are unsure of their family history, which might indicate low health awareness or poor communication in families.</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Family History of Other Conditions - Yes: 11 (10.7%), No: 44 (42.7%), Unsure: 48 (46.6%)</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Again, a high level of uncertainty is observed.</w:t>
      </w:r>
    </w:p>
    <w:p w14:paraId="32377C6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p>
    <w:p w14:paraId="7363D71B" w14:textId="7C2C577C"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2: Anthropometric and Clinical Characteristics of Respondents (N = 103)</w:t>
      </w:r>
    </w:p>
    <w:tbl>
      <w:tblPr>
        <w:tblStyle w:val="PlainTable1"/>
        <w:tblW w:w="9720" w:type="dxa"/>
        <w:tblLayout w:type="fixed"/>
        <w:tblLook w:val="0000" w:firstRow="0" w:lastRow="0" w:firstColumn="0" w:lastColumn="0" w:noHBand="0" w:noVBand="0"/>
      </w:tblPr>
      <w:tblGrid>
        <w:gridCol w:w="3600"/>
        <w:gridCol w:w="720"/>
        <w:gridCol w:w="1440"/>
        <w:gridCol w:w="1440"/>
        <w:gridCol w:w="1260"/>
        <w:gridCol w:w="1260"/>
      </w:tblGrid>
      <w:tr w:rsidR="00AD71A9" w:rsidRPr="00E75137" w14:paraId="6271F33F"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58401A59"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Variable</w:t>
            </w:r>
          </w:p>
        </w:tc>
        <w:tc>
          <w:tcPr>
            <w:tcW w:w="720" w:type="dxa"/>
          </w:tcPr>
          <w:p w14:paraId="2E3FA5C5"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N</w:t>
            </w:r>
          </w:p>
        </w:tc>
        <w:tc>
          <w:tcPr>
            <w:cnfStyle w:val="000010000000" w:firstRow="0" w:lastRow="0" w:firstColumn="0" w:lastColumn="0" w:oddVBand="1" w:evenVBand="0" w:oddHBand="0" w:evenHBand="0" w:firstRowFirstColumn="0" w:firstRowLastColumn="0" w:lastRowFirstColumn="0" w:lastRowLastColumn="0"/>
            <w:tcW w:w="1440" w:type="dxa"/>
          </w:tcPr>
          <w:p w14:paraId="5AC73D72"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b/>
                <w:sz w:val="24"/>
                <w:szCs w:val="24"/>
              </w:rPr>
            </w:pPr>
            <w:r w:rsidRPr="00E75137">
              <w:rPr>
                <w:rFonts w:ascii="Times New Roman" w:hAnsi="Times New Roman" w:cs="Times New Roman"/>
                <w:b/>
                <w:sz w:val="24"/>
                <w:szCs w:val="24"/>
              </w:rPr>
              <w:t>Minimum</w:t>
            </w:r>
          </w:p>
        </w:tc>
        <w:tc>
          <w:tcPr>
            <w:tcW w:w="1440" w:type="dxa"/>
          </w:tcPr>
          <w:p w14:paraId="288D382D"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Maximum</w:t>
            </w:r>
          </w:p>
        </w:tc>
        <w:tc>
          <w:tcPr>
            <w:cnfStyle w:val="000010000000" w:firstRow="0" w:lastRow="0" w:firstColumn="0" w:lastColumn="0" w:oddVBand="1" w:evenVBand="0" w:oddHBand="0" w:evenHBand="0" w:firstRowFirstColumn="0" w:firstRowLastColumn="0" w:lastRowFirstColumn="0" w:lastRowLastColumn="0"/>
            <w:tcW w:w="1260" w:type="dxa"/>
          </w:tcPr>
          <w:p w14:paraId="4CB0D031"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b/>
                <w:sz w:val="24"/>
                <w:szCs w:val="24"/>
              </w:rPr>
            </w:pPr>
            <w:r w:rsidRPr="00E75137">
              <w:rPr>
                <w:rFonts w:ascii="Times New Roman" w:hAnsi="Times New Roman" w:cs="Times New Roman"/>
                <w:b/>
                <w:sz w:val="24"/>
                <w:szCs w:val="24"/>
              </w:rPr>
              <w:t>Mean</w:t>
            </w:r>
          </w:p>
        </w:tc>
        <w:tc>
          <w:tcPr>
            <w:tcW w:w="1260" w:type="dxa"/>
          </w:tcPr>
          <w:p w14:paraId="362FCA55"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Std. D</w:t>
            </w:r>
          </w:p>
        </w:tc>
      </w:tr>
      <w:tr w:rsidR="00AD71A9" w:rsidRPr="00E75137" w14:paraId="7724C734" w14:textId="77777777" w:rsidTr="0092629E">
        <w:tc>
          <w:tcPr>
            <w:cnfStyle w:val="000010000000" w:firstRow="0" w:lastRow="0" w:firstColumn="0" w:lastColumn="0" w:oddVBand="1" w:evenVBand="0" w:oddHBand="0" w:evenHBand="0" w:firstRowFirstColumn="0" w:firstRowLastColumn="0" w:lastRowFirstColumn="0" w:lastRowLastColumn="0"/>
            <w:tcW w:w="3600" w:type="dxa"/>
          </w:tcPr>
          <w:p w14:paraId="488DA5F5"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Height (cm)</w:t>
            </w:r>
          </w:p>
        </w:tc>
        <w:tc>
          <w:tcPr>
            <w:tcW w:w="720" w:type="dxa"/>
          </w:tcPr>
          <w:p w14:paraId="7D247B52"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7B9BF863"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132</w:t>
            </w:r>
          </w:p>
        </w:tc>
        <w:tc>
          <w:tcPr>
            <w:tcW w:w="1440" w:type="dxa"/>
          </w:tcPr>
          <w:p w14:paraId="2994FB0E"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198</w:t>
            </w:r>
          </w:p>
        </w:tc>
        <w:tc>
          <w:tcPr>
            <w:cnfStyle w:val="000010000000" w:firstRow="0" w:lastRow="0" w:firstColumn="0" w:lastColumn="0" w:oddVBand="1" w:evenVBand="0" w:oddHBand="0" w:evenHBand="0" w:firstRowFirstColumn="0" w:firstRowLastColumn="0" w:lastRowFirstColumn="0" w:lastRowLastColumn="0"/>
            <w:tcW w:w="1260" w:type="dxa"/>
          </w:tcPr>
          <w:p w14:paraId="5370231F"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169.51</w:t>
            </w:r>
          </w:p>
        </w:tc>
        <w:tc>
          <w:tcPr>
            <w:tcW w:w="1260" w:type="dxa"/>
          </w:tcPr>
          <w:p w14:paraId="100050B4"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12.764</w:t>
            </w:r>
          </w:p>
        </w:tc>
      </w:tr>
      <w:tr w:rsidR="00AD71A9" w:rsidRPr="00E75137" w14:paraId="69AF6501"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58FB1079"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Weight (kg)</w:t>
            </w:r>
          </w:p>
        </w:tc>
        <w:tc>
          <w:tcPr>
            <w:tcW w:w="720" w:type="dxa"/>
          </w:tcPr>
          <w:p w14:paraId="32B3D217"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378F97EB"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16.6</w:t>
            </w:r>
          </w:p>
        </w:tc>
        <w:tc>
          <w:tcPr>
            <w:tcW w:w="1440" w:type="dxa"/>
          </w:tcPr>
          <w:p w14:paraId="1AC3EADD"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122.0</w:t>
            </w:r>
          </w:p>
        </w:tc>
        <w:tc>
          <w:tcPr>
            <w:cnfStyle w:val="000010000000" w:firstRow="0" w:lastRow="0" w:firstColumn="0" w:lastColumn="0" w:oddVBand="1" w:evenVBand="0" w:oddHBand="0" w:evenHBand="0" w:firstRowFirstColumn="0" w:firstRowLastColumn="0" w:lastRowFirstColumn="0" w:lastRowLastColumn="0"/>
            <w:tcW w:w="1260" w:type="dxa"/>
          </w:tcPr>
          <w:p w14:paraId="6915E79D"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72.303</w:t>
            </w:r>
          </w:p>
        </w:tc>
        <w:tc>
          <w:tcPr>
            <w:tcW w:w="1260" w:type="dxa"/>
          </w:tcPr>
          <w:p w14:paraId="08636F3E"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18.9177</w:t>
            </w:r>
          </w:p>
        </w:tc>
      </w:tr>
      <w:tr w:rsidR="00AD71A9" w:rsidRPr="00E75137" w14:paraId="68AD0CBE" w14:textId="77777777" w:rsidTr="0092629E">
        <w:tc>
          <w:tcPr>
            <w:cnfStyle w:val="000010000000" w:firstRow="0" w:lastRow="0" w:firstColumn="0" w:lastColumn="0" w:oddVBand="1" w:evenVBand="0" w:oddHBand="0" w:evenHBand="0" w:firstRowFirstColumn="0" w:firstRowLastColumn="0" w:lastRowFirstColumn="0" w:lastRowLastColumn="0"/>
            <w:tcW w:w="3600" w:type="dxa"/>
          </w:tcPr>
          <w:p w14:paraId="08C2BC25"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Body Surface Area (m</w:t>
            </w:r>
            <w:r w:rsidRPr="00E75137">
              <w:rPr>
                <w:rFonts w:ascii="Times New Roman" w:hAnsi="Times New Roman" w:cs="Times New Roman"/>
                <w:b/>
                <w:sz w:val="24"/>
                <w:szCs w:val="24"/>
                <w:vertAlign w:val="superscript"/>
              </w:rPr>
              <w:t>2</w:t>
            </w:r>
            <w:r w:rsidRPr="00E75137">
              <w:rPr>
                <w:rFonts w:ascii="Times New Roman" w:hAnsi="Times New Roman" w:cs="Times New Roman"/>
                <w:b/>
                <w:sz w:val="24"/>
                <w:szCs w:val="24"/>
              </w:rPr>
              <w:t>)</w:t>
            </w:r>
          </w:p>
        </w:tc>
        <w:tc>
          <w:tcPr>
            <w:tcW w:w="720" w:type="dxa"/>
          </w:tcPr>
          <w:p w14:paraId="31B896AF"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117976BE"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.88</w:t>
            </w:r>
          </w:p>
        </w:tc>
        <w:tc>
          <w:tcPr>
            <w:tcW w:w="1440" w:type="dxa"/>
          </w:tcPr>
          <w:p w14:paraId="7BCD0F37"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2.54</w:t>
            </w:r>
          </w:p>
        </w:tc>
        <w:tc>
          <w:tcPr>
            <w:cnfStyle w:val="000010000000" w:firstRow="0" w:lastRow="0" w:firstColumn="0" w:lastColumn="0" w:oddVBand="1" w:evenVBand="0" w:oddHBand="0" w:evenHBand="0" w:firstRowFirstColumn="0" w:firstRowLastColumn="0" w:lastRowFirstColumn="0" w:lastRowLastColumn="0"/>
            <w:tcW w:w="1260" w:type="dxa"/>
          </w:tcPr>
          <w:p w14:paraId="04CDBA07"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1.8249</w:t>
            </w:r>
          </w:p>
        </w:tc>
        <w:tc>
          <w:tcPr>
            <w:tcW w:w="1260" w:type="dxa"/>
          </w:tcPr>
          <w:p w14:paraId="63665A8F"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.27348</w:t>
            </w:r>
          </w:p>
        </w:tc>
      </w:tr>
      <w:tr w:rsidR="00AD71A9" w:rsidRPr="00E75137" w14:paraId="3EB3E6AC"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51CECB56"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Body Mass Index (kg/ m</w:t>
            </w:r>
            <w:r w:rsidRPr="00E75137">
              <w:rPr>
                <w:rFonts w:ascii="Times New Roman" w:hAnsi="Times New Roman" w:cs="Times New Roman"/>
                <w:b/>
                <w:sz w:val="24"/>
                <w:szCs w:val="24"/>
                <w:vertAlign w:val="superscript"/>
              </w:rPr>
              <w:t>2</w:t>
            </w:r>
            <w:r w:rsidRPr="00E75137">
              <w:rPr>
                <w:rFonts w:ascii="Times New Roman" w:hAnsi="Times New Roman" w:cs="Times New Roman"/>
                <w:b/>
                <w:sz w:val="24"/>
                <w:szCs w:val="24"/>
              </w:rPr>
              <w:t xml:space="preserve">) </w:t>
            </w:r>
          </w:p>
        </w:tc>
        <w:tc>
          <w:tcPr>
            <w:tcW w:w="720" w:type="dxa"/>
          </w:tcPr>
          <w:p w14:paraId="055B74D1"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209D2FD9"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5.82</w:t>
            </w:r>
          </w:p>
        </w:tc>
        <w:tc>
          <w:tcPr>
            <w:tcW w:w="1440" w:type="dxa"/>
          </w:tcPr>
          <w:p w14:paraId="49415AF8"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44.11</w:t>
            </w:r>
          </w:p>
        </w:tc>
        <w:tc>
          <w:tcPr>
            <w:cnfStyle w:val="000010000000" w:firstRow="0" w:lastRow="0" w:firstColumn="0" w:lastColumn="0" w:oddVBand="1" w:evenVBand="0" w:oddHBand="0" w:evenHBand="0" w:firstRowFirstColumn="0" w:firstRowLastColumn="0" w:lastRowFirstColumn="0" w:lastRowLastColumn="0"/>
            <w:tcW w:w="1260" w:type="dxa"/>
          </w:tcPr>
          <w:p w14:paraId="6B4BAC57"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25.4264</w:t>
            </w:r>
          </w:p>
        </w:tc>
        <w:tc>
          <w:tcPr>
            <w:tcW w:w="1260" w:type="dxa"/>
          </w:tcPr>
          <w:p w14:paraId="511F740D"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7.27354</w:t>
            </w:r>
          </w:p>
        </w:tc>
      </w:tr>
      <w:tr w:rsidR="00AD71A9" w:rsidRPr="00E75137" w14:paraId="18209943" w14:textId="77777777" w:rsidTr="0092629E">
        <w:tc>
          <w:tcPr>
            <w:cnfStyle w:val="000010000000" w:firstRow="0" w:lastRow="0" w:firstColumn="0" w:lastColumn="0" w:oddVBand="1" w:evenVBand="0" w:oddHBand="0" w:evenHBand="0" w:firstRowFirstColumn="0" w:firstRowLastColumn="0" w:lastRowFirstColumn="0" w:lastRowLastColumn="0"/>
            <w:tcW w:w="3600" w:type="dxa"/>
          </w:tcPr>
          <w:p w14:paraId="16A5270F"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Systolic Blood Pressure (mmHg)</w:t>
            </w:r>
          </w:p>
        </w:tc>
        <w:tc>
          <w:tcPr>
            <w:tcW w:w="720" w:type="dxa"/>
          </w:tcPr>
          <w:p w14:paraId="58D8245E"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76F813A5"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.00</w:t>
            </w:r>
          </w:p>
        </w:tc>
        <w:tc>
          <w:tcPr>
            <w:tcW w:w="1440" w:type="dxa"/>
          </w:tcPr>
          <w:p w14:paraId="2616978E"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190.00</w:t>
            </w:r>
          </w:p>
        </w:tc>
        <w:tc>
          <w:tcPr>
            <w:cnfStyle w:val="000010000000" w:firstRow="0" w:lastRow="0" w:firstColumn="0" w:lastColumn="0" w:oddVBand="1" w:evenVBand="0" w:oddHBand="0" w:evenHBand="0" w:firstRowFirstColumn="0" w:firstRowLastColumn="0" w:lastRowFirstColumn="0" w:lastRowLastColumn="0"/>
            <w:tcW w:w="1260" w:type="dxa"/>
          </w:tcPr>
          <w:p w14:paraId="4BC0EABE"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144.9903</w:t>
            </w:r>
          </w:p>
        </w:tc>
        <w:tc>
          <w:tcPr>
            <w:tcW w:w="1260" w:type="dxa"/>
          </w:tcPr>
          <w:p w14:paraId="42FA51CA"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44.43490</w:t>
            </w:r>
          </w:p>
        </w:tc>
      </w:tr>
      <w:tr w:rsidR="00AD71A9" w:rsidRPr="00E75137" w14:paraId="28A16E1C"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35A461E1"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Diastolic Blood Pressure (mmHg)</w:t>
            </w:r>
          </w:p>
        </w:tc>
        <w:tc>
          <w:tcPr>
            <w:tcW w:w="720" w:type="dxa"/>
          </w:tcPr>
          <w:p w14:paraId="7E4BB39A"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393603FF"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.00</w:t>
            </w:r>
          </w:p>
        </w:tc>
        <w:tc>
          <w:tcPr>
            <w:tcW w:w="1440" w:type="dxa"/>
          </w:tcPr>
          <w:p w14:paraId="68441A96"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100.00</w:t>
            </w:r>
          </w:p>
        </w:tc>
        <w:tc>
          <w:tcPr>
            <w:cnfStyle w:val="000010000000" w:firstRow="0" w:lastRow="0" w:firstColumn="0" w:lastColumn="0" w:oddVBand="1" w:evenVBand="0" w:oddHBand="0" w:evenHBand="0" w:firstRowFirstColumn="0" w:firstRowLastColumn="0" w:lastRowFirstColumn="0" w:lastRowLastColumn="0"/>
            <w:tcW w:w="1260" w:type="dxa"/>
          </w:tcPr>
          <w:p w14:paraId="17BCDB3D"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62.4369</w:t>
            </w:r>
          </w:p>
        </w:tc>
        <w:tc>
          <w:tcPr>
            <w:tcW w:w="1260" w:type="dxa"/>
          </w:tcPr>
          <w:p w14:paraId="43337878"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23.25800</w:t>
            </w:r>
          </w:p>
        </w:tc>
      </w:tr>
    </w:tbl>
    <w:p w14:paraId="5409EBD5" w14:textId="77777777" w:rsidR="00AD71A9" w:rsidRPr="00E75137" w:rsidRDefault="00AD71A9" w:rsidP="00D44A96">
      <w:pPr>
        <w:spacing w:line="276" w:lineRule="auto"/>
        <w:jc w:val="both"/>
        <w:rPr>
          <w:rFonts w:ascii="Times New Roman" w:hAnsi="Times New Roman" w:cs="Times New Roman"/>
          <w:b/>
          <w:sz w:val="24"/>
          <w:szCs w:val="24"/>
        </w:rPr>
      </w:pPr>
    </w:p>
    <w:p w14:paraId="1BA9250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The data indicates a population with diverse body sizes, BMI categories (underweight, normal, overweight, and obese), and blood pressure levels. The average systolic blood pressure suggests a </w:t>
      </w:r>
      <w:r w:rsidRPr="00E75137">
        <w:rPr>
          <w:rFonts w:ascii="Times New Roman" w:hAnsi="Times New Roman" w:cs="Times New Roman"/>
          <w:sz w:val="24"/>
          <w:szCs w:val="24"/>
        </w:rPr>
        <w:lastRenderedPageBreak/>
        <w:t>trend toward hypertension, while the low mean diastolic pressure is unusual and may need verification of data accuracy. The presence of minimum values recorded as "0" for blood pressure highlights potential errors or missing data in measurement.</w:t>
      </w:r>
    </w:p>
    <w:p w14:paraId="6EE6A979" w14:textId="546E185E" w:rsidR="00AD71A9" w:rsidRPr="00E75137" w:rsidRDefault="00AD71A9" w:rsidP="00D44A96">
      <w:pPr>
        <w:pStyle w:val="NormalWeb"/>
        <w:spacing w:line="276" w:lineRule="auto"/>
        <w:jc w:val="both"/>
      </w:pPr>
      <w:r w:rsidRPr="00E75137">
        <w:t xml:space="preserve">This table above presents the </w:t>
      </w:r>
      <w:r w:rsidRPr="00E75137">
        <w:rPr>
          <w:rStyle w:val="Strong"/>
          <w:rFonts w:eastAsiaTheme="majorEastAsia"/>
          <w:b w:val="0"/>
          <w:bCs w:val="0"/>
        </w:rPr>
        <w:t>anthropometric and clinical characteristics</w:t>
      </w:r>
      <w:r w:rsidRPr="00E75137">
        <w:t xml:space="preserve"> of 103 respondents. It summarizes their height, weight, body surface area (BSA), body mass index (BMI), and blood pressure values. Respondents’ heights ranged from </w:t>
      </w:r>
      <w:r w:rsidRPr="00E75137">
        <w:rPr>
          <w:rStyle w:val="Strong"/>
          <w:rFonts w:eastAsiaTheme="majorEastAsia"/>
          <w:b w:val="0"/>
          <w:bCs w:val="0"/>
        </w:rPr>
        <w:t>132 cm to 198 cm</w:t>
      </w:r>
      <w:r w:rsidRPr="00E75137">
        <w:t xml:space="preserve">, with an average of </w:t>
      </w:r>
      <w:r w:rsidRPr="00E75137">
        <w:rPr>
          <w:rStyle w:val="Strong"/>
          <w:rFonts w:eastAsiaTheme="majorEastAsia"/>
          <w:b w:val="0"/>
          <w:bCs w:val="0"/>
        </w:rPr>
        <w:t>169.51 cm</w:t>
      </w:r>
      <w:r w:rsidRPr="00E75137">
        <w:t>. The standard deviation (SD = 12.76) shows moderate variability in height.</w:t>
      </w:r>
      <w:r w:rsidR="00AD636F" w:rsidRPr="00E75137">
        <w:t xml:space="preserve"> </w:t>
      </w:r>
      <w:r w:rsidRPr="00E75137">
        <w:t xml:space="preserve">The minimum weight was </w:t>
      </w:r>
      <w:r w:rsidRPr="00E75137">
        <w:rPr>
          <w:rStyle w:val="Strong"/>
          <w:rFonts w:eastAsiaTheme="majorEastAsia"/>
          <w:b w:val="0"/>
          <w:bCs w:val="0"/>
        </w:rPr>
        <w:t>16.6 kg</w:t>
      </w:r>
      <w:r w:rsidRPr="00E75137">
        <w:t xml:space="preserve">, while the maximum was </w:t>
      </w:r>
      <w:r w:rsidRPr="00E75137">
        <w:rPr>
          <w:rStyle w:val="Strong"/>
          <w:rFonts w:eastAsiaTheme="majorEastAsia"/>
          <w:b w:val="0"/>
          <w:bCs w:val="0"/>
        </w:rPr>
        <w:t>122 kg</w:t>
      </w:r>
      <w:r w:rsidRPr="00E75137">
        <w:t xml:space="preserve">. The mean weight was </w:t>
      </w:r>
      <w:r w:rsidRPr="00E75137">
        <w:rPr>
          <w:rStyle w:val="Strong"/>
          <w:rFonts w:eastAsiaTheme="majorEastAsia"/>
          <w:b w:val="0"/>
          <w:bCs w:val="0"/>
        </w:rPr>
        <w:t>72.30 kg</w:t>
      </w:r>
      <w:r w:rsidRPr="00E75137">
        <w:t>, with a fairly high variability (SD = 18.92), suggesting diverse body sizes among participants.</w:t>
      </w:r>
      <w:r w:rsidR="00AD636F" w:rsidRPr="00E75137">
        <w:t xml:space="preserve"> </w:t>
      </w:r>
      <w:r w:rsidRPr="00E75137">
        <w:rPr>
          <w:rStyle w:val="Strong"/>
          <w:rFonts w:eastAsiaTheme="majorEastAsia"/>
          <w:b w:val="0"/>
          <w:bCs w:val="0"/>
        </w:rPr>
        <w:t>Body Surface Area (BSA)</w:t>
      </w:r>
      <w:r w:rsidRPr="00E75137">
        <w:t xml:space="preserve"> ranged between </w:t>
      </w:r>
      <w:r w:rsidRPr="00E75137">
        <w:rPr>
          <w:rStyle w:val="Strong"/>
          <w:rFonts w:eastAsiaTheme="majorEastAsia"/>
          <w:b w:val="0"/>
          <w:bCs w:val="0"/>
        </w:rPr>
        <w:t>0.88 m² and 2.54 m²</w:t>
      </w:r>
      <w:r w:rsidRPr="00E75137">
        <w:t xml:space="preserve">, with a mean of </w:t>
      </w:r>
      <w:r w:rsidRPr="00E75137">
        <w:rPr>
          <w:rStyle w:val="Strong"/>
          <w:rFonts w:eastAsiaTheme="majorEastAsia"/>
          <w:b w:val="0"/>
          <w:bCs w:val="0"/>
        </w:rPr>
        <w:t>1.82 m²</w:t>
      </w:r>
      <w:r w:rsidRPr="00E75137">
        <w:t>. The relatively small SD (0.27) shows less variability compared to weight.</w:t>
      </w:r>
    </w:p>
    <w:p w14:paraId="22007CD2" w14:textId="71221E1A" w:rsidR="00AD71A9" w:rsidRPr="00E75137" w:rsidRDefault="00AD71A9" w:rsidP="00D44A96">
      <w:pPr>
        <w:pStyle w:val="NormalWeb"/>
        <w:spacing w:line="276" w:lineRule="auto"/>
        <w:jc w:val="both"/>
      </w:pPr>
      <w:r w:rsidRPr="00E75137">
        <w:rPr>
          <w:rStyle w:val="Strong"/>
          <w:rFonts w:eastAsiaTheme="majorEastAsia"/>
          <w:b w:val="0"/>
          <w:bCs w:val="0"/>
        </w:rPr>
        <w:t>Body Mass Index (BMI)</w:t>
      </w:r>
      <w:r w:rsidRPr="00E75137">
        <w:t xml:space="preserve"> values ranged widely from </w:t>
      </w:r>
      <w:r w:rsidRPr="00E75137">
        <w:rPr>
          <w:rStyle w:val="Strong"/>
          <w:rFonts w:eastAsiaTheme="majorEastAsia"/>
          <w:b w:val="0"/>
          <w:bCs w:val="0"/>
        </w:rPr>
        <w:t>5.82 kg/m² to 44.11 kg/m²</w:t>
      </w:r>
      <w:r w:rsidRPr="00E75137">
        <w:t xml:space="preserve">. The mean BMI was </w:t>
      </w:r>
      <w:r w:rsidRPr="00E75137">
        <w:rPr>
          <w:rStyle w:val="Strong"/>
          <w:rFonts w:eastAsiaTheme="majorEastAsia"/>
          <w:b w:val="0"/>
          <w:bCs w:val="0"/>
        </w:rPr>
        <w:t>25.43 kg/m²</w:t>
      </w:r>
      <w:r w:rsidRPr="00E75137">
        <w:t xml:space="preserve"> (close to the overweight threshold of 25), suggesting that on average, the</w:t>
      </w:r>
      <w:r w:rsidR="00AD636F" w:rsidRPr="00E75137">
        <w:t xml:space="preserve"> </w:t>
      </w:r>
      <w:r w:rsidRPr="00E75137">
        <w:t>respondents fall at the borderline between normal weight and overweight. The high SD (7.27) indicates substantial variation, with cases of severe underweight (BMI 5.82) and obesity (BMI 44.11).</w:t>
      </w:r>
    </w:p>
    <w:p w14:paraId="1EACBC07" w14:textId="54903B28" w:rsidR="00AD71A9" w:rsidRPr="00E75137" w:rsidRDefault="00AD71A9" w:rsidP="00D44A96">
      <w:pPr>
        <w:pStyle w:val="NormalWeb"/>
        <w:spacing w:line="276" w:lineRule="auto"/>
        <w:jc w:val="both"/>
      </w:pPr>
      <w:r w:rsidRPr="00E75137">
        <w:rPr>
          <w:rStyle w:val="Strong"/>
          <w:rFonts w:eastAsiaTheme="majorEastAsia"/>
          <w:b w:val="0"/>
          <w:bCs w:val="0"/>
        </w:rPr>
        <w:t>Systolic Blood Pressure (SBP)</w:t>
      </w:r>
      <w:r w:rsidRPr="00E75137">
        <w:t xml:space="preserve"> values ranged from </w:t>
      </w:r>
      <w:r w:rsidRPr="00E75137">
        <w:rPr>
          <w:rStyle w:val="Strong"/>
          <w:rFonts w:eastAsiaTheme="majorEastAsia"/>
          <w:b w:val="0"/>
          <w:bCs w:val="0"/>
        </w:rPr>
        <w:t>0 mmHg to 190 mmHg</w:t>
      </w:r>
      <w:r w:rsidRPr="00E75137">
        <w:t xml:space="preserve">. The zero value may be due to a measurement or recording error. The mean SBP was </w:t>
      </w:r>
      <w:r w:rsidRPr="00E75137">
        <w:rPr>
          <w:rStyle w:val="Strong"/>
          <w:rFonts w:eastAsiaTheme="majorEastAsia"/>
          <w:b w:val="0"/>
          <w:bCs w:val="0"/>
        </w:rPr>
        <w:t>144.99 mmHg</w:t>
      </w:r>
      <w:r w:rsidRPr="00E75137">
        <w:t xml:space="preserve">, which is in the </w:t>
      </w:r>
      <w:r w:rsidRPr="00E75137">
        <w:rPr>
          <w:rStyle w:val="Strong"/>
          <w:rFonts w:eastAsiaTheme="majorEastAsia"/>
          <w:b w:val="0"/>
          <w:bCs w:val="0"/>
        </w:rPr>
        <w:t>hypertensive range</w:t>
      </w:r>
      <w:r w:rsidRPr="00E75137">
        <w:t xml:space="preserve"> (&gt;140 mmHg). The large SD (44.43) shows wide variability in blood pressure among participants.</w:t>
      </w:r>
      <w:r w:rsidR="00AD636F" w:rsidRPr="00E75137">
        <w:t xml:space="preserve"> </w:t>
      </w:r>
      <w:r w:rsidRPr="00E75137">
        <w:rPr>
          <w:rStyle w:val="Strong"/>
          <w:rFonts w:eastAsiaTheme="majorEastAsia"/>
          <w:b w:val="0"/>
          <w:bCs w:val="0"/>
        </w:rPr>
        <w:t>Diastolic Blood Pressure (DBP)</w:t>
      </w:r>
      <w:r w:rsidRPr="00E75137">
        <w:t xml:space="preserve"> values ranged from </w:t>
      </w:r>
      <w:r w:rsidRPr="00E75137">
        <w:rPr>
          <w:rStyle w:val="Strong"/>
          <w:rFonts w:eastAsiaTheme="majorEastAsia"/>
          <w:b w:val="0"/>
          <w:bCs w:val="0"/>
        </w:rPr>
        <w:t>0 mmHg to 100 mmHg</w:t>
      </w:r>
      <w:r w:rsidRPr="00E75137">
        <w:t xml:space="preserve">, with zero again suggesting a possible error. The mean DBP was </w:t>
      </w:r>
      <w:r w:rsidRPr="00E75137">
        <w:rPr>
          <w:rStyle w:val="Strong"/>
          <w:rFonts w:eastAsiaTheme="majorEastAsia"/>
          <w:b w:val="0"/>
          <w:bCs w:val="0"/>
        </w:rPr>
        <w:t>62.44 mmHg</w:t>
      </w:r>
      <w:r w:rsidRPr="00E75137">
        <w:t>, which is slightly lower than the typical normal range (70–80 mmHg). High variability is seen (SD = 23.26), indicating differences in cardiovascular status.</w:t>
      </w:r>
    </w:p>
    <w:p w14:paraId="2454E7BA" w14:textId="77777777" w:rsidR="00AD636F" w:rsidRPr="00E75137" w:rsidRDefault="00AD636F" w:rsidP="00D44A96">
      <w:pPr>
        <w:spacing w:line="276" w:lineRule="auto"/>
        <w:jc w:val="both"/>
        <w:rPr>
          <w:rFonts w:ascii="Times New Roman" w:hAnsi="Times New Roman" w:cs="Times New Roman"/>
          <w:b/>
          <w:sz w:val="24"/>
          <w:szCs w:val="24"/>
        </w:rPr>
      </w:pPr>
    </w:p>
    <w:p w14:paraId="5FA7357F" w14:textId="5FFDC0BA"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Table.3: Association between Gender and Hypertension Status</w:t>
      </w:r>
    </w:p>
    <w:tbl>
      <w:tblPr>
        <w:tblStyle w:val="PlainTable1"/>
        <w:tblW w:w="9468" w:type="dxa"/>
        <w:tblLook w:val="04A0" w:firstRow="1" w:lastRow="0" w:firstColumn="1" w:lastColumn="0" w:noHBand="0" w:noVBand="1"/>
      </w:tblPr>
      <w:tblGrid>
        <w:gridCol w:w="1728"/>
        <w:gridCol w:w="2210"/>
        <w:gridCol w:w="2650"/>
        <w:gridCol w:w="1440"/>
        <w:gridCol w:w="1440"/>
      </w:tblGrid>
      <w:tr w:rsidR="00AD71A9" w:rsidRPr="00E75137" w14:paraId="37881D07"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CBC242D"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w:t>
            </w:r>
          </w:p>
        </w:tc>
        <w:tc>
          <w:tcPr>
            <w:tcW w:w="2210" w:type="dxa"/>
          </w:tcPr>
          <w:p w14:paraId="48C4A06C"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Hypertensive (Yes)</w:t>
            </w:r>
          </w:p>
        </w:tc>
        <w:tc>
          <w:tcPr>
            <w:tcW w:w="2650" w:type="dxa"/>
          </w:tcPr>
          <w:p w14:paraId="3A4B336A"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Not Hypertension (No)</w:t>
            </w:r>
          </w:p>
        </w:tc>
        <w:tc>
          <w:tcPr>
            <w:tcW w:w="1440" w:type="dxa"/>
          </w:tcPr>
          <w:p w14:paraId="72003DB9"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Unsure</w:t>
            </w:r>
          </w:p>
        </w:tc>
        <w:tc>
          <w:tcPr>
            <w:tcW w:w="1440" w:type="dxa"/>
          </w:tcPr>
          <w:p w14:paraId="0E4CE8B5"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Total</w:t>
            </w:r>
          </w:p>
        </w:tc>
      </w:tr>
      <w:tr w:rsidR="00AD71A9" w:rsidRPr="00E75137" w14:paraId="6522F4EA"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BCE7500"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Male (n=52)</w:t>
            </w:r>
          </w:p>
        </w:tc>
        <w:tc>
          <w:tcPr>
            <w:tcW w:w="2210" w:type="dxa"/>
          </w:tcPr>
          <w:p w14:paraId="3A6B6A93"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33 (63.5%)</w:t>
            </w:r>
          </w:p>
        </w:tc>
        <w:tc>
          <w:tcPr>
            <w:tcW w:w="2650" w:type="dxa"/>
          </w:tcPr>
          <w:p w14:paraId="45E460B2"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 (13.5%)</w:t>
            </w:r>
          </w:p>
        </w:tc>
        <w:tc>
          <w:tcPr>
            <w:tcW w:w="1440" w:type="dxa"/>
          </w:tcPr>
          <w:p w14:paraId="655E5797"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 (23.1%)</w:t>
            </w:r>
          </w:p>
        </w:tc>
        <w:tc>
          <w:tcPr>
            <w:tcW w:w="1440" w:type="dxa"/>
          </w:tcPr>
          <w:p w14:paraId="6F532E45"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52 (100%)</w:t>
            </w:r>
          </w:p>
        </w:tc>
      </w:tr>
      <w:tr w:rsidR="00AD71A9" w:rsidRPr="00E75137" w14:paraId="3754F799" w14:textId="77777777" w:rsidTr="0092629E">
        <w:tc>
          <w:tcPr>
            <w:cnfStyle w:val="001000000000" w:firstRow="0" w:lastRow="0" w:firstColumn="1" w:lastColumn="0" w:oddVBand="0" w:evenVBand="0" w:oddHBand="0" w:evenHBand="0" w:firstRowFirstColumn="0" w:firstRowLastColumn="0" w:lastRowFirstColumn="0" w:lastRowLastColumn="0"/>
            <w:tcW w:w="1728" w:type="dxa"/>
          </w:tcPr>
          <w:p w14:paraId="091AABEC"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Female (n=51)</w:t>
            </w:r>
          </w:p>
        </w:tc>
        <w:tc>
          <w:tcPr>
            <w:tcW w:w="2210" w:type="dxa"/>
          </w:tcPr>
          <w:p w14:paraId="5F423A53"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37 (72.5%)</w:t>
            </w:r>
          </w:p>
        </w:tc>
        <w:tc>
          <w:tcPr>
            <w:tcW w:w="2650" w:type="dxa"/>
          </w:tcPr>
          <w:p w14:paraId="0AC467D5"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 (5.9%)</w:t>
            </w:r>
          </w:p>
        </w:tc>
        <w:tc>
          <w:tcPr>
            <w:tcW w:w="1440" w:type="dxa"/>
          </w:tcPr>
          <w:p w14:paraId="2BD01C83"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 (21.6%)</w:t>
            </w:r>
          </w:p>
        </w:tc>
        <w:tc>
          <w:tcPr>
            <w:tcW w:w="1440" w:type="dxa"/>
          </w:tcPr>
          <w:p w14:paraId="69E2A807"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51 (100%)</w:t>
            </w:r>
          </w:p>
        </w:tc>
      </w:tr>
      <w:tr w:rsidR="00AD71A9" w:rsidRPr="00E75137" w14:paraId="28B6028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1AB875E"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Total (n=103)</w:t>
            </w:r>
          </w:p>
        </w:tc>
        <w:tc>
          <w:tcPr>
            <w:tcW w:w="2210" w:type="dxa"/>
          </w:tcPr>
          <w:p w14:paraId="3C74F25F"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 (68.0%)</w:t>
            </w:r>
          </w:p>
        </w:tc>
        <w:tc>
          <w:tcPr>
            <w:tcW w:w="2650" w:type="dxa"/>
          </w:tcPr>
          <w:p w14:paraId="6D82FC74" w14:textId="77777777" w:rsidR="00AD71A9" w:rsidRPr="00E75137" w:rsidRDefault="00AD71A9" w:rsidP="00D44A96">
            <w:pPr>
              <w:tabs>
                <w:tab w:val="right" w:pos="2434"/>
              </w:tabs>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 (9.7%)</w:t>
            </w:r>
            <w:r w:rsidRPr="00E75137">
              <w:rPr>
                <w:rFonts w:ascii="Times New Roman" w:hAnsi="Times New Roman" w:cs="Times New Roman"/>
                <w:sz w:val="24"/>
                <w:szCs w:val="24"/>
              </w:rPr>
              <w:tab/>
            </w:r>
          </w:p>
        </w:tc>
        <w:tc>
          <w:tcPr>
            <w:tcW w:w="1440" w:type="dxa"/>
          </w:tcPr>
          <w:p w14:paraId="551BD517"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 (22.3%)</w:t>
            </w:r>
          </w:p>
        </w:tc>
        <w:tc>
          <w:tcPr>
            <w:tcW w:w="1440" w:type="dxa"/>
          </w:tcPr>
          <w:p w14:paraId="27CAC360"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 (100%)</w:t>
            </w:r>
          </w:p>
        </w:tc>
      </w:tr>
    </w:tbl>
    <w:p w14:paraId="698CE2C4"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5CE46998"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Chi-square test: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1.863, df = 2, p = 0.394 Because p = 0.394 &gt; 0.05, the difference in hypertension status between males and females is not statistically significant.</w:t>
      </w:r>
    </w:p>
    <w:p w14:paraId="41B3D7BE"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Out of 103 respondents, 68% were known hypertensive patients, with prevalence higher among females (72.5%) than males (63.5%). However, Chi-square test revealed no statistically significant association between gender and hypertension status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1.863, df = 2, p = 0.394). This indicates that in this study sample, gender was not a significant predictor of hypertension status.</w:t>
      </w:r>
    </w:p>
    <w:p w14:paraId="2B68609A"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699DD170" w14:textId="24D779A3"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4: Association between Dominant Hand and Hypertension Status</w:t>
      </w:r>
    </w:p>
    <w:tbl>
      <w:tblPr>
        <w:tblStyle w:val="PlainTable1"/>
        <w:tblW w:w="9581" w:type="dxa"/>
        <w:tblLayout w:type="fixed"/>
        <w:tblLook w:val="04A0" w:firstRow="1" w:lastRow="0" w:firstColumn="1" w:lastColumn="0" w:noHBand="0" w:noVBand="1"/>
      </w:tblPr>
      <w:tblGrid>
        <w:gridCol w:w="2718"/>
        <w:gridCol w:w="1800"/>
        <w:gridCol w:w="2160"/>
        <w:gridCol w:w="1440"/>
        <w:gridCol w:w="1463"/>
      </w:tblGrid>
      <w:tr w:rsidR="00AD71A9" w:rsidRPr="00E75137" w14:paraId="6D1C3654"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6789778"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w:t>
            </w:r>
          </w:p>
        </w:tc>
        <w:tc>
          <w:tcPr>
            <w:tcW w:w="1800" w:type="dxa"/>
          </w:tcPr>
          <w:p w14:paraId="3B57B202"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 xml:space="preserve">Hypertensive </w:t>
            </w:r>
          </w:p>
          <w:p w14:paraId="2E54C148"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(Yes)</w:t>
            </w:r>
          </w:p>
        </w:tc>
        <w:tc>
          <w:tcPr>
            <w:tcW w:w="2160" w:type="dxa"/>
          </w:tcPr>
          <w:p w14:paraId="0487B6BC"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 xml:space="preserve">Not Hypertension </w:t>
            </w:r>
          </w:p>
          <w:p w14:paraId="6579FA06"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(No)</w:t>
            </w:r>
          </w:p>
        </w:tc>
        <w:tc>
          <w:tcPr>
            <w:tcW w:w="1440" w:type="dxa"/>
          </w:tcPr>
          <w:p w14:paraId="1379AD12"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Unsure</w:t>
            </w:r>
          </w:p>
        </w:tc>
        <w:tc>
          <w:tcPr>
            <w:tcW w:w="1463" w:type="dxa"/>
          </w:tcPr>
          <w:p w14:paraId="3DF14CCD"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Total</w:t>
            </w:r>
          </w:p>
        </w:tc>
      </w:tr>
      <w:tr w:rsidR="00AD71A9" w:rsidRPr="00E75137" w14:paraId="045E0629"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E5D16E5"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Right (n = 39)</w:t>
            </w:r>
          </w:p>
        </w:tc>
        <w:tc>
          <w:tcPr>
            <w:tcW w:w="1800" w:type="dxa"/>
          </w:tcPr>
          <w:p w14:paraId="04443C11"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 (74.4%)</w:t>
            </w:r>
          </w:p>
        </w:tc>
        <w:tc>
          <w:tcPr>
            <w:tcW w:w="2160" w:type="dxa"/>
          </w:tcPr>
          <w:p w14:paraId="48C108CE"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 (10.3%)</w:t>
            </w:r>
          </w:p>
        </w:tc>
        <w:tc>
          <w:tcPr>
            <w:tcW w:w="1440" w:type="dxa"/>
          </w:tcPr>
          <w:p w14:paraId="307B9C41"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 (15.4%)</w:t>
            </w:r>
          </w:p>
        </w:tc>
        <w:tc>
          <w:tcPr>
            <w:tcW w:w="1463" w:type="dxa"/>
          </w:tcPr>
          <w:p w14:paraId="11264627"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39 (100%)</w:t>
            </w:r>
          </w:p>
        </w:tc>
      </w:tr>
      <w:tr w:rsidR="00AD71A9" w:rsidRPr="00E75137" w14:paraId="6D1E92E4" w14:textId="77777777" w:rsidTr="0092629E">
        <w:tc>
          <w:tcPr>
            <w:cnfStyle w:val="001000000000" w:firstRow="0" w:lastRow="0" w:firstColumn="1" w:lastColumn="0" w:oddVBand="0" w:evenVBand="0" w:oddHBand="0" w:evenHBand="0" w:firstRowFirstColumn="0" w:firstRowLastColumn="0" w:lastRowFirstColumn="0" w:lastRowLastColumn="0"/>
            <w:tcW w:w="2718" w:type="dxa"/>
          </w:tcPr>
          <w:p w14:paraId="261F0B05"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Left (n = 28)</w:t>
            </w:r>
          </w:p>
        </w:tc>
        <w:tc>
          <w:tcPr>
            <w:tcW w:w="1800" w:type="dxa"/>
          </w:tcPr>
          <w:p w14:paraId="0FF6742B"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 (67.9%)</w:t>
            </w:r>
          </w:p>
        </w:tc>
        <w:tc>
          <w:tcPr>
            <w:tcW w:w="2160" w:type="dxa"/>
          </w:tcPr>
          <w:p w14:paraId="7CD355AE"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 (3.6%)</w:t>
            </w:r>
          </w:p>
        </w:tc>
        <w:tc>
          <w:tcPr>
            <w:tcW w:w="1440" w:type="dxa"/>
          </w:tcPr>
          <w:p w14:paraId="528B0007"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 (28.6%)</w:t>
            </w:r>
          </w:p>
        </w:tc>
        <w:tc>
          <w:tcPr>
            <w:tcW w:w="1463" w:type="dxa"/>
          </w:tcPr>
          <w:p w14:paraId="398CE449"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 (100%)</w:t>
            </w:r>
          </w:p>
        </w:tc>
      </w:tr>
      <w:tr w:rsidR="00AD71A9" w:rsidRPr="00E75137" w14:paraId="41813EF8"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48F634E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Ambidextrous (n = 36)</w:t>
            </w:r>
          </w:p>
        </w:tc>
        <w:tc>
          <w:tcPr>
            <w:tcW w:w="1800" w:type="dxa"/>
          </w:tcPr>
          <w:p w14:paraId="285785EA"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22 (61.1%)</w:t>
            </w:r>
          </w:p>
        </w:tc>
        <w:tc>
          <w:tcPr>
            <w:tcW w:w="2160" w:type="dxa"/>
          </w:tcPr>
          <w:p w14:paraId="40B9243F"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 (13.9%)</w:t>
            </w:r>
          </w:p>
        </w:tc>
        <w:tc>
          <w:tcPr>
            <w:tcW w:w="1440" w:type="dxa"/>
          </w:tcPr>
          <w:p w14:paraId="19B04E3F"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 (25.0%)</w:t>
            </w:r>
          </w:p>
        </w:tc>
        <w:tc>
          <w:tcPr>
            <w:tcW w:w="1463" w:type="dxa"/>
          </w:tcPr>
          <w:p w14:paraId="1BB673B2"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36 (100%)</w:t>
            </w:r>
          </w:p>
        </w:tc>
      </w:tr>
      <w:tr w:rsidR="00AD71A9" w:rsidRPr="00E75137" w14:paraId="6C710806" w14:textId="77777777" w:rsidTr="0092629E">
        <w:tc>
          <w:tcPr>
            <w:cnfStyle w:val="001000000000" w:firstRow="0" w:lastRow="0" w:firstColumn="1" w:lastColumn="0" w:oddVBand="0" w:evenVBand="0" w:oddHBand="0" w:evenHBand="0" w:firstRowFirstColumn="0" w:firstRowLastColumn="0" w:lastRowFirstColumn="0" w:lastRowLastColumn="0"/>
            <w:tcW w:w="2718" w:type="dxa"/>
          </w:tcPr>
          <w:p w14:paraId="165978A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Total (n = 103)</w:t>
            </w:r>
          </w:p>
        </w:tc>
        <w:tc>
          <w:tcPr>
            <w:tcW w:w="1800" w:type="dxa"/>
          </w:tcPr>
          <w:p w14:paraId="01756560"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 (68.0%)</w:t>
            </w:r>
          </w:p>
        </w:tc>
        <w:tc>
          <w:tcPr>
            <w:tcW w:w="2160" w:type="dxa"/>
          </w:tcPr>
          <w:p w14:paraId="0FBEBFC9"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 (9.7%)</w:t>
            </w:r>
          </w:p>
        </w:tc>
        <w:tc>
          <w:tcPr>
            <w:tcW w:w="1440" w:type="dxa"/>
          </w:tcPr>
          <w:p w14:paraId="23D0466F"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 (22.3%)</w:t>
            </w:r>
          </w:p>
        </w:tc>
        <w:tc>
          <w:tcPr>
            <w:tcW w:w="1463" w:type="dxa"/>
          </w:tcPr>
          <w:p w14:paraId="082AC916"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 (100%)</w:t>
            </w:r>
          </w:p>
        </w:tc>
      </w:tr>
    </w:tbl>
    <w:p w14:paraId="474DCB1F"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0E764CF1"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Chi-square test: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3.676, df = 4, p = 0.452. Since p = 0.452 &gt; 0.05, the difference in hypertension status across handedness groups is not statistically significant.</w:t>
      </w:r>
    </w:p>
    <w:p w14:paraId="6B726382"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Among the 103 respondents, 74.4% of right-handed, 67.9% of left-handed, and 61.1 % of ambidextrous individuals reported hypertension. Although right-handed participants had the highest proportion of hypertension, Chi-square analysis showed no significant association between handedness and hypertension status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3.676, df = 4, p = 0.452). This suggests that handedness was not a significant factor in predicting hypertension among the respondents.</w:t>
      </w:r>
    </w:p>
    <w:p w14:paraId="1E6067A4"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3FAEAC65" w14:textId="7962226D"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Table 5: Association between Stature and Blood Pressure </w:t>
      </w:r>
    </w:p>
    <w:tbl>
      <w:tblPr>
        <w:tblStyle w:val="PlainTable1"/>
        <w:tblW w:w="0" w:type="auto"/>
        <w:jc w:val="center"/>
        <w:tblLook w:val="04A0" w:firstRow="1" w:lastRow="0" w:firstColumn="1" w:lastColumn="0" w:noHBand="0" w:noVBand="1"/>
      </w:tblPr>
      <w:tblGrid>
        <w:gridCol w:w="2988"/>
        <w:gridCol w:w="1800"/>
        <w:gridCol w:w="2143"/>
      </w:tblGrid>
      <w:tr w:rsidR="00AD71A9" w:rsidRPr="00E75137" w14:paraId="048A0E2B" w14:textId="77777777" w:rsidTr="009262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2B187B7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 Pair</w:t>
            </w:r>
          </w:p>
        </w:tc>
        <w:tc>
          <w:tcPr>
            <w:tcW w:w="1800" w:type="dxa"/>
          </w:tcPr>
          <w:p w14:paraId="6544E608"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b w:val="0"/>
                <w:sz w:val="24"/>
                <w:szCs w:val="24"/>
              </w:rPr>
              <w:t>Spearman’s ρ</w:t>
            </w:r>
          </w:p>
        </w:tc>
        <w:tc>
          <w:tcPr>
            <w:tcW w:w="2143" w:type="dxa"/>
          </w:tcPr>
          <w:p w14:paraId="1F39B965"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 (2-tailed)</w:t>
            </w:r>
          </w:p>
        </w:tc>
      </w:tr>
      <w:tr w:rsidR="00AD71A9" w:rsidRPr="00E75137" w14:paraId="6B876090"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F4E3D1F"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r w:rsidRPr="00E75137">
              <w:rPr>
                <w:rFonts w:ascii="Times New Roman" w:hAnsi="Times New Roman" w:cs="Times New Roman"/>
                <w:b w:val="0"/>
                <w:sz w:val="24"/>
                <w:szCs w:val="24"/>
              </w:rPr>
              <w:t>BP”</w:t>
            </w:r>
            <w:r w:rsidRPr="00E75137">
              <w:rPr>
                <w:rFonts w:ascii="Times New Roman" w:hAnsi="Times New Roman" w:cs="Times New Roman"/>
                <w:sz w:val="24"/>
                <w:szCs w:val="24"/>
              </w:rPr>
              <w:t xml:space="preserve"> Diastolic BP</w:t>
            </w:r>
          </w:p>
        </w:tc>
        <w:tc>
          <w:tcPr>
            <w:tcW w:w="1800" w:type="dxa"/>
          </w:tcPr>
          <w:p w14:paraId="378B9C43"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-0.145</w:t>
            </w:r>
          </w:p>
        </w:tc>
        <w:tc>
          <w:tcPr>
            <w:tcW w:w="2143" w:type="dxa"/>
          </w:tcPr>
          <w:p w14:paraId="01F6938E"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0.167</w:t>
            </w:r>
          </w:p>
        </w:tc>
      </w:tr>
      <w:tr w:rsidR="00AD71A9" w:rsidRPr="00E75137" w14:paraId="547660B4"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43905413"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Weight (kg)</w:t>
            </w:r>
          </w:p>
        </w:tc>
        <w:tc>
          <w:tcPr>
            <w:tcW w:w="1800" w:type="dxa"/>
          </w:tcPr>
          <w:p w14:paraId="12F62CB4"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-0.082</w:t>
            </w:r>
          </w:p>
        </w:tc>
        <w:tc>
          <w:tcPr>
            <w:tcW w:w="2143" w:type="dxa"/>
          </w:tcPr>
          <w:p w14:paraId="091DBA07"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0.439</w:t>
            </w:r>
          </w:p>
        </w:tc>
      </w:tr>
      <w:tr w:rsidR="00AD71A9" w:rsidRPr="00E75137" w14:paraId="7E322C1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5C68C22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Height (cm)</w:t>
            </w:r>
          </w:p>
        </w:tc>
        <w:tc>
          <w:tcPr>
            <w:tcW w:w="1800" w:type="dxa"/>
          </w:tcPr>
          <w:p w14:paraId="39ECB65F"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-0.058</w:t>
            </w:r>
          </w:p>
        </w:tc>
        <w:tc>
          <w:tcPr>
            <w:tcW w:w="2143" w:type="dxa"/>
          </w:tcPr>
          <w:p w14:paraId="491D2571"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0.584</w:t>
            </w:r>
          </w:p>
        </w:tc>
      </w:tr>
      <w:tr w:rsidR="00AD71A9" w:rsidRPr="00E75137" w14:paraId="041255BB"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65D2C94B"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BMI</w:t>
            </w:r>
          </w:p>
        </w:tc>
        <w:tc>
          <w:tcPr>
            <w:tcW w:w="1800" w:type="dxa"/>
          </w:tcPr>
          <w:p w14:paraId="62813928"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-0.034</w:t>
            </w:r>
          </w:p>
        </w:tc>
        <w:tc>
          <w:tcPr>
            <w:tcW w:w="2143" w:type="dxa"/>
          </w:tcPr>
          <w:p w14:paraId="127A977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0.752</w:t>
            </w:r>
          </w:p>
        </w:tc>
      </w:tr>
      <w:tr w:rsidR="00AD71A9" w:rsidRPr="00E75137" w14:paraId="5C21E252"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4E6F86B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BSA</w:t>
            </w:r>
          </w:p>
        </w:tc>
        <w:tc>
          <w:tcPr>
            <w:tcW w:w="1800" w:type="dxa"/>
          </w:tcPr>
          <w:p w14:paraId="278F81D5"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-0.087</w:t>
            </w:r>
          </w:p>
        </w:tc>
        <w:tc>
          <w:tcPr>
            <w:tcW w:w="2143" w:type="dxa"/>
          </w:tcPr>
          <w:p w14:paraId="47748512"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0.414</w:t>
            </w:r>
          </w:p>
        </w:tc>
      </w:tr>
      <w:tr w:rsidR="00AD71A9" w:rsidRPr="00E75137" w14:paraId="2223983F"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1AF45B61"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Weight (kg)</w:t>
            </w:r>
          </w:p>
        </w:tc>
        <w:tc>
          <w:tcPr>
            <w:tcW w:w="1800" w:type="dxa"/>
          </w:tcPr>
          <w:p w14:paraId="2B6247D2"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0.093</w:t>
            </w:r>
          </w:p>
        </w:tc>
        <w:tc>
          <w:tcPr>
            <w:tcW w:w="2143" w:type="dxa"/>
          </w:tcPr>
          <w:p w14:paraId="746A03E0"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0.378</w:t>
            </w:r>
          </w:p>
        </w:tc>
      </w:tr>
      <w:tr w:rsidR="00AD71A9" w:rsidRPr="00E75137" w14:paraId="7319654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4A9463B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Height (cm)</w:t>
            </w:r>
          </w:p>
        </w:tc>
        <w:tc>
          <w:tcPr>
            <w:tcW w:w="1800" w:type="dxa"/>
          </w:tcPr>
          <w:p w14:paraId="39C1E0C9"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-0.031</w:t>
            </w:r>
          </w:p>
        </w:tc>
        <w:tc>
          <w:tcPr>
            <w:tcW w:w="2143" w:type="dxa"/>
          </w:tcPr>
          <w:p w14:paraId="5DD9442D"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0.772</w:t>
            </w:r>
          </w:p>
        </w:tc>
      </w:tr>
      <w:tr w:rsidR="00AD71A9" w:rsidRPr="00E75137" w14:paraId="7E631063"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304F93C9"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BMI</w:t>
            </w:r>
          </w:p>
        </w:tc>
        <w:tc>
          <w:tcPr>
            <w:tcW w:w="1800" w:type="dxa"/>
          </w:tcPr>
          <w:p w14:paraId="77E56001"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0.059</w:t>
            </w:r>
          </w:p>
        </w:tc>
        <w:tc>
          <w:tcPr>
            <w:tcW w:w="2143" w:type="dxa"/>
          </w:tcPr>
          <w:p w14:paraId="35A10C56"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r>
      <w:tr w:rsidR="00AD71A9" w:rsidRPr="00E75137" w14:paraId="2F1E78D2"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9789B4E"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BSA</w:t>
            </w:r>
          </w:p>
        </w:tc>
        <w:tc>
          <w:tcPr>
            <w:tcW w:w="1800" w:type="dxa"/>
          </w:tcPr>
          <w:p w14:paraId="62EAC431"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0.092</w:t>
            </w:r>
          </w:p>
        </w:tc>
        <w:tc>
          <w:tcPr>
            <w:tcW w:w="2143" w:type="dxa"/>
          </w:tcPr>
          <w:p w14:paraId="6375893B"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0.387</w:t>
            </w:r>
          </w:p>
        </w:tc>
      </w:tr>
      <w:tr w:rsidR="00AD71A9" w:rsidRPr="00E75137" w14:paraId="36E5A265"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3F0DE8B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Weight (kg) “ Height (cm)</w:t>
            </w:r>
          </w:p>
        </w:tc>
        <w:tc>
          <w:tcPr>
            <w:tcW w:w="1800" w:type="dxa"/>
          </w:tcPr>
          <w:p w14:paraId="13A5281F"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0.073</w:t>
            </w:r>
          </w:p>
        </w:tc>
        <w:tc>
          <w:tcPr>
            <w:tcW w:w="2143" w:type="dxa"/>
          </w:tcPr>
          <w:p w14:paraId="4200E1D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0.489</w:t>
            </w:r>
          </w:p>
        </w:tc>
      </w:tr>
      <w:tr w:rsidR="00AD71A9" w:rsidRPr="00E75137" w14:paraId="18AABB94"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2293BEA1"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Weight (kg) “ BMI</w:t>
            </w:r>
          </w:p>
        </w:tc>
        <w:tc>
          <w:tcPr>
            <w:tcW w:w="1800" w:type="dxa"/>
          </w:tcPr>
          <w:p w14:paraId="1904FA56"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0.779**</w:t>
            </w:r>
          </w:p>
        </w:tc>
        <w:tc>
          <w:tcPr>
            <w:tcW w:w="2143" w:type="dxa"/>
          </w:tcPr>
          <w:p w14:paraId="6F047288"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AD71A9" w:rsidRPr="00E75137" w14:paraId="5608944B"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68EACD18"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Weight (kg) “ BSA</w:t>
            </w:r>
          </w:p>
        </w:tc>
        <w:tc>
          <w:tcPr>
            <w:tcW w:w="1800" w:type="dxa"/>
          </w:tcPr>
          <w:p w14:paraId="12CAF1A1"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0.950**</w:t>
            </w:r>
          </w:p>
        </w:tc>
        <w:tc>
          <w:tcPr>
            <w:tcW w:w="2143" w:type="dxa"/>
          </w:tcPr>
          <w:p w14:paraId="0EA47426"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AD71A9" w:rsidRPr="00E75137" w14:paraId="27E405B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222DEDD2"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Height (cm) “ BMI</w:t>
            </w:r>
          </w:p>
        </w:tc>
        <w:tc>
          <w:tcPr>
            <w:tcW w:w="1800" w:type="dxa"/>
          </w:tcPr>
          <w:p w14:paraId="57094C55"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-0.486**</w:t>
            </w:r>
          </w:p>
        </w:tc>
        <w:tc>
          <w:tcPr>
            <w:tcW w:w="2143" w:type="dxa"/>
          </w:tcPr>
          <w:p w14:paraId="1AC237D1"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AD71A9" w:rsidRPr="00E75137" w14:paraId="2C9DCEFD"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71BC57E8"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Height (cm) “ BSA</w:t>
            </w:r>
          </w:p>
        </w:tc>
        <w:tc>
          <w:tcPr>
            <w:tcW w:w="1800" w:type="dxa"/>
          </w:tcPr>
          <w:p w14:paraId="618546FB"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0.325**</w:t>
            </w:r>
          </w:p>
        </w:tc>
        <w:tc>
          <w:tcPr>
            <w:tcW w:w="2143" w:type="dxa"/>
          </w:tcPr>
          <w:p w14:paraId="5100F402"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0.002</w:t>
            </w:r>
          </w:p>
        </w:tc>
      </w:tr>
      <w:tr w:rsidR="00AD71A9" w:rsidRPr="00E75137" w14:paraId="4358A8D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D1A86B8"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BMI “ BSA</w:t>
            </w:r>
          </w:p>
        </w:tc>
        <w:tc>
          <w:tcPr>
            <w:tcW w:w="1800" w:type="dxa"/>
          </w:tcPr>
          <w:p w14:paraId="3DAF0D45"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c>
          <w:tcPr>
            <w:tcW w:w="2143" w:type="dxa"/>
          </w:tcPr>
          <w:p w14:paraId="7F9CF464"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bl>
    <w:p w14:paraId="3B5264E0" w14:textId="77777777" w:rsidR="00AD71A9" w:rsidRPr="00E75137" w:rsidRDefault="00AD71A9" w:rsidP="00D44A96">
      <w:pPr>
        <w:spacing w:line="276" w:lineRule="auto"/>
        <w:jc w:val="both"/>
        <w:rPr>
          <w:rFonts w:ascii="Times New Roman" w:hAnsi="Times New Roman" w:cs="Times New Roman"/>
          <w:b/>
          <w:sz w:val="24"/>
          <w:szCs w:val="24"/>
        </w:rPr>
      </w:pPr>
    </w:p>
    <w:p w14:paraId="62F4A94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b/>
          <w:sz w:val="24"/>
          <w:szCs w:val="24"/>
        </w:rPr>
        <w:t xml:space="preserve">Note: </w:t>
      </w:r>
      <w:r w:rsidRPr="00E75137">
        <w:rPr>
          <w:rFonts w:ascii="Times New Roman" w:hAnsi="Times New Roman" w:cs="Times New Roman"/>
          <w:sz w:val="24"/>
          <w:szCs w:val="24"/>
        </w:rPr>
        <w:t>*ρ = Spearman’s correlation coefficient.</w:t>
      </w:r>
      <w:r w:rsidRPr="00E75137">
        <w:rPr>
          <w:rFonts w:ascii="Times New Roman" w:hAnsi="Times New Roman" w:cs="Times New Roman"/>
          <w:b/>
          <w:sz w:val="24"/>
          <w:szCs w:val="24"/>
        </w:rPr>
        <w:t xml:space="preserve"> p &lt; 0.01, </w:t>
      </w:r>
      <w:r w:rsidRPr="00E75137">
        <w:rPr>
          <w:rFonts w:ascii="Times New Roman" w:hAnsi="Times New Roman" w:cs="Times New Roman"/>
          <w:sz w:val="24"/>
          <w:szCs w:val="24"/>
        </w:rPr>
        <w:t xml:space="preserve">p &lt; 0.05 indicates statistical significance. </w:t>
      </w:r>
    </w:p>
    <w:p w14:paraId="5F0E388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Spearman’s rank correlation was used because systolic and diastolic blood pressure, height and BSA values were not normally distributed (Shapiro-Wilk p &lt; 0.05: systolic p = 0.000, diastolic p </w:t>
      </w:r>
      <w:r w:rsidRPr="00E75137">
        <w:rPr>
          <w:rFonts w:ascii="Times New Roman" w:hAnsi="Times New Roman" w:cs="Times New Roman"/>
          <w:sz w:val="24"/>
          <w:szCs w:val="24"/>
        </w:rPr>
        <w:lastRenderedPageBreak/>
        <w:t>= 0.027, height p = 0.032, BSA p = 0.007) while weight and BMI were normally distributed (Shapiro-Wilk p &gt; 0.05 p = 0.177, and p = 0.647, respectively).</w:t>
      </w:r>
    </w:p>
    <w:p w14:paraId="3F9C1818" w14:textId="77777777" w:rsidR="00AD71A9" w:rsidRPr="00E75137" w:rsidRDefault="00AD71A9" w:rsidP="00D44A96">
      <w:pPr>
        <w:spacing w:line="276" w:lineRule="auto"/>
        <w:jc w:val="both"/>
        <w:rPr>
          <w:rFonts w:ascii="Times New Roman" w:hAnsi="Times New Roman" w:cs="Times New Roman"/>
          <w:sz w:val="24"/>
          <w:szCs w:val="24"/>
        </w:rPr>
      </w:pPr>
    </w:p>
    <w:p w14:paraId="6255244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Correlations among stature indices showed that strong positive and significant correlations were observed between weight and BMI; weight and BSA; and height and BSA. </w:t>
      </w:r>
    </w:p>
    <w:p w14:paraId="775D0C7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Systolic blood pressure (SBP) showed no significant correlation with weight, height, BMI or BSA. This means systolic BP was not strongly influenced by any stature indices in this study. Diastolic blood pressure (DBP) also showed no significant correlation with weight, height, BMI or BSA. Thus, diastolic BP was also not significantly associated with any stature indices. The analysis reveals no statistically significant relationship between blood pressure (systolic and diastolic) and stature indices (height, weight, BMI, BSA) among hypertensive patients studied. This suggests that, in this sample, variations in body size or body composition do not predict the severity of blood pressure measurements. The strongest observed trends (although non-significant) were; </w:t>
      </w:r>
    </w:p>
    <w:p w14:paraId="47B4CB56" w14:textId="77777777" w:rsidR="00AD71A9" w:rsidRPr="00E75137" w:rsidRDefault="00AD71A9" w:rsidP="005B2663">
      <w:pPr>
        <w:pStyle w:val="ListParagraph"/>
        <w:numPr>
          <w:ilvl w:val="0"/>
          <w:numId w:val="3"/>
        </w:numPr>
        <w:spacing w:after="200" w:line="276" w:lineRule="auto"/>
        <w:jc w:val="both"/>
        <w:rPr>
          <w:rFonts w:ascii="Times New Roman" w:hAnsi="Times New Roman" w:cs="Times New Roman"/>
          <w:sz w:val="24"/>
          <w:szCs w:val="24"/>
        </w:rPr>
      </w:pPr>
      <w:r w:rsidRPr="00E75137">
        <w:rPr>
          <w:rFonts w:ascii="Times New Roman" w:hAnsi="Times New Roman" w:cs="Times New Roman"/>
          <w:sz w:val="24"/>
          <w:szCs w:val="24"/>
        </w:rPr>
        <w:t>A weak negative association between SBP and BSA, suggesting a slight tendency for higher BSA to be linked with lower systolic BP.</w:t>
      </w:r>
    </w:p>
    <w:p w14:paraId="7DE9776F" w14:textId="77777777" w:rsidR="00AD71A9" w:rsidRPr="00E75137" w:rsidRDefault="00AD71A9" w:rsidP="005B2663">
      <w:pPr>
        <w:pStyle w:val="ListParagraph"/>
        <w:numPr>
          <w:ilvl w:val="0"/>
          <w:numId w:val="3"/>
        </w:numPr>
        <w:spacing w:after="200" w:line="276" w:lineRule="auto"/>
        <w:jc w:val="both"/>
        <w:rPr>
          <w:rFonts w:ascii="Times New Roman" w:hAnsi="Times New Roman" w:cs="Times New Roman"/>
          <w:sz w:val="24"/>
          <w:szCs w:val="24"/>
        </w:rPr>
      </w:pPr>
      <w:r w:rsidRPr="00E75137">
        <w:rPr>
          <w:rFonts w:ascii="Times New Roman" w:hAnsi="Times New Roman" w:cs="Times New Roman"/>
          <w:sz w:val="24"/>
          <w:szCs w:val="24"/>
        </w:rPr>
        <w:t>Weak positive associations between DBP and weight; and DBP and BSA, though not significant. Suggesting a slight tendency for higher weight and BSA to be linked with higher diastolic BP.</w:t>
      </w:r>
    </w:p>
    <w:p w14:paraId="0097CB5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 multiple linear regression model was used to determine how BMI, BSA, height and weight predicted systolic and diastolic blood pressure.</w:t>
      </w:r>
    </w:p>
    <w:p w14:paraId="5A5FD524" w14:textId="77777777" w:rsidR="00AD71A9" w:rsidRPr="00E75137" w:rsidRDefault="00AD71A9" w:rsidP="00D44A96">
      <w:pPr>
        <w:spacing w:line="276" w:lineRule="auto"/>
        <w:jc w:val="both"/>
        <w:rPr>
          <w:rFonts w:ascii="Times New Roman" w:hAnsi="Times New Roman" w:cs="Times New Roman"/>
          <w:b/>
          <w:sz w:val="24"/>
          <w:szCs w:val="24"/>
        </w:rPr>
      </w:pPr>
    </w:p>
    <w:p w14:paraId="7912FEA4" w14:textId="6CAC9342"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bCs/>
          <w:sz w:val="24"/>
          <w:szCs w:val="24"/>
        </w:rPr>
        <w:t xml:space="preserve">Table </w:t>
      </w:r>
      <w:r w:rsidR="008C2590">
        <w:rPr>
          <w:rFonts w:ascii="Times New Roman" w:hAnsi="Times New Roman" w:cs="Times New Roman"/>
          <w:b/>
          <w:bCs/>
          <w:sz w:val="24"/>
          <w:szCs w:val="24"/>
        </w:rPr>
        <w:t>6</w:t>
      </w:r>
      <w:r w:rsidRPr="00E75137">
        <w:rPr>
          <w:rFonts w:ascii="Times New Roman" w:hAnsi="Times New Roman" w:cs="Times New Roman"/>
          <w:b/>
          <w:bCs/>
          <w:sz w:val="24"/>
          <w:szCs w:val="24"/>
        </w:rPr>
        <w:t xml:space="preserve">: </w:t>
      </w:r>
      <w:r w:rsidRPr="00E75137">
        <w:rPr>
          <w:rFonts w:ascii="Times New Roman" w:hAnsi="Times New Roman" w:cs="Times New Roman"/>
          <w:b/>
          <w:sz w:val="24"/>
          <w:szCs w:val="24"/>
        </w:rPr>
        <w:t xml:space="preserve">Effects of Sexual dimorphism, handedness and stature on the severity of hypertension </w:t>
      </w:r>
    </w:p>
    <w:tbl>
      <w:tblPr>
        <w:tblStyle w:val="PlainTable1"/>
        <w:tblW w:w="10201" w:type="dxa"/>
        <w:tblLook w:val="04A0" w:firstRow="1" w:lastRow="0" w:firstColumn="1" w:lastColumn="0" w:noHBand="0" w:noVBand="1"/>
      </w:tblPr>
      <w:tblGrid>
        <w:gridCol w:w="2972"/>
        <w:gridCol w:w="1134"/>
        <w:gridCol w:w="992"/>
        <w:gridCol w:w="5103"/>
      </w:tblGrid>
      <w:tr w:rsidR="00AD71A9" w:rsidRPr="00E75137" w14:paraId="7545912E"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8BFDECC"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Predictor</w:t>
            </w:r>
          </w:p>
        </w:tc>
        <w:tc>
          <w:tcPr>
            <w:tcW w:w="1134" w:type="dxa"/>
          </w:tcPr>
          <w:p w14:paraId="23D336D1"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Exp (B)</w:t>
            </w:r>
          </w:p>
        </w:tc>
        <w:tc>
          <w:tcPr>
            <w:tcW w:w="992" w:type="dxa"/>
          </w:tcPr>
          <w:p w14:paraId="78EAA951"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w:t>
            </w:r>
          </w:p>
        </w:tc>
        <w:tc>
          <w:tcPr>
            <w:tcW w:w="5103" w:type="dxa"/>
          </w:tcPr>
          <w:p w14:paraId="5D6E8DDF"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Interpretation</w:t>
            </w:r>
          </w:p>
        </w:tc>
      </w:tr>
      <w:tr w:rsidR="00AD71A9" w:rsidRPr="00E75137" w14:paraId="525914B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DF848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 (Male = 1)</w:t>
            </w:r>
          </w:p>
        </w:tc>
        <w:tc>
          <w:tcPr>
            <w:tcW w:w="1134" w:type="dxa"/>
          </w:tcPr>
          <w:p w14:paraId="01EB06D5"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0.258</w:t>
            </w:r>
          </w:p>
        </w:tc>
        <w:tc>
          <w:tcPr>
            <w:tcW w:w="992" w:type="dxa"/>
          </w:tcPr>
          <w:p w14:paraId="3071D52C"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0.083</w:t>
            </w:r>
          </w:p>
        </w:tc>
        <w:tc>
          <w:tcPr>
            <w:tcW w:w="5103" w:type="dxa"/>
          </w:tcPr>
          <w:p w14:paraId="1A0BD0E1"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Males had 0.258(74%) lower odds of stage 2 than females (NS).</w:t>
            </w:r>
          </w:p>
        </w:tc>
      </w:tr>
      <w:tr w:rsidR="00AD71A9" w:rsidRPr="00E75137" w14:paraId="506BC730" w14:textId="77777777" w:rsidTr="0092629E">
        <w:tc>
          <w:tcPr>
            <w:cnfStyle w:val="001000000000" w:firstRow="0" w:lastRow="0" w:firstColumn="1" w:lastColumn="0" w:oddVBand="0" w:evenVBand="0" w:oddHBand="0" w:evenHBand="0" w:firstRowFirstColumn="0" w:firstRowLastColumn="0" w:lastRowFirstColumn="0" w:lastRowLastColumn="0"/>
            <w:tcW w:w="2972" w:type="dxa"/>
          </w:tcPr>
          <w:p w14:paraId="3E7B92AF"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 (Right)</w:t>
            </w:r>
          </w:p>
        </w:tc>
        <w:tc>
          <w:tcPr>
            <w:tcW w:w="1134" w:type="dxa"/>
          </w:tcPr>
          <w:p w14:paraId="25B708E3"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3.827</w:t>
            </w:r>
          </w:p>
        </w:tc>
        <w:tc>
          <w:tcPr>
            <w:tcW w:w="992" w:type="dxa"/>
          </w:tcPr>
          <w:p w14:paraId="79DCA09D"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0.136</w:t>
            </w:r>
          </w:p>
        </w:tc>
        <w:tc>
          <w:tcPr>
            <w:tcW w:w="5103" w:type="dxa"/>
          </w:tcPr>
          <w:p w14:paraId="200A9110"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Right-handed had 3.8x higher odds (NS).</w:t>
            </w:r>
          </w:p>
        </w:tc>
      </w:tr>
      <w:tr w:rsidR="00AD71A9" w:rsidRPr="00E75137" w14:paraId="6BD80263"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C5550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Ambidextrous</w:t>
            </w:r>
          </w:p>
        </w:tc>
        <w:tc>
          <w:tcPr>
            <w:tcW w:w="1134" w:type="dxa"/>
          </w:tcPr>
          <w:p w14:paraId="1A5AD5AA"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1.407</w:t>
            </w:r>
          </w:p>
        </w:tc>
        <w:tc>
          <w:tcPr>
            <w:tcW w:w="992" w:type="dxa"/>
          </w:tcPr>
          <w:p w14:paraId="29C3AD7B"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0.681</w:t>
            </w:r>
          </w:p>
        </w:tc>
        <w:tc>
          <w:tcPr>
            <w:tcW w:w="5103" w:type="dxa"/>
          </w:tcPr>
          <w:p w14:paraId="52E30F8A"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 significant effect</w:t>
            </w:r>
          </w:p>
        </w:tc>
      </w:tr>
      <w:tr w:rsidR="00AD71A9" w:rsidRPr="00E75137" w14:paraId="21B4598B" w14:textId="77777777" w:rsidTr="0092629E">
        <w:tc>
          <w:tcPr>
            <w:cnfStyle w:val="001000000000" w:firstRow="0" w:lastRow="0" w:firstColumn="1" w:lastColumn="0" w:oddVBand="0" w:evenVBand="0" w:oddHBand="0" w:evenHBand="0" w:firstRowFirstColumn="0" w:firstRowLastColumn="0" w:lastRowFirstColumn="0" w:lastRowLastColumn="0"/>
            <w:tcW w:w="2972" w:type="dxa"/>
          </w:tcPr>
          <w:p w14:paraId="58E08753"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Height (cm)</w:t>
            </w:r>
          </w:p>
        </w:tc>
        <w:tc>
          <w:tcPr>
            <w:tcW w:w="1134" w:type="dxa"/>
          </w:tcPr>
          <w:p w14:paraId="38B462A1"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0.855</w:t>
            </w:r>
          </w:p>
        </w:tc>
        <w:tc>
          <w:tcPr>
            <w:tcW w:w="992" w:type="dxa"/>
          </w:tcPr>
          <w:p w14:paraId="7B388E68"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0.224</w:t>
            </w:r>
          </w:p>
        </w:tc>
        <w:tc>
          <w:tcPr>
            <w:tcW w:w="5103" w:type="dxa"/>
          </w:tcPr>
          <w:p w14:paraId="43BC1668"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Taller individuals had slightly lower odds (NS).</w:t>
            </w:r>
          </w:p>
        </w:tc>
      </w:tr>
      <w:tr w:rsidR="00AD71A9" w:rsidRPr="00E75137" w14:paraId="27EA2A48"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EDBE118"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Weight (kg)</w:t>
            </w:r>
          </w:p>
        </w:tc>
        <w:tc>
          <w:tcPr>
            <w:tcW w:w="1134" w:type="dxa"/>
          </w:tcPr>
          <w:p w14:paraId="74572703"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0.817</w:t>
            </w:r>
          </w:p>
        </w:tc>
        <w:tc>
          <w:tcPr>
            <w:tcW w:w="992" w:type="dxa"/>
          </w:tcPr>
          <w:p w14:paraId="4E80A15D"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0.151</w:t>
            </w:r>
          </w:p>
        </w:tc>
        <w:tc>
          <w:tcPr>
            <w:tcW w:w="5103" w:type="dxa"/>
          </w:tcPr>
          <w:p w14:paraId="37BB4F9E"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Heavier individuals had slightly lower odds (NS).</w:t>
            </w:r>
          </w:p>
        </w:tc>
      </w:tr>
      <w:tr w:rsidR="00AD71A9" w:rsidRPr="00E75137" w14:paraId="295BE047" w14:textId="77777777" w:rsidTr="0092629E">
        <w:tc>
          <w:tcPr>
            <w:cnfStyle w:val="001000000000" w:firstRow="0" w:lastRow="0" w:firstColumn="1" w:lastColumn="0" w:oddVBand="0" w:evenVBand="0" w:oddHBand="0" w:evenHBand="0" w:firstRowFirstColumn="0" w:firstRowLastColumn="0" w:lastRowFirstColumn="0" w:lastRowLastColumn="0"/>
            <w:tcW w:w="2972" w:type="dxa"/>
          </w:tcPr>
          <w:p w14:paraId="5D64C360"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BMI</w:t>
            </w:r>
          </w:p>
        </w:tc>
        <w:tc>
          <w:tcPr>
            <w:tcW w:w="1134" w:type="dxa"/>
          </w:tcPr>
          <w:p w14:paraId="7DA8350E"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1.675</w:t>
            </w:r>
          </w:p>
        </w:tc>
        <w:tc>
          <w:tcPr>
            <w:tcW w:w="992" w:type="dxa"/>
          </w:tcPr>
          <w:p w14:paraId="39084B9A"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0.213</w:t>
            </w:r>
          </w:p>
        </w:tc>
        <w:tc>
          <w:tcPr>
            <w:tcW w:w="5103" w:type="dxa"/>
          </w:tcPr>
          <w:p w14:paraId="0E4933FB"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Higher BMI slightly increased odds (NS).</w:t>
            </w:r>
          </w:p>
        </w:tc>
      </w:tr>
    </w:tbl>
    <w:p w14:paraId="44B7D132"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NS = Not Significant, p &gt; 0.05</w:t>
      </w:r>
    </w:p>
    <w:p w14:paraId="5AE136FD"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p>
    <w:p w14:paraId="0D07813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bCs/>
          <w:sz w:val="24"/>
          <w:szCs w:val="24"/>
        </w:rPr>
        <w:t>Omnibus Test of Model Coefficients: X</w:t>
      </w:r>
      <w:r w:rsidRPr="00E75137">
        <w:rPr>
          <w:rFonts w:ascii="Times New Roman" w:hAnsi="Times New Roman" w:cs="Times New Roman"/>
          <w:bCs/>
          <w:sz w:val="24"/>
          <w:szCs w:val="24"/>
          <w:vertAlign w:val="superscript"/>
        </w:rPr>
        <w:t>2</w:t>
      </w:r>
      <w:r w:rsidRPr="00E75137">
        <w:rPr>
          <w:rFonts w:ascii="Times New Roman" w:hAnsi="Times New Roman" w:cs="Times New Roman"/>
          <w:bCs/>
          <w:sz w:val="24"/>
          <w:szCs w:val="24"/>
        </w:rPr>
        <w:t xml:space="preserve"> = 10.003, df = 6, p = 0.125; model not statistically significant. Nagelkerke R</w:t>
      </w:r>
      <w:r w:rsidRPr="00E75137">
        <w:rPr>
          <w:rFonts w:ascii="Times New Roman" w:hAnsi="Times New Roman" w:cs="Times New Roman"/>
          <w:bCs/>
          <w:sz w:val="24"/>
          <w:szCs w:val="24"/>
          <w:vertAlign w:val="superscript"/>
        </w:rPr>
        <w:t>2</w:t>
      </w:r>
      <w:r w:rsidRPr="00E75137">
        <w:rPr>
          <w:rFonts w:ascii="Times New Roman" w:hAnsi="Times New Roman" w:cs="Times New Roman"/>
          <w:bCs/>
          <w:sz w:val="24"/>
          <w:szCs w:val="24"/>
        </w:rPr>
        <w:t xml:space="preserve"> = 0.189; explains about 18.9% of the variance. Classification accuracy: 89.2%, but classified almost all as stage 2 (due</w:t>
      </w:r>
      <w:r w:rsidRPr="00E75137">
        <w:rPr>
          <w:rFonts w:ascii="Times New Roman" w:hAnsi="Times New Roman" w:cs="Times New Roman"/>
          <w:sz w:val="24"/>
          <w:szCs w:val="24"/>
        </w:rPr>
        <w:t xml:space="preserve"> to imbalance in normal vs. stage 2 cases). The </w:t>
      </w:r>
      <w:r w:rsidRPr="00E75137">
        <w:rPr>
          <w:rFonts w:ascii="Times New Roman" w:hAnsi="Times New Roman" w:cs="Times New Roman"/>
          <w:sz w:val="24"/>
          <w:szCs w:val="24"/>
        </w:rPr>
        <w:lastRenderedPageBreak/>
        <w:t>logistic regression model indicated that gender, handedness, and stature (height, weight, BMI) did not significantly predict hypertension severity (p &gt; 0.05) in this population.</w:t>
      </w:r>
    </w:p>
    <w:p w14:paraId="59340184" w14:textId="77777777" w:rsidR="00AA7A93" w:rsidRPr="00E75137" w:rsidRDefault="00AA7A93" w:rsidP="00D44A96">
      <w:pPr>
        <w:autoSpaceDE w:val="0"/>
        <w:autoSpaceDN w:val="0"/>
        <w:adjustRightInd w:val="0"/>
        <w:spacing w:after="0" w:line="276" w:lineRule="auto"/>
        <w:jc w:val="both"/>
        <w:rPr>
          <w:rFonts w:ascii="Times New Roman" w:hAnsi="Times New Roman" w:cs="Times New Roman"/>
          <w:sz w:val="24"/>
          <w:szCs w:val="24"/>
        </w:rPr>
      </w:pPr>
    </w:p>
    <w:p w14:paraId="73F51E1A" w14:textId="3D53F6E8"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Right-handedness and higher BMI showed increased odds for stage 2 hypertension, while being, taller, or heavier slightly reduced the odds. However, none were statistically significant, likely due to the small sample size (Normal = 11, Stage 2 = 91) and data imbalance. </w:t>
      </w:r>
    </w:p>
    <w:p w14:paraId="1D90C6B4"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Cs/>
          <w:sz w:val="24"/>
          <w:szCs w:val="24"/>
        </w:rPr>
      </w:pPr>
      <w:r w:rsidRPr="00E75137">
        <w:rPr>
          <w:rFonts w:ascii="Times New Roman" w:hAnsi="Times New Roman" w:cs="Times New Roman"/>
          <w:bCs/>
          <w:sz w:val="24"/>
          <w:szCs w:val="24"/>
        </w:rPr>
        <w:t>4.6 Blood pressure readings of hypertensive patients in relation to their gender, handedness, and stature, and identify any significant differences or patterns.</w:t>
      </w:r>
    </w:p>
    <w:p w14:paraId="23F7F8CB" w14:textId="77777777" w:rsidR="00AD71A9" w:rsidRPr="00E75137" w:rsidRDefault="00AD71A9" w:rsidP="00D44A96">
      <w:pPr>
        <w:pStyle w:val="Heading3"/>
        <w:spacing w:line="276" w:lineRule="auto"/>
        <w:jc w:val="both"/>
        <w:textAlignment w:val="bottom"/>
        <w:rPr>
          <w:rFonts w:ascii="Times New Roman" w:hAnsi="Times New Roman" w:cs="Times New Roman"/>
          <w:sz w:val="24"/>
          <w:szCs w:val="24"/>
        </w:rPr>
      </w:pPr>
    </w:p>
    <w:p w14:paraId="0DC9720A" w14:textId="3D914015"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Style w:val="Strong"/>
          <w:rFonts w:ascii="Times New Roman" w:hAnsi="Times New Roman" w:cs="Times New Roman"/>
          <w:sz w:val="24"/>
          <w:szCs w:val="24"/>
        </w:rPr>
        <w:t xml:space="preserve">Table </w:t>
      </w:r>
      <w:r w:rsidR="008C2590">
        <w:rPr>
          <w:rStyle w:val="Strong"/>
          <w:rFonts w:ascii="Times New Roman" w:hAnsi="Times New Roman" w:cs="Times New Roman"/>
          <w:sz w:val="24"/>
          <w:szCs w:val="24"/>
        </w:rPr>
        <w:t>7</w:t>
      </w:r>
      <w:r w:rsidRPr="00E75137">
        <w:rPr>
          <w:rStyle w:val="Strong"/>
          <w:rFonts w:ascii="Times New Roman" w:hAnsi="Times New Roman" w:cs="Times New Roman"/>
          <w:sz w:val="24"/>
          <w:szCs w:val="24"/>
        </w:rPr>
        <w:t xml:space="preserve">: Comparing Blood Pressure and </w:t>
      </w:r>
      <w:r w:rsidRPr="00E75137">
        <w:rPr>
          <w:rFonts w:ascii="Times New Roman" w:hAnsi="Times New Roman" w:cs="Times New Roman"/>
          <w:b/>
          <w:sz w:val="24"/>
          <w:szCs w:val="24"/>
        </w:rPr>
        <w:t>Stature</w:t>
      </w:r>
    </w:p>
    <w:tbl>
      <w:tblPr>
        <w:tblStyle w:val="PlainTable1"/>
        <w:tblW w:w="0" w:type="auto"/>
        <w:jc w:val="center"/>
        <w:tblLook w:val="04A0" w:firstRow="1" w:lastRow="0" w:firstColumn="1" w:lastColumn="0" w:noHBand="0" w:noVBand="1"/>
      </w:tblPr>
      <w:tblGrid>
        <w:gridCol w:w="3844"/>
        <w:gridCol w:w="1800"/>
        <w:gridCol w:w="2856"/>
      </w:tblGrid>
      <w:tr w:rsidR="00AD71A9" w:rsidRPr="00E75137" w14:paraId="516362A4" w14:textId="77777777" w:rsidTr="009262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0428A50E"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 Pair</w:t>
            </w:r>
          </w:p>
        </w:tc>
        <w:tc>
          <w:tcPr>
            <w:tcW w:w="1800" w:type="dxa"/>
          </w:tcPr>
          <w:p w14:paraId="2650BF23"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Spearman’s  ρ</w:t>
            </w:r>
          </w:p>
        </w:tc>
        <w:tc>
          <w:tcPr>
            <w:tcW w:w="2856" w:type="dxa"/>
          </w:tcPr>
          <w:p w14:paraId="02C16C46"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 (2-tailed)</w:t>
            </w:r>
          </w:p>
        </w:tc>
      </w:tr>
      <w:tr w:rsidR="00AD71A9" w:rsidRPr="00E75137" w14:paraId="16B22ADC"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6CCC03AC"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Weight (kg)</w:t>
            </w:r>
          </w:p>
        </w:tc>
        <w:tc>
          <w:tcPr>
            <w:tcW w:w="1800" w:type="dxa"/>
          </w:tcPr>
          <w:p w14:paraId="69B5C303"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-0.082</w:t>
            </w:r>
          </w:p>
        </w:tc>
        <w:tc>
          <w:tcPr>
            <w:tcW w:w="2856" w:type="dxa"/>
          </w:tcPr>
          <w:p w14:paraId="7D0728B9"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0.439</w:t>
            </w:r>
          </w:p>
        </w:tc>
      </w:tr>
      <w:tr w:rsidR="00AD71A9" w:rsidRPr="00E75137" w14:paraId="55485AD5"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4C22F1E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Height (cm)</w:t>
            </w:r>
          </w:p>
        </w:tc>
        <w:tc>
          <w:tcPr>
            <w:tcW w:w="1800" w:type="dxa"/>
          </w:tcPr>
          <w:p w14:paraId="73A6ABF7"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-0.058</w:t>
            </w:r>
          </w:p>
        </w:tc>
        <w:tc>
          <w:tcPr>
            <w:tcW w:w="2856" w:type="dxa"/>
          </w:tcPr>
          <w:p w14:paraId="5C201166"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0.584</w:t>
            </w:r>
          </w:p>
        </w:tc>
      </w:tr>
      <w:tr w:rsidR="00AD71A9" w:rsidRPr="00E75137" w14:paraId="075D7F88"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53D182FB"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Systolic BP ” BMI</w:t>
            </w:r>
          </w:p>
        </w:tc>
        <w:tc>
          <w:tcPr>
            <w:tcW w:w="1800" w:type="dxa"/>
          </w:tcPr>
          <w:p w14:paraId="279ABCB7"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-0.034</w:t>
            </w:r>
          </w:p>
        </w:tc>
        <w:tc>
          <w:tcPr>
            <w:tcW w:w="2856" w:type="dxa"/>
          </w:tcPr>
          <w:p w14:paraId="764670AC"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0.752</w:t>
            </w:r>
          </w:p>
        </w:tc>
      </w:tr>
      <w:tr w:rsidR="00AD71A9" w:rsidRPr="00E75137" w14:paraId="7DD29A33"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28F2406D"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Weight (kg)</w:t>
            </w:r>
          </w:p>
        </w:tc>
        <w:tc>
          <w:tcPr>
            <w:tcW w:w="1800" w:type="dxa"/>
          </w:tcPr>
          <w:p w14:paraId="709E5C07"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0.093</w:t>
            </w:r>
          </w:p>
        </w:tc>
        <w:tc>
          <w:tcPr>
            <w:tcW w:w="2856" w:type="dxa"/>
          </w:tcPr>
          <w:p w14:paraId="063D6EDC"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0.378</w:t>
            </w:r>
          </w:p>
        </w:tc>
      </w:tr>
      <w:tr w:rsidR="00AD71A9" w:rsidRPr="00E75137" w14:paraId="68362D54"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1372A42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Height (cm)</w:t>
            </w:r>
          </w:p>
        </w:tc>
        <w:tc>
          <w:tcPr>
            <w:tcW w:w="1800" w:type="dxa"/>
          </w:tcPr>
          <w:p w14:paraId="300FDE9B"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-0.031</w:t>
            </w:r>
          </w:p>
        </w:tc>
        <w:tc>
          <w:tcPr>
            <w:tcW w:w="2856" w:type="dxa"/>
          </w:tcPr>
          <w:p w14:paraId="6BDBBEDE"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0.772</w:t>
            </w:r>
          </w:p>
        </w:tc>
      </w:tr>
      <w:tr w:rsidR="00AD71A9" w:rsidRPr="00E75137" w14:paraId="14C604FF"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0175D1E7"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Diastolic BP ” BMI</w:t>
            </w:r>
          </w:p>
        </w:tc>
        <w:tc>
          <w:tcPr>
            <w:tcW w:w="1800" w:type="dxa"/>
          </w:tcPr>
          <w:p w14:paraId="20022AF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0.059</w:t>
            </w:r>
          </w:p>
        </w:tc>
        <w:tc>
          <w:tcPr>
            <w:tcW w:w="2856" w:type="dxa"/>
          </w:tcPr>
          <w:p w14:paraId="0E37FBD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r>
    </w:tbl>
    <w:p w14:paraId="0BBA7335" w14:textId="77777777" w:rsidR="00AD71A9" w:rsidRPr="00E75137" w:rsidRDefault="00AD71A9" w:rsidP="00D44A96">
      <w:pPr>
        <w:pStyle w:val="NormalWeb"/>
        <w:spacing w:line="276" w:lineRule="auto"/>
        <w:jc w:val="both"/>
        <w:textAlignment w:val="bottom"/>
      </w:pPr>
      <w:r w:rsidRPr="00E75137">
        <w:t>None of the stature-related variables (weight, height, BMI) showed </w:t>
      </w:r>
      <w:r w:rsidRPr="00E75137">
        <w:rPr>
          <w:rStyle w:val="Strong"/>
          <w:rFonts w:eastAsiaTheme="majorEastAsia"/>
        </w:rPr>
        <w:t>statistically significant correlations with systolic or diastolic blood pressure</w:t>
      </w:r>
      <w:r w:rsidRPr="00E75137">
        <w:t>.</w:t>
      </w:r>
    </w:p>
    <w:p w14:paraId="6238213D" w14:textId="77777777" w:rsidR="00AD71A9" w:rsidRPr="00E75137" w:rsidRDefault="00AD71A9" w:rsidP="00D44A96">
      <w:pPr>
        <w:spacing w:line="276" w:lineRule="auto"/>
        <w:jc w:val="both"/>
        <w:rPr>
          <w:rFonts w:ascii="Times New Roman" w:hAnsi="Times New Roman" w:cs="Times New Roman"/>
          <w:sz w:val="24"/>
          <w:szCs w:val="24"/>
        </w:rPr>
      </w:pPr>
    </w:p>
    <w:p w14:paraId="1E601467" w14:textId="21506492"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Table </w:t>
      </w:r>
      <w:r w:rsidR="008C2590">
        <w:rPr>
          <w:rFonts w:ascii="Times New Roman" w:hAnsi="Times New Roman" w:cs="Times New Roman"/>
          <w:b/>
          <w:sz w:val="24"/>
          <w:szCs w:val="24"/>
        </w:rPr>
        <w:t>8</w:t>
      </w:r>
      <w:r w:rsidRPr="00E75137">
        <w:rPr>
          <w:rFonts w:ascii="Times New Roman" w:hAnsi="Times New Roman" w:cs="Times New Roman"/>
          <w:b/>
          <w:sz w:val="24"/>
          <w:szCs w:val="24"/>
        </w:rPr>
        <w:t>: Hypertension Risk Factors (Lifestyle &amp; Medical History)</w:t>
      </w:r>
    </w:p>
    <w:tbl>
      <w:tblPr>
        <w:tblStyle w:val="TableGrid"/>
        <w:tblpPr w:leftFromText="180" w:rightFromText="180" w:vertAnchor="text" w:tblpY="1"/>
        <w:tblOverlap w:val="never"/>
        <w:tblW w:w="9918" w:type="dxa"/>
        <w:tblLook w:val="04A0" w:firstRow="1" w:lastRow="0" w:firstColumn="1" w:lastColumn="0" w:noHBand="0" w:noVBand="1"/>
      </w:tblPr>
      <w:tblGrid>
        <w:gridCol w:w="3823"/>
        <w:gridCol w:w="1842"/>
        <w:gridCol w:w="851"/>
        <w:gridCol w:w="1134"/>
        <w:gridCol w:w="2268"/>
      </w:tblGrid>
      <w:tr w:rsidR="00AD71A9" w:rsidRPr="00E75137" w14:paraId="029CFF9C" w14:textId="77777777" w:rsidTr="0092629E">
        <w:tc>
          <w:tcPr>
            <w:tcW w:w="3823" w:type="dxa"/>
          </w:tcPr>
          <w:p w14:paraId="66FB74D4"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Risk Factor</w:t>
            </w:r>
          </w:p>
        </w:tc>
        <w:tc>
          <w:tcPr>
            <w:tcW w:w="1842" w:type="dxa"/>
          </w:tcPr>
          <w:p w14:paraId="57BDD8CF" w14:textId="77777777" w:rsidR="00AD71A9" w:rsidRPr="00E75137" w:rsidRDefault="00AD71A9" w:rsidP="00D44A96">
            <w:pPr>
              <w:pStyle w:val="NoSpacing"/>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ᵡ</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(Chi-Square)</w:t>
            </w:r>
          </w:p>
        </w:tc>
        <w:tc>
          <w:tcPr>
            <w:tcW w:w="851" w:type="dxa"/>
          </w:tcPr>
          <w:p w14:paraId="2933575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df</w:t>
            </w:r>
          </w:p>
        </w:tc>
        <w:tc>
          <w:tcPr>
            <w:tcW w:w="1134" w:type="dxa"/>
          </w:tcPr>
          <w:p w14:paraId="31AA6BCA"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p-value</w:t>
            </w:r>
          </w:p>
        </w:tc>
        <w:tc>
          <w:tcPr>
            <w:tcW w:w="2268" w:type="dxa"/>
          </w:tcPr>
          <w:p w14:paraId="71F5ED4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Fishers Exact Test</w:t>
            </w:r>
          </w:p>
        </w:tc>
      </w:tr>
      <w:tr w:rsidR="00AD71A9" w:rsidRPr="00E75137" w14:paraId="0ABF24B7" w14:textId="77777777" w:rsidTr="0092629E">
        <w:tc>
          <w:tcPr>
            <w:tcW w:w="3823" w:type="dxa"/>
          </w:tcPr>
          <w:p w14:paraId="5C06C15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Physical Activity</w:t>
            </w:r>
          </w:p>
        </w:tc>
        <w:tc>
          <w:tcPr>
            <w:tcW w:w="1842" w:type="dxa"/>
          </w:tcPr>
          <w:p w14:paraId="0A33ECE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0.415</w:t>
            </w:r>
          </w:p>
        </w:tc>
        <w:tc>
          <w:tcPr>
            <w:tcW w:w="851" w:type="dxa"/>
          </w:tcPr>
          <w:p w14:paraId="0513BFD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61B3933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0.813</w:t>
            </w:r>
          </w:p>
        </w:tc>
        <w:tc>
          <w:tcPr>
            <w:tcW w:w="2268" w:type="dxa"/>
          </w:tcPr>
          <w:p w14:paraId="4123855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0.843</w:t>
            </w:r>
          </w:p>
        </w:tc>
      </w:tr>
      <w:tr w:rsidR="00AD71A9" w:rsidRPr="00E75137" w14:paraId="335026F2" w14:textId="77777777" w:rsidTr="0092629E">
        <w:tc>
          <w:tcPr>
            <w:tcW w:w="3823" w:type="dxa"/>
          </w:tcPr>
          <w:p w14:paraId="61F0263E"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Special Diet</w:t>
            </w:r>
          </w:p>
        </w:tc>
        <w:tc>
          <w:tcPr>
            <w:tcW w:w="1842" w:type="dxa"/>
          </w:tcPr>
          <w:p w14:paraId="54F8075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0.005</w:t>
            </w:r>
          </w:p>
        </w:tc>
        <w:tc>
          <w:tcPr>
            <w:tcW w:w="851" w:type="dxa"/>
          </w:tcPr>
          <w:p w14:paraId="4A3E873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5BD7524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0.942</w:t>
            </w:r>
          </w:p>
        </w:tc>
        <w:tc>
          <w:tcPr>
            <w:tcW w:w="2268" w:type="dxa"/>
          </w:tcPr>
          <w:p w14:paraId="6E7C583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1.000</w:t>
            </w:r>
          </w:p>
        </w:tc>
      </w:tr>
      <w:tr w:rsidR="00AD71A9" w:rsidRPr="00E75137" w14:paraId="1C2B969C" w14:textId="77777777" w:rsidTr="0092629E">
        <w:tc>
          <w:tcPr>
            <w:tcW w:w="3823" w:type="dxa"/>
          </w:tcPr>
          <w:p w14:paraId="24F2CEF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Alcohol Use</w:t>
            </w:r>
          </w:p>
        </w:tc>
        <w:tc>
          <w:tcPr>
            <w:tcW w:w="1842" w:type="dxa"/>
          </w:tcPr>
          <w:p w14:paraId="11FB4E7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6.500</w:t>
            </w:r>
          </w:p>
        </w:tc>
        <w:tc>
          <w:tcPr>
            <w:tcW w:w="851" w:type="dxa"/>
          </w:tcPr>
          <w:p w14:paraId="70FD4E64"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40B5508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0.011**</w:t>
            </w:r>
          </w:p>
        </w:tc>
        <w:tc>
          <w:tcPr>
            <w:tcW w:w="2268" w:type="dxa"/>
          </w:tcPr>
          <w:p w14:paraId="06DE6093" w14:textId="77777777" w:rsidR="00AD71A9" w:rsidRPr="00E75137" w:rsidRDefault="00AD71A9" w:rsidP="00D44A96">
            <w:pPr>
              <w:spacing w:line="276" w:lineRule="auto"/>
              <w:jc w:val="both"/>
              <w:rPr>
                <w:rFonts w:ascii="Times New Roman" w:hAnsi="Times New Roman" w:cs="Times New Roman"/>
                <w:sz w:val="24"/>
                <w:szCs w:val="24"/>
              </w:rPr>
            </w:pPr>
          </w:p>
        </w:tc>
      </w:tr>
      <w:tr w:rsidR="00AD71A9" w:rsidRPr="00E75137" w14:paraId="3537EF28" w14:textId="77777777" w:rsidTr="0092629E">
        <w:tc>
          <w:tcPr>
            <w:tcW w:w="3823" w:type="dxa"/>
          </w:tcPr>
          <w:p w14:paraId="4F3DA2C8"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Smoking Status</w:t>
            </w:r>
          </w:p>
        </w:tc>
        <w:tc>
          <w:tcPr>
            <w:tcW w:w="1842" w:type="dxa"/>
          </w:tcPr>
          <w:p w14:paraId="0A9AB0C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1.507</w:t>
            </w:r>
          </w:p>
        </w:tc>
        <w:tc>
          <w:tcPr>
            <w:tcW w:w="851" w:type="dxa"/>
          </w:tcPr>
          <w:p w14:paraId="6B7C2E6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160E535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0.471</w:t>
            </w:r>
          </w:p>
        </w:tc>
        <w:tc>
          <w:tcPr>
            <w:tcW w:w="2268" w:type="dxa"/>
          </w:tcPr>
          <w:p w14:paraId="3EA0ADCA"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0.379</w:t>
            </w:r>
          </w:p>
        </w:tc>
      </w:tr>
      <w:tr w:rsidR="00AD71A9" w:rsidRPr="00E75137" w14:paraId="0CC6C333" w14:textId="77777777" w:rsidTr="0092629E">
        <w:tc>
          <w:tcPr>
            <w:tcW w:w="3823" w:type="dxa"/>
          </w:tcPr>
          <w:p w14:paraId="3DDEA40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Family History of Hypertension</w:t>
            </w:r>
          </w:p>
        </w:tc>
        <w:tc>
          <w:tcPr>
            <w:tcW w:w="1842" w:type="dxa"/>
          </w:tcPr>
          <w:p w14:paraId="214779D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2.690</w:t>
            </w:r>
          </w:p>
        </w:tc>
        <w:tc>
          <w:tcPr>
            <w:tcW w:w="851" w:type="dxa"/>
          </w:tcPr>
          <w:p w14:paraId="4E1AB42E"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717F189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0.101</w:t>
            </w:r>
          </w:p>
        </w:tc>
        <w:tc>
          <w:tcPr>
            <w:tcW w:w="2268" w:type="dxa"/>
          </w:tcPr>
          <w:p w14:paraId="33DEFE1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0.179</w:t>
            </w:r>
          </w:p>
        </w:tc>
      </w:tr>
      <w:tr w:rsidR="00AD71A9" w:rsidRPr="00E75137" w14:paraId="7CFFB416" w14:textId="77777777" w:rsidTr="0092629E">
        <w:tc>
          <w:tcPr>
            <w:tcW w:w="3823" w:type="dxa"/>
          </w:tcPr>
          <w:p w14:paraId="403B454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Family History of Other Conditions</w:t>
            </w:r>
          </w:p>
        </w:tc>
        <w:tc>
          <w:tcPr>
            <w:tcW w:w="1842" w:type="dxa"/>
          </w:tcPr>
          <w:p w14:paraId="3CDCC4A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4.686</w:t>
            </w:r>
          </w:p>
        </w:tc>
        <w:tc>
          <w:tcPr>
            <w:tcW w:w="851" w:type="dxa"/>
          </w:tcPr>
          <w:p w14:paraId="7C700B2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7169FAD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0.096</w:t>
            </w:r>
          </w:p>
        </w:tc>
        <w:tc>
          <w:tcPr>
            <w:tcW w:w="2268" w:type="dxa"/>
          </w:tcPr>
          <w:p w14:paraId="09C8F22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0.132</w:t>
            </w:r>
          </w:p>
        </w:tc>
      </w:tr>
      <w:tr w:rsidR="00AD71A9" w:rsidRPr="00E75137" w14:paraId="14C5F602" w14:textId="77777777" w:rsidTr="0092629E">
        <w:tc>
          <w:tcPr>
            <w:tcW w:w="3823" w:type="dxa"/>
          </w:tcPr>
          <w:p w14:paraId="78ACA6FA"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Current Conditions</w:t>
            </w:r>
          </w:p>
        </w:tc>
        <w:tc>
          <w:tcPr>
            <w:tcW w:w="1842" w:type="dxa"/>
          </w:tcPr>
          <w:p w14:paraId="128EAFB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0.030</w:t>
            </w:r>
          </w:p>
        </w:tc>
        <w:tc>
          <w:tcPr>
            <w:tcW w:w="851" w:type="dxa"/>
          </w:tcPr>
          <w:p w14:paraId="06F8EDA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16C2138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0.862</w:t>
            </w:r>
          </w:p>
        </w:tc>
        <w:tc>
          <w:tcPr>
            <w:tcW w:w="2268" w:type="dxa"/>
          </w:tcPr>
          <w:p w14:paraId="2E73350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1.000</w:t>
            </w:r>
          </w:p>
        </w:tc>
      </w:tr>
    </w:tbl>
    <w:p w14:paraId="5D583CDF" w14:textId="7AB72C5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br w:type="textWrapping" w:clear="all"/>
        <w:t>The chi-square test was used to see whether each risk factor is significantly associated with hypertension status. Fishers Exact Test was used for the same purpose but for risk factors which more than 20% of cells with expected count less than 5.</w:t>
      </w:r>
      <w:r w:rsidR="00AA7A93" w:rsidRPr="00E75137">
        <w:rPr>
          <w:rFonts w:ascii="Times New Roman" w:hAnsi="Times New Roman" w:cs="Times New Roman"/>
          <w:sz w:val="24"/>
          <w:szCs w:val="24"/>
        </w:rPr>
        <w:t xml:space="preserve"> </w:t>
      </w:r>
      <w:r w:rsidRPr="00E75137">
        <w:rPr>
          <w:rFonts w:ascii="Times New Roman" w:hAnsi="Times New Roman" w:cs="Times New Roman"/>
          <w:sz w:val="24"/>
          <w:szCs w:val="24"/>
        </w:rPr>
        <w:t>Among all the listed risk factors, alcohol use showed a significant bivariate association with hypertension (p&lt;0.05). Other factors (physical activity, diet, smoking, family history) showed no statistically significant associations.</w:t>
      </w:r>
    </w:p>
    <w:p w14:paraId="1D241AE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lastRenderedPageBreak/>
        <w:t xml:space="preserve">To determine which risk factors independently predict hypertension after adjusting for others, binary logistic regression was carried out for risk factors which was significant with Chi-square analysis. </w:t>
      </w:r>
    </w:p>
    <w:p w14:paraId="0D287B8A" w14:textId="77777777" w:rsidR="00AD71A9" w:rsidRPr="00E75137" w:rsidRDefault="00AD71A9" w:rsidP="00D44A96">
      <w:pPr>
        <w:spacing w:line="276" w:lineRule="auto"/>
        <w:jc w:val="both"/>
        <w:rPr>
          <w:rFonts w:ascii="Times New Roman" w:hAnsi="Times New Roman" w:cs="Times New Roman"/>
          <w:sz w:val="24"/>
          <w:szCs w:val="24"/>
        </w:rPr>
      </w:pPr>
    </w:p>
    <w:p w14:paraId="6AABDB07" w14:textId="0DEB2AF1"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Binary Logistic Regression </w:t>
      </w:r>
    </w:p>
    <w:tbl>
      <w:tblPr>
        <w:tblStyle w:val="TableGrid"/>
        <w:tblW w:w="9634" w:type="dxa"/>
        <w:tblLook w:val="04A0" w:firstRow="1" w:lastRow="0" w:firstColumn="1" w:lastColumn="0" w:noHBand="0" w:noVBand="1"/>
      </w:tblPr>
      <w:tblGrid>
        <w:gridCol w:w="1511"/>
        <w:gridCol w:w="1096"/>
        <w:gridCol w:w="790"/>
        <w:gridCol w:w="851"/>
        <w:gridCol w:w="1550"/>
        <w:gridCol w:w="1476"/>
        <w:gridCol w:w="946"/>
        <w:gridCol w:w="1414"/>
      </w:tblGrid>
      <w:tr w:rsidR="00AD71A9" w:rsidRPr="00E75137" w14:paraId="5399C89E" w14:textId="77777777" w:rsidTr="0092629E">
        <w:trPr>
          <w:trHeight w:val="310"/>
        </w:trPr>
        <w:tc>
          <w:tcPr>
            <w:tcW w:w="1511" w:type="dxa"/>
            <w:vMerge w:val="restart"/>
          </w:tcPr>
          <w:p w14:paraId="5DFE821E"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Variable</w:t>
            </w:r>
          </w:p>
        </w:tc>
        <w:tc>
          <w:tcPr>
            <w:tcW w:w="1096" w:type="dxa"/>
            <w:vMerge w:val="restart"/>
          </w:tcPr>
          <w:p w14:paraId="07D2AC4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Category</w:t>
            </w:r>
          </w:p>
        </w:tc>
        <w:tc>
          <w:tcPr>
            <w:tcW w:w="790" w:type="dxa"/>
            <w:vMerge w:val="restart"/>
          </w:tcPr>
          <w:p w14:paraId="3828623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B</w:t>
            </w:r>
          </w:p>
        </w:tc>
        <w:tc>
          <w:tcPr>
            <w:tcW w:w="851" w:type="dxa"/>
            <w:vMerge w:val="restart"/>
          </w:tcPr>
          <w:p w14:paraId="004D58FD"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SE</w:t>
            </w:r>
          </w:p>
        </w:tc>
        <w:tc>
          <w:tcPr>
            <w:tcW w:w="1550" w:type="dxa"/>
            <w:vMerge w:val="restart"/>
          </w:tcPr>
          <w:p w14:paraId="325B967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p-value (Sig)</w:t>
            </w:r>
          </w:p>
        </w:tc>
        <w:tc>
          <w:tcPr>
            <w:tcW w:w="1476" w:type="dxa"/>
            <w:vMerge w:val="restart"/>
          </w:tcPr>
          <w:p w14:paraId="7EA706D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OR (Exp(B))</w:t>
            </w:r>
          </w:p>
        </w:tc>
        <w:tc>
          <w:tcPr>
            <w:tcW w:w="2360" w:type="dxa"/>
            <w:gridSpan w:val="2"/>
          </w:tcPr>
          <w:p w14:paraId="68BDC77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95% CL for EXP (B)</w:t>
            </w:r>
          </w:p>
        </w:tc>
      </w:tr>
      <w:tr w:rsidR="00AD71A9" w:rsidRPr="00E75137" w14:paraId="4862F5B2" w14:textId="77777777" w:rsidTr="0092629E">
        <w:trPr>
          <w:trHeight w:val="420"/>
        </w:trPr>
        <w:tc>
          <w:tcPr>
            <w:tcW w:w="1511" w:type="dxa"/>
            <w:vMerge/>
          </w:tcPr>
          <w:p w14:paraId="4DB22B91" w14:textId="77777777" w:rsidR="00AD71A9" w:rsidRPr="00E75137" w:rsidRDefault="00AD71A9" w:rsidP="00D44A96">
            <w:pPr>
              <w:spacing w:line="276" w:lineRule="auto"/>
              <w:jc w:val="both"/>
              <w:rPr>
                <w:rFonts w:ascii="Times New Roman" w:hAnsi="Times New Roman" w:cs="Times New Roman"/>
                <w:sz w:val="24"/>
                <w:szCs w:val="24"/>
              </w:rPr>
            </w:pPr>
          </w:p>
        </w:tc>
        <w:tc>
          <w:tcPr>
            <w:tcW w:w="1096" w:type="dxa"/>
            <w:vMerge/>
          </w:tcPr>
          <w:p w14:paraId="473E2F2B" w14:textId="77777777" w:rsidR="00AD71A9" w:rsidRPr="00E75137" w:rsidRDefault="00AD71A9" w:rsidP="00D44A96">
            <w:pPr>
              <w:spacing w:line="276" w:lineRule="auto"/>
              <w:jc w:val="both"/>
              <w:rPr>
                <w:rFonts w:ascii="Times New Roman" w:hAnsi="Times New Roman" w:cs="Times New Roman"/>
                <w:sz w:val="24"/>
                <w:szCs w:val="24"/>
              </w:rPr>
            </w:pPr>
          </w:p>
        </w:tc>
        <w:tc>
          <w:tcPr>
            <w:tcW w:w="790" w:type="dxa"/>
            <w:vMerge/>
          </w:tcPr>
          <w:p w14:paraId="37A46820" w14:textId="77777777" w:rsidR="00AD71A9" w:rsidRPr="00E75137" w:rsidRDefault="00AD71A9" w:rsidP="00D44A96">
            <w:pPr>
              <w:spacing w:line="276" w:lineRule="auto"/>
              <w:jc w:val="both"/>
              <w:rPr>
                <w:rFonts w:ascii="Times New Roman" w:hAnsi="Times New Roman" w:cs="Times New Roman"/>
                <w:sz w:val="24"/>
                <w:szCs w:val="24"/>
              </w:rPr>
            </w:pPr>
          </w:p>
        </w:tc>
        <w:tc>
          <w:tcPr>
            <w:tcW w:w="851" w:type="dxa"/>
            <w:vMerge/>
          </w:tcPr>
          <w:p w14:paraId="393B75DB" w14:textId="77777777" w:rsidR="00AD71A9" w:rsidRPr="00E75137" w:rsidRDefault="00AD71A9" w:rsidP="00D44A96">
            <w:pPr>
              <w:spacing w:line="276" w:lineRule="auto"/>
              <w:jc w:val="both"/>
              <w:rPr>
                <w:rFonts w:ascii="Times New Roman" w:hAnsi="Times New Roman" w:cs="Times New Roman"/>
                <w:sz w:val="24"/>
                <w:szCs w:val="24"/>
              </w:rPr>
            </w:pPr>
          </w:p>
        </w:tc>
        <w:tc>
          <w:tcPr>
            <w:tcW w:w="1550" w:type="dxa"/>
            <w:vMerge/>
          </w:tcPr>
          <w:p w14:paraId="3925316B" w14:textId="77777777" w:rsidR="00AD71A9" w:rsidRPr="00E75137" w:rsidRDefault="00AD71A9" w:rsidP="00D44A96">
            <w:pPr>
              <w:spacing w:line="276" w:lineRule="auto"/>
              <w:jc w:val="both"/>
              <w:rPr>
                <w:rFonts w:ascii="Times New Roman" w:hAnsi="Times New Roman" w:cs="Times New Roman"/>
                <w:sz w:val="24"/>
                <w:szCs w:val="24"/>
              </w:rPr>
            </w:pPr>
          </w:p>
        </w:tc>
        <w:tc>
          <w:tcPr>
            <w:tcW w:w="1476" w:type="dxa"/>
            <w:vMerge/>
          </w:tcPr>
          <w:p w14:paraId="62E5AE0F" w14:textId="77777777" w:rsidR="00AD71A9" w:rsidRPr="00E75137" w:rsidRDefault="00AD71A9" w:rsidP="00D44A96">
            <w:pPr>
              <w:spacing w:line="276" w:lineRule="auto"/>
              <w:jc w:val="both"/>
              <w:rPr>
                <w:rFonts w:ascii="Times New Roman" w:hAnsi="Times New Roman" w:cs="Times New Roman"/>
                <w:sz w:val="24"/>
                <w:szCs w:val="24"/>
              </w:rPr>
            </w:pPr>
          </w:p>
        </w:tc>
        <w:tc>
          <w:tcPr>
            <w:tcW w:w="946" w:type="dxa"/>
          </w:tcPr>
          <w:p w14:paraId="20536DA3" w14:textId="77777777" w:rsidR="00AD71A9" w:rsidRPr="00E75137" w:rsidRDefault="00AD71A9" w:rsidP="00D44A96">
            <w:pPr>
              <w:spacing w:line="276" w:lineRule="auto"/>
              <w:jc w:val="both"/>
              <w:rPr>
                <w:rFonts w:ascii="Times New Roman" w:hAnsi="Times New Roman" w:cs="Times New Roman"/>
                <w:sz w:val="24"/>
                <w:szCs w:val="24"/>
              </w:rPr>
            </w:pPr>
          </w:p>
        </w:tc>
        <w:tc>
          <w:tcPr>
            <w:tcW w:w="1414" w:type="dxa"/>
          </w:tcPr>
          <w:p w14:paraId="3BA1C72E" w14:textId="77777777" w:rsidR="00AD71A9" w:rsidRPr="00E75137" w:rsidRDefault="00AD71A9" w:rsidP="00D44A96">
            <w:pPr>
              <w:spacing w:line="276" w:lineRule="auto"/>
              <w:jc w:val="both"/>
              <w:rPr>
                <w:rFonts w:ascii="Times New Roman" w:hAnsi="Times New Roman" w:cs="Times New Roman"/>
                <w:sz w:val="24"/>
                <w:szCs w:val="24"/>
              </w:rPr>
            </w:pPr>
          </w:p>
        </w:tc>
      </w:tr>
      <w:tr w:rsidR="00AD71A9" w:rsidRPr="00E75137" w14:paraId="2D6E0C8B" w14:textId="77777777" w:rsidTr="0092629E">
        <w:tc>
          <w:tcPr>
            <w:tcW w:w="1511" w:type="dxa"/>
          </w:tcPr>
          <w:p w14:paraId="17787A2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Alcohol Use (Ref = No)</w:t>
            </w:r>
          </w:p>
        </w:tc>
        <w:tc>
          <w:tcPr>
            <w:tcW w:w="1096" w:type="dxa"/>
          </w:tcPr>
          <w:p w14:paraId="03F3888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Yes</w:t>
            </w:r>
          </w:p>
        </w:tc>
        <w:tc>
          <w:tcPr>
            <w:tcW w:w="790" w:type="dxa"/>
          </w:tcPr>
          <w:p w14:paraId="30CA8D9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1.855</w:t>
            </w:r>
          </w:p>
        </w:tc>
        <w:tc>
          <w:tcPr>
            <w:tcW w:w="851" w:type="dxa"/>
          </w:tcPr>
          <w:p w14:paraId="65A7E50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0.810</w:t>
            </w:r>
          </w:p>
        </w:tc>
        <w:tc>
          <w:tcPr>
            <w:tcW w:w="1550" w:type="dxa"/>
          </w:tcPr>
          <w:p w14:paraId="750A165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0.022</w:t>
            </w:r>
          </w:p>
        </w:tc>
        <w:tc>
          <w:tcPr>
            <w:tcW w:w="1476" w:type="dxa"/>
          </w:tcPr>
          <w:p w14:paraId="1F079E1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6.395</w:t>
            </w:r>
          </w:p>
        </w:tc>
        <w:tc>
          <w:tcPr>
            <w:tcW w:w="946" w:type="dxa"/>
          </w:tcPr>
          <w:p w14:paraId="0248785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1.307</w:t>
            </w:r>
          </w:p>
        </w:tc>
        <w:tc>
          <w:tcPr>
            <w:tcW w:w="1414" w:type="dxa"/>
          </w:tcPr>
          <w:p w14:paraId="313DDDAD"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31.276</w:t>
            </w:r>
          </w:p>
        </w:tc>
      </w:tr>
      <w:tr w:rsidR="00AD71A9" w:rsidRPr="00E75137" w14:paraId="223E05E4" w14:textId="77777777" w:rsidTr="0092629E">
        <w:tc>
          <w:tcPr>
            <w:tcW w:w="1511" w:type="dxa"/>
          </w:tcPr>
          <w:p w14:paraId="71E4010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Constant</w:t>
            </w:r>
          </w:p>
        </w:tc>
        <w:tc>
          <w:tcPr>
            <w:tcW w:w="1096" w:type="dxa"/>
          </w:tcPr>
          <w:p w14:paraId="5308E6F3" w14:textId="77777777" w:rsidR="00AD71A9" w:rsidRPr="00E75137" w:rsidRDefault="00AD71A9" w:rsidP="00D44A96">
            <w:pPr>
              <w:spacing w:line="276" w:lineRule="auto"/>
              <w:jc w:val="both"/>
              <w:rPr>
                <w:rFonts w:ascii="Times New Roman" w:hAnsi="Times New Roman" w:cs="Times New Roman"/>
                <w:sz w:val="24"/>
                <w:szCs w:val="24"/>
              </w:rPr>
            </w:pPr>
          </w:p>
        </w:tc>
        <w:tc>
          <w:tcPr>
            <w:tcW w:w="790" w:type="dxa"/>
          </w:tcPr>
          <w:p w14:paraId="1790DE1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1.440</w:t>
            </w:r>
          </w:p>
        </w:tc>
        <w:tc>
          <w:tcPr>
            <w:tcW w:w="851" w:type="dxa"/>
          </w:tcPr>
          <w:p w14:paraId="2BA585E1"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0.371</w:t>
            </w:r>
          </w:p>
        </w:tc>
        <w:tc>
          <w:tcPr>
            <w:tcW w:w="1550" w:type="dxa"/>
          </w:tcPr>
          <w:p w14:paraId="080DDAF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0.000</w:t>
            </w:r>
          </w:p>
        </w:tc>
        <w:tc>
          <w:tcPr>
            <w:tcW w:w="1476" w:type="dxa"/>
          </w:tcPr>
          <w:p w14:paraId="1694E6A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4.222</w:t>
            </w:r>
          </w:p>
        </w:tc>
        <w:tc>
          <w:tcPr>
            <w:tcW w:w="946" w:type="dxa"/>
          </w:tcPr>
          <w:p w14:paraId="6960863A" w14:textId="77777777" w:rsidR="00AD71A9" w:rsidRPr="00E75137" w:rsidRDefault="00AD71A9" w:rsidP="00D44A96">
            <w:pPr>
              <w:spacing w:line="276" w:lineRule="auto"/>
              <w:jc w:val="both"/>
              <w:rPr>
                <w:rFonts w:ascii="Times New Roman" w:hAnsi="Times New Roman" w:cs="Times New Roman"/>
                <w:sz w:val="24"/>
                <w:szCs w:val="24"/>
              </w:rPr>
            </w:pPr>
          </w:p>
        </w:tc>
        <w:tc>
          <w:tcPr>
            <w:tcW w:w="1414" w:type="dxa"/>
          </w:tcPr>
          <w:p w14:paraId="370A53CF" w14:textId="77777777" w:rsidR="00AD71A9" w:rsidRPr="00E75137" w:rsidRDefault="00AD71A9" w:rsidP="00D44A96">
            <w:pPr>
              <w:spacing w:line="276" w:lineRule="auto"/>
              <w:jc w:val="both"/>
              <w:rPr>
                <w:rFonts w:ascii="Times New Roman" w:hAnsi="Times New Roman" w:cs="Times New Roman"/>
                <w:sz w:val="24"/>
                <w:szCs w:val="24"/>
              </w:rPr>
            </w:pPr>
          </w:p>
        </w:tc>
      </w:tr>
    </w:tbl>
    <w:p w14:paraId="4074BF90" w14:textId="77777777" w:rsidR="00AD71A9" w:rsidRPr="00E75137" w:rsidRDefault="00AD71A9" w:rsidP="00D44A96">
      <w:pPr>
        <w:spacing w:line="276" w:lineRule="auto"/>
        <w:jc w:val="both"/>
        <w:rPr>
          <w:rFonts w:ascii="Times New Roman" w:hAnsi="Times New Roman" w:cs="Times New Roman"/>
          <w:sz w:val="24"/>
          <w:szCs w:val="24"/>
        </w:rPr>
      </w:pPr>
    </w:p>
    <w:p w14:paraId="59E5D8F1"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From the results alcohol use showed statistically significant independent predictor hypertension (p&lt;0.05). The odds ratio (Exp (B)) = 6.395 means that those who use alcohol are about 6.4 times more likely to develop hypertension compared to non-users. The confidence interval does not cross 1 reinforcing the significance. </w:t>
      </w:r>
    </w:p>
    <w:p w14:paraId="61C0896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In this study population (Nnamdi Azikiwe University Teaching Hospital, Nnewi), alcohol use emerged as the strongest and only independent risk factor for hypertension, meaning that reducing alcohol use could substantially lower hypertension risk in this community.</w:t>
      </w:r>
    </w:p>
    <w:p w14:paraId="32639420" w14:textId="77777777" w:rsidR="00AD71A9" w:rsidRPr="00E75137" w:rsidRDefault="00AD71A9" w:rsidP="00D44A96">
      <w:pPr>
        <w:spacing w:line="276" w:lineRule="auto"/>
        <w:jc w:val="both"/>
        <w:rPr>
          <w:rFonts w:ascii="Times New Roman" w:hAnsi="Times New Roman" w:cs="Times New Roman"/>
          <w:sz w:val="24"/>
          <w:szCs w:val="24"/>
        </w:rPr>
      </w:pPr>
    </w:p>
    <w:p w14:paraId="355890ED" w14:textId="1ACF383A" w:rsidR="00AD71A9" w:rsidRPr="00E75137" w:rsidRDefault="00BC4D15" w:rsidP="00D44A96">
      <w:pPr>
        <w:spacing w:before="100" w:beforeAutospacing="1" w:after="100" w:afterAutospacing="1" w:line="276" w:lineRule="auto"/>
        <w:jc w:val="both"/>
        <w:rPr>
          <w:rFonts w:ascii="Times New Roman" w:eastAsia="Times New Roman" w:hAnsi="Times New Roman" w:cs="Times New Roman"/>
          <w:b/>
          <w:bCs/>
          <w:sz w:val="24"/>
          <w:szCs w:val="24"/>
          <w:lang w:eastAsia="en-ZA"/>
        </w:rPr>
      </w:pPr>
      <w:r w:rsidRPr="00E75137">
        <w:rPr>
          <w:rFonts w:ascii="Times New Roman" w:eastAsia="Times New Roman" w:hAnsi="Times New Roman" w:cs="Times New Roman"/>
          <w:b/>
          <w:bCs/>
          <w:sz w:val="24"/>
          <w:szCs w:val="24"/>
          <w:lang w:eastAsia="en-ZA"/>
        </w:rPr>
        <w:t>3.</w:t>
      </w:r>
      <w:r w:rsidR="00A151D0">
        <w:rPr>
          <w:rFonts w:ascii="Times New Roman" w:eastAsia="Times New Roman" w:hAnsi="Times New Roman" w:cs="Times New Roman"/>
          <w:b/>
          <w:bCs/>
          <w:sz w:val="24"/>
          <w:szCs w:val="24"/>
          <w:lang w:eastAsia="en-ZA"/>
        </w:rPr>
        <w:t>1</w:t>
      </w:r>
      <w:r w:rsidRPr="00E75137">
        <w:rPr>
          <w:rFonts w:ascii="Times New Roman" w:eastAsia="Times New Roman" w:hAnsi="Times New Roman" w:cs="Times New Roman"/>
          <w:b/>
          <w:bCs/>
          <w:sz w:val="24"/>
          <w:szCs w:val="24"/>
          <w:lang w:eastAsia="en-ZA"/>
        </w:rPr>
        <w:t xml:space="preserve"> </w:t>
      </w:r>
      <w:r w:rsidR="00AD71A9" w:rsidRPr="00E75137">
        <w:rPr>
          <w:rFonts w:ascii="Times New Roman" w:eastAsia="Times New Roman" w:hAnsi="Times New Roman" w:cs="Times New Roman"/>
          <w:b/>
          <w:bCs/>
          <w:sz w:val="24"/>
          <w:szCs w:val="24"/>
          <w:lang w:eastAsia="en-ZA"/>
        </w:rPr>
        <w:t xml:space="preserve">Discussion </w:t>
      </w:r>
    </w:p>
    <w:p w14:paraId="61BC661F" w14:textId="77777777" w:rsidR="00856B9C" w:rsidRPr="00E75137" w:rsidRDefault="00856B9C" w:rsidP="00D44A96">
      <w:pPr>
        <w:pStyle w:val="NormalWeb"/>
        <w:spacing w:line="276" w:lineRule="auto"/>
        <w:jc w:val="both"/>
        <w:rPr>
          <w:lang w:val="en-ZA"/>
        </w:rPr>
      </w:pPr>
      <w:r w:rsidRPr="00E75137">
        <w:t>The study population (N = 103) showed a nearly equal gender distribution, with 50.5% males and 49.5% females, minimizing gender bias and supporting reliable analysis of sexual dimorphism and hypertension. The age profile revealed a predominantly older population, with 40.8% aged 55–64 years, 30.1% aged 45–54 years, and 28.2% aged 65 and above, indicating that hypertension is more common among middle-aged and elderly individuals, consistent with age-related vascular changes.</w:t>
      </w:r>
    </w:p>
    <w:p w14:paraId="13A69DF6" w14:textId="36E11BCD" w:rsidR="00856B9C" w:rsidRPr="00E75137" w:rsidRDefault="00856B9C" w:rsidP="00D44A96">
      <w:pPr>
        <w:pStyle w:val="NormalWeb"/>
        <w:spacing w:line="276" w:lineRule="auto"/>
        <w:jc w:val="both"/>
      </w:pPr>
      <w:r w:rsidRPr="00E75137">
        <w:t>Hypertension prevalence was high, with 68% reporting a confirmed diagnosis, while 9.7% were non-hypertensive and 22.3% were unsure of their status. This high level of uncertainty reflects persistent gaps in awareness and diagnosis, aligning with previous Nigerian studies highlighting poor hypertension awareness</w:t>
      </w:r>
      <w:r w:rsidR="00E71478">
        <w:t xml:space="preserve"> (Eze et al., 2009)</w:t>
      </w:r>
      <w:r w:rsidRPr="00E75137">
        <w:t>.</w:t>
      </w:r>
    </w:p>
    <w:p w14:paraId="7A06B304" w14:textId="383A1710" w:rsidR="00856B9C" w:rsidRPr="009007D2" w:rsidRDefault="00856B9C" w:rsidP="00D44A96">
      <w:pPr>
        <w:pStyle w:val="NormalWeb"/>
        <w:spacing w:line="276" w:lineRule="auto"/>
        <w:jc w:val="both"/>
        <w:rPr>
          <w:color w:val="EE0000"/>
        </w:rPr>
      </w:pPr>
      <w:r w:rsidRPr="00E75137">
        <w:t xml:space="preserve">Handedness distribution was atypical, with 37.9% right-handed, 27.2% left-handed, and 35% ambidextrous, deviating from the global norm where right-handedness predominates. This </w:t>
      </w:r>
      <w:r w:rsidRPr="009007D2">
        <w:rPr>
          <w:color w:val="EE0000"/>
          <w:highlight w:val="black"/>
        </w:rPr>
        <w:t>variation may result from sampling bias or reporting inaccuracies.</w:t>
      </w:r>
      <w:r w:rsidR="009007D2">
        <w:rPr>
          <w:color w:val="EE0000"/>
        </w:rPr>
        <w:t xml:space="preserve"> This is serious comment </w:t>
      </w:r>
    </w:p>
    <w:p w14:paraId="6E0E99AF" w14:textId="5F2C0163" w:rsidR="00856B9C" w:rsidRPr="00E75137" w:rsidRDefault="00856B9C" w:rsidP="00D44A96">
      <w:pPr>
        <w:pStyle w:val="NormalWeb"/>
        <w:spacing w:line="276" w:lineRule="auto"/>
        <w:jc w:val="both"/>
      </w:pPr>
      <w:r w:rsidRPr="00E75137">
        <w:lastRenderedPageBreak/>
        <w:t>Lifestyle assessment showed concerning patterns: 48.5% reported no physical activity, and only 25.2% exercised at least three times weekly. Alcohol consumption was mostly occasional (45.6%), with 8.7% reporting regular use, while smoking prevalence was relatively low (6.8%). Family history awareness was poor, with nearly half of respondents unsure about hereditary hypertension or related conditions.</w:t>
      </w:r>
    </w:p>
    <w:p w14:paraId="21B600C4" w14:textId="4962E853" w:rsidR="00856B9C" w:rsidRPr="00E75137" w:rsidRDefault="00856B9C" w:rsidP="00D44A96">
      <w:pPr>
        <w:pStyle w:val="NormalWeb"/>
        <w:spacing w:line="276" w:lineRule="auto"/>
        <w:jc w:val="both"/>
      </w:pPr>
      <w:r w:rsidRPr="00E75137">
        <w:t>Anthropometric data revealed a mean height of 169.51 cm, weight of 72.30 kg, and BMI of 25.43 kg/m², placing the average participant in the overweight range, a recognized risk factor for hypertension. Blood pressure readings showed elevated systolic levels (mean SBP 144.99 mmHg) and relatively lower diastolic values (mean DBP 62.44 mmHg), consistent with age-related arterial stiffness.</w:t>
      </w:r>
      <w:r w:rsidR="00E71478">
        <w:t xml:space="preserve"> </w:t>
      </w:r>
      <w:r w:rsidRPr="00E75137">
        <w:t>Overall, the findings indicate a population characterized by advanced age, high hypertension prevalence, limited physical activity, and overweight status, reflecting the rising burden of non-communicable diseases in Nigeria</w:t>
      </w:r>
      <w:r w:rsidR="00E71478">
        <w:t xml:space="preserve"> (Brouwers et al., 2021</w:t>
      </w:r>
      <w:r w:rsidR="00EA28B0">
        <w:t>; Khan et al., 2021</w:t>
      </w:r>
      <w:r w:rsidR="00E71478">
        <w:t>)</w:t>
      </w:r>
      <w:r w:rsidRPr="00E75137">
        <w:t>.</w:t>
      </w:r>
    </w:p>
    <w:p w14:paraId="425D1F6D" w14:textId="77777777" w:rsidR="00AD71A9" w:rsidRPr="00E75137" w:rsidRDefault="00AD71A9" w:rsidP="00D44A96">
      <w:pPr>
        <w:spacing w:before="100" w:beforeAutospacing="1" w:after="100" w:afterAutospacing="1" w:line="276" w:lineRule="auto"/>
        <w:jc w:val="both"/>
        <w:outlineLvl w:val="2"/>
        <w:rPr>
          <w:rFonts w:ascii="Times New Roman" w:eastAsia="Times New Roman" w:hAnsi="Times New Roman" w:cs="Times New Roman"/>
          <w:sz w:val="24"/>
          <w:szCs w:val="24"/>
          <w:lang w:eastAsia="en-ZA"/>
        </w:rPr>
      </w:pPr>
    </w:p>
    <w:p w14:paraId="1601484A" w14:textId="3B97F6A3" w:rsidR="00856B9C" w:rsidRPr="004713A3" w:rsidRDefault="004713A3" w:rsidP="00D44A96">
      <w:pPr>
        <w:pStyle w:val="Heading2"/>
        <w:spacing w:line="276" w:lineRule="auto"/>
        <w:jc w:val="both"/>
        <w:rPr>
          <w:rFonts w:ascii="Times New Roman" w:hAnsi="Times New Roman" w:cs="Times New Roman"/>
          <w:color w:val="000000" w:themeColor="text1"/>
          <w:sz w:val="24"/>
          <w:szCs w:val="24"/>
          <w:lang w:val="en-ZA"/>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856B9C" w:rsidRPr="004713A3">
        <w:rPr>
          <w:rFonts w:ascii="Times New Roman" w:hAnsi="Times New Roman" w:cs="Times New Roman"/>
          <w:color w:val="000000" w:themeColor="text1"/>
          <w:sz w:val="24"/>
          <w:szCs w:val="24"/>
        </w:rPr>
        <w:t>Gender Differences in Hypertension Prevalence</w:t>
      </w:r>
    </w:p>
    <w:p w14:paraId="4A3EEDCA" w14:textId="1781D4B3" w:rsidR="00856B9C" w:rsidRPr="00E75137" w:rsidRDefault="00856B9C" w:rsidP="00D44A96">
      <w:pPr>
        <w:pStyle w:val="NormalWeb"/>
        <w:spacing w:line="276" w:lineRule="auto"/>
        <w:jc w:val="both"/>
      </w:pPr>
      <w:r w:rsidRPr="00E75137">
        <w:t>The study revealed a high prevalence of hypertension (68%) among patients at NAUTH, Nnewi, with females showing a slightly higher rate (72.5%) compared to males (63.5%). However, statistical analysis demonstrated no significant association between gender and hypertension status, indicating that the observed difference was likely due to chance rather than a true biological or social effect. This aligns with several Nigerian and sub-Saharan African studies showing minimal gender disparities in hypertension prevalence</w:t>
      </w:r>
      <w:r w:rsidR="001B7A9E">
        <w:t xml:space="preserve"> (Pescatello et al., 2015)</w:t>
      </w:r>
      <w:r w:rsidRPr="00E75137">
        <w:t>.</w:t>
      </w:r>
    </w:p>
    <w:p w14:paraId="6B352CFB" w14:textId="1347D811" w:rsidR="00856B9C" w:rsidRPr="00E75137" w:rsidRDefault="00856B9C" w:rsidP="00D44A96">
      <w:pPr>
        <w:pStyle w:val="NormalWeb"/>
        <w:spacing w:line="276" w:lineRule="auto"/>
        <w:jc w:val="both"/>
      </w:pPr>
      <w:r w:rsidRPr="00E75137">
        <w:t>The marginally higher prevalence among females may be influenced by post-menopausal hormonal changes, increased obesity rates, and greater healthcare utilization leading to higher diagnosis rates. Despite this, the findings support the view that both genders are equally vulnerable to hypertension in this population. Clinically, this emphasizes the need for non-gender-selective screening and management strategies, focusing on universal preventive measures such as lifestyle modification and routine blood pressure monitoring</w:t>
      </w:r>
      <w:r w:rsidR="001B7A9E">
        <w:t xml:space="preserve"> (Pescatello et al., 2015)</w:t>
      </w:r>
      <w:r w:rsidRPr="00E75137">
        <w:t>.</w:t>
      </w:r>
    </w:p>
    <w:p w14:paraId="6EEA1A36" w14:textId="77777777" w:rsidR="00D44A96" w:rsidRDefault="00D44A96" w:rsidP="00D44A96">
      <w:pPr>
        <w:pStyle w:val="Heading2"/>
        <w:spacing w:line="276" w:lineRule="auto"/>
        <w:jc w:val="both"/>
        <w:rPr>
          <w:rFonts w:ascii="Times New Roman" w:hAnsi="Times New Roman" w:cs="Times New Roman"/>
          <w:sz w:val="24"/>
          <w:szCs w:val="24"/>
        </w:rPr>
      </w:pPr>
    </w:p>
    <w:p w14:paraId="3F64BB07" w14:textId="07060542" w:rsidR="00856B9C" w:rsidRPr="00E75137" w:rsidRDefault="004713A3" w:rsidP="00D44A96">
      <w:pPr>
        <w:pStyle w:val="Heading2"/>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Relationship Between Handedness and Hypertension</w:t>
      </w:r>
    </w:p>
    <w:p w14:paraId="1667DE60" w14:textId="77777777" w:rsidR="00856B9C" w:rsidRPr="00E75137" w:rsidRDefault="00856B9C" w:rsidP="00D44A96">
      <w:pPr>
        <w:pStyle w:val="NormalWeb"/>
        <w:spacing w:line="276" w:lineRule="auto"/>
        <w:jc w:val="both"/>
      </w:pPr>
      <w:r w:rsidRPr="00E75137">
        <w:t>The study found no statistically significant relationship between handedness and hypertension status. Although right-handed participants had a slightly higher proportion of hypertension, the association was weak and inconclusive. These findings align with existing literature suggesting that handedness, determined by brain lateralization, does not have a consistent or meaningful impact on cardiovascular risk.</w:t>
      </w:r>
    </w:p>
    <w:p w14:paraId="29CAD2C2" w14:textId="1EE4A86D" w:rsidR="00856B9C" w:rsidRPr="00E75137" w:rsidRDefault="00856B9C" w:rsidP="00D44A96">
      <w:pPr>
        <w:pStyle w:val="NormalWeb"/>
        <w:spacing w:line="276" w:lineRule="auto"/>
        <w:jc w:val="both"/>
      </w:pPr>
      <w:r w:rsidRPr="00E75137">
        <w:lastRenderedPageBreak/>
        <w:t>The unusually high prevalence of ambidexterity in the sample may reflect reporting bias or cultural adaptations rather than true physiological variation. Overall, the results indicate that handedness does not contribute significantly to hypertension risk and should not be considered in clinical risk assessment or screening</w:t>
      </w:r>
      <w:r w:rsidR="0097491E">
        <w:t xml:space="preserve"> (</w:t>
      </w:r>
      <w:proofErr w:type="spellStart"/>
      <w:r w:rsidR="0097491E">
        <w:t>Reuda</w:t>
      </w:r>
      <w:proofErr w:type="spellEnd"/>
      <w:r w:rsidR="0097491E">
        <w:t xml:space="preserve"> et al., 2016)</w:t>
      </w:r>
      <w:r w:rsidRPr="00E75137">
        <w:t>.</w:t>
      </w:r>
    </w:p>
    <w:p w14:paraId="650413B2" w14:textId="004B6F44" w:rsidR="00856B9C" w:rsidRPr="00E75137" w:rsidRDefault="00856B9C" w:rsidP="00D44A96">
      <w:pPr>
        <w:spacing w:line="276" w:lineRule="auto"/>
        <w:jc w:val="both"/>
        <w:rPr>
          <w:rFonts w:ascii="Times New Roman" w:hAnsi="Times New Roman" w:cs="Times New Roman"/>
          <w:sz w:val="24"/>
          <w:szCs w:val="24"/>
        </w:rPr>
      </w:pPr>
    </w:p>
    <w:p w14:paraId="68748ED8" w14:textId="7EDCE827" w:rsidR="00856B9C" w:rsidRPr="00D44A96" w:rsidRDefault="004713A3"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Association between Stature and Hypertension</w:t>
      </w:r>
    </w:p>
    <w:p w14:paraId="5A98E5FC" w14:textId="77777777" w:rsidR="00856B9C" w:rsidRPr="00E75137" w:rsidRDefault="00856B9C" w:rsidP="00D44A96">
      <w:pPr>
        <w:pStyle w:val="NormalWeb"/>
        <w:spacing w:line="276" w:lineRule="auto"/>
        <w:jc w:val="both"/>
      </w:pPr>
      <w:r w:rsidRPr="00E75137">
        <w:t>Analysis of stature indices (height, weight, BMI, and BSA) showed no significant correlation with systolic or diastolic blood pressure. Both correlation and regression models demonstrated weak, non-significant relationships, with stature explaining only a small proportion of blood pressure variance.</w:t>
      </w:r>
    </w:p>
    <w:p w14:paraId="36BBD581" w14:textId="56C9FCDB" w:rsidR="00856B9C" w:rsidRPr="00E75137" w:rsidRDefault="00856B9C" w:rsidP="00D44A96">
      <w:pPr>
        <w:pStyle w:val="NormalWeb"/>
        <w:spacing w:line="276" w:lineRule="auto"/>
        <w:jc w:val="both"/>
      </w:pPr>
      <w:r w:rsidRPr="00E75137">
        <w:t>While some studies have linked shorter stature to increased cardiovascular risk, the present findings support the view that body size alone is not a reliable predictor of hypertension severity. Instead, hypertension in this population appears to be more strongly influenced by metabolic and lifestyle factors. Thus, stature indices are of limited value in predicting blood pressure severity among already hypertensive patients</w:t>
      </w:r>
      <w:r w:rsidR="0097491E">
        <w:t xml:space="preserve"> (</w:t>
      </w:r>
      <w:proofErr w:type="spellStart"/>
      <w:r w:rsidR="0097491E">
        <w:t>Malschitzky</w:t>
      </w:r>
      <w:proofErr w:type="spellEnd"/>
      <w:r w:rsidR="0097491E">
        <w:t xml:space="preserve"> et al., 2024)</w:t>
      </w:r>
      <w:r w:rsidRPr="00E75137">
        <w:t>.</w:t>
      </w:r>
    </w:p>
    <w:p w14:paraId="5EFA9159" w14:textId="4969F0E5" w:rsidR="00856B9C" w:rsidRPr="00E75137" w:rsidRDefault="00856B9C" w:rsidP="00D44A96">
      <w:pPr>
        <w:spacing w:line="276" w:lineRule="auto"/>
        <w:jc w:val="both"/>
        <w:rPr>
          <w:rFonts w:ascii="Times New Roman" w:hAnsi="Times New Roman" w:cs="Times New Roman"/>
          <w:sz w:val="24"/>
          <w:szCs w:val="24"/>
        </w:rPr>
      </w:pPr>
    </w:p>
    <w:p w14:paraId="4DA6FB37" w14:textId="05C984C4" w:rsidR="00856B9C" w:rsidRPr="00D44A96" w:rsidRDefault="00127E7E"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Effects of Sexual Dimorphism, Handedness, and Stature on Hypertension Severity</w:t>
      </w:r>
    </w:p>
    <w:p w14:paraId="1A005ECD" w14:textId="77777777" w:rsidR="00856B9C" w:rsidRPr="00E75137" w:rsidRDefault="00856B9C" w:rsidP="00D44A96">
      <w:pPr>
        <w:pStyle w:val="NormalWeb"/>
        <w:spacing w:line="276" w:lineRule="auto"/>
        <w:jc w:val="both"/>
      </w:pPr>
      <w:r w:rsidRPr="00E75137">
        <w:t>Combined analysis of gender, handedness, and stature revealed that none of these variables significantly predicted hypertension severity. Although trends suggested that higher BMI might increase the odds of severe hypertension and males might have slightly lower odds compared to females, these associations were not statistically significant.</w:t>
      </w:r>
    </w:p>
    <w:p w14:paraId="1B418E94" w14:textId="0343C66F" w:rsidR="00856B9C" w:rsidRPr="00E75137" w:rsidRDefault="00856B9C" w:rsidP="00D44A96">
      <w:pPr>
        <w:pStyle w:val="NormalWeb"/>
        <w:spacing w:line="276" w:lineRule="auto"/>
        <w:jc w:val="both"/>
      </w:pPr>
      <w:r w:rsidRPr="00E75137">
        <w:t>The overall regression model lacked predictive strength, largely due to the small and imbalanced sample size. These findings reinforce the multifactorial nature of hypertension, which is more strongly associated with age, genetics, diet, and metabolic factors than with demographic or anthropometric characteristics alone</w:t>
      </w:r>
      <w:r w:rsidR="00007195">
        <w:t xml:space="preserve"> (</w:t>
      </w:r>
      <w:proofErr w:type="spellStart"/>
      <w:r w:rsidR="00007195">
        <w:t>Krisshan</w:t>
      </w:r>
      <w:proofErr w:type="spellEnd"/>
      <w:r w:rsidR="00007195">
        <w:t xml:space="preserve"> et al., 2012)</w:t>
      </w:r>
      <w:r w:rsidRPr="00E75137">
        <w:t>.</w:t>
      </w:r>
    </w:p>
    <w:p w14:paraId="3D078EC5" w14:textId="0C8E4D39" w:rsidR="00856B9C" w:rsidRPr="00E75137" w:rsidRDefault="00856B9C" w:rsidP="00D44A96">
      <w:pPr>
        <w:spacing w:line="276" w:lineRule="auto"/>
        <w:jc w:val="both"/>
        <w:rPr>
          <w:rFonts w:ascii="Times New Roman" w:hAnsi="Times New Roman" w:cs="Times New Roman"/>
          <w:sz w:val="24"/>
          <w:szCs w:val="24"/>
        </w:rPr>
      </w:pPr>
    </w:p>
    <w:p w14:paraId="65FCEE96" w14:textId="04FEDBF1" w:rsidR="00856B9C" w:rsidRPr="00E75137" w:rsidRDefault="00127E7E" w:rsidP="00D44A96">
      <w:pPr>
        <w:pStyle w:val="Heading2"/>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Blood Pressure Differences by Gender, Handedness, and Stature</w:t>
      </w:r>
    </w:p>
    <w:p w14:paraId="3359D439" w14:textId="77777777" w:rsidR="00856B9C" w:rsidRPr="00E75137" w:rsidRDefault="00856B9C" w:rsidP="00D44A96">
      <w:pPr>
        <w:pStyle w:val="NormalWeb"/>
        <w:spacing w:line="276" w:lineRule="auto"/>
        <w:jc w:val="both"/>
      </w:pPr>
      <w:r w:rsidRPr="00E75137">
        <w:t>No significant differences in systolic or diastolic blood pressure were observed across gender, handedness, or stature groups. Although minor variations were noted in median blood pressure values, these differences were not statistically meaningful.</w:t>
      </w:r>
    </w:p>
    <w:p w14:paraId="182F5F7C" w14:textId="776F756B" w:rsidR="00856B9C" w:rsidRPr="00E75137" w:rsidRDefault="00856B9C" w:rsidP="00D44A96">
      <w:pPr>
        <w:pStyle w:val="NormalWeb"/>
        <w:spacing w:line="276" w:lineRule="auto"/>
        <w:jc w:val="both"/>
      </w:pPr>
      <w:r w:rsidRPr="00E75137">
        <w:lastRenderedPageBreak/>
        <w:t>Correlation analysis also showed weak and inconsistent relationships between blood pressure and stature indices. This suggests that in an already hypertensive population, blood pressure severity is not heavily influenced by these intrinsic characteristics. Instead, external and modifiable factors such as treatment adherence, diet, and disease duration may play a more substantial role</w:t>
      </w:r>
      <w:r w:rsidR="00007195">
        <w:t xml:space="preserve"> (Li et al., 2020</w:t>
      </w:r>
      <w:r w:rsidR="00BB786A">
        <w:t>; Mills et al., 2020</w:t>
      </w:r>
      <w:r w:rsidR="00007195">
        <w:t>)</w:t>
      </w:r>
      <w:r w:rsidRPr="00E75137">
        <w:t>.</w:t>
      </w:r>
    </w:p>
    <w:p w14:paraId="6C6EC42D" w14:textId="1FF75705" w:rsidR="00856B9C" w:rsidRPr="00E75137" w:rsidRDefault="00856B9C" w:rsidP="00D44A96">
      <w:pPr>
        <w:spacing w:line="276" w:lineRule="auto"/>
        <w:jc w:val="both"/>
        <w:rPr>
          <w:rFonts w:ascii="Times New Roman" w:hAnsi="Times New Roman" w:cs="Times New Roman"/>
          <w:sz w:val="24"/>
          <w:szCs w:val="24"/>
        </w:rPr>
      </w:pPr>
    </w:p>
    <w:p w14:paraId="7068F206" w14:textId="30C45ECE" w:rsidR="00856B9C" w:rsidRPr="00D44A96" w:rsidRDefault="00127E7E"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Sexual Dimorphism, Handedness, and Stature for Personalized Hypertension Management</w:t>
      </w:r>
    </w:p>
    <w:p w14:paraId="0519BDCE" w14:textId="77777777" w:rsidR="00856B9C" w:rsidRPr="00E75137" w:rsidRDefault="00856B9C" w:rsidP="00D44A96">
      <w:pPr>
        <w:pStyle w:val="NormalWeb"/>
        <w:spacing w:line="276" w:lineRule="auto"/>
        <w:jc w:val="both"/>
      </w:pPr>
      <w:r w:rsidRPr="00E75137">
        <w:t>Interaction analysis using the General Linear Model revealed no significant combined effects of gender, handedness, and stature on blood pressure or hypertension severity. Neither three-way nor two-way interactions demonstrated meaningful predictive value, and the explained variance was minimal.</w:t>
      </w:r>
    </w:p>
    <w:p w14:paraId="4793316C" w14:textId="335CBE81" w:rsidR="00856B9C" w:rsidRPr="00E75137" w:rsidRDefault="00856B9C" w:rsidP="00D44A96">
      <w:pPr>
        <w:pStyle w:val="NormalWeb"/>
        <w:spacing w:line="276" w:lineRule="auto"/>
        <w:jc w:val="both"/>
      </w:pPr>
      <w:r w:rsidRPr="00E75137">
        <w:t>These results indicate that personalized hypertension management should not rely on combinations of these demographic and anthropometric variables. Rather, clinically effective personalization should focus on well-established risk factors such as lifestyle patterns, metabolic health, and genetic predisposition. The findings also highlight the need for larger studies to better explore potential subtle interactions</w:t>
      </w:r>
      <w:r w:rsidR="00DA2823">
        <w:t xml:space="preserve"> (Mills et al., 2020; Mocumbi et al., 2024)</w:t>
      </w:r>
      <w:r w:rsidRPr="00E75137">
        <w:t>.</w:t>
      </w:r>
    </w:p>
    <w:p w14:paraId="74DBCECD" w14:textId="1D49FFF8" w:rsidR="00856B9C" w:rsidRPr="00E75137" w:rsidRDefault="00856B9C" w:rsidP="00D44A96">
      <w:pPr>
        <w:spacing w:line="276" w:lineRule="auto"/>
        <w:jc w:val="both"/>
        <w:rPr>
          <w:rFonts w:ascii="Times New Roman" w:hAnsi="Times New Roman" w:cs="Times New Roman"/>
          <w:sz w:val="24"/>
          <w:szCs w:val="24"/>
        </w:rPr>
      </w:pPr>
    </w:p>
    <w:p w14:paraId="2F99951F" w14:textId="5D42A0A3" w:rsidR="00856B9C" w:rsidRPr="00D44A96" w:rsidRDefault="00127E7E"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Hypertension Risk Factors in the Study</w:t>
      </w:r>
    </w:p>
    <w:p w14:paraId="31FA8979" w14:textId="77777777" w:rsidR="00856B9C" w:rsidRPr="00E75137" w:rsidRDefault="00856B9C" w:rsidP="00D44A96">
      <w:pPr>
        <w:pStyle w:val="NormalWeb"/>
        <w:spacing w:line="276" w:lineRule="auto"/>
        <w:jc w:val="both"/>
      </w:pPr>
      <w:r w:rsidRPr="00E75137">
        <w:t>Among the assessed risk factors, alcohol use emerged as the only statistically significant predictor of hypertension. Individuals who consumed alcohol were over six times more likely to be hypertensive, confirming alcohol’s strong role in elevating blood pressure through mechanisms such as sympathetic overstimulation and vascular dysfunction.</w:t>
      </w:r>
    </w:p>
    <w:p w14:paraId="7378BE2C" w14:textId="27E2B35A" w:rsidR="00856B9C" w:rsidRPr="00E75137" w:rsidRDefault="00856B9C" w:rsidP="00D44A96">
      <w:pPr>
        <w:pStyle w:val="NormalWeb"/>
        <w:spacing w:line="276" w:lineRule="auto"/>
        <w:jc w:val="both"/>
      </w:pPr>
      <w:r w:rsidRPr="00E75137">
        <w:t>Other commonly recognized risk factors—including smoking, physical inactivity, and family history—were not statistically significant in this study, possibly due to sample size limitations or underreporting. Despite this, the strong association between alcohol use and hypertension underscores the importance of alcohol reduction as a critical intervention strategy</w:t>
      </w:r>
      <w:r w:rsidR="00DD0E35">
        <w:t xml:space="preserve"> (Franklin et al., 2012)</w:t>
      </w:r>
      <w:r w:rsidRPr="00E75137">
        <w:t>.</w:t>
      </w:r>
    </w:p>
    <w:p w14:paraId="7A24884E" w14:textId="77777777" w:rsidR="00856B9C" w:rsidRPr="00E75137" w:rsidRDefault="00856B9C" w:rsidP="00D44A96">
      <w:pPr>
        <w:pStyle w:val="NormalWeb"/>
        <w:spacing w:line="276" w:lineRule="auto"/>
        <w:jc w:val="both"/>
      </w:pPr>
      <w:r w:rsidRPr="00E75137">
        <w:t>Clinically, these findings suggest that hypertension prevention and management in this population should prioritize alcohol consumption screening, counseling, and targeted behavioral interventions, alongside broader lifestyle modification strategies.</w:t>
      </w:r>
    </w:p>
    <w:p w14:paraId="75A91A2A" w14:textId="6EFEAEDB" w:rsidR="00856B9C" w:rsidRPr="00E75137" w:rsidRDefault="00127E7E" w:rsidP="00127E7E">
      <w:pPr>
        <w:pStyle w:val="NormalWeb"/>
        <w:spacing w:line="276" w:lineRule="auto"/>
        <w:rPr>
          <w:lang w:val="en-ZA"/>
        </w:rPr>
      </w:pPr>
      <w:r>
        <w:rPr>
          <w:rStyle w:val="Strong"/>
          <w:rFonts w:eastAsiaTheme="majorEastAsia"/>
        </w:rPr>
        <w:t>3</w:t>
      </w:r>
      <w:r w:rsidR="001D24FE">
        <w:rPr>
          <w:rStyle w:val="Strong"/>
          <w:rFonts w:eastAsiaTheme="majorEastAsia"/>
        </w:rPr>
        <w:t>.</w:t>
      </w:r>
      <w:r w:rsidR="00BF5137">
        <w:rPr>
          <w:rStyle w:val="Strong"/>
          <w:rFonts w:eastAsiaTheme="majorEastAsia"/>
        </w:rPr>
        <w:t>9</w:t>
      </w:r>
      <w:r>
        <w:rPr>
          <w:rStyle w:val="Strong"/>
          <w:rFonts w:eastAsiaTheme="majorEastAsia"/>
        </w:rPr>
        <w:t xml:space="preserve"> </w:t>
      </w:r>
      <w:r w:rsidR="00856B9C" w:rsidRPr="00E75137">
        <w:rPr>
          <w:rStyle w:val="Strong"/>
          <w:rFonts w:eastAsiaTheme="majorEastAsia"/>
        </w:rPr>
        <w:t>Summary</w:t>
      </w:r>
      <w:r w:rsidR="00856B9C" w:rsidRPr="00E75137">
        <w:br/>
        <w:t xml:space="preserve">This study examined the influence of gender, handedness, and stature (height, weight, BMI, </w:t>
      </w:r>
      <w:r w:rsidR="00856B9C" w:rsidRPr="00E75137">
        <w:lastRenderedPageBreak/>
        <w:t>BSA) on hypertension among 103 patients at Nnamdi Azikiwe University Teaching Hospital, Nnewi. The sample included 52 males and 51 females aged 55–64 years. Analyses using chi-square, correlation, regression, and general linear models revealed a high hypertension prevalence (68%), slightly higher in females (72.5%) than males (63.5%), but not statistically significant. Handedness and stature indices showed no meaningful association with blood pressure, and regression analyses confirmed they were not independent predictors of hypertension.</w:t>
      </w:r>
    </w:p>
    <w:p w14:paraId="735DA58E" w14:textId="77777777" w:rsidR="00856B9C" w:rsidRPr="00E75137" w:rsidRDefault="00856B9C" w:rsidP="00127E7E">
      <w:pPr>
        <w:pStyle w:val="NormalWeb"/>
        <w:spacing w:line="276" w:lineRule="auto"/>
        <w:jc w:val="both"/>
      </w:pPr>
      <w:r w:rsidRPr="00E75137">
        <w:t>Among lifestyle factors, only alcohol consumption was significantly associated with hypertension, with users over six times more likely to be hypertensive than non-users. Other factors, including smoking, physical activity, diet, and family history, were not significant.</w:t>
      </w:r>
    </w:p>
    <w:p w14:paraId="6AA532CB" w14:textId="77777777" w:rsidR="00856B9C" w:rsidRPr="00E75137" w:rsidRDefault="00856B9C" w:rsidP="00127E7E">
      <w:pPr>
        <w:pStyle w:val="NormalWeb"/>
        <w:spacing w:line="276" w:lineRule="auto"/>
        <w:jc w:val="both"/>
      </w:pPr>
      <w:r w:rsidRPr="00E75137">
        <w:t>Overall, while hypertension was common in this population, gender, handedness, and body size had minimal impact, whereas alcohol consumption emerged as the most important modifiable risk factor, highlighting the need for targeted lifestyle interventions.</w:t>
      </w:r>
    </w:p>
    <w:p w14:paraId="7E9426A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49C1BAE" w14:textId="5578EB98" w:rsidR="00AD71A9" w:rsidRPr="00E75137" w:rsidRDefault="00127E7E"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1D24FE">
        <w:rPr>
          <w:rFonts w:ascii="Times New Roman" w:hAnsi="Times New Roman" w:cs="Times New Roman"/>
          <w:b/>
          <w:bCs/>
          <w:color w:val="000000" w:themeColor="text1"/>
          <w:sz w:val="24"/>
          <w:szCs w:val="24"/>
        </w:rPr>
        <w:t>10</w:t>
      </w:r>
      <w:r w:rsidR="00AD71A9" w:rsidRPr="00E75137">
        <w:rPr>
          <w:rFonts w:ascii="Times New Roman" w:hAnsi="Times New Roman" w:cs="Times New Roman"/>
          <w:b/>
          <w:bCs/>
          <w:color w:val="000000" w:themeColor="text1"/>
          <w:sz w:val="24"/>
          <w:szCs w:val="24"/>
        </w:rPr>
        <w:t xml:space="preserve"> CONCLUSION</w:t>
      </w:r>
    </w:p>
    <w:p w14:paraId="424008BF" w14:textId="77777777" w:rsidR="00856B9C" w:rsidRPr="009007D2" w:rsidRDefault="00856B9C" w:rsidP="00D44A96">
      <w:pPr>
        <w:pStyle w:val="NormalWeb"/>
        <w:spacing w:line="276" w:lineRule="auto"/>
        <w:jc w:val="both"/>
        <w:rPr>
          <w:color w:val="EE0000"/>
        </w:rPr>
      </w:pPr>
      <w:r w:rsidRPr="009007D2">
        <w:rPr>
          <w:color w:val="EE0000"/>
        </w:rPr>
        <w:t>This study examined the influence of gender, handedness, and stature indices on hypertension among patients attending Nnamdi Azikiwe University Teaching Hospital, Nnewi. The findings revealed a high prevalence of hypertension within the study population, with slightly higher rates among females compared to males, though not statistically significant. Similarly, handedness and stature indices such as height, weight, BMI, and BSA showed no meaningful associations with blood pressure or hypertension status, indicating that these variables are not reliable predictors of hypertension in this population.</w:t>
      </w:r>
    </w:p>
    <w:p w14:paraId="2D9C6413" w14:textId="77777777" w:rsidR="00856B9C" w:rsidRPr="009007D2" w:rsidRDefault="00856B9C" w:rsidP="00D44A96">
      <w:pPr>
        <w:pStyle w:val="NormalWeb"/>
        <w:spacing w:line="276" w:lineRule="auto"/>
        <w:jc w:val="both"/>
        <w:rPr>
          <w:color w:val="EE0000"/>
        </w:rPr>
      </w:pPr>
      <w:r w:rsidRPr="009007D2">
        <w:rPr>
          <w:color w:val="EE0000"/>
        </w:rPr>
        <w:t>However, alcohol consumption emerged as the only significant independent predictor, with users being more than six times more likely to develop hypertension than non-users. This underscores the critical role of lifestyle factors, particularly modifiable behaviors, in the development and management of hypertension.</w:t>
      </w:r>
    </w:p>
    <w:p w14:paraId="63B7FAD3" w14:textId="2793A033" w:rsidR="00856B9C" w:rsidRDefault="00856B9C" w:rsidP="00D44A96">
      <w:pPr>
        <w:pStyle w:val="NormalWeb"/>
        <w:spacing w:line="276" w:lineRule="auto"/>
        <w:jc w:val="both"/>
        <w:rPr>
          <w:color w:val="EE0000"/>
        </w:rPr>
      </w:pPr>
      <w:r w:rsidRPr="009007D2">
        <w:rPr>
          <w:color w:val="EE0000"/>
        </w:rPr>
        <w:t>Therefore, while biological characteristics such as gender, handedness, and stature appear to have limited influence, addressing lifestyle risk factors—especially alcohol use—through public health education, screening, and intervention programs remains essential. Such targeted strategies could help reduce the burden of hypertension and improve cardiovascular health outcomes in Nigerian populations.</w:t>
      </w:r>
      <w:r w:rsidR="009007D2">
        <w:rPr>
          <w:color w:val="EE0000"/>
        </w:rPr>
        <w:br/>
      </w:r>
    </w:p>
    <w:p w14:paraId="67D9E0E7" w14:textId="6EDEB3D3" w:rsidR="009007D2" w:rsidRPr="009007D2" w:rsidRDefault="009007D2" w:rsidP="00D44A96">
      <w:pPr>
        <w:pStyle w:val="NormalWeb"/>
        <w:spacing w:line="276" w:lineRule="auto"/>
        <w:jc w:val="both"/>
        <w:rPr>
          <w:color w:val="EE0000"/>
        </w:rPr>
      </w:pPr>
      <w:r>
        <w:rPr>
          <w:color w:val="EE0000"/>
        </w:rPr>
        <w:t xml:space="preserve">(NO NEED FOR DETAILS we need only your conclusions </w:t>
      </w:r>
    </w:p>
    <w:p w14:paraId="114DD576"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36905B1C"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B041C82" w14:textId="752B34D9" w:rsidR="00AD71A9" w:rsidRPr="00E75137" w:rsidRDefault="00765863"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4.0 </w:t>
      </w:r>
      <w:r w:rsidR="00AD71A9" w:rsidRPr="00E75137">
        <w:rPr>
          <w:rFonts w:ascii="Times New Roman" w:hAnsi="Times New Roman" w:cs="Times New Roman"/>
          <w:b/>
          <w:bCs/>
          <w:color w:val="000000" w:themeColor="text1"/>
          <w:sz w:val="24"/>
          <w:szCs w:val="24"/>
        </w:rPr>
        <w:t>REFERENCES</w:t>
      </w:r>
    </w:p>
    <w:p w14:paraId="47C6912D" w14:textId="03DE7F4C"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Adebiyi, A. O., Ojo, O. S., Owolabi, M. O., &amp; Oladapo, O. O. (2019). Gender differences in the prevalence and awareness of hypertension among Nigerian adults: Findings from a population-based study. </w:t>
      </w:r>
      <w:r w:rsidRPr="0092629E">
        <w:rPr>
          <w:rFonts w:ascii="Times New Roman" w:hAnsi="Times New Roman" w:cs="Times New Roman"/>
          <w:i/>
          <w:iCs/>
          <w:color w:val="00B050"/>
          <w:sz w:val="24"/>
          <w:szCs w:val="24"/>
          <w:lang w:eastAsia="en-ZA"/>
        </w:rPr>
        <w:t>BMC Public Health, 19</w:t>
      </w:r>
      <w:r w:rsidRPr="0092629E">
        <w:rPr>
          <w:rFonts w:ascii="Times New Roman" w:hAnsi="Times New Roman" w:cs="Times New Roman"/>
          <w:color w:val="00B050"/>
          <w:sz w:val="24"/>
          <w:szCs w:val="24"/>
          <w:lang w:eastAsia="en-ZA"/>
        </w:rPr>
        <w:t xml:space="preserve">, 1132. </w:t>
      </w:r>
      <w:hyperlink r:id="rId7" w:history="1">
        <w:r w:rsidR="0092629E" w:rsidRPr="000E44AF">
          <w:rPr>
            <w:rStyle w:val="Hyperlink"/>
          </w:rPr>
          <w:t>https://doi.org/10.1186/s12889-019-7457-6</w:t>
        </w:r>
      </w:hyperlink>
      <w:r w:rsidR="0092629E">
        <w:t xml:space="preserve"> </w:t>
      </w:r>
    </w:p>
    <w:p w14:paraId="27BC3F0B" w14:textId="32D4CBD8" w:rsidR="00AD71A9" w:rsidRPr="0092629E" w:rsidRDefault="00AD71A9" w:rsidP="0092629E">
      <w:pPr>
        <w:spacing w:line="276" w:lineRule="auto"/>
        <w:jc w:val="both"/>
        <w:rPr>
          <w:rFonts w:ascii="Times New Roman" w:hAnsi="Times New Roman" w:cs="Times New Roman"/>
          <w:color w:val="00B050"/>
          <w:sz w:val="24"/>
          <w:szCs w:val="24"/>
          <w:lang w:eastAsia="en-ZA"/>
        </w:rPr>
      </w:pPr>
      <w:proofErr w:type="spellStart"/>
      <w:r w:rsidRPr="0092629E">
        <w:rPr>
          <w:rFonts w:ascii="Times New Roman" w:hAnsi="Times New Roman" w:cs="Times New Roman"/>
          <w:color w:val="00B050"/>
          <w:sz w:val="24"/>
          <w:szCs w:val="24"/>
          <w:lang w:eastAsia="en-ZA"/>
        </w:rPr>
        <w:t>Adeloye</w:t>
      </w:r>
      <w:proofErr w:type="spellEnd"/>
      <w:r w:rsidRPr="0092629E">
        <w:rPr>
          <w:rFonts w:ascii="Times New Roman" w:hAnsi="Times New Roman" w:cs="Times New Roman"/>
          <w:color w:val="00B050"/>
          <w:sz w:val="24"/>
          <w:szCs w:val="24"/>
          <w:lang w:eastAsia="en-ZA"/>
        </w:rPr>
        <w:t xml:space="preserve">, D., Basquill, C., Aderemi, A. V., Thompson, J. Y., &amp; Obi, F. A. (2015). An estimate of the prevalence of hypertension in Nigeria: A systematic review and meta-analysis. </w:t>
      </w:r>
      <w:r w:rsidRPr="0092629E">
        <w:rPr>
          <w:rFonts w:ascii="Times New Roman" w:hAnsi="Times New Roman" w:cs="Times New Roman"/>
          <w:i/>
          <w:iCs/>
          <w:color w:val="00B050"/>
          <w:sz w:val="24"/>
          <w:szCs w:val="24"/>
          <w:lang w:eastAsia="en-ZA"/>
        </w:rPr>
        <w:t>Journal of Hypertension, 33</w:t>
      </w:r>
      <w:r w:rsidRPr="0092629E">
        <w:rPr>
          <w:rFonts w:ascii="Times New Roman" w:hAnsi="Times New Roman" w:cs="Times New Roman"/>
          <w:color w:val="00B050"/>
          <w:sz w:val="24"/>
          <w:szCs w:val="24"/>
          <w:lang w:eastAsia="en-ZA"/>
        </w:rPr>
        <w:t xml:space="preserve">(2), 230–242. </w:t>
      </w:r>
      <w:hyperlink r:id="rId8" w:history="1">
        <w:r w:rsidR="00AA2665" w:rsidRPr="000E44AF">
          <w:rPr>
            <w:rStyle w:val="Hyperlink"/>
          </w:rPr>
          <w:t>https://doi.org/10.1097/HJH.0000000000000413</w:t>
        </w:r>
      </w:hyperlink>
      <w:r w:rsidR="00AA2665">
        <w:t xml:space="preserve"> </w:t>
      </w:r>
    </w:p>
    <w:p w14:paraId="7BCB5EB6" w14:textId="77777777" w:rsidR="00AD71A9" w:rsidRPr="0092629E" w:rsidRDefault="00AD71A9" w:rsidP="0092629E">
      <w:pPr>
        <w:spacing w:before="240" w:after="0" w:line="276" w:lineRule="auto"/>
        <w:jc w:val="both"/>
        <w:rPr>
          <w:rFonts w:ascii="Times New Roman" w:hAnsi="Times New Roman" w:cs="Times New Roman"/>
          <w:sz w:val="24"/>
          <w:szCs w:val="24"/>
        </w:rPr>
      </w:pPr>
      <w:r w:rsidRPr="0092629E">
        <w:rPr>
          <w:rFonts w:ascii="Times New Roman" w:hAnsi="Times New Roman" w:cs="Times New Roman"/>
          <w:color w:val="00B050"/>
          <w:sz w:val="24"/>
          <w:szCs w:val="24"/>
        </w:rPr>
        <w:t xml:space="preserve">Adeoye, E. A. and Dada, M. F. (2004): Causes of Left Handedness as perceived by Medical and Non-medical students of University of Ilorin. Ilorin Journal </w:t>
      </w:r>
      <w:r w:rsidRPr="0092629E">
        <w:rPr>
          <w:rFonts w:ascii="Times New Roman" w:hAnsi="Times New Roman" w:cs="Times New Roman"/>
          <w:sz w:val="24"/>
          <w:szCs w:val="24"/>
        </w:rPr>
        <w:t>of Education. 24, 1-14.</w:t>
      </w:r>
    </w:p>
    <w:p w14:paraId="1D20BE80" w14:textId="77777777" w:rsidR="00BC2DF1" w:rsidRDefault="00BC2DF1" w:rsidP="0092629E">
      <w:pPr>
        <w:spacing w:after="0" w:line="276" w:lineRule="auto"/>
        <w:jc w:val="both"/>
        <w:rPr>
          <w:rFonts w:ascii="Times New Roman" w:hAnsi="Times New Roman" w:cs="Times New Roman"/>
          <w:color w:val="00B050"/>
          <w:sz w:val="24"/>
          <w:szCs w:val="24"/>
        </w:rPr>
      </w:pPr>
    </w:p>
    <w:p w14:paraId="4E094D49" w14:textId="7F724DA0" w:rsidR="00AD71A9" w:rsidRPr="0092629E" w:rsidRDefault="00AD71A9" w:rsidP="0092629E">
      <w:pPr>
        <w:spacing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Anneken, K., Konrad, C., Drager, B., Breitenstein, C., Kennerknecht, I., Ringelstein, E. B. and Knecht, S. (2004): Familial aggregation of strong hemispheric language lateralization. Neurology. 63, 2433-2435.</w:t>
      </w:r>
      <w:r w:rsidR="00AA2665">
        <w:rPr>
          <w:rFonts w:ascii="Times New Roman" w:hAnsi="Times New Roman" w:cs="Times New Roman"/>
          <w:color w:val="00B050"/>
          <w:sz w:val="24"/>
          <w:szCs w:val="24"/>
        </w:rPr>
        <w:t xml:space="preserve"> </w:t>
      </w:r>
      <w:hyperlink r:id="rId9" w:history="1">
        <w:r w:rsidR="00AA2665" w:rsidRPr="000E44AF">
          <w:rPr>
            <w:rStyle w:val="Hyperlink"/>
            <w:rFonts w:ascii="Times New Roman" w:hAnsi="Times New Roman" w:cs="Times New Roman"/>
            <w:sz w:val="24"/>
            <w:szCs w:val="24"/>
          </w:rPr>
          <w:t>https://doi.org/10.1212/01.wnl.0000147265.71911.65</w:t>
        </w:r>
      </w:hyperlink>
      <w:r w:rsidR="00AA2665">
        <w:rPr>
          <w:rFonts w:ascii="Times New Roman" w:hAnsi="Times New Roman" w:cs="Times New Roman"/>
          <w:color w:val="00B050"/>
          <w:sz w:val="24"/>
          <w:szCs w:val="24"/>
        </w:rPr>
        <w:t xml:space="preserve"> </w:t>
      </w:r>
    </w:p>
    <w:p w14:paraId="7F02C0AA" w14:textId="77777777" w:rsidR="00BC2DF1" w:rsidRDefault="00BC2DF1" w:rsidP="0092629E">
      <w:pPr>
        <w:spacing w:after="0" w:line="276" w:lineRule="auto"/>
        <w:jc w:val="both"/>
        <w:rPr>
          <w:rFonts w:ascii="Times New Roman" w:eastAsia="Times New Roman" w:hAnsi="Times New Roman" w:cs="Times New Roman"/>
          <w:color w:val="00B050"/>
          <w:sz w:val="24"/>
          <w:szCs w:val="24"/>
          <w:lang w:val="en-ZA" w:eastAsia="en-ZA"/>
        </w:rPr>
      </w:pPr>
    </w:p>
    <w:p w14:paraId="2E470FB4" w14:textId="0116C705" w:rsidR="00AD71A9" w:rsidRPr="0092629E" w:rsidRDefault="00AD71A9" w:rsidP="0092629E">
      <w:pPr>
        <w:spacing w:after="0" w:line="276" w:lineRule="auto"/>
        <w:jc w:val="both"/>
        <w:rPr>
          <w:rFonts w:ascii="Times New Roman" w:eastAsia="Times New Roman" w:hAnsi="Times New Roman" w:cs="Times New Roman"/>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Brouwers, S., Sudano, I., Kokubo, Y., &amp; Sulaica, E. M. (2021). Arterial hypertension. </w:t>
      </w:r>
      <w:r w:rsidRPr="0092629E">
        <w:rPr>
          <w:rFonts w:ascii="Times New Roman" w:eastAsia="Times New Roman" w:hAnsi="Times New Roman" w:cs="Times New Roman"/>
          <w:i/>
          <w:iCs/>
          <w:color w:val="00B050"/>
          <w:sz w:val="24"/>
          <w:szCs w:val="24"/>
          <w:lang w:val="en-ZA" w:eastAsia="en-ZA"/>
        </w:rPr>
        <w:t>The Lancet</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398</w:t>
      </w:r>
      <w:r w:rsidRPr="0092629E">
        <w:rPr>
          <w:rFonts w:ascii="Times New Roman" w:eastAsia="Times New Roman" w:hAnsi="Times New Roman" w:cs="Times New Roman"/>
          <w:color w:val="00B050"/>
          <w:sz w:val="24"/>
          <w:szCs w:val="24"/>
          <w:lang w:val="en-ZA" w:eastAsia="en-ZA"/>
        </w:rPr>
        <w:t>(10296), 249-261.</w:t>
      </w:r>
      <w:r w:rsidR="00AA2665">
        <w:rPr>
          <w:rFonts w:ascii="Times New Roman" w:eastAsia="Times New Roman" w:hAnsi="Times New Roman" w:cs="Times New Roman"/>
          <w:color w:val="00B050"/>
          <w:sz w:val="24"/>
          <w:szCs w:val="24"/>
          <w:lang w:val="en-ZA" w:eastAsia="en-ZA"/>
        </w:rPr>
        <w:t xml:space="preserve"> </w:t>
      </w:r>
      <w:hyperlink r:id="rId10" w:history="1">
        <w:r w:rsidR="00AA2665" w:rsidRPr="000E44AF">
          <w:rPr>
            <w:rStyle w:val="Hyperlink"/>
            <w:rFonts w:ascii="Times New Roman" w:eastAsia="Times New Roman" w:hAnsi="Times New Roman" w:cs="Times New Roman"/>
            <w:sz w:val="24"/>
            <w:szCs w:val="24"/>
            <w:lang w:val="en-ZA" w:eastAsia="en-ZA"/>
          </w:rPr>
          <w:t>https://doi.org/10.1016/S0140-6736(21)00221-X</w:t>
        </w:r>
      </w:hyperlink>
      <w:r w:rsidR="00AA2665">
        <w:rPr>
          <w:rFonts w:ascii="Times New Roman" w:eastAsia="Times New Roman" w:hAnsi="Times New Roman" w:cs="Times New Roman"/>
          <w:color w:val="00B050"/>
          <w:sz w:val="24"/>
          <w:szCs w:val="24"/>
          <w:lang w:val="en-ZA" w:eastAsia="en-ZA"/>
        </w:rPr>
        <w:t xml:space="preserve"> </w:t>
      </w:r>
    </w:p>
    <w:p w14:paraId="68118188" w14:textId="040AE998" w:rsidR="00AD71A9" w:rsidRPr="0092629E" w:rsidRDefault="00AD71A9" w:rsidP="0092629E">
      <w:pPr>
        <w:spacing w:after="0" w:line="276" w:lineRule="auto"/>
        <w:jc w:val="both"/>
        <w:rPr>
          <w:rFonts w:ascii="Times New Roman" w:eastAsia="Times New Roman" w:hAnsi="Times New Roman" w:cs="Times New Roman"/>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Carey, R. M., Moran, A. E., &amp; Whelton, P. K. (2022). Treatment of hypertension: a review. </w:t>
      </w:r>
      <w:r w:rsidRPr="0092629E">
        <w:rPr>
          <w:rFonts w:ascii="Times New Roman" w:eastAsia="Times New Roman" w:hAnsi="Times New Roman" w:cs="Times New Roman"/>
          <w:i/>
          <w:iCs/>
          <w:color w:val="00B050"/>
          <w:sz w:val="24"/>
          <w:szCs w:val="24"/>
          <w:lang w:val="en-ZA" w:eastAsia="en-ZA"/>
        </w:rPr>
        <w:t>Jama</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328</w:t>
      </w:r>
      <w:r w:rsidRPr="0092629E">
        <w:rPr>
          <w:rFonts w:ascii="Times New Roman" w:eastAsia="Times New Roman" w:hAnsi="Times New Roman" w:cs="Times New Roman"/>
          <w:color w:val="00B050"/>
          <w:sz w:val="24"/>
          <w:szCs w:val="24"/>
          <w:lang w:val="en-ZA" w:eastAsia="en-ZA"/>
        </w:rPr>
        <w:t>(18), 1849-1861.</w:t>
      </w:r>
      <w:r w:rsidR="00AA2665">
        <w:rPr>
          <w:rFonts w:ascii="Times New Roman" w:eastAsia="Times New Roman" w:hAnsi="Times New Roman" w:cs="Times New Roman"/>
          <w:color w:val="00B050"/>
          <w:sz w:val="24"/>
          <w:szCs w:val="24"/>
          <w:lang w:val="en-ZA" w:eastAsia="en-ZA"/>
        </w:rPr>
        <w:t xml:space="preserve"> </w:t>
      </w:r>
      <w:hyperlink r:id="rId11" w:history="1">
        <w:r w:rsidR="00AA2665" w:rsidRPr="000E44AF">
          <w:rPr>
            <w:rStyle w:val="Hyperlink"/>
            <w:rFonts w:ascii="Times New Roman" w:eastAsia="Times New Roman" w:hAnsi="Times New Roman" w:cs="Times New Roman"/>
            <w:sz w:val="24"/>
            <w:szCs w:val="24"/>
            <w:lang w:val="en-ZA" w:eastAsia="en-ZA"/>
          </w:rPr>
          <w:t>https://doi.org/10.1001/jama.2022.19590</w:t>
        </w:r>
      </w:hyperlink>
      <w:r w:rsidR="00AA2665">
        <w:rPr>
          <w:rFonts w:ascii="Times New Roman" w:eastAsia="Times New Roman" w:hAnsi="Times New Roman" w:cs="Times New Roman"/>
          <w:color w:val="00B050"/>
          <w:sz w:val="24"/>
          <w:szCs w:val="24"/>
          <w:lang w:val="en-ZA" w:eastAsia="en-ZA"/>
        </w:rPr>
        <w:t xml:space="preserve"> </w:t>
      </w:r>
    </w:p>
    <w:p w14:paraId="1E9EF9E5" w14:textId="66C36753"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Carriere, S. and Raymond</w:t>
      </w:r>
      <w:r w:rsidR="00AA2665">
        <w:rPr>
          <w:rFonts w:ascii="Times New Roman" w:hAnsi="Times New Roman" w:cs="Times New Roman"/>
          <w:color w:val="00B050"/>
          <w:sz w:val="24"/>
          <w:szCs w:val="24"/>
        </w:rPr>
        <w:t xml:space="preserve"> </w:t>
      </w:r>
      <w:r w:rsidRPr="0092629E">
        <w:rPr>
          <w:rFonts w:ascii="Times New Roman" w:hAnsi="Times New Roman" w:cs="Times New Roman"/>
          <w:color w:val="00B050"/>
          <w:sz w:val="24"/>
          <w:szCs w:val="24"/>
        </w:rPr>
        <w:t xml:space="preserve">, M. (2000): Handedness and aggressive </w:t>
      </w:r>
      <w:proofErr w:type="spellStart"/>
      <w:r w:rsidRPr="0092629E">
        <w:rPr>
          <w:rFonts w:ascii="Times New Roman" w:hAnsi="Times New Roman" w:cs="Times New Roman"/>
          <w:color w:val="00B050"/>
          <w:sz w:val="24"/>
          <w:szCs w:val="24"/>
        </w:rPr>
        <w:t>behaviour</w:t>
      </w:r>
      <w:proofErr w:type="spellEnd"/>
      <w:r w:rsidRPr="0092629E">
        <w:rPr>
          <w:rFonts w:ascii="Times New Roman" w:hAnsi="Times New Roman" w:cs="Times New Roman"/>
          <w:color w:val="00B050"/>
          <w:sz w:val="24"/>
          <w:szCs w:val="24"/>
        </w:rPr>
        <w:t xml:space="preserve"> in </w:t>
      </w:r>
      <w:proofErr w:type="spellStart"/>
      <w:r w:rsidRPr="0092629E">
        <w:rPr>
          <w:rFonts w:ascii="Times New Roman" w:hAnsi="Times New Roman" w:cs="Times New Roman"/>
          <w:color w:val="00B050"/>
          <w:sz w:val="24"/>
          <w:szCs w:val="24"/>
        </w:rPr>
        <w:t>aNtumu</w:t>
      </w:r>
      <w:proofErr w:type="spellEnd"/>
      <w:r w:rsidRPr="0092629E">
        <w:rPr>
          <w:rFonts w:ascii="Times New Roman" w:hAnsi="Times New Roman" w:cs="Times New Roman"/>
          <w:color w:val="00B050"/>
          <w:sz w:val="24"/>
          <w:szCs w:val="24"/>
        </w:rPr>
        <w:t xml:space="preserve"> village in southern Cameroon. </w:t>
      </w:r>
      <w:proofErr w:type="spellStart"/>
      <w:r w:rsidRPr="0092629E">
        <w:rPr>
          <w:rFonts w:ascii="Times New Roman" w:hAnsi="Times New Roman" w:cs="Times New Roman"/>
          <w:color w:val="00B050"/>
          <w:sz w:val="24"/>
          <w:szCs w:val="24"/>
        </w:rPr>
        <w:t>ActaEthologica</w:t>
      </w:r>
      <w:proofErr w:type="spellEnd"/>
      <w:r w:rsidRPr="0092629E">
        <w:rPr>
          <w:rFonts w:ascii="Times New Roman" w:hAnsi="Times New Roman" w:cs="Times New Roman"/>
          <w:color w:val="00B050"/>
          <w:sz w:val="24"/>
          <w:szCs w:val="24"/>
        </w:rPr>
        <w:t>. 2, 111–114.</w:t>
      </w:r>
      <w:r w:rsidR="00AA2665">
        <w:rPr>
          <w:rFonts w:ascii="Times New Roman" w:hAnsi="Times New Roman" w:cs="Times New Roman"/>
          <w:color w:val="00B050"/>
          <w:sz w:val="24"/>
          <w:szCs w:val="24"/>
        </w:rPr>
        <w:t xml:space="preserve"> </w:t>
      </w:r>
      <w:hyperlink r:id="rId12" w:history="1">
        <w:r w:rsidR="00AA2665" w:rsidRPr="000E44AF">
          <w:rPr>
            <w:rStyle w:val="Hyperlink"/>
            <w:rFonts w:ascii="Times New Roman" w:hAnsi="Times New Roman" w:cs="Times New Roman"/>
            <w:sz w:val="24"/>
            <w:szCs w:val="24"/>
          </w:rPr>
          <w:t>https://doi.org/10.1007/s102119900011</w:t>
        </w:r>
      </w:hyperlink>
      <w:r w:rsidR="00AA2665">
        <w:rPr>
          <w:rFonts w:ascii="Times New Roman" w:hAnsi="Times New Roman" w:cs="Times New Roman"/>
          <w:color w:val="00B050"/>
          <w:sz w:val="24"/>
          <w:szCs w:val="24"/>
        </w:rPr>
        <w:t xml:space="preserve"> </w:t>
      </w:r>
    </w:p>
    <w:p w14:paraId="66D2EAF4" w14:textId="4CFAF98F"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Coren, S. and Halpern, D. F. (1991): Left-handedness: A marker for decreased survival fitness. Psychological Bulletin. 109(1), 90–106.</w:t>
      </w:r>
      <w:r w:rsidR="00AA2665">
        <w:rPr>
          <w:rFonts w:ascii="Times New Roman" w:hAnsi="Times New Roman" w:cs="Times New Roman"/>
          <w:color w:val="00B050"/>
          <w:sz w:val="24"/>
          <w:szCs w:val="24"/>
        </w:rPr>
        <w:t xml:space="preserve"> </w:t>
      </w:r>
      <w:hyperlink r:id="rId13" w:history="1">
        <w:r w:rsidR="00AA2665" w:rsidRPr="000E44AF">
          <w:rPr>
            <w:rStyle w:val="Hyperlink"/>
            <w:rFonts w:ascii="Times New Roman" w:hAnsi="Times New Roman" w:cs="Times New Roman"/>
            <w:sz w:val="24"/>
            <w:szCs w:val="24"/>
          </w:rPr>
          <w:t>https://doi.org/10.1037/0033-2909.109.1.90</w:t>
        </w:r>
      </w:hyperlink>
      <w:r w:rsidR="00AA2665">
        <w:rPr>
          <w:rFonts w:ascii="Times New Roman" w:hAnsi="Times New Roman" w:cs="Times New Roman"/>
          <w:color w:val="00B050"/>
          <w:sz w:val="24"/>
          <w:szCs w:val="24"/>
        </w:rPr>
        <w:t xml:space="preserve"> </w:t>
      </w:r>
    </w:p>
    <w:p w14:paraId="5762C1EA" w14:textId="77777777" w:rsidR="00AD71A9" w:rsidRPr="0092629E" w:rsidRDefault="00AD71A9" w:rsidP="0092629E">
      <w:pPr>
        <w:spacing w:before="240" w:after="0" w:line="276" w:lineRule="auto"/>
        <w:jc w:val="both"/>
        <w:rPr>
          <w:rFonts w:ascii="Times New Roman" w:hAnsi="Times New Roman" w:cs="Times New Roman"/>
          <w:color w:val="00B050"/>
          <w:sz w:val="24"/>
          <w:szCs w:val="24"/>
        </w:rPr>
      </w:pPr>
      <w:proofErr w:type="spellStart"/>
      <w:r w:rsidRPr="0092629E">
        <w:rPr>
          <w:rFonts w:ascii="Times New Roman" w:hAnsi="Times New Roman" w:cs="Times New Roman"/>
          <w:color w:val="00B050"/>
          <w:sz w:val="24"/>
          <w:szCs w:val="24"/>
        </w:rPr>
        <w:t>Eligar</w:t>
      </w:r>
      <w:proofErr w:type="spellEnd"/>
      <w:r w:rsidRPr="0092629E">
        <w:rPr>
          <w:rFonts w:ascii="Times New Roman" w:hAnsi="Times New Roman" w:cs="Times New Roman"/>
          <w:color w:val="00B050"/>
          <w:sz w:val="24"/>
          <w:szCs w:val="24"/>
        </w:rPr>
        <w:t>, R. C. (2011): Correlation of Handedness and Intelligence in Adolescents. International Journal of Medical Research. 1(2), 118-120.</w:t>
      </w:r>
    </w:p>
    <w:p w14:paraId="35B3B8F5" w14:textId="239985A0" w:rsidR="00AD71A9" w:rsidRPr="00AA2665" w:rsidRDefault="00AD71A9" w:rsidP="0092629E">
      <w:pPr>
        <w:spacing w:before="240" w:after="0" w:line="276" w:lineRule="auto"/>
        <w:jc w:val="both"/>
        <w:rPr>
          <w:rFonts w:ascii="Times New Roman" w:hAnsi="Times New Roman" w:cs="Times New Roman"/>
          <w:b/>
          <w:bCs/>
          <w:sz w:val="24"/>
          <w:szCs w:val="24"/>
        </w:rPr>
      </w:pPr>
      <w:r w:rsidRPr="0092629E">
        <w:rPr>
          <w:rFonts w:ascii="Times New Roman" w:hAnsi="Times New Roman" w:cs="Times New Roman"/>
          <w:color w:val="00B050"/>
          <w:sz w:val="24"/>
          <w:szCs w:val="24"/>
        </w:rPr>
        <w:t xml:space="preserve">Eze, J. N., </w:t>
      </w:r>
      <w:proofErr w:type="spellStart"/>
      <w:r w:rsidRPr="0092629E">
        <w:rPr>
          <w:rFonts w:ascii="Times New Roman" w:hAnsi="Times New Roman" w:cs="Times New Roman"/>
          <w:color w:val="00B050"/>
          <w:sz w:val="24"/>
          <w:szCs w:val="24"/>
        </w:rPr>
        <w:t>Obikili</w:t>
      </w:r>
      <w:proofErr w:type="spellEnd"/>
      <w:r w:rsidRPr="0092629E">
        <w:rPr>
          <w:rFonts w:ascii="Times New Roman" w:hAnsi="Times New Roman" w:cs="Times New Roman"/>
          <w:color w:val="00B050"/>
          <w:sz w:val="24"/>
          <w:szCs w:val="24"/>
        </w:rPr>
        <w:t xml:space="preserve">, E. N., </w:t>
      </w:r>
      <w:proofErr w:type="spellStart"/>
      <w:r w:rsidRPr="0092629E">
        <w:rPr>
          <w:rFonts w:ascii="Times New Roman" w:hAnsi="Times New Roman" w:cs="Times New Roman"/>
          <w:color w:val="00B050"/>
          <w:sz w:val="24"/>
          <w:szCs w:val="24"/>
        </w:rPr>
        <w:t>Ezepue</w:t>
      </w:r>
      <w:proofErr w:type="spellEnd"/>
      <w:r w:rsidRPr="0092629E">
        <w:rPr>
          <w:rFonts w:ascii="Times New Roman" w:hAnsi="Times New Roman" w:cs="Times New Roman"/>
          <w:color w:val="00B050"/>
          <w:sz w:val="24"/>
          <w:szCs w:val="24"/>
        </w:rPr>
        <w:t xml:space="preserve">, U. F., </w:t>
      </w:r>
      <w:proofErr w:type="spellStart"/>
      <w:r w:rsidRPr="0092629E">
        <w:rPr>
          <w:rFonts w:ascii="Times New Roman" w:hAnsi="Times New Roman" w:cs="Times New Roman"/>
          <w:color w:val="00B050"/>
          <w:sz w:val="24"/>
          <w:szCs w:val="24"/>
        </w:rPr>
        <w:t>Ozoemena</w:t>
      </w:r>
      <w:proofErr w:type="spellEnd"/>
      <w:r w:rsidRPr="0092629E">
        <w:rPr>
          <w:rFonts w:ascii="Times New Roman" w:hAnsi="Times New Roman" w:cs="Times New Roman"/>
          <w:color w:val="00B050"/>
          <w:sz w:val="24"/>
          <w:szCs w:val="24"/>
        </w:rPr>
        <w:t xml:space="preserve">, O. F. N. and </w:t>
      </w:r>
      <w:proofErr w:type="spellStart"/>
      <w:r w:rsidRPr="0092629E">
        <w:rPr>
          <w:rFonts w:ascii="Times New Roman" w:hAnsi="Times New Roman" w:cs="Times New Roman"/>
          <w:color w:val="00B050"/>
          <w:sz w:val="24"/>
          <w:szCs w:val="24"/>
        </w:rPr>
        <w:t>Esom</w:t>
      </w:r>
      <w:proofErr w:type="spellEnd"/>
      <w:r w:rsidRPr="0092629E">
        <w:rPr>
          <w:rFonts w:ascii="Times New Roman" w:hAnsi="Times New Roman" w:cs="Times New Roman"/>
          <w:color w:val="00B050"/>
          <w:sz w:val="24"/>
          <w:szCs w:val="24"/>
        </w:rPr>
        <w:t xml:space="preserve">, E. A. (2009): Patterns of Handedness and Socio-cultural Influences on Dextrality </w:t>
      </w:r>
      <w:proofErr w:type="spellStart"/>
      <w:r w:rsidRPr="0092629E">
        <w:rPr>
          <w:rFonts w:ascii="Times New Roman" w:hAnsi="Times New Roman" w:cs="Times New Roman"/>
          <w:color w:val="00B050"/>
          <w:sz w:val="24"/>
          <w:szCs w:val="24"/>
        </w:rPr>
        <w:t>AmongstUniversity</w:t>
      </w:r>
      <w:proofErr w:type="spellEnd"/>
      <w:r w:rsidRPr="0092629E">
        <w:rPr>
          <w:rFonts w:ascii="Times New Roman" w:hAnsi="Times New Roman" w:cs="Times New Roman"/>
          <w:color w:val="00B050"/>
          <w:sz w:val="24"/>
          <w:szCs w:val="24"/>
        </w:rPr>
        <w:t xml:space="preserve"> of Nigeria Medical Students. Journal of Experimental and Clinical Anatomy. 8(2), 26-30</w:t>
      </w:r>
      <w:r w:rsidRPr="0092629E">
        <w:rPr>
          <w:rFonts w:ascii="Times New Roman" w:hAnsi="Times New Roman" w:cs="Times New Roman"/>
          <w:sz w:val="24"/>
          <w:szCs w:val="24"/>
        </w:rPr>
        <w:t>.</w:t>
      </w:r>
      <w:r w:rsidR="00AA2665">
        <w:rPr>
          <w:rFonts w:ascii="Times New Roman" w:hAnsi="Times New Roman" w:cs="Times New Roman"/>
          <w:sz w:val="24"/>
          <w:szCs w:val="24"/>
        </w:rPr>
        <w:t xml:space="preserve"> </w:t>
      </w:r>
      <w:hyperlink r:id="rId14" w:history="1">
        <w:r w:rsidR="00AA2665" w:rsidRPr="000E44AF">
          <w:rPr>
            <w:rStyle w:val="Hyperlink"/>
            <w:rFonts w:ascii="Times New Roman" w:hAnsi="Times New Roman" w:cs="Times New Roman"/>
            <w:sz w:val="24"/>
            <w:szCs w:val="24"/>
          </w:rPr>
          <w:t>https://doi.org/10.4314/jeca.v8i2.55646</w:t>
        </w:r>
      </w:hyperlink>
      <w:r w:rsidR="00AA2665">
        <w:rPr>
          <w:rFonts w:ascii="Times New Roman" w:hAnsi="Times New Roman" w:cs="Times New Roman"/>
          <w:sz w:val="24"/>
          <w:szCs w:val="24"/>
        </w:rPr>
        <w:t xml:space="preserve"> </w:t>
      </w:r>
    </w:p>
    <w:p w14:paraId="4CA810DF" w14:textId="370BB6D5"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Faurie, C., Goldberg, M., Hercberg, S., Zins, M. and Raymond, M. (2008): Socio-economic status and handedness in two large cohorts of French adults. British Journal of Psychology. 99, 533-554.</w:t>
      </w:r>
      <w:r w:rsidR="00AA2665">
        <w:rPr>
          <w:rFonts w:ascii="Times New Roman" w:hAnsi="Times New Roman" w:cs="Times New Roman"/>
          <w:color w:val="00B050"/>
          <w:sz w:val="24"/>
          <w:szCs w:val="24"/>
        </w:rPr>
        <w:t xml:space="preserve"> </w:t>
      </w:r>
      <w:hyperlink r:id="rId15" w:history="1">
        <w:r w:rsidR="00AA2665" w:rsidRPr="000E44AF">
          <w:rPr>
            <w:rStyle w:val="Hyperlink"/>
            <w:rFonts w:ascii="Times New Roman" w:hAnsi="Times New Roman" w:cs="Times New Roman"/>
            <w:sz w:val="24"/>
            <w:szCs w:val="24"/>
          </w:rPr>
          <w:t>https://doi.org/10.1348/000712608X291563</w:t>
        </w:r>
      </w:hyperlink>
      <w:r w:rsidR="00AA2665">
        <w:rPr>
          <w:rFonts w:ascii="Times New Roman" w:hAnsi="Times New Roman" w:cs="Times New Roman"/>
          <w:color w:val="00B050"/>
          <w:sz w:val="24"/>
          <w:szCs w:val="24"/>
        </w:rPr>
        <w:t xml:space="preserve"> </w:t>
      </w:r>
    </w:p>
    <w:p w14:paraId="669C1CDE" w14:textId="048A4637"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lastRenderedPageBreak/>
        <w:t xml:space="preserve">Faurie, C., </w:t>
      </w:r>
      <w:proofErr w:type="spellStart"/>
      <w:r w:rsidRPr="0092629E">
        <w:rPr>
          <w:rFonts w:ascii="Times New Roman" w:hAnsi="Times New Roman" w:cs="Times New Roman"/>
          <w:color w:val="00B050"/>
          <w:sz w:val="24"/>
          <w:szCs w:val="24"/>
        </w:rPr>
        <w:t>Llaurensa</w:t>
      </w:r>
      <w:proofErr w:type="spellEnd"/>
      <w:r w:rsidRPr="0092629E">
        <w:rPr>
          <w:rFonts w:ascii="Times New Roman" w:hAnsi="Times New Roman" w:cs="Times New Roman"/>
          <w:color w:val="00B050"/>
          <w:sz w:val="24"/>
          <w:szCs w:val="24"/>
        </w:rPr>
        <w:t xml:space="preserve">, V., Hegay, T. and Raymond, M. (2012): Handedness and socio-economic status in an urban population in Uzbekistan. Evolution and Human </w:t>
      </w:r>
      <w:proofErr w:type="spellStart"/>
      <w:r w:rsidRPr="0092629E">
        <w:rPr>
          <w:rFonts w:ascii="Times New Roman" w:hAnsi="Times New Roman" w:cs="Times New Roman"/>
          <w:color w:val="00B050"/>
          <w:sz w:val="24"/>
          <w:szCs w:val="24"/>
        </w:rPr>
        <w:t>Behaviour</w:t>
      </w:r>
      <w:proofErr w:type="spellEnd"/>
      <w:r w:rsidRPr="0092629E">
        <w:rPr>
          <w:rFonts w:ascii="Times New Roman" w:hAnsi="Times New Roman" w:cs="Times New Roman"/>
          <w:color w:val="00B050"/>
          <w:sz w:val="24"/>
          <w:szCs w:val="24"/>
        </w:rPr>
        <w:t>. 33(1), 35-41.</w:t>
      </w:r>
      <w:r w:rsidR="00AA2665">
        <w:rPr>
          <w:rFonts w:ascii="Times New Roman" w:hAnsi="Times New Roman" w:cs="Times New Roman"/>
          <w:color w:val="00B050"/>
          <w:sz w:val="24"/>
          <w:szCs w:val="24"/>
        </w:rPr>
        <w:t xml:space="preserve"> </w:t>
      </w:r>
      <w:hyperlink r:id="rId16" w:history="1">
        <w:r w:rsidR="00AA2665" w:rsidRPr="000E44AF">
          <w:rPr>
            <w:rStyle w:val="Hyperlink"/>
            <w:rFonts w:ascii="Times New Roman" w:hAnsi="Times New Roman" w:cs="Times New Roman"/>
            <w:sz w:val="24"/>
            <w:szCs w:val="24"/>
          </w:rPr>
          <w:t>https://doi.org/10.1016/j.evolhumbehav.2011.05.003</w:t>
        </w:r>
      </w:hyperlink>
      <w:r w:rsidR="00AA2665">
        <w:rPr>
          <w:rFonts w:ascii="Times New Roman" w:hAnsi="Times New Roman" w:cs="Times New Roman"/>
          <w:color w:val="00B050"/>
          <w:sz w:val="24"/>
          <w:szCs w:val="24"/>
        </w:rPr>
        <w:t xml:space="preserve"> </w:t>
      </w:r>
    </w:p>
    <w:p w14:paraId="00F08224" w14:textId="79F8E53D" w:rsidR="00AD71A9" w:rsidRPr="0092629E" w:rsidRDefault="00AD71A9" w:rsidP="0092629E">
      <w:pPr>
        <w:spacing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lang w:eastAsia="en-ZA"/>
        </w:rPr>
        <w:t xml:space="preserve">Franklin, S. S., Wong, N. D., &amp; Larson, M. G. (2012). Predominance of isolated systolic hypertension among middle-aged and elderly US adults: Analysis based on National Health and Nutrition Examination Survey (NHANES) 1999–2004. </w:t>
      </w:r>
      <w:r w:rsidRPr="0092629E">
        <w:rPr>
          <w:rFonts w:ascii="Times New Roman" w:hAnsi="Times New Roman" w:cs="Times New Roman"/>
          <w:i/>
          <w:iCs/>
          <w:color w:val="00B050"/>
          <w:sz w:val="24"/>
          <w:szCs w:val="24"/>
          <w:lang w:eastAsia="en-ZA"/>
        </w:rPr>
        <w:t>Hypertension, 57</w:t>
      </w:r>
      <w:r w:rsidRPr="0092629E">
        <w:rPr>
          <w:rFonts w:ascii="Times New Roman" w:hAnsi="Times New Roman" w:cs="Times New Roman"/>
          <w:color w:val="00B050"/>
          <w:sz w:val="24"/>
          <w:szCs w:val="24"/>
          <w:lang w:eastAsia="en-ZA"/>
        </w:rPr>
        <w:t xml:space="preserve">(6), 903–910. </w:t>
      </w:r>
      <w:hyperlink r:id="rId17" w:history="1">
        <w:r w:rsidR="00AA2665" w:rsidRPr="000E44AF">
          <w:rPr>
            <w:rStyle w:val="Hyperlink"/>
          </w:rPr>
          <w:t>https://doi.org/10.1161/HYPERTENSIONAHA.111.171272</w:t>
        </w:r>
      </w:hyperlink>
      <w:r w:rsidR="00AA2665">
        <w:t xml:space="preserve"> </w:t>
      </w:r>
    </w:p>
    <w:p w14:paraId="25BD4FEF" w14:textId="73F3A6B7" w:rsidR="00AD71A9" w:rsidRPr="00AA2665" w:rsidRDefault="00AD71A9" w:rsidP="0092629E">
      <w:pPr>
        <w:spacing w:after="0" w:line="276" w:lineRule="auto"/>
        <w:jc w:val="both"/>
        <w:rPr>
          <w:rFonts w:ascii="Times New Roman" w:eastAsia="Times New Roman" w:hAnsi="Times New Roman" w:cs="Times New Roman"/>
          <w:b/>
          <w:bCs/>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Gabb, G. (2020). What is hypertension? </w:t>
      </w:r>
      <w:r w:rsidRPr="0092629E">
        <w:rPr>
          <w:rFonts w:ascii="Times New Roman" w:eastAsia="Times New Roman" w:hAnsi="Times New Roman" w:cs="Times New Roman"/>
          <w:i/>
          <w:iCs/>
          <w:color w:val="00B050"/>
          <w:sz w:val="24"/>
          <w:szCs w:val="24"/>
          <w:lang w:val="en-ZA" w:eastAsia="en-ZA"/>
        </w:rPr>
        <w:t>Australian prescriber</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43</w:t>
      </w:r>
      <w:r w:rsidRPr="0092629E">
        <w:rPr>
          <w:rFonts w:ascii="Times New Roman" w:eastAsia="Times New Roman" w:hAnsi="Times New Roman" w:cs="Times New Roman"/>
          <w:color w:val="00B050"/>
          <w:sz w:val="24"/>
          <w:szCs w:val="24"/>
          <w:lang w:val="en-ZA" w:eastAsia="en-ZA"/>
        </w:rPr>
        <w:t>(4), 108.</w:t>
      </w:r>
      <w:r w:rsidR="00AA2665">
        <w:rPr>
          <w:rFonts w:ascii="Times New Roman" w:eastAsia="Times New Roman" w:hAnsi="Times New Roman" w:cs="Times New Roman"/>
          <w:color w:val="00B050"/>
          <w:sz w:val="24"/>
          <w:szCs w:val="24"/>
          <w:lang w:val="en-ZA" w:eastAsia="en-ZA"/>
        </w:rPr>
        <w:t xml:space="preserve"> </w:t>
      </w:r>
      <w:hyperlink r:id="rId18" w:history="1">
        <w:r w:rsidR="00AA2665" w:rsidRPr="000E44AF">
          <w:rPr>
            <w:rStyle w:val="Hyperlink"/>
            <w:rFonts w:ascii="Times New Roman" w:eastAsia="Times New Roman" w:hAnsi="Times New Roman" w:cs="Times New Roman"/>
            <w:sz w:val="24"/>
            <w:szCs w:val="24"/>
            <w:lang w:val="en-ZA" w:eastAsia="en-ZA"/>
          </w:rPr>
          <w:t>https://doi.org/10.18773/austprescr.2020.025</w:t>
        </w:r>
      </w:hyperlink>
      <w:r w:rsidR="00AA2665">
        <w:rPr>
          <w:rFonts w:ascii="Times New Roman" w:eastAsia="Times New Roman" w:hAnsi="Times New Roman" w:cs="Times New Roman"/>
          <w:color w:val="00B050"/>
          <w:sz w:val="24"/>
          <w:szCs w:val="24"/>
          <w:lang w:val="en-ZA" w:eastAsia="en-ZA"/>
        </w:rPr>
        <w:t xml:space="preserve"> </w:t>
      </w:r>
    </w:p>
    <w:p w14:paraId="3C1572FF" w14:textId="415E1857" w:rsidR="00AD71A9" w:rsidRPr="0092629E" w:rsidRDefault="00AD71A9" w:rsidP="0092629E">
      <w:pPr>
        <w:autoSpaceDE w:val="0"/>
        <w:autoSpaceDN w:val="0"/>
        <w:adjustRightInd w:val="0"/>
        <w:spacing w:before="240" w:line="276" w:lineRule="auto"/>
        <w:jc w:val="both"/>
        <w:rPr>
          <w:rFonts w:ascii="Times New Roman" w:hAnsi="Times New Roman" w:cs="Times New Roman"/>
          <w:color w:val="00B050"/>
          <w:sz w:val="24"/>
          <w:szCs w:val="24"/>
        </w:rPr>
      </w:pPr>
      <w:proofErr w:type="spellStart"/>
      <w:r w:rsidRPr="0092629E">
        <w:rPr>
          <w:rFonts w:ascii="Times New Roman" w:hAnsi="Times New Roman" w:cs="Times New Roman"/>
          <w:color w:val="00B050"/>
          <w:sz w:val="24"/>
          <w:szCs w:val="24"/>
        </w:rPr>
        <w:t>Geschwind</w:t>
      </w:r>
      <w:proofErr w:type="spellEnd"/>
      <w:r w:rsidRPr="0092629E">
        <w:rPr>
          <w:rFonts w:ascii="Times New Roman" w:hAnsi="Times New Roman" w:cs="Times New Roman"/>
          <w:color w:val="00B050"/>
          <w:sz w:val="24"/>
          <w:szCs w:val="24"/>
        </w:rPr>
        <w:t xml:space="preserve"> N, </w:t>
      </w:r>
      <w:proofErr w:type="spellStart"/>
      <w:r w:rsidRPr="0092629E">
        <w:rPr>
          <w:rFonts w:ascii="Times New Roman" w:hAnsi="Times New Roman" w:cs="Times New Roman"/>
          <w:color w:val="00B050"/>
          <w:sz w:val="24"/>
          <w:szCs w:val="24"/>
        </w:rPr>
        <w:t>Galaburda</w:t>
      </w:r>
      <w:proofErr w:type="spellEnd"/>
      <w:r w:rsidRPr="0092629E">
        <w:rPr>
          <w:rFonts w:ascii="Times New Roman" w:hAnsi="Times New Roman" w:cs="Times New Roman"/>
          <w:color w:val="00B050"/>
          <w:sz w:val="24"/>
          <w:szCs w:val="24"/>
        </w:rPr>
        <w:t xml:space="preserve"> AM: Cerebral lateralization. Biological mechanisms, associations, and pathology: II. A hypothesis and a program for research. Arch Neurol 1985; 42: 521–52.</w:t>
      </w:r>
      <w:r w:rsidR="00AA2665">
        <w:rPr>
          <w:rFonts w:ascii="Times New Roman" w:hAnsi="Times New Roman" w:cs="Times New Roman"/>
          <w:color w:val="00B050"/>
          <w:sz w:val="24"/>
          <w:szCs w:val="24"/>
        </w:rPr>
        <w:t xml:space="preserve">  </w:t>
      </w:r>
      <w:hyperlink r:id="rId19" w:history="1">
        <w:r w:rsidR="00AA2665" w:rsidRPr="000E44AF">
          <w:rPr>
            <w:rStyle w:val="Hyperlink"/>
            <w:rFonts w:ascii="Times New Roman" w:hAnsi="Times New Roman" w:cs="Times New Roman"/>
            <w:sz w:val="24"/>
            <w:szCs w:val="24"/>
          </w:rPr>
          <w:t>https://doi.org/10.1001/archneur.1985.04060060019009</w:t>
        </w:r>
      </w:hyperlink>
      <w:r w:rsidR="00AA2665">
        <w:rPr>
          <w:rFonts w:ascii="Times New Roman" w:hAnsi="Times New Roman" w:cs="Times New Roman"/>
          <w:color w:val="00B050"/>
          <w:sz w:val="24"/>
          <w:szCs w:val="24"/>
        </w:rPr>
        <w:t xml:space="preserve"> </w:t>
      </w:r>
    </w:p>
    <w:p w14:paraId="367CCEFE" w14:textId="6942BAAE" w:rsidR="00AD71A9" w:rsidRPr="0092629E" w:rsidRDefault="00AD71A9" w:rsidP="0092629E">
      <w:pPr>
        <w:autoSpaceDE w:val="0"/>
        <w:autoSpaceDN w:val="0"/>
        <w:adjustRightInd w:val="0"/>
        <w:spacing w:before="240" w:line="276" w:lineRule="auto"/>
        <w:jc w:val="both"/>
        <w:rPr>
          <w:rFonts w:ascii="Times New Roman" w:hAnsi="Times New Roman" w:cs="Times New Roman"/>
          <w:color w:val="00B050"/>
          <w:sz w:val="24"/>
          <w:szCs w:val="24"/>
        </w:rPr>
      </w:pPr>
      <w:proofErr w:type="spellStart"/>
      <w:r w:rsidRPr="0092629E">
        <w:rPr>
          <w:rFonts w:ascii="Times New Roman" w:hAnsi="Times New Roman" w:cs="Times New Roman"/>
          <w:color w:val="00B050"/>
          <w:sz w:val="24"/>
          <w:szCs w:val="24"/>
        </w:rPr>
        <w:t>Ghirlanda</w:t>
      </w:r>
      <w:proofErr w:type="spellEnd"/>
      <w:r w:rsidRPr="0092629E">
        <w:rPr>
          <w:rFonts w:ascii="Times New Roman" w:hAnsi="Times New Roman" w:cs="Times New Roman"/>
          <w:color w:val="00B050"/>
          <w:sz w:val="24"/>
          <w:szCs w:val="24"/>
        </w:rPr>
        <w:t xml:space="preserve"> S, </w:t>
      </w:r>
      <w:proofErr w:type="spellStart"/>
      <w:r w:rsidRPr="0092629E">
        <w:rPr>
          <w:rFonts w:ascii="Times New Roman" w:hAnsi="Times New Roman" w:cs="Times New Roman"/>
          <w:color w:val="00B050"/>
          <w:sz w:val="24"/>
          <w:szCs w:val="24"/>
        </w:rPr>
        <w:t>Vallortigara</w:t>
      </w:r>
      <w:proofErr w:type="spellEnd"/>
      <w:r w:rsidRPr="0092629E">
        <w:rPr>
          <w:rFonts w:ascii="Times New Roman" w:hAnsi="Times New Roman" w:cs="Times New Roman"/>
          <w:color w:val="00B050"/>
          <w:sz w:val="24"/>
          <w:szCs w:val="24"/>
        </w:rPr>
        <w:t xml:space="preserve"> G: The evolution of brain lateralization: a game-theoretical analysis of population structure. Proc </w:t>
      </w:r>
      <w:proofErr w:type="spellStart"/>
      <w:r w:rsidRPr="0092629E">
        <w:rPr>
          <w:rFonts w:ascii="Times New Roman" w:hAnsi="Times New Roman" w:cs="Times New Roman"/>
          <w:color w:val="00B050"/>
          <w:sz w:val="24"/>
          <w:szCs w:val="24"/>
        </w:rPr>
        <w:t>BiolSci</w:t>
      </w:r>
      <w:proofErr w:type="spellEnd"/>
      <w:r w:rsidRPr="0092629E">
        <w:rPr>
          <w:rFonts w:ascii="Times New Roman" w:hAnsi="Times New Roman" w:cs="Times New Roman"/>
          <w:color w:val="00B050"/>
          <w:sz w:val="24"/>
          <w:szCs w:val="24"/>
        </w:rPr>
        <w:t xml:space="preserve"> 2004; 271: 853–7.</w:t>
      </w:r>
      <w:r w:rsidR="006B21C4">
        <w:rPr>
          <w:rFonts w:ascii="Times New Roman" w:hAnsi="Times New Roman" w:cs="Times New Roman"/>
          <w:color w:val="00B050"/>
          <w:sz w:val="24"/>
          <w:szCs w:val="24"/>
        </w:rPr>
        <w:t xml:space="preserve"> </w:t>
      </w:r>
      <w:hyperlink r:id="rId20" w:history="1">
        <w:r w:rsidR="006B21C4" w:rsidRPr="000E44AF">
          <w:rPr>
            <w:rStyle w:val="Hyperlink"/>
            <w:rFonts w:ascii="Times New Roman" w:hAnsi="Times New Roman" w:cs="Times New Roman"/>
            <w:sz w:val="24"/>
            <w:szCs w:val="24"/>
          </w:rPr>
          <w:t>https://doi.org/10.1098/rspb.2003.2669</w:t>
        </w:r>
      </w:hyperlink>
      <w:r w:rsidR="006B21C4">
        <w:rPr>
          <w:rFonts w:ascii="Times New Roman" w:hAnsi="Times New Roman" w:cs="Times New Roman"/>
          <w:color w:val="00B050"/>
          <w:sz w:val="24"/>
          <w:szCs w:val="24"/>
        </w:rPr>
        <w:t xml:space="preserve"> </w:t>
      </w:r>
    </w:p>
    <w:p w14:paraId="1AE7927C" w14:textId="6DE931C5" w:rsidR="00AD71A9" w:rsidRPr="0092629E" w:rsidRDefault="00AD71A9" w:rsidP="0092629E">
      <w:pPr>
        <w:spacing w:before="240" w:after="0" w:line="276" w:lineRule="auto"/>
        <w:jc w:val="both"/>
        <w:rPr>
          <w:rFonts w:ascii="Times New Roman" w:eastAsia="Times New Roman" w:hAnsi="Times New Roman" w:cs="Times New Roman"/>
          <w:color w:val="00B050"/>
          <w:sz w:val="24"/>
          <w:szCs w:val="24"/>
        </w:rPr>
      </w:pPr>
      <w:r w:rsidRPr="0092629E">
        <w:rPr>
          <w:rFonts w:ascii="Times New Roman" w:eastAsia="Times New Roman" w:hAnsi="Times New Roman" w:cs="Times New Roman"/>
          <w:color w:val="00B050"/>
          <w:sz w:val="24"/>
          <w:szCs w:val="24"/>
        </w:rPr>
        <w:t xml:space="preserve">Gudina EK, </w:t>
      </w:r>
      <w:proofErr w:type="spellStart"/>
      <w:r w:rsidRPr="0092629E">
        <w:rPr>
          <w:rFonts w:ascii="Times New Roman" w:eastAsia="Times New Roman" w:hAnsi="Times New Roman" w:cs="Times New Roman"/>
          <w:color w:val="00B050"/>
          <w:sz w:val="24"/>
          <w:szCs w:val="24"/>
        </w:rPr>
        <w:t>Bonsa</w:t>
      </w:r>
      <w:proofErr w:type="spellEnd"/>
      <w:r w:rsidRPr="0092629E">
        <w:rPr>
          <w:rFonts w:ascii="Times New Roman" w:eastAsia="Times New Roman" w:hAnsi="Times New Roman" w:cs="Times New Roman"/>
          <w:color w:val="00B050"/>
          <w:sz w:val="24"/>
          <w:szCs w:val="24"/>
        </w:rPr>
        <w:t xml:space="preserve"> F, </w:t>
      </w:r>
      <w:proofErr w:type="spellStart"/>
      <w:r w:rsidRPr="0092629E">
        <w:rPr>
          <w:rFonts w:ascii="Times New Roman" w:eastAsia="Times New Roman" w:hAnsi="Times New Roman" w:cs="Times New Roman"/>
          <w:color w:val="00B050"/>
          <w:sz w:val="24"/>
          <w:szCs w:val="24"/>
        </w:rPr>
        <w:t>Hajito</w:t>
      </w:r>
      <w:proofErr w:type="spellEnd"/>
      <w:r w:rsidRPr="0092629E">
        <w:rPr>
          <w:rFonts w:ascii="Times New Roman" w:eastAsia="Times New Roman" w:hAnsi="Times New Roman" w:cs="Times New Roman"/>
          <w:color w:val="00B050"/>
          <w:sz w:val="24"/>
          <w:szCs w:val="24"/>
        </w:rPr>
        <w:t xml:space="preserve"> KW. Prevalence of hypertension and associated factors in </w:t>
      </w:r>
      <w:proofErr w:type="spellStart"/>
      <w:r w:rsidRPr="0092629E">
        <w:rPr>
          <w:rFonts w:ascii="Times New Roman" w:eastAsia="Times New Roman" w:hAnsi="Times New Roman" w:cs="Times New Roman"/>
          <w:color w:val="00B050"/>
          <w:sz w:val="24"/>
          <w:szCs w:val="24"/>
        </w:rPr>
        <w:t>Bedele</w:t>
      </w:r>
      <w:proofErr w:type="spellEnd"/>
      <w:r w:rsidRPr="0092629E">
        <w:rPr>
          <w:rFonts w:ascii="Times New Roman" w:eastAsia="Times New Roman" w:hAnsi="Times New Roman" w:cs="Times New Roman"/>
          <w:color w:val="00B050"/>
          <w:sz w:val="24"/>
          <w:szCs w:val="24"/>
        </w:rPr>
        <w:t xml:space="preserve"> town, southwest Ethiopia. Ethiop </w:t>
      </w:r>
      <w:proofErr w:type="spellStart"/>
      <w:r w:rsidRPr="0092629E">
        <w:rPr>
          <w:rFonts w:ascii="Times New Roman" w:eastAsia="Times New Roman" w:hAnsi="Times New Roman" w:cs="Times New Roman"/>
          <w:color w:val="00B050"/>
          <w:sz w:val="24"/>
          <w:szCs w:val="24"/>
        </w:rPr>
        <w:t>JHealth</w:t>
      </w:r>
      <w:proofErr w:type="spellEnd"/>
      <w:r w:rsidRPr="0092629E">
        <w:rPr>
          <w:rFonts w:ascii="Times New Roman" w:eastAsia="Times New Roman" w:hAnsi="Times New Roman" w:cs="Times New Roman"/>
          <w:color w:val="00B050"/>
          <w:sz w:val="24"/>
          <w:szCs w:val="24"/>
        </w:rPr>
        <w:t xml:space="preserve"> Sci. 2014;24(1):21–26. </w:t>
      </w:r>
      <w:hyperlink r:id="rId21" w:history="1">
        <w:r w:rsidR="006B21C4" w:rsidRPr="000E44AF">
          <w:rPr>
            <w:rStyle w:val="Hyperlink"/>
            <w:rFonts w:ascii="Times New Roman" w:eastAsia="Times New Roman" w:hAnsi="Times New Roman" w:cs="Times New Roman"/>
            <w:sz w:val="24"/>
            <w:szCs w:val="24"/>
          </w:rPr>
          <w:t>https://doi.org/10.4314/ejhs.v24i1.3</w:t>
        </w:r>
      </w:hyperlink>
      <w:r w:rsidR="006B21C4">
        <w:rPr>
          <w:rFonts w:ascii="Times New Roman" w:eastAsia="Times New Roman" w:hAnsi="Times New Roman" w:cs="Times New Roman"/>
          <w:color w:val="00B050"/>
          <w:sz w:val="24"/>
          <w:szCs w:val="24"/>
        </w:rPr>
        <w:t xml:space="preserve"> </w:t>
      </w:r>
    </w:p>
    <w:p w14:paraId="4BA717B4" w14:textId="15680B5D"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Hall, J. E., do Carmo, J. M., da Silva, A. A., Wang, Z., &amp; Hall, M. E. (2015). Obesity, kidney dysfunction and hypertension: mechanistic links. </w:t>
      </w:r>
      <w:r w:rsidRPr="0092629E">
        <w:rPr>
          <w:rFonts w:ascii="Times New Roman" w:hAnsi="Times New Roman" w:cs="Times New Roman"/>
          <w:i/>
          <w:iCs/>
          <w:color w:val="00B050"/>
          <w:sz w:val="24"/>
          <w:szCs w:val="24"/>
          <w:lang w:eastAsia="en-ZA"/>
        </w:rPr>
        <w:t>Nature Reviews Nephrology, 11</w:t>
      </w:r>
      <w:r w:rsidRPr="0092629E">
        <w:rPr>
          <w:rFonts w:ascii="Times New Roman" w:hAnsi="Times New Roman" w:cs="Times New Roman"/>
          <w:color w:val="00B050"/>
          <w:sz w:val="24"/>
          <w:szCs w:val="24"/>
          <w:lang w:eastAsia="en-ZA"/>
        </w:rPr>
        <w:t xml:space="preserve">(6), 347–360. </w:t>
      </w:r>
      <w:hyperlink r:id="rId22" w:history="1">
        <w:r w:rsidR="006B21C4" w:rsidRPr="000E44AF">
          <w:rPr>
            <w:rStyle w:val="Hyperlink"/>
          </w:rPr>
          <w:t>https://doi.org/10.1038/s41581-019-0145-4</w:t>
        </w:r>
      </w:hyperlink>
      <w:r w:rsidR="006B21C4">
        <w:t xml:space="preserve"> </w:t>
      </w:r>
    </w:p>
    <w:p w14:paraId="3D7CF4B8" w14:textId="77777777"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Ibrahim, M. M., Damasceno, A., &amp; Hypertension in Africa. (2021). Hypertension in developing countries: Burden, control, and perspectives. </w:t>
      </w:r>
      <w:r w:rsidRPr="0092629E">
        <w:rPr>
          <w:rFonts w:ascii="Times New Roman" w:hAnsi="Times New Roman" w:cs="Times New Roman"/>
          <w:i/>
          <w:iCs/>
          <w:color w:val="00B050"/>
          <w:sz w:val="24"/>
          <w:szCs w:val="24"/>
          <w:lang w:eastAsia="en-ZA"/>
        </w:rPr>
        <w:t>Cardiovascular Diagnosis and Therapy, 12</w:t>
      </w:r>
      <w:r w:rsidRPr="0092629E">
        <w:rPr>
          <w:rFonts w:ascii="Times New Roman" w:hAnsi="Times New Roman" w:cs="Times New Roman"/>
          <w:color w:val="00B050"/>
          <w:sz w:val="24"/>
          <w:szCs w:val="24"/>
          <w:lang w:eastAsia="en-ZA"/>
        </w:rPr>
        <w:t xml:space="preserve">(1), 120–132. </w:t>
      </w:r>
      <w:hyperlink r:id="rId23" w:history="1">
        <w:r w:rsidRPr="0092629E">
          <w:rPr>
            <w:rFonts w:ascii="Times New Roman" w:hAnsi="Times New Roman" w:cs="Times New Roman"/>
            <w:color w:val="00B050"/>
            <w:sz w:val="24"/>
            <w:szCs w:val="24"/>
            <w:u w:val="single"/>
            <w:lang w:eastAsia="en-ZA"/>
          </w:rPr>
          <w:t>https://doi.org/10.21037/cdt-20-203</w:t>
        </w:r>
      </w:hyperlink>
    </w:p>
    <w:p w14:paraId="0D2EEEF7" w14:textId="77777777" w:rsidR="00AD71A9" w:rsidRPr="0092629E" w:rsidRDefault="00AD71A9" w:rsidP="0092629E">
      <w:pPr>
        <w:shd w:val="clear" w:color="auto" w:fill="FFFFFF"/>
        <w:spacing w:before="240" w:after="0" w:line="276" w:lineRule="auto"/>
        <w:jc w:val="both"/>
        <w:rPr>
          <w:rFonts w:ascii="Times New Roman" w:hAnsi="Times New Roman" w:cs="Times New Roman"/>
          <w:color w:val="00B050"/>
          <w:sz w:val="24"/>
          <w:szCs w:val="24"/>
        </w:rPr>
      </w:pPr>
      <w:proofErr w:type="spellStart"/>
      <w:r w:rsidRPr="0092629E">
        <w:rPr>
          <w:rStyle w:val="HTMLCite"/>
          <w:rFonts w:ascii="Times New Roman" w:hAnsi="Times New Roman" w:cs="Times New Roman"/>
          <w:color w:val="00B050"/>
          <w:sz w:val="24"/>
          <w:szCs w:val="24"/>
        </w:rPr>
        <w:t>Ihegihu</w:t>
      </w:r>
      <w:proofErr w:type="spellEnd"/>
      <w:r w:rsidRPr="0092629E">
        <w:rPr>
          <w:rStyle w:val="HTMLCite"/>
          <w:rFonts w:ascii="Times New Roman" w:hAnsi="Times New Roman" w:cs="Times New Roman"/>
          <w:color w:val="00B050"/>
          <w:sz w:val="24"/>
          <w:szCs w:val="24"/>
        </w:rPr>
        <w:t xml:space="preserve">, C.C.; </w:t>
      </w:r>
      <w:proofErr w:type="spellStart"/>
      <w:r w:rsidRPr="0092629E">
        <w:rPr>
          <w:rStyle w:val="HTMLCite"/>
          <w:rFonts w:ascii="Times New Roman" w:hAnsi="Times New Roman" w:cs="Times New Roman"/>
          <w:color w:val="00B050"/>
          <w:sz w:val="24"/>
          <w:szCs w:val="24"/>
        </w:rPr>
        <w:t>Chianakwana</w:t>
      </w:r>
      <w:proofErr w:type="spellEnd"/>
      <w:r w:rsidRPr="0092629E">
        <w:rPr>
          <w:rStyle w:val="HTMLCite"/>
          <w:rFonts w:ascii="Times New Roman" w:hAnsi="Times New Roman" w:cs="Times New Roman"/>
          <w:color w:val="00B050"/>
          <w:sz w:val="24"/>
          <w:szCs w:val="24"/>
        </w:rPr>
        <w:t xml:space="preserve">, G.U.; </w:t>
      </w:r>
      <w:proofErr w:type="spellStart"/>
      <w:r w:rsidRPr="0092629E">
        <w:rPr>
          <w:rStyle w:val="HTMLCite"/>
          <w:rFonts w:ascii="Times New Roman" w:hAnsi="Times New Roman" w:cs="Times New Roman"/>
          <w:color w:val="00B050"/>
          <w:sz w:val="24"/>
          <w:szCs w:val="24"/>
        </w:rPr>
        <w:t>Ugezu</w:t>
      </w:r>
      <w:proofErr w:type="spellEnd"/>
      <w:r w:rsidRPr="0092629E">
        <w:rPr>
          <w:rStyle w:val="HTMLCite"/>
          <w:rFonts w:ascii="Times New Roman" w:hAnsi="Times New Roman" w:cs="Times New Roman"/>
          <w:color w:val="00B050"/>
          <w:sz w:val="24"/>
          <w:szCs w:val="24"/>
        </w:rPr>
        <w:t xml:space="preserve">, T; Anyanwu, Stanley N.C. (2009). "A Review Of In-Hospital Surgical Mortality At The </w:t>
      </w:r>
      <w:proofErr w:type="spellStart"/>
      <w:r w:rsidRPr="0092629E">
        <w:rPr>
          <w:rStyle w:val="HTMLCite"/>
          <w:rFonts w:ascii="Times New Roman" w:hAnsi="Times New Roman" w:cs="Times New Roman"/>
          <w:color w:val="00B050"/>
          <w:sz w:val="24"/>
          <w:szCs w:val="24"/>
        </w:rPr>
        <w:t>NnamdiAzikiwe</w:t>
      </w:r>
      <w:proofErr w:type="spellEnd"/>
      <w:r w:rsidRPr="0092629E">
        <w:rPr>
          <w:rStyle w:val="HTMLCite"/>
          <w:rFonts w:ascii="Times New Roman" w:hAnsi="Times New Roman" w:cs="Times New Roman"/>
          <w:color w:val="00B050"/>
          <w:sz w:val="24"/>
          <w:szCs w:val="24"/>
        </w:rPr>
        <w:t xml:space="preserve"> University Teaching Hospital Nnewi, Nigeria". Tropical Journal of Medical Research. </w:t>
      </w:r>
      <w:r w:rsidRPr="0092629E">
        <w:rPr>
          <w:rStyle w:val="HTMLCite"/>
          <w:rFonts w:ascii="Times New Roman" w:hAnsi="Times New Roman" w:cs="Times New Roman"/>
          <w:b/>
          <w:bCs/>
          <w:color w:val="00B050"/>
          <w:sz w:val="24"/>
          <w:szCs w:val="24"/>
        </w:rPr>
        <w:t>11</w:t>
      </w:r>
      <w:r w:rsidRPr="0092629E">
        <w:rPr>
          <w:rStyle w:val="HTMLCite"/>
          <w:rFonts w:ascii="Times New Roman" w:hAnsi="Times New Roman" w:cs="Times New Roman"/>
          <w:color w:val="00B050"/>
          <w:sz w:val="24"/>
          <w:szCs w:val="24"/>
        </w:rPr>
        <w:t> (2). </w:t>
      </w:r>
      <w:hyperlink r:id="rId24" w:tooltip="Doi (identifier)" w:history="1">
        <w:r w:rsidRPr="0092629E">
          <w:rPr>
            <w:rStyle w:val="Hyperlink"/>
            <w:rFonts w:ascii="Times New Roman" w:hAnsi="Times New Roman" w:cs="Times New Roman"/>
            <w:i/>
            <w:iCs/>
            <w:color w:val="00B050"/>
            <w:sz w:val="24"/>
            <w:szCs w:val="24"/>
          </w:rPr>
          <w:t>doi</w:t>
        </w:r>
      </w:hyperlink>
      <w:r w:rsidRPr="0092629E">
        <w:rPr>
          <w:rStyle w:val="HTMLCite"/>
          <w:rFonts w:ascii="Times New Roman" w:hAnsi="Times New Roman" w:cs="Times New Roman"/>
          <w:color w:val="00B050"/>
          <w:sz w:val="24"/>
          <w:szCs w:val="24"/>
        </w:rPr>
        <w:t>:</w:t>
      </w:r>
      <w:hyperlink r:id="rId25" w:history="1">
        <w:r w:rsidRPr="0092629E">
          <w:rPr>
            <w:rStyle w:val="Hyperlink"/>
            <w:rFonts w:ascii="Times New Roman" w:hAnsi="Times New Roman" w:cs="Times New Roman"/>
            <w:i/>
            <w:iCs/>
            <w:color w:val="00B050"/>
            <w:sz w:val="24"/>
            <w:szCs w:val="24"/>
          </w:rPr>
          <w:t>10.4314/tjmr.v11i2.30477</w:t>
        </w:r>
      </w:hyperlink>
      <w:r w:rsidRPr="0092629E">
        <w:rPr>
          <w:rStyle w:val="HTMLCite"/>
          <w:rFonts w:ascii="Times New Roman" w:hAnsi="Times New Roman" w:cs="Times New Roman"/>
          <w:color w:val="00B050"/>
          <w:sz w:val="24"/>
          <w:szCs w:val="24"/>
        </w:rPr>
        <w:t>.</w:t>
      </w:r>
    </w:p>
    <w:p w14:paraId="2C3E0F68" w14:textId="7EB0C341"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Ji, H., Kim, A., Ebinger, J. E., Niiranen, T. J., Claggett, B. L., &amp; Cheng, S. (2021). Sex differences in blood pressure trajectories over the life course. </w:t>
      </w:r>
      <w:r w:rsidRPr="0092629E">
        <w:rPr>
          <w:rFonts w:ascii="Times New Roman" w:hAnsi="Times New Roman" w:cs="Times New Roman"/>
          <w:i/>
          <w:iCs/>
          <w:color w:val="00B050"/>
          <w:sz w:val="24"/>
          <w:szCs w:val="24"/>
          <w:lang w:eastAsia="en-ZA"/>
        </w:rPr>
        <w:t>JAMA Cardiology, 6</w:t>
      </w:r>
      <w:r w:rsidRPr="0092629E">
        <w:rPr>
          <w:rFonts w:ascii="Times New Roman" w:hAnsi="Times New Roman" w:cs="Times New Roman"/>
          <w:color w:val="00B050"/>
          <w:sz w:val="24"/>
          <w:szCs w:val="24"/>
          <w:lang w:eastAsia="en-ZA"/>
        </w:rPr>
        <w:t xml:space="preserve">(5), 539–546. </w:t>
      </w:r>
      <w:hyperlink r:id="rId26" w:history="1">
        <w:r w:rsidR="006B21C4" w:rsidRPr="000E44AF">
          <w:rPr>
            <w:rStyle w:val="Hyperlink"/>
          </w:rPr>
          <w:t>https://doi.org/10.1001/jamacardio.2020.6323</w:t>
        </w:r>
      </w:hyperlink>
      <w:r w:rsidR="006B21C4">
        <w:t xml:space="preserve"> </w:t>
      </w:r>
    </w:p>
    <w:p w14:paraId="53BF41A2" w14:textId="6DD727BE"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Khan, A. A., Bello, S., &amp; Adebayo, A. M. (2021). Anthropometric indices and their relationship with hypertension among adults in Nigeria. </w:t>
      </w:r>
      <w:r w:rsidRPr="0092629E">
        <w:rPr>
          <w:rFonts w:ascii="Times New Roman" w:hAnsi="Times New Roman" w:cs="Times New Roman"/>
          <w:i/>
          <w:iCs/>
          <w:color w:val="00B050"/>
          <w:sz w:val="24"/>
          <w:szCs w:val="24"/>
          <w:lang w:eastAsia="en-ZA"/>
        </w:rPr>
        <w:t>BMC Public Health, 21</w:t>
      </w:r>
      <w:r w:rsidRPr="0092629E">
        <w:rPr>
          <w:rFonts w:ascii="Times New Roman" w:hAnsi="Times New Roman" w:cs="Times New Roman"/>
          <w:color w:val="00B050"/>
          <w:sz w:val="24"/>
          <w:szCs w:val="24"/>
          <w:lang w:eastAsia="en-ZA"/>
        </w:rPr>
        <w:t xml:space="preserve">, 2045. </w:t>
      </w:r>
      <w:hyperlink r:id="rId27" w:history="1">
        <w:r w:rsidR="006B21C4" w:rsidRPr="000E44AF">
          <w:rPr>
            <w:rStyle w:val="Hyperlink"/>
          </w:rPr>
          <w:t>https://doi.org/10.1186/s12889-021-12104-7</w:t>
        </w:r>
      </w:hyperlink>
      <w:r w:rsidR="006B21C4">
        <w:t xml:space="preserve"> </w:t>
      </w:r>
    </w:p>
    <w:p w14:paraId="0D2217D1" w14:textId="49681630" w:rsidR="00AD71A9" w:rsidRPr="0092629E" w:rsidRDefault="00AD71A9" w:rsidP="0092629E">
      <w:pPr>
        <w:spacing w:after="0" w:line="276" w:lineRule="auto"/>
        <w:jc w:val="both"/>
        <w:rPr>
          <w:rFonts w:ascii="Times New Roman" w:eastAsia="Times New Roman" w:hAnsi="Times New Roman" w:cs="Times New Roman"/>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Krishan, K., Kanchan, T., Menezes, R. G., &amp; Ghosh, A. (2012). Forensic anthropology casework—essential methodological considerations in stature estimation. </w:t>
      </w:r>
      <w:r w:rsidRPr="0092629E">
        <w:rPr>
          <w:rFonts w:ascii="Times New Roman" w:eastAsia="Times New Roman" w:hAnsi="Times New Roman" w:cs="Times New Roman"/>
          <w:i/>
          <w:iCs/>
          <w:color w:val="00B050"/>
          <w:sz w:val="24"/>
          <w:szCs w:val="24"/>
          <w:lang w:val="en-ZA" w:eastAsia="en-ZA"/>
        </w:rPr>
        <w:t>Journal of forensic nursing</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8</w:t>
      </w:r>
      <w:r w:rsidRPr="0092629E">
        <w:rPr>
          <w:rFonts w:ascii="Times New Roman" w:eastAsia="Times New Roman" w:hAnsi="Times New Roman" w:cs="Times New Roman"/>
          <w:color w:val="00B050"/>
          <w:sz w:val="24"/>
          <w:szCs w:val="24"/>
          <w:lang w:val="en-ZA" w:eastAsia="en-ZA"/>
        </w:rPr>
        <w:t>(1), 45-50.</w:t>
      </w:r>
      <w:r w:rsidR="006B21C4">
        <w:rPr>
          <w:rFonts w:ascii="Times New Roman" w:eastAsia="Times New Roman" w:hAnsi="Times New Roman" w:cs="Times New Roman"/>
          <w:color w:val="00B050"/>
          <w:sz w:val="24"/>
          <w:szCs w:val="24"/>
          <w:lang w:val="en-ZA" w:eastAsia="en-ZA"/>
        </w:rPr>
        <w:t xml:space="preserve"> </w:t>
      </w:r>
      <w:hyperlink r:id="rId28" w:history="1">
        <w:r w:rsidR="006B21C4" w:rsidRPr="000E44AF">
          <w:rPr>
            <w:rStyle w:val="Hyperlink"/>
            <w:rFonts w:ascii="Times New Roman" w:eastAsia="Times New Roman" w:hAnsi="Times New Roman" w:cs="Times New Roman"/>
            <w:sz w:val="24"/>
            <w:szCs w:val="24"/>
            <w:lang w:val="en-ZA" w:eastAsia="en-ZA"/>
          </w:rPr>
          <w:t>https://doi.org/10.1111/j.1939-3938.2011.01122.x</w:t>
        </w:r>
      </w:hyperlink>
      <w:r w:rsidR="006B21C4">
        <w:rPr>
          <w:rFonts w:ascii="Times New Roman" w:eastAsia="Times New Roman" w:hAnsi="Times New Roman" w:cs="Times New Roman"/>
          <w:color w:val="00B050"/>
          <w:sz w:val="24"/>
          <w:szCs w:val="24"/>
          <w:lang w:val="en-ZA" w:eastAsia="en-ZA"/>
        </w:rPr>
        <w:t xml:space="preserve"> </w:t>
      </w:r>
    </w:p>
    <w:p w14:paraId="2934E2F5" w14:textId="78E050DC" w:rsidR="00AD71A9" w:rsidRPr="00176D2A" w:rsidRDefault="00AD71A9" w:rsidP="00176D2A">
      <w:pPr>
        <w:spacing w:before="240" w:after="0" w:line="276" w:lineRule="auto"/>
        <w:jc w:val="both"/>
        <w:rPr>
          <w:rFonts w:ascii="Times New Roman" w:eastAsia="Times New Roman" w:hAnsi="Times New Roman" w:cs="Times New Roman"/>
          <w:color w:val="00B050"/>
          <w:sz w:val="24"/>
          <w:szCs w:val="24"/>
        </w:rPr>
      </w:pPr>
      <w:r w:rsidRPr="00176D2A">
        <w:rPr>
          <w:rFonts w:ascii="Times New Roman" w:hAnsi="Times New Roman" w:cs="Times New Roman"/>
          <w:color w:val="00B050"/>
          <w:sz w:val="24"/>
          <w:szCs w:val="24"/>
          <w:shd w:val="clear" w:color="auto" w:fill="FFFFFF"/>
        </w:rPr>
        <w:lastRenderedPageBreak/>
        <w:t>Legese, N., &amp;</w:t>
      </w:r>
      <w:proofErr w:type="spellStart"/>
      <w:r w:rsidRPr="00176D2A">
        <w:rPr>
          <w:rFonts w:ascii="Times New Roman" w:hAnsi="Times New Roman" w:cs="Times New Roman"/>
          <w:color w:val="00B050"/>
          <w:sz w:val="24"/>
          <w:szCs w:val="24"/>
          <w:shd w:val="clear" w:color="auto" w:fill="FFFFFF"/>
        </w:rPr>
        <w:t>Tadiwos</w:t>
      </w:r>
      <w:proofErr w:type="spellEnd"/>
      <w:r w:rsidRPr="00176D2A">
        <w:rPr>
          <w:rFonts w:ascii="Times New Roman" w:hAnsi="Times New Roman" w:cs="Times New Roman"/>
          <w:color w:val="00B050"/>
          <w:sz w:val="24"/>
          <w:szCs w:val="24"/>
          <w:shd w:val="clear" w:color="auto" w:fill="FFFFFF"/>
        </w:rPr>
        <w:t>, Y. (2020). Epidemiology of Hypertension in Ethiopia: A Systematic Review. </w:t>
      </w:r>
      <w:r w:rsidRPr="00176D2A">
        <w:rPr>
          <w:rFonts w:ascii="Times New Roman" w:hAnsi="Times New Roman" w:cs="Times New Roman"/>
          <w:i/>
          <w:iCs/>
          <w:color w:val="00B050"/>
          <w:sz w:val="24"/>
          <w:szCs w:val="24"/>
          <w:shd w:val="clear" w:color="auto" w:fill="FFFFFF"/>
        </w:rPr>
        <w:t>Integrated Blood Pressure Control</w:t>
      </w:r>
      <w:r w:rsidRPr="00176D2A">
        <w:rPr>
          <w:rFonts w:ascii="Times New Roman" w:hAnsi="Times New Roman" w:cs="Times New Roman"/>
          <w:color w:val="00B050"/>
          <w:sz w:val="24"/>
          <w:szCs w:val="24"/>
          <w:shd w:val="clear" w:color="auto" w:fill="FFFFFF"/>
        </w:rPr>
        <w:t>, </w:t>
      </w:r>
      <w:r w:rsidRPr="00176D2A">
        <w:rPr>
          <w:rFonts w:ascii="Times New Roman" w:hAnsi="Times New Roman" w:cs="Times New Roman"/>
          <w:i/>
          <w:iCs/>
          <w:color w:val="00B050"/>
          <w:sz w:val="24"/>
          <w:szCs w:val="24"/>
          <w:shd w:val="clear" w:color="auto" w:fill="FFFFFF"/>
        </w:rPr>
        <w:t>13</w:t>
      </w:r>
      <w:r w:rsidRPr="00176D2A">
        <w:rPr>
          <w:rFonts w:ascii="Times New Roman" w:hAnsi="Times New Roman" w:cs="Times New Roman"/>
          <w:color w:val="00B050"/>
          <w:sz w:val="24"/>
          <w:szCs w:val="24"/>
          <w:shd w:val="clear" w:color="auto" w:fill="FFFFFF"/>
        </w:rPr>
        <w:t xml:space="preserve">, 135–143. </w:t>
      </w:r>
      <w:hyperlink r:id="rId29" w:history="1">
        <w:r w:rsidR="00C52558" w:rsidRPr="000E44AF">
          <w:rPr>
            <w:rStyle w:val="Hyperlink"/>
            <w:rFonts w:ascii="Times New Roman" w:hAnsi="Times New Roman" w:cs="Times New Roman"/>
            <w:sz w:val="24"/>
            <w:szCs w:val="24"/>
            <w:shd w:val="clear" w:color="auto" w:fill="FFFFFF"/>
          </w:rPr>
          <w:t>https://doi.org/10.2147/IBPC.S276089</w:t>
        </w:r>
      </w:hyperlink>
      <w:r w:rsidR="00C52558">
        <w:rPr>
          <w:rFonts w:ascii="Times New Roman" w:hAnsi="Times New Roman" w:cs="Times New Roman"/>
          <w:color w:val="00B050"/>
          <w:sz w:val="24"/>
          <w:szCs w:val="24"/>
          <w:shd w:val="clear" w:color="auto" w:fill="FFFFFF"/>
        </w:rPr>
        <w:t xml:space="preserve"> </w:t>
      </w:r>
    </w:p>
    <w:p w14:paraId="5AB474BA" w14:textId="77777777"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Li, C., Wang, Y., Wang, Y., &amp; Ma, Y. (2020). Sex-specific differences in blood pressure among hypertensive patients: a cross-sectional analysis. </w:t>
      </w:r>
      <w:r w:rsidRPr="00176D2A">
        <w:rPr>
          <w:rFonts w:ascii="Times New Roman" w:hAnsi="Times New Roman" w:cs="Times New Roman"/>
          <w:i/>
          <w:iCs/>
          <w:color w:val="00B050"/>
          <w:sz w:val="24"/>
          <w:szCs w:val="24"/>
          <w:lang w:eastAsia="en-ZA"/>
        </w:rPr>
        <w:t>Journal of Hypertension Research, 43</w:t>
      </w:r>
      <w:r w:rsidRPr="00176D2A">
        <w:rPr>
          <w:rFonts w:ascii="Times New Roman" w:hAnsi="Times New Roman" w:cs="Times New Roman"/>
          <w:color w:val="00B050"/>
          <w:sz w:val="24"/>
          <w:szCs w:val="24"/>
          <w:lang w:eastAsia="en-ZA"/>
        </w:rPr>
        <w:t xml:space="preserve">(4), 234–241. </w:t>
      </w:r>
      <w:hyperlink r:id="rId30" w:history="1">
        <w:r w:rsidRPr="00176D2A">
          <w:rPr>
            <w:rFonts w:ascii="Times New Roman" w:hAnsi="Times New Roman" w:cs="Times New Roman"/>
            <w:color w:val="00B050"/>
            <w:sz w:val="24"/>
            <w:szCs w:val="24"/>
            <w:u w:val="single"/>
            <w:lang w:eastAsia="en-ZA"/>
          </w:rPr>
          <w:t>https://doi.org/10.1097/HJH.0000000000002321</w:t>
        </w:r>
      </w:hyperlink>
    </w:p>
    <w:p w14:paraId="7BFBB171" w14:textId="1285A98E" w:rsidR="00AD71A9" w:rsidRPr="00176D2A" w:rsidRDefault="00AD71A9" w:rsidP="00176D2A">
      <w:pPr>
        <w:spacing w:before="240" w:after="0" w:line="276" w:lineRule="auto"/>
        <w:jc w:val="both"/>
        <w:rPr>
          <w:rFonts w:ascii="Times New Roman" w:hAnsi="Times New Roman" w:cs="Times New Roman"/>
          <w:sz w:val="24"/>
          <w:szCs w:val="24"/>
        </w:rPr>
      </w:pPr>
      <w:proofErr w:type="spellStart"/>
      <w:r w:rsidRPr="00176D2A">
        <w:rPr>
          <w:rFonts w:ascii="Times New Roman" w:hAnsi="Times New Roman" w:cs="Times New Roman"/>
          <w:color w:val="00B050"/>
          <w:sz w:val="24"/>
          <w:szCs w:val="24"/>
        </w:rPr>
        <w:t>Loffing</w:t>
      </w:r>
      <w:proofErr w:type="spellEnd"/>
      <w:r w:rsidRPr="00176D2A">
        <w:rPr>
          <w:rFonts w:ascii="Times New Roman" w:hAnsi="Times New Roman" w:cs="Times New Roman"/>
          <w:color w:val="00B050"/>
          <w:sz w:val="24"/>
          <w:szCs w:val="24"/>
        </w:rPr>
        <w:t>, F., Hagemann, N. and Strauss, B. (2010): Automated processes in tennis: Do left-handed players benefit from the tactical preferences of their opponents? Journal of Sports Sciences. 28(4), 435-443</w:t>
      </w:r>
      <w:r w:rsidR="00C52558">
        <w:rPr>
          <w:rFonts w:ascii="Times New Roman" w:hAnsi="Times New Roman" w:cs="Times New Roman"/>
          <w:color w:val="00B050"/>
          <w:sz w:val="24"/>
          <w:szCs w:val="24"/>
        </w:rPr>
        <w:t xml:space="preserve"> </w:t>
      </w:r>
      <w:hyperlink r:id="rId31" w:history="1">
        <w:r w:rsidR="00C52558" w:rsidRPr="000E44AF">
          <w:rPr>
            <w:rStyle w:val="Hyperlink"/>
            <w:rFonts w:ascii="Times New Roman" w:hAnsi="Times New Roman" w:cs="Times New Roman"/>
            <w:sz w:val="24"/>
            <w:szCs w:val="24"/>
          </w:rPr>
          <w:t>https://doi.org/10.1080/02640410903536459</w:t>
        </w:r>
      </w:hyperlink>
      <w:r w:rsidR="00C52558">
        <w:rPr>
          <w:rFonts w:ascii="Times New Roman" w:hAnsi="Times New Roman" w:cs="Times New Roman"/>
          <w:color w:val="00B050"/>
          <w:sz w:val="24"/>
          <w:szCs w:val="24"/>
        </w:rPr>
        <w:t xml:space="preserve"> </w:t>
      </w:r>
    </w:p>
    <w:p w14:paraId="36AE34A5" w14:textId="39A2C6D3"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Malschitzky, C., Vidigal, M. T. C., Moreira, D. D., Silva, R. F., de Andrade Vieira, W., Paranhos, L. R., &amp; Franco, A. (2024). How reliable is stature estimation by dental means? Systematic review and meta-analysis. </w:t>
      </w:r>
      <w:r w:rsidRPr="00176D2A">
        <w:rPr>
          <w:rFonts w:ascii="Times New Roman" w:eastAsia="Times New Roman" w:hAnsi="Times New Roman" w:cs="Times New Roman"/>
          <w:i/>
          <w:iCs/>
          <w:color w:val="00B050"/>
          <w:sz w:val="24"/>
          <w:szCs w:val="24"/>
          <w:lang w:val="en-ZA" w:eastAsia="en-ZA"/>
        </w:rPr>
        <w:t>Forensic Science International</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361</w:t>
      </w:r>
      <w:r w:rsidRPr="00176D2A">
        <w:rPr>
          <w:rFonts w:ascii="Times New Roman" w:eastAsia="Times New Roman" w:hAnsi="Times New Roman" w:cs="Times New Roman"/>
          <w:color w:val="00B050"/>
          <w:sz w:val="24"/>
          <w:szCs w:val="24"/>
          <w:lang w:val="en-ZA" w:eastAsia="en-ZA"/>
        </w:rPr>
        <w:t>, 112149.</w:t>
      </w:r>
      <w:r w:rsidR="00C52558">
        <w:rPr>
          <w:rFonts w:ascii="Times New Roman" w:eastAsia="Times New Roman" w:hAnsi="Times New Roman" w:cs="Times New Roman"/>
          <w:color w:val="00B050"/>
          <w:sz w:val="24"/>
          <w:szCs w:val="24"/>
          <w:lang w:val="en-ZA" w:eastAsia="en-ZA"/>
        </w:rPr>
        <w:t xml:space="preserve"> </w:t>
      </w:r>
      <w:hyperlink r:id="rId32" w:history="1">
        <w:r w:rsidR="00C52558" w:rsidRPr="000E44AF">
          <w:rPr>
            <w:rStyle w:val="Hyperlink"/>
            <w:rFonts w:ascii="Times New Roman" w:eastAsia="Times New Roman" w:hAnsi="Times New Roman" w:cs="Times New Roman"/>
            <w:sz w:val="24"/>
            <w:szCs w:val="24"/>
            <w:lang w:val="en-ZA" w:eastAsia="en-ZA"/>
          </w:rPr>
          <w:t>https://doi.org/10.1016/j.forsciint.2024.112149</w:t>
        </w:r>
      </w:hyperlink>
      <w:r w:rsidR="00C52558">
        <w:rPr>
          <w:rFonts w:ascii="Times New Roman" w:eastAsia="Times New Roman" w:hAnsi="Times New Roman" w:cs="Times New Roman"/>
          <w:color w:val="00B050"/>
          <w:sz w:val="24"/>
          <w:szCs w:val="24"/>
          <w:lang w:val="en-ZA" w:eastAsia="en-ZA"/>
        </w:rPr>
        <w:t xml:space="preserve"> </w:t>
      </w:r>
    </w:p>
    <w:p w14:paraId="234A7720" w14:textId="2754C023"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Mills, K. T., Stefanescu, A., &amp; He, J. (2020). The global epidemiology of hypertension. </w:t>
      </w:r>
      <w:r w:rsidRPr="00176D2A">
        <w:rPr>
          <w:rFonts w:ascii="Times New Roman" w:eastAsia="Times New Roman" w:hAnsi="Times New Roman" w:cs="Times New Roman"/>
          <w:i/>
          <w:iCs/>
          <w:color w:val="00B050"/>
          <w:sz w:val="24"/>
          <w:szCs w:val="24"/>
          <w:lang w:val="en-ZA" w:eastAsia="en-ZA"/>
        </w:rPr>
        <w:t>Nature Reviews Nephrology</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16</w:t>
      </w:r>
      <w:r w:rsidRPr="00176D2A">
        <w:rPr>
          <w:rFonts w:ascii="Times New Roman" w:eastAsia="Times New Roman" w:hAnsi="Times New Roman" w:cs="Times New Roman"/>
          <w:color w:val="00B050"/>
          <w:sz w:val="24"/>
          <w:szCs w:val="24"/>
          <w:lang w:val="en-ZA" w:eastAsia="en-ZA"/>
        </w:rPr>
        <w:t>(4), 223-237.</w:t>
      </w:r>
      <w:r w:rsidR="00C52558">
        <w:rPr>
          <w:rFonts w:ascii="Times New Roman" w:eastAsia="Times New Roman" w:hAnsi="Times New Roman" w:cs="Times New Roman"/>
          <w:color w:val="00B050"/>
          <w:sz w:val="24"/>
          <w:szCs w:val="24"/>
          <w:lang w:val="en-ZA" w:eastAsia="en-ZA"/>
        </w:rPr>
        <w:t xml:space="preserve"> </w:t>
      </w:r>
      <w:hyperlink r:id="rId33" w:history="1">
        <w:r w:rsidR="00C52558" w:rsidRPr="000E44AF">
          <w:rPr>
            <w:rStyle w:val="Hyperlink"/>
            <w:rFonts w:ascii="Times New Roman" w:eastAsia="Times New Roman" w:hAnsi="Times New Roman" w:cs="Times New Roman"/>
            <w:sz w:val="24"/>
            <w:szCs w:val="24"/>
            <w:lang w:val="en-ZA" w:eastAsia="en-ZA"/>
          </w:rPr>
          <w:t>https://doi.org/10.1038/s41581-019-0244-2</w:t>
        </w:r>
      </w:hyperlink>
      <w:r w:rsidR="00C52558">
        <w:rPr>
          <w:rFonts w:ascii="Times New Roman" w:eastAsia="Times New Roman" w:hAnsi="Times New Roman" w:cs="Times New Roman"/>
          <w:color w:val="00B050"/>
          <w:sz w:val="24"/>
          <w:szCs w:val="24"/>
          <w:lang w:val="en-ZA" w:eastAsia="en-ZA"/>
        </w:rPr>
        <w:t xml:space="preserve"> </w:t>
      </w:r>
    </w:p>
    <w:p w14:paraId="7AC8D8AB" w14:textId="668BD96E"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Mocumbi, A., Humbert, M., Saxena, A., Jing, Z. C., Sliwa, K., Thienemann, F., ... &amp; Stewart, S. (2024). Pulmonary hypertension. </w:t>
      </w:r>
      <w:r w:rsidRPr="00176D2A">
        <w:rPr>
          <w:rFonts w:ascii="Times New Roman" w:eastAsia="Times New Roman" w:hAnsi="Times New Roman" w:cs="Times New Roman"/>
          <w:i/>
          <w:iCs/>
          <w:color w:val="00B050"/>
          <w:sz w:val="24"/>
          <w:szCs w:val="24"/>
          <w:lang w:val="en-ZA" w:eastAsia="en-ZA"/>
        </w:rPr>
        <w:t>Nature reviews Disease primers</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10</w:t>
      </w:r>
      <w:r w:rsidRPr="00176D2A">
        <w:rPr>
          <w:rFonts w:ascii="Times New Roman" w:eastAsia="Times New Roman" w:hAnsi="Times New Roman" w:cs="Times New Roman"/>
          <w:color w:val="00B050"/>
          <w:sz w:val="24"/>
          <w:szCs w:val="24"/>
          <w:lang w:val="en-ZA" w:eastAsia="en-ZA"/>
        </w:rPr>
        <w:t>(1), 1.</w:t>
      </w:r>
      <w:r w:rsidR="00C52558">
        <w:rPr>
          <w:rFonts w:ascii="Times New Roman" w:eastAsia="Times New Roman" w:hAnsi="Times New Roman" w:cs="Times New Roman"/>
          <w:color w:val="00B050"/>
          <w:sz w:val="24"/>
          <w:szCs w:val="24"/>
          <w:lang w:val="en-ZA" w:eastAsia="en-ZA"/>
        </w:rPr>
        <w:t xml:space="preserve"> </w:t>
      </w:r>
      <w:hyperlink r:id="rId34" w:history="1">
        <w:r w:rsidR="00C52558" w:rsidRPr="000E44AF">
          <w:rPr>
            <w:rStyle w:val="Hyperlink"/>
            <w:rFonts w:ascii="Times New Roman" w:eastAsia="Times New Roman" w:hAnsi="Times New Roman" w:cs="Times New Roman"/>
            <w:sz w:val="24"/>
            <w:szCs w:val="24"/>
            <w:lang w:val="en-ZA" w:eastAsia="en-ZA"/>
          </w:rPr>
          <w:t>https://doi.org/10.1038/s41572-023-00486-7</w:t>
        </w:r>
      </w:hyperlink>
      <w:r w:rsidR="00C52558">
        <w:rPr>
          <w:rFonts w:ascii="Times New Roman" w:eastAsia="Times New Roman" w:hAnsi="Times New Roman" w:cs="Times New Roman"/>
          <w:color w:val="00B050"/>
          <w:sz w:val="24"/>
          <w:szCs w:val="24"/>
          <w:lang w:val="en-ZA" w:eastAsia="en-ZA"/>
        </w:rPr>
        <w:t xml:space="preserve"> </w:t>
      </w:r>
    </w:p>
    <w:p w14:paraId="731A994E" w14:textId="5271EE6C" w:rsidR="00AD71A9" w:rsidRPr="00176D2A" w:rsidRDefault="00AD71A9" w:rsidP="00176D2A">
      <w:pPr>
        <w:spacing w:line="276" w:lineRule="auto"/>
        <w:jc w:val="both"/>
        <w:rPr>
          <w:rFonts w:ascii="Times New Roman" w:hAnsi="Times New Roman" w:cs="Times New Roman"/>
          <w:color w:val="00B050"/>
          <w:sz w:val="24"/>
          <w:szCs w:val="24"/>
          <w:lang w:eastAsia="en-ZA"/>
        </w:rPr>
      </w:pPr>
      <w:proofErr w:type="spellStart"/>
      <w:r w:rsidRPr="00176D2A">
        <w:rPr>
          <w:rFonts w:ascii="Times New Roman" w:hAnsi="Times New Roman" w:cs="Times New Roman"/>
          <w:color w:val="00B050"/>
          <w:sz w:val="24"/>
          <w:szCs w:val="24"/>
          <w:lang w:eastAsia="en-ZA"/>
        </w:rPr>
        <w:t>Ocklenburg</w:t>
      </w:r>
      <w:proofErr w:type="spellEnd"/>
      <w:r w:rsidRPr="00176D2A">
        <w:rPr>
          <w:rFonts w:ascii="Times New Roman" w:hAnsi="Times New Roman" w:cs="Times New Roman"/>
          <w:color w:val="00B050"/>
          <w:sz w:val="24"/>
          <w:szCs w:val="24"/>
          <w:lang w:eastAsia="en-ZA"/>
        </w:rPr>
        <w:t xml:space="preserve">, S., &amp; </w:t>
      </w:r>
      <w:proofErr w:type="spellStart"/>
      <w:r w:rsidRPr="00176D2A">
        <w:rPr>
          <w:rFonts w:ascii="Times New Roman" w:hAnsi="Times New Roman" w:cs="Times New Roman"/>
          <w:color w:val="00B050"/>
          <w:sz w:val="24"/>
          <w:szCs w:val="24"/>
          <w:lang w:eastAsia="en-ZA"/>
        </w:rPr>
        <w:t>Güntürkün</w:t>
      </w:r>
      <w:proofErr w:type="spellEnd"/>
      <w:r w:rsidRPr="00176D2A">
        <w:rPr>
          <w:rFonts w:ascii="Times New Roman" w:hAnsi="Times New Roman" w:cs="Times New Roman"/>
          <w:color w:val="00B050"/>
          <w:sz w:val="24"/>
          <w:szCs w:val="24"/>
          <w:lang w:eastAsia="en-ZA"/>
        </w:rPr>
        <w:t xml:space="preserve">, O. (2018). The lateralized brain: The neuroscience and evolution of hemispheric asymmetries. </w:t>
      </w:r>
      <w:r w:rsidRPr="00176D2A">
        <w:rPr>
          <w:rFonts w:ascii="Times New Roman" w:hAnsi="Times New Roman" w:cs="Times New Roman"/>
          <w:i/>
          <w:iCs/>
          <w:color w:val="00B050"/>
          <w:sz w:val="24"/>
          <w:szCs w:val="24"/>
          <w:lang w:eastAsia="en-ZA"/>
        </w:rPr>
        <w:t>Frontiers in Psychology, 9</w:t>
      </w:r>
      <w:r w:rsidRPr="00176D2A">
        <w:rPr>
          <w:rFonts w:ascii="Times New Roman" w:hAnsi="Times New Roman" w:cs="Times New Roman"/>
          <w:color w:val="00B050"/>
          <w:sz w:val="24"/>
          <w:szCs w:val="24"/>
          <w:lang w:eastAsia="en-ZA"/>
        </w:rPr>
        <w:t xml:space="preserve">, 2153. </w:t>
      </w:r>
      <w:hyperlink r:id="rId35" w:history="1">
        <w:r w:rsidR="007459C9" w:rsidRPr="000E44AF">
          <w:rPr>
            <w:rStyle w:val="Hyperlink"/>
          </w:rPr>
          <w:t>https://doi.org/10.3389/fpsyg.2018.02153</w:t>
        </w:r>
      </w:hyperlink>
      <w:r w:rsidR="007459C9">
        <w:t xml:space="preserve"> </w:t>
      </w:r>
    </w:p>
    <w:p w14:paraId="5E78428A" w14:textId="0748036E" w:rsidR="00AD71A9" w:rsidRPr="00176D2A" w:rsidRDefault="00AD71A9" w:rsidP="00176D2A">
      <w:pPr>
        <w:spacing w:line="276" w:lineRule="auto"/>
        <w:jc w:val="both"/>
        <w:rPr>
          <w:rFonts w:ascii="Times New Roman" w:hAnsi="Times New Roman" w:cs="Times New Roman"/>
          <w:color w:val="EE0000"/>
          <w:sz w:val="24"/>
          <w:szCs w:val="24"/>
          <w:lang w:eastAsia="en-ZA"/>
        </w:rPr>
      </w:pPr>
      <w:r w:rsidRPr="00176D2A">
        <w:rPr>
          <w:rFonts w:ascii="Times New Roman" w:hAnsi="Times New Roman" w:cs="Times New Roman"/>
          <w:color w:val="EE0000"/>
          <w:sz w:val="24"/>
          <w:szCs w:val="24"/>
          <w:lang w:eastAsia="en-ZA"/>
        </w:rPr>
        <w:t xml:space="preserve">Oladapo, O. O., Salako, L., Sodiq, O., </w:t>
      </w:r>
      <w:proofErr w:type="spellStart"/>
      <w:r w:rsidRPr="00176D2A">
        <w:rPr>
          <w:rFonts w:ascii="Times New Roman" w:hAnsi="Times New Roman" w:cs="Times New Roman"/>
          <w:color w:val="EE0000"/>
          <w:sz w:val="24"/>
          <w:szCs w:val="24"/>
          <w:lang w:eastAsia="en-ZA"/>
        </w:rPr>
        <w:t>Shoyinka</w:t>
      </w:r>
      <w:proofErr w:type="spellEnd"/>
      <w:r w:rsidRPr="00176D2A">
        <w:rPr>
          <w:rFonts w:ascii="Times New Roman" w:hAnsi="Times New Roman" w:cs="Times New Roman"/>
          <w:color w:val="EE0000"/>
          <w:sz w:val="24"/>
          <w:szCs w:val="24"/>
          <w:lang w:eastAsia="en-ZA"/>
        </w:rPr>
        <w:t xml:space="preserve">, K., Adedapo, K., &amp; </w:t>
      </w:r>
      <w:proofErr w:type="spellStart"/>
      <w:r w:rsidRPr="00176D2A">
        <w:rPr>
          <w:rFonts w:ascii="Times New Roman" w:hAnsi="Times New Roman" w:cs="Times New Roman"/>
          <w:color w:val="EE0000"/>
          <w:sz w:val="24"/>
          <w:szCs w:val="24"/>
          <w:lang w:eastAsia="en-ZA"/>
        </w:rPr>
        <w:t>Falase</w:t>
      </w:r>
      <w:proofErr w:type="spellEnd"/>
      <w:r w:rsidRPr="00176D2A">
        <w:rPr>
          <w:rFonts w:ascii="Times New Roman" w:hAnsi="Times New Roman" w:cs="Times New Roman"/>
          <w:color w:val="EE0000"/>
          <w:sz w:val="24"/>
          <w:szCs w:val="24"/>
          <w:lang w:eastAsia="en-ZA"/>
        </w:rPr>
        <w:t xml:space="preserve">, A. O. (2015). A prevalence of cardiometabolic risk factors among a rural Yoruba south-western Nigerian population: A population-based survey. </w:t>
      </w:r>
      <w:r w:rsidRPr="00176D2A">
        <w:rPr>
          <w:rFonts w:ascii="Times New Roman" w:hAnsi="Times New Roman" w:cs="Times New Roman"/>
          <w:i/>
          <w:iCs/>
          <w:color w:val="EE0000"/>
          <w:sz w:val="24"/>
          <w:szCs w:val="24"/>
          <w:lang w:eastAsia="en-ZA"/>
        </w:rPr>
        <w:t>Cardiovascular Journal of Africa, 21</w:t>
      </w:r>
      <w:r w:rsidRPr="00176D2A">
        <w:rPr>
          <w:rFonts w:ascii="Times New Roman" w:hAnsi="Times New Roman" w:cs="Times New Roman"/>
          <w:color w:val="EE0000"/>
          <w:sz w:val="24"/>
          <w:szCs w:val="24"/>
          <w:lang w:eastAsia="en-ZA"/>
        </w:rPr>
        <w:t xml:space="preserve">(1), 26–31. </w:t>
      </w:r>
      <w:hyperlink r:id="rId36" w:history="1">
        <w:r w:rsidR="007459C9" w:rsidRPr="000E44AF">
          <w:rPr>
            <w:rStyle w:val="Hyperlink"/>
          </w:rPr>
          <w:t>https://hdl.handle.net/10520/EJC23323</w:t>
        </w:r>
      </w:hyperlink>
      <w:r w:rsidR="007459C9">
        <w:t xml:space="preserve"> </w:t>
      </w:r>
    </w:p>
    <w:p w14:paraId="45B87BC1" w14:textId="2071FBC9"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Pescatello, L. S., MacDonald, H. V., Lamberti, L., &amp; Johnson, B. T. (2015). Exercise for hypertension: A prescription update integrating existing recommendations with emerging research. </w:t>
      </w:r>
      <w:r w:rsidRPr="00176D2A">
        <w:rPr>
          <w:rFonts w:ascii="Times New Roman" w:hAnsi="Times New Roman" w:cs="Times New Roman"/>
          <w:i/>
          <w:iCs/>
          <w:color w:val="00B050"/>
          <w:sz w:val="24"/>
          <w:szCs w:val="24"/>
          <w:lang w:eastAsia="en-ZA"/>
        </w:rPr>
        <w:t>Current Hypertension Reports, 17</w:t>
      </w:r>
      <w:r w:rsidRPr="00176D2A">
        <w:rPr>
          <w:rFonts w:ascii="Times New Roman" w:hAnsi="Times New Roman" w:cs="Times New Roman"/>
          <w:color w:val="00B050"/>
          <w:sz w:val="24"/>
          <w:szCs w:val="24"/>
          <w:lang w:eastAsia="en-ZA"/>
        </w:rPr>
        <w:t xml:space="preserve">(11), 87. </w:t>
      </w:r>
      <w:hyperlink r:id="rId37" w:history="1">
        <w:r w:rsidR="007459C9" w:rsidRPr="000E44AF">
          <w:rPr>
            <w:rStyle w:val="Hyperlink"/>
          </w:rPr>
          <w:t>https://doi.org/10.1007/s11906-015-0600-y</w:t>
        </w:r>
      </w:hyperlink>
      <w:r w:rsidR="007459C9">
        <w:t xml:space="preserve"> </w:t>
      </w:r>
    </w:p>
    <w:p w14:paraId="37ACE87D" w14:textId="77777777"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Pichler, G., Ammer, M., &amp; </w:t>
      </w:r>
      <w:proofErr w:type="spellStart"/>
      <w:r w:rsidRPr="00176D2A">
        <w:rPr>
          <w:rFonts w:ascii="Times New Roman" w:hAnsi="Times New Roman" w:cs="Times New Roman"/>
          <w:color w:val="00B050"/>
          <w:sz w:val="24"/>
          <w:szCs w:val="24"/>
          <w:lang w:eastAsia="en-ZA"/>
        </w:rPr>
        <w:t>Wassertheurer</w:t>
      </w:r>
      <w:proofErr w:type="spellEnd"/>
      <w:r w:rsidRPr="00176D2A">
        <w:rPr>
          <w:rFonts w:ascii="Times New Roman" w:hAnsi="Times New Roman" w:cs="Times New Roman"/>
          <w:color w:val="00B050"/>
          <w:sz w:val="24"/>
          <w:szCs w:val="24"/>
          <w:lang w:eastAsia="en-ZA"/>
        </w:rPr>
        <w:t xml:space="preserve">, S. (2015). Relationship between body height and hypertension: results from the Styrian Hypertension Study. </w:t>
      </w:r>
      <w:r w:rsidRPr="00176D2A">
        <w:rPr>
          <w:rFonts w:ascii="Times New Roman" w:hAnsi="Times New Roman" w:cs="Times New Roman"/>
          <w:i/>
          <w:iCs/>
          <w:color w:val="00B050"/>
          <w:sz w:val="24"/>
          <w:szCs w:val="24"/>
          <w:lang w:eastAsia="en-ZA"/>
        </w:rPr>
        <w:t>Journal of Hypertension, 33</w:t>
      </w:r>
      <w:r w:rsidRPr="00176D2A">
        <w:rPr>
          <w:rFonts w:ascii="Times New Roman" w:hAnsi="Times New Roman" w:cs="Times New Roman"/>
          <w:color w:val="00B050"/>
          <w:sz w:val="24"/>
          <w:szCs w:val="24"/>
          <w:lang w:eastAsia="en-ZA"/>
        </w:rPr>
        <w:t xml:space="preserve">(12), 2503–2509. </w:t>
      </w:r>
      <w:hyperlink r:id="rId38" w:history="1">
        <w:r w:rsidRPr="00176D2A">
          <w:rPr>
            <w:rFonts w:ascii="Times New Roman" w:hAnsi="Times New Roman" w:cs="Times New Roman"/>
            <w:color w:val="00B050"/>
            <w:sz w:val="24"/>
            <w:szCs w:val="24"/>
            <w:u w:val="single"/>
            <w:lang w:eastAsia="en-ZA"/>
          </w:rPr>
          <w:t>https://doi.org/10.1097/HJH.0000000000000728</w:t>
        </w:r>
      </w:hyperlink>
    </w:p>
    <w:p w14:paraId="07781A17" w14:textId="77777777"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Rahman, M., Williams, D. J., &amp; Ashraf, A. (2020). Gender differences in hypertension and the influence of menopause. </w:t>
      </w:r>
      <w:r w:rsidRPr="00176D2A">
        <w:rPr>
          <w:rFonts w:ascii="Times New Roman" w:hAnsi="Times New Roman" w:cs="Times New Roman"/>
          <w:i/>
          <w:iCs/>
          <w:color w:val="00B050"/>
          <w:sz w:val="24"/>
          <w:szCs w:val="24"/>
          <w:lang w:eastAsia="en-ZA"/>
        </w:rPr>
        <w:t>Hypertension Research, 43</w:t>
      </w:r>
      <w:r w:rsidRPr="00176D2A">
        <w:rPr>
          <w:rFonts w:ascii="Times New Roman" w:hAnsi="Times New Roman" w:cs="Times New Roman"/>
          <w:color w:val="00B050"/>
          <w:sz w:val="24"/>
          <w:szCs w:val="24"/>
          <w:lang w:eastAsia="en-ZA"/>
        </w:rPr>
        <w:t xml:space="preserve">(11), 1218–1227. </w:t>
      </w:r>
      <w:hyperlink r:id="rId39" w:history="1">
        <w:r w:rsidRPr="00176D2A">
          <w:rPr>
            <w:rFonts w:ascii="Times New Roman" w:hAnsi="Times New Roman" w:cs="Times New Roman"/>
            <w:color w:val="00B050"/>
            <w:sz w:val="24"/>
            <w:szCs w:val="24"/>
            <w:u w:val="single"/>
            <w:lang w:eastAsia="en-ZA"/>
          </w:rPr>
          <w:t>https://doi.org/10.1038/s41440-020-0518-x</w:t>
        </w:r>
      </w:hyperlink>
    </w:p>
    <w:p w14:paraId="258D9091" w14:textId="12322D21"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Ramirez-Sanchez M. Blood pressure increased dramatically in hypertensive rats after left hemisphere lesions with 6-hydroxydopamine. </w:t>
      </w:r>
      <w:proofErr w:type="spellStart"/>
      <w:r w:rsidRPr="00176D2A">
        <w:rPr>
          <w:rFonts w:ascii="Times New Roman" w:hAnsi="Times New Roman" w:cs="Times New Roman"/>
          <w:color w:val="00B050"/>
          <w:sz w:val="24"/>
          <w:szCs w:val="24"/>
        </w:rPr>
        <w:t>Neurosci</w:t>
      </w:r>
      <w:proofErr w:type="spellEnd"/>
      <w:r w:rsidRPr="00176D2A">
        <w:rPr>
          <w:rFonts w:ascii="Times New Roman" w:hAnsi="Times New Roman" w:cs="Times New Roman"/>
          <w:color w:val="00B050"/>
          <w:sz w:val="24"/>
          <w:szCs w:val="24"/>
        </w:rPr>
        <w:t xml:space="preserve"> Lett 500, 148–150, 2011.</w:t>
      </w:r>
      <w:r w:rsidR="007459C9">
        <w:rPr>
          <w:rFonts w:ascii="Times New Roman" w:hAnsi="Times New Roman" w:cs="Times New Roman"/>
          <w:color w:val="00B050"/>
          <w:sz w:val="24"/>
          <w:szCs w:val="24"/>
        </w:rPr>
        <w:t xml:space="preserve"> </w:t>
      </w:r>
      <w:hyperlink r:id="rId40" w:history="1">
        <w:r w:rsidR="007459C9" w:rsidRPr="000E44AF">
          <w:rPr>
            <w:rStyle w:val="Hyperlink"/>
            <w:rFonts w:ascii="Times New Roman" w:hAnsi="Times New Roman" w:cs="Times New Roman"/>
            <w:sz w:val="24"/>
            <w:szCs w:val="24"/>
          </w:rPr>
          <w:t>https://doi.org/10.1016/j.neulet.2011.06.025</w:t>
        </w:r>
      </w:hyperlink>
      <w:r w:rsidR="007459C9">
        <w:rPr>
          <w:rFonts w:ascii="Times New Roman" w:hAnsi="Times New Roman" w:cs="Times New Roman"/>
          <w:color w:val="00B050"/>
          <w:sz w:val="24"/>
          <w:szCs w:val="24"/>
        </w:rPr>
        <w:t xml:space="preserve"> </w:t>
      </w:r>
    </w:p>
    <w:p w14:paraId="11343718" w14:textId="7993F804"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lastRenderedPageBreak/>
        <w:t>Raymond, M., &amp;Pontier, D. (2004). Is there geographical variation in human handedness? Laterality, 9, 35–52.</w:t>
      </w:r>
      <w:r w:rsidR="007459C9">
        <w:rPr>
          <w:rFonts w:ascii="Times New Roman" w:hAnsi="Times New Roman" w:cs="Times New Roman"/>
          <w:color w:val="00B050"/>
          <w:sz w:val="24"/>
          <w:szCs w:val="24"/>
        </w:rPr>
        <w:t xml:space="preserve"> </w:t>
      </w:r>
      <w:hyperlink r:id="rId41" w:history="1">
        <w:r w:rsidR="007459C9" w:rsidRPr="000E44AF">
          <w:rPr>
            <w:rStyle w:val="Hyperlink"/>
            <w:rFonts w:ascii="Times New Roman" w:hAnsi="Times New Roman" w:cs="Times New Roman"/>
            <w:sz w:val="24"/>
            <w:szCs w:val="24"/>
          </w:rPr>
          <w:t>https://doi.org/10.1080/13576500244000274</w:t>
        </w:r>
      </w:hyperlink>
      <w:r w:rsidR="007459C9">
        <w:rPr>
          <w:rFonts w:ascii="Times New Roman" w:hAnsi="Times New Roman" w:cs="Times New Roman"/>
          <w:color w:val="00B050"/>
          <w:sz w:val="24"/>
          <w:szCs w:val="24"/>
        </w:rPr>
        <w:t xml:space="preserve"> </w:t>
      </w:r>
    </w:p>
    <w:p w14:paraId="1B325BCD" w14:textId="0D4C3339"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Raymond, M., Pontier, D., Dufour, A. B. and Moller, A. P. (1996): Frequency dependent</w:t>
      </w:r>
      <w:r w:rsidR="005414FD" w:rsidRPr="00176D2A">
        <w:rPr>
          <w:rFonts w:ascii="Times New Roman" w:hAnsi="Times New Roman" w:cs="Times New Roman"/>
          <w:color w:val="00B050"/>
          <w:sz w:val="24"/>
          <w:szCs w:val="24"/>
        </w:rPr>
        <w:t xml:space="preserve"> </w:t>
      </w:r>
      <w:r w:rsidRPr="00176D2A">
        <w:rPr>
          <w:rFonts w:ascii="Times New Roman" w:hAnsi="Times New Roman" w:cs="Times New Roman"/>
          <w:color w:val="00B050"/>
          <w:sz w:val="24"/>
          <w:szCs w:val="24"/>
        </w:rPr>
        <w:t>maintenance of left handedness in humans. Proceedings of the Royal Society B: Biological Sciences. 263 (1377), 1627-1633.</w:t>
      </w:r>
      <w:r w:rsidR="007459C9">
        <w:rPr>
          <w:rFonts w:ascii="Times New Roman" w:hAnsi="Times New Roman" w:cs="Times New Roman"/>
          <w:color w:val="00B050"/>
          <w:sz w:val="24"/>
          <w:szCs w:val="24"/>
        </w:rPr>
        <w:t xml:space="preserve"> </w:t>
      </w:r>
      <w:hyperlink r:id="rId42" w:history="1">
        <w:r w:rsidR="007459C9" w:rsidRPr="000E44AF">
          <w:rPr>
            <w:rStyle w:val="Hyperlink"/>
            <w:rFonts w:ascii="Times New Roman" w:hAnsi="Times New Roman" w:cs="Times New Roman"/>
            <w:sz w:val="24"/>
            <w:szCs w:val="24"/>
          </w:rPr>
          <w:t>https://doi.org/10.1098/rspb.1996.0238</w:t>
        </w:r>
      </w:hyperlink>
      <w:r w:rsidR="007459C9">
        <w:rPr>
          <w:rFonts w:ascii="Times New Roman" w:hAnsi="Times New Roman" w:cs="Times New Roman"/>
          <w:color w:val="00B050"/>
          <w:sz w:val="24"/>
          <w:szCs w:val="24"/>
        </w:rPr>
        <w:t xml:space="preserve"> </w:t>
      </w:r>
    </w:p>
    <w:p w14:paraId="75F89745" w14:textId="780EC380" w:rsidR="00AD71A9" w:rsidRPr="00176D2A" w:rsidRDefault="00AD71A9" w:rsidP="00176D2A">
      <w:pPr>
        <w:autoSpaceDE w:val="0"/>
        <w:autoSpaceDN w:val="0"/>
        <w:adjustRightInd w:val="0"/>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Rogers LJ, </w:t>
      </w:r>
      <w:proofErr w:type="spellStart"/>
      <w:r w:rsidRPr="00176D2A">
        <w:rPr>
          <w:rFonts w:ascii="Times New Roman" w:hAnsi="Times New Roman" w:cs="Times New Roman"/>
          <w:color w:val="00B050"/>
          <w:sz w:val="24"/>
          <w:szCs w:val="24"/>
        </w:rPr>
        <w:t>Zucca</w:t>
      </w:r>
      <w:proofErr w:type="spellEnd"/>
      <w:r w:rsidRPr="00176D2A">
        <w:rPr>
          <w:rFonts w:ascii="Times New Roman" w:hAnsi="Times New Roman" w:cs="Times New Roman"/>
          <w:color w:val="00B050"/>
          <w:sz w:val="24"/>
          <w:szCs w:val="24"/>
        </w:rPr>
        <w:t xml:space="preserve"> P, </w:t>
      </w:r>
      <w:proofErr w:type="spellStart"/>
      <w:r w:rsidRPr="00176D2A">
        <w:rPr>
          <w:rFonts w:ascii="Times New Roman" w:hAnsi="Times New Roman" w:cs="Times New Roman"/>
          <w:color w:val="00B050"/>
          <w:sz w:val="24"/>
          <w:szCs w:val="24"/>
        </w:rPr>
        <w:t>Vallortigara</w:t>
      </w:r>
      <w:proofErr w:type="spellEnd"/>
      <w:r w:rsidRPr="00176D2A">
        <w:rPr>
          <w:rFonts w:ascii="Times New Roman" w:hAnsi="Times New Roman" w:cs="Times New Roman"/>
          <w:color w:val="00B050"/>
          <w:sz w:val="24"/>
          <w:szCs w:val="24"/>
        </w:rPr>
        <w:t xml:space="preserve"> G: Advantages of having a lateralized brain. Proc </w:t>
      </w:r>
      <w:proofErr w:type="spellStart"/>
      <w:r w:rsidRPr="00176D2A">
        <w:rPr>
          <w:rFonts w:ascii="Times New Roman" w:hAnsi="Times New Roman" w:cs="Times New Roman"/>
          <w:color w:val="00B050"/>
          <w:sz w:val="24"/>
          <w:szCs w:val="24"/>
        </w:rPr>
        <w:t>BiolSci</w:t>
      </w:r>
      <w:proofErr w:type="spellEnd"/>
      <w:r w:rsidRPr="00176D2A">
        <w:rPr>
          <w:rFonts w:ascii="Times New Roman" w:hAnsi="Times New Roman" w:cs="Times New Roman"/>
          <w:color w:val="00B050"/>
          <w:sz w:val="24"/>
          <w:szCs w:val="24"/>
        </w:rPr>
        <w:t xml:space="preserve"> 2004; 271 Suppl 6, S420–2.</w:t>
      </w:r>
      <w:r w:rsidR="007459C9">
        <w:rPr>
          <w:rFonts w:ascii="Times New Roman" w:hAnsi="Times New Roman" w:cs="Times New Roman"/>
          <w:color w:val="00B050"/>
          <w:sz w:val="24"/>
          <w:szCs w:val="24"/>
        </w:rPr>
        <w:t xml:space="preserve"> </w:t>
      </w:r>
      <w:hyperlink r:id="rId43" w:history="1">
        <w:r w:rsidR="007459C9" w:rsidRPr="000E44AF">
          <w:rPr>
            <w:rStyle w:val="Hyperlink"/>
            <w:rFonts w:ascii="Times New Roman" w:hAnsi="Times New Roman" w:cs="Times New Roman"/>
            <w:sz w:val="24"/>
            <w:szCs w:val="24"/>
          </w:rPr>
          <w:t>https://doi.org/10.1098/rsbl.2004.0200</w:t>
        </w:r>
      </w:hyperlink>
      <w:r w:rsidR="007459C9">
        <w:rPr>
          <w:rFonts w:ascii="Times New Roman" w:hAnsi="Times New Roman" w:cs="Times New Roman"/>
          <w:color w:val="00B050"/>
          <w:sz w:val="24"/>
          <w:szCs w:val="24"/>
        </w:rPr>
        <w:t xml:space="preserve"> </w:t>
      </w:r>
    </w:p>
    <w:p w14:paraId="5D0CE6FE" w14:textId="6C7C9FE5"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Rueda, I., Banegas, I., Prieto, I., Wangensteen, R., Segarra, A.B., </w:t>
      </w:r>
      <w:proofErr w:type="spellStart"/>
      <w:r w:rsidRPr="00176D2A">
        <w:rPr>
          <w:rFonts w:ascii="Times New Roman" w:eastAsia="Times New Roman" w:hAnsi="Times New Roman" w:cs="Times New Roman"/>
          <w:color w:val="00B050"/>
          <w:sz w:val="24"/>
          <w:szCs w:val="24"/>
          <w:lang w:val="en-ZA" w:eastAsia="en-ZA"/>
        </w:rPr>
        <w:t>Villarejo</w:t>
      </w:r>
      <w:proofErr w:type="spellEnd"/>
      <w:r w:rsidRPr="00176D2A">
        <w:rPr>
          <w:rFonts w:ascii="Times New Roman" w:eastAsia="Times New Roman" w:hAnsi="Times New Roman" w:cs="Times New Roman"/>
          <w:color w:val="00B050"/>
          <w:sz w:val="24"/>
          <w:szCs w:val="24"/>
          <w:lang w:val="en-ZA" w:eastAsia="en-ZA"/>
        </w:rPr>
        <w:t xml:space="preserve">, A.B., De </w:t>
      </w:r>
      <w:proofErr w:type="spellStart"/>
      <w:r w:rsidRPr="00176D2A">
        <w:rPr>
          <w:rFonts w:ascii="Times New Roman" w:eastAsia="Times New Roman" w:hAnsi="Times New Roman" w:cs="Times New Roman"/>
          <w:color w:val="00B050"/>
          <w:sz w:val="24"/>
          <w:szCs w:val="24"/>
          <w:lang w:val="en-ZA" w:eastAsia="en-ZA"/>
        </w:rPr>
        <w:t>Gasparo</w:t>
      </w:r>
      <w:proofErr w:type="spellEnd"/>
      <w:r w:rsidRPr="00176D2A">
        <w:rPr>
          <w:rFonts w:ascii="Times New Roman" w:eastAsia="Times New Roman" w:hAnsi="Times New Roman" w:cs="Times New Roman"/>
          <w:color w:val="00B050"/>
          <w:sz w:val="24"/>
          <w:szCs w:val="24"/>
          <w:lang w:val="en-ZA" w:eastAsia="en-ZA"/>
        </w:rPr>
        <w:t xml:space="preserve">, M., Luna, J.D., Vives, F., Ruiz-Bailen, M. and Ramirez-Sanchez, M., 2016. Handedness and gender influence blood pressure in young healthy men and women: A pilot study. </w:t>
      </w:r>
      <w:r w:rsidRPr="00176D2A">
        <w:rPr>
          <w:rFonts w:ascii="Times New Roman" w:eastAsia="Times New Roman" w:hAnsi="Times New Roman" w:cs="Times New Roman"/>
          <w:i/>
          <w:iCs/>
          <w:color w:val="00B050"/>
          <w:sz w:val="24"/>
          <w:szCs w:val="24"/>
          <w:lang w:val="en-ZA" w:eastAsia="en-ZA"/>
        </w:rPr>
        <w:t>Endocrine regulations</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50</w:t>
      </w:r>
      <w:r w:rsidRPr="00176D2A">
        <w:rPr>
          <w:rFonts w:ascii="Times New Roman" w:eastAsia="Times New Roman" w:hAnsi="Times New Roman" w:cs="Times New Roman"/>
          <w:color w:val="00B050"/>
          <w:sz w:val="24"/>
          <w:szCs w:val="24"/>
          <w:lang w:val="en-ZA" w:eastAsia="en-ZA"/>
        </w:rPr>
        <w:t>, pp.10-15.</w:t>
      </w:r>
      <w:r w:rsidR="008265C2">
        <w:rPr>
          <w:rFonts w:ascii="Times New Roman" w:eastAsia="Times New Roman" w:hAnsi="Times New Roman" w:cs="Times New Roman"/>
          <w:color w:val="00B050"/>
          <w:sz w:val="24"/>
          <w:szCs w:val="24"/>
          <w:lang w:val="en-ZA" w:eastAsia="en-ZA"/>
        </w:rPr>
        <w:t xml:space="preserve"> </w:t>
      </w:r>
      <w:hyperlink r:id="rId44" w:history="1">
        <w:r w:rsidR="008265C2" w:rsidRPr="000E44AF">
          <w:rPr>
            <w:rStyle w:val="Hyperlink"/>
            <w:rFonts w:ascii="Times New Roman" w:eastAsia="Times New Roman" w:hAnsi="Times New Roman" w:cs="Times New Roman"/>
            <w:sz w:val="24"/>
            <w:szCs w:val="24"/>
            <w:lang w:val="en-ZA" w:eastAsia="en-ZA"/>
          </w:rPr>
          <w:t>https://doi.org/10.1515/enr-2016-0003</w:t>
        </w:r>
      </w:hyperlink>
      <w:r w:rsidR="008265C2">
        <w:rPr>
          <w:rFonts w:ascii="Times New Roman" w:eastAsia="Times New Roman" w:hAnsi="Times New Roman" w:cs="Times New Roman"/>
          <w:color w:val="00B050"/>
          <w:sz w:val="24"/>
          <w:szCs w:val="24"/>
          <w:lang w:val="en-ZA" w:eastAsia="en-ZA"/>
        </w:rPr>
        <w:t xml:space="preserve"> </w:t>
      </w:r>
    </w:p>
    <w:p w14:paraId="335EADC6" w14:textId="30B832B9"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Schaafsma, S. M., Geuze, R. H., </w:t>
      </w:r>
      <w:proofErr w:type="spellStart"/>
      <w:r w:rsidRPr="00176D2A">
        <w:rPr>
          <w:rFonts w:ascii="Times New Roman" w:hAnsi="Times New Roman" w:cs="Times New Roman"/>
          <w:color w:val="00B050"/>
          <w:sz w:val="24"/>
          <w:szCs w:val="24"/>
        </w:rPr>
        <w:t>Riedstra</w:t>
      </w:r>
      <w:proofErr w:type="spellEnd"/>
      <w:r w:rsidRPr="00176D2A">
        <w:rPr>
          <w:rFonts w:ascii="Times New Roman" w:hAnsi="Times New Roman" w:cs="Times New Roman"/>
          <w:color w:val="00B050"/>
          <w:sz w:val="24"/>
          <w:szCs w:val="24"/>
        </w:rPr>
        <w:t xml:space="preserve">, B., </w:t>
      </w:r>
      <w:proofErr w:type="spellStart"/>
      <w:r w:rsidRPr="00176D2A">
        <w:rPr>
          <w:rFonts w:ascii="Times New Roman" w:hAnsi="Times New Roman" w:cs="Times New Roman"/>
          <w:color w:val="00B050"/>
          <w:sz w:val="24"/>
          <w:szCs w:val="24"/>
        </w:rPr>
        <w:t>Schiefenhövel</w:t>
      </w:r>
      <w:proofErr w:type="spellEnd"/>
      <w:r w:rsidRPr="00176D2A">
        <w:rPr>
          <w:rFonts w:ascii="Times New Roman" w:hAnsi="Times New Roman" w:cs="Times New Roman"/>
          <w:color w:val="00B050"/>
          <w:sz w:val="24"/>
          <w:szCs w:val="24"/>
        </w:rPr>
        <w:t xml:space="preserve">, W., Bouma, A. and </w:t>
      </w:r>
      <w:proofErr w:type="spellStart"/>
      <w:r w:rsidRPr="00176D2A">
        <w:rPr>
          <w:rFonts w:ascii="Times New Roman" w:hAnsi="Times New Roman" w:cs="Times New Roman"/>
          <w:color w:val="00B050"/>
          <w:sz w:val="24"/>
          <w:szCs w:val="24"/>
        </w:rPr>
        <w:t>Groothuis,T</w:t>
      </w:r>
      <w:proofErr w:type="spellEnd"/>
      <w:r w:rsidRPr="00176D2A">
        <w:rPr>
          <w:rFonts w:ascii="Times New Roman" w:hAnsi="Times New Roman" w:cs="Times New Roman"/>
          <w:color w:val="00B050"/>
          <w:sz w:val="24"/>
          <w:szCs w:val="24"/>
        </w:rPr>
        <w:t xml:space="preserve">. G. G. (2012): Handedness in a nonindustrial society challenges the </w:t>
      </w:r>
      <w:proofErr w:type="spellStart"/>
      <w:r w:rsidRPr="00176D2A">
        <w:rPr>
          <w:rFonts w:ascii="Times New Roman" w:hAnsi="Times New Roman" w:cs="Times New Roman"/>
          <w:color w:val="00B050"/>
          <w:sz w:val="24"/>
          <w:szCs w:val="24"/>
        </w:rPr>
        <w:t>fightinghypothesis</w:t>
      </w:r>
      <w:proofErr w:type="spellEnd"/>
      <w:r w:rsidRPr="00176D2A">
        <w:rPr>
          <w:rFonts w:ascii="Times New Roman" w:hAnsi="Times New Roman" w:cs="Times New Roman"/>
          <w:color w:val="00B050"/>
          <w:sz w:val="24"/>
          <w:szCs w:val="24"/>
        </w:rPr>
        <w:t xml:space="preserve"> as an evolutionary explanation for left-handedness. Evolution and </w:t>
      </w:r>
      <w:proofErr w:type="spellStart"/>
      <w:r w:rsidRPr="00176D2A">
        <w:rPr>
          <w:rFonts w:ascii="Times New Roman" w:hAnsi="Times New Roman" w:cs="Times New Roman"/>
          <w:color w:val="00B050"/>
          <w:sz w:val="24"/>
          <w:szCs w:val="24"/>
        </w:rPr>
        <w:t>HumanBehaviour</w:t>
      </w:r>
      <w:proofErr w:type="spellEnd"/>
      <w:r w:rsidRPr="00176D2A">
        <w:rPr>
          <w:rFonts w:ascii="Times New Roman" w:hAnsi="Times New Roman" w:cs="Times New Roman"/>
          <w:color w:val="00B050"/>
          <w:sz w:val="24"/>
          <w:szCs w:val="24"/>
        </w:rPr>
        <w:t>. 33, 94-99.</w:t>
      </w:r>
      <w:r w:rsidR="009133C7">
        <w:rPr>
          <w:rFonts w:ascii="Times New Roman" w:hAnsi="Times New Roman" w:cs="Times New Roman"/>
          <w:color w:val="00B050"/>
          <w:sz w:val="24"/>
          <w:szCs w:val="24"/>
        </w:rPr>
        <w:t xml:space="preserve"> </w:t>
      </w:r>
      <w:hyperlink r:id="rId45" w:history="1">
        <w:r w:rsidR="009133C7" w:rsidRPr="000E44AF">
          <w:rPr>
            <w:rStyle w:val="Hyperlink"/>
            <w:rFonts w:ascii="Times New Roman" w:hAnsi="Times New Roman" w:cs="Times New Roman"/>
            <w:sz w:val="24"/>
            <w:szCs w:val="24"/>
          </w:rPr>
          <w:t>https://doi.org/10.1016/j.evolhumbehav.2011.06.001</w:t>
        </w:r>
      </w:hyperlink>
      <w:r w:rsidR="009133C7">
        <w:rPr>
          <w:rFonts w:ascii="Times New Roman" w:hAnsi="Times New Roman" w:cs="Times New Roman"/>
          <w:color w:val="00B050"/>
          <w:sz w:val="24"/>
          <w:szCs w:val="24"/>
        </w:rPr>
        <w:t xml:space="preserve"> </w:t>
      </w:r>
    </w:p>
    <w:p w14:paraId="14C5FBA2" w14:textId="2F12800D"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Schiffrin, E. L., Flack, J. M., Ito, S., Muntner, P., &amp; Webb, R. C. (2020). Hypertension and COVID-19. </w:t>
      </w:r>
      <w:r w:rsidRPr="00176D2A">
        <w:rPr>
          <w:rFonts w:ascii="Times New Roman" w:eastAsia="Times New Roman" w:hAnsi="Times New Roman" w:cs="Times New Roman"/>
          <w:i/>
          <w:iCs/>
          <w:color w:val="00B050"/>
          <w:sz w:val="24"/>
          <w:szCs w:val="24"/>
          <w:lang w:val="en-ZA" w:eastAsia="en-ZA"/>
        </w:rPr>
        <w:t>American journal of hypertension</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33</w:t>
      </w:r>
      <w:r w:rsidRPr="00176D2A">
        <w:rPr>
          <w:rFonts w:ascii="Times New Roman" w:eastAsia="Times New Roman" w:hAnsi="Times New Roman" w:cs="Times New Roman"/>
          <w:color w:val="00B050"/>
          <w:sz w:val="24"/>
          <w:szCs w:val="24"/>
          <w:lang w:val="en-ZA" w:eastAsia="en-ZA"/>
        </w:rPr>
        <w:t>(5), 373-374.</w:t>
      </w:r>
      <w:r w:rsidR="009133C7">
        <w:rPr>
          <w:rFonts w:ascii="Times New Roman" w:eastAsia="Times New Roman" w:hAnsi="Times New Roman" w:cs="Times New Roman"/>
          <w:color w:val="00B050"/>
          <w:sz w:val="24"/>
          <w:szCs w:val="24"/>
          <w:lang w:val="en-ZA" w:eastAsia="en-ZA"/>
        </w:rPr>
        <w:t xml:space="preserve"> </w:t>
      </w:r>
      <w:hyperlink r:id="rId46" w:history="1">
        <w:r w:rsidR="009133C7" w:rsidRPr="000E44AF">
          <w:rPr>
            <w:rStyle w:val="Hyperlink"/>
            <w:rFonts w:ascii="Times New Roman" w:eastAsia="Times New Roman" w:hAnsi="Times New Roman" w:cs="Times New Roman"/>
            <w:sz w:val="24"/>
            <w:szCs w:val="24"/>
            <w:lang w:val="en-ZA" w:eastAsia="en-ZA"/>
          </w:rPr>
          <w:t>https://doi.org/10.1093/ajh/hpaa057</w:t>
        </w:r>
      </w:hyperlink>
      <w:r w:rsidR="009133C7">
        <w:rPr>
          <w:rFonts w:ascii="Times New Roman" w:eastAsia="Times New Roman" w:hAnsi="Times New Roman" w:cs="Times New Roman"/>
          <w:color w:val="00B050"/>
          <w:sz w:val="24"/>
          <w:szCs w:val="24"/>
          <w:lang w:val="en-ZA" w:eastAsia="en-ZA"/>
        </w:rPr>
        <w:t xml:space="preserve"> </w:t>
      </w:r>
    </w:p>
    <w:p w14:paraId="115401A4" w14:textId="220E09CF" w:rsidR="00AD71A9" w:rsidRPr="00176D2A" w:rsidRDefault="00AD71A9" w:rsidP="00176D2A">
      <w:pPr>
        <w:autoSpaceDE w:val="0"/>
        <w:autoSpaceDN w:val="0"/>
        <w:adjustRightInd w:val="0"/>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Steele J, </w:t>
      </w:r>
      <w:proofErr w:type="spellStart"/>
      <w:r w:rsidRPr="00176D2A">
        <w:rPr>
          <w:rFonts w:ascii="Times New Roman" w:hAnsi="Times New Roman" w:cs="Times New Roman"/>
          <w:color w:val="00B050"/>
          <w:sz w:val="24"/>
          <w:szCs w:val="24"/>
        </w:rPr>
        <w:t>Uomini</w:t>
      </w:r>
      <w:proofErr w:type="spellEnd"/>
      <w:r w:rsidRPr="00176D2A">
        <w:rPr>
          <w:rFonts w:ascii="Times New Roman" w:hAnsi="Times New Roman" w:cs="Times New Roman"/>
          <w:color w:val="00B050"/>
          <w:sz w:val="24"/>
          <w:szCs w:val="24"/>
        </w:rPr>
        <w:t xml:space="preserve"> N: Humans, tools and handedness. In: Knapping Stone: the necessary conditions for a unique hominin behavior (eds. V Roux &amp; B. Bril). Cambridge, UK: McDonald Institute for </w:t>
      </w:r>
      <w:proofErr w:type="spellStart"/>
      <w:r w:rsidRPr="00176D2A">
        <w:rPr>
          <w:rFonts w:ascii="Times New Roman" w:hAnsi="Times New Roman" w:cs="Times New Roman"/>
          <w:color w:val="00B050"/>
          <w:sz w:val="24"/>
          <w:szCs w:val="24"/>
        </w:rPr>
        <w:t>Archaelogical</w:t>
      </w:r>
      <w:proofErr w:type="spellEnd"/>
      <w:r w:rsidRPr="00176D2A">
        <w:rPr>
          <w:rFonts w:ascii="Times New Roman" w:hAnsi="Times New Roman" w:cs="Times New Roman"/>
          <w:color w:val="00B050"/>
          <w:sz w:val="24"/>
          <w:szCs w:val="24"/>
        </w:rPr>
        <w:t xml:space="preserve"> Research 2005; 217–39.</w:t>
      </w:r>
      <w:r w:rsidR="00FB488C">
        <w:rPr>
          <w:rFonts w:ascii="Times New Roman" w:hAnsi="Times New Roman" w:cs="Times New Roman"/>
          <w:color w:val="00B050"/>
          <w:sz w:val="24"/>
          <w:szCs w:val="24"/>
        </w:rPr>
        <w:t xml:space="preserve"> </w:t>
      </w:r>
      <w:hyperlink r:id="rId47" w:history="1">
        <w:r w:rsidR="00FB488C" w:rsidRPr="000E44AF">
          <w:rPr>
            <w:rStyle w:val="Hyperlink"/>
            <w:rFonts w:ascii="Times New Roman" w:hAnsi="Times New Roman" w:cs="Times New Roman"/>
            <w:sz w:val="24"/>
            <w:szCs w:val="24"/>
          </w:rPr>
          <w:t>https://doc.rero.ch/record/319688/files/Steele_Uomini_2005.pdf</w:t>
        </w:r>
      </w:hyperlink>
      <w:r w:rsidR="00FB488C">
        <w:rPr>
          <w:rFonts w:ascii="Times New Roman" w:hAnsi="Times New Roman" w:cs="Times New Roman"/>
          <w:color w:val="00B050"/>
          <w:sz w:val="24"/>
          <w:szCs w:val="24"/>
        </w:rPr>
        <w:t xml:space="preserve"> </w:t>
      </w:r>
    </w:p>
    <w:p w14:paraId="54D69CFE" w14:textId="5F450D2B" w:rsidR="00AD71A9" w:rsidRPr="00176D2A" w:rsidRDefault="00AD71A9" w:rsidP="00176D2A">
      <w:pPr>
        <w:spacing w:before="240" w:after="0" w:line="276" w:lineRule="auto"/>
        <w:jc w:val="both"/>
        <w:rPr>
          <w:rFonts w:ascii="Times New Roman" w:hAnsi="Times New Roman" w:cs="Times New Roman"/>
          <w:color w:val="00B050"/>
          <w:sz w:val="24"/>
          <w:szCs w:val="24"/>
        </w:rPr>
      </w:pPr>
      <w:proofErr w:type="spellStart"/>
      <w:r w:rsidRPr="00176D2A">
        <w:rPr>
          <w:rFonts w:ascii="Times New Roman" w:hAnsi="Times New Roman" w:cs="Times New Roman"/>
          <w:color w:val="00B050"/>
          <w:sz w:val="24"/>
          <w:szCs w:val="24"/>
        </w:rPr>
        <w:t>Vallortigara</w:t>
      </w:r>
      <w:proofErr w:type="spellEnd"/>
      <w:r w:rsidRPr="00176D2A">
        <w:rPr>
          <w:rFonts w:ascii="Times New Roman" w:hAnsi="Times New Roman" w:cs="Times New Roman"/>
          <w:color w:val="00B050"/>
          <w:sz w:val="24"/>
          <w:szCs w:val="24"/>
        </w:rPr>
        <w:t>, G., &amp; Rogers, L. J. (2005). Survival with an asymmetrical brain: Advantages and disadvantages of cerebral lateralization. Behavioral and Brain Sciences, 28, 575–633.</w:t>
      </w:r>
      <w:r w:rsidR="006B4B88">
        <w:rPr>
          <w:rFonts w:ascii="Times New Roman" w:hAnsi="Times New Roman" w:cs="Times New Roman"/>
          <w:color w:val="00B050"/>
          <w:sz w:val="24"/>
          <w:szCs w:val="24"/>
        </w:rPr>
        <w:t xml:space="preserve"> </w:t>
      </w:r>
      <w:hyperlink r:id="rId48" w:history="1">
        <w:r w:rsidR="006B4B88" w:rsidRPr="000E44AF">
          <w:rPr>
            <w:rStyle w:val="Hyperlink"/>
            <w:rFonts w:ascii="Times New Roman" w:hAnsi="Times New Roman" w:cs="Times New Roman"/>
            <w:sz w:val="24"/>
            <w:szCs w:val="24"/>
          </w:rPr>
          <w:t>https://doi.org/10.1017/S0140525X05000105</w:t>
        </w:r>
      </w:hyperlink>
      <w:r w:rsidR="006B4B88">
        <w:rPr>
          <w:rFonts w:ascii="Times New Roman" w:hAnsi="Times New Roman" w:cs="Times New Roman"/>
          <w:color w:val="00B050"/>
          <w:sz w:val="24"/>
          <w:szCs w:val="24"/>
        </w:rPr>
        <w:t xml:space="preserve"> </w:t>
      </w:r>
    </w:p>
    <w:p w14:paraId="015546BE" w14:textId="012A6261"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Wang, Z., Chen, Z., Zhang, L., Wang, X., Hao, G., Zhang, Z., ... &amp; Gao, R. (2020). Status of hypertension in China: results from the China Hypertension Survey, 2012–2015. </w:t>
      </w:r>
      <w:r w:rsidRPr="00176D2A">
        <w:rPr>
          <w:rFonts w:ascii="Times New Roman" w:hAnsi="Times New Roman" w:cs="Times New Roman"/>
          <w:i/>
          <w:iCs/>
          <w:color w:val="00B050"/>
          <w:sz w:val="24"/>
          <w:szCs w:val="24"/>
          <w:lang w:eastAsia="en-ZA"/>
        </w:rPr>
        <w:t>Circulation, 137</w:t>
      </w:r>
      <w:r w:rsidRPr="00176D2A">
        <w:rPr>
          <w:rFonts w:ascii="Times New Roman" w:hAnsi="Times New Roman" w:cs="Times New Roman"/>
          <w:color w:val="00B050"/>
          <w:sz w:val="24"/>
          <w:szCs w:val="24"/>
          <w:lang w:eastAsia="en-ZA"/>
        </w:rPr>
        <w:t>(22), 2344–2356.</w:t>
      </w:r>
      <w:r w:rsidR="006E71F8" w:rsidRPr="006E71F8">
        <w:t xml:space="preserve"> </w:t>
      </w:r>
      <w:hyperlink r:id="rId49" w:history="1">
        <w:r w:rsidR="006E71F8" w:rsidRPr="000E44AF">
          <w:rPr>
            <w:rStyle w:val="Hyperlink"/>
            <w:rFonts w:ascii="Times New Roman" w:hAnsi="Times New Roman" w:cs="Times New Roman"/>
            <w:sz w:val="24"/>
            <w:szCs w:val="24"/>
            <w:lang w:eastAsia="en-ZA"/>
          </w:rPr>
          <w:t>https://doi.org/10.1161/CIRCULATIONAHA.117.032380</w:t>
        </w:r>
      </w:hyperlink>
      <w:r w:rsidR="006E71F8">
        <w:rPr>
          <w:rFonts w:ascii="Times New Roman" w:hAnsi="Times New Roman" w:cs="Times New Roman"/>
          <w:color w:val="00B050"/>
          <w:sz w:val="24"/>
          <w:szCs w:val="24"/>
          <w:lang w:eastAsia="en-ZA"/>
        </w:rPr>
        <w:t xml:space="preserve"> </w:t>
      </w:r>
    </w:p>
    <w:p w14:paraId="0BC153C8" w14:textId="7B849488" w:rsidR="00AD71A9" w:rsidRDefault="00AD71A9" w:rsidP="00176D2A">
      <w:pPr>
        <w:spacing w:before="240" w:after="0" w:line="276" w:lineRule="auto"/>
        <w:jc w:val="both"/>
      </w:pPr>
      <w:r w:rsidRPr="00176D2A">
        <w:rPr>
          <w:rFonts w:ascii="Times New Roman" w:eastAsia="Times New Roman" w:hAnsi="Times New Roman" w:cs="Times New Roman"/>
          <w:color w:val="00B050"/>
          <w:sz w:val="24"/>
          <w:szCs w:val="24"/>
        </w:rPr>
        <w:t xml:space="preserve">World Health Report. Reducing Risks, Promoting Healthy Life. 2002; Available from </w:t>
      </w:r>
      <w:hyperlink r:id="rId50" w:history="1">
        <w:r w:rsidR="006E71F8" w:rsidRPr="000E44AF">
          <w:rPr>
            <w:rStyle w:val="Hyperlink"/>
            <w:rFonts w:ascii="Times New Roman" w:eastAsia="Times New Roman" w:hAnsi="Times New Roman" w:cs="Times New Roman"/>
            <w:sz w:val="24"/>
            <w:szCs w:val="24"/>
          </w:rPr>
          <w:t>https://www.who.int/whr/2002/en/whr02_en.pdf</w:t>
        </w:r>
      </w:hyperlink>
      <w:r w:rsidR="006E71F8">
        <w:rPr>
          <w:rFonts w:ascii="Times New Roman" w:eastAsia="Times New Roman" w:hAnsi="Times New Roman" w:cs="Times New Roman"/>
          <w:color w:val="00B050"/>
          <w:sz w:val="24"/>
          <w:szCs w:val="24"/>
        </w:rPr>
        <w:t xml:space="preserve"> </w:t>
      </w:r>
    </w:p>
    <w:p w14:paraId="3CFADBF7" w14:textId="77777777" w:rsidR="00706A9A" w:rsidRPr="00E75137" w:rsidRDefault="00706A9A" w:rsidP="00176D2A">
      <w:pPr>
        <w:spacing w:before="240" w:after="0" w:line="276" w:lineRule="auto"/>
        <w:jc w:val="both"/>
        <w:rPr>
          <w:rFonts w:ascii="Times New Roman" w:eastAsia="Times New Roman" w:hAnsi="Times New Roman" w:cs="Times New Roman"/>
          <w:color w:val="00B050"/>
          <w:sz w:val="24"/>
          <w:szCs w:val="24"/>
        </w:rPr>
      </w:pPr>
    </w:p>
    <w:p w14:paraId="33EBD157" w14:textId="6DD295AA"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Zhou, B., Perel, P., Mensah, G. A., &amp; Ezzati, M. (2021). Global epidemiology, health burden, and effective interventions for elevated blood pressure and hypertension. </w:t>
      </w:r>
      <w:r w:rsidRPr="00176D2A">
        <w:rPr>
          <w:rFonts w:ascii="Times New Roman" w:hAnsi="Times New Roman" w:cs="Times New Roman"/>
          <w:i/>
          <w:iCs/>
          <w:color w:val="00B050"/>
          <w:sz w:val="24"/>
          <w:szCs w:val="24"/>
          <w:lang w:eastAsia="en-ZA"/>
        </w:rPr>
        <w:t>Nature Reviews Cardiology, 18</w:t>
      </w:r>
      <w:r w:rsidRPr="00176D2A">
        <w:rPr>
          <w:rFonts w:ascii="Times New Roman" w:hAnsi="Times New Roman" w:cs="Times New Roman"/>
          <w:color w:val="00B050"/>
          <w:sz w:val="24"/>
          <w:szCs w:val="24"/>
          <w:lang w:eastAsia="en-ZA"/>
        </w:rPr>
        <w:t xml:space="preserve">, 785–802. </w:t>
      </w:r>
      <w:hyperlink r:id="rId51" w:history="1">
        <w:r w:rsidR="006E71F8" w:rsidRPr="000E44AF">
          <w:rPr>
            <w:rStyle w:val="Hyperlink"/>
          </w:rPr>
          <w:t>https://doi.org/10.1038/s41569-021-00559-8</w:t>
        </w:r>
      </w:hyperlink>
      <w:r w:rsidR="006E71F8">
        <w:t xml:space="preserve"> </w:t>
      </w:r>
    </w:p>
    <w:sectPr w:rsidR="00AD71A9" w:rsidRPr="00176D2A" w:rsidSect="00AD71A9">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B4DBF" w14:textId="77777777" w:rsidR="009F1D41" w:rsidRDefault="009F1D41">
      <w:pPr>
        <w:spacing w:after="0" w:line="240" w:lineRule="auto"/>
      </w:pPr>
      <w:r>
        <w:separator/>
      </w:r>
    </w:p>
  </w:endnote>
  <w:endnote w:type="continuationSeparator" w:id="0">
    <w:p w14:paraId="6F65CA8B" w14:textId="77777777" w:rsidR="009F1D41" w:rsidRDefault="009F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562E" w14:textId="77777777" w:rsidR="00D33DF5" w:rsidRDefault="00D33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24825"/>
      <w:docPartObj>
        <w:docPartGallery w:val="Page Numbers (Bottom of Page)"/>
        <w:docPartUnique/>
      </w:docPartObj>
    </w:sdtPr>
    <w:sdtEndPr>
      <w:rPr>
        <w:noProof/>
      </w:rPr>
    </w:sdtEndPr>
    <w:sdtContent>
      <w:p w14:paraId="5B8878EF" w14:textId="77777777" w:rsidR="0092629E" w:rsidRDefault="0092629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944B6F" w14:textId="77777777" w:rsidR="0092629E" w:rsidRDefault="00926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AB62" w14:textId="77777777" w:rsidR="00D33DF5" w:rsidRDefault="00D3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3EC53" w14:textId="77777777" w:rsidR="009F1D41" w:rsidRDefault="009F1D41">
      <w:pPr>
        <w:spacing w:after="0" w:line="240" w:lineRule="auto"/>
      </w:pPr>
      <w:r>
        <w:separator/>
      </w:r>
    </w:p>
  </w:footnote>
  <w:footnote w:type="continuationSeparator" w:id="0">
    <w:p w14:paraId="0C97C8D8" w14:textId="77777777" w:rsidR="009F1D41" w:rsidRDefault="009F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C909" w14:textId="4288177C" w:rsidR="00D33DF5" w:rsidRDefault="009F1D41">
    <w:pPr>
      <w:pStyle w:val="Header"/>
    </w:pPr>
    <w:r>
      <w:rPr>
        <w:noProof/>
      </w:rPr>
      <w:pict w14:anchorId="12222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1A8E" w14:textId="354C5BFB" w:rsidR="00D33DF5" w:rsidRDefault="009F1D41">
    <w:pPr>
      <w:pStyle w:val="Header"/>
    </w:pPr>
    <w:r>
      <w:rPr>
        <w:noProof/>
      </w:rPr>
      <w:pict w14:anchorId="0DC7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6C2A" w14:textId="6280250E" w:rsidR="00D33DF5" w:rsidRDefault="009F1D41">
    <w:pPr>
      <w:pStyle w:val="Header"/>
    </w:pPr>
    <w:r>
      <w:rPr>
        <w:noProof/>
      </w:rPr>
      <w:pict w14:anchorId="22A65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4958"/>
    <w:multiLevelType w:val="multilevel"/>
    <w:tmpl w:val="DC2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64982"/>
    <w:multiLevelType w:val="multilevel"/>
    <w:tmpl w:val="664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B3A55"/>
    <w:multiLevelType w:val="hybridMultilevel"/>
    <w:tmpl w:val="24F89F54"/>
    <w:lvl w:ilvl="0" w:tplc="C642744C">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2MDQwNTIyMDQzMjNT0lEKTi0uzszPAykwrgUAIxz54iwAAAA="/>
  </w:docVars>
  <w:rsids>
    <w:rsidRoot w:val="00AD71A9"/>
    <w:rsid w:val="0000404F"/>
    <w:rsid w:val="0000488F"/>
    <w:rsid w:val="00007195"/>
    <w:rsid w:val="00007561"/>
    <w:rsid w:val="00007EFA"/>
    <w:rsid w:val="00054322"/>
    <w:rsid w:val="000A25FE"/>
    <w:rsid w:val="000A50B4"/>
    <w:rsid w:val="000C1C34"/>
    <w:rsid w:val="000E3583"/>
    <w:rsid w:val="00114E31"/>
    <w:rsid w:val="001228F1"/>
    <w:rsid w:val="00127E7E"/>
    <w:rsid w:val="00176D2A"/>
    <w:rsid w:val="0018187F"/>
    <w:rsid w:val="001B7A9E"/>
    <w:rsid w:val="001D24FE"/>
    <w:rsid w:val="001D6EEF"/>
    <w:rsid w:val="00205781"/>
    <w:rsid w:val="002F0AFF"/>
    <w:rsid w:val="00337590"/>
    <w:rsid w:val="00342521"/>
    <w:rsid w:val="00364F9C"/>
    <w:rsid w:val="003B674B"/>
    <w:rsid w:val="003C070D"/>
    <w:rsid w:val="003C5124"/>
    <w:rsid w:val="003D1278"/>
    <w:rsid w:val="003D491B"/>
    <w:rsid w:val="004025EF"/>
    <w:rsid w:val="0046277A"/>
    <w:rsid w:val="004713A3"/>
    <w:rsid w:val="00491B81"/>
    <w:rsid w:val="00491F91"/>
    <w:rsid w:val="004C1DFD"/>
    <w:rsid w:val="004C2DFC"/>
    <w:rsid w:val="005221A9"/>
    <w:rsid w:val="005414FD"/>
    <w:rsid w:val="005B2663"/>
    <w:rsid w:val="005B72B8"/>
    <w:rsid w:val="005E663C"/>
    <w:rsid w:val="00606F1C"/>
    <w:rsid w:val="00611E8A"/>
    <w:rsid w:val="00624515"/>
    <w:rsid w:val="00630DAE"/>
    <w:rsid w:val="00634479"/>
    <w:rsid w:val="0063607B"/>
    <w:rsid w:val="006647D0"/>
    <w:rsid w:val="0069044C"/>
    <w:rsid w:val="006B21C4"/>
    <w:rsid w:val="006B4B88"/>
    <w:rsid w:val="006C6DC5"/>
    <w:rsid w:val="006E71F8"/>
    <w:rsid w:val="00706A9A"/>
    <w:rsid w:val="00710DBA"/>
    <w:rsid w:val="0071362E"/>
    <w:rsid w:val="007459C9"/>
    <w:rsid w:val="007566D5"/>
    <w:rsid w:val="00765863"/>
    <w:rsid w:val="00784815"/>
    <w:rsid w:val="007A1507"/>
    <w:rsid w:val="007C41D5"/>
    <w:rsid w:val="007C6E23"/>
    <w:rsid w:val="007E0432"/>
    <w:rsid w:val="008265C2"/>
    <w:rsid w:val="00853AB1"/>
    <w:rsid w:val="00856B9C"/>
    <w:rsid w:val="0086089B"/>
    <w:rsid w:val="00874843"/>
    <w:rsid w:val="00882555"/>
    <w:rsid w:val="008C1CDB"/>
    <w:rsid w:val="008C2590"/>
    <w:rsid w:val="008D3FAB"/>
    <w:rsid w:val="009007D2"/>
    <w:rsid w:val="009133C7"/>
    <w:rsid w:val="009159F3"/>
    <w:rsid w:val="0092629E"/>
    <w:rsid w:val="00933C0B"/>
    <w:rsid w:val="009436FE"/>
    <w:rsid w:val="00956CC8"/>
    <w:rsid w:val="0097491E"/>
    <w:rsid w:val="00982940"/>
    <w:rsid w:val="009F1D41"/>
    <w:rsid w:val="00A07F83"/>
    <w:rsid w:val="00A151D0"/>
    <w:rsid w:val="00A4448A"/>
    <w:rsid w:val="00A51D61"/>
    <w:rsid w:val="00A768E6"/>
    <w:rsid w:val="00A87431"/>
    <w:rsid w:val="00A96A24"/>
    <w:rsid w:val="00AA2665"/>
    <w:rsid w:val="00AA7A93"/>
    <w:rsid w:val="00AB13BD"/>
    <w:rsid w:val="00AD2FEB"/>
    <w:rsid w:val="00AD636F"/>
    <w:rsid w:val="00AD71A9"/>
    <w:rsid w:val="00AE70EF"/>
    <w:rsid w:val="00B115EA"/>
    <w:rsid w:val="00B17A5F"/>
    <w:rsid w:val="00B202C7"/>
    <w:rsid w:val="00B36396"/>
    <w:rsid w:val="00B75409"/>
    <w:rsid w:val="00B761D3"/>
    <w:rsid w:val="00B768D7"/>
    <w:rsid w:val="00BB786A"/>
    <w:rsid w:val="00BC2DF1"/>
    <w:rsid w:val="00BC4D15"/>
    <w:rsid w:val="00BE4C97"/>
    <w:rsid w:val="00BF5137"/>
    <w:rsid w:val="00C04662"/>
    <w:rsid w:val="00C52558"/>
    <w:rsid w:val="00C734B4"/>
    <w:rsid w:val="00C75744"/>
    <w:rsid w:val="00C91D34"/>
    <w:rsid w:val="00CF1F87"/>
    <w:rsid w:val="00D33DF5"/>
    <w:rsid w:val="00D44A96"/>
    <w:rsid w:val="00D91BBE"/>
    <w:rsid w:val="00DA2823"/>
    <w:rsid w:val="00DB7E94"/>
    <w:rsid w:val="00DD0E35"/>
    <w:rsid w:val="00DD1F2B"/>
    <w:rsid w:val="00DD6F5E"/>
    <w:rsid w:val="00DE6AD1"/>
    <w:rsid w:val="00DF6003"/>
    <w:rsid w:val="00E2641E"/>
    <w:rsid w:val="00E71478"/>
    <w:rsid w:val="00E75137"/>
    <w:rsid w:val="00E81DE9"/>
    <w:rsid w:val="00EA28B0"/>
    <w:rsid w:val="00EA70FA"/>
    <w:rsid w:val="00EB1525"/>
    <w:rsid w:val="00ED603C"/>
    <w:rsid w:val="00F05F5B"/>
    <w:rsid w:val="00F21371"/>
    <w:rsid w:val="00F30622"/>
    <w:rsid w:val="00F3326C"/>
    <w:rsid w:val="00F4339C"/>
    <w:rsid w:val="00FB488C"/>
    <w:rsid w:val="00FD7923"/>
    <w:rsid w:val="00FE31AA"/>
    <w:rsid w:val="00FE5615"/>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9D035"/>
  <w15:chartTrackingRefBased/>
  <w15:docId w15:val="{65020CF0-1C78-47A9-8E40-AB6A22DA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1A9"/>
    <w:rPr>
      <w:kern w:val="0"/>
      <w:lang w:val="en-US"/>
      <w14:ligatures w14:val="none"/>
    </w:rPr>
  </w:style>
  <w:style w:type="paragraph" w:styleId="Heading1">
    <w:name w:val="heading 1"/>
    <w:basedOn w:val="Normal"/>
    <w:next w:val="Normal"/>
    <w:link w:val="Heading1Char"/>
    <w:uiPriority w:val="9"/>
    <w:qFormat/>
    <w:rsid w:val="00AD7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7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7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7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7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7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7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1A9"/>
    <w:rPr>
      <w:rFonts w:eastAsiaTheme="majorEastAsia" w:cstheme="majorBidi"/>
      <w:color w:val="272727" w:themeColor="text1" w:themeTint="D8"/>
    </w:rPr>
  </w:style>
  <w:style w:type="paragraph" w:styleId="Title">
    <w:name w:val="Title"/>
    <w:basedOn w:val="Normal"/>
    <w:next w:val="Normal"/>
    <w:link w:val="TitleChar"/>
    <w:uiPriority w:val="10"/>
    <w:qFormat/>
    <w:rsid w:val="00AD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1A9"/>
    <w:pPr>
      <w:spacing w:before="160"/>
      <w:jc w:val="center"/>
    </w:pPr>
    <w:rPr>
      <w:i/>
      <w:iCs/>
      <w:color w:val="404040" w:themeColor="text1" w:themeTint="BF"/>
    </w:rPr>
  </w:style>
  <w:style w:type="character" w:customStyle="1" w:styleId="QuoteChar">
    <w:name w:val="Quote Char"/>
    <w:basedOn w:val="DefaultParagraphFont"/>
    <w:link w:val="Quote"/>
    <w:uiPriority w:val="29"/>
    <w:rsid w:val="00AD71A9"/>
    <w:rPr>
      <w:i/>
      <w:iCs/>
      <w:color w:val="404040" w:themeColor="text1" w:themeTint="BF"/>
    </w:rPr>
  </w:style>
  <w:style w:type="paragraph" w:styleId="ListParagraph">
    <w:name w:val="List Paragraph"/>
    <w:basedOn w:val="Normal"/>
    <w:uiPriority w:val="34"/>
    <w:qFormat/>
    <w:rsid w:val="00AD71A9"/>
    <w:pPr>
      <w:ind w:left="720"/>
      <w:contextualSpacing/>
    </w:pPr>
  </w:style>
  <w:style w:type="character" w:styleId="IntenseEmphasis">
    <w:name w:val="Intense Emphasis"/>
    <w:basedOn w:val="DefaultParagraphFont"/>
    <w:uiPriority w:val="21"/>
    <w:qFormat/>
    <w:rsid w:val="00AD71A9"/>
    <w:rPr>
      <w:i/>
      <w:iCs/>
      <w:color w:val="2F5496" w:themeColor="accent1" w:themeShade="BF"/>
    </w:rPr>
  </w:style>
  <w:style w:type="paragraph" w:styleId="IntenseQuote">
    <w:name w:val="Intense Quote"/>
    <w:basedOn w:val="Normal"/>
    <w:next w:val="Normal"/>
    <w:link w:val="IntenseQuoteChar"/>
    <w:uiPriority w:val="30"/>
    <w:qFormat/>
    <w:rsid w:val="00AD7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1A9"/>
    <w:rPr>
      <w:i/>
      <w:iCs/>
      <w:color w:val="2F5496" w:themeColor="accent1" w:themeShade="BF"/>
    </w:rPr>
  </w:style>
  <w:style w:type="character" w:styleId="IntenseReference">
    <w:name w:val="Intense Reference"/>
    <w:basedOn w:val="DefaultParagraphFont"/>
    <w:uiPriority w:val="32"/>
    <w:qFormat/>
    <w:rsid w:val="00AD71A9"/>
    <w:rPr>
      <w:b/>
      <w:bCs/>
      <w:smallCaps/>
      <w:color w:val="2F5496" w:themeColor="accent1" w:themeShade="BF"/>
      <w:spacing w:val="5"/>
    </w:rPr>
  </w:style>
  <w:style w:type="paragraph" w:styleId="NormalWeb">
    <w:name w:val="Normal (Web)"/>
    <w:basedOn w:val="Normal"/>
    <w:uiPriority w:val="99"/>
    <w:unhideWhenUsed/>
    <w:rsid w:val="00AD7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1A9"/>
    <w:rPr>
      <w:b/>
      <w:bCs/>
    </w:rPr>
  </w:style>
  <w:style w:type="paragraph" w:styleId="EndnoteText">
    <w:name w:val="endnote text"/>
    <w:basedOn w:val="Normal"/>
    <w:link w:val="EndnoteTextChar"/>
    <w:uiPriority w:val="99"/>
    <w:semiHidden/>
    <w:unhideWhenUsed/>
    <w:rsid w:val="00AD71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71A9"/>
    <w:rPr>
      <w:kern w:val="0"/>
      <w:sz w:val="20"/>
      <w:szCs w:val="20"/>
      <w:lang w:val="en-US"/>
      <w14:ligatures w14:val="none"/>
    </w:rPr>
  </w:style>
  <w:style w:type="character" w:styleId="EndnoteReference">
    <w:name w:val="endnote reference"/>
    <w:basedOn w:val="DefaultParagraphFont"/>
    <w:uiPriority w:val="99"/>
    <w:semiHidden/>
    <w:unhideWhenUsed/>
    <w:rsid w:val="00AD71A9"/>
    <w:rPr>
      <w:vertAlign w:val="superscript"/>
    </w:rPr>
  </w:style>
  <w:style w:type="paragraph" w:customStyle="1" w:styleId="EndNoteBibliographyTitle">
    <w:name w:val="EndNote Bibliography Title"/>
    <w:basedOn w:val="Normal"/>
    <w:link w:val="EndNoteBibliographyTitleChar"/>
    <w:rsid w:val="00AD71A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71A9"/>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AD71A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71A9"/>
    <w:rPr>
      <w:rFonts w:ascii="Calibri" w:hAnsi="Calibri" w:cs="Calibri"/>
      <w:noProof/>
      <w:kern w:val="0"/>
      <w:lang w:val="en-US"/>
      <w14:ligatures w14:val="none"/>
    </w:rPr>
  </w:style>
  <w:style w:type="paragraph" w:styleId="NoSpacing">
    <w:name w:val="No Spacing"/>
    <w:uiPriority w:val="1"/>
    <w:qFormat/>
    <w:rsid w:val="00AD71A9"/>
    <w:pPr>
      <w:spacing w:after="0" w:line="240" w:lineRule="auto"/>
    </w:pPr>
    <w:rPr>
      <w:kern w:val="0"/>
      <w:lang w:val="en-US"/>
      <w14:ligatures w14:val="none"/>
    </w:rPr>
  </w:style>
  <w:style w:type="paragraph" w:styleId="Header">
    <w:name w:val="header"/>
    <w:basedOn w:val="Normal"/>
    <w:link w:val="HeaderChar"/>
    <w:uiPriority w:val="99"/>
    <w:unhideWhenUsed/>
    <w:rsid w:val="00AD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A9"/>
    <w:rPr>
      <w:kern w:val="0"/>
      <w:lang w:val="en-US"/>
      <w14:ligatures w14:val="none"/>
    </w:rPr>
  </w:style>
  <w:style w:type="paragraph" w:styleId="Footer">
    <w:name w:val="footer"/>
    <w:basedOn w:val="Normal"/>
    <w:link w:val="FooterChar"/>
    <w:uiPriority w:val="99"/>
    <w:unhideWhenUsed/>
    <w:rsid w:val="00AD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A9"/>
    <w:rPr>
      <w:kern w:val="0"/>
      <w:lang w:val="en-US"/>
      <w14:ligatures w14:val="none"/>
    </w:rPr>
  </w:style>
  <w:style w:type="character" w:styleId="Hyperlink">
    <w:name w:val="Hyperlink"/>
    <w:basedOn w:val="DefaultParagraphFont"/>
    <w:uiPriority w:val="99"/>
    <w:unhideWhenUsed/>
    <w:rsid w:val="00AD71A9"/>
    <w:rPr>
      <w:color w:val="0000FF"/>
      <w:u w:val="single"/>
    </w:rPr>
  </w:style>
  <w:style w:type="character" w:customStyle="1" w:styleId="cite-bracket">
    <w:name w:val="cite-bracket"/>
    <w:basedOn w:val="DefaultParagraphFont"/>
    <w:rsid w:val="00AD71A9"/>
  </w:style>
  <w:style w:type="character" w:customStyle="1" w:styleId="mw-editsection">
    <w:name w:val="mw-editsection"/>
    <w:basedOn w:val="DefaultParagraphFont"/>
    <w:rsid w:val="00AD71A9"/>
  </w:style>
  <w:style w:type="character" w:customStyle="1" w:styleId="mw-editsection-bracket">
    <w:name w:val="mw-editsection-bracket"/>
    <w:basedOn w:val="DefaultParagraphFont"/>
    <w:rsid w:val="00AD71A9"/>
  </w:style>
  <w:style w:type="character" w:customStyle="1" w:styleId="mw-cite-backlink">
    <w:name w:val="mw-cite-backlink"/>
    <w:basedOn w:val="DefaultParagraphFont"/>
    <w:rsid w:val="00AD71A9"/>
  </w:style>
  <w:style w:type="character" w:customStyle="1" w:styleId="cite-accessibility-label">
    <w:name w:val="cite-accessibility-label"/>
    <w:basedOn w:val="DefaultParagraphFont"/>
    <w:rsid w:val="00AD71A9"/>
  </w:style>
  <w:style w:type="character" w:styleId="HTMLCite">
    <w:name w:val="HTML Cite"/>
    <w:basedOn w:val="DefaultParagraphFont"/>
    <w:uiPriority w:val="99"/>
    <w:semiHidden/>
    <w:unhideWhenUsed/>
    <w:rsid w:val="00AD71A9"/>
    <w:rPr>
      <w:i/>
      <w:iCs/>
    </w:rPr>
  </w:style>
  <w:style w:type="character" w:customStyle="1" w:styleId="reference-accessdate">
    <w:name w:val="reference-accessdate"/>
    <w:basedOn w:val="DefaultParagraphFont"/>
    <w:rsid w:val="00AD71A9"/>
  </w:style>
  <w:style w:type="character" w:customStyle="1" w:styleId="nowrap">
    <w:name w:val="nowrap"/>
    <w:basedOn w:val="DefaultParagraphFont"/>
    <w:rsid w:val="00AD71A9"/>
  </w:style>
  <w:style w:type="character" w:customStyle="1" w:styleId="katex-mathml">
    <w:name w:val="katex-mathml"/>
    <w:basedOn w:val="DefaultParagraphFont"/>
    <w:rsid w:val="00AD71A9"/>
  </w:style>
  <w:style w:type="character" w:customStyle="1" w:styleId="mord">
    <w:name w:val="mord"/>
    <w:basedOn w:val="DefaultParagraphFont"/>
    <w:rsid w:val="00AD71A9"/>
  </w:style>
  <w:style w:type="character" w:customStyle="1" w:styleId="mrel">
    <w:name w:val="mrel"/>
    <w:basedOn w:val="DefaultParagraphFont"/>
    <w:rsid w:val="00AD71A9"/>
  </w:style>
  <w:style w:type="character" w:customStyle="1" w:styleId="mopen">
    <w:name w:val="mopen"/>
    <w:basedOn w:val="DefaultParagraphFont"/>
    <w:rsid w:val="00AD71A9"/>
  </w:style>
  <w:style w:type="character" w:customStyle="1" w:styleId="vlist-s">
    <w:name w:val="vlist-s"/>
    <w:basedOn w:val="DefaultParagraphFont"/>
    <w:rsid w:val="00AD71A9"/>
  </w:style>
  <w:style w:type="character" w:customStyle="1" w:styleId="mbin">
    <w:name w:val="mbin"/>
    <w:basedOn w:val="DefaultParagraphFont"/>
    <w:rsid w:val="00AD71A9"/>
  </w:style>
  <w:style w:type="character" w:customStyle="1" w:styleId="mclose">
    <w:name w:val="mclose"/>
    <w:basedOn w:val="DefaultParagraphFont"/>
    <w:rsid w:val="00AD71A9"/>
  </w:style>
  <w:style w:type="character" w:styleId="Emphasis">
    <w:name w:val="Emphasis"/>
    <w:basedOn w:val="DefaultParagraphFont"/>
    <w:uiPriority w:val="20"/>
    <w:qFormat/>
    <w:rsid w:val="00AD71A9"/>
    <w:rPr>
      <w:i/>
      <w:iCs/>
    </w:rPr>
  </w:style>
  <w:style w:type="table" w:styleId="TableGrid">
    <w:name w:val="Table Grid"/>
    <w:basedOn w:val="TableNormal"/>
    <w:uiPriority w:val="59"/>
    <w:rsid w:val="00AD71A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1A9"/>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D71A9"/>
    <w:rPr>
      <w:rFonts w:ascii="Tahoma" w:hAnsi="Tahoma" w:cs="Tahoma"/>
      <w:kern w:val="0"/>
      <w:sz w:val="16"/>
      <w:szCs w:val="16"/>
      <w:lang w:val="en-GB"/>
      <w14:ligatures w14:val="none"/>
    </w:rPr>
  </w:style>
  <w:style w:type="table" w:styleId="PlainTable1">
    <w:name w:val="Plain Table 1"/>
    <w:basedOn w:val="TableNormal"/>
    <w:uiPriority w:val="41"/>
    <w:rsid w:val="00AD71A9"/>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C2590"/>
    <w:rPr>
      <w:color w:val="605E5C"/>
      <w:shd w:val="clear" w:color="auto" w:fill="E1DFDD"/>
    </w:rPr>
  </w:style>
  <w:style w:type="character" w:customStyle="1" w:styleId="go">
    <w:name w:val="go"/>
    <w:basedOn w:val="DefaultParagraphFont"/>
    <w:rsid w:val="0086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33-2909.109.1.90" TargetMode="External"/><Relationship Id="rId18" Type="http://schemas.openxmlformats.org/officeDocument/2006/relationships/hyperlink" Target="https://doi.org/10.18773/austprescr.2020.025" TargetMode="External"/><Relationship Id="rId26" Type="http://schemas.openxmlformats.org/officeDocument/2006/relationships/hyperlink" Target="https://doi.org/10.1001/jamacardio.2020.6323" TargetMode="External"/><Relationship Id="rId39" Type="http://schemas.openxmlformats.org/officeDocument/2006/relationships/hyperlink" Target="https://doi.org/10.1038/s41440-020-0518-x" TargetMode="External"/><Relationship Id="rId21" Type="http://schemas.openxmlformats.org/officeDocument/2006/relationships/hyperlink" Target="https://doi.org/10.4314/ejhs.v24i1.3" TargetMode="External"/><Relationship Id="rId34" Type="http://schemas.openxmlformats.org/officeDocument/2006/relationships/hyperlink" Target="https://doi.org/10.1038/s41572-023-00486-7" TargetMode="External"/><Relationship Id="rId42" Type="http://schemas.openxmlformats.org/officeDocument/2006/relationships/hyperlink" Target="https://doi.org/10.1098/rspb.1996.0238" TargetMode="External"/><Relationship Id="rId47" Type="http://schemas.openxmlformats.org/officeDocument/2006/relationships/hyperlink" Target="https://doc.rero.ch/record/319688/files/Steele_Uomini_2005.pdf" TargetMode="External"/><Relationship Id="rId50" Type="http://schemas.openxmlformats.org/officeDocument/2006/relationships/hyperlink" Target="https://www.who.int/whr/2002/en/whr02_en.pdf" TargetMode="External"/><Relationship Id="rId55" Type="http://schemas.openxmlformats.org/officeDocument/2006/relationships/footer" Target="footer2.xml"/><Relationship Id="rId7" Type="http://schemas.openxmlformats.org/officeDocument/2006/relationships/hyperlink" Target="https://doi.org/10.1186/s12889-019-7457-6" TargetMode="External"/><Relationship Id="rId2" Type="http://schemas.openxmlformats.org/officeDocument/2006/relationships/styles" Target="styles.xml"/><Relationship Id="rId16" Type="http://schemas.openxmlformats.org/officeDocument/2006/relationships/hyperlink" Target="https://doi.org/10.1016/j.evolhumbehav.2011.05.003" TargetMode="External"/><Relationship Id="rId29" Type="http://schemas.openxmlformats.org/officeDocument/2006/relationships/hyperlink" Target="https://doi.org/10.2147/IBPC.S276089" TargetMode="External"/><Relationship Id="rId11" Type="http://schemas.openxmlformats.org/officeDocument/2006/relationships/hyperlink" Target="https://doi.org/10.1001/jama.2022.19590" TargetMode="External"/><Relationship Id="rId24" Type="http://schemas.openxmlformats.org/officeDocument/2006/relationships/hyperlink" Target="https://en.wikipedia.org/wiki/Doi_(identifier)" TargetMode="External"/><Relationship Id="rId32" Type="http://schemas.openxmlformats.org/officeDocument/2006/relationships/hyperlink" Target="https://doi.org/10.1016/j.forsciint.2024.112149" TargetMode="External"/><Relationship Id="rId37" Type="http://schemas.openxmlformats.org/officeDocument/2006/relationships/hyperlink" Target="https://doi.org/10.1007/s11906-015-0600-y" TargetMode="External"/><Relationship Id="rId40" Type="http://schemas.openxmlformats.org/officeDocument/2006/relationships/hyperlink" Target="https://doi.org/10.1016/j.neulet.2011.06.025" TargetMode="External"/><Relationship Id="rId45" Type="http://schemas.openxmlformats.org/officeDocument/2006/relationships/hyperlink" Target="https://doi.org/10.1016/j.evolhumbehav.2011.06.00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01/archneur.1985.04060060019009" TargetMode="External"/><Relationship Id="rId4" Type="http://schemas.openxmlformats.org/officeDocument/2006/relationships/webSettings" Target="webSettings.xml"/><Relationship Id="rId9" Type="http://schemas.openxmlformats.org/officeDocument/2006/relationships/hyperlink" Target="https://doi.org/10.1212/01.wnl.0000147265.71911.65" TargetMode="External"/><Relationship Id="rId14" Type="http://schemas.openxmlformats.org/officeDocument/2006/relationships/hyperlink" Target="https://doi.org/10.4314/jeca.v8i2.55646" TargetMode="External"/><Relationship Id="rId22" Type="http://schemas.openxmlformats.org/officeDocument/2006/relationships/hyperlink" Target="https://doi.org/10.1038/s41581-019-0145-4" TargetMode="External"/><Relationship Id="rId27" Type="http://schemas.openxmlformats.org/officeDocument/2006/relationships/hyperlink" Target="https://doi.org/10.1186/s12889-021-12104-7" TargetMode="External"/><Relationship Id="rId30" Type="http://schemas.openxmlformats.org/officeDocument/2006/relationships/hyperlink" Target="https://doi.org/10.1097/HJH.0000000000002321" TargetMode="External"/><Relationship Id="rId35" Type="http://schemas.openxmlformats.org/officeDocument/2006/relationships/hyperlink" Target="https://doi.org/10.3389/fpsyg.2018.02153" TargetMode="External"/><Relationship Id="rId43" Type="http://schemas.openxmlformats.org/officeDocument/2006/relationships/hyperlink" Target="https://doi.org/10.1098/rsbl.2004.0200" TargetMode="External"/><Relationship Id="rId48" Type="http://schemas.openxmlformats.org/officeDocument/2006/relationships/hyperlink" Target="https://doi.org/10.1017/S0140525X05000105" TargetMode="External"/><Relationship Id="rId56" Type="http://schemas.openxmlformats.org/officeDocument/2006/relationships/header" Target="header3.xml"/><Relationship Id="rId8" Type="http://schemas.openxmlformats.org/officeDocument/2006/relationships/hyperlink" Target="https://doi.org/10.1097/HJH.0000000000000413" TargetMode="External"/><Relationship Id="rId51" Type="http://schemas.openxmlformats.org/officeDocument/2006/relationships/hyperlink" Target="https://doi.org/10.1038/s41569-021-00559-8" TargetMode="External"/><Relationship Id="rId3" Type="http://schemas.openxmlformats.org/officeDocument/2006/relationships/settings" Target="settings.xml"/><Relationship Id="rId12" Type="http://schemas.openxmlformats.org/officeDocument/2006/relationships/hyperlink" Target="https://doi.org/10.1007/s102119900011" TargetMode="External"/><Relationship Id="rId17" Type="http://schemas.openxmlformats.org/officeDocument/2006/relationships/hyperlink" Target="https://doi.org/10.1161/HYPERTENSIONAHA.111.171272" TargetMode="External"/><Relationship Id="rId25" Type="http://schemas.openxmlformats.org/officeDocument/2006/relationships/hyperlink" Target="https://doi.org/10.4314%2Ftjmr.v11i2.30477" TargetMode="External"/><Relationship Id="rId33" Type="http://schemas.openxmlformats.org/officeDocument/2006/relationships/hyperlink" Target="https://doi.org/10.1038/s41581-019-0244-2" TargetMode="External"/><Relationship Id="rId38" Type="http://schemas.openxmlformats.org/officeDocument/2006/relationships/hyperlink" Target="https://doi.org/10.1097/HJH.0000000000000728" TargetMode="External"/><Relationship Id="rId46" Type="http://schemas.openxmlformats.org/officeDocument/2006/relationships/hyperlink" Target="https://doi.org/10.1093/ajh/hpaa057" TargetMode="External"/><Relationship Id="rId59" Type="http://schemas.openxmlformats.org/officeDocument/2006/relationships/theme" Target="theme/theme1.xml"/><Relationship Id="rId20" Type="http://schemas.openxmlformats.org/officeDocument/2006/relationships/hyperlink" Target="https://doi.org/10.1098/rspb.2003.2669" TargetMode="External"/><Relationship Id="rId41" Type="http://schemas.openxmlformats.org/officeDocument/2006/relationships/hyperlink" Target="https://doi.org/10.1080/13576500244000274"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348/000712608X291563" TargetMode="External"/><Relationship Id="rId23" Type="http://schemas.openxmlformats.org/officeDocument/2006/relationships/hyperlink" Target="https://doi.org/10.21037/cdt-20-203" TargetMode="External"/><Relationship Id="rId28" Type="http://schemas.openxmlformats.org/officeDocument/2006/relationships/hyperlink" Target="https://doi.org/10.1111/j.1939-3938.2011.01122.x" TargetMode="External"/><Relationship Id="rId36" Type="http://schemas.openxmlformats.org/officeDocument/2006/relationships/hyperlink" Target="https://hdl.handle.net/10520/EJC23323" TargetMode="External"/><Relationship Id="rId49" Type="http://schemas.openxmlformats.org/officeDocument/2006/relationships/hyperlink" Target="https://doi.org/10.1161/CIRCULATIONAHA.117.032380" TargetMode="External"/><Relationship Id="rId57" Type="http://schemas.openxmlformats.org/officeDocument/2006/relationships/footer" Target="footer3.xml"/><Relationship Id="rId10" Type="http://schemas.openxmlformats.org/officeDocument/2006/relationships/hyperlink" Target="https://doi.org/10.1016/S0140-6736(21)00221-X" TargetMode="External"/><Relationship Id="rId31" Type="http://schemas.openxmlformats.org/officeDocument/2006/relationships/hyperlink" Target="https://doi.org/10.1080/02640410903536459" TargetMode="External"/><Relationship Id="rId44" Type="http://schemas.openxmlformats.org/officeDocument/2006/relationships/hyperlink" Target="https://doi.org/10.1515/enr-2016-0003"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22</Pages>
  <Words>8516</Words>
  <Characters>48544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Samuel Aguwa</dc:creator>
  <cp:keywords/>
  <dc:description/>
  <cp:lastModifiedBy>SDI 1067</cp:lastModifiedBy>
  <cp:revision>112</cp:revision>
  <dcterms:created xsi:type="dcterms:W3CDTF">2025-09-25T16:20:00Z</dcterms:created>
  <dcterms:modified xsi:type="dcterms:W3CDTF">2025-11-29T11:56:00Z</dcterms:modified>
</cp:coreProperties>
</file>