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2C4" w:rsidRPr="00F6357F" w:rsidRDefault="005262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262C4" w:rsidRPr="00F6357F">
        <w:trPr>
          <w:trHeight w:val="423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262C4" w:rsidRPr="00F6357F" w:rsidRDefault="005262C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290"/>
        </w:trPr>
        <w:tc>
          <w:tcPr>
            <w:tcW w:w="516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1" w:name="_dpt6bf4lv6eb" w:colFirst="0" w:colLast="0"/>
        <w:bookmarkEnd w:id="1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F6357F">
              <w:rPr>
                <w:rFonts w:ascii="Arial" w:hAnsi="Arial" w:cs="Arial"/>
                <w:sz w:val="20"/>
                <w:szCs w:val="20"/>
              </w:rPr>
              <w:instrText xml:space="preserve"> HYPERLINK "https://journalajl2c.com/index.php/AJL2C" \h </w:instrText>
            </w:r>
            <w:r w:rsidRPr="00F6357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357F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t>Asian Journal of Language, Literature and Culture Studies</w:t>
            </w:r>
            <w:r w:rsidRPr="00F6357F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  <w:r w:rsidRPr="00F6357F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262C4" w:rsidRPr="00F6357F">
        <w:trPr>
          <w:trHeight w:val="290"/>
        </w:trPr>
        <w:tc>
          <w:tcPr>
            <w:tcW w:w="516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Ms_AJL2C_150094</w:t>
            </w:r>
          </w:p>
        </w:tc>
      </w:tr>
      <w:tr w:rsidR="005262C4" w:rsidRPr="00F6357F">
        <w:trPr>
          <w:trHeight w:val="650"/>
        </w:trPr>
        <w:tc>
          <w:tcPr>
            <w:tcW w:w="516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Current Reading Instruction Practices and Gaps in </w:t>
            </w:r>
            <w:r w:rsidRPr="00F6357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Sinhala Literacy: A Survey of Primary Teachers in Sri Lanka</w:t>
            </w:r>
          </w:p>
        </w:tc>
      </w:tr>
      <w:tr w:rsidR="005262C4" w:rsidRPr="00F6357F">
        <w:trPr>
          <w:trHeight w:val="332"/>
        </w:trPr>
        <w:tc>
          <w:tcPr>
            <w:tcW w:w="516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5262C4" w:rsidRPr="00F6357F" w:rsidRDefault="005262C4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262C4" w:rsidRPr="00F6357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262C4" w:rsidRPr="00F6357F" w:rsidRDefault="00DC2A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F6357F">
              <w:rPr>
                <w:rFonts w:ascii="Arial" w:eastAsia="Times New Roman" w:hAnsi="Arial" w:cs="Arial"/>
                <w:highlight w:val="yellow"/>
              </w:rPr>
              <w:t>PART  1:</w:t>
            </w:r>
            <w:r w:rsidRPr="00F6357F">
              <w:rPr>
                <w:rFonts w:ascii="Arial" w:eastAsia="Times New Roman" w:hAnsi="Arial" w:cs="Arial"/>
              </w:rPr>
              <w:t xml:space="preserve"> Comments</w:t>
            </w: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2C4" w:rsidRPr="00F6357F">
        <w:tc>
          <w:tcPr>
            <w:tcW w:w="5351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5262C4" w:rsidRPr="00F6357F" w:rsidRDefault="00DC2A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F6357F">
              <w:rPr>
                <w:rFonts w:ascii="Arial" w:eastAsia="Times New Roman" w:hAnsi="Arial" w:cs="Arial"/>
              </w:rPr>
              <w:t>Reviewer’s comment</w:t>
            </w:r>
          </w:p>
          <w:p w:rsidR="005262C4" w:rsidRPr="00F6357F" w:rsidRDefault="00DC2A51">
            <w:pPr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262C4" w:rsidRPr="00F6357F" w:rsidRDefault="00DC2A51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F6357F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1264"/>
        </w:trPr>
        <w:tc>
          <w:tcPr>
            <w:tcW w:w="5351" w:type="dxa"/>
          </w:tcPr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262C4" w:rsidRPr="00F6357F" w:rsidRDefault="005262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This study is highly impo</w:t>
            </w:r>
            <w:r w:rsidRPr="00F6357F">
              <w:rPr>
                <w:rFonts w:ascii="Arial" w:hAnsi="Arial" w:cs="Arial"/>
                <w:sz w:val="20"/>
                <w:szCs w:val="20"/>
              </w:rPr>
              <w:t>rtant because it addresses systemic instructional gaps in Sinhala literacy acquisition, a critical, foundational skill in Sri Lankan primary education. The use of a descriptive mixed-methods approach, triangulating data from a large-scale survey (N=104) wi</w:t>
            </w:r>
            <w:r w:rsidRPr="00F6357F">
              <w:rPr>
                <w:rFonts w:ascii="Arial" w:hAnsi="Arial" w:cs="Arial"/>
                <w:sz w:val="20"/>
                <w:szCs w:val="20"/>
              </w:rPr>
              <w:t>th in-depth interviews and classroom observations, provides a robust, evidence-based view of the problem across all nine provinces. The specific identification of decoding difficulties with diacritics, weak syllable blending, and low fluency as core barrie</w:t>
            </w:r>
            <w:r w:rsidRPr="00F6357F">
              <w:rPr>
                <w:rFonts w:ascii="Arial" w:hAnsi="Arial" w:cs="Arial"/>
                <w:sz w:val="20"/>
                <w:szCs w:val="20"/>
              </w:rPr>
              <w:t>rs offers crucial, actionable insights for policy and the development of targeted, evidence-based teacher training programs for the unique challenges of the Sinhala script (an Abugida).</w:t>
            </w:r>
          </w:p>
        </w:tc>
        <w:tc>
          <w:tcPr>
            <w:tcW w:w="6442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1262"/>
        </w:trPr>
        <w:tc>
          <w:tcPr>
            <w:tcW w:w="5351" w:type="dxa"/>
          </w:tcPr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(If not please suggest an </w:t>
            </w: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alternative title)</w:t>
            </w:r>
          </w:p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Yes. The title is clear, descriptive, and accurately reflects the scope and context of the research (Current Reading Instruction Practices and Gaps in Sinhala Literacy: A Survey of Primary Teachers in Sri Lanka)</w:t>
            </w:r>
          </w:p>
        </w:tc>
        <w:tc>
          <w:tcPr>
            <w:tcW w:w="6442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1262"/>
        </w:trPr>
        <w:tc>
          <w:tcPr>
            <w:tcW w:w="5351" w:type="dxa"/>
          </w:tcPr>
          <w:p w:rsidR="005262C4" w:rsidRPr="00F6357F" w:rsidRDefault="00DC2A5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F6357F">
              <w:rPr>
                <w:rFonts w:ascii="Arial" w:eastAsia="Times New Roman" w:hAnsi="Arial" w:cs="Arial"/>
              </w:rPr>
              <w:t>Is the abstract of the</w:t>
            </w:r>
            <w:r w:rsidRPr="00F6357F">
              <w:rPr>
                <w:rFonts w:ascii="Arial" w:eastAsia="Times New Roman" w:hAnsi="Arial" w:cs="Arial"/>
              </w:rPr>
              <w:t xml:space="preserve"> article comprehensive? Do you suggest the addition (or deletion) of some points in this section? Please write your suggestions here.</w:t>
            </w:r>
          </w:p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 xml:space="preserve">Yes, it is largely comprehensive. It clearly covers the rationale, mixed-methods design, sample size (104 teachers), key </w:t>
            </w:r>
            <w:r w:rsidRPr="00F6357F">
              <w:rPr>
                <w:rFonts w:ascii="Arial" w:hAnsi="Arial" w:cs="Arial"/>
                <w:sz w:val="20"/>
                <w:szCs w:val="20"/>
              </w:rPr>
              <w:t>findings, and implications.</w:t>
            </w:r>
          </w:p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For full methodological transparency, the abstract should explicitly state the sample size for the qualitative component (12 interviews and 3 classroom observations), as this information is crucial for understanding the depth of</w:t>
            </w:r>
            <w:r w:rsidRPr="00F6357F">
              <w:rPr>
                <w:rFonts w:ascii="Arial" w:hAnsi="Arial" w:cs="Arial"/>
                <w:sz w:val="20"/>
                <w:szCs w:val="20"/>
              </w:rPr>
              <w:t xml:space="preserve"> the "mixed-methods design”</w:t>
            </w:r>
          </w:p>
        </w:tc>
        <w:tc>
          <w:tcPr>
            <w:tcW w:w="6442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704"/>
        </w:trPr>
        <w:tc>
          <w:tcPr>
            <w:tcW w:w="5351" w:type="dxa"/>
          </w:tcPr>
          <w:p w:rsidR="005262C4" w:rsidRPr="00F6357F" w:rsidRDefault="00DC2A5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F6357F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 xml:space="preserve">Yes, the manuscript is scientifically correct and methodologically sound. The study addresses clear objectives using an appropriate mixed-methods </w:t>
            </w:r>
            <w:proofErr w:type="gramStart"/>
            <w:r w:rsidRPr="00F6357F">
              <w:rPr>
                <w:rFonts w:ascii="Arial" w:hAnsi="Arial" w:cs="Arial"/>
                <w:sz w:val="20"/>
                <w:szCs w:val="20"/>
              </w:rPr>
              <w:t>design ,</w:t>
            </w:r>
            <w:proofErr w:type="gramEnd"/>
            <w:r w:rsidRPr="00F6357F">
              <w:rPr>
                <w:rFonts w:ascii="Arial" w:hAnsi="Arial" w:cs="Arial"/>
                <w:sz w:val="20"/>
                <w:szCs w:val="20"/>
              </w:rPr>
              <w:t xml:space="preserve"> providing</w:t>
            </w:r>
            <w:r w:rsidRPr="00F6357F">
              <w:rPr>
                <w:rFonts w:ascii="Arial" w:hAnsi="Arial" w:cs="Arial"/>
                <w:sz w:val="20"/>
                <w:szCs w:val="20"/>
              </w:rPr>
              <w:t xml:space="preserve"> robust data triangulation that strengthens the credibility of the findings.</w:t>
            </w:r>
          </w:p>
        </w:tc>
        <w:tc>
          <w:tcPr>
            <w:tcW w:w="6442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703"/>
        </w:trPr>
        <w:tc>
          <w:tcPr>
            <w:tcW w:w="5351" w:type="dxa"/>
          </w:tcPr>
          <w:p w:rsidR="005262C4" w:rsidRPr="00F6357F" w:rsidRDefault="00DC2A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 xml:space="preserve">Yes, the references are sufficient and appropriately balanced. They include foundational international literacy studies (e.g., National Reading Panel, 2000; Snow, Burns, &amp; Griffin, 1998) and recent, highly relevant Sinhala-specific research (e.g., </w:t>
            </w:r>
            <w:proofErr w:type="spellStart"/>
            <w:r w:rsidRPr="00F6357F">
              <w:rPr>
                <w:rFonts w:ascii="Arial" w:hAnsi="Arial" w:cs="Arial"/>
                <w:sz w:val="20"/>
                <w:szCs w:val="20"/>
              </w:rPr>
              <w:t>Sumanase</w:t>
            </w:r>
            <w:r w:rsidRPr="00F6357F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F6357F">
              <w:rPr>
                <w:rFonts w:ascii="Arial" w:hAnsi="Arial" w:cs="Arial"/>
                <w:sz w:val="20"/>
                <w:szCs w:val="20"/>
              </w:rPr>
              <w:t xml:space="preserve"> et al., 2025; </w:t>
            </w:r>
            <w:proofErr w:type="spellStart"/>
            <w:r w:rsidRPr="00F6357F">
              <w:rPr>
                <w:rFonts w:ascii="Arial" w:hAnsi="Arial" w:cs="Arial"/>
                <w:sz w:val="20"/>
                <w:szCs w:val="20"/>
              </w:rPr>
              <w:t>Wijaythilake</w:t>
            </w:r>
            <w:proofErr w:type="spellEnd"/>
            <w:r w:rsidRPr="00F6357F">
              <w:rPr>
                <w:rFonts w:ascii="Arial" w:hAnsi="Arial" w:cs="Arial"/>
                <w:sz w:val="20"/>
                <w:szCs w:val="20"/>
              </w:rPr>
              <w:t xml:space="preserve"> et al., 2018)</w:t>
            </w:r>
          </w:p>
        </w:tc>
        <w:tc>
          <w:tcPr>
            <w:tcW w:w="6442" w:type="dxa"/>
          </w:tcPr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386"/>
        </w:trPr>
        <w:tc>
          <w:tcPr>
            <w:tcW w:w="5351" w:type="dxa"/>
          </w:tcPr>
          <w:p w:rsidR="005262C4" w:rsidRPr="00F6357F" w:rsidRDefault="00DC2A5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F6357F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262C4" w:rsidRPr="00F6357F" w:rsidRDefault="00DC2A51">
            <w:pPr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The language is suitable.</w:t>
            </w:r>
          </w:p>
        </w:tc>
        <w:tc>
          <w:tcPr>
            <w:tcW w:w="6442" w:type="dxa"/>
          </w:tcPr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2C4" w:rsidRPr="00F6357F">
        <w:trPr>
          <w:trHeight w:val="1178"/>
        </w:trPr>
        <w:tc>
          <w:tcPr>
            <w:tcW w:w="5351" w:type="dxa"/>
          </w:tcPr>
          <w:p w:rsidR="005262C4" w:rsidRPr="00F6357F" w:rsidRDefault="00DC2A5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F6357F">
              <w:rPr>
                <w:rFonts w:ascii="Arial" w:eastAsia="Times New Roman" w:hAnsi="Arial" w:cs="Arial"/>
                <w:u w:val="single"/>
              </w:rPr>
              <w:t>Optional/General</w:t>
            </w:r>
            <w:r w:rsidRPr="00F6357F">
              <w:rPr>
                <w:rFonts w:ascii="Arial" w:eastAsia="Times New Roman" w:hAnsi="Arial" w:cs="Arial"/>
              </w:rPr>
              <w:t xml:space="preserve"> </w:t>
            </w:r>
            <w:r w:rsidRPr="00F6357F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262C4" w:rsidRPr="00F6357F" w:rsidRDefault="005262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5262C4" w:rsidRPr="00F6357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6357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F6357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5262C4" w:rsidRPr="00F6357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2C4" w:rsidRPr="00F6357F" w:rsidRDefault="00DC2A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F6357F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5262C4" w:rsidRPr="00F6357F" w:rsidRDefault="00DC2A51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F6357F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262C4" w:rsidRPr="00F6357F" w:rsidRDefault="005262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262C4" w:rsidRPr="00F6357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6357F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F6357F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F6357F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2C4" w:rsidRPr="00F6357F" w:rsidRDefault="00526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62C4" w:rsidRPr="00F6357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2C4" w:rsidRPr="00F6357F" w:rsidRDefault="00DC2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35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2C4" w:rsidRPr="00F6357F" w:rsidRDefault="00DC2A51">
            <w:pPr>
              <w:rPr>
                <w:rFonts w:ascii="Arial" w:hAnsi="Arial" w:cs="Arial"/>
                <w:sz w:val="20"/>
                <w:szCs w:val="20"/>
              </w:rPr>
            </w:pPr>
            <w:r w:rsidRPr="00F6357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2C4" w:rsidRPr="00F6357F" w:rsidRDefault="005262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6357F" w:rsidRPr="00F6357F" w:rsidRDefault="00F6357F" w:rsidP="00F6357F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F6357F" w:rsidRPr="00F6357F" w:rsidRDefault="00F6357F" w:rsidP="00F6357F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F6357F">
        <w:rPr>
          <w:rFonts w:ascii="Arial" w:hAnsi="Arial" w:cs="Arial"/>
          <w:b/>
          <w:u w:val="single"/>
        </w:rPr>
        <w:t>Reviewer details:</w:t>
      </w:r>
    </w:p>
    <w:p w:rsidR="00F6357F" w:rsidRPr="00F6357F" w:rsidRDefault="00F6357F" w:rsidP="00F6357F">
      <w:pPr>
        <w:rPr>
          <w:rFonts w:ascii="Arial" w:hAnsi="Arial" w:cs="Arial"/>
          <w:sz w:val="20"/>
          <w:szCs w:val="20"/>
        </w:rPr>
      </w:pPr>
      <w:r w:rsidRPr="00F6357F">
        <w:rPr>
          <w:rFonts w:ascii="Arial" w:hAnsi="Arial" w:cs="Arial"/>
          <w:color w:val="000000"/>
          <w:sz w:val="20"/>
          <w:szCs w:val="20"/>
        </w:rPr>
        <w:t xml:space="preserve">Gulab </w:t>
      </w:r>
      <w:proofErr w:type="gramStart"/>
      <w:r w:rsidRPr="00F6357F">
        <w:rPr>
          <w:rFonts w:ascii="Arial" w:hAnsi="Arial" w:cs="Arial"/>
          <w:color w:val="000000"/>
          <w:sz w:val="20"/>
          <w:szCs w:val="20"/>
        </w:rPr>
        <w:t xml:space="preserve">Ali </w:t>
      </w:r>
      <w:r w:rsidRPr="00F6357F">
        <w:rPr>
          <w:rFonts w:ascii="Arial" w:hAnsi="Arial" w:cs="Arial"/>
          <w:sz w:val="20"/>
          <w:szCs w:val="20"/>
        </w:rPr>
        <w:t>,</w:t>
      </w:r>
      <w:proofErr w:type="gramEnd"/>
      <w:r w:rsidRPr="00F6357F">
        <w:rPr>
          <w:rFonts w:ascii="Arial" w:hAnsi="Arial" w:cs="Arial"/>
          <w:sz w:val="20"/>
          <w:szCs w:val="20"/>
        </w:rPr>
        <w:t xml:space="preserve"> </w:t>
      </w:r>
      <w:r w:rsidRPr="00F6357F">
        <w:rPr>
          <w:rFonts w:ascii="Arial" w:hAnsi="Arial" w:cs="Arial"/>
          <w:color w:val="000000"/>
          <w:sz w:val="20"/>
          <w:szCs w:val="20"/>
        </w:rPr>
        <w:t>Government Associate College</w:t>
      </w:r>
      <w:r w:rsidRPr="00F6357F">
        <w:rPr>
          <w:rFonts w:ascii="Arial" w:hAnsi="Arial" w:cs="Arial"/>
          <w:sz w:val="20"/>
          <w:szCs w:val="20"/>
        </w:rPr>
        <w:t xml:space="preserve">, </w:t>
      </w:r>
      <w:r w:rsidRPr="00F6357F">
        <w:rPr>
          <w:rFonts w:ascii="Arial" w:hAnsi="Arial" w:cs="Arial"/>
          <w:color w:val="000000"/>
          <w:sz w:val="20"/>
          <w:szCs w:val="20"/>
        </w:rPr>
        <w:t xml:space="preserve">Pakistan </w:t>
      </w:r>
    </w:p>
    <w:bookmarkEnd w:id="0"/>
    <w:p w:rsidR="005262C4" w:rsidRPr="00F6357F" w:rsidRDefault="005262C4" w:rsidP="00F635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5262C4" w:rsidRPr="00F6357F">
      <w:headerReference w:type="default" r:id="rId6"/>
      <w:footerReference w:type="default" r:id="rId7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A51" w:rsidRDefault="00DC2A51">
      <w:r>
        <w:separator/>
      </w:r>
    </w:p>
  </w:endnote>
  <w:endnote w:type="continuationSeparator" w:id="0">
    <w:p w:rsidR="00DC2A51" w:rsidRDefault="00DC2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A8D0706-6E89-4955-9F8F-28BADDDD5F5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98B7935-A165-49C0-8B67-8C7208818C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E3D2E3-E6EF-4F16-94B3-8A6892040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9F5B47-00E2-4C97-85C0-07F93461F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C4" w:rsidRDefault="00DC2A5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A51" w:rsidRDefault="00DC2A51">
      <w:r>
        <w:separator/>
      </w:r>
    </w:p>
  </w:footnote>
  <w:footnote w:type="continuationSeparator" w:id="0">
    <w:p w:rsidR="00DC2A51" w:rsidRDefault="00DC2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2C4" w:rsidRDefault="005262C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262C4" w:rsidRDefault="00DC2A5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2C4"/>
    <w:rsid w:val="005262C4"/>
    <w:rsid w:val="00DC2A51"/>
    <w:rsid w:val="00F6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60264-A632-49F6-8B20-3480DD71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F6357F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9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4</cp:revision>
  <dcterms:created xsi:type="dcterms:W3CDTF">2025-12-13T08:19:00Z</dcterms:created>
  <dcterms:modified xsi:type="dcterms:W3CDTF">2025-12-18T05:56:00Z</dcterms:modified>
</cp:coreProperties>
</file>