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AD8D3">
      <w:pPr>
        <w:pStyle w:val="20"/>
        <w:spacing w:line="240" w:lineRule="auto"/>
        <w:rPr>
          <w:rFonts w:ascii="Arial" w:hAnsi="Arial" w:cs="Arial"/>
          <w:bCs/>
          <w:iCs/>
          <w:kern w:val="28"/>
          <w:sz w:val="36"/>
        </w:rPr>
      </w:pPr>
      <w:r>
        <w:rPr>
          <w:rFonts w:hint="eastAsia" w:ascii="Arial" w:hAnsi="Arial" w:cs="Arial"/>
          <w:bCs/>
          <w:iCs/>
          <w:kern w:val="28"/>
          <w:sz w:val="36"/>
        </w:rPr>
        <w:t>Improving Undergraduate English Writing through Metacognitive Strategy-Based Instruction: Implications for Self-Regulated Learning</w:t>
      </w:r>
    </w:p>
    <w:p w14:paraId="3D5CD405">
      <w:pPr>
        <w:pStyle w:val="20"/>
        <w:spacing w:line="240" w:lineRule="auto"/>
        <w:jc w:val="both"/>
        <w:rPr>
          <w:rFonts w:ascii="Arial" w:hAnsi="Arial" w:cs="Arial"/>
          <w:sz w:val="36"/>
        </w:rPr>
      </w:pPr>
    </w:p>
    <w:p w14:paraId="68DBD134">
      <w:pPr>
        <w:pStyle w:val="21"/>
        <w:spacing w:after="0" w:line="240" w:lineRule="auto"/>
        <w:rPr>
          <w:rFonts w:ascii="Arial" w:hAnsi="Arial" w:cs="Arial"/>
        </w:rPr>
      </w:pPr>
    </w:p>
    <w:p w14:paraId="53F5A9DB">
      <w:pPr>
        <w:pStyle w:val="32"/>
        <w:spacing w:after="0" w:line="240" w:lineRule="auto"/>
        <w:jc w:val="both"/>
        <w:rPr>
          <w:rFonts w:ascii="Arial" w:hAnsi="Arial" w:cs="Arial"/>
        </w:rPr>
        <w:sectPr>
          <w:headerReference r:id="rId5" w:type="first"/>
          <w:footerReference r:id="rId6" w:type="first"/>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114300" distR="114300">
                <wp:extent cx="5303520" cy="0"/>
                <wp:effectExtent l="0" t="9525" r="1905" b="952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自选图形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EhB3zwAAAAIBAAAPAAAAAAAAAAEAIAAAACIAAABkcnMvZG93bnJldi54bWxQSwECFAAUAAAACACH&#10;TuJAzfz8jPQBAADkAwAADgAAAAAAAAABACAAAAAeAQAAZHJzL2Uyb0RvYy54bWxQSwUGAAAAAAYA&#10;BgBZAQAAhAUAAAAA&#10;">
                <v:fill on="f" focussize="0,0"/>
                <v:stroke weight="1.5pt" color="#000000" joinstyle="round"/>
                <v:imagedata o:title=""/>
                <o:lock v:ext="edit" aspectratio="f"/>
                <w10:wrap type="none"/>
                <w10:anchorlock/>
              </v:shape>
            </w:pict>
          </mc:Fallback>
        </mc:AlternateContent>
      </w:r>
      <w:r>
        <w:rPr>
          <w:rFonts w:ascii="Arial" w:hAnsi="Arial" w:cs="Arial"/>
        </w:rPr>
        <w:t>.</w:t>
      </w:r>
    </w:p>
    <w:p w14:paraId="12821AF7">
      <w:pPr>
        <w:pStyle w:val="23"/>
        <w:spacing w:after="0"/>
        <w:jc w:val="both"/>
        <w:rPr>
          <w:rFonts w:ascii="Arial" w:hAnsi="Arial" w:cs="Arial"/>
        </w:rPr>
      </w:pPr>
      <w:r>
        <w:rPr>
          <w:rFonts w:ascii="Arial" w:hAnsi="Arial" w:cs="Arial"/>
        </w:rPr>
        <w:t>ABSTRACT</w:t>
      </w:r>
    </w:p>
    <w:p w14:paraId="2451387E">
      <w:pPr>
        <w:pStyle w:val="23"/>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3F45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5AF10D8B">
            <w:pPr>
              <w:pStyle w:val="22"/>
              <w:spacing w:after="0"/>
              <w:rPr>
                <w:rFonts w:ascii="Arial" w:hAnsi="Arial" w:eastAsia="Calibri" w:cs="Arial"/>
                <w:b/>
                <w:szCs w:val="22"/>
              </w:rPr>
            </w:pPr>
            <w:r>
              <w:rPr>
                <w:rFonts w:ascii="Arial" w:hAnsi="Arial" w:eastAsia="Calibri" w:cs="Arial"/>
                <w:b/>
                <w:szCs w:val="22"/>
              </w:rPr>
              <w:t xml:space="preserve">Aims: </w:t>
            </w:r>
            <w:r>
              <w:rPr>
                <w:rFonts w:ascii="Arial" w:hAnsi="Arial" w:eastAsia="Calibri" w:cs="Arial"/>
                <w:bCs/>
                <w:szCs w:val="22"/>
              </w:rPr>
              <w:t>This study aims to explore the impact of metacognitive strategy training on undergraduate students</w:t>
            </w:r>
            <w:r>
              <w:rPr>
                <w:rFonts w:ascii="Arial" w:hAnsi="Arial" w:eastAsia="SimSun" w:cs="Arial"/>
                <w:bCs/>
                <w:szCs w:val="22"/>
                <w:lang w:eastAsia="zh-CN"/>
              </w:rPr>
              <w:t>’</w:t>
            </w:r>
            <w:r>
              <w:rPr>
                <w:rFonts w:ascii="Arial" w:hAnsi="Arial" w:eastAsia="Calibri" w:cs="Arial"/>
                <w:bCs/>
                <w:szCs w:val="22"/>
              </w:rPr>
              <w:t xml:space="preserve"> self-regulated learning ability and writing quality in English writing.</w:t>
            </w:r>
          </w:p>
          <w:p w14:paraId="6CA16A2E">
            <w:pPr>
              <w:pStyle w:val="22"/>
              <w:spacing w:after="0"/>
              <w:rPr>
                <w:rFonts w:ascii="Arial" w:hAnsi="Arial" w:eastAsia="Calibri" w:cs="Arial"/>
                <w:szCs w:val="22"/>
              </w:rPr>
            </w:pPr>
            <w:r>
              <w:rPr>
                <w:rFonts w:ascii="Arial" w:hAnsi="Arial" w:eastAsia="Calibri" w:cs="Arial"/>
                <w:b/>
                <w:bCs/>
                <w:szCs w:val="22"/>
              </w:rPr>
              <w:t>Methodology:</w:t>
            </w:r>
            <w:r>
              <w:rPr>
                <w:rFonts w:ascii="Arial" w:hAnsi="Arial" w:eastAsia="Calibri" w:cs="Arial"/>
                <w:szCs w:val="22"/>
              </w:rPr>
              <w:t xml:space="preserve"> Based on Flavell</w:t>
            </w:r>
            <w:r>
              <w:rPr>
                <w:rFonts w:ascii="Arial" w:hAnsi="Arial" w:eastAsia="SimSun" w:cs="Arial"/>
                <w:szCs w:val="22"/>
                <w:lang w:eastAsia="zh-CN"/>
              </w:rPr>
              <w:t xml:space="preserve">’ </w:t>
            </w:r>
            <w:r>
              <w:rPr>
                <w:rFonts w:ascii="Arial" w:hAnsi="Arial" w:eastAsia="Calibri" w:cs="Arial"/>
                <w:szCs w:val="22"/>
              </w:rPr>
              <w:t>s theory of metacognition, this paper designs a systematic metacognitive strategy training program, including pre-writing planning strategies, in-writing monitoring strategies, and post-writing reflection and revision strategies. Through teaching experiments, the study investigates whether the training program can effectively improve undergraduates</w:t>
            </w:r>
            <w:r>
              <w:rPr>
                <w:rFonts w:ascii="Arial" w:hAnsi="Arial" w:eastAsia="SimSun" w:cs="Arial"/>
                <w:szCs w:val="22"/>
                <w:lang w:eastAsia="zh-CN"/>
              </w:rPr>
              <w:t>’</w:t>
            </w:r>
            <w:r>
              <w:rPr>
                <w:rFonts w:ascii="Arial" w:hAnsi="Arial" w:eastAsia="Calibri" w:cs="Arial"/>
                <w:szCs w:val="22"/>
              </w:rPr>
              <w:t xml:space="preserve"> self-regulated learning ability in the English writing process and ultimately enhance their writing quality.</w:t>
            </w:r>
          </w:p>
          <w:p w14:paraId="07735B01">
            <w:pPr>
              <w:pStyle w:val="22"/>
              <w:spacing w:after="0"/>
              <w:rPr>
                <w:rFonts w:ascii="Arial" w:hAnsi="Arial" w:eastAsia="Calibri" w:cs="Arial"/>
                <w:b/>
                <w:bCs/>
                <w:szCs w:val="22"/>
              </w:rPr>
            </w:pPr>
            <w:r>
              <w:rPr>
                <w:rFonts w:ascii="Arial" w:hAnsi="Arial" w:eastAsia="Calibri" w:cs="Arial"/>
                <w:b/>
                <w:bCs/>
                <w:szCs w:val="22"/>
              </w:rPr>
              <w:t>Results</w:t>
            </w:r>
            <w:r>
              <w:rPr>
                <w:rFonts w:ascii="Arial" w:hAnsi="Arial" w:eastAsia="SimSun" w:cs="Arial"/>
                <w:b/>
                <w:bCs/>
                <w:szCs w:val="22"/>
                <w:lang w:eastAsia="zh-CN"/>
              </w:rPr>
              <w:t xml:space="preserve">: </w:t>
            </w:r>
            <w:r>
              <w:rPr>
                <w:rFonts w:ascii="Arial" w:hAnsi="Arial" w:eastAsia="Calibri" w:cs="Arial"/>
                <w:szCs w:val="22"/>
              </w:rPr>
              <w:t>The results show that metacognitive strategy training can significantly enhance students</w:t>
            </w:r>
            <w:r>
              <w:rPr>
                <w:rFonts w:ascii="Arial" w:hAnsi="Arial" w:eastAsia="SimSun" w:cs="Arial"/>
                <w:szCs w:val="22"/>
                <w:lang w:eastAsia="zh-CN"/>
              </w:rPr>
              <w:t>’</w:t>
            </w:r>
            <w:r>
              <w:rPr>
                <w:rFonts w:ascii="Arial" w:hAnsi="Arial" w:eastAsia="Calibri" w:cs="Arial"/>
                <w:szCs w:val="22"/>
              </w:rPr>
              <w:t xml:space="preserve"> self-regulated learning ability and have a positive impact on writing quality. </w:t>
            </w:r>
          </w:p>
          <w:p w14:paraId="6F76E53D">
            <w:pPr>
              <w:pStyle w:val="22"/>
              <w:spacing w:after="0"/>
              <w:rPr>
                <w:rFonts w:ascii="Arial" w:hAnsi="Arial" w:eastAsia="Calibri" w:cs="Arial"/>
                <w:szCs w:val="22"/>
              </w:rPr>
            </w:pPr>
            <w:r>
              <w:rPr>
                <w:rFonts w:ascii="Arial" w:hAnsi="Arial" w:eastAsia="Calibri" w:cs="Arial"/>
                <w:b/>
                <w:bCs/>
                <w:szCs w:val="22"/>
              </w:rPr>
              <w:t>Conclusion:</w:t>
            </w:r>
            <w:r>
              <w:rPr>
                <w:rFonts w:ascii="Arial" w:hAnsi="Arial" w:eastAsia="Calibri" w:cs="Arial"/>
                <w:szCs w:val="22"/>
              </w:rPr>
              <w:t xml:space="preserve"> From the perspective of </w:t>
            </w:r>
            <w:r>
              <w:rPr>
                <w:rFonts w:ascii="Arial" w:hAnsi="Arial" w:eastAsia="SimSun" w:cs="Arial"/>
                <w:szCs w:val="22"/>
                <w:lang w:eastAsia="zh-CN"/>
              </w:rPr>
              <w:t>“</w:t>
            </w:r>
            <w:r>
              <w:rPr>
                <w:rFonts w:ascii="Arial" w:hAnsi="Arial" w:eastAsia="Calibri" w:cs="Arial"/>
                <w:szCs w:val="22"/>
              </w:rPr>
              <w:t>teaching a man to fish,</w:t>
            </w:r>
            <w:r>
              <w:rPr>
                <w:rFonts w:ascii="Arial" w:hAnsi="Arial" w:eastAsia="SimSun" w:cs="Arial"/>
                <w:szCs w:val="22"/>
                <w:lang w:eastAsia="zh-CN"/>
              </w:rPr>
              <w:t>”</w:t>
            </w:r>
            <w:r>
              <w:rPr>
                <w:rFonts w:ascii="Arial" w:hAnsi="Arial" w:eastAsia="Calibri" w:cs="Arial"/>
                <w:szCs w:val="22"/>
              </w:rPr>
              <w:t xml:space="preserve"> this study emphasizes the importance of cultivating students</w:t>
            </w:r>
            <w:r>
              <w:rPr>
                <w:rFonts w:ascii="Arial" w:hAnsi="Arial" w:eastAsia="SimSun" w:cs="Arial"/>
                <w:szCs w:val="22"/>
                <w:lang w:eastAsia="zh-CN"/>
              </w:rPr>
              <w:t>’</w:t>
            </w:r>
            <w:r>
              <w:rPr>
                <w:rFonts w:ascii="Arial" w:hAnsi="Arial" w:eastAsia="Calibri" w:cs="Arial"/>
                <w:szCs w:val="22"/>
              </w:rPr>
              <w:t xml:space="preserve"> autonomous writing and lifelong learning abilities, with the aim of addressing the pain points in English writing teaching where students learn but cannot apply, write but cannot revise.</w:t>
            </w:r>
          </w:p>
        </w:tc>
      </w:tr>
    </w:tbl>
    <w:p w14:paraId="624D3E14">
      <w:pPr>
        <w:pStyle w:val="22"/>
        <w:spacing w:after="0"/>
        <w:rPr>
          <w:rFonts w:ascii="Arial" w:hAnsi="Arial" w:cs="Arial"/>
          <w:i/>
        </w:rPr>
      </w:pPr>
    </w:p>
    <w:p w14:paraId="485375CF">
      <w:pPr>
        <w:pStyle w:val="22"/>
        <w:spacing w:after="0"/>
        <w:rPr>
          <w:rFonts w:ascii="Arial" w:hAnsi="Arial" w:cs="Arial"/>
          <w:i/>
        </w:rPr>
      </w:pPr>
      <w:r>
        <w:rPr>
          <w:rFonts w:ascii="Arial" w:hAnsi="Arial" w:cs="Arial"/>
          <w:i/>
        </w:rPr>
        <w:t xml:space="preserve">Keywords: </w:t>
      </w:r>
      <w:r>
        <w:rPr>
          <w:rFonts w:hint="eastAsia" w:ascii="Arial" w:hAnsi="Arial" w:eastAsia="SimSun" w:cs="Arial"/>
          <w:i/>
          <w:lang w:eastAsia="zh-CN"/>
        </w:rPr>
        <w:t>M</w:t>
      </w:r>
      <w:r>
        <w:rPr>
          <w:rFonts w:hint="eastAsia" w:ascii="Arial" w:hAnsi="Arial" w:cs="Arial"/>
          <w:i/>
        </w:rPr>
        <w:t xml:space="preserve">etacognitive </w:t>
      </w:r>
      <w:r>
        <w:rPr>
          <w:rFonts w:hint="eastAsia" w:ascii="Arial" w:hAnsi="Arial" w:eastAsia="SimSun" w:cs="Arial"/>
          <w:i/>
          <w:lang w:eastAsia="zh-CN"/>
        </w:rPr>
        <w:t>S</w:t>
      </w:r>
      <w:r>
        <w:rPr>
          <w:rFonts w:hint="eastAsia" w:ascii="Arial" w:hAnsi="Arial" w:cs="Arial"/>
          <w:i/>
        </w:rPr>
        <w:t xml:space="preserve">trategies; </w:t>
      </w:r>
      <w:r>
        <w:rPr>
          <w:rFonts w:hint="eastAsia" w:ascii="Arial" w:hAnsi="Arial" w:eastAsia="SimSun" w:cs="Arial"/>
          <w:i/>
          <w:lang w:eastAsia="zh-CN"/>
        </w:rPr>
        <w:t>S</w:t>
      </w:r>
      <w:r>
        <w:rPr>
          <w:rFonts w:hint="eastAsia" w:ascii="Arial" w:hAnsi="Arial" w:cs="Arial"/>
          <w:i/>
        </w:rPr>
        <w:t xml:space="preserve">elf-regulated </w:t>
      </w:r>
      <w:r>
        <w:rPr>
          <w:rFonts w:hint="eastAsia" w:ascii="Arial" w:hAnsi="Arial" w:eastAsia="SimSun" w:cs="Arial"/>
          <w:i/>
          <w:lang w:eastAsia="zh-CN"/>
        </w:rPr>
        <w:t>L</w:t>
      </w:r>
      <w:r>
        <w:rPr>
          <w:rFonts w:hint="eastAsia" w:ascii="Arial" w:hAnsi="Arial" w:cs="Arial"/>
          <w:i/>
        </w:rPr>
        <w:t xml:space="preserve">earning </w:t>
      </w:r>
      <w:r>
        <w:rPr>
          <w:rFonts w:hint="eastAsia" w:ascii="Arial" w:hAnsi="Arial" w:eastAsia="SimSun" w:cs="Arial"/>
          <w:i/>
          <w:lang w:eastAsia="zh-CN"/>
        </w:rPr>
        <w:t>A</w:t>
      </w:r>
      <w:r>
        <w:rPr>
          <w:rFonts w:hint="eastAsia" w:ascii="Arial" w:hAnsi="Arial" w:cs="Arial"/>
          <w:i/>
        </w:rPr>
        <w:t xml:space="preserve">bility; English </w:t>
      </w:r>
      <w:r>
        <w:rPr>
          <w:rFonts w:hint="eastAsia" w:ascii="Arial" w:hAnsi="Arial" w:eastAsia="SimSun" w:cs="Arial"/>
          <w:i/>
          <w:lang w:eastAsia="zh-CN"/>
        </w:rPr>
        <w:t>W</w:t>
      </w:r>
      <w:r>
        <w:rPr>
          <w:rFonts w:hint="eastAsia" w:ascii="Arial" w:hAnsi="Arial" w:cs="Arial"/>
          <w:i/>
        </w:rPr>
        <w:t xml:space="preserve">riting; </w:t>
      </w:r>
      <w:r>
        <w:rPr>
          <w:rFonts w:hint="eastAsia" w:ascii="Arial" w:hAnsi="Arial" w:eastAsia="SimSun" w:cs="Arial"/>
          <w:i/>
          <w:lang w:eastAsia="zh-CN"/>
        </w:rPr>
        <w:t>W</w:t>
      </w:r>
      <w:r>
        <w:rPr>
          <w:rFonts w:hint="eastAsia" w:ascii="Arial" w:hAnsi="Arial" w:cs="Arial"/>
          <w:i/>
        </w:rPr>
        <w:t xml:space="preserve">riting </w:t>
      </w:r>
      <w:r>
        <w:rPr>
          <w:rFonts w:hint="eastAsia" w:ascii="Arial" w:hAnsi="Arial" w:eastAsia="SimSun" w:cs="Arial"/>
          <w:i/>
          <w:lang w:eastAsia="zh-CN"/>
        </w:rPr>
        <w:t>Q</w:t>
      </w:r>
      <w:r>
        <w:rPr>
          <w:rFonts w:hint="eastAsia" w:ascii="Arial" w:hAnsi="Arial" w:cs="Arial"/>
          <w:i/>
        </w:rPr>
        <w:t xml:space="preserve">uality; </w:t>
      </w:r>
      <w:r>
        <w:rPr>
          <w:rFonts w:hint="eastAsia" w:ascii="Arial" w:hAnsi="Arial" w:eastAsia="SimSun" w:cs="Arial"/>
          <w:i/>
          <w:lang w:eastAsia="zh-CN"/>
        </w:rPr>
        <w:t>U</w:t>
      </w:r>
      <w:r>
        <w:rPr>
          <w:rFonts w:hint="eastAsia" w:ascii="Arial" w:hAnsi="Arial" w:cs="Arial"/>
          <w:i/>
        </w:rPr>
        <w:t>ndergraduate</w:t>
      </w:r>
      <w:r>
        <w:rPr>
          <w:rFonts w:hint="eastAsia" w:ascii="Arial" w:hAnsi="Arial" w:eastAsia="SimSun" w:cs="Arial"/>
          <w:i/>
          <w:lang w:eastAsia="zh-CN"/>
        </w:rPr>
        <w:t xml:space="preserve"> S</w:t>
      </w:r>
      <w:r>
        <w:rPr>
          <w:rFonts w:hint="eastAsia" w:ascii="Arial" w:hAnsi="Arial" w:cs="Arial"/>
          <w:i/>
        </w:rPr>
        <w:t>tudents</w:t>
      </w:r>
    </w:p>
    <w:p w14:paraId="44DB594B">
      <w:pPr>
        <w:pStyle w:val="22"/>
        <w:spacing w:after="0"/>
        <w:rPr>
          <w:rFonts w:ascii="Arial" w:hAnsi="Arial" w:cs="Arial"/>
          <w:i/>
        </w:rPr>
      </w:pPr>
    </w:p>
    <w:p w14:paraId="2DFD7CF2">
      <w:pPr>
        <w:pStyle w:val="23"/>
        <w:spacing w:after="0"/>
        <w:jc w:val="both"/>
        <w:rPr>
          <w:rFonts w:ascii="Arial" w:hAnsi="Arial" w:cs="Arial"/>
        </w:rPr>
      </w:pPr>
      <w:r>
        <w:rPr>
          <w:rFonts w:ascii="Arial" w:hAnsi="Arial" w:cs="Arial"/>
        </w:rPr>
        <w:t>1. INTRODUCTION</w:t>
      </w:r>
    </w:p>
    <w:p w14:paraId="70AF1C90">
      <w:pPr>
        <w:pStyle w:val="22"/>
        <w:spacing w:after="0"/>
        <w:jc w:val="left"/>
        <w:rPr>
          <w:rFonts w:ascii="Arial" w:hAnsi="Arial" w:cs="Arial"/>
          <w:b/>
          <w:bCs/>
          <w:sz w:val="22"/>
          <w:szCs w:val="22"/>
        </w:rPr>
      </w:pPr>
      <w:r>
        <w:rPr>
          <w:rFonts w:ascii="Arial" w:hAnsi="Arial" w:cs="Arial"/>
          <w:b/>
          <w:bCs/>
          <w:sz w:val="22"/>
          <w:szCs w:val="22"/>
        </w:rPr>
        <w:t>1.1 Research Background</w:t>
      </w:r>
    </w:p>
    <w:p w14:paraId="08E7B98D">
      <w:pPr>
        <w:pStyle w:val="22"/>
        <w:spacing w:after="0"/>
        <w:rPr>
          <w:rFonts w:ascii="Arial" w:hAnsi="Arial" w:cs="Arial"/>
        </w:rPr>
      </w:pPr>
      <w:r>
        <w:rPr>
          <w:rFonts w:ascii="Arial" w:hAnsi="Arial" w:cs="Arial"/>
        </w:rPr>
        <w:t>In today’s increasingly globalized world, English, as a crucial tool for international communication, plays a pivotal role in academic, professional, and social spheres (Crystal, 2003). However, a gap remains between the English writing proficiency of undergraduate students in China and the demands of society. Many students encounter challenges in the English writing process, such as a lack of clear writing ideas, difficulty in effectively organizing essay structures, an inability to accurately use grammar and vocabulary, and a deficiency in reflecting on and improving their own writing processes. Related research indicates that writing anxiety, insufficient motivation, and inappropriate strategy use are significant factors contributing to these writing difficulties (Pajares &amp; Valiante, 2001).</w:t>
      </w:r>
    </w:p>
    <w:p w14:paraId="3CC605CD">
      <w:pPr>
        <w:pStyle w:val="22"/>
        <w:spacing w:after="0"/>
        <w:rPr>
          <w:rFonts w:ascii="Arial" w:hAnsi="Arial" w:cs="Arial"/>
        </w:rPr>
      </w:pPr>
      <w:r>
        <w:rPr>
          <w:rFonts w:ascii="Arial" w:hAnsi="Arial" w:cs="Arial"/>
        </w:rPr>
        <w:t>On the one hand, teachers in writing instruction often focus on imparting grammatical knowledge and writing techniques, such as detailed explanations of various grammar rules, sentence structures, and writing templates for different genres. While this teaching approach allows students to grasp the basic norms of writing to some extent, it neglects the cultivation of students’ autonomous learning abilities and the ability to use writing strategies. This teaching model can easily lead students to feel at a loss when writing, able only to mechanically apply templates or imitate model essays, without truly understanding and mastering the essence of writing.</w:t>
      </w:r>
    </w:p>
    <w:p w14:paraId="13D9706D">
      <w:pPr>
        <w:pStyle w:val="22"/>
        <w:spacing w:after="0"/>
        <w:rPr>
          <w:rFonts w:ascii="Arial" w:hAnsi="Arial" w:cs="Arial"/>
        </w:rPr>
      </w:pPr>
      <w:r>
        <w:rPr>
          <w:rFonts w:ascii="Arial" w:hAnsi="Arial" w:cs="Arial"/>
        </w:rPr>
        <w:t>On the other hand, students often lack effective reflection and revision strategies after completing writing tasks (Yu, 2025). They may simply check for grammatical errors, neglecting a comprehensive review of the overall structure, content depth, accuracy and fluency of language expression. This makes it difficult for students’ writing skills to improve substantially, and problems in writing recur without being fundamentally resolved. In addition, students lack the ability to monitor and evaluate their own writing processes, and cannot promptly identify their shortcomings in writing ideas, time management, etc., thereby affecting the improvement of writing quality.</w:t>
      </w:r>
    </w:p>
    <w:p w14:paraId="17BACF1B">
      <w:pPr>
        <w:pStyle w:val="22"/>
        <w:spacing w:after="0"/>
        <w:jc w:val="left"/>
        <w:rPr>
          <w:rFonts w:ascii="Arial" w:hAnsi="Arial" w:cs="Arial"/>
          <w:b/>
          <w:bCs/>
          <w:sz w:val="22"/>
          <w:szCs w:val="22"/>
        </w:rPr>
      </w:pPr>
      <w:r>
        <w:rPr>
          <w:rFonts w:ascii="Arial" w:hAnsi="Arial" w:cs="Arial"/>
          <w:b/>
          <w:bCs/>
          <w:sz w:val="22"/>
          <w:szCs w:val="22"/>
        </w:rPr>
        <w:t>1.2 Research Objectives and Significance</w:t>
      </w:r>
    </w:p>
    <w:p w14:paraId="74A7F98D">
      <w:pPr>
        <w:pStyle w:val="22"/>
        <w:spacing w:after="0"/>
        <w:rPr>
          <w:rFonts w:ascii="Arial" w:hAnsi="Arial" w:cs="Arial"/>
        </w:rPr>
      </w:pPr>
      <w:r>
        <w:rPr>
          <w:rFonts w:ascii="Arial" w:hAnsi="Arial" w:cs="Arial"/>
        </w:rPr>
        <w:t>This study aims to improve undergraduate students’ self-regulated learning ability and writing quality in English writing through the introduction of systematic metacognitive strategy training. Metacognition refers to an individual’s cognition and control of their own cognitive processes, including planning, monitoring, and evaluating cognitive tasks (Flavell, 1979). Through metacognitive strategy training, students can gain a clearer understanding of their own writing process and better control their writing behavior, thereby improving writing efficiency and writing quality.</w:t>
      </w:r>
    </w:p>
    <w:p w14:paraId="6B1D7FA5">
      <w:pPr>
        <w:pStyle w:val="22"/>
        <w:spacing w:after="0"/>
        <w:rPr>
          <w:rFonts w:ascii="Arial" w:hAnsi="Arial" w:cs="Arial"/>
        </w:rPr>
      </w:pPr>
      <w:r>
        <w:rPr>
          <w:rFonts w:ascii="Arial" w:hAnsi="Arial" w:cs="Arial"/>
        </w:rPr>
        <w:t>This study has significant theoretical and practical value. At the theoretical level, this study contributes to enriching and improving the application of metacognitive theory in the field of English writing teaching, providing a reference for constructing a more complete theoretical system of English writing teaching. At the practical level, this study will provide a new teaching model and method for English writing teaching, helping teachers better guide students in English writing and cultivate students' autonomous writing and lifelong learning abilities.</w:t>
      </w:r>
    </w:p>
    <w:p w14:paraId="65B6CCA8">
      <w:pPr>
        <w:pStyle w:val="22"/>
        <w:spacing w:after="0"/>
        <w:jc w:val="left"/>
        <w:rPr>
          <w:rFonts w:ascii="Arial" w:hAnsi="Arial" w:cs="Arial"/>
          <w:b/>
          <w:bCs/>
          <w:sz w:val="22"/>
          <w:szCs w:val="22"/>
        </w:rPr>
      </w:pPr>
      <w:r>
        <w:rPr>
          <w:rFonts w:hint="eastAsia" w:ascii="Arial" w:hAnsi="Arial" w:eastAsia="SimSun" w:cs="Arial"/>
          <w:b/>
          <w:bCs/>
          <w:sz w:val="22"/>
          <w:szCs w:val="22"/>
          <w:lang w:eastAsia="zh-CN"/>
        </w:rPr>
        <w:t xml:space="preserve">1.3 </w:t>
      </w:r>
      <w:r>
        <w:rPr>
          <w:rFonts w:ascii="Arial" w:hAnsi="Arial" w:cs="Arial"/>
          <w:b/>
          <w:bCs/>
          <w:sz w:val="22"/>
          <w:szCs w:val="22"/>
        </w:rPr>
        <w:t>Research Questions</w:t>
      </w:r>
    </w:p>
    <w:p w14:paraId="30D642A4">
      <w:pPr>
        <w:pStyle w:val="22"/>
        <w:spacing w:after="0"/>
        <w:rPr>
          <w:rFonts w:ascii="Arial" w:hAnsi="Arial" w:cs="Arial"/>
        </w:rPr>
      </w:pPr>
      <w:r>
        <w:rPr>
          <w:rFonts w:ascii="Arial" w:hAnsi="Arial" w:cs="Arial"/>
        </w:rPr>
        <w:t>Based on the above research background and objectives, this study mainly explores the following core questions:</w:t>
      </w:r>
    </w:p>
    <w:p w14:paraId="26C75FDA">
      <w:pPr>
        <w:pStyle w:val="22"/>
        <w:numPr>
          <w:ilvl w:val="0"/>
          <w:numId w:val="3"/>
        </w:numPr>
        <w:spacing w:after="0"/>
        <w:rPr>
          <w:rFonts w:ascii="Arial" w:hAnsi="Arial" w:cs="Arial"/>
        </w:rPr>
      </w:pPr>
      <w:r>
        <w:rPr>
          <w:rFonts w:ascii="Arial" w:hAnsi="Arial" w:cs="Arial"/>
        </w:rPr>
        <w:t>How does metacognitive strategy training affect undergraduate students’ self-regulated learning ability in English writing?</w:t>
      </w:r>
    </w:p>
    <w:p w14:paraId="49B4F29B">
      <w:pPr>
        <w:pStyle w:val="22"/>
        <w:numPr>
          <w:ilvl w:val="0"/>
          <w:numId w:val="3"/>
        </w:numPr>
        <w:spacing w:after="0"/>
        <w:rPr>
          <w:rFonts w:ascii="Arial" w:hAnsi="Arial" w:cs="Arial"/>
        </w:rPr>
      </w:pPr>
      <w:r>
        <w:rPr>
          <w:rFonts w:ascii="Arial" w:hAnsi="Arial" w:cs="Arial"/>
        </w:rPr>
        <w:t>What is the impact of metacognitive strategy training on undergraduate students’</w:t>
      </w:r>
      <w:r>
        <w:rPr>
          <w:rFonts w:hint="eastAsia" w:ascii="Arial" w:hAnsi="Arial" w:cs="Arial"/>
        </w:rPr>
        <w:t xml:space="preserve"> </w:t>
      </w:r>
      <w:r>
        <w:rPr>
          <w:rFonts w:ascii="Arial" w:hAnsi="Arial" w:cs="Arial"/>
        </w:rPr>
        <w:t>English writing quality?</w:t>
      </w:r>
    </w:p>
    <w:p w14:paraId="3DCBF7EE">
      <w:pPr>
        <w:pStyle w:val="22"/>
        <w:numPr>
          <w:ilvl w:val="0"/>
          <w:numId w:val="3"/>
        </w:numPr>
        <w:spacing w:after="0"/>
        <w:rPr>
          <w:rFonts w:ascii="Arial" w:hAnsi="Arial" w:cs="Arial"/>
        </w:rPr>
      </w:pPr>
      <w:r>
        <w:rPr>
          <w:rFonts w:ascii="Arial" w:hAnsi="Arial" w:cs="Arial"/>
        </w:rPr>
        <w:t>How to design an effective metacognitive strategy training program to improve undergraduate students’ self-regulated learning ability and writing quality in English writing?</w:t>
      </w:r>
    </w:p>
    <w:p w14:paraId="54F33436">
      <w:pPr>
        <w:pStyle w:val="22"/>
        <w:spacing w:after="0"/>
        <w:rPr>
          <w:rFonts w:ascii="Arial" w:hAnsi="Arial" w:cs="Arial"/>
        </w:rPr>
      </w:pPr>
    </w:p>
    <w:p w14:paraId="1126D1CA">
      <w:pPr>
        <w:pStyle w:val="23"/>
        <w:spacing w:after="0"/>
        <w:jc w:val="both"/>
        <w:rPr>
          <w:rFonts w:ascii="Arial" w:hAnsi="Arial" w:cs="Arial"/>
        </w:rPr>
      </w:pPr>
      <w:r>
        <w:rPr>
          <w:rFonts w:ascii="Arial" w:hAnsi="Arial" w:cs="Arial"/>
        </w:rPr>
        <w:t xml:space="preserve">2. </w:t>
      </w:r>
      <w:r>
        <w:rPr>
          <w:rFonts w:hint="eastAsia" w:ascii="Arial" w:hAnsi="Arial" w:cs="Arial"/>
        </w:rPr>
        <w:t>Literature Review</w:t>
      </w:r>
    </w:p>
    <w:p w14:paraId="194AE184">
      <w:pPr>
        <w:pStyle w:val="22"/>
        <w:spacing w:after="0"/>
        <w:jc w:val="left"/>
        <w:rPr>
          <w:rFonts w:ascii="Arial" w:hAnsi="Arial" w:cs="Arial"/>
          <w:b/>
          <w:bCs/>
          <w:sz w:val="22"/>
          <w:szCs w:val="22"/>
        </w:rPr>
      </w:pPr>
      <w:r>
        <w:rPr>
          <w:rFonts w:ascii="Arial" w:hAnsi="Arial" w:cs="Arial"/>
          <w:b/>
          <w:bCs/>
          <w:sz w:val="22"/>
          <w:szCs w:val="22"/>
        </w:rPr>
        <w:t>2.1 Metacognitive Theory</w:t>
      </w:r>
    </w:p>
    <w:p w14:paraId="68BA4218">
      <w:pPr>
        <w:pStyle w:val="22"/>
        <w:spacing w:after="0"/>
        <w:rPr>
          <w:rFonts w:ascii="Arial" w:hAnsi="Arial" w:cs="Arial"/>
        </w:rPr>
      </w:pPr>
      <w:r>
        <w:rPr>
          <w:rFonts w:ascii="Arial" w:hAnsi="Arial" w:cs="Arial"/>
        </w:rPr>
        <w:t>Metacognitive theory was proposed by the American psychologist Flavell in the 1970s. Its emergence brought a new perspective and research direction to the field of cognitive psychology, and it is of great significance for people to understand their own cognitive processes. Flavell pointed out that metacognition is an individual’s cognition of their own cognitive processes and the ability to regulate these processes, covering three key parts: metacognitive knowledge, metacognitive experience, and metacognitive monitoring.</w:t>
      </w:r>
    </w:p>
    <w:p w14:paraId="4C8674F3">
      <w:pPr>
        <w:pStyle w:val="22"/>
        <w:spacing w:after="0"/>
        <w:rPr>
          <w:rFonts w:ascii="Arial" w:hAnsi="Arial" w:cs="Arial"/>
        </w:rPr>
      </w:pPr>
      <w:r>
        <w:rPr>
          <w:rFonts w:ascii="Arial" w:hAnsi="Arial" w:cs="Arial"/>
        </w:rPr>
        <w:t>Metacognitive knowledge is the general knowledge about cognitive activities that an individual accumulates through long-term learning and practice. It can be subdivided into three aspects. Knowledge about cognitive individuals mainly involves an individual’s understanding of their own and others’ cognitive characteristics, including the recognition of their own cognitive abilities, learning styles, memory characteristics, etc., as well as the grasp of cognitive differences and similarities between different individuals. For example, some students know that their memory is best in the morning and are more suitable for reciting English words and texts, while others are good at in-depth thinking and analysis in the evening. Knowledge about cognitive tasks refers to an individual’s understanding of the nature, requirements, and goals of cognitive tasks. In English writing, students need to clarify the writing requirements of different genres, such as argumentative essays requiring a clear argument, sufficient evidence, and a logical argumentation process, while narrative essays should focus on the clear narration of the causes, processes, and results of events. Knowledge about cognitive strategies refers to an individual’s understanding and mastery of various cognitive strategies, including how to choose appropriate learning methods, memory strategies, problem-solving strategies, etc. For example, in English vocabulary learning, students can use association memory, root and affix methods, and other different strategies to improve memory effectiveness.</w:t>
      </w:r>
    </w:p>
    <w:p w14:paraId="5D416D23">
      <w:pPr>
        <w:pStyle w:val="22"/>
        <w:spacing w:after="0"/>
        <w:rPr>
          <w:rFonts w:ascii="Arial" w:hAnsi="Arial" w:cs="Arial"/>
        </w:rPr>
      </w:pPr>
      <w:r>
        <w:rPr>
          <w:rFonts w:ascii="Arial" w:hAnsi="Arial" w:cs="Arial"/>
        </w:rPr>
        <w:t>Metacognitive experience is the cognitive and emotional experience that an individual produces when engaging in cognitive activities. This experience can occur at any stage of cognitive activity, and its duration and complexity vary. Before English writing, students may feel anxious and worried because they are not familiar with the writing topic, which is a kind of metacognitive experience; during the writing process, when students have smooth ideas and inspiration, they will generate pleasant and confident emotional experiences; and after completing the writing, feelings of satisfaction or dissatisfaction with their work also belong to metacognitive experience. These experiences can not only affect the individual's current cognitive activities but also promote or hinder subsequent learning behaviors.</w:t>
      </w:r>
    </w:p>
    <w:p w14:paraId="3204AFE8">
      <w:pPr>
        <w:pStyle w:val="22"/>
        <w:spacing w:after="0"/>
        <w:rPr>
          <w:rFonts w:ascii="Arial" w:hAnsi="Arial" w:cs="Arial"/>
        </w:rPr>
      </w:pPr>
      <w:r>
        <w:rPr>
          <w:rFonts w:ascii="Arial" w:hAnsi="Arial" w:cs="Arial"/>
        </w:rPr>
        <w:t>Metacognitive monitoring is the core part of metacognitive theory. It refers to the cognitive subject consciously supervising, controlling, and regulating their own cognitive activities during the cognitive process. In the English writing process, metacognitive monitoring is reflected in students’ control of the writing progress, adjustment of writing ideas, and checking of the accuracy of language expression. For example, if students find that they have deviated from the topic when writing, they can adjust their ideas in time and return to the correct writing direction; or when checking the composition, they find problems with grammatical errors and improper use of vocabulary and revise them. Metacognitive monitoring can ensure that cognitive activities proceed smoothly towards the intended goals and improve the efficiency and quality of cognitive activities.</w:t>
      </w:r>
    </w:p>
    <w:p w14:paraId="78DD291A">
      <w:pPr>
        <w:pStyle w:val="22"/>
        <w:spacing w:after="0"/>
        <w:rPr>
          <w:rFonts w:ascii="Arial" w:hAnsi="Arial" w:cs="Arial"/>
        </w:rPr>
      </w:pPr>
      <w:r>
        <w:rPr>
          <w:rFonts w:ascii="Arial" w:hAnsi="Arial" w:cs="Arial"/>
        </w:rPr>
        <w:t>In the past four decades, scholars at home and abroad have carried out a large number of studies on metacognitive theory (Wang, 2019; Shen &amp; Zhang, 2016; Li, 2015). Metacognitive theory has been widely used in linguistics and second language acquisition research, and has attracted high attention from the linguistics and education circles (Zhang &amp; Zhang, 2019). Pan and Wang (2022) focus on integrated reading and writing test tasks, taking the CET-4 test as an example, to explore the strategy application mechanism of integrated reading and writing. Qin and Zhang (2022) conduct an in-depth exploration of the core literature on international metacognitive research from 2011 to 2020, and strive to present the latest international metacognitive research and the overall development trend, in order to promote the in-depth development of metacognitive research. When metacognitive strategies are applied to school teaching, they have a very positive impact on students’ grades (Perry, Lundie &amp; Golder, 2019).</w:t>
      </w:r>
    </w:p>
    <w:p w14:paraId="577EB1C5">
      <w:pPr>
        <w:pStyle w:val="22"/>
        <w:spacing w:after="0"/>
        <w:rPr>
          <w:rFonts w:ascii="Arial" w:hAnsi="Arial" w:cs="Arial"/>
        </w:rPr>
      </w:pPr>
      <w:r>
        <w:rPr>
          <w:rFonts w:ascii="Arial" w:hAnsi="Arial" w:cs="Arial"/>
        </w:rPr>
        <w:t>Metacognitive theory has an irreplaceable importance in the learning process. It can help students better understand their own learning characteristics and abilities, so as to choose the most suitable learning strategies and methods, and improve learning efficiency. Metacognition enables students to effectively monitor and regulate the learning process, timely discover and solve problems encountered in learning, and enhance the autonomy and initiative of learning. Cultivating students’ metacognitive ability helps them form lifelong learning awareness and ability, and lay a solid foundation for future learning and development.</w:t>
      </w:r>
    </w:p>
    <w:p w14:paraId="3276BEFD">
      <w:pPr>
        <w:pStyle w:val="22"/>
        <w:spacing w:after="0"/>
        <w:jc w:val="left"/>
        <w:rPr>
          <w:rFonts w:ascii="Arial" w:hAnsi="Arial" w:cs="Arial"/>
          <w:b/>
          <w:bCs/>
          <w:sz w:val="22"/>
          <w:szCs w:val="22"/>
        </w:rPr>
      </w:pPr>
      <w:r>
        <w:rPr>
          <w:rFonts w:ascii="Arial" w:hAnsi="Arial" w:cs="Arial"/>
          <w:b/>
          <w:bCs/>
          <w:sz w:val="22"/>
          <w:szCs w:val="22"/>
        </w:rPr>
        <w:t>2.2 Self-Regulated Learning Theory</w:t>
      </w:r>
    </w:p>
    <w:p w14:paraId="1089C362">
      <w:pPr>
        <w:pStyle w:val="22"/>
        <w:spacing w:after="0"/>
        <w:rPr>
          <w:rFonts w:ascii="Arial" w:hAnsi="Arial" w:cs="Arial"/>
        </w:rPr>
      </w:pPr>
      <w:r>
        <w:rPr>
          <w:rFonts w:ascii="Arial" w:hAnsi="Arial" w:cs="Arial"/>
        </w:rPr>
        <w:t>Self-</w:t>
      </w:r>
      <w:r>
        <w:rPr>
          <w:rFonts w:hint="eastAsia" w:ascii="Arial" w:hAnsi="Arial" w:cs="Arial"/>
        </w:rPr>
        <w:t>r</w:t>
      </w:r>
      <w:r>
        <w:rPr>
          <w:rFonts w:ascii="Arial" w:hAnsi="Arial" w:cs="Arial"/>
        </w:rPr>
        <w:t xml:space="preserve">egulated </w:t>
      </w:r>
      <w:r>
        <w:rPr>
          <w:rFonts w:hint="eastAsia" w:ascii="Arial" w:hAnsi="Arial" w:cs="Arial"/>
        </w:rPr>
        <w:t>l</w:t>
      </w:r>
      <w:r>
        <w:rPr>
          <w:rFonts w:ascii="Arial" w:hAnsi="Arial" w:cs="Arial"/>
        </w:rPr>
        <w:t>earning</w:t>
      </w:r>
      <w:r>
        <w:rPr>
          <w:rFonts w:hint="eastAsia" w:ascii="Arial" w:hAnsi="Arial" w:cs="Arial"/>
        </w:rPr>
        <w:t xml:space="preserve"> </w:t>
      </w:r>
      <w:r>
        <w:rPr>
          <w:rFonts w:ascii="Arial" w:hAnsi="Arial" w:cs="Arial"/>
        </w:rPr>
        <w:t>refers to students actively, consciously, and purposefully regulating and controlling their own learning behaviors in the learning process to achieve predetermined learning goals (Zimmerman, 1990). Self-regulated learning not only emphasizes the initiative and agency of students as the main body of learning but also emphasizes the self-monitoring and self-regulation abilities of students in the learning process. This learning method requires students to have the ability to formulate learning plans, choose appropriate strategies, monitor learning progress, and conduct self-assessment, so as to optimize learning effects through continuous feedback and adjustment. Zimmerman (2002) pointed out that self-regulated learning theory mainly includes three stages: the forethought phase (setting goals and planning strategies), the performance phase (executing strategies and monitoring the process), and the self-reflection phase (evaluating results and adjusting behavior). These three stages cycle each other to form a dynamic learning regulation process.</w:t>
      </w:r>
    </w:p>
    <w:p w14:paraId="1019476B">
      <w:pPr>
        <w:pStyle w:val="22"/>
        <w:spacing w:after="0"/>
        <w:rPr>
          <w:rFonts w:ascii="Arial" w:hAnsi="Arial" w:cs="Arial"/>
        </w:rPr>
      </w:pPr>
      <w:r>
        <w:rPr>
          <w:rFonts w:ascii="Arial" w:hAnsi="Arial" w:cs="Arial"/>
        </w:rPr>
        <w:t>Among the constituent elements of self-regulated learning, metacognition is regarded as a key component. Metacognition refers to an individual’s awareness and regulation ability of their own cognitive processes (Flavell, 1979). Pintrich (2000) emphasized that metacognitive activities include three aspects: planning, monitoring, and evaluating, which are the core mechanisms for students to achieve effective regulation in self-regulated learning. Through metacognition, learners can timely discover problems existing in learning, adjust strategies to adapt to different learning tasks, and improve learning effects. In addition, emotional regulation and motivation regulation are also included in the scope of self-regulated learning, indicating that self-regulation is not only limited to the cognitive level but also includes managing learning motivation and emotional states to maintain learning enthusiasm and persistence</w:t>
      </w:r>
      <w:r>
        <w:rPr>
          <w:rFonts w:hint="eastAsia" w:ascii="Arial" w:hAnsi="Arial" w:cs="Arial"/>
        </w:rPr>
        <w:t xml:space="preserve"> </w:t>
      </w:r>
      <w:r>
        <w:rPr>
          <w:rFonts w:ascii="Arial" w:hAnsi="Arial" w:cs="Arial"/>
        </w:rPr>
        <w:t>(Boekaerts, 1997; Schunk &amp; Ertmer, 2000).</w:t>
      </w:r>
    </w:p>
    <w:p w14:paraId="34D58BEB">
      <w:pPr>
        <w:pStyle w:val="22"/>
        <w:spacing w:after="0"/>
        <w:rPr>
          <w:rFonts w:ascii="Arial" w:hAnsi="Arial" w:cs="Arial"/>
        </w:rPr>
      </w:pPr>
      <w:r>
        <w:rPr>
          <w:rFonts w:ascii="Arial" w:hAnsi="Arial" w:cs="Arial"/>
        </w:rPr>
        <w:t xml:space="preserve">In recent years, with the development of information technology, self-regulated learning theory has been further expanded and applied (Li &amp; Zhou, 2020; Chang, 2020; Zheng &amp; Wang, 2020). Digital learning environments provide students with more learning resources and tools, and also put forward higher self-management requirements (Zheng et al., 2022). Studies have found that students with good self-regulation abilities can more effectively use online learning platforms, improve learning effects and learning satisfaction through self-monitoring and timely adjustment of learning strategies. Therefore, in the context of modern education, cultivating students’ self-regulated learning ability has become an important direction to improve teaching quality and learning effects (Puustinen </w:t>
      </w:r>
      <w:r>
        <w:rPr>
          <w:rFonts w:hint="eastAsia" w:ascii="Arial" w:hAnsi="Arial" w:cs="Arial"/>
        </w:rPr>
        <w:t>&amp;</w:t>
      </w:r>
      <w:r>
        <w:rPr>
          <w:rFonts w:ascii="Arial" w:hAnsi="Arial" w:cs="Arial"/>
        </w:rPr>
        <w:t xml:space="preserve"> Pulkkinen, 2001; Guan, 2009).</w:t>
      </w:r>
    </w:p>
    <w:p w14:paraId="7F658B1D">
      <w:pPr>
        <w:pStyle w:val="22"/>
        <w:spacing w:after="0"/>
        <w:rPr>
          <w:rFonts w:ascii="Arial" w:hAnsi="Arial" w:cs="Arial"/>
        </w:rPr>
      </w:pPr>
      <w:r>
        <w:rPr>
          <w:rFonts w:ascii="Arial" w:hAnsi="Arial" w:cs="Arial"/>
        </w:rPr>
        <w:t>In summary, self-regulated learning theory not only provides a theoretical framework for understanding how students actively and effectively manage their own learning processes but also provides guiding significance for educational practice. By cultivating students’</w:t>
      </w:r>
      <w:r>
        <w:rPr>
          <w:rFonts w:hint="eastAsia" w:ascii="Arial" w:hAnsi="Arial" w:cs="Arial"/>
        </w:rPr>
        <w:t xml:space="preserve"> </w:t>
      </w:r>
      <w:r>
        <w:rPr>
          <w:rFonts w:ascii="Arial" w:hAnsi="Arial" w:cs="Arial"/>
        </w:rPr>
        <w:t>self-regulation abilities, it can help them better plan learning paths, choose appropriate strategies, and continuously adjust learning behaviors in complex and changing learning environments, so as to achieve more autonomous and efficient learning. Future research can explore the differences and promotion mechanisms of self-regulated learning in different learning environments and different subject backgrounds, in order to promote theoretical deepening and practical innovation.</w:t>
      </w:r>
    </w:p>
    <w:p w14:paraId="4349D1FD">
      <w:pPr>
        <w:pStyle w:val="22"/>
        <w:spacing w:after="0"/>
        <w:rPr>
          <w:rFonts w:ascii="Arial" w:hAnsi="Arial" w:cs="Arial"/>
        </w:rPr>
      </w:pPr>
    </w:p>
    <w:p w14:paraId="6802ED03">
      <w:pPr>
        <w:pStyle w:val="22"/>
        <w:numPr>
          <w:ilvl w:val="0"/>
          <w:numId w:val="3"/>
        </w:numPr>
        <w:spacing w:after="0"/>
        <w:rPr>
          <w:rFonts w:ascii="Arial" w:hAnsi="Arial" w:cs="Arial"/>
          <w:b/>
          <w:bCs/>
        </w:rPr>
      </w:pPr>
      <w:r>
        <w:rPr>
          <w:rFonts w:ascii="Arial" w:hAnsi="Arial" w:cs="Arial"/>
          <w:b/>
          <w:bCs/>
        </w:rPr>
        <w:t>METHODOLOGY</w:t>
      </w:r>
    </w:p>
    <w:p w14:paraId="7596C215">
      <w:pPr>
        <w:pStyle w:val="22"/>
        <w:spacing w:after="0"/>
        <w:rPr>
          <w:rFonts w:ascii="Arial" w:hAnsi="Arial" w:cs="Arial"/>
        </w:rPr>
      </w:pPr>
    </w:p>
    <w:p w14:paraId="33A084DC">
      <w:pPr>
        <w:pStyle w:val="27"/>
        <w:spacing w:after="0"/>
        <w:jc w:val="both"/>
        <w:rPr>
          <w:rFonts w:ascii="Arial" w:hAnsi="Arial" w:cs="Arial"/>
        </w:rPr>
      </w:pPr>
      <w:r>
        <w:rPr>
          <w:rFonts w:ascii="Arial" w:hAnsi="Arial" w:cs="Arial"/>
        </w:rPr>
        <w:t>Research Design</w:t>
      </w:r>
    </w:p>
    <w:p w14:paraId="3015AEAF">
      <w:pPr>
        <w:pStyle w:val="22"/>
        <w:spacing w:after="0"/>
        <w:jc w:val="left"/>
        <w:rPr>
          <w:rFonts w:ascii="Arial" w:hAnsi="Arial" w:cs="Arial"/>
          <w:b/>
          <w:bCs/>
          <w:sz w:val="22"/>
          <w:szCs w:val="22"/>
        </w:rPr>
      </w:pPr>
      <w:r>
        <w:rPr>
          <w:rFonts w:ascii="Arial" w:hAnsi="Arial" w:cs="Arial"/>
          <w:b/>
          <w:bCs/>
          <w:sz w:val="22"/>
          <w:szCs w:val="22"/>
        </w:rPr>
        <w:t>3.1 Research Objects</w:t>
      </w:r>
    </w:p>
    <w:p w14:paraId="4ADB4358">
      <w:pPr>
        <w:pStyle w:val="22"/>
        <w:spacing w:after="0"/>
        <w:rPr>
          <w:rFonts w:ascii="Arial" w:hAnsi="Arial" w:cs="Arial"/>
        </w:rPr>
      </w:pPr>
      <w:r>
        <w:rPr>
          <w:rFonts w:ascii="Arial" w:hAnsi="Arial" w:cs="Arial"/>
        </w:rPr>
        <w:t>This study selected sophomore students majoring in non-English at Guilin University of Technology as the research objects. Two parallel classes were selected and randomly divided into an experimental group and a control group, with 30 students in each group. Before the experiment, the English proficiency of the two groups of students was tested to ensure that the English proficiency of the two groups was basically the same.</w:t>
      </w:r>
    </w:p>
    <w:p w14:paraId="58B363A7">
      <w:pPr>
        <w:pStyle w:val="22"/>
        <w:spacing w:after="0"/>
        <w:jc w:val="left"/>
        <w:rPr>
          <w:rFonts w:ascii="Arial" w:hAnsi="Arial" w:cs="Arial"/>
          <w:b/>
          <w:bCs/>
          <w:sz w:val="22"/>
          <w:szCs w:val="22"/>
        </w:rPr>
      </w:pPr>
      <w:r>
        <w:rPr>
          <w:rFonts w:ascii="Arial" w:hAnsi="Arial" w:cs="Arial"/>
          <w:b/>
          <w:bCs/>
          <w:sz w:val="22"/>
          <w:szCs w:val="22"/>
        </w:rPr>
        <w:t>3.2 Research Tools</w:t>
      </w:r>
    </w:p>
    <w:p w14:paraId="7502F1F4">
      <w:pPr>
        <w:pStyle w:val="22"/>
        <w:spacing w:after="0"/>
        <w:rPr>
          <w:rFonts w:ascii="Arial" w:hAnsi="Arial" w:cs="Arial"/>
        </w:rPr>
      </w:pPr>
      <w:r>
        <w:rPr>
          <w:rFonts w:ascii="Arial" w:hAnsi="Arial" w:cs="Arial"/>
        </w:rPr>
        <w:t xml:space="preserve">Referring to the </w:t>
      </w:r>
      <w:r>
        <w:rPr>
          <w:rFonts w:hint="eastAsia" w:ascii="Arial" w:hAnsi="Arial" w:cs="Arial"/>
        </w:rPr>
        <w:t>s</w:t>
      </w:r>
      <w:r>
        <w:rPr>
          <w:rFonts w:ascii="Arial" w:hAnsi="Arial" w:cs="Arial"/>
        </w:rPr>
        <w:t>elf-</w:t>
      </w:r>
      <w:r>
        <w:rPr>
          <w:rFonts w:hint="eastAsia" w:ascii="Arial" w:hAnsi="Arial" w:cs="Arial"/>
        </w:rPr>
        <w:t>r</w:t>
      </w:r>
      <w:r>
        <w:rPr>
          <w:rFonts w:ascii="Arial" w:hAnsi="Arial" w:cs="Arial"/>
        </w:rPr>
        <w:t xml:space="preserve">egulated </w:t>
      </w:r>
      <w:r>
        <w:rPr>
          <w:rFonts w:hint="eastAsia" w:ascii="Arial" w:hAnsi="Arial" w:cs="Arial"/>
        </w:rPr>
        <w:t>l</w:t>
      </w:r>
      <w:r>
        <w:rPr>
          <w:rFonts w:ascii="Arial" w:hAnsi="Arial" w:cs="Arial"/>
        </w:rPr>
        <w:t xml:space="preserve">earning </w:t>
      </w:r>
      <w:r>
        <w:rPr>
          <w:rFonts w:hint="eastAsia" w:ascii="Arial" w:hAnsi="Arial" w:cs="Arial"/>
        </w:rPr>
        <w:t>s</w:t>
      </w:r>
      <w:r>
        <w:rPr>
          <w:rFonts w:ascii="Arial" w:hAnsi="Arial" w:cs="Arial"/>
        </w:rPr>
        <w:t xml:space="preserve">trategies </w:t>
      </w:r>
      <w:r>
        <w:rPr>
          <w:rFonts w:hint="eastAsia" w:ascii="Arial" w:hAnsi="Arial" w:cs="Arial"/>
        </w:rPr>
        <w:t>q</w:t>
      </w:r>
      <w:r>
        <w:rPr>
          <w:rFonts w:ascii="Arial" w:hAnsi="Arial" w:cs="Arial"/>
        </w:rPr>
        <w:t xml:space="preserve">uestionnaire by Zimmerman and Martinez-Pons (1986) and combining the characteristics of English writing, a questionnaire was compiled to measure students’ self-regulated learning ability in English writing. The questionnaire content covers pre-writing planning, in-writing monitoring, and post-writing evaluation. </w:t>
      </w:r>
      <w:r>
        <w:rPr>
          <w:rFonts w:hint="eastAsia" w:ascii="Arial" w:hAnsi="Arial" w:cs="Arial"/>
        </w:rPr>
        <w:t>In addition, an English metacognitive questionnaire was used to measure students</w:t>
      </w:r>
      <w:r>
        <w:rPr>
          <w:rFonts w:ascii="Arial" w:hAnsi="Arial" w:cs="Arial"/>
        </w:rPr>
        <w:t>’</w:t>
      </w:r>
      <w:r>
        <w:rPr>
          <w:rFonts w:hint="eastAsia" w:ascii="Arial" w:hAnsi="Arial" w:cs="Arial"/>
        </w:rPr>
        <w:t xml:space="preserve"> use of metacognitive strategies and to assess the impact of the intervention. It was revised based on the Metacognitive Questionnaire and the Metacognitive Awareness Inventory (MAI). The questionnaire consists of 30 items across six dimensions: self-knowledge, task awareness, strategy use, planning, monitoring, and regulation. </w:t>
      </w:r>
      <w:r>
        <w:rPr>
          <w:rFonts w:ascii="Arial" w:hAnsi="Arial" w:cs="Arial"/>
        </w:rPr>
        <w:t>The questionnaire</w:t>
      </w:r>
      <w:r>
        <w:rPr>
          <w:rFonts w:hint="eastAsia" w:ascii="Arial" w:hAnsi="Arial" w:cs="Arial"/>
        </w:rPr>
        <w:t>s</w:t>
      </w:r>
      <w:r>
        <w:rPr>
          <w:rFonts w:ascii="Arial" w:hAnsi="Arial" w:cs="Arial"/>
        </w:rPr>
        <w:t xml:space="preserve"> use a five-point Likert scale (1 = completely inconsistent, 5 = completely consistent).</w:t>
      </w:r>
      <w:r>
        <w:rPr>
          <w:rFonts w:hint="eastAsia" w:ascii="Arial" w:hAnsi="Arial" w:cs="Arial"/>
        </w:rPr>
        <w:t xml:space="preserve"> </w:t>
      </w:r>
    </w:p>
    <w:p w14:paraId="0D091A40">
      <w:pPr>
        <w:pStyle w:val="22"/>
        <w:spacing w:after="0"/>
        <w:rPr>
          <w:rFonts w:ascii="Arial" w:hAnsi="Arial" w:cs="Arial"/>
        </w:rPr>
      </w:pPr>
      <w:r>
        <w:rPr>
          <w:rFonts w:ascii="Arial" w:hAnsi="Arial" w:cs="Arial"/>
        </w:rPr>
        <w:t>The essay questions from the College English Test-Band 6 (CET-6) were used as the tool for testing English proficiency. To ensure the objectivity and fairness of the scoring, the scoring criteria of CET-6 were adopted. The scoring criteria mainly consider four aspects: content, language, structure, and writing. In terms of content, the focus is on evaluating whether the theme of the article is clear, whether the viewpoints are clear and in-depth, whether the arguments are sufficient and reasonable, and whether the content is complete and closely related to the theme. In terms of language, the main assessment includes the correctness of grammar, the diversity and accuracy of vocabulary, the complexity and rationality of sentence structure, and the fluency and appropriateness of language expression. In terms of structure, attention is paid to whether the overall framework of the article is clear, whether the paragraph division is reasonable, whether the transition between paragraphs is natural, and whether the beginning and ending are concise and powerful and can effectively echo the theme. The article should have a clear introduction, middle discussion, and concluding summary, with clear paragraph levels and natural and smooth transitions. In terms of writing, students are required to write neatly and in a standardized manner, with a clean paper surface, no or minimal corrections, and clear and easy-to-read handwriting.</w:t>
      </w:r>
    </w:p>
    <w:p w14:paraId="3140BF6D">
      <w:pPr>
        <w:pStyle w:val="22"/>
        <w:spacing w:after="0"/>
        <w:rPr>
          <w:rFonts w:ascii="Arial" w:hAnsi="Arial" w:cs="Arial"/>
        </w:rPr>
      </w:pPr>
      <w:r>
        <w:rPr>
          <w:rFonts w:ascii="Arial" w:hAnsi="Arial" w:cs="Arial"/>
        </w:rPr>
        <w:t>This paper uses SPSS 24.0 as a research tool to analyze data. Cronbach’s α is the most commonly used reliability coefficient</w:t>
      </w:r>
      <w:r>
        <w:rPr>
          <w:rFonts w:hint="eastAsia" w:ascii="Arial" w:hAnsi="Arial" w:cs="Arial"/>
        </w:rPr>
        <w:t xml:space="preserve"> with its </w:t>
      </w:r>
      <w:r>
        <w:rPr>
          <w:rFonts w:ascii="Arial" w:hAnsi="Arial" w:cs="Arial"/>
        </w:rPr>
        <w:t xml:space="preserve">reliability coefficient between 0 and 1. The discrimination standard is: Cronbach’s α reliability coefficient below 0.6 indicates that the reliability of this questionnaire is low and cannot be used; a value greater than 0.7 indicates that the questionnaire has considerable reliability; a value greater than 0.8 indicates that the questionnaire has high reliability. Using SPSS 24.0 software for analysis, the Cronbach’s α coefficients of each dimension are greater than 0.7, and the overall scale Cronbach’s α coefficient is greater than 0.9. Therefore, the data in this study are true and reliable, and the questionnaire is a highly reliable questionnaire with a relatively reasonable design. Validity analysis was performed on the questionnaire results to test the correctness and effectiveness of the measurement results. Factor analysis was performed using SPSS 24.0 software, and the detection indicators included KMO and Bartlett’s test. The numerical range of KMO is 0 to 1, and the closer the value is to 1, the more suitable it is for factor analysis. The KMO value obtained in this questionnaire is 0.894, the degree of freedom is </w:t>
      </w:r>
      <w:r>
        <w:rPr>
          <w:rFonts w:hint="eastAsia" w:ascii="Arial" w:hAnsi="Arial" w:cs="Arial"/>
        </w:rPr>
        <w:t>0.</w:t>
      </w:r>
      <w:r>
        <w:rPr>
          <w:rFonts w:ascii="Arial" w:hAnsi="Arial" w:cs="Arial"/>
        </w:rPr>
        <w:t>703, and the significance level of Bartlett’s sphericity test is 0.000, which is smaller than 0.00, indicating that the questionnaire data can be subjected to factor analysis.</w:t>
      </w:r>
    </w:p>
    <w:p w14:paraId="1BFC7897">
      <w:pPr>
        <w:pStyle w:val="22"/>
        <w:spacing w:after="0"/>
        <w:jc w:val="left"/>
        <w:rPr>
          <w:rFonts w:ascii="Arial" w:hAnsi="Arial" w:cs="Arial"/>
          <w:b/>
          <w:bCs/>
          <w:sz w:val="22"/>
          <w:szCs w:val="22"/>
        </w:rPr>
      </w:pPr>
      <w:r>
        <w:rPr>
          <w:rFonts w:ascii="Arial" w:hAnsi="Arial" w:cs="Arial"/>
          <w:b/>
          <w:bCs/>
          <w:sz w:val="22"/>
          <w:szCs w:val="22"/>
        </w:rPr>
        <w:t>3.3 Research Steps</w:t>
      </w:r>
    </w:p>
    <w:p w14:paraId="3FAAF0FA">
      <w:pPr>
        <w:pStyle w:val="22"/>
        <w:spacing w:after="0"/>
        <w:rPr>
          <w:rFonts w:ascii="Arial" w:hAnsi="Arial" w:cs="Arial"/>
        </w:rPr>
      </w:pPr>
      <w:r>
        <w:rPr>
          <w:rFonts w:ascii="Arial" w:hAnsi="Arial" w:cs="Arial"/>
        </w:rPr>
        <w:t>Before the experiment, the English proficiency of the two groups of students was tested to ensure that the English proficiency of the two groups was basically the same. A self-regulation ability questionnaire survey was conducted on the two groups of students to understand their level of self-regulation ability before the experiment. The first writing task was assigned, and students’ writing samples were collected as baseline data before the experiment. The teachers in the experimental group were trained to master the methods and techniques of metacognitive strategy training.</w:t>
      </w:r>
    </w:p>
    <w:p w14:paraId="1BEB8289">
      <w:pPr>
        <w:pStyle w:val="22"/>
        <w:spacing w:after="0"/>
        <w:rPr>
          <w:rFonts w:ascii="Arial" w:hAnsi="Arial" w:cs="Arial"/>
        </w:rPr>
      </w:pPr>
      <w:r>
        <w:rPr>
          <w:rFonts w:ascii="Arial" w:hAnsi="Arial" w:cs="Arial"/>
        </w:rPr>
        <w:t>During the experimental stage, the experimental group integrated metacognitive strategy training into English writing teaching. While explaining writing skills, the teacher guided students to use metacognitive strategies for writing, including pre-writing planning, in-writing monitoring, and post-writing evaluation. The control group adopted traditional English writing teaching methods, mainly explaining grammar rules, vocabulary accumulation, and model essay imitation. The experimental period was 10 weeks, with 2 classes per week, each class lasting 45 minutes.</w:t>
      </w:r>
    </w:p>
    <w:p w14:paraId="34FB81D6">
      <w:pPr>
        <w:pStyle w:val="22"/>
        <w:spacing w:after="0"/>
        <w:rPr>
          <w:rFonts w:ascii="Arial" w:hAnsi="Arial" w:cs="Arial"/>
        </w:rPr>
      </w:pPr>
      <w:r>
        <w:rPr>
          <w:rFonts w:ascii="Arial" w:hAnsi="Arial" w:cs="Arial"/>
        </w:rPr>
        <w:t>After the experiment, a self-regulation ability questionnaire survey was conducted on the two groups of students to understand their level of self-regulation ability after the experiment. The second writing task was assigned, and students’</w:t>
      </w:r>
      <w:r>
        <w:rPr>
          <w:rFonts w:hint="eastAsia" w:ascii="Arial" w:hAnsi="Arial" w:cs="Arial"/>
        </w:rPr>
        <w:t xml:space="preserve"> </w:t>
      </w:r>
      <w:r>
        <w:rPr>
          <w:rFonts w:ascii="Arial" w:hAnsi="Arial" w:cs="Arial"/>
        </w:rPr>
        <w:t>writing samples were collected as data after the experiment. The English proficiency test results of the two groups of students were analyzed to ensure that the English proficiency of the two groups was basically the same. The self-regulation ability questionnaire survey results of the two groups of students were analyzed to compare the differences in self-regulation ability levels between the two groups of students before and after the experiment. The writing samples of the two groups of students were evaluated for quality, and the differences in writing quality between the two groups of students before and after the experiment were compared.</w:t>
      </w:r>
    </w:p>
    <w:p w14:paraId="2FB0ADD5">
      <w:pPr>
        <w:pStyle w:val="22"/>
        <w:spacing w:after="0"/>
        <w:jc w:val="left"/>
        <w:rPr>
          <w:rFonts w:ascii="Arial" w:hAnsi="Arial" w:cs="Arial"/>
          <w:b/>
          <w:bCs/>
          <w:sz w:val="22"/>
          <w:szCs w:val="22"/>
        </w:rPr>
      </w:pPr>
      <w:r>
        <w:rPr>
          <w:rFonts w:ascii="Arial" w:hAnsi="Arial" w:cs="Arial"/>
          <w:b/>
          <w:bCs/>
          <w:sz w:val="22"/>
          <w:szCs w:val="22"/>
        </w:rPr>
        <w:t>3.4 Metacognitive Strategy Training Program Design</w:t>
      </w:r>
    </w:p>
    <w:p w14:paraId="28099BF9">
      <w:pPr>
        <w:pStyle w:val="22"/>
        <w:spacing w:after="0"/>
        <w:jc w:val="left"/>
        <w:rPr>
          <w:rFonts w:ascii="Arial" w:hAnsi="Arial" w:cs="Arial"/>
          <w:b/>
          <w:bCs/>
          <w:u w:val="single"/>
        </w:rPr>
      </w:pPr>
      <w:r>
        <w:rPr>
          <w:rFonts w:ascii="Arial" w:hAnsi="Arial" w:cs="Arial"/>
          <w:b/>
          <w:bCs/>
          <w:u w:val="single"/>
        </w:rPr>
        <w:t>3.4.1 Pre-Writing Planning Strategy Training</w:t>
      </w:r>
    </w:p>
    <w:p w14:paraId="13B15FE6">
      <w:pPr>
        <w:pStyle w:val="22"/>
        <w:spacing w:after="0"/>
        <w:rPr>
          <w:rFonts w:ascii="Arial" w:hAnsi="Arial" w:cs="Arial"/>
        </w:rPr>
      </w:pPr>
      <w:r>
        <w:rPr>
          <w:rFonts w:ascii="Arial" w:hAnsi="Arial" w:cs="Arial"/>
        </w:rPr>
        <w:t>In the pre-writing planning strategy training, the teacher first guides students to deeply analyze the writing task, helping students clarify key information such as the writing genre, purpose, audience, and topic requirements. For an argumentative essay writing task, the teacher will guide students to think about what viewpoints the article needs to argue, what attitudes and viewpoints the target readers may hold, so as to determine the writing position and style. Through specific case presentations, the teacher presents the analysis methods and key points of different types of writing tasks to students, allowing students to gradually master how to extract key information from the topic and grasp the direction of writing. In determining the theme and viewpoints, the teacher encourages students to think actively, combine their own knowledge reserves and life experiences, and put forward unique and targeted themes and viewpoints. The teacher will organize brainstorming activities to allow students to share their ideas in groups, inspire each other, and broaden their ideas. In this process, the teacher guides students to evaluate the proposed themes and viewpoints, judge whether they have feasibility, novelty, and argumentation value, and help students screen out the most suitable themes and viewpoints.</w:t>
      </w:r>
    </w:p>
    <w:p w14:paraId="16B8B620">
      <w:pPr>
        <w:pStyle w:val="22"/>
        <w:spacing w:after="0"/>
        <w:rPr>
          <w:rFonts w:ascii="Arial" w:hAnsi="Arial" w:cs="Arial"/>
        </w:rPr>
      </w:pPr>
      <w:r>
        <w:rPr>
          <w:rFonts w:ascii="Arial" w:hAnsi="Arial" w:cs="Arial"/>
        </w:rPr>
        <w:t>Formulating a writing outline is an important part of the pre-writing planning strategy. The teacher introduces in detail the structure and content of the writing outline, including the main content and writing points of the beginning, body, and ending parts. The beginning part should be able to attract the reader’s attention and introduce the theme; the body part should revolve around the argument to provide sufficient arguments and a reasonable argumentation process; the ending part should summarize the full text, draw conclusions, or put forward suggestions. The teacher lets students understand the specific writing method and function of the outline by displaying excellent writing outline cases. Then, students are asked to try to formulate a writing outline based on their determined theme and viewpoints. In the process of students formulating the outline, the teacher conducts inspections and guidance, and promptly discovers problems and gives feedback and suggestions. The teacher will remind students to pay attention to the logic and coherence of the outline, ensure that the transition between paragraphs is natural, and the content is well-organized. Through multiple case demonstrations and practical exercises, students gradually become familiar with and master the pre-writing planning strategy, and can plan in an organized manner before writing, laying a solid foundation for high-quality writing.</w:t>
      </w:r>
    </w:p>
    <w:p w14:paraId="472FAC9C">
      <w:pPr>
        <w:pStyle w:val="22"/>
        <w:spacing w:after="0"/>
        <w:jc w:val="left"/>
        <w:rPr>
          <w:rFonts w:ascii="Arial" w:hAnsi="Arial" w:cs="Arial"/>
          <w:b/>
          <w:bCs/>
          <w:u w:val="single"/>
        </w:rPr>
      </w:pPr>
      <w:r>
        <w:rPr>
          <w:rFonts w:ascii="Arial" w:hAnsi="Arial" w:cs="Arial"/>
          <w:b/>
          <w:bCs/>
          <w:u w:val="single"/>
        </w:rPr>
        <w:t>3.4.2 In-Writing Thought Monitoring Strategy Training</w:t>
      </w:r>
    </w:p>
    <w:p w14:paraId="0AFDC55A">
      <w:pPr>
        <w:pStyle w:val="22"/>
        <w:spacing w:after="0"/>
        <w:rPr>
          <w:rFonts w:ascii="Arial" w:hAnsi="Arial" w:cs="Arial"/>
        </w:rPr>
      </w:pPr>
      <w:r>
        <w:rPr>
          <w:rFonts w:ascii="Arial" w:hAnsi="Arial" w:cs="Arial"/>
        </w:rPr>
        <w:t>In-writing thought monitoring strategy training aims to cultivate students’ monitoring awareness and ability in terms of their own thoughts, language use, etc. during the writing process. The teacher lets students complete a short essay writing within the specified time through classroom exercises, and requires students to pay attention to their own writing thoughts at all times during the writing process. The teacher will put forward some guiding questions, such as “Is your current discussion centered around the topic?” “Is your viewpoint clear and definite?” “Can the arguments effectively support the viewpoints?” etc., so that students can constantly reflect on and check their own thoughts when writing. After students have completed the writing, organize group discussions to allow students to exchange their writing thoughts, share the problems encountered in the writing process and the solutions. Through group discussions, students can examine their own writing thoughts from the perspective of others, discover the existing shortcomings and problems, and at the same time learn from the advantages and experiences of others and broaden their ideas.</w:t>
      </w:r>
    </w:p>
    <w:p w14:paraId="4488B7A8">
      <w:pPr>
        <w:pStyle w:val="22"/>
        <w:spacing w:after="0"/>
        <w:rPr>
          <w:rFonts w:ascii="Arial" w:hAnsi="Arial" w:cs="Arial"/>
        </w:rPr>
      </w:pPr>
      <w:r>
        <w:rPr>
          <w:rFonts w:ascii="Arial" w:hAnsi="Arial" w:cs="Arial"/>
        </w:rPr>
        <w:t>In terms of language use, the teacher reminds students to pay attention to the correct use of grammar and vocabulary. The teacher deepens students’ understanding of common grammatical errors and vocabulary usages by displaying some sentences containing grammatical errors and improper vocabulary usages in class for students to analyze and modify. The teacher also encourages students to use diverse vocabulary and sentence patterns in the writing process to avoid repetition and monotony. The teacher will provide some replacement examples of synonyms, near synonyms, and different sentence patterns, so that students can consciously use them in writing and improve the richness and accuracy of language expression. The teacher will require students to check the coherence and logic of sentences in the writing process to ensure that the transition between sentences is natural and smooth. The teacher will explain the usages of some commonly used conjunctions and transition words, such as “however,” “therefore,” “in addition,” etc., so that students can learn to use these words to enhance the logical connection between sentences. Through classroom exercises and group discussions, students gradually develop the habit of monitoring thoughts and language use in writing, and can timely discover and correct the problems that occur in their writing process, thereby improving the quality and efficiency of writing.</w:t>
      </w:r>
    </w:p>
    <w:p w14:paraId="4BFA7715">
      <w:pPr>
        <w:pStyle w:val="22"/>
        <w:spacing w:after="0"/>
        <w:jc w:val="left"/>
        <w:rPr>
          <w:rFonts w:ascii="Arial" w:hAnsi="Arial" w:cs="Arial"/>
          <w:b/>
          <w:bCs/>
          <w:u w:val="single"/>
        </w:rPr>
      </w:pPr>
      <w:r>
        <w:rPr>
          <w:rFonts w:ascii="Arial" w:hAnsi="Arial" w:cs="Arial"/>
          <w:b/>
          <w:bCs/>
          <w:u w:val="single"/>
        </w:rPr>
        <w:t>3.4.3 Post-Writing Reflection and Revision Strategy Training</w:t>
      </w:r>
    </w:p>
    <w:p w14:paraId="62B72C4E">
      <w:pPr>
        <w:pStyle w:val="22"/>
        <w:spacing w:after="0"/>
        <w:rPr>
          <w:rFonts w:ascii="Arial" w:hAnsi="Arial" w:cs="Arial"/>
        </w:rPr>
      </w:pPr>
      <w:r>
        <w:rPr>
          <w:rFonts w:ascii="Arial" w:hAnsi="Arial" w:cs="Arial"/>
        </w:rPr>
        <w:t>Post-writing reflection and revision strategy training is an important part of improving students’ writing ability. The teacher guides students to comprehensively reflect on their compositions from multiple aspects such as content, structure, and language. In terms of content, the teacher guides students to think about whether the theme of the article is clear, whether the viewpoints are novel and in-depth, whether the arguments are sufficient and reasonable, and whether they can effectively convey their intentions. The teacher will ask students to compare with model essays, analyze the advantages and strengths of model essays in terms of content, and find out the shortcomings of their own compositions. In terms of structure, the teacher helps students examine whether the overall framework of the article is clear, whether the paragraph division is reasonable, whether the transition between paragraphs is natural, and whether the beginning and ending can effectively echo the theme. The teacher will use tools such as mind maps to help students sort out the structure of the article, so that students can more intuitively discover the problems existing in the structure. In terms of language, the teacher guides students to check grammatical errors, the accuracy and appropriateness of vocabulary usage, the rationality of sentence structure, and the fluency and appropriateness of language expression. The teacher will provide a list of common grammatical errors and vocabulary usages to allow students to check and modify against the list.</w:t>
      </w:r>
    </w:p>
    <w:p w14:paraId="282B97B6">
      <w:pPr>
        <w:pStyle w:val="22"/>
        <w:spacing w:after="0"/>
        <w:rPr>
          <w:rFonts w:ascii="Arial" w:hAnsi="Arial" w:cs="Arial"/>
        </w:rPr>
      </w:pPr>
      <w:r>
        <w:rPr>
          <w:rFonts w:ascii="Arial" w:hAnsi="Arial" w:cs="Arial"/>
        </w:rPr>
        <w:t xml:space="preserve">In order to enable students to better master the methods of reflection and revision, the teacher provides detailed modification suggestions and methods. The teacher will propose targeted modification suggestions for the specific problems existing in students’ compositions, such as supplementing arguments, adjusting the order of paragraphs, replacing vocabulary, correcting grammatical errors, etc. The teacher will also teach students some modification techniques, such as reading the composition aloud to discover problems in language expression; checking sentence by sentence to analyze and modify each sentence in detail; starting from the reader’s point of view and thinking about whether their compositions can allow the reader to clearly understand their intentions. Through model essay comparisons and self-assessments, students can more deeply realize the advantages and disadvantages of their own compositions, so as to conduct targeted modifications and improvements. The teacher will select some excellent model essays and compositions with typical problems to allow students to compare and analyze, learn from the advantages of the model essays, and avoid similar problems in their own compositions. At the same time, the teacher encourages students to conduct self-assessments, allowing students to score and evaluate their own compositions according to the assessment standards and requirements provided by the teacher, summarize experiences and lessons, and continuously improve their reflection and modification abilities.  </w:t>
      </w:r>
    </w:p>
    <w:p w14:paraId="2B67DFC2">
      <w:pPr>
        <w:pStyle w:val="22"/>
        <w:spacing w:after="0"/>
        <w:rPr>
          <w:rFonts w:ascii="Arial" w:hAnsi="Arial" w:cs="Arial"/>
        </w:rPr>
      </w:pPr>
    </w:p>
    <w:p w14:paraId="4AFFE99F">
      <w:pPr>
        <w:pStyle w:val="27"/>
        <w:spacing w:after="0"/>
        <w:jc w:val="both"/>
        <w:rPr>
          <w:rFonts w:ascii="Arial" w:hAnsi="Arial" w:cs="Arial"/>
        </w:rPr>
      </w:pPr>
      <w:r>
        <w:rPr>
          <w:rFonts w:ascii="Arial" w:hAnsi="Arial" w:cs="Arial"/>
        </w:rPr>
        <w:t>4. Research Results and Analysis</w:t>
      </w:r>
    </w:p>
    <w:p w14:paraId="56B251ED">
      <w:pPr>
        <w:pStyle w:val="22"/>
        <w:spacing w:after="0"/>
        <w:jc w:val="left"/>
        <w:rPr>
          <w:rFonts w:ascii="Arial" w:hAnsi="Arial" w:cs="Arial"/>
          <w:b/>
          <w:bCs/>
          <w:sz w:val="22"/>
          <w:szCs w:val="22"/>
        </w:rPr>
      </w:pPr>
      <w:r>
        <w:rPr>
          <w:rFonts w:ascii="Arial" w:hAnsi="Arial" w:cs="Arial"/>
          <w:b/>
          <w:bCs/>
          <w:sz w:val="22"/>
          <w:szCs w:val="22"/>
        </w:rPr>
        <w:t>4.1 Analysis of Metacognitive Strategy Use</w:t>
      </w:r>
    </w:p>
    <w:p w14:paraId="11FDD0C9">
      <w:pPr>
        <w:pStyle w:val="22"/>
        <w:spacing w:after="0"/>
        <w:rPr>
          <w:rFonts w:ascii="Arial" w:hAnsi="Arial" w:cs="Arial"/>
        </w:rPr>
      </w:pPr>
      <w:r>
        <w:rPr>
          <w:rFonts w:ascii="Arial" w:hAnsi="Arial" w:cs="Arial"/>
        </w:rPr>
        <w:t>Before and after the experiment, questionnaires on the use of metacognitive strategies were distributed to students in the experimental group and the control group, respectively, to understand the frequency and level changes of their use of metacognitive strategies in the English writing process. Through the statistical analysis of the questionnaire data, the results showed that before the experiment, there was no significant difference in the scores of the experimental group and the control group in the dimensions of metacognitive strategy use through independent samples t-test, indicating that the frequency and level of metacognitive strategy use by the two groups of students were basically at the same level in the initial stage of the experiment, and they had the basic conditions for experimental comparison.</w:t>
      </w:r>
    </w:p>
    <w:p w14:paraId="513F60C5">
      <w:pPr>
        <w:pStyle w:val="22"/>
        <w:spacing w:after="0"/>
        <w:rPr>
          <w:rFonts w:ascii="Arial" w:hAnsi="Arial" w:cs="Arial"/>
        </w:rPr>
      </w:pPr>
      <w:r>
        <w:rPr>
          <w:rFonts w:ascii="Arial" w:hAnsi="Arial" w:cs="Arial"/>
        </w:rPr>
        <w:t>After 10 weeks of metacognitive strategy training, the questionnaire test was conducted on the two groups of students again. The results showed that the scores of the experimental group students in the three dimensions of planning strategy, monitoring strategy, and evaluation strategy were significantly improved. Among them, the average score of the planning strategy dimension increased from 3.34 points before the experiment to 4.25 points, and the increase was more obvious. This shows that through training, students in the experimental group can more clearly set writing goals, plan writing structures, and choose appropriate writing materials before writing, and the formulation of writing plans is more scientific and reasonable. In the monitoring strategy dimension, the average score of the experimental group students increased from 2.8 points to 3.42 points. The t-test</w:t>
      </w:r>
      <w:r>
        <w:rPr>
          <w:rFonts w:hint="eastAsia" w:ascii="Arial" w:hAnsi="Arial" w:eastAsia="SimSun" w:cs="Arial"/>
          <w:lang w:eastAsia="zh-CN"/>
        </w:rPr>
        <w:t xml:space="preserve"> </w:t>
      </w:r>
      <w:r>
        <w:rPr>
          <w:rFonts w:ascii="Arial" w:hAnsi="Arial" w:cs="Arial"/>
        </w:rPr>
        <w:t>indicat</w:t>
      </w:r>
      <w:r>
        <w:rPr>
          <w:rFonts w:hint="eastAsia" w:ascii="Arial" w:hAnsi="Arial" w:eastAsia="SimSun" w:cs="Arial"/>
          <w:lang w:eastAsia="zh-CN"/>
        </w:rPr>
        <w:t xml:space="preserve">es </w:t>
      </w:r>
      <w:r>
        <w:rPr>
          <w:rFonts w:ascii="Arial" w:hAnsi="Arial" w:cs="Arial"/>
        </w:rPr>
        <w:t>that students’ monitoring ability of their own thoughts, language expression, and time management during the writing process has been significantly enhanced, and they can promptly discover and correct problems that occur during the writing process to ensure the smooth progress of writing activities. On the evaluation strategy dimension, the average score of the experimental group students increased from 3.23 points to 3.86 points, showing that students’ reflection and evaluation abilities on the content, structure, and language of the composition have been greatly improved after writing, and they can more comprehensively and objectively evaluate their works and summarize experiences and lessons from them to provide reference for future writing.</w:t>
      </w:r>
    </w:p>
    <w:p w14:paraId="077056C9">
      <w:pPr>
        <w:pStyle w:val="22"/>
        <w:spacing w:after="0"/>
        <w:rPr>
          <w:rFonts w:ascii="Arial" w:hAnsi="Arial" w:cs="Arial"/>
        </w:rPr>
      </w:pPr>
      <w:r>
        <w:rPr>
          <w:rFonts w:ascii="Arial" w:hAnsi="Arial" w:cs="Arial"/>
        </w:rPr>
        <w:t>In contrast, although the scores of the control group students in each dimension of the metacognitive strategy use questionnaire changed to a certain extent before and after the experiment, there was no significant difference through t-test. This shows that under the traditional teaching model, the frequency and level of students’ use of metacognitive strategies in the English writing process have not been effectively improved. Students lack systematicness and consciousness in the application of metacognitive strategies in the writing process, and still rely on teachers’ guidance and feedback, and the improvement of autonomous learning ability is not obvious.</w:t>
      </w:r>
    </w:p>
    <w:p w14:paraId="7BBE221A">
      <w:pPr>
        <w:pStyle w:val="22"/>
        <w:spacing w:after="0"/>
        <w:jc w:val="left"/>
        <w:rPr>
          <w:rFonts w:ascii="Arial" w:hAnsi="Arial" w:cs="Arial"/>
          <w:b/>
          <w:bCs/>
          <w:sz w:val="22"/>
          <w:szCs w:val="22"/>
        </w:rPr>
      </w:pPr>
      <w:r>
        <w:rPr>
          <w:rFonts w:ascii="Arial" w:hAnsi="Arial" w:cs="Arial"/>
          <w:b/>
          <w:bCs/>
          <w:sz w:val="22"/>
          <w:szCs w:val="22"/>
        </w:rPr>
        <w:t>4.2 Analysis of Changes in English Writing Self-Regulation Ability</w:t>
      </w:r>
    </w:p>
    <w:p w14:paraId="482F2B6B">
      <w:pPr>
        <w:pStyle w:val="22"/>
        <w:spacing w:after="0"/>
        <w:rPr>
          <w:rFonts w:ascii="Arial" w:hAnsi="Arial" w:cs="Arial"/>
        </w:rPr>
      </w:pPr>
      <w:r>
        <w:rPr>
          <w:rFonts w:ascii="Arial" w:hAnsi="Arial" w:cs="Arial"/>
        </w:rPr>
        <w:t xml:space="preserve">The English </w:t>
      </w:r>
      <w:r>
        <w:rPr>
          <w:rFonts w:hint="eastAsia" w:ascii="Arial" w:hAnsi="Arial" w:cs="Arial"/>
        </w:rPr>
        <w:t>w</w:t>
      </w:r>
      <w:r>
        <w:rPr>
          <w:rFonts w:ascii="Arial" w:hAnsi="Arial" w:cs="Arial"/>
        </w:rPr>
        <w:t xml:space="preserve">riting </w:t>
      </w:r>
      <w:r>
        <w:rPr>
          <w:rFonts w:hint="eastAsia" w:ascii="Arial" w:hAnsi="Arial" w:cs="Arial"/>
        </w:rPr>
        <w:t>s</w:t>
      </w:r>
      <w:r>
        <w:rPr>
          <w:rFonts w:ascii="Arial" w:hAnsi="Arial" w:cs="Arial"/>
        </w:rPr>
        <w:t>elf-</w:t>
      </w:r>
      <w:r>
        <w:rPr>
          <w:rFonts w:hint="eastAsia" w:ascii="Arial" w:hAnsi="Arial" w:cs="Arial"/>
        </w:rPr>
        <w:t>r</w:t>
      </w:r>
      <w:r>
        <w:rPr>
          <w:rFonts w:ascii="Arial" w:hAnsi="Arial" w:cs="Arial"/>
        </w:rPr>
        <w:t xml:space="preserve">egulation </w:t>
      </w:r>
      <w:r>
        <w:rPr>
          <w:rFonts w:hint="eastAsia" w:ascii="Arial" w:hAnsi="Arial" w:cs="Arial"/>
        </w:rPr>
        <w:t>a</w:t>
      </w:r>
      <w:r>
        <w:rPr>
          <w:rFonts w:ascii="Arial" w:hAnsi="Arial" w:cs="Arial"/>
        </w:rPr>
        <w:t xml:space="preserve">bility </w:t>
      </w:r>
      <w:r>
        <w:rPr>
          <w:rFonts w:hint="eastAsia" w:ascii="Arial" w:hAnsi="Arial" w:cs="Arial"/>
        </w:rPr>
        <w:t>s</w:t>
      </w:r>
      <w:r>
        <w:rPr>
          <w:rFonts w:ascii="Arial" w:hAnsi="Arial" w:cs="Arial"/>
        </w:rPr>
        <w:t>cale was used to measure the experimental group and the control group before and after the experiment to explore the impact of metacognitive strategy training on students’ English writing self-regulation ability. From the perspective of the changes in the scores of each dimension of the scale, before the experiment, there was no significant difference in the scores of the two groups of students in the four dimensions of writing motivation regulation, writing process monitoring, writing strategy use, and writing result evaluation through independent samples t-test, indicating that the English writing self-regulation ability of the two groups of students was at a comparable level before the experiment.</w:t>
      </w:r>
    </w:p>
    <w:p w14:paraId="54A177F8">
      <w:pPr>
        <w:pStyle w:val="22"/>
        <w:spacing w:after="0"/>
        <w:rPr>
          <w:rFonts w:ascii="Arial" w:hAnsi="Arial" w:cs="Arial"/>
        </w:rPr>
      </w:pPr>
      <w:r>
        <w:rPr>
          <w:rFonts w:ascii="Arial" w:hAnsi="Arial" w:cs="Arial"/>
        </w:rPr>
        <w:t>After the experiment, the scores of the experimental group students in each dimension were significantly improved, indicating that metacognitive strategy training enhanced students’ interest and initiative in English writing. Students can more actively stimulate and maintain writing motivation. When facing writing tasks, they have stronger intrinsic motivation and determination to overcome difficulties. In the writing process monitoring dimension, the average score of the experimental group students increased by 0.6 points. Students’ monitoring and management capabilities in each link of the writing process have been significantly strengthened. They can more consciously write according to the writing plan and adjust the writing ideas and methods in time to ensure the smooth progress of the writing process. In the writing strategy use dimension, the average score of the experimental group students increased from 2.9 points to 3.6 points, indicating that students have mastered more effective writing strategies through metacognitive strategy training, and can flexibly choose and use appropriate strategies according to different writing tasks and requirements, thereby improving the efficiency and quality of writing. In the writing result evaluation dimension, the average score of the experimental group students increased by 0.5 points, reflecting that students’ evaluation and reflection abilities of writing results have been significantly improved. They can more accurately recognize the advantages and disadvantages of their own compositions and make targeted improvements based on the evaluation results.</w:t>
      </w:r>
    </w:p>
    <w:p w14:paraId="5184459A">
      <w:pPr>
        <w:pStyle w:val="22"/>
        <w:spacing w:after="0"/>
        <w:rPr>
          <w:rFonts w:ascii="Arial" w:hAnsi="Arial" w:cs="Arial"/>
        </w:rPr>
      </w:pPr>
      <w:r>
        <w:rPr>
          <w:rFonts w:ascii="Arial" w:hAnsi="Arial" w:cs="Arial"/>
        </w:rPr>
        <w:t>On the other hand, although the scores of the control group in each dimension of the scale changed after the experiment, they did not reach a significant level through t-test. This shows that the traditional English writing teaching method has a limited effect on improving students’ English writing self-regulation ability. Students’ self-regulation abilities in writing motivation, writing process monitoring, writing strategy use, and writing result evaluation have not been effectively developed. They lack autonomy and initiative in the writing process and are difficult to achieve self-improvement.</w:t>
      </w:r>
    </w:p>
    <w:p w14:paraId="5A6EFCFC">
      <w:pPr>
        <w:pStyle w:val="22"/>
        <w:spacing w:after="0"/>
        <w:jc w:val="left"/>
        <w:rPr>
          <w:rFonts w:ascii="Arial" w:hAnsi="Arial" w:cs="Arial"/>
          <w:b/>
          <w:bCs/>
          <w:sz w:val="22"/>
          <w:szCs w:val="22"/>
        </w:rPr>
      </w:pPr>
      <w:r>
        <w:rPr>
          <w:rFonts w:ascii="Arial" w:hAnsi="Arial" w:cs="Arial"/>
          <w:b/>
          <w:bCs/>
          <w:sz w:val="22"/>
          <w:szCs w:val="22"/>
        </w:rPr>
        <w:t>4.3 Analysis of the Improvement of English Writing Quality</w:t>
      </w:r>
    </w:p>
    <w:p w14:paraId="6EEC39CB">
      <w:pPr>
        <w:pStyle w:val="22"/>
        <w:spacing w:after="0"/>
        <w:rPr>
          <w:rFonts w:ascii="Arial" w:hAnsi="Arial" w:cs="Arial"/>
        </w:rPr>
      </w:pPr>
      <w:r>
        <w:rPr>
          <w:rFonts w:ascii="Arial" w:hAnsi="Arial" w:cs="Arial"/>
        </w:rPr>
        <w:t>In order to analyze the specific impact of metacognitive strategy training on English writing quality, a detailed comparison was made of the English writing test scores of the experimental group and the control group before and after the experiment. From the perspective of content, before the experiment, the two groups of students performed similarly in the richness, depth, and relevance of writing content, and there was no significant difference in the average scores</w:t>
      </w:r>
      <w:r>
        <w:rPr>
          <w:rFonts w:hint="eastAsia" w:ascii="Arial" w:hAnsi="Arial" w:cs="Arial"/>
        </w:rPr>
        <w:t>.</w:t>
      </w:r>
      <w:r>
        <w:rPr>
          <w:rFonts w:ascii="Arial" w:hAnsi="Arial" w:cs="Arial"/>
        </w:rPr>
        <w:t xml:space="preserve"> After the experiment, the experimental group students had a clear improvement in writing content. Students can develop a deeper discussion around the theme, put forward more innovative and persuasive viewpoints, and the arguments are more sufficient and reasonable, and the logic and coherence of the content are stronger. However, the control group students had a certain change in content scores, but it was not significant. The writing content was still relatively plain, lacking depth and novelty, and the exploration of the theme was not deep enough.</w:t>
      </w:r>
    </w:p>
    <w:p w14:paraId="77721050">
      <w:pPr>
        <w:pStyle w:val="22"/>
        <w:spacing w:after="0"/>
        <w:rPr>
          <w:rFonts w:ascii="Arial" w:hAnsi="Arial" w:cs="Arial"/>
        </w:rPr>
      </w:pPr>
      <w:r>
        <w:rPr>
          <w:rFonts w:ascii="Arial" w:hAnsi="Arial" w:cs="Arial"/>
        </w:rPr>
        <w:t>In terms of structure, the difference in the composition structure scores of the two groups of students was not significant before the experiment. After the experiment, the performance of the experimental group students in the composition structure was significantly improved. Students can more reasonably organize the article structure, the paragraph division is clear, the transition between paragraphs is natural and smooth, and the beginning and ending can effectively echo the theme, making the overall structure of the article more rigorous. The structure scores of the control group students did not change much. The article structure still had problems such as looseness and unclear organization, which affected the overall quality of the article.</w:t>
      </w:r>
    </w:p>
    <w:p w14:paraId="6DE8B8BB">
      <w:pPr>
        <w:pStyle w:val="22"/>
        <w:spacing w:after="0"/>
        <w:rPr>
          <w:rFonts w:ascii="Arial" w:hAnsi="Arial" w:cs="Arial"/>
        </w:rPr>
      </w:pPr>
      <w:r>
        <w:rPr>
          <w:rFonts w:ascii="Arial" w:hAnsi="Arial" w:cs="Arial"/>
        </w:rPr>
        <w:t>In terms of language, before the experiment, there was no significant difference in the average scores of the two groups of students in language indicators such as grammatical accuracy, vocabulary diversity, and sentence structure complexity. After the experiment, the experimental group students made significant progress in language. Grammatical errors were significantly reduced, vocabulary usage was richer and more accurate, sentence structure was more diversified and complex, and language expression was more fluent and appropriate. Although the control group students made certain progress in language, the improvement was not as significant as that of the experimental group. There were still many problems in language use, such as frequent grammatical errors, single vocabulary repetition, and simple sentence structure, which affected the readability and score of the article.</w:t>
      </w:r>
    </w:p>
    <w:p w14:paraId="1403DEE3">
      <w:pPr>
        <w:pStyle w:val="22"/>
        <w:spacing w:after="0"/>
        <w:rPr>
          <w:rFonts w:ascii="Arial" w:hAnsi="Arial" w:cs="Arial"/>
        </w:rPr>
      </w:pPr>
      <w:r>
        <w:rPr>
          <w:rFonts w:ascii="Arial" w:hAnsi="Arial" w:cs="Arial"/>
        </w:rPr>
        <w:t>From the perspective of comprehensive writing test scores, the average scores of the experimental group and the control group were 10.5 points before the experiment, and there was no significant difference. After the experiment, the average score of the experimental group students increased to 12 points, while the average score of the control group students was 11 points, and the difference between the two groups was significant. This fully shows that metacognitive strategy training can significantly improve the English writing quality of undergraduates, so that students have obvious progress in content, structure, and language, while the effect of traditional teaching methods in improving students’ writing quality is relatively weak.</w:t>
      </w:r>
    </w:p>
    <w:p w14:paraId="738A752A">
      <w:pPr>
        <w:pStyle w:val="22"/>
        <w:spacing w:after="0"/>
        <w:rPr>
          <w:rFonts w:ascii="Arial" w:hAnsi="Arial" w:cs="Arial"/>
        </w:rPr>
      </w:pPr>
    </w:p>
    <w:p w14:paraId="21BDD022">
      <w:pPr>
        <w:pStyle w:val="27"/>
        <w:spacing w:after="0"/>
        <w:jc w:val="both"/>
        <w:rPr>
          <w:rFonts w:ascii="Arial" w:hAnsi="Arial" w:eastAsia="SimSun" w:cs="Arial"/>
          <w:lang w:eastAsia="zh-CN"/>
        </w:rPr>
      </w:pPr>
      <w:r>
        <w:rPr>
          <w:rFonts w:hint="eastAsia" w:ascii="Arial" w:hAnsi="Arial" w:eastAsia="SimSun" w:cs="Arial"/>
          <w:lang w:eastAsia="zh-CN"/>
        </w:rPr>
        <w:t>5</w:t>
      </w:r>
      <w:r>
        <w:rPr>
          <w:rFonts w:ascii="Arial" w:hAnsi="Arial" w:cs="Arial"/>
        </w:rPr>
        <w:t xml:space="preserve">. </w:t>
      </w:r>
      <w:r>
        <w:rPr>
          <w:rFonts w:hint="eastAsia" w:ascii="Arial" w:hAnsi="Arial" w:eastAsia="SimSun" w:cs="Arial"/>
          <w:lang w:eastAsia="zh-CN"/>
        </w:rPr>
        <w:t>DISCUSSION</w:t>
      </w:r>
    </w:p>
    <w:p w14:paraId="09E67635">
      <w:pPr>
        <w:pStyle w:val="22"/>
        <w:spacing w:after="0"/>
        <w:jc w:val="left"/>
        <w:rPr>
          <w:rFonts w:ascii="Arial" w:hAnsi="Arial" w:cs="Arial"/>
          <w:b/>
          <w:bCs/>
          <w:sz w:val="22"/>
          <w:szCs w:val="22"/>
        </w:rPr>
      </w:pPr>
      <w:r>
        <w:rPr>
          <w:rFonts w:ascii="Arial" w:hAnsi="Arial" w:cs="Arial"/>
          <w:b/>
          <w:bCs/>
          <w:sz w:val="22"/>
          <w:szCs w:val="22"/>
        </w:rPr>
        <w:t>5.1 The Influence of Metacognitive Strategy Training on Self-Regulation Ability</w:t>
      </w:r>
    </w:p>
    <w:p w14:paraId="6951782A">
      <w:pPr>
        <w:pStyle w:val="22"/>
        <w:spacing w:after="0"/>
        <w:rPr>
          <w:rFonts w:ascii="Arial" w:hAnsi="Arial" w:cs="Arial"/>
        </w:rPr>
      </w:pPr>
      <w:r>
        <w:rPr>
          <w:rFonts w:ascii="Arial" w:hAnsi="Arial" w:cs="Arial"/>
        </w:rPr>
        <w:t>The research results indicate that metacognitive strategy training significantly enhances undergraduate students’ self-regulated learning ability in English writing. This aligns with previous research findings (Zimmerman, 1990). In terms of writing planning, students in the experimental group demonstrated a more systematic approach to planning writing tasks after the training. Unlike their pre-training habits of diving into writing without preparation, they learned to carefully analyze the topic, identify the writing purpose and target audience, and then create a detailed writing outline. For argumentative essays, students would first determine their argument, then brainstorm supporting evidence around the argument, and logically arrange the paragraph structure to ensure a clear and coherent essay. This planned approach helped students maintain a clear thought process throughout the writing process, avoiding content confusion and repetition.</w:t>
      </w:r>
    </w:p>
    <w:p w14:paraId="757BC3D6">
      <w:pPr>
        <w:pStyle w:val="22"/>
        <w:spacing w:after="0"/>
        <w:rPr>
          <w:rFonts w:ascii="Arial" w:hAnsi="Arial" w:cs="Arial"/>
        </w:rPr>
      </w:pPr>
      <w:r>
        <w:rPr>
          <w:rFonts w:ascii="Arial" w:hAnsi="Arial" w:cs="Arial"/>
        </w:rPr>
        <w:t>Regarding the monitoring of the writing process, students also showed significant improvements. They became more adept at recognizing deviations in their writing thought processes and made timely adjustments. When they found their discussion straying from the topic, students would proactively review the writing outline, revisit their ideas, and return to the correct writing direction. In terms of language expression, they placed greater emphasis on grammatical accuracy and appropriate vocabulary usage, using self-questioning and checking to promptly identify and correct grammatical errors and inappropriate word choices. They also paid attention to the rationality and coherence of sentence structures, using conjunctions and transition words to strengthen the logical connections between sentences.</w:t>
      </w:r>
    </w:p>
    <w:p w14:paraId="2814EE1E">
      <w:pPr>
        <w:pStyle w:val="22"/>
        <w:spacing w:after="0"/>
        <w:rPr>
          <w:rFonts w:ascii="Arial" w:hAnsi="Arial" w:cs="Arial"/>
        </w:rPr>
      </w:pPr>
      <w:r>
        <w:rPr>
          <w:rFonts w:ascii="Arial" w:hAnsi="Arial" w:cs="Arial"/>
        </w:rPr>
        <w:t>The ability to reflect on and evaluate writing after completion was also enhanced. Students in the experimental group could comprehensively assess their essays from multiple dimensions, including content completeness, viewpoint novelty, structural rationality, and language accuracy and fluency. They were no longer satisfied with simply finding grammatical errors but could deeply analyze the problems in their essays and propose practical improvement measures. Students would compare their essays with model essays, learn from the strengths of the model essays, and reflect on their own shortcomings, thereby continuously accumulating writing experience and improving their writing skills.</w:t>
      </w:r>
    </w:p>
    <w:p w14:paraId="45FFB4AA">
      <w:pPr>
        <w:pStyle w:val="22"/>
        <w:spacing w:after="0"/>
        <w:rPr>
          <w:rFonts w:ascii="Arial" w:hAnsi="Arial" w:cs="Arial"/>
        </w:rPr>
      </w:pPr>
      <w:r>
        <w:rPr>
          <w:rFonts w:ascii="Arial" w:hAnsi="Arial" w:cs="Arial"/>
        </w:rPr>
        <w:t>Metacognitive strategy training enhances students’ planning, monitoring, and evaluation abilities in the writing process, resulting in a significant improvement in students’ self-regulation ability. This improvement not only helps students achieve better results in English writing but, more importantly, cultivates students’ autonomous learning and thinking abilities, enabling them to better cope with various challenges in future studies and work.</w:t>
      </w:r>
    </w:p>
    <w:p w14:paraId="7DC2A755">
      <w:pPr>
        <w:pStyle w:val="22"/>
        <w:spacing w:after="0"/>
        <w:jc w:val="left"/>
        <w:rPr>
          <w:rFonts w:ascii="Arial" w:hAnsi="Arial" w:cs="Arial"/>
          <w:b/>
          <w:bCs/>
          <w:sz w:val="22"/>
          <w:szCs w:val="22"/>
        </w:rPr>
      </w:pPr>
      <w:r>
        <w:rPr>
          <w:rFonts w:ascii="Arial" w:hAnsi="Arial" w:cs="Arial"/>
          <w:b/>
          <w:bCs/>
          <w:sz w:val="22"/>
          <w:szCs w:val="22"/>
        </w:rPr>
        <w:t>5.2 The Internal Connection between Metacognitive Strategy Training and Writing Quality</w:t>
      </w:r>
    </w:p>
    <w:p w14:paraId="2F9A7652">
      <w:pPr>
        <w:pStyle w:val="22"/>
        <w:spacing w:after="0"/>
        <w:rPr>
          <w:rFonts w:ascii="Arial" w:hAnsi="Arial" w:cs="Arial"/>
        </w:rPr>
      </w:pPr>
      <w:r>
        <w:rPr>
          <w:rFonts w:ascii="Arial" w:hAnsi="Arial" w:cs="Arial"/>
        </w:rPr>
        <w:t>The core evaluation dimensions of English writing quality are content integrity, structural logic, and language accuracy. Metacognitive strategies, through precise actions in the pre-writing, in-writing, and post-writing stages, provide targeted support for these three dimensions, ultimately achieving a systematic improvement in writing quality.</w:t>
      </w:r>
    </w:p>
    <w:p w14:paraId="53B9E6CE">
      <w:pPr>
        <w:pStyle w:val="22"/>
        <w:spacing w:after="0"/>
        <w:rPr>
          <w:rFonts w:ascii="Arial" w:hAnsi="Arial" w:cs="Arial"/>
        </w:rPr>
      </w:pPr>
      <w:r>
        <w:rPr>
          <w:rFonts w:ascii="Arial" w:hAnsi="Arial" w:cs="Arial"/>
        </w:rPr>
        <w:t xml:space="preserve">The planning strategy, as a pre-writing cognitive plan, directly targets the content integrity and structural logic evaluation dimensions. Its core is to guide students to build a content-structure dual framework in advance around the writing task: </w:t>
      </w:r>
      <w:r>
        <w:rPr>
          <w:rFonts w:hint="eastAsia" w:ascii="Arial" w:hAnsi="Arial" w:cs="Arial"/>
        </w:rPr>
        <w:t>a</w:t>
      </w:r>
      <w:r>
        <w:rPr>
          <w:rFonts w:ascii="Arial" w:hAnsi="Arial" w:cs="Arial"/>
        </w:rPr>
        <w:t>t the content level, clarify the core scope of the writing topic through task analysis and plan the types of arguments to avoid content omissions or deviations from the theme; at the structural level, use mind maps or outline tools to determine the logical context of the text and clarify the core functions and connections of each paragraph. From the experimental data, after planning strategy training, the content integrity score of the experimental group students increased from 18.23 points to 26.45 points, and the structural logic score increased from 15.36 points to 22.18 points. In theme writing, students in the experimental group could plan content modules in advance and present them with clear paragraph divisions, effectively solving the problems of scattered content and chaotic structure in traditional writing, and directly consolidating the foundation of writing quality.</w:t>
      </w:r>
    </w:p>
    <w:p w14:paraId="1DD83D76">
      <w:pPr>
        <w:pStyle w:val="22"/>
        <w:spacing w:after="0"/>
        <w:rPr>
          <w:rFonts w:ascii="Arial" w:hAnsi="Arial" w:cs="Arial"/>
        </w:rPr>
      </w:pPr>
      <w:r>
        <w:rPr>
          <w:rFonts w:ascii="Arial" w:hAnsi="Arial" w:cs="Arial"/>
        </w:rPr>
        <w:t>The monitoring strategy is a real-time regulation tool in the writing process, focusing on the coherence dimension in language accuracy and structural logic. At the language level, through self-questioning monitoring, immediate correction of explicit errors (such as changing “pollute air” to “pollute the air” and changing “make a progress” to “make progress”) while optimizing implicit expressions (such as replacing colloquial “In my opinion” with the more academic “From a practical perspective” to enhance academic quality); at the structural level, avoid logical breaks through logical monitoring.</w:t>
      </w:r>
      <w:r>
        <w:rPr>
          <w:rFonts w:hint="eastAsia" w:ascii="Arial" w:hAnsi="Arial" w:cs="Arial"/>
        </w:rPr>
        <w:t xml:space="preserve"> </w:t>
      </w:r>
      <w:r>
        <w:rPr>
          <w:rFonts w:ascii="Arial" w:hAnsi="Arial" w:cs="Arial"/>
        </w:rPr>
        <w:t>The language accuracy score of the experimental group increased from 15.62 points to 20.37 points, and the implicit improvement of structural coherence was also recognized. This indicates that the monitoring strategy not only reduces language errors but also upgrades the text structure from paragraph accumulation to a logically coherent whole through real-time adjustments, further conforming to the evaluation criteria of writing quality.</w:t>
      </w:r>
    </w:p>
    <w:p w14:paraId="0BBA9C6E">
      <w:pPr>
        <w:pStyle w:val="22"/>
        <w:spacing w:after="0"/>
        <w:rPr>
          <w:rFonts w:ascii="Arial" w:hAnsi="Arial" w:cs="Arial"/>
        </w:rPr>
      </w:pPr>
      <w:r>
        <w:rPr>
          <w:rFonts w:ascii="Arial" w:hAnsi="Arial" w:cs="Arial"/>
        </w:rPr>
        <w:t>The evaluation and reflection strategy is the final optimization link of writing quality. By benchmarking the three evaluation dimensions of content, structure, and language, the iterative upgrade of the text is realized. In content evaluation, students check whether the arguments are clear and the arguments are sufficient against the writing requirements; in structural evaluation, they examine whether the text framework is reasonable and the paragraph order is optimal; in language evaluation, they check the grammar, vocabulary, and expression fluency sentence by sentence.</w:t>
      </w:r>
    </w:p>
    <w:p w14:paraId="110FE328">
      <w:pPr>
        <w:pStyle w:val="22"/>
        <w:spacing w:after="0"/>
        <w:rPr>
          <w:rFonts w:ascii="Arial" w:hAnsi="Arial" w:cs="Arial"/>
        </w:rPr>
      </w:pPr>
      <w:r>
        <w:rPr>
          <w:rFonts w:ascii="Arial" w:hAnsi="Arial" w:cs="Arial"/>
        </w:rPr>
        <w:t>In summary, metacognitive strategies build a complete support system covering the writing quality evaluation criteria through planning strategies to consolidate the content-structure foundation, monitoring strategies to optimize language-coherence performance, and evaluation and reflection strategies to comprehensively upgrade the quality of the three dimensions. This targeted action-collaborative improvement mechanism transforms writing quality from relying on talent and experience to being accurately improved through strategy training, which is the core path to break through the teaching pain points of teaching but not using, writing but not revising.</w:t>
      </w:r>
    </w:p>
    <w:p w14:paraId="298A3C0A">
      <w:pPr>
        <w:pStyle w:val="22"/>
        <w:spacing w:after="0"/>
        <w:jc w:val="left"/>
        <w:rPr>
          <w:rFonts w:ascii="Arial" w:hAnsi="Arial" w:cs="Arial"/>
          <w:b/>
          <w:bCs/>
          <w:sz w:val="22"/>
          <w:szCs w:val="22"/>
        </w:rPr>
      </w:pPr>
      <w:r>
        <w:rPr>
          <w:rFonts w:ascii="Arial" w:hAnsi="Arial" w:cs="Arial"/>
          <w:b/>
          <w:bCs/>
          <w:sz w:val="22"/>
          <w:szCs w:val="22"/>
        </w:rPr>
        <w:t>5.3 Teaching Implications of the Research Results</w:t>
      </w:r>
    </w:p>
    <w:p w14:paraId="372E228D">
      <w:pPr>
        <w:pStyle w:val="22"/>
        <w:spacing w:after="0"/>
        <w:rPr>
          <w:rFonts w:ascii="Arial" w:hAnsi="Arial" w:cs="Arial"/>
        </w:rPr>
      </w:pPr>
      <w:r>
        <w:rPr>
          <w:rFonts w:ascii="Arial" w:hAnsi="Arial" w:cs="Arial"/>
        </w:rPr>
        <w:t>The results of this study provide important implications for English writing teaching in many aspects, and have specific guiding significance in teaching methods and curriculum design. Teachers should change the traditional teaching concept and transform from a simple knowledge transmitter to a learning guide and facilitator. In writing teaching, we should not only focus on explaining grammatical knowledge and writing skills, but also pay attention to cultivating students’ metacognitive strategies. Teachers can systematically introduce the concepts, types, and application methods of metacognitive strategies to students through specialized strategy teaching courses, so that students can understand the importance of metacognitive strategies in English writing and master how to use planning, monitoring, and evaluation strategies to improve writing skills. Teachers can guide students to learn how to formulate writing plans, monitor the writing process, and evaluate writing results through case analysis and group discussions in class, so that students can gradually master the application skills of metacognitive strategies in practice.</w:t>
      </w:r>
    </w:p>
    <w:p w14:paraId="7FF049AB">
      <w:pPr>
        <w:pStyle w:val="22"/>
        <w:spacing w:after="0"/>
        <w:rPr>
          <w:rFonts w:ascii="Arial" w:hAnsi="Arial" w:cs="Arial"/>
        </w:rPr>
      </w:pPr>
      <w:r>
        <w:rPr>
          <w:rFonts w:ascii="Arial" w:hAnsi="Arial" w:cs="Arial"/>
        </w:rPr>
        <w:t>In terms of curriculum design, the content and links of metacognitive strategy training should be increased. Metacognitive strategy training can be integrated into daily writing teaching. For example, before writing, students are guided to formulate writing plans to help students clarify writing goals, plan article structure, and select writing materials; during the writing process, students are encouraged to use monitoring strategies to promptly discover and solve problems that occur in writing; after writing is completed, students are organized to conduct self-assessment and peer assessment, so that students learn to evaluate their own and others’ works from multiple perspectives, summarize experiences and lessons, and continuously improve writing methods. Specialized metacognitive strategy training courses can also be set up to improve students’ metacognitive strategy application ability through systematic training and practice.</w:t>
      </w:r>
    </w:p>
    <w:p w14:paraId="40472C24">
      <w:pPr>
        <w:pStyle w:val="22"/>
        <w:spacing w:after="0"/>
        <w:rPr>
          <w:rFonts w:ascii="Arial" w:hAnsi="Arial" w:cs="Arial"/>
        </w:rPr>
      </w:pPr>
      <w:r>
        <w:rPr>
          <w:rFonts w:ascii="Arial" w:hAnsi="Arial" w:cs="Arial"/>
        </w:rPr>
        <w:t>Teachers should pay attention to students’ individual differences and provide personalized guidance and feedback according to students’ different levels and learning styles. Different students have differences in English foundation, learning ability, and learning styles, and their mastery and application ability of metacognitive strategies are also different. Teachers should understand the characteristics and needs of each student, and give targeted guidance and suggestions for the problems students encounter in the application of metacognitive strategies. For students with a weaker foundation, teachers can provide more help in writing plan formulation and language expression monitoring; for students with a more independent learning style, they can be encouraged to independently explore and apply metacognitive strategies to cultivate their autonomous learning ability. Teachers should also give students feedback in a timely manner, affirm students’ progress and advantages, point out existing problems and shortcomings, and provide specific improvement measures to help students continuously improve their metacognitive strategy application ability and writing level.</w:t>
      </w:r>
    </w:p>
    <w:p w14:paraId="05754736">
      <w:pPr>
        <w:pStyle w:val="22"/>
        <w:spacing w:after="0"/>
        <w:rPr>
          <w:rFonts w:ascii="Arial" w:hAnsi="Arial" w:cs="Arial"/>
        </w:rPr>
      </w:pPr>
      <w:r>
        <w:rPr>
          <w:rFonts w:ascii="Arial" w:hAnsi="Arial" w:cs="Arial"/>
        </w:rPr>
        <w:t>Cultivating students’ metacognitive strategies and autonomous learning ability is the key to improving the quality of English writing teaching. Teachers should provide a good learning environment and guidance for students by improving teaching methods, optimizing curriculum design, and paying attention to students’ individual differences, stimulate students’ learning enthusiasm and initiative, so that students can master English writing knowledge and skills, cultivate good metacognitive strategy application ability and autonomous learning ability, and lay a solid foundation for future learning and development.</w:t>
      </w:r>
    </w:p>
    <w:p w14:paraId="7F3985D4">
      <w:pPr>
        <w:pStyle w:val="22"/>
        <w:spacing w:after="0"/>
        <w:rPr>
          <w:rFonts w:ascii="Arial" w:hAnsi="Arial" w:cs="Arial"/>
        </w:rPr>
      </w:pPr>
    </w:p>
    <w:p w14:paraId="5CD02474">
      <w:pPr>
        <w:pStyle w:val="27"/>
        <w:spacing w:after="0"/>
        <w:jc w:val="both"/>
        <w:rPr>
          <w:rFonts w:ascii="Arial" w:hAnsi="Arial" w:eastAsia="SimSun" w:cs="Arial"/>
          <w:lang w:eastAsia="zh-CN"/>
        </w:rPr>
      </w:pPr>
      <w:r>
        <w:rPr>
          <w:rFonts w:hint="eastAsia" w:ascii="Arial" w:hAnsi="Arial" w:eastAsia="SimSun" w:cs="Arial"/>
          <w:lang w:eastAsia="zh-CN"/>
        </w:rPr>
        <w:t>6. Conclusion</w:t>
      </w:r>
    </w:p>
    <w:p w14:paraId="38135B85">
      <w:pPr>
        <w:pStyle w:val="22"/>
        <w:spacing w:after="0"/>
        <w:rPr>
          <w:rFonts w:ascii="Arial" w:hAnsi="Arial" w:cs="Arial"/>
        </w:rPr>
      </w:pPr>
      <w:r>
        <w:rPr>
          <w:rFonts w:ascii="Arial" w:hAnsi="Arial" w:cs="Arial"/>
        </w:rPr>
        <w:t>This study designed a systematic metacognitive strategy training program and trained students in the experimental group in teaching experiments, and deeply explored the impact of metacognitive strategy training on the self-regulated learning ability and writing quality of undergraduate students in English writing. The results show that metacognitive strategy training plays a significant role in improving the self-regulated learning ability and writing quality of undergraduate students in English writing.</w:t>
      </w:r>
    </w:p>
    <w:p w14:paraId="59AACDF0">
      <w:pPr>
        <w:pStyle w:val="22"/>
        <w:spacing w:after="0"/>
        <w:rPr>
          <w:rFonts w:ascii="Arial" w:hAnsi="Arial" w:cs="Arial"/>
        </w:rPr>
      </w:pPr>
      <w:r>
        <w:rPr>
          <w:rFonts w:ascii="Arial" w:hAnsi="Arial" w:cs="Arial"/>
        </w:rPr>
        <w:t>This study also has certain limitations. In terms of sample selection, only two classes of second-year non-English majors in a university were selected as the research objects. The sample size was relatively small, and the sample range was relatively single, which may lead to insufficient representativeness of the research results and cannot be completely generalized to students in other colleges and majors. The training time was short. The metacognitive strategy training in this study only lasted for 10 weeks. In such a limited time, students may not be able to fully master and apply metacognitive strategies, and the training effect may be affected to a certain extent. In addition, although some variables were controlled during the research process, it is still difficult to completely rule out the interference of other factors on the experimental results, such as students’ extracurricular English learning, family learning environment, etc., which may affect students' English writing self-regulation ability and writing quality to a certain extent.</w:t>
      </w:r>
    </w:p>
    <w:p w14:paraId="08AB5B1D">
      <w:pPr>
        <w:pStyle w:val="22"/>
        <w:spacing w:after="0"/>
        <w:rPr>
          <w:rFonts w:ascii="Arial" w:hAnsi="Arial" w:cs="Arial"/>
        </w:rPr>
      </w:pPr>
      <w:r>
        <w:rPr>
          <w:rFonts w:ascii="Arial" w:hAnsi="Arial" w:cs="Arial"/>
        </w:rPr>
        <w:t>In view of the shortcomings of this study, future research can be carried out from the following aspects. Expand the sample range, select students from different colleges, different majors, and different grades as research objects, increase the diversity and representativeness of the sample, so as to more comprehensively explore the impact of metacognitive strategy training on undergraduate students’ English writing ability, and make the research results more universal. Explore different training modes and methods, try to adopt diversified teaching methods and technologies, such as online and offline mixed teaching, intelligent writing assistance tools, etc., and combine different teaching scenarios and student needs to carry out personalized metacognitive strategy training to improve the effect and efficiency of training. Future research can also focus on the integrated application of metacognitive strategy training with other teaching methods or strategies, such as combining it with cooperative learning and project-based learning, exploring the synergistic effect of different teaching methods, and providing more practical reference and theoretical support for English writing teaching.</w:t>
      </w:r>
    </w:p>
    <w:p w14:paraId="30D322BB">
      <w:pPr>
        <w:pStyle w:val="22"/>
        <w:spacing w:after="0"/>
        <w:rPr>
          <w:rFonts w:ascii="Arial" w:hAnsi="Arial" w:cs="Arial"/>
        </w:rPr>
      </w:pPr>
    </w:p>
    <w:p w14:paraId="2EE82671">
      <w:pPr>
        <w:pStyle w:val="22"/>
        <w:spacing w:after="0"/>
        <w:rPr>
          <w:rFonts w:ascii="Arial" w:hAnsi="Arial" w:cs="Arial"/>
        </w:rPr>
      </w:pPr>
    </w:p>
    <w:p w14:paraId="7F0141CB">
      <w:pPr>
        <w:spacing w:after="200" w:line="276" w:lineRule="auto"/>
        <w:jc w:val="both"/>
        <w:outlineLvl w:val="0"/>
        <w:rPr>
          <w:rFonts w:ascii="Arial" w:hAnsi="Arial" w:cs="Arial" w:eastAsiaTheme="minorEastAsia"/>
          <w:sz w:val="22"/>
          <w:szCs w:val="22"/>
          <w:lang w:val="en-GB" w:eastAsia="en-GB"/>
        </w:rPr>
      </w:pPr>
      <w:r>
        <w:rPr>
          <w:rFonts w:ascii="Arial" w:hAnsi="Arial" w:cs="Arial" w:eastAsiaTheme="minorEastAsia"/>
          <w:b/>
          <w:bCs/>
          <w:sz w:val="22"/>
          <w:szCs w:val="22"/>
          <w:lang w:val="en-GB" w:eastAsia="en-GB"/>
        </w:rPr>
        <w:t>COMPETING INTERESTS DISCLAIMER:</w:t>
      </w:r>
    </w:p>
    <w:p w14:paraId="6E46074C">
      <w:pPr>
        <w:spacing w:after="200" w:line="276" w:lineRule="auto"/>
        <w:rPr>
          <w:rFonts w:asciiTheme="minorHAnsi" w:hAnsiTheme="minorHAnsi" w:eastAsiaTheme="minorEastAsia" w:cstheme="minorBidi"/>
          <w:sz w:val="22"/>
          <w:szCs w:val="22"/>
          <w:lang w:val="en-GB" w:eastAsia="en-GB"/>
        </w:rPr>
      </w:pPr>
      <w:r>
        <w:rPr>
          <w:rFonts w:asciiTheme="minorHAnsi" w:hAnsiTheme="minorHAnsi" w:eastAsiaTheme="minorEastAsia"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EAB45F6">
      <w:pPr>
        <w:pStyle w:val="29"/>
        <w:spacing w:after="0"/>
        <w:jc w:val="both"/>
        <w:rPr>
          <w:rFonts w:ascii="Arial" w:hAnsi="Arial" w:cs="Arial"/>
          <w:b w:val="0"/>
          <w:caps w:val="0"/>
          <w:sz w:val="20"/>
          <w:u w:val="single"/>
        </w:rPr>
      </w:pPr>
    </w:p>
    <w:p w14:paraId="4036FF67">
      <w:pPr>
        <w:pStyle w:val="29"/>
        <w:spacing w:after="0"/>
        <w:jc w:val="both"/>
        <w:rPr>
          <w:rFonts w:ascii="Arial" w:hAnsi="Arial" w:cs="Arial"/>
          <w:b w:val="0"/>
          <w:caps w:val="0"/>
          <w:sz w:val="20"/>
          <w:u w:val="single"/>
        </w:rPr>
      </w:pPr>
    </w:p>
    <w:p w14:paraId="18F0E97D">
      <w:pPr>
        <w:pStyle w:val="29"/>
        <w:spacing w:after="0"/>
        <w:jc w:val="both"/>
        <w:rPr>
          <w:rFonts w:ascii="Arial" w:hAnsi="Arial" w:cs="Arial"/>
          <w:b w:val="0"/>
          <w:caps w:val="0"/>
          <w:sz w:val="20"/>
        </w:rPr>
      </w:pPr>
    </w:p>
    <w:p w14:paraId="6D3A166E">
      <w:pPr>
        <w:pStyle w:val="29"/>
        <w:spacing w:after="0"/>
        <w:jc w:val="both"/>
        <w:rPr>
          <w:rFonts w:ascii="Arial" w:hAnsi="Arial" w:cs="Arial"/>
        </w:rPr>
      </w:pPr>
      <w:r>
        <w:rPr>
          <w:rFonts w:ascii="Arial" w:hAnsi="Arial" w:cs="Arial"/>
        </w:rPr>
        <w:t>References</w:t>
      </w:r>
    </w:p>
    <w:p w14:paraId="384C5271">
      <w:pPr>
        <w:pStyle w:val="22"/>
        <w:numPr>
          <w:ilvl w:val="0"/>
          <w:numId w:val="4"/>
        </w:numPr>
        <w:spacing w:after="0"/>
        <w:rPr>
          <w:rFonts w:eastAsia="SimSun"/>
          <w:lang w:eastAsia="zh-CN"/>
        </w:rPr>
      </w:pPr>
      <w:r>
        <w:rPr>
          <w:rFonts w:eastAsia="SimSun"/>
          <w:lang w:eastAsia="zh-CN"/>
        </w:rPr>
        <w:t xml:space="preserve">Crystal, D. (2003). English as a global language (2nd ed.). Cambridge University Press. </w:t>
      </w:r>
      <w:r>
        <w:fldChar w:fldCharType="begin"/>
      </w:r>
      <w:r>
        <w:instrText xml:space="preserve"> HYPERLINK "https://doi.org/10.1017/CBO9780511486999" </w:instrText>
      </w:r>
      <w:r>
        <w:fldChar w:fldCharType="separate"/>
      </w:r>
      <w:r>
        <w:rPr>
          <w:rStyle w:val="14"/>
          <w:rFonts w:eastAsia="SimSun"/>
          <w:lang w:eastAsia="zh-CN"/>
        </w:rPr>
        <w:t>https://doi.org/10.1017/CBO9780511486999</w:t>
      </w:r>
      <w:r>
        <w:rPr>
          <w:rStyle w:val="14"/>
          <w:rFonts w:eastAsia="SimSun"/>
          <w:lang w:eastAsia="zh-CN"/>
        </w:rPr>
        <w:fldChar w:fldCharType="end"/>
      </w:r>
    </w:p>
    <w:p w14:paraId="18B9D15E">
      <w:pPr>
        <w:pStyle w:val="22"/>
        <w:numPr>
          <w:ilvl w:val="0"/>
          <w:numId w:val="4"/>
        </w:numPr>
        <w:spacing w:after="0"/>
        <w:rPr>
          <w:rFonts w:eastAsia="SimSun"/>
          <w:lang w:eastAsia="zh-CN"/>
        </w:rPr>
      </w:pPr>
      <w:r>
        <w:rPr>
          <w:rFonts w:eastAsia="SimSun"/>
          <w:lang w:eastAsia="zh-CN"/>
        </w:rPr>
        <w:t xml:space="preserve">Pajares, F., &amp; Valiante, G. (2001). Gender Differences in Writing Motivation and Achievement of Middle School Students: A Function of Gender Orientation?. Contemporary educational psychology, 26(3), 366–381. </w:t>
      </w:r>
      <w:r>
        <w:fldChar w:fldCharType="begin"/>
      </w:r>
      <w:r>
        <w:instrText xml:space="preserve"> HYPERLINK "https://doi.org/10.1006/ceps.2000.1069" </w:instrText>
      </w:r>
      <w:r>
        <w:fldChar w:fldCharType="separate"/>
      </w:r>
      <w:r>
        <w:rPr>
          <w:rStyle w:val="14"/>
          <w:rFonts w:eastAsia="SimSun"/>
          <w:lang w:eastAsia="zh-CN"/>
        </w:rPr>
        <w:t>https://doi.org/10.1006/ceps.2000.1069</w:t>
      </w:r>
      <w:r>
        <w:rPr>
          <w:rStyle w:val="14"/>
          <w:rFonts w:eastAsia="SimSun"/>
          <w:lang w:eastAsia="zh-CN"/>
        </w:rPr>
        <w:fldChar w:fldCharType="end"/>
      </w:r>
    </w:p>
    <w:p w14:paraId="50149DED">
      <w:pPr>
        <w:pStyle w:val="22"/>
        <w:numPr>
          <w:ilvl w:val="0"/>
          <w:numId w:val="4"/>
        </w:numPr>
        <w:spacing w:after="0"/>
        <w:rPr>
          <w:rFonts w:eastAsia="SimSun"/>
          <w:lang w:eastAsia="zh-CN"/>
        </w:rPr>
      </w:pPr>
      <w:r>
        <w:rPr>
          <w:rFonts w:hint="eastAsia" w:eastAsia="SimSun"/>
          <w:lang w:eastAsia="zh-CN"/>
        </w:rPr>
        <w:t>Yu, X. Z. (2025). Action research on the application of self-regulated strategy development model in English writing teaching for senior high school students (Master’s thesis, Jilin International Studies University). (Master’s thesis). https://doi.org/10.27833/d.cnki.gjlhw.2025.000459.</w:t>
      </w:r>
    </w:p>
    <w:p w14:paraId="4579F27B">
      <w:pPr>
        <w:pStyle w:val="22"/>
        <w:numPr>
          <w:ilvl w:val="0"/>
          <w:numId w:val="4"/>
        </w:numPr>
        <w:spacing w:after="0"/>
        <w:rPr>
          <w:rFonts w:eastAsia="SimSun"/>
          <w:lang w:eastAsia="zh-CN"/>
        </w:rPr>
      </w:pPr>
      <w:r>
        <w:rPr>
          <w:rFonts w:eastAsia="SimSun"/>
          <w:lang w:eastAsia="zh-CN"/>
        </w:rPr>
        <w:t xml:space="preserve">Flavell, J. H. (1979). Metacognition and cognitive monitoring: A new area of cognitive-developmental inquiry. American Psychologist, 34(10), 906-911. </w:t>
      </w:r>
      <w:r>
        <w:fldChar w:fldCharType="begin"/>
      </w:r>
      <w:r>
        <w:instrText xml:space="preserve"> HYPERLINK "https://doi.org/10.1037/0003-066X.34.10.906" </w:instrText>
      </w:r>
      <w:r>
        <w:fldChar w:fldCharType="separate"/>
      </w:r>
      <w:r>
        <w:rPr>
          <w:rStyle w:val="14"/>
          <w:rFonts w:eastAsia="SimSun"/>
          <w:lang w:eastAsia="zh-CN"/>
        </w:rPr>
        <w:t>https://doi.org/10.1037/0003-066X.34.10.906</w:t>
      </w:r>
      <w:r>
        <w:rPr>
          <w:rStyle w:val="14"/>
          <w:rFonts w:eastAsia="SimSun"/>
          <w:lang w:eastAsia="zh-CN"/>
        </w:rPr>
        <w:fldChar w:fldCharType="end"/>
      </w:r>
    </w:p>
    <w:p w14:paraId="13E2D19B">
      <w:pPr>
        <w:pStyle w:val="22"/>
        <w:numPr>
          <w:ilvl w:val="0"/>
          <w:numId w:val="4"/>
        </w:numPr>
        <w:spacing w:after="0"/>
        <w:rPr>
          <w:rFonts w:eastAsia="SimSun"/>
          <w:lang w:eastAsia="zh-CN"/>
        </w:rPr>
      </w:pPr>
      <w:r>
        <w:rPr>
          <w:rFonts w:eastAsia="SimSun"/>
          <w:lang w:eastAsia="zh-CN"/>
        </w:rPr>
        <w:t xml:space="preserve">Wang, W. (2019). A Study on Metacognition and Genre Acquisition of Academic English Writing Learners. Frontiers of Foreign Language Education Research </w:t>
      </w:r>
      <w:r>
        <w:fldChar w:fldCharType="begin"/>
      </w:r>
      <w:r>
        <w:instrText xml:space="preserve"> HYPERLINK "https://doi.org/10.20083/j.cnki.fleic.2019.02.012" </w:instrText>
      </w:r>
      <w:r>
        <w:fldChar w:fldCharType="separate"/>
      </w:r>
      <w:r>
        <w:rPr>
          <w:rStyle w:val="14"/>
          <w:rFonts w:eastAsia="SimSun"/>
          <w:lang w:eastAsia="zh-CN"/>
        </w:rPr>
        <w:t>https://doi.org/10.20083/j.cnki.fleic.2019.02.012</w:t>
      </w:r>
      <w:r>
        <w:rPr>
          <w:rStyle w:val="14"/>
          <w:rFonts w:eastAsia="SimSun"/>
          <w:lang w:eastAsia="zh-CN"/>
        </w:rPr>
        <w:fldChar w:fldCharType="end"/>
      </w:r>
      <w:r>
        <w:rPr>
          <w:rFonts w:eastAsia="SimSun"/>
          <w:lang w:eastAsia="zh-CN"/>
        </w:rPr>
        <w:t>.</w:t>
      </w:r>
    </w:p>
    <w:p w14:paraId="73C8F6B8">
      <w:pPr>
        <w:pStyle w:val="22"/>
        <w:numPr>
          <w:ilvl w:val="0"/>
          <w:numId w:val="4"/>
        </w:numPr>
        <w:spacing w:after="0"/>
        <w:rPr>
          <w:rFonts w:eastAsia="SimSun"/>
          <w:lang w:eastAsia="zh-CN"/>
        </w:rPr>
      </w:pPr>
      <w:r>
        <w:rPr>
          <w:rFonts w:eastAsia="SimSun"/>
          <w:lang w:eastAsia="zh-CN"/>
        </w:rPr>
        <w:t xml:space="preserve">Shen, Y. H., &amp; Zhang, J. (2016). A Study on the Relationship between Metacognition and Foreign Language Listening Comprehension of Non-English Majors Based on Regression Analysis. Foreign Language Research, 33(03), 45-52+63+112. </w:t>
      </w:r>
      <w:r>
        <w:fldChar w:fldCharType="begin"/>
      </w:r>
      <w:r>
        <w:instrText xml:space="preserve"> HYPERLINK "https://doi.org/10.13978/j.cnki.wyyj.2016.03.008" </w:instrText>
      </w:r>
      <w:r>
        <w:fldChar w:fldCharType="separate"/>
      </w:r>
      <w:r>
        <w:rPr>
          <w:rStyle w:val="14"/>
          <w:rFonts w:eastAsia="SimSun"/>
          <w:lang w:eastAsia="zh-CN"/>
        </w:rPr>
        <w:t>https://doi.org/10.13978/j.cnki.wyyj.2016.03.008</w:t>
      </w:r>
      <w:r>
        <w:rPr>
          <w:rStyle w:val="14"/>
          <w:rFonts w:eastAsia="SimSun"/>
          <w:lang w:eastAsia="zh-CN"/>
        </w:rPr>
        <w:fldChar w:fldCharType="end"/>
      </w:r>
    </w:p>
    <w:p w14:paraId="59700C96">
      <w:pPr>
        <w:pStyle w:val="22"/>
        <w:numPr>
          <w:ilvl w:val="0"/>
          <w:numId w:val="4"/>
        </w:numPr>
        <w:spacing w:after="0"/>
        <w:rPr>
          <w:rFonts w:eastAsia="SimSun"/>
          <w:lang w:eastAsia="zh-CN"/>
        </w:rPr>
      </w:pPr>
      <w:r>
        <w:rPr>
          <w:rFonts w:eastAsia="SimSun"/>
          <w:lang w:eastAsia="zh-CN"/>
        </w:rPr>
        <w:t xml:space="preserve">Li, J. (2015). The Relationship between Metacognitive Knowledge, Vocabulary Breadth and Second Language Reading Proficiency. Chinese Foreign Language. </w:t>
      </w:r>
      <w:r>
        <w:fldChar w:fldCharType="begin"/>
      </w:r>
      <w:r>
        <w:instrText xml:space="preserve"> HYPERLINK "https://doi.org/10.13564/j.cnki.issn.1672-9382.2015.05.009" </w:instrText>
      </w:r>
      <w:r>
        <w:fldChar w:fldCharType="separate"/>
      </w:r>
      <w:r>
        <w:rPr>
          <w:rStyle w:val="14"/>
          <w:rFonts w:eastAsia="SimSun"/>
          <w:lang w:eastAsia="zh-CN"/>
        </w:rPr>
        <w:t>https://doi.org/10.13564/j.cnki.issn.1672-9382.2015.05.009</w:t>
      </w:r>
      <w:r>
        <w:rPr>
          <w:rStyle w:val="14"/>
          <w:rFonts w:eastAsia="SimSun"/>
          <w:lang w:eastAsia="zh-CN"/>
        </w:rPr>
        <w:fldChar w:fldCharType="end"/>
      </w:r>
    </w:p>
    <w:p w14:paraId="39735E36">
      <w:pPr>
        <w:pStyle w:val="22"/>
        <w:numPr>
          <w:ilvl w:val="0"/>
          <w:numId w:val="4"/>
        </w:numPr>
        <w:spacing w:after="0"/>
        <w:rPr>
          <w:rFonts w:eastAsia="SimSun"/>
          <w:lang w:eastAsia="zh-CN"/>
        </w:rPr>
      </w:pPr>
      <w:r>
        <w:rPr>
          <w:rFonts w:eastAsia="SimSun"/>
          <w:lang w:eastAsia="zh-CN"/>
        </w:rPr>
        <w:t xml:space="preserve">Zhang, D., &amp; Zhang, L. J. (2019). Metacognition and Self-Regulated Learning (SRL) in Second/Foreign Language Teaching. In X. Gao (Ed.), Second Handbook of English Language Teaching. Springer. </w:t>
      </w:r>
      <w:r>
        <w:fldChar w:fldCharType="begin"/>
      </w:r>
      <w:r>
        <w:instrText xml:space="preserve"> HYPERLINK "https://doi.org/10.1007/978-3-319-58542-0_47-1" </w:instrText>
      </w:r>
      <w:r>
        <w:fldChar w:fldCharType="separate"/>
      </w:r>
      <w:r>
        <w:rPr>
          <w:rStyle w:val="14"/>
          <w:rFonts w:eastAsia="SimSun"/>
          <w:lang w:eastAsia="zh-CN"/>
        </w:rPr>
        <w:t>https://doi.org/10.1007/978-3-319-58542-0_47-1</w:t>
      </w:r>
      <w:r>
        <w:rPr>
          <w:rStyle w:val="14"/>
          <w:rFonts w:eastAsia="SimSun"/>
          <w:lang w:eastAsia="zh-CN"/>
        </w:rPr>
        <w:fldChar w:fldCharType="end"/>
      </w:r>
    </w:p>
    <w:p w14:paraId="00556219">
      <w:pPr>
        <w:pStyle w:val="22"/>
        <w:numPr>
          <w:ilvl w:val="0"/>
          <w:numId w:val="4"/>
        </w:numPr>
        <w:spacing w:after="0"/>
        <w:rPr>
          <w:rFonts w:eastAsia="SimSun"/>
          <w:lang w:eastAsia="zh-CN"/>
        </w:rPr>
      </w:pPr>
      <w:r>
        <w:rPr>
          <w:rFonts w:eastAsia="SimSun"/>
          <w:lang w:eastAsia="zh-CN"/>
        </w:rPr>
        <w:t xml:space="preserve">Pan, R. J. (2022). An Exploration of Cognitive Validity of Integrated Reading and Writing Test Tasks: Evidence from the Mechanism of Writing Strategy Application. Foreign Language Research, 39(02), 53-60. </w:t>
      </w:r>
      <w:r>
        <w:fldChar w:fldCharType="begin"/>
      </w:r>
      <w:r>
        <w:instrText xml:space="preserve"> HYPERLINK "https://doi.org/10.13978/j.cnki.wyyj.2022.02.006" </w:instrText>
      </w:r>
      <w:r>
        <w:fldChar w:fldCharType="separate"/>
      </w:r>
      <w:r>
        <w:rPr>
          <w:rStyle w:val="14"/>
          <w:rFonts w:eastAsia="SimSun"/>
          <w:lang w:eastAsia="zh-CN"/>
        </w:rPr>
        <w:t>https://doi.org/10.13978/j.cnki.wyyj.2022.02.006</w:t>
      </w:r>
      <w:r>
        <w:rPr>
          <w:rStyle w:val="14"/>
          <w:rFonts w:eastAsia="SimSun"/>
          <w:lang w:eastAsia="zh-CN"/>
        </w:rPr>
        <w:fldChar w:fldCharType="end"/>
      </w:r>
    </w:p>
    <w:p w14:paraId="65404768">
      <w:pPr>
        <w:pStyle w:val="22"/>
        <w:numPr>
          <w:ilvl w:val="0"/>
          <w:numId w:val="4"/>
        </w:numPr>
        <w:spacing w:after="0"/>
        <w:rPr>
          <w:rFonts w:eastAsia="SimSun"/>
          <w:lang w:eastAsia="zh-CN"/>
        </w:rPr>
      </w:pPr>
      <w:r>
        <w:rPr>
          <w:rFonts w:eastAsia="SimSun"/>
          <w:lang w:eastAsia="zh-CN"/>
        </w:rPr>
        <w:t xml:space="preserve">Qin, L. M., &amp; Zhang, L. J. (2022). </w:t>
      </w:r>
      <w:r>
        <w:rPr>
          <w:rFonts w:hint="eastAsia" w:eastAsia="SimSun"/>
          <w:lang w:eastAsia="zh-CN"/>
        </w:rPr>
        <w:t>近</w:t>
      </w:r>
      <w:r>
        <w:rPr>
          <w:rFonts w:eastAsia="SimSun"/>
          <w:lang w:eastAsia="zh-CN"/>
        </w:rPr>
        <w:t>10</w:t>
      </w:r>
      <w:r>
        <w:rPr>
          <w:rFonts w:hint="eastAsia" w:eastAsia="SimSun"/>
          <w:lang w:eastAsia="zh-CN"/>
        </w:rPr>
        <w:t>年</w:t>
      </w:r>
      <w:r>
        <w:rPr>
          <w:rFonts w:eastAsia="SimSun"/>
          <w:lang w:eastAsia="zh-CN"/>
        </w:rPr>
        <w:t>(2011-2020)</w:t>
      </w:r>
      <w:r>
        <w:rPr>
          <w:rFonts w:hint="eastAsia" w:eastAsia="SimSun"/>
          <w:lang w:eastAsia="zh-CN"/>
        </w:rPr>
        <w:t>国际元认知研究动态：回顾与展望</w:t>
      </w:r>
      <w:r>
        <w:rPr>
          <w:rFonts w:eastAsia="SimSun"/>
          <w:lang w:eastAsia="zh-CN"/>
        </w:rPr>
        <w:t xml:space="preserve"> [What a decade of research on metacognition (2011-2020) can inform us: Evidence from scientometric analysis with CiteSpace]. Journal of Foreign Languages,(03), 98-106. </w:t>
      </w:r>
      <w:r>
        <w:fldChar w:fldCharType="begin"/>
      </w:r>
      <w:r>
        <w:instrText xml:space="preserve"> HYPERLINK "https://doi.org/10.16263/j.cnki.23-1071/h.2022.03.016" </w:instrText>
      </w:r>
      <w:r>
        <w:fldChar w:fldCharType="separate"/>
      </w:r>
      <w:r>
        <w:rPr>
          <w:rStyle w:val="14"/>
          <w:rFonts w:eastAsia="SimSun"/>
          <w:lang w:eastAsia="zh-CN"/>
        </w:rPr>
        <w:t>https://doi.org/10.16263/j.cnki.23-1071/h.2022.03.016</w:t>
      </w:r>
      <w:r>
        <w:rPr>
          <w:rStyle w:val="14"/>
          <w:rFonts w:eastAsia="SimSun"/>
          <w:lang w:eastAsia="zh-CN"/>
        </w:rPr>
        <w:fldChar w:fldCharType="end"/>
      </w:r>
    </w:p>
    <w:p w14:paraId="7079D108">
      <w:pPr>
        <w:pStyle w:val="22"/>
        <w:numPr>
          <w:ilvl w:val="0"/>
          <w:numId w:val="4"/>
        </w:numPr>
        <w:spacing w:after="0"/>
        <w:rPr>
          <w:rFonts w:eastAsia="SimSun"/>
          <w:lang w:eastAsia="zh-CN"/>
        </w:rPr>
      </w:pPr>
      <w:r>
        <w:rPr>
          <w:rFonts w:eastAsia="SimSun"/>
          <w:lang w:eastAsia="zh-CN"/>
        </w:rPr>
        <w:t xml:space="preserve">Perry, J., Lundie, D., &amp; Golder, G. (2018). Metacognition in schools: what does the literature suggest about the effectiveness of teaching metacognition in schools? Educational Review, 71(4), 483–500. </w:t>
      </w:r>
      <w:r>
        <w:fldChar w:fldCharType="begin"/>
      </w:r>
      <w:r>
        <w:instrText xml:space="preserve"> HYPERLINK "https://doi.org/10.1080/00131911.2018.1441127" </w:instrText>
      </w:r>
      <w:r>
        <w:fldChar w:fldCharType="separate"/>
      </w:r>
      <w:r>
        <w:rPr>
          <w:rStyle w:val="14"/>
          <w:rFonts w:eastAsia="SimSun"/>
          <w:lang w:eastAsia="zh-CN"/>
        </w:rPr>
        <w:t>https://doi.org/10.1080/00131911.2018.1441127</w:t>
      </w:r>
      <w:r>
        <w:rPr>
          <w:rStyle w:val="14"/>
          <w:rFonts w:eastAsia="SimSun"/>
          <w:lang w:eastAsia="zh-CN"/>
        </w:rPr>
        <w:fldChar w:fldCharType="end"/>
      </w:r>
    </w:p>
    <w:p w14:paraId="20B57F04">
      <w:pPr>
        <w:pStyle w:val="22"/>
        <w:numPr>
          <w:ilvl w:val="0"/>
          <w:numId w:val="4"/>
        </w:numPr>
        <w:spacing w:after="0"/>
        <w:rPr>
          <w:rFonts w:eastAsia="SimSun"/>
          <w:lang w:eastAsia="zh-CN"/>
        </w:rPr>
      </w:pPr>
      <w:r>
        <w:rPr>
          <w:rFonts w:eastAsia="SimSun"/>
          <w:lang w:eastAsia="zh-CN"/>
        </w:rPr>
        <w:t xml:space="preserve">Zimmerman, B. J. (1990). Self-regulated learning and academic achievement: An overview. Educational Psychologist, 25(1), 3-17. </w:t>
      </w:r>
      <w:r>
        <w:fldChar w:fldCharType="begin"/>
      </w:r>
      <w:r>
        <w:instrText xml:space="preserve"> HYPERLINK "https://doi.org/10.1207/s15326985ep2501_2" </w:instrText>
      </w:r>
      <w:r>
        <w:fldChar w:fldCharType="separate"/>
      </w:r>
      <w:r>
        <w:rPr>
          <w:rStyle w:val="14"/>
          <w:rFonts w:eastAsia="SimSun"/>
          <w:lang w:eastAsia="zh-CN"/>
        </w:rPr>
        <w:t>https://doi.org/10.1207/s15326985ep2501_2</w:t>
      </w:r>
      <w:r>
        <w:rPr>
          <w:rStyle w:val="14"/>
          <w:rFonts w:eastAsia="SimSun"/>
          <w:lang w:eastAsia="zh-CN"/>
        </w:rPr>
        <w:fldChar w:fldCharType="end"/>
      </w:r>
    </w:p>
    <w:p w14:paraId="64963167">
      <w:pPr>
        <w:pStyle w:val="22"/>
        <w:numPr>
          <w:ilvl w:val="0"/>
          <w:numId w:val="4"/>
        </w:numPr>
        <w:spacing w:after="0"/>
        <w:rPr>
          <w:rFonts w:eastAsia="SimSun"/>
          <w:lang w:eastAsia="zh-CN"/>
        </w:rPr>
      </w:pPr>
      <w:r>
        <w:rPr>
          <w:rFonts w:eastAsia="SimSun"/>
          <w:lang w:eastAsia="zh-CN"/>
        </w:rPr>
        <w:t xml:space="preserve">Zimmerman, B. J. (2002). Becoming a self-regulated learner: An overview. Theory Into Practice, 41(2), 64–70. </w:t>
      </w:r>
      <w:r>
        <w:fldChar w:fldCharType="begin"/>
      </w:r>
      <w:r>
        <w:instrText xml:space="preserve"> HYPERLINK "https://doi.org/10.1207/s15430421tip4102_2" </w:instrText>
      </w:r>
      <w:r>
        <w:fldChar w:fldCharType="separate"/>
      </w:r>
      <w:r>
        <w:rPr>
          <w:rStyle w:val="14"/>
          <w:rFonts w:eastAsia="SimSun"/>
          <w:lang w:eastAsia="zh-CN"/>
        </w:rPr>
        <w:t>https://doi.org/10.1207/s15430421tip4102_2</w:t>
      </w:r>
      <w:r>
        <w:rPr>
          <w:rStyle w:val="14"/>
          <w:rFonts w:eastAsia="SimSun"/>
          <w:lang w:eastAsia="zh-CN"/>
        </w:rPr>
        <w:fldChar w:fldCharType="end"/>
      </w:r>
    </w:p>
    <w:p w14:paraId="5ED718BA">
      <w:pPr>
        <w:pStyle w:val="22"/>
        <w:numPr>
          <w:ilvl w:val="0"/>
          <w:numId w:val="4"/>
        </w:numPr>
        <w:spacing w:after="0"/>
        <w:rPr>
          <w:rFonts w:eastAsia="SimSun"/>
          <w:lang w:eastAsia="zh-CN"/>
        </w:rPr>
      </w:pPr>
      <w:r>
        <w:rPr>
          <w:rFonts w:eastAsia="SimSun"/>
          <w:lang w:eastAsia="zh-CN"/>
        </w:rPr>
        <w:t xml:space="preserve">Pintrich, P. R. (2000). The Role of Goal-Orientation in Self-Regulated Learning. In M. Boekaerts, P. R. Pintrich, &amp; M. Zeidner (Eds.), Handbook of Self-Regulation (pp. 451-502). Academic Press. </w:t>
      </w:r>
      <w:r>
        <w:fldChar w:fldCharType="begin"/>
      </w:r>
      <w:r>
        <w:instrText xml:space="preserve"> HYPERLINK "https://doi.org/10.1016/b978-012109890-2/50043-3" </w:instrText>
      </w:r>
      <w:r>
        <w:fldChar w:fldCharType="separate"/>
      </w:r>
      <w:r>
        <w:rPr>
          <w:rStyle w:val="14"/>
          <w:rFonts w:eastAsia="SimSun"/>
          <w:lang w:eastAsia="zh-CN"/>
        </w:rPr>
        <w:t>https://doi.org/10.1016/b978-012109890-2/50043-3</w:t>
      </w:r>
      <w:r>
        <w:rPr>
          <w:rStyle w:val="14"/>
          <w:rFonts w:eastAsia="SimSun"/>
          <w:lang w:eastAsia="zh-CN"/>
        </w:rPr>
        <w:fldChar w:fldCharType="end"/>
      </w:r>
    </w:p>
    <w:p w14:paraId="2558AE39">
      <w:pPr>
        <w:pStyle w:val="22"/>
        <w:numPr>
          <w:ilvl w:val="0"/>
          <w:numId w:val="4"/>
        </w:numPr>
        <w:spacing w:after="0"/>
        <w:rPr>
          <w:rFonts w:eastAsia="SimSun"/>
          <w:lang w:eastAsia="zh-CN"/>
        </w:rPr>
      </w:pPr>
      <w:r>
        <w:rPr>
          <w:rFonts w:eastAsia="SimSun"/>
          <w:lang w:eastAsia="zh-CN"/>
        </w:rPr>
        <w:t xml:space="preserve">Boekaerts, M. (1997). Self-regulated learning: A new concept embraced by researchers, policy makers, educators, teachers, and students. Learning and Instruction, 7(2), 161-186. </w:t>
      </w:r>
      <w:r>
        <w:fldChar w:fldCharType="begin"/>
      </w:r>
      <w:r>
        <w:instrText xml:space="preserve"> HYPERLINK "https://doi.org/10.1016/S0959-4752(96)00015-1" </w:instrText>
      </w:r>
      <w:r>
        <w:fldChar w:fldCharType="separate"/>
      </w:r>
      <w:r>
        <w:rPr>
          <w:rStyle w:val="14"/>
          <w:rFonts w:eastAsia="SimSun"/>
          <w:lang w:eastAsia="zh-CN"/>
        </w:rPr>
        <w:t>https://doi.org/10.1016/S0959-4752(96)00015-1</w:t>
      </w:r>
      <w:r>
        <w:rPr>
          <w:rStyle w:val="14"/>
          <w:rFonts w:eastAsia="SimSun"/>
          <w:lang w:eastAsia="zh-CN"/>
        </w:rPr>
        <w:fldChar w:fldCharType="end"/>
      </w:r>
    </w:p>
    <w:p w14:paraId="38A6164B">
      <w:pPr>
        <w:pStyle w:val="22"/>
        <w:numPr>
          <w:ilvl w:val="0"/>
          <w:numId w:val="4"/>
        </w:numPr>
        <w:spacing w:after="0"/>
        <w:rPr>
          <w:rFonts w:eastAsia="SimSun"/>
          <w:lang w:eastAsia="zh-CN"/>
        </w:rPr>
      </w:pPr>
      <w:r>
        <w:rPr>
          <w:rFonts w:hint="eastAsia" w:eastAsia="SimSun"/>
          <w:lang w:eastAsia="zh-CN"/>
        </w:rPr>
        <w:t>Schunk, D. H., &amp; Ertmer, P. A. (2000). Self-Regulation and Academic Learning: Self-Efficacy Enhancing Interventions. In M. Boekaerts, P. R. Pintrich, &amp; M. Zeidner (Eds.), Handbook of Self-Regulation (pp. 631-649). Elsevier. https://doi.org/10.1016/b978-012109890-2/50048-2</w:t>
      </w:r>
    </w:p>
    <w:p w14:paraId="56B21AC7">
      <w:pPr>
        <w:pStyle w:val="22"/>
        <w:numPr>
          <w:ilvl w:val="0"/>
          <w:numId w:val="4"/>
        </w:numPr>
        <w:spacing w:after="0"/>
        <w:rPr>
          <w:rFonts w:eastAsia="SimSun"/>
          <w:lang w:eastAsia="zh-CN"/>
        </w:rPr>
      </w:pPr>
      <w:r>
        <w:rPr>
          <w:rFonts w:hint="eastAsia" w:eastAsia="SimSun"/>
          <w:lang w:eastAsia="zh-CN"/>
        </w:rPr>
        <w:t>Li, Y. Y., &amp; Zhou, J. M. (2020). A Study on Learners’ Self-Regulated Ability in Online English Teaching Environment. Foreign Languages and Their Teaching,(05), 45-54+149. https://doi.org/10.13458/j.cnki.flatt.004712.</w:t>
      </w:r>
    </w:p>
    <w:p w14:paraId="3735D2C9">
      <w:pPr>
        <w:pStyle w:val="22"/>
        <w:numPr>
          <w:ilvl w:val="0"/>
          <w:numId w:val="4"/>
        </w:numPr>
        <w:spacing w:after="0"/>
        <w:rPr>
          <w:rFonts w:eastAsia="SimSun"/>
          <w:lang w:eastAsia="zh-CN"/>
        </w:rPr>
      </w:pPr>
      <w:r>
        <w:rPr>
          <w:rFonts w:eastAsia="SimSun"/>
          <w:lang w:eastAsia="zh-CN"/>
        </w:rPr>
        <w:t xml:space="preserve">Chang, H. C. (2020). A Longitudinal Study of English Majors’ Learning Emotion Self-Regulation: A Dynamic Investigation Based on Learning Anxiety Elimination Strategies. Frontiers of Foreign Language Education Research </w:t>
      </w:r>
      <w:r>
        <w:fldChar w:fldCharType="begin"/>
      </w:r>
      <w:r>
        <w:instrText xml:space="preserve"> HYPERLINK "https://doi.org/10.20083/j.cnki.fleic.2020.02.008" </w:instrText>
      </w:r>
      <w:r>
        <w:fldChar w:fldCharType="separate"/>
      </w:r>
      <w:r>
        <w:rPr>
          <w:rStyle w:val="14"/>
          <w:rFonts w:eastAsia="SimSun"/>
          <w:lang w:eastAsia="zh-CN"/>
        </w:rPr>
        <w:t>https://doi.org/10.20083/j.cnki.fleic.2020.02.008</w:t>
      </w:r>
      <w:r>
        <w:rPr>
          <w:rStyle w:val="14"/>
          <w:rFonts w:eastAsia="SimSun"/>
          <w:lang w:eastAsia="zh-CN"/>
        </w:rPr>
        <w:fldChar w:fldCharType="end"/>
      </w:r>
    </w:p>
    <w:p w14:paraId="2653D20A">
      <w:pPr>
        <w:pStyle w:val="22"/>
        <w:numPr>
          <w:ilvl w:val="0"/>
          <w:numId w:val="4"/>
        </w:numPr>
        <w:spacing w:after="0"/>
        <w:rPr>
          <w:rFonts w:eastAsia="SimSun"/>
          <w:lang w:eastAsia="zh-CN"/>
        </w:rPr>
      </w:pPr>
      <w:r>
        <w:rPr>
          <w:rFonts w:eastAsia="SimSun"/>
          <w:lang w:eastAsia="zh-CN"/>
        </w:rPr>
        <w:t xml:space="preserve">Zheng, C. P., &amp; Wang, L. L. (2020). A study on the structural relationship between technology acceptance and online self-regulated learning among English learners in higher education. Foreign Language Education, 41(02), 64-70. </w:t>
      </w:r>
      <w:r>
        <w:fldChar w:fldCharType="begin"/>
      </w:r>
      <w:r>
        <w:instrText xml:space="preserve"> HYPERLINK "https://doi.org/10.16362/j.cnki.cn61-1023/h.2020.02.012" </w:instrText>
      </w:r>
      <w:r>
        <w:fldChar w:fldCharType="separate"/>
      </w:r>
      <w:r>
        <w:rPr>
          <w:rStyle w:val="14"/>
          <w:rFonts w:eastAsia="SimSun"/>
          <w:lang w:eastAsia="zh-CN"/>
        </w:rPr>
        <w:t>https://doi.org/10.16362/j.cnki.cn61-1023/h.2020.02.012</w:t>
      </w:r>
      <w:r>
        <w:rPr>
          <w:rStyle w:val="14"/>
          <w:rFonts w:eastAsia="SimSun"/>
          <w:lang w:eastAsia="zh-CN"/>
        </w:rPr>
        <w:fldChar w:fldCharType="end"/>
      </w:r>
    </w:p>
    <w:p w14:paraId="370F5D69">
      <w:pPr>
        <w:pStyle w:val="22"/>
        <w:numPr>
          <w:ilvl w:val="0"/>
          <w:numId w:val="4"/>
        </w:numPr>
        <w:spacing w:after="0"/>
        <w:rPr>
          <w:rFonts w:eastAsia="SimSun"/>
          <w:lang w:eastAsia="zh-CN"/>
        </w:rPr>
      </w:pPr>
      <w:r>
        <w:rPr>
          <w:rFonts w:eastAsia="SimSun"/>
          <w:lang w:eastAsia="zh-CN"/>
        </w:rPr>
        <w:t xml:space="preserve">Zheng, C. P., Gao, M. Y., Xu, L. Y., &amp; Chen, X. (2022). A Study on College Students’ English Learning Motivation and Self-Regulated Learning in the Online Education Environment. Journal of Xi'an International Studies University, 30(03), 67-72. </w:t>
      </w:r>
      <w:r>
        <w:fldChar w:fldCharType="begin"/>
      </w:r>
      <w:r>
        <w:instrText xml:space="preserve"> HYPERLINK "https://doi.org/10.16362/j.cnki.cn61-1457/h.2022.03.011" </w:instrText>
      </w:r>
      <w:r>
        <w:fldChar w:fldCharType="separate"/>
      </w:r>
      <w:r>
        <w:rPr>
          <w:rStyle w:val="14"/>
          <w:rFonts w:eastAsia="SimSun"/>
          <w:lang w:eastAsia="zh-CN"/>
        </w:rPr>
        <w:t>https://doi.org/10.16362/j.cnki.cn61-1457/h.2022.03.011</w:t>
      </w:r>
      <w:r>
        <w:rPr>
          <w:rStyle w:val="14"/>
          <w:rFonts w:eastAsia="SimSun"/>
          <w:lang w:eastAsia="zh-CN"/>
        </w:rPr>
        <w:fldChar w:fldCharType="end"/>
      </w:r>
    </w:p>
    <w:p w14:paraId="77CC011F">
      <w:pPr>
        <w:pStyle w:val="22"/>
        <w:numPr>
          <w:ilvl w:val="0"/>
          <w:numId w:val="4"/>
        </w:numPr>
        <w:spacing w:after="0"/>
        <w:rPr>
          <w:rFonts w:eastAsia="SimSun"/>
          <w:lang w:eastAsia="zh-CN"/>
        </w:rPr>
      </w:pPr>
      <w:r>
        <w:rPr>
          <w:rFonts w:eastAsia="SimSun"/>
          <w:lang w:eastAsia="zh-CN"/>
        </w:rPr>
        <w:t xml:space="preserve">Puustinen, M., &amp; Pulkkinen, L. (2001). Models of Self-regulated Learning: A review. Scandinavian Journal of Educational Research, 45(3), 269–286. </w:t>
      </w:r>
      <w:r>
        <w:fldChar w:fldCharType="begin"/>
      </w:r>
      <w:r>
        <w:instrText xml:space="preserve"> HYPERLINK "https://doi.org/10.1080/00313830120074206" </w:instrText>
      </w:r>
      <w:r>
        <w:fldChar w:fldCharType="separate"/>
      </w:r>
      <w:r>
        <w:rPr>
          <w:rStyle w:val="14"/>
          <w:rFonts w:eastAsia="SimSun"/>
          <w:lang w:eastAsia="zh-CN"/>
        </w:rPr>
        <w:t>https://doi.org/10.1080/00313830120074206</w:t>
      </w:r>
      <w:r>
        <w:rPr>
          <w:rStyle w:val="14"/>
          <w:rFonts w:eastAsia="SimSun"/>
          <w:lang w:eastAsia="zh-CN"/>
        </w:rPr>
        <w:fldChar w:fldCharType="end"/>
      </w:r>
    </w:p>
    <w:p w14:paraId="51057F43">
      <w:pPr>
        <w:pStyle w:val="22"/>
        <w:numPr>
          <w:ilvl w:val="0"/>
          <w:numId w:val="4"/>
        </w:numPr>
        <w:spacing w:after="0"/>
        <w:rPr>
          <w:rFonts w:eastAsia="SimSun"/>
          <w:lang w:eastAsia="zh-CN"/>
        </w:rPr>
      </w:pPr>
      <w:r>
        <w:rPr>
          <w:rFonts w:hint="eastAsia" w:eastAsia="SimSun"/>
          <w:lang w:eastAsia="zh-CN"/>
        </w:rPr>
        <w:t>Guan, Q. (2009). Self-regulated learning: Research background, methodological development and future prospects. Psychological Science, 32(02), 394-396. https://doi.org/10.16719/j.cnki.1671-6981.2009.02.049.</w:t>
      </w:r>
    </w:p>
    <w:p w14:paraId="44B5085E">
      <w:pPr>
        <w:pStyle w:val="22"/>
        <w:numPr>
          <w:ilvl w:val="0"/>
          <w:numId w:val="4"/>
        </w:numPr>
        <w:spacing w:after="0"/>
        <w:jc w:val="left"/>
        <w:rPr>
          <w:rFonts w:eastAsia="SimSun"/>
          <w:lang w:eastAsia="zh-CN"/>
        </w:rPr>
      </w:pPr>
      <w:r>
        <w:rPr>
          <w:rFonts w:eastAsia="SimSun"/>
          <w:lang w:eastAsia="zh-CN"/>
        </w:rPr>
        <w:t xml:space="preserve">Zimmerman, B. J., &amp; Martinez-Pons, M. (1986). Development of a Structured Interview for Assessing Student Use of Self-Regulated Learning Strategies. American Educational Research Journal, 23, 614-628. </w:t>
      </w:r>
      <w:r>
        <w:fldChar w:fldCharType="begin"/>
      </w:r>
      <w:r>
        <w:instrText xml:space="preserve"> HYPERLINK "https://doi.org/10.3102/00028312023004614" </w:instrText>
      </w:r>
      <w:r>
        <w:fldChar w:fldCharType="separate"/>
      </w:r>
      <w:r>
        <w:rPr>
          <w:rStyle w:val="14"/>
          <w:rFonts w:eastAsia="SimSun"/>
          <w:lang w:eastAsia="zh-CN"/>
        </w:rPr>
        <w:t>https://doi.org/10.3102/00028312023004614</w:t>
      </w:r>
      <w:r>
        <w:rPr>
          <w:rStyle w:val="14"/>
          <w:rFonts w:eastAsia="SimSun"/>
          <w:lang w:eastAsia="zh-CN"/>
        </w:rPr>
        <w:fldChar w:fldCharType="end"/>
      </w:r>
    </w:p>
    <w:p w14:paraId="5E528816">
      <w:pPr>
        <w:pStyle w:val="22"/>
        <w:spacing w:after="0"/>
        <w:jc w:val="left"/>
      </w:pPr>
    </w:p>
    <w:p w14:paraId="700ECFE5">
      <w:pPr>
        <w:pStyle w:val="22"/>
        <w:spacing w:after="0"/>
        <w:jc w:val="left"/>
      </w:pPr>
    </w:p>
    <w:p w14:paraId="034A648E">
      <w:pPr>
        <w:pStyle w:val="41"/>
        <w:spacing w:after="0"/>
        <w:jc w:val="both"/>
        <w:rPr>
          <w:rFonts w:ascii="Arial" w:hAnsi="Arial" w:cs="Arial"/>
          <w:b w:val="0"/>
        </w:rPr>
        <w:sectPr>
          <w:footerReference r:id="rId7" w:type="default"/>
          <w:type w:val="continuous"/>
          <w:pgSz w:w="12240" w:h="15840"/>
          <w:pgMar w:top="1440" w:right="2016" w:bottom="2016" w:left="2016" w:header="720" w:footer="1123" w:gutter="0"/>
          <w:cols w:space="720" w:num="1"/>
          <w:docGrid w:linePitch="272" w:charSpace="0"/>
        </w:sectPr>
      </w:pPr>
    </w:p>
    <w:p w14:paraId="58003F7A">
      <w:pPr>
        <w:pStyle w:val="41"/>
        <w:spacing w:after="0"/>
        <w:jc w:val="both"/>
        <w:rPr>
          <w:rFonts w:ascii="Arial" w:hAnsi="Arial" w:cs="Arial"/>
          <w:b w:val="0"/>
        </w:rPr>
      </w:pPr>
    </w:p>
    <w:p w14:paraId="4EBAC952">
      <w:pPr>
        <w:pStyle w:val="41"/>
        <w:spacing w:after="0"/>
        <w:jc w:val="both"/>
        <w:rPr>
          <w:rFonts w:hint="default" w:ascii="Arial" w:hAnsi="Arial" w:cs="Arial"/>
          <w:b w:val="0"/>
          <w:lang w:val="en-US"/>
        </w:rPr>
      </w:pPr>
      <w:r>
        <w:rPr>
          <w:rFonts w:hint="default" w:ascii="Arial" w:hAnsi="Arial" w:cs="Arial"/>
          <w:b w:val="0"/>
          <w:lang w:val="en-US"/>
        </w:rPr>
        <w:t xml:space="preserve">                </w:t>
      </w:r>
      <w:commentRangeStart w:id="0"/>
      <w:r>
        <w:rPr>
          <w:rFonts w:hint="default" w:ascii="Arial" w:hAnsi="Arial" w:cs="Arial"/>
          <w:b w:val="0"/>
          <w:lang w:val="en-US"/>
        </w:rPr>
        <w:t>Comments:</w:t>
      </w:r>
      <w:commentRangeEnd w:id="0"/>
      <w:r>
        <w:commentReference w:id="0"/>
      </w:r>
    </w:p>
    <w:sectPr>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lsse 2022" w:date="2025-12-03T07:04:13Z" w:initials="">
    <w:p w14:paraId="2978444C">
      <w:pPr>
        <w:pStyle w:val="16"/>
        <w:keepNext w:val="0"/>
        <w:keepLines w:val="0"/>
        <w:widowControl/>
        <w:numPr>
          <w:ilvl w:val="0"/>
          <w:numId w:val="2"/>
        </w:numPr>
        <w:suppressLineNumbers w:val="0"/>
      </w:pPr>
      <w:r>
        <w:t>Clarify the operationalisation of key constructs</w:t>
      </w:r>
      <w:r>
        <w:br w:type="textWrapping"/>
      </w:r>
      <w:r>
        <w:t>While the study identifies self-regulated learning ability and writing quality as major outcome variables, it would be beneficial to specify how these constructs were measured. Detailing the rubrics, scoring procedures, or instruments used would enhance transparency and replicability.</w:t>
      </w:r>
    </w:p>
    <w:p w14:paraId="310AE025">
      <w:pPr>
        <w:pStyle w:val="16"/>
        <w:keepNext w:val="0"/>
        <w:keepLines w:val="0"/>
        <w:widowControl/>
        <w:numPr>
          <w:ilvl w:val="0"/>
          <w:numId w:val="2"/>
        </w:numPr>
        <w:suppressLineNumbers w:val="0"/>
        <w:ind w:left="0" w:leftChars="0" w:firstLine="0" w:firstLineChars="0"/>
      </w:pPr>
      <w:r>
        <w:t>Strengthen methodological specificity</w:t>
      </w:r>
      <w:r>
        <w:br w:type="textWrapping"/>
      </w:r>
      <w:r>
        <w:t>The description of the metacognitive strategy training program is conceptually clear, but the methodology section could be improved by providing more concrete information such as duration, frequency of training sessions, sample size, and participant characteristics. These details would help readers evaluate the robustness and generalizability of the findings.</w:t>
      </w:r>
    </w:p>
    <w:p w14:paraId="2BF26B10">
      <w:pPr>
        <w:pStyle w:val="16"/>
        <w:keepNext w:val="0"/>
        <w:keepLines w:val="0"/>
        <w:widowControl/>
        <w:numPr>
          <w:ilvl w:val="0"/>
          <w:numId w:val="2"/>
        </w:numPr>
        <w:suppressLineNumbers w:val="0"/>
        <w:ind w:left="0" w:leftChars="0" w:firstLine="0" w:firstLineChars="0"/>
      </w:pPr>
      <w:r>
        <w:t>Provide evidence of causal relationship</w:t>
      </w:r>
      <w:r>
        <w:br w:type="textWrapping"/>
      </w:r>
      <w:r>
        <w:t>The results suggest a significant impact of metacognitive strategy training on both self-regulated learning and writing quality. Including statistical analyses (for example, effect sizes, significance levels, or pre-post comparison data) would make the causal claims more convincing and empirically grounded.</w:t>
      </w:r>
    </w:p>
    <w:p w14:paraId="4F448EFC">
      <w:pPr>
        <w:pStyle w:val="16"/>
        <w:keepNext w:val="0"/>
        <w:keepLines w:val="0"/>
        <w:widowControl/>
        <w:suppressLineNumbers w:val="0"/>
      </w:pPr>
      <w:r>
        <w:rPr>
          <w:rFonts w:hint="default"/>
          <w:lang w:val="en-US"/>
        </w:rPr>
        <w:t>4.</w:t>
      </w:r>
      <w:r>
        <w:t>Address potential confounding factors</w:t>
      </w:r>
      <w:r>
        <w:br w:type="textWrapping"/>
      </w:r>
      <w:r>
        <w:t>It may strengthen the study to discuss possible extraneous variables—such as differences in students’ prior writing proficiency, motivation levels, or instructor influence—that could have contributed to the observed improvements. Acknowledging these limitations would increase the study’s academic rigour.</w:t>
      </w:r>
    </w:p>
    <w:p w14:paraId="49E556E0">
      <w:pPr>
        <w:pStyle w:val="16"/>
        <w:keepNext w:val="0"/>
        <w:keepLines w:val="0"/>
        <w:widowControl/>
        <w:suppressLineNumbers w:val="0"/>
      </w:pPr>
      <w:r>
        <w:rPr>
          <w:rFonts w:hint="default"/>
          <w:lang w:val="en-US"/>
        </w:rPr>
        <w:t>5.</w:t>
      </w:r>
      <w:bookmarkStart w:id="0" w:name="_GoBack"/>
      <w:bookmarkEnd w:id="0"/>
      <w:r>
        <w:t>Expand on pedagogical implications</w:t>
      </w:r>
      <w:r>
        <w:br w:type="textWrapping"/>
      </w:r>
      <w:r>
        <w:t>The conclusion emphasises the value of cultivating autonomous and lifelong learning abilities. Further elaboration on how instructors can practically implement metacognitive strategy-based instruction in various classroom contexts would deepen the study’s contribution to teaching practice and curriculum design.</w:t>
      </w:r>
    </w:p>
    <w:p w14:paraId="5094099B">
      <w:pPr>
        <w:pStyle w:val="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9409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5BBB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86D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3FDD">
    <w:pPr>
      <w:ind w:left="2160"/>
      <w:jc w:val="center"/>
      <w:rPr>
        <w:rFonts w:ascii="Times New Roman" w:hAnsi="Times New Roman" w:eastAsia="Calibri"/>
        <w:i/>
        <w:sz w:val="18"/>
        <w:szCs w:val="22"/>
      </w:rPr>
    </w:pPr>
  </w:p>
  <w:p w14:paraId="7FE2C817">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3A230D25">
    <w:pPr>
      <w:jc w:val="center"/>
      <w:rPr>
        <w:rFonts w:ascii="Times New Roman" w:hAnsi="Times New Roman" w:eastAsia="Calibri"/>
        <w:i/>
        <w:sz w:val="18"/>
        <w:szCs w:val="22"/>
      </w:rPr>
    </w:pPr>
    <w:r>
      <w:rPr>
        <w:rFonts w:ascii="Times New Roman" w:hAnsi="Times New Roman" w:eastAsia="Calibri"/>
        <w:i/>
        <w:sz w:val="18"/>
        <w:szCs w:val="22"/>
      </w:rPr>
      <w:t>.</w:t>
    </w:r>
  </w:p>
  <w:p w14:paraId="6DBC28C5">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6674EFB8">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2F1D6440">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159BAF23">
    <w:pPr>
      <w:pStyle w:val="13"/>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C45B5"/>
    <w:multiLevelType w:val="multilevel"/>
    <w:tmpl w:val="27EC45B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90BF8B9"/>
    <w:multiLevelType w:val="singleLevel"/>
    <w:tmpl w:val="390BF8B9"/>
    <w:lvl w:ilvl="0" w:tentative="0">
      <w:start w:val="1"/>
      <w:numFmt w:val="decimal"/>
      <w:suff w:val="space"/>
      <w:lvlText w:val="%1."/>
      <w:lvlJc w:val="left"/>
    </w:lvl>
  </w:abstractNum>
  <w:abstractNum w:abstractNumId="2">
    <w:nsid w:val="71604DCD"/>
    <w:multiLevelType w:val="singleLevel"/>
    <w:tmpl w:val="71604DCD"/>
    <w:lvl w:ilvl="0" w:tentative="0">
      <w:start w:val="1"/>
      <w:numFmt w:val="decimal"/>
      <w:pStyle w:val="33"/>
      <w:lvlText w:val="%1."/>
      <w:lvlJc w:val="left"/>
      <w:pPr>
        <w:tabs>
          <w:tab w:val="left" w:pos="360"/>
        </w:tabs>
        <w:ind w:left="360" w:hanging="360"/>
      </w:pPr>
    </w:lvl>
  </w:abstractNum>
  <w:abstractNum w:abstractNumId="3">
    <w:nsid w:val="7EE71905"/>
    <w:multiLevelType w:val="singleLevel"/>
    <w:tmpl w:val="7EE71905"/>
    <w:lvl w:ilvl="0" w:tentative="0">
      <w:start w:val="1"/>
      <w:numFmt w:val="decimal"/>
      <w:suff w:val="space"/>
      <w:lvlText w:val="%1."/>
      <w:lvlJc w:val="left"/>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lsse 2022">
    <w15:presenceInfo w15:providerId="WPS Office" w15:userId="3366799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48D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9DA"/>
    <w:rsid w:val="003A7E18"/>
    <w:rsid w:val="003C4C86"/>
    <w:rsid w:val="003C6258"/>
    <w:rsid w:val="003E2904"/>
    <w:rsid w:val="00400374"/>
    <w:rsid w:val="00401927"/>
    <w:rsid w:val="0041027F"/>
    <w:rsid w:val="00412475"/>
    <w:rsid w:val="00423789"/>
    <w:rsid w:val="00440F43"/>
    <w:rsid w:val="00441B6F"/>
    <w:rsid w:val="004423A7"/>
    <w:rsid w:val="00446221"/>
    <w:rsid w:val="00450E62"/>
    <w:rsid w:val="004539DB"/>
    <w:rsid w:val="00464F6C"/>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FAF"/>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170E"/>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7046"/>
    <w:rsid w:val="00A24E7E"/>
    <w:rsid w:val="00A258C3"/>
    <w:rsid w:val="00A279A5"/>
    <w:rsid w:val="00A347C0"/>
    <w:rsid w:val="00A42889"/>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0394"/>
    <w:rsid w:val="00C242DC"/>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B1956"/>
    <w:rsid w:val="00DC2A65"/>
    <w:rsid w:val="00DD0897"/>
    <w:rsid w:val="00DE15F0"/>
    <w:rsid w:val="00DE5663"/>
    <w:rsid w:val="00DE78AA"/>
    <w:rsid w:val="00E053D0"/>
    <w:rsid w:val="00E15994"/>
    <w:rsid w:val="00E3114E"/>
    <w:rsid w:val="00E31A70"/>
    <w:rsid w:val="00E35B02"/>
    <w:rsid w:val="00E5720F"/>
    <w:rsid w:val="00E66496"/>
    <w:rsid w:val="00E66B35"/>
    <w:rsid w:val="00E66E10"/>
    <w:rsid w:val="00E769F6"/>
    <w:rsid w:val="00E8407C"/>
    <w:rsid w:val="00E84F3C"/>
    <w:rsid w:val="00EA012C"/>
    <w:rsid w:val="00EC6A55"/>
    <w:rsid w:val="00ED0288"/>
    <w:rsid w:val="00EE52CB"/>
    <w:rsid w:val="00EF0D0C"/>
    <w:rsid w:val="00EF581D"/>
    <w:rsid w:val="00EF7FD8"/>
    <w:rsid w:val="00F06F59"/>
    <w:rsid w:val="00F17988"/>
    <w:rsid w:val="00F469F0"/>
    <w:rsid w:val="00F53273"/>
    <w:rsid w:val="00F755E4"/>
    <w:rsid w:val="00F77D02"/>
    <w:rsid w:val="00FA4988"/>
    <w:rsid w:val="00FB3A86"/>
    <w:rsid w:val="00FD36C8"/>
    <w:rsid w:val="03C07382"/>
    <w:rsid w:val="176221FA"/>
    <w:rsid w:val="1AAE7213"/>
    <w:rsid w:val="1E051629"/>
    <w:rsid w:val="2EAE2E7E"/>
    <w:rsid w:val="379C3687"/>
    <w:rsid w:val="4EED17CD"/>
    <w:rsid w:val="4EF90653"/>
    <w:rsid w:val="58030761"/>
    <w:rsid w:val="581B2D6B"/>
    <w:rsid w:val="5E1026C8"/>
    <w:rsid w:val="6DD27908"/>
    <w:rsid w:val="6F74318C"/>
    <w:rsid w:val="70D0347E"/>
    <w:rsid w:val="77995C9A"/>
    <w:rsid w:val="7E63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1"/>
    <w:qFormat/>
    <w:uiPriority w:val="0"/>
    <w:rPr>
      <w:rFonts w:ascii="Tahoma" w:hAnsi="Tahoma" w:cs="Tahoma"/>
      <w:sz w:val="16"/>
      <w:szCs w:val="16"/>
    </w:rPr>
  </w:style>
  <w:style w:type="paragraph" w:styleId="6">
    <w:name w:val="Body Text 2"/>
    <w:basedOn w:val="1"/>
    <w:link w:val="59"/>
    <w:qFormat/>
    <w:uiPriority w:val="0"/>
    <w:pPr>
      <w:spacing w:after="120" w:line="480" w:lineRule="auto"/>
    </w:pPr>
  </w:style>
  <w:style w:type="paragraph" w:styleId="7">
    <w:name w:val="Body Text 3"/>
    <w:basedOn w:val="1"/>
    <w:link w:val="62"/>
    <w:qFormat/>
    <w:uiPriority w:val="0"/>
    <w:pPr>
      <w:spacing w:after="120"/>
    </w:pPr>
    <w:rPr>
      <w:sz w:val="16"/>
      <w:szCs w:val="16"/>
    </w:rPr>
  </w:style>
  <w:style w:type="character" w:styleId="8">
    <w:name w:val="annotation reference"/>
    <w:basedOn w:val="3"/>
    <w:unhideWhenUsed/>
    <w:qFormat/>
    <w:uiPriority w:val="99"/>
    <w:rPr>
      <w:sz w:val="16"/>
      <w:szCs w:val="16"/>
    </w:rPr>
  </w:style>
  <w:style w:type="paragraph" w:styleId="9">
    <w:name w:val="annotation text"/>
    <w:basedOn w:val="1"/>
    <w:link w:val="60"/>
    <w:unhideWhenUsed/>
    <w:qFormat/>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qFormat/>
    <w:uiPriority w:val="0"/>
    <w:rPr>
      <w:color w:val="800080"/>
      <w:u w:val="single"/>
    </w:rPr>
  </w:style>
  <w:style w:type="paragraph" w:styleId="12">
    <w:name w:val="footer"/>
    <w:basedOn w:val="1"/>
    <w:qFormat/>
    <w:uiPriority w:val="0"/>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Normal (Web)"/>
    <w:basedOn w:val="1"/>
    <w:semiHidden/>
    <w:unhideWhenUsed/>
    <w:qFormat/>
    <w:uiPriority w:val="0"/>
    <w:pPr>
      <w:spacing w:beforeAutospacing="1" w:afterAutospacing="1"/>
    </w:pPr>
    <w:rPr>
      <w:sz w:val="24"/>
      <w:lang w:eastAsia="zh-CN"/>
    </w:rPr>
  </w:style>
  <w:style w:type="paragraph" w:styleId="17">
    <w:name w:val="Signature"/>
    <w:basedOn w:val="1"/>
    <w:qFormat/>
    <w:uiPriority w:val="0"/>
    <w:pPr>
      <w:ind w:left="4320"/>
    </w:pPr>
  </w:style>
  <w:style w:type="table" w:styleId="18">
    <w:name w:val="Table Grid"/>
    <w:basedOn w:val="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spacing w:after="360"/>
      <w:jc w:val="right"/>
    </w:pPr>
    <w:rPr>
      <w:b/>
      <w:kern w:val="28"/>
      <w:sz w:val="3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qFormat/>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qFormat/>
    <w:uiPriority w:val="0"/>
    <w:rPr>
      <w:sz w:val="22"/>
    </w:rPr>
  </w:style>
  <w:style w:type="paragraph" w:customStyle="1" w:styleId="35">
    <w:name w:val="Contact Head"/>
    <w:basedOn w:val="24"/>
    <w:qFormat/>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qFormat/>
    <w:uiPriority w:val="0"/>
    <w:pPr>
      <w:jc w:val="left"/>
    </w:pPr>
  </w:style>
  <w:style w:type="paragraph" w:customStyle="1" w:styleId="41">
    <w:name w:val="Appendix"/>
    <w:basedOn w:val="24"/>
    <w:qFormat/>
    <w:uiPriority w:val="0"/>
    <w:rPr>
      <w:sz w:val="22"/>
    </w:rPr>
  </w:style>
  <w:style w:type="paragraph" w:customStyle="1" w:styleId="42">
    <w:name w:val="Term"/>
    <w:basedOn w:val="22"/>
    <w:qFormat/>
    <w:uiPriority w:val="0"/>
    <w:pPr>
      <w:spacing w:after="0"/>
    </w:pPr>
    <w:rPr>
      <w:b/>
    </w:rPr>
  </w:style>
  <w:style w:type="paragraph" w:customStyle="1" w:styleId="43">
    <w:name w:val="Definition"/>
    <w:basedOn w:val="22"/>
    <w:qFormat/>
    <w:uiPriority w:val="0"/>
  </w:style>
  <w:style w:type="character" w:customStyle="1" w:styleId="44">
    <w:name w:val="Bold"/>
    <w:qFormat/>
    <w:uiPriority w:val="0"/>
    <w:rPr>
      <w:b/>
    </w:rPr>
  </w:style>
  <w:style w:type="character" w:customStyle="1" w:styleId="45">
    <w:name w:val="Italic"/>
    <w:qFormat/>
    <w:uiPriority w:val="0"/>
    <w:rPr>
      <w:i/>
    </w:rPr>
  </w:style>
  <w:style w:type="character" w:customStyle="1" w:styleId="46">
    <w:name w:val="Underline"/>
    <w:qFormat/>
    <w:uiPriority w:val="0"/>
    <w:rPr>
      <w:u w:val="single"/>
    </w:rPr>
  </w:style>
  <w:style w:type="paragraph" w:customStyle="1" w:styleId="47">
    <w:name w:val="Equation"/>
    <w:basedOn w:val="22"/>
    <w:qFormat/>
    <w:uiPriority w:val="0"/>
  </w:style>
  <w:style w:type="paragraph" w:customStyle="1" w:styleId="48">
    <w:name w:val="Figure"/>
    <w:basedOn w:val="32"/>
    <w:qFormat/>
    <w:uiPriority w:val="0"/>
    <w:pPr>
      <w:spacing w:after="240"/>
    </w:pPr>
    <w:rPr>
      <w:sz w:val="20"/>
    </w:rPr>
  </w:style>
  <w:style w:type="paragraph" w:customStyle="1" w:styleId="49">
    <w:name w:val="Head 4"/>
    <w:basedOn w:val="36"/>
    <w:qFormat/>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qForma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qFormat/>
    <w:uiPriority w:val="0"/>
    <w:pPr>
      <w:tabs>
        <w:tab w:val="left" w:pos="720"/>
        <w:tab w:val="left" w:pos="3780"/>
      </w:tabs>
      <w:spacing w:after="0"/>
    </w:pPr>
    <w:rPr>
      <w:sz w:val="24"/>
    </w:rPr>
  </w:style>
  <w:style w:type="character" w:customStyle="1" w:styleId="55">
    <w:name w:val="BoldItal"/>
    <w:basedOn w:val="3"/>
    <w:qFormat/>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3"/>
    <w:link w:val="6"/>
    <w:qFormat/>
    <w:uiPriority w:val="0"/>
    <w:rPr>
      <w:rFonts w:ascii="Helvetica" w:hAnsi="Helvetica"/>
    </w:rPr>
  </w:style>
  <w:style w:type="character" w:customStyle="1" w:styleId="60">
    <w:name w:val="Comment Text Char"/>
    <w:basedOn w:val="3"/>
    <w:link w:val="9"/>
    <w:qFormat/>
    <w:uiPriority w:val="99"/>
    <w:rPr>
      <w:lang w:val="nb-NO" w:eastAsia="nb-NO"/>
    </w:rPr>
  </w:style>
  <w:style w:type="character" w:customStyle="1" w:styleId="61">
    <w:name w:val="Balloon Text Char"/>
    <w:basedOn w:val="3"/>
    <w:link w:val="5"/>
    <w:qFormat/>
    <w:uiPriority w:val="0"/>
    <w:rPr>
      <w:rFonts w:ascii="Tahoma" w:hAnsi="Tahoma" w:cs="Tahoma"/>
      <w:sz w:val="16"/>
      <w:szCs w:val="16"/>
    </w:rPr>
  </w:style>
  <w:style w:type="character" w:customStyle="1" w:styleId="62">
    <w:name w:val="Body Text 3 Char"/>
    <w:basedOn w:val="3"/>
    <w:link w:val="7"/>
    <w:qFormat/>
    <w:uiPriority w:val="0"/>
    <w:rPr>
      <w:rFonts w:ascii="Helvetica" w:hAnsi="Helvetica"/>
      <w:sz w:val="16"/>
      <w:szCs w:val="16"/>
    </w:rPr>
  </w:style>
  <w:style w:type="character" w:customStyle="1" w:styleId="63">
    <w:name w:val="Unresolved Mention1"/>
    <w:basedOn w:val="3"/>
    <w:semiHidden/>
    <w:unhideWhenUsed/>
    <w:qFormat/>
    <w:uiPriority w:val="99"/>
    <w:rPr>
      <w:color w:val="605E5C"/>
      <w:shd w:val="clear" w:color="auto" w:fill="E1DFDD"/>
    </w:rPr>
  </w:style>
  <w:style w:type="paragraph" w:styleId="64">
    <w:name w:val="List Paragraph"/>
    <w:basedOn w:val="1"/>
    <w:qFormat/>
    <w:uiPriority w:val="34"/>
    <w:pPr>
      <w:ind w:left="720"/>
      <w:contextualSpacing/>
    </w:pPr>
  </w:style>
  <w:style w:type="character" w:customStyle="1" w:styleId="65">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A05F9-795A-45F1-BB31-DBB0106C0C2C}">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15</Pages>
  <Words>8899</Words>
  <Characters>50725</Characters>
  <Lines>422</Lines>
  <Paragraphs>119</Paragraphs>
  <TotalTime>33</TotalTime>
  <ScaleCrop>false</ScaleCrop>
  <LinksUpToDate>false</LinksUpToDate>
  <CharactersWithSpaces>59505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plsse 2022</cp:lastModifiedBy>
  <cp:lastPrinted>1999-07-06T11:00:00Z</cp:lastPrinted>
  <dcterms:modified xsi:type="dcterms:W3CDTF">2025-12-02T23:05:24Z</dcterms:modified>
  <dc:title>Paper Template</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B70245EEEB7845FFB8D9D31087299C07</vt:lpwstr>
  </property>
  <property fmtid="{D5CDD505-2E9C-101B-9397-08002B2CF9AE}" pid="4" name="KSOTemplateDocerSaveRecord">
    <vt:lpwstr>eyJoZGlkIjoiZmY1OWZiNmJiNWQ4NDZlZjgxY2JiOWYwMTQyYWUwZjkiLCJ1c2VySWQiOiI0OTcxNDg1MjgifQ==</vt:lpwstr>
  </property>
</Properties>
</file>