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1343" w14:textId="28115F87" w:rsidR="00D604FB" w:rsidRDefault="00486584">
      <w:pPr>
        <w:pStyle w:val="Author"/>
        <w:wordWrap w:val="0"/>
        <w:jc w:val="left"/>
        <w:rPr>
          <w:rFonts w:ascii="Arial" w:hAnsi="Arial" w:cs="Arial"/>
          <w:kern w:val="28"/>
          <w:sz w:val="36"/>
        </w:rPr>
      </w:pPr>
      <w:r>
        <w:rPr>
          <w:rFonts w:ascii="Arial" w:hAnsi="Arial" w:cs="Arial"/>
          <w:i/>
          <w:noProof/>
        </w:rPr>
        <mc:AlternateContent>
          <mc:Choice Requires="wps">
            <w:drawing>
              <wp:anchor distT="45720" distB="45720" distL="114300" distR="114300" simplePos="0" relativeHeight="251660288" behindDoc="0" locked="0" layoutInCell="1" allowOverlap="1" wp14:anchorId="457E10F4" wp14:editId="7F177A00">
                <wp:simplePos x="0" y="0"/>
                <wp:positionH relativeFrom="margin">
                  <wp:posOffset>-276446</wp:posOffset>
                </wp:positionH>
                <wp:positionV relativeFrom="paragraph">
                  <wp:posOffset>6572</wp:posOffset>
                </wp:positionV>
                <wp:extent cx="1417320" cy="300990"/>
                <wp:effectExtent l="6350" t="6350" r="1143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300990"/>
                        </a:xfrm>
                        <a:prstGeom prst="rect">
                          <a:avLst/>
                        </a:prstGeom>
                        <a:solidFill>
                          <a:srgbClr val="FFFFFF"/>
                        </a:solidFill>
                        <a:ln w="12700">
                          <a:solidFill>
                            <a:srgbClr val="000000"/>
                          </a:solidFill>
                          <a:miter lim="800000"/>
                        </a:ln>
                      </wps:spPr>
                      <wps:txbx>
                        <w:txbxContent>
                          <w:p w14:paraId="4B5348B3" w14:textId="77777777" w:rsidR="00D604FB" w:rsidRDefault="00341B07">
                            <w:pPr>
                              <w:rPr>
                                <w:rFonts w:ascii="Arial" w:hAnsi="Arial" w:cs="Arial"/>
                                <w:b/>
                                <w:bCs/>
                                <w:sz w:val="22"/>
                                <w:szCs w:val="22"/>
                              </w:rPr>
                            </w:pPr>
                            <w:r>
                              <w:rPr>
                                <w:rFonts w:ascii="Arial" w:hAnsi="Arial" w:cs="Arial"/>
                                <w:b/>
                                <w:bCs/>
                                <w:sz w:val="22"/>
                                <w:szCs w:val="22"/>
                              </w:rPr>
                              <w:t>Commentary</w:t>
                            </w:r>
                          </w:p>
                        </w:txbxContent>
                      </wps:txbx>
                      <wps:bodyPr rot="0" vert="horz" wrap="square" lIns="91440" tIns="45720" rIns="91440" bIns="45720" anchor="t" anchorCtr="0">
                        <a:noAutofit/>
                      </wps:bodyPr>
                    </wps:wsp>
                  </a:graphicData>
                </a:graphic>
              </wp:anchor>
            </w:drawing>
          </mc:Choice>
          <mc:Fallback>
            <w:pict>
              <v:shapetype w14:anchorId="457E10F4" id="_x0000_t202" coordsize="21600,21600" o:spt="202" path="m,l,21600r21600,l21600,xe">
                <v:stroke joinstyle="miter"/>
                <v:path gradientshapeok="t" o:connecttype="rect"/>
              </v:shapetype>
              <v:shape id="Text Box 2" o:spid="_x0000_s1026" type="#_x0000_t202" style="position:absolute;margin-left:-21.75pt;margin-top:.5pt;width:111.6pt;height:23.7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" strokeweight="1pt">
                <v:textbox>
                  <w:txbxContent>
                    <w:p w14:paraId="4B5348B3" w14:textId="77777777" w:rsidR="00D604FB" w:rsidRDefault="00341B07">
                      <w:pPr>
                        <w:rPr>
                          <w:rFonts w:ascii="Arial" w:hAnsi="Arial" w:cs="Arial"/>
                          <w:b/>
                          <w:bCs/>
                          <w:sz w:val="22"/>
                          <w:szCs w:val="22"/>
                        </w:rPr>
                      </w:pPr>
                      <w:r>
                        <w:rPr>
                          <w:rFonts w:ascii="Arial" w:hAnsi="Arial" w:cs="Arial"/>
                          <w:b/>
                          <w:bCs/>
                          <w:sz w:val="22"/>
                          <w:szCs w:val="22"/>
                        </w:rPr>
                        <w:t>Commentary</w:t>
                      </w:r>
                    </w:p>
                  </w:txbxContent>
                </v:textbox>
                <w10:wrap type="square" anchorx="margin"/>
              </v:shape>
            </w:pict>
          </mc:Fallback>
        </mc:AlternateContent>
      </w:r>
      <w:r>
        <w:rPr>
          <w:rFonts w:ascii="Arial" w:hAnsi="Arial" w:cs="Arial"/>
          <w:kern w:val="28"/>
          <w:sz w:val="36"/>
        </w:rPr>
        <w:t xml:space="preserve"> </w:t>
      </w:r>
    </w:p>
    <w:p w14:paraId="337AEB5E" w14:textId="77777777" w:rsidR="00486584" w:rsidRDefault="00486584">
      <w:pPr>
        <w:pStyle w:val="Author"/>
        <w:rPr>
          <w:rFonts w:ascii="Arial" w:hAnsi="Arial" w:cs="Arial"/>
          <w:bCs/>
          <w:iCs/>
          <w:kern w:val="28"/>
          <w:sz w:val="28"/>
          <w:szCs w:val="16"/>
        </w:rPr>
      </w:pPr>
      <w:bookmarkStart w:id="0" w:name="_Hlk213679535"/>
    </w:p>
    <w:p w14:paraId="76D10030" w14:textId="2DE6758F" w:rsidR="00D604FB" w:rsidRPr="00486584" w:rsidRDefault="00341B07" w:rsidP="00486584">
      <w:pPr>
        <w:pStyle w:val="Author"/>
        <w:rPr>
          <w:rFonts w:ascii="Arial" w:hAnsi="Arial" w:cs="Arial"/>
          <w:bCs/>
          <w:iCs/>
          <w:kern w:val="28"/>
          <w:sz w:val="28"/>
          <w:szCs w:val="16"/>
        </w:rPr>
      </w:pPr>
      <w:r w:rsidRPr="00486584">
        <w:rPr>
          <w:rFonts w:ascii="Arial" w:hAnsi="Arial" w:cs="Arial"/>
          <w:bCs/>
          <w:iCs/>
          <w:kern w:val="28"/>
          <w:sz w:val="28"/>
          <w:szCs w:val="16"/>
        </w:rPr>
        <w:t>Bridging Traditions and Transformations:</w:t>
      </w:r>
      <w:r w:rsidR="00486584">
        <w:rPr>
          <w:rFonts w:ascii="Arial" w:hAnsi="Arial" w:cs="Arial"/>
          <w:bCs/>
          <w:iCs/>
          <w:kern w:val="28"/>
          <w:sz w:val="28"/>
          <w:szCs w:val="16"/>
        </w:rPr>
        <w:t xml:space="preserve"> </w:t>
      </w:r>
      <w:r w:rsidRPr="00486584">
        <w:rPr>
          <w:rFonts w:ascii="Arial" w:hAnsi="Arial" w:cs="Arial"/>
          <w:bCs/>
          <w:iCs/>
          <w:kern w:val="28"/>
          <w:sz w:val="28"/>
          <w:szCs w:val="16"/>
        </w:rPr>
        <w:t>India’s Educational Journey</w:t>
      </w:r>
    </w:p>
    <w:bookmarkEnd w:id="0"/>
    <w:p w14:paraId="4B01202F" w14:textId="1AB4AD9E" w:rsidR="00D604FB" w:rsidRDefault="00D604FB">
      <w:pPr>
        <w:pStyle w:val="Author"/>
        <w:spacing w:line="240" w:lineRule="auto"/>
        <w:rPr>
          <w:rFonts w:ascii="Arial" w:hAnsi="Arial" w:cs="Arial"/>
          <w:sz w:val="36"/>
        </w:rPr>
      </w:pPr>
    </w:p>
    <w:p w14:paraId="100572D4" w14:textId="77777777" w:rsidR="00AD3FAC" w:rsidRDefault="00AD3FAC">
      <w:pPr>
        <w:pStyle w:val="Affiliation"/>
        <w:spacing w:after="0" w:line="240" w:lineRule="auto"/>
        <w:rPr>
          <w:rFonts w:ascii="Arial" w:hAnsi="Arial" w:cs="Arial"/>
          <w:i/>
          <w:sz w:val="21"/>
          <w:szCs w:val="21"/>
        </w:rPr>
      </w:pPr>
    </w:p>
    <w:p w14:paraId="2D334B24" w14:textId="5225C408" w:rsidR="00D604FB" w:rsidRDefault="00D604FB">
      <w:pPr>
        <w:pStyle w:val="Affiliation"/>
        <w:spacing w:after="0" w:line="240" w:lineRule="auto"/>
        <w:jc w:val="left"/>
        <w:rPr>
          <w:rFonts w:ascii="Arial" w:hAnsi="Arial" w:cs="Arial"/>
        </w:rPr>
      </w:pPr>
    </w:p>
    <w:p w14:paraId="23D67228" w14:textId="65BD3E71" w:rsidR="00D604FB" w:rsidRDefault="00D604FB">
      <w:pPr>
        <w:pStyle w:val="Affiliation"/>
        <w:spacing w:after="0" w:line="240" w:lineRule="auto"/>
        <w:jc w:val="left"/>
        <w:rPr>
          <w:rFonts w:ascii="Arial" w:hAnsi="Arial" w:cs="Arial"/>
        </w:rPr>
      </w:pPr>
    </w:p>
    <w:p w14:paraId="74E63D59" w14:textId="77777777" w:rsidR="00D604FB" w:rsidRDefault="00341B07">
      <w:pPr>
        <w:pStyle w:val="Copyright"/>
        <w:spacing w:after="0" w:line="240" w:lineRule="auto"/>
        <w:rPr>
          <w:rFonts w:ascii="Arial" w:hAnsi="Arial" w:cs="Arial"/>
        </w:rPr>
        <w:sectPr w:rsidR="00D604FB" w:rsidSect="003B52BD">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0"/>
          <w:docGrid w:linePitch="272"/>
        </w:sectPr>
      </w:pPr>
      <w:r>
        <w:rPr>
          <w:rFonts w:ascii="Arial" w:hAnsi="Arial" w:cs="Arial"/>
          <w:noProof/>
        </w:rPr>
        <mc:AlternateContent>
          <mc:Choice Requires="wps">
            <w:drawing>
              <wp:inline distT="0" distB="0" distL="0" distR="0" wp14:anchorId="62FE1956" wp14:editId="491EF05A">
                <wp:extent cx="5303520" cy="0"/>
                <wp:effectExtent l="13335" t="15240" r="1714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BIQd88AAAACAQAADwAAAAAAAAABACAAAAAiAAAAZHJz&#10;L2Rvd25yZXYueG1sUEsBAhQAFAAAAAgAh07iQDHBZszUAQAAswMAAA4AAAAAAAAAAQAgAAAAHgEA&#10;AGRycy9lMm9Eb2MueG1sUEsFBgAAAAAGAAYAWQEAAGQFAAAAAA==&#10;">
                <v:fill on="f" focussize="0,0"/>
                <v:stroke weight="1.5pt" color="#000000" joinstyle="round"/>
                <v:imagedata o:title=""/>
                <o:lock v:ext="edit" aspectratio="f"/>
                <w10:wrap type="none"/>
                <w10:anchorlock/>
              </v:shape>
            </w:pict>
          </mc:Fallback>
        </mc:AlternateContent>
      </w:r>
      <w:r>
        <w:rPr>
          <w:rFonts w:ascii="Arial" w:hAnsi="Arial" w:cs="Arial"/>
        </w:rPr>
        <w:t>.</w:t>
      </w:r>
    </w:p>
    <w:p w14:paraId="3FCC70D9" w14:textId="77777777" w:rsidR="00D604FB" w:rsidRDefault="00341B07">
      <w:pPr>
        <w:pStyle w:val="AbstHead"/>
        <w:spacing w:after="0"/>
        <w:ind w:rightChars="600" w:right="1200"/>
        <w:rPr>
          <w:rFonts w:ascii="Arial" w:hAnsi="Arial" w:cs="Arial"/>
          <w:szCs w:val="22"/>
        </w:rPr>
      </w:pPr>
      <w:r>
        <w:rPr>
          <w:rFonts w:ascii="Arial" w:hAnsi="Arial" w:cs="Arial"/>
          <w:szCs w:val="22"/>
        </w:rPr>
        <w:t>Abstract</w:t>
      </w:r>
    </w:p>
    <w:p w14:paraId="211215DE" w14:textId="77777777" w:rsidR="00D604FB" w:rsidRDefault="00D604FB">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94"/>
      </w:tblGrid>
      <w:tr w:rsidR="00D604FB" w14:paraId="4A92C36D" w14:textId="77777777">
        <w:tc>
          <w:tcPr>
            <w:tcW w:w="9576" w:type="dxa"/>
            <w:shd w:val="clear" w:color="auto" w:fill="F2F2F2"/>
          </w:tcPr>
          <w:p w14:paraId="4DDDA1BE" w14:textId="77777777" w:rsidR="00D604FB" w:rsidRDefault="00341B07">
            <w:pPr>
              <w:contextualSpacing/>
              <w:rPr>
                <w:rFonts w:ascii="Arial" w:eastAsia="Calibri" w:hAnsi="Arial" w:cs="Arial"/>
                <w:b/>
              </w:rPr>
            </w:pPr>
            <w:r>
              <w:rPr>
                <w:rFonts w:ascii="Arial" w:hAnsi="Arial" w:cs="Arial"/>
              </w:rPr>
              <w:t>India’s educational landscape has been reshaped over time by its enduring cultural heritage alongside the forces of modernization. In earlier eras, education revolved around native learning centers and philosophical schools that stressed all-round personal growth, ethical grounding, and inquiry-driven scholarship. With colonial rule came Western-style institutions and curricula that altered the aims and methods of formal education, sparking a push-pull between traditional systems and imported reforms.</w:t>
            </w:r>
            <w:commentRangeStart w:id="1"/>
            <w:r>
              <w:rPr>
                <w:rFonts w:ascii="Arial" w:hAnsi="Arial" w:cs="Arial"/>
              </w:rPr>
              <w:t>Following</w:t>
            </w:r>
            <w:commentRangeEnd w:id="1"/>
            <w:r w:rsidR="001159E3">
              <w:rPr>
                <w:rStyle w:val="CommentReference"/>
                <w:rFonts w:ascii="Times New Roman" w:hAnsi="Times New Roman"/>
                <w:lang w:val="nb-NO" w:eastAsia="nb-NO"/>
              </w:rPr>
              <w:commentReference w:id="1"/>
            </w:r>
            <w:r>
              <w:rPr>
                <w:rFonts w:ascii="Arial" w:hAnsi="Arial" w:cs="Arial"/>
              </w:rPr>
              <w:t xml:space="preserve"> independence, Indian governments have sought to blend these divergent strains by treating education as both a driver of national progress and a guardian of cultural identity. The purported National Education Policy (NEP) 2025 embodies this approach, advocating for digital advancement, global readiness, and broader inclusion, while also safeguarding the country’s linguistic and cultural plurality. Framed under the theme “Bridging Traditions and Transformations,” India’s educational journey exemplifies the ongoing negotiation between historical continuities and new imperatives. This analysis examines how past legacies, policy shifts, and international pressures continue to direct India’s educational course, underscoring the task of forging a system that honors its roots yet embraces innovation.</w:t>
            </w:r>
            <w:r>
              <w:rPr>
                <w:rFonts w:ascii="Arial" w:hAnsi="Arial" w:cs="Arial"/>
              </w:rPr>
              <w:br/>
            </w:r>
          </w:p>
        </w:tc>
      </w:tr>
    </w:tbl>
    <w:p w14:paraId="7B5FF86C" w14:textId="77777777" w:rsidR="00D604FB" w:rsidRDefault="00D604FB">
      <w:pPr>
        <w:pStyle w:val="Body"/>
        <w:spacing w:after="0"/>
        <w:jc w:val="left"/>
        <w:rPr>
          <w:rFonts w:ascii="Arial" w:hAnsi="Arial" w:cs="Arial"/>
          <w:i/>
          <w:sz w:val="24"/>
          <w:szCs w:val="24"/>
        </w:rPr>
      </w:pPr>
    </w:p>
    <w:p w14:paraId="2BCA408B" w14:textId="77777777" w:rsidR="00D604FB" w:rsidRDefault="00341B07">
      <w:pPr>
        <w:pStyle w:val="Body"/>
        <w:spacing w:after="0"/>
        <w:rPr>
          <w:rFonts w:ascii="Arial" w:hAnsi="Arial" w:cs="Arial"/>
          <w:i/>
        </w:rPr>
      </w:pPr>
      <w:r>
        <w:rPr>
          <w:rFonts w:ascii="Arial" w:hAnsi="Arial" w:cs="Arial"/>
          <w:i/>
        </w:rPr>
        <w:t>Keywords: Bridging Traditions, Educational Journey, Educational Reform; National Education Policy(NEP), pre-colonial education, transformations</w:t>
      </w:r>
    </w:p>
    <w:p w14:paraId="091AF156" w14:textId="77777777" w:rsidR="00D604FB" w:rsidRDefault="00D604FB">
      <w:pPr>
        <w:pStyle w:val="Body"/>
        <w:spacing w:after="0"/>
        <w:jc w:val="left"/>
        <w:rPr>
          <w:rFonts w:ascii="Arial" w:hAnsi="Arial" w:cs="Arial"/>
          <w:i/>
          <w:sz w:val="24"/>
          <w:szCs w:val="24"/>
        </w:rPr>
      </w:pPr>
    </w:p>
    <w:p w14:paraId="69A925BD" w14:textId="77777777" w:rsidR="00D604FB" w:rsidRDefault="00341B07">
      <w:pPr>
        <w:pStyle w:val="AbstHead"/>
        <w:spacing w:after="0"/>
        <w:rPr>
          <w:rFonts w:ascii="Arial" w:hAnsi="Arial" w:cs="Arial"/>
          <w:szCs w:val="22"/>
        </w:rPr>
      </w:pPr>
      <w:r>
        <w:rPr>
          <w:rFonts w:ascii="Arial" w:hAnsi="Arial" w:cs="Arial"/>
          <w:szCs w:val="22"/>
        </w:rPr>
        <w:t>1. INTRODUCTION</w:t>
      </w:r>
    </w:p>
    <w:p w14:paraId="1919B807" w14:textId="77777777" w:rsidR="00D604FB" w:rsidRDefault="00D604FB">
      <w:pPr>
        <w:pStyle w:val="AbstHead"/>
        <w:spacing w:after="0"/>
        <w:rPr>
          <w:rFonts w:ascii="Arial" w:hAnsi="Arial" w:cs="Arial"/>
          <w:sz w:val="24"/>
          <w:szCs w:val="24"/>
        </w:rPr>
      </w:pPr>
    </w:p>
    <w:p w14:paraId="0AB59B65" w14:textId="77777777" w:rsidR="00D604FB" w:rsidRDefault="00341B07">
      <w:pPr>
        <w:contextualSpacing/>
        <w:jc w:val="both"/>
        <w:rPr>
          <w:rFonts w:ascii="Arial" w:hAnsi="Arial"/>
        </w:rPr>
      </w:pPr>
      <w:r>
        <w:rPr>
          <w:rFonts w:ascii="Arial" w:hAnsi="Arial"/>
        </w:rPr>
        <w:t xml:space="preserve">India’s education system embodies a rich and multifaceted history shaped by indigenous pedagogical traditions, colonial influences, and ongoing reform initiatives. The ancient Gurukul system, alongside prominent seats of learning such as Nalanda and Takshashila, provided a comprehensive curriculum integrating philosophy, literature, sciences, and ethical governance (Koul, 2024). During the medieval period, Islamic madrasas and maktabs expanded the intellectual landscape by emphasizing theology, jurisprudence, linguistic studies, and scientific exploration </w:t>
      </w:r>
      <w:r w:rsidRPr="005C2001">
        <w:rPr>
          <w:rFonts w:ascii="Arial" w:hAnsi="Arial"/>
          <w:highlight w:val="red"/>
        </w:rPr>
        <w:t>(Salma &amp; Nehal, 2024).</w:t>
      </w:r>
      <w:r>
        <w:rPr>
          <w:rFonts w:ascii="Arial" w:hAnsi="Arial"/>
        </w:rPr>
        <w:t xml:space="preserve"> </w:t>
      </w:r>
      <w:commentRangeStart w:id="2"/>
      <w:r>
        <w:rPr>
          <w:rFonts w:ascii="Arial" w:hAnsi="Arial"/>
        </w:rPr>
        <w:t>Over time, educational reforms and curriculum transformations have reflected the persistent tension between traditional knowledge systems and colonial educational frameworks, highlighting the challenges of decolonizing education in contemporary India (Batra, 2020).</w:t>
      </w:r>
      <w:commentRangeEnd w:id="2"/>
      <w:r w:rsidR="002B6C82">
        <w:rPr>
          <w:rStyle w:val="CommentReference"/>
          <w:rFonts w:ascii="Times New Roman" w:hAnsi="Times New Roman"/>
          <w:lang w:val="nb-NO" w:eastAsia="nb-NO"/>
        </w:rPr>
        <w:commentReference w:id="2"/>
      </w:r>
    </w:p>
    <w:p w14:paraId="741723AA" w14:textId="77777777" w:rsidR="00D604FB" w:rsidRDefault="00D604FB">
      <w:pPr>
        <w:contextualSpacing/>
        <w:rPr>
          <w:rFonts w:ascii="Arial" w:hAnsi="Arial"/>
          <w:sz w:val="24"/>
          <w:szCs w:val="24"/>
        </w:rPr>
      </w:pPr>
    </w:p>
    <w:p w14:paraId="36C036E1" w14:textId="77777777" w:rsidR="00D604FB" w:rsidRDefault="00341B07">
      <w:pPr>
        <w:contextualSpacing/>
        <w:jc w:val="both"/>
        <w:rPr>
          <w:rFonts w:ascii="Arial" w:hAnsi="Arial" w:cs="Arial"/>
        </w:rPr>
      </w:pPr>
      <w:r>
        <w:rPr>
          <w:rFonts w:ascii="Arial" w:hAnsi="Arial" w:cs="Arial"/>
        </w:rPr>
        <w:t xml:space="preserve">The advent of British rule ushered in a radical transformation. English-medium schools modeled on Western educational norms prioritized clerical and administrative training to staff the colonial bureaucracy (Chaudhary, 2021; Singh, 2022). Although these institutions democratized access to formal education, they </w:t>
      </w:r>
      <w:commentRangeStart w:id="3"/>
      <w:r>
        <w:rPr>
          <w:rFonts w:ascii="Arial" w:hAnsi="Arial" w:cs="Arial"/>
        </w:rPr>
        <w:t xml:space="preserve">marginalized native knowledge systems and fostered a strictly utilitarian ethos (Menon, 2024). The colonial insistence on standardized exams and formal </w:t>
      </w:r>
      <w:r>
        <w:rPr>
          <w:rFonts w:ascii="Arial" w:hAnsi="Arial" w:cs="Arial"/>
        </w:rPr>
        <w:lastRenderedPageBreak/>
        <w:t>certification also planted the seeds of credentialism—a legacy that continues to influence perceptions of employability and academic legitimacy in India (</w:t>
      </w:r>
      <w:r>
        <w:rPr>
          <w:rFonts w:ascii="Arial" w:hAnsi="Arial"/>
        </w:rPr>
        <w:t>Choudhury</w:t>
      </w:r>
      <w:r>
        <w:rPr>
          <w:rFonts w:ascii="Arial" w:hAnsi="Arial" w:cs="Arial"/>
        </w:rPr>
        <w:t>, 2023).</w:t>
      </w:r>
      <w:commentRangeEnd w:id="3"/>
      <w:r w:rsidR="00B61DAD">
        <w:rPr>
          <w:rStyle w:val="CommentReference"/>
          <w:rFonts w:ascii="Times New Roman" w:hAnsi="Times New Roman"/>
          <w:lang w:val="nb-NO" w:eastAsia="nb-NO"/>
        </w:rPr>
        <w:commentReference w:id="3"/>
      </w:r>
    </w:p>
    <w:p w14:paraId="070634FA" w14:textId="77777777" w:rsidR="00D604FB" w:rsidRDefault="00D604FB">
      <w:pPr>
        <w:contextualSpacing/>
        <w:rPr>
          <w:rFonts w:ascii="Arial" w:hAnsi="Arial" w:cs="Arial"/>
          <w:sz w:val="24"/>
          <w:szCs w:val="24"/>
        </w:rPr>
      </w:pPr>
    </w:p>
    <w:p w14:paraId="142B0921" w14:textId="77777777" w:rsidR="00D604FB" w:rsidRDefault="00341B07">
      <w:pPr>
        <w:contextualSpacing/>
        <w:jc w:val="both"/>
        <w:rPr>
          <w:rFonts w:ascii="Arial" w:hAnsi="Arial" w:cs="Arial"/>
        </w:rPr>
      </w:pPr>
      <w:r>
        <w:rPr>
          <w:rFonts w:ascii="Arial" w:hAnsi="Arial" w:cs="Arial"/>
        </w:rPr>
        <w:t>After independence in 1947, India enshrined education as a cornerstone of nation-building. Constitutional mandates guaranteed free and compulsory schooling, while National Education Policies of 1968, 1986, and 1992 sought to expand equity, universalize access, and enhance quality. These policies also emphasized technical and vocational pathways to fuel industrial growth and social progress (</w:t>
      </w:r>
      <w:commentRangeStart w:id="4"/>
      <w:r>
        <w:rPr>
          <w:rFonts w:ascii="Arial" w:hAnsi="Arial" w:cs="Arial"/>
        </w:rPr>
        <w:t>Verma, 2021</w:t>
      </w:r>
      <w:commentRangeEnd w:id="4"/>
      <w:r w:rsidR="008A515A">
        <w:rPr>
          <w:rStyle w:val="CommentReference"/>
          <w:rFonts w:ascii="Times New Roman" w:hAnsi="Times New Roman"/>
          <w:lang w:val="nb-NO" w:eastAsia="nb-NO"/>
        </w:rPr>
        <w:commentReference w:id="4"/>
      </w:r>
      <w:r>
        <w:rPr>
          <w:rFonts w:ascii="Arial" w:hAnsi="Arial" w:cs="Arial"/>
        </w:rPr>
        <w:t>; Rao, 2022</w:t>
      </w:r>
      <w:r w:rsidRPr="00DF6F38">
        <w:rPr>
          <w:rFonts w:ascii="Arial" w:hAnsi="Arial" w:cs="Arial"/>
          <w:highlight w:val="red"/>
        </w:rPr>
        <w:t>; Prasad, 2023)</w:t>
      </w:r>
      <w:r>
        <w:rPr>
          <w:rFonts w:ascii="Arial" w:hAnsi="Arial" w:cs="Arial"/>
        </w:rPr>
        <w:t>. In doing so, they aimed to transform colonial-era structures into frameworks centered on national priorities and inclusivity.</w:t>
      </w:r>
    </w:p>
    <w:p w14:paraId="5209F434" w14:textId="77777777" w:rsidR="00D604FB" w:rsidRDefault="00D604FB">
      <w:pPr>
        <w:contextualSpacing/>
        <w:rPr>
          <w:rFonts w:ascii="Arial" w:hAnsi="Arial" w:cs="Arial"/>
          <w:sz w:val="24"/>
          <w:szCs w:val="24"/>
        </w:rPr>
      </w:pPr>
    </w:p>
    <w:p w14:paraId="62EA5817" w14:textId="77777777" w:rsidR="00D604FB" w:rsidRDefault="00341B07">
      <w:pPr>
        <w:contextualSpacing/>
        <w:jc w:val="both"/>
        <w:rPr>
          <w:rFonts w:ascii="Arial" w:hAnsi="Arial" w:cs="Arial"/>
        </w:rPr>
      </w:pPr>
      <w:r>
        <w:rPr>
          <w:rFonts w:ascii="Arial" w:hAnsi="Arial" w:cs="Arial"/>
        </w:rPr>
        <w:t xml:space="preserve">In the 21st century, globalization, digital innovation, and domestic policy shifts have continued to reshape the educational terrain. The National Education Policy 2020 marks a paradigm shift toward multidisciplinary, flexible learning, integrating technology, skills development, and global engagement (Government of India, 2020; </w:t>
      </w:r>
      <w:r w:rsidRPr="005F3C13">
        <w:rPr>
          <w:rFonts w:ascii="Arial" w:hAnsi="Arial" w:cs="Arial"/>
          <w:highlight w:val="red"/>
        </w:rPr>
        <w:t>Sood &amp; Sharma, 2024</w:t>
      </w:r>
      <w:r>
        <w:rPr>
          <w:rFonts w:ascii="Arial" w:hAnsi="Arial" w:cs="Arial"/>
        </w:rPr>
        <w:t xml:space="preserve">). It likewise champions the revival of indigenous pedagogies and the decolonization of curricula to honor India’s cultural heritage </w:t>
      </w:r>
      <w:commentRangeStart w:id="5"/>
      <w:r>
        <w:rPr>
          <w:rFonts w:ascii="Arial" w:hAnsi="Arial" w:cs="Arial"/>
        </w:rPr>
        <w:t>(Batra, 2020; Joshi, 2023).</w:t>
      </w:r>
      <w:commentRangeEnd w:id="5"/>
      <w:r w:rsidR="00B61DAD">
        <w:rPr>
          <w:rStyle w:val="CommentReference"/>
          <w:rFonts w:ascii="Times New Roman" w:hAnsi="Times New Roman"/>
          <w:lang w:val="nb-NO" w:eastAsia="nb-NO"/>
        </w:rPr>
        <w:commentReference w:id="5"/>
      </w:r>
    </w:p>
    <w:p w14:paraId="53424518" w14:textId="77777777" w:rsidR="00D604FB" w:rsidRDefault="00D604FB">
      <w:pPr>
        <w:contextualSpacing/>
        <w:rPr>
          <w:rFonts w:ascii="Arial" w:hAnsi="Arial" w:cs="Arial"/>
          <w:sz w:val="24"/>
          <w:szCs w:val="24"/>
        </w:rPr>
      </w:pPr>
    </w:p>
    <w:p w14:paraId="30618249" w14:textId="77777777" w:rsidR="00D604FB" w:rsidRDefault="00341B07">
      <w:pPr>
        <w:contextualSpacing/>
        <w:jc w:val="both"/>
        <w:rPr>
          <w:rFonts w:ascii="Arial" w:hAnsi="Arial" w:cs="Arial"/>
        </w:rPr>
      </w:pPr>
      <w:r>
        <w:rPr>
          <w:rFonts w:ascii="Arial" w:hAnsi="Arial" w:cs="Arial"/>
        </w:rPr>
        <w:t xml:space="preserve">Despite its bold vision, NEP 2020 has been critiqued for its centralizing tendencies, technocratic focus, and insufficient attention to entrenched structural inequalities. Such critiques cast doubt on whether the policy can fully realize its transformative ambitions (Menon, 2024; Ramesh, 2025). Layering indigenous legacies, colonial inheritances, reform initiatives, and critical assessments, India’s education system remains a dynamic interplay of tradition and change—deeply rooted yet continually adapting to contemporary challenges </w:t>
      </w:r>
      <w:commentRangeStart w:id="6"/>
      <w:r>
        <w:rPr>
          <w:rFonts w:ascii="Arial" w:hAnsi="Arial" w:cs="Arial"/>
        </w:rPr>
        <w:t>(Kumar, 2023; Verma, 2021).</w:t>
      </w:r>
      <w:commentRangeEnd w:id="6"/>
      <w:r w:rsidR="00B61DAD">
        <w:rPr>
          <w:rStyle w:val="CommentReference"/>
          <w:rFonts w:ascii="Times New Roman" w:hAnsi="Times New Roman"/>
          <w:lang w:val="nb-NO" w:eastAsia="nb-NO"/>
        </w:rPr>
        <w:commentReference w:id="6"/>
      </w:r>
    </w:p>
    <w:p w14:paraId="27CFF8D2" w14:textId="77777777" w:rsidR="00D604FB" w:rsidRDefault="00D604FB">
      <w:pPr>
        <w:pStyle w:val="Body"/>
        <w:spacing w:after="0"/>
        <w:jc w:val="left"/>
        <w:rPr>
          <w:rFonts w:ascii="Arial" w:hAnsi="Arial" w:cs="Arial"/>
          <w:sz w:val="22"/>
          <w:szCs w:val="22"/>
        </w:rPr>
      </w:pPr>
    </w:p>
    <w:p w14:paraId="70896302" w14:textId="77777777" w:rsidR="00D604FB" w:rsidRDefault="00341B07">
      <w:pPr>
        <w:pStyle w:val="Body"/>
        <w:spacing w:after="0"/>
        <w:jc w:val="left"/>
        <w:rPr>
          <w:rFonts w:ascii="Arial" w:hAnsi="Arial" w:cs="Arial"/>
          <w:b/>
          <w:bCs/>
          <w:sz w:val="22"/>
          <w:szCs w:val="22"/>
        </w:rPr>
      </w:pPr>
      <w:r>
        <w:rPr>
          <w:rFonts w:ascii="Arial" w:hAnsi="Arial" w:cs="Arial"/>
          <w:b/>
          <w:bCs/>
          <w:sz w:val="22"/>
          <w:szCs w:val="22"/>
        </w:rPr>
        <w:t>1.2 DISCUSSION</w:t>
      </w:r>
    </w:p>
    <w:p w14:paraId="61A831F2" w14:textId="77777777" w:rsidR="00D604FB" w:rsidRDefault="00D604FB">
      <w:pPr>
        <w:pStyle w:val="Body"/>
        <w:spacing w:after="0"/>
        <w:jc w:val="left"/>
        <w:rPr>
          <w:rFonts w:ascii="Arial" w:hAnsi="Arial" w:cs="Arial"/>
          <w:sz w:val="22"/>
          <w:szCs w:val="22"/>
        </w:rPr>
      </w:pPr>
    </w:p>
    <w:p w14:paraId="0C90F240" w14:textId="77777777" w:rsidR="00D604FB" w:rsidRDefault="00341B07">
      <w:pPr>
        <w:tabs>
          <w:tab w:val="left" w:pos="220"/>
        </w:tabs>
        <w:spacing w:line="275" w:lineRule="auto"/>
        <w:rPr>
          <w:rFonts w:ascii="Arial" w:eastAsia="Google Sans" w:hAnsi="Arial" w:cs="Arial"/>
          <w:b/>
          <w:bCs/>
          <w:sz w:val="22"/>
          <w:szCs w:val="22"/>
        </w:rPr>
      </w:pPr>
      <w:r>
        <w:rPr>
          <w:rFonts w:ascii="Arial" w:eastAsia="Google Sans" w:hAnsi="Arial" w:cs="Arial"/>
          <w:b/>
          <w:bCs/>
          <w:sz w:val="22"/>
          <w:szCs w:val="22"/>
        </w:rPr>
        <w:t>A. Global and Regional Context</w:t>
      </w:r>
    </w:p>
    <w:p w14:paraId="2FAA32DB" w14:textId="77777777" w:rsidR="00D604FB" w:rsidRDefault="00D604FB">
      <w:pPr>
        <w:spacing w:line="275" w:lineRule="auto"/>
        <w:rPr>
          <w:rFonts w:ascii="Arial" w:eastAsia="Google Sans" w:hAnsi="Arial" w:cs="Arial"/>
          <w:sz w:val="22"/>
          <w:szCs w:val="22"/>
        </w:rPr>
      </w:pPr>
    </w:p>
    <w:p w14:paraId="2F6DB87A" w14:textId="77777777" w:rsidR="00D604FB" w:rsidRDefault="00341B07">
      <w:pPr>
        <w:contextualSpacing/>
        <w:jc w:val="both"/>
        <w:rPr>
          <w:rFonts w:ascii="Arial" w:hAnsi="Arial" w:cs="Arial"/>
        </w:rPr>
      </w:pPr>
      <w:r>
        <w:rPr>
          <w:rFonts w:ascii="Arial" w:hAnsi="Arial" w:cs="Arial"/>
        </w:rPr>
        <w:t xml:space="preserve">Across educational systems worldwide, there has been a clear movement from teacher-led, content-delivery models toward learner-centered, holistic approaches. Meta-analyses find that Montessori and other constructivist settings produce modest gains in both academic performance and socio-emotional development by privileging student autonomy and reframing teachers as facilitators (Randolph et al., 2023). At the same time, critical or liberatory pedagogies—rooted in Freirean principles—prioritize student voice, equity, and socio-political awareness as core design elements across disciplines </w:t>
      </w:r>
      <w:commentRangeStart w:id="7"/>
      <w:r>
        <w:rPr>
          <w:rFonts w:ascii="Arial" w:hAnsi="Arial" w:cs="Arial"/>
        </w:rPr>
        <w:t xml:space="preserve">(Kitts, 2024; </w:t>
      </w:r>
      <w:commentRangeStart w:id="8"/>
      <w:r>
        <w:rPr>
          <w:rFonts w:ascii="Arial" w:hAnsi="Arial" w:cs="Arial"/>
        </w:rPr>
        <w:t>Onuoha, 2024).</w:t>
      </w:r>
      <w:commentRangeEnd w:id="7"/>
      <w:r w:rsidR="00022679">
        <w:rPr>
          <w:rStyle w:val="CommentReference"/>
          <w:rFonts w:ascii="Times New Roman" w:hAnsi="Times New Roman"/>
          <w:lang w:val="nb-NO" w:eastAsia="nb-NO"/>
        </w:rPr>
        <w:commentReference w:id="7"/>
      </w:r>
      <w:commentRangeEnd w:id="8"/>
      <w:r w:rsidR="00CF660A">
        <w:rPr>
          <w:rStyle w:val="CommentReference"/>
          <w:rFonts w:ascii="Times New Roman" w:hAnsi="Times New Roman"/>
          <w:lang w:val="nb-NO" w:eastAsia="nb-NO"/>
        </w:rPr>
        <w:commentReference w:id="8"/>
      </w:r>
    </w:p>
    <w:p w14:paraId="1F4AEDA6" w14:textId="77777777" w:rsidR="00D604FB" w:rsidRDefault="00D604FB">
      <w:pPr>
        <w:contextualSpacing/>
        <w:rPr>
          <w:rFonts w:ascii="Arial" w:hAnsi="Arial" w:cs="Arial"/>
          <w:sz w:val="22"/>
          <w:szCs w:val="22"/>
        </w:rPr>
      </w:pPr>
    </w:p>
    <w:p w14:paraId="188BBE2B" w14:textId="77777777" w:rsidR="00D604FB" w:rsidRDefault="00341B07">
      <w:pPr>
        <w:contextualSpacing/>
        <w:rPr>
          <w:rFonts w:ascii="Arial" w:hAnsi="Arial" w:cs="Arial"/>
        </w:rPr>
      </w:pPr>
      <w:r>
        <w:rPr>
          <w:rFonts w:ascii="Arial" w:hAnsi="Arial" w:cs="Arial"/>
        </w:rPr>
        <w:t xml:space="preserve">Yet these pedagogical ideals often collide with geopolitical realities. Studies in economics and management demonstrate that tighter visa regimes (for example, more restrictive H-1B rules) curb the flow of high-skill researchers and entrepreneurs, thereby dampening innovation, firm performance, and the global distribution of AI and STEM expertise—benefits increasingly captured by more open jurisdictions like Canada, parts of the EU, and Singapore </w:t>
      </w:r>
      <w:commentRangeStart w:id="9"/>
      <w:r>
        <w:rPr>
          <w:rFonts w:ascii="Arial" w:hAnsi="Arial" w:cs="Arial"/>
        </w:rPr>
        <w:t>(Glennon et al., 2024; Nayak &amp; Bonikowski, 2025; Hammoud-Gallego et al., 2024).</w:t>
      </w:r>
      <w:commentRangeEnd w:id="9"/>
      <w:r w:rsidR="00022679">
        <w:rPr>
          <w:rStyle w:val="CommentReference"/>
          <w:rFonts w:ascii="Times New Roman" w:hAnsi="Times New Roman"/>
          <w:lang w:val="nb-NO" w:eastAsia="nb-NO"/>
        </w:rPr>
        <w:commentReference w:id="9"/>
      </w:r>
    </w:p>
    <w:p w14:paraId="440B2853" w14:textId="77777777" w:rsidR="00D604FB" w:rsidRDefault="00D604FB">
      <w:pPr>
        <w:contextualSpacing/>
        <w:rPr>
          <w:rFonts w:ascii="Arial" w:hAnsi="Arial" w:cs="Arial"/>
          <w:sz w:val="22"/>
          <w:szCs w:val="22"/>
        </w:rPr>
      </w:pPr>
    </w:p>
    <w:p w14:paraId="7B16D489" w14:textId="77777777" w:rsidR="00D604FB" w:rsidRDefault="00341B07">
      <w:pPr>
        <w:contextualSpacing/>
        <w:jc w:val="both"/>
        <w:rPr>
          <w:rFonts w:ascii="Arial" w:hAnsi="Arial" w:cs="Arial"/>
        </w:rPr>
      </w:pPr>
      <w:r>
        <w:rPr>
          <w:rFonts w:ascii="Arial" w:hAnsi="Arial" w:cs="Arial"/>
        </w:rPr>
        <w:t xml:space="preserve">Large-scale assessments such as PISA also wield significant political influence. Comparative policy research since 2020 shows that PISA results can spark major reform waves (“PISA shock”) but may also be used to legitimize predetermined policy agendas, raising concerns about democratic accountability when international rankings dictate national priorities </w:t>
      </w:r>
      <w:commentRangeStart w:id="10"/>
      <w:r>
        <w:rPr>
          <w:rFonts w:ascii="Arial" w:hAnsi="Arial" w:cs="Arial"/>
        </w:rPr>
        <w:t>(Ding, 2024; Volante et al., 2024).</w:t>
      </w:r>
      <w:commentRangeEnd w:id="10"/>
      <w:r w:rsidR="00022679">
        <w:rPr>
          <w:rStyle w:val="CommentReference"/>
          <w:rFonts w:ascii="Times New Roman" w:hAnsi="Times New Roman"/>
          <w:lang w:val="nb-NO" w:eastAsia="nb-NO"/>
        </w:rPr>
        <w:commentReference w:id="10"/>
      </w:r>
    </w:p>
    <w:p w14:paraId="35E48A8D" w14:textId="77777777" w:rsidR="00D604FB" w:rsidRDefault="00D604FB">
      <w:pPr>
        <w:contextualSpacing/>
        <w:rPr>
          <w:rFonts w:ascii="Arial" w:hAnsi="Arial" w:cs="Arial"/>
          <w:sz w:val="22"/>
          <w:szCs w:val="22"/>
        </w:rPr>
      </w:pPr>
    </w:p>
    <w:p w14:paraId="1BA40397" w14:textId="77777777" w:rsidR="00D604FB" w:rsidRDefault="00341B07">
      <w:pPr>
        <w:contextualSpacing/>
        <w:jc w:val="both"/>
        <w:rPr>
          <w:rFonts w:ascii="Arial" w:hAnsi="Arial" w:cs="Arial"/>
        </w:rPr>
      </w:pPr>
      <w:r>
        <w:rPr>
          <w:rFonts w:ascii="Arial" w:hAnsi="Arial" w:cs="Arial"/>
        </w:rPr>
        <w:t>In Southeast Asia, increased educational spending has not eliminated achievement gaps. PISA 2018 and related analyses reveal low proficiency levels in countries like Indonesia and the Philippines alongside high within-grade variance, underscoring that financial inputs alone do not ensure learning gains (Darmawan et al., 2024; Asadullah et al., 2025). The COVID-19 pandemic further deepened inequities through prolonged school closures, uneven access to technology, and variable teacher preparedness, resulting in pronounced learning losses along rural–urban and socioeconomic lines (</w:t>
      </w:r>
      <w:r w:rsidRPr="0090118A">
        <w:rPr>
          <w:rFonts w:ascii="Arial" w:hAnsi="Arial" w:cs="Arial"/>
          <w:highlight w:val="red"/>
        </w:rPr>
        <w:t>Maddawin et al., 2024</w:t>
      </w:r>
      <w:r>
        <w:rPr>
          <w:rFonts w:ascii="Arial" w:hAnsi="Arial" w:cs="Arial"/>
        </w:rPr>
        <w:t xml:space="preserve">; </w:t>
      </w:r>
      <w:r w:rsidRPr="005155F6">
        <w:rPr>
          <w:rFonts w:ascii="Arial" w:hAnsi="Arial" w:cs="Arial"/>
          <w:highlight w:val="red"/>
        </w:rPr>
        <w:t>Khursheed &amp; Qureshi, 2024</w:t>
      </w:r>
      <w:r>
        <w:rPr>
          <w:rFonts w:ascii="Arial" w:hAnsi="Arial" w:cs="Arial"/>
        </w:rPr>
        <w:t>).</w:t>
      </w:r>
    </w:p>
    <w:p w14:paraId="7E2A6C74" w14:textId="77777777" w:rsidR="00D604FB" w:rsidRDefault="00D604FB">
      <w:pPr>
        <w:pStyle w:val="Body"/>
        <w:spacing w:after="0"/>
        <w:jc w:val="left"/>
        <w:rPr>
          <w:rFonts w:ascii="Arial" w:hAnsi="Arial" w:cs="Arial"/>
        </w:rPr>
      </w:pPr>
    </w:p>
    <w:p w14:paraId="3C8F8B9D" w14:textId="77777777" w:rsidR="00D604FB" w:rsidRDefault="00341B07">
      <w:pPr>
        <w:pStyle w:val="Body"/>
        <w:spacing w:after="0"/>
        <w:jc w:val="left"/>
        <w:rPr>
          <w:rFonts w:ascii="Arial" w:hAnsi="Arial" w:cs="Arial"/>
        </w:rPr>
      </w:pPr>
      <w:r>
        <w:rPr>
          <w:rFonts w:ascii="Arial" w:hAnsi="Arial" w:cs="Arial"/>
          <w:noProof/>
          <w:sz w:val="22"/>
          <w:szCs w:val="22"/>
        </w:rPr>
        <w:drawing>
          <wp:inline distT="0" distB="0" distL="114300" distR="114300" wp14:anchorId="42F78D0E" wp14:editId="2DEB1C31">
            <wp:extent cx="5263515" cy="3206750"/>
            <wp:effectExtent l="0" t="0" r="6985"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9"/>
                    <a:srcRect l="2460" t="7531" r="3327"/>
                    <a:stretch>
                      <a:fillRect/>
                    </a:stretch>
                  </pic:blipFill>
                  <pic:spPr>
                    <a:xfrm>
                      <a:off x="0" y="0"/>
                      <a:ext cx="5263515" cy="3206750"/>
                    </a:xfrm>
                    <a:prstGeom prst="rect">
                      <a:avLst/>
                    </a:prstGeom>
                    <a:noFill/>
                    <a:ln>
                      <a:noFill/>
                    </a:ln>
                  </pic:spPr>
                </pic:pic>
              </a:graphicData>
            </a:graphic>
          </wp:inline>
        </w:drawing>
      </w:r>
    </w:p>
    <w:p w14:paraId="69EBC80B" w14:textId="77777777" w:rsidR="00D604FB" w:rsidRDefault="00341B07">
      <w:pPr>
        <w:spacing w:line="275" w:lineRule="auto"/>
        <w:rPr>
          <w:rFonts w:ascii="Arial" w:eastAsia="Google Sans" w:hAnsi="Arial" w:cs="Arial"/>
          <w:b/>
          <w:bCs/>
        </w:rPr>
      </w:pPr>
      <w:r>
        <w:rPr>
          <w:rFonts w:ascii="Arial" w:eastAsia="Google Sans" w:hAnsi="Arial" w:cs="Arial"/>
          <w:b/>
          <w:bCs/>
        </w:rPr>
        <w:t>Figure 1.  Comparison of Literacy Rate versus Public Education Spending in Selected Asian Countries</w:t>
      </w:r>
    </w:p>
    <w:p w14:paraId="15664F2D" w14:textId="77777777" w:rsidR="00D604FB" w:rsidRDefault="00D604FB">
      <w:pPr>
        <w:spacing w:line="275" w:lineRule="auto"/>
        <w:rPr>
          <w:rFonts w:ascii="Arial" w:eastAsia="Google Sans" w:hAnsi="Arial" w:cs="Arial"/>
          <w:sz w:val="22"/>
          <w:szCs w:val="22"/>
        </w:rPr>
      </w:pPr>
    </w:p>
    <w:p w14:paraId="10F82A85" w14:textId="77777777" w:rsidR="00D604FB" w:rsidRDefault="00341B07">
      <w:pPr>
        <w:contextualSpacing/>
        <w:jc w:val="both"/>
        <w:rPr>
          <w:rFonts w:ascii="Arial" w:hAnsi="Arial" w:cs="Arial"/>
        </w:rPr>
      </w:pPr>
      <w:r>
        <w:rPr>
          <w:rFonts w:ascii="Arial" w:hAnsi="Arial" w:cs="Arial"/>
        </w:rPr>
        <w:t>Figure 1 highlights that, in Southeast Asia, funding by itself does not guarantee quality education. Vietnam’s strong PISA outcomes stem from targeted systemic reforms and a pervasive cultural emphasis on schooling rather than exceptional per-student expenditure (Hansen &amp; Le, 2022). By contrast, the Philippines, despite investing about USD 11 030 per pupil, remains near the bottom of global rankings—a consequence of structural inefficiencies, uneven policy execution, and gaps in instructional practice (OECD, 2023; Garcia et al., 2024). Research on “need-supportive teaching,” which fosters students’ competence, autonomy, and relatedness, shows that pedagogical quality more strongly predicts reading gains than funding levels (Aelterman et al., 2021). In Cambodia, decentralization has increased provincial budgets, yet insufficient capital outlay and persistent underinvestment in infrastructure continue to stall literacy and learning progress (UNICEF, 2021; World Bank, 2024). Together, these cases demonstrate that while adequate financing lays the groundwork, effective governance, high-quality instruction, and strategic implementation determine learning outcomes.</w:t>
      </w:r>
    </w:p>
    <w:p w14:paraId="1B83FA7F" w14:textId="77777777" w:rsidR="00D604FB" w:rsidRDefault="00341B07">
      <w:pPr>
        <w:pStyle w:val="Heading3"/>
        <w:spacing w:before="0" w:after="120" w:line="275" w:lineRule="auto"/>
        <w:jc w:val="both"/>
        <w:rPr>
          <w:rFonts w:ascii="Arial" w:hAnsi="Arial" w:cs="Arial"/>
          <w:b w:val="0"/>
          <w:bCs/>
          <w:sz w:val="20"/>
          <w:szCs w:val="20"/>
        </w:rPr>
      </w:pPr>
      <w:r>
        <w:rPr>
          <w:rFonts w:ascii="Arial" w:hAnsi="Arial" w:cs="Arial"/>
          <w:b w:val="0"/>
          <w:bCs/>
          <w:sz w:val="20"/>
          <w:szCs w:val="20"/>
        </w:rPr>
        <w:br/>
        <w:t>Regional cooperation can help bridge these gaps. The SEA-PLM initiative offers a shared framework for monitoring foundational skills and building capacity, even though integration into national systems varies. SEAMEO and its partners (2025) note that SEA-PLM produces disaggregated data on reading, writing, mathematics, global citizenship, equity gaps, technology access, and teacher confidence (</w:t>
      </w:r>
      <w:r w:rsidRPr="00917F6A">
        <w:rPr>
          <w:rFonts w:ascii="Arial" w:hAnsi="Arial" w:cs="Arial"/>
          <w:b w:val="0"/>
          <w:bCs/>
          <w:sz w:val="20"/>
          <w:szCs w:val="20"/>
          <w:highlight w:val="red"/>
        </w:rPr>
        <w:t>SEAMEO, 2025</w:t>
      </w:r>
      <w:r>
        <w:rPr>
          <w:rFonts w:ascii="Arial" w:hAnsi="Arial" w:cs="Arial"/>
          <w:b w:val="0"/>
          <w:bCs/>
          <w:sz w:val="20"/>
          <w:szCs w:val="20"/>
        </w:rPr>
        <w:t>; SEAMEO Secretariat, 2025a). Through policy dialogues, technical workshops, and context-specific teaching and assessment resources, it seeks to harmonize quality benchmarks (SEAMEO Secretariat, 2025a; ASEAN-AKCF Project, 2022). However, the literature cautions that sustained impact relies on domestic political will, investments in infrastructure, robust teacher support, and digital inclusion to ensure that regional standards translate into equitable learning gains (SEAMEO Secretariat, 2025b).</w:t>
      </w:r>
    </w:p>
    <w:p w14:paraId="312DAD3C" w14:textId="77777777" w:rsidR="00D604FB" w:rsidRDefault="00D604FB">
      <w:pPr>
        <w:pStyle w:val="Heading3"/>
        <w:spacing w:before="0" w:after="120" w:line="275" w:lineRule="auto"/>
        <w:rPr>
          <w:rFonts w:ascii="Arial" w:hAnsi="Arial" w:cs="Arial"/>
          <w:sz w:val="20"/>
          <w:szCs w:val="20"/>
        </w:rPr>
      </w:pPr>
    </w:p>
    <w:p w14:paraId="405B9B22" w14:textId="77777777" w:rsidR="00D604FB" w:rsidRDefault="00341B07">
      <w:pPr>
        <w:pStyle w:val="Heading3"/>
        <w:spacing w:before="0" w:after="120" w:line="275" w:lineRule="auto"/>
        <w:rPr>
          <w:rFonts w:ascii="Arial" w:eastAsia="Google Sans" w:hAnsi="Arial" w:cs="Arial"/>
          <w:sz w:val="20"/>
          <w:szCs w:val="20"/>
        </w:rPr>
      </w:pPr>
      <w:r>
        <w:rPr>
          <w:rFonts w:ascii="Arial" w:hAnsi="Arial" w:cs="Arial"/>
          <w:sz w:val="20"/>
          <w:szCs w:val="20"/>
        </w:rPr>
        <w:br/>
      </w:r>
      <w:r>
        <w:rPr>
          <w:rFonts w:ascii="Arial" w:eastAsia="Google Sans" w:hAnsi="Arial" w:cs="Arial"/>
          <w:sz w:val="20"/>
          <w:szCs w:val="20"/>
        </w:rPr>
        <w:t>B. India's Historical and Post-Independence Trajectory</w:t>
      </w:r>
    </w:p>
    <w:p w14:paraId="155B3402" w14:textId="77777777" w:rsidR="00D604FB" w:rsidRDefault="00341B07">
      <w:pPr>
        <w:contextualSpacing/>
        <w:jc w:val="both"/>
        <w:rPr>
          <w:rFonts w:ascii="Arial" w:hAnsi="Arial" w:cs="Arial"/>
        </w:rPr>
      </w:pPr>
      <w:r>
        <w:rPr>
          <w:rFonts w:ascii="Arial" w:hAnsi="Arial" w:cs="Arial"/>
        </w:rPr>
        <w:t>Education in ancient India featured a decentralized, pluralistic structure rather than a single, uniform system. Residential gurukulas—focused on oral instruction and largely serving upper-</w:t>
      </w:r>
      <w:r>
        <w:rPr>
          <w:rFonts w:ascii="Arial" w:hAnsi="Arial" w:cs="Arial"/>
        </w:rPr>
        <w:lastRenderedPageBreak/>
        <w:t xml:space="preserve">caste males—operated alongside community-based pathshalas, tols, and temple schools that adapted basic literacy and numeracy teaching to local customs and calendars without rigid fees (Sheikh, 2021). Pathshalas often met under trees or in communal spaces, funded by local patrons, while tols specialized in advanced Sanskrit grammar, literature, and philosophy. Temple mathas and salais provided instruction in Vedic texts, secular subjects, music, and martial arts, illustrating a learning ecosystem responsive to varied social contexts (Scharfe, 2002; </w:t>
      </w:r>
      <w:r w:rsidRPr="005F3EC0">
        <w:rPr>
          <w:rFonts w:ascii="Arial" w:hAnsi="Arial" w:cs="Arial"/>
          <w:highlight w:val="red"/>
        </w:rPr>
        <w:t>Sathee NCERT, 2023</w:t>
      </w:r>
      <w:r>
        <w:rPr>
          <w:rFonts w:ascii="Arial" w:hAnsi="Arial" w:cs="Arial"/>
        </w:rPr>
        <w:t>).</w:t>
      </w:r>
    </w:p>
    <w:p w14:paraId="66E6DD3B" w14:textId="77777777" w:rsidR="00D604FB" w:rsidRDefault="00D604FB">
      <w:pPr>
        <w:contextualSpacing/>
        <w:rPr>
          <w:rFonts w:ascii="Arial" w:hAnsi="Arial" w:cs="Arial"/>
          <w:sz w:val="24"/>
          <w:szCs w:val="24"/>
        </w:rPr>
      </w:pPr>
    </w:p>
    <w:p w14:paraId="41C21C97" w14:textId="77777777" w:rsidR="00D604FB" w:rsidRDefault="00341B07">
      <w:pPr>
        <w:contextualSpacing/>
        <w:jc w:val="both"/>
        <w:rPr>
          <w:rFonts w:ascii="Arial" w:hAnsi="Arial" w:cs="Arial"/>
        </w:rPr>
      </w:pPr>
      <w:r>
        <w:rPr>
          <w:rFonts w:ascii="Arial" w:hAnsi="Arial" w:cs="Arial"/>
        </w:rPr>
        <w:t>The arrival of British rule—marked by Macaulay’s Minute (1835)—introduced English-medium instruction and Western curricula that sidelined native knowledge and vernacular traditions. This shift created an Anglicized elite even as it inadvertently fostered a Western-educated nationalist intelligentsia instrumental to the independence movement.</w:t>
      </w:r>
      <w:r>
        <w:rPr>
          <w:rFonts w:ascii="Arial" w:hAnsi="Arial" w:cs="Arial"/>
        </w:rPr>
        <w:br/>
      </w:r>
      <w:r>
        <w:rPr>
          <w:rFonts w:ascii="Arial" w:hAnsi="Arial" w:cs="Arial"/>
        </w:rPr>
        <w:br/>
        <w:t>After 1947, a series of commission reports reshaped Indian education: the University Education Commission (1948), the Secondary Education Commission (1952), and the Kothari Commission (1964–66), which established the 10+2+3 format and the three-language policy, emphasizing national integration and equity. The 1986 National Policy on Education further prioritized women’s schooling and bolstered primary education infrastructure.</w:t>
      </w:r>
    </w:p>
    <w:p w14:paraId="4ECFA5DF" w14:textId="77777777" w:rsidR="00D604FB" w:rsidRDefault="00D604FB">
      <w:pPr>
        <w:contextualSpacing/>
        <w:rPr>
          <w:rFonts w:ascii="Arial" w:hAnsi="Arial" w:cs="Arial"/>
          <w:sz w:val="24"/>
          <w:szCs w:val="24"/>
        </w:rPr>
      </w:pPr>
    </w:p>
    <w:p w14:paraId="0F1B2DC3" w14:textId="77777777" w:rsidR="00D604FB" w:rsidRDefault="00341B07">
      <w:pPr>
        <w:contextualSpacing/>
        <w:rPr>
          <w:rFonts w:ascii="Arial" w:hAnsi="Arial" w:cs="Arial"/>
        </w:rPr>
      </w:pPr>
      <w:r>
        <w:rPr>
          <w:rFonts w:ascii="Arial" w:hAnsi="Arial" w:cs="Arial"/>
        </w:rPr>
        <w:t>The National Education Policy 2020 replaces its 1986 predecessor with a 5+3+3+4 curricular model that stresses foundational literacy and numeracy, reduces rote learning, and promotes interdisciplinary, flexible pedagogy. It also integrates Indian Knowledge Systems and aligns with global trends in competency-based and experiential learning to foster equity and innovation (Ghosh &amp; Kumar, 2021; Sardar &amp; Das, 2024; Ramesh, 2022; Aithal &amp; Aithal, 2020; Thanganadar et al., 2024).</w:t>
      </w:r>
    </w:p>
    <w:p w14:paraId="20B74BD6" w14:textId="77777777" w:rsidR="00D604FB" w:rsidRDefault="00D604FB">
      <w:pPr>
        <w:pStyle w:val="Body"/>
        <w:spacing w:after="0"/>
        <w:jc w:val="left"/>
        <w:rPr>
          <w:rFonts w:ascii="Arial" w:hAnsi="Arial" w:cs="Arial"/>
        </w:rPr>
      </w:pPr>
    </w:p>
    <w:p w14:paraId="32E51AD9" w14:textId="77777777" w:rsidR="00D604FB" w:rsidRDefault="00341B07">
      <w:pPr>
        <w:spacing w:after="120" w:line="276" w:lineRule="auto"/>
        <w:rPr>
          <w:rFonts w:ascii="Arial" w:eastAsia="Google Sans Text" w:hAnsi="Arial" w:cs="Arial"/>
          <w:b/>
          <w:bCs/>
          <w:iCs/>
        </w:rPr>
      </w:pPr>
      <w:r>
        <w:rPr>
          <w:rFonts w:ascii="Arial" w:eastAsia="Google Sans Text" w:hAnsi="Arial" w:cs="Arial"/>
          <w:b/>
          <w:bCs/>
          <w:iCs/>
        </w:rPr>
        <w:t>Table 1. Milestones in India's Educational Evolution</w:t>
      </w:r>
    </w:p>
    <w:p w14:paraId="1A43C2F6" w14:textId="77777777" w:rsidR="00D604FB" w:rsidRDefault="00341B07">
      <w:pPr>
        <w:pStyle w:val="Heading3"/>
        <w:spacing w:before="0" w:after="0"/>
        <w:rPr>
          <w:rFonts w:ascii="Arial" w:hAnsi="Arial" w:cs="Arial"/>
          <w:sz w:val="20"/>
          <w:szCs w:val="20"/>
          <w:lang w:val="en-PH" w:eastAsia="en-PH"/>
        </w:rPr>
      </w:pPr>
      <w:r>
        <w:rPr>
          <w:rFonts w:ascii="Arial" w:hAnsi="Arial" w:cs="Arial"/>
          <w:sz w:val="20"/>
          <w:szCs w:val="20"/>
        </w:rPr>
        <w:t>Evolution of Indian Education: From Gurukuls to NEP 2020</w:t>
      </w:r>
    </w:p>
    <w:tbl>
      <w:tblPr>
        <w:tblStyle w:val="TableGridLight1"/>
        <w:tblW w:w="0" w:type="auto"/>
        <w:tblLayout w:type="fixed"/>
        <w:tblLook w:val="04A0" w:firstRow="1" w:lastRow="0" w:firstColumn="1" w:lastColumn="0" w:noHBand="0" w:noVBand="1"/>
      </w:tblPr>
      <w:tblGrid>
        <w:gridCol w:w="1684"/>
        <w:gridCol w:w="1987"/>
        <w:gridCol w:w="2463"/>
        <w:gridCol w:w="2271"/>
      </w:tblGrid>
      <w:tr w:rsidR="00D604FB" w14:paraId="3B30A05C" w14:textId="77777777">
        <w:tc>
          <w:tcPr>
            <w:tcW w:w="1684" w:type="dxa"/>
          </w:tcPr>
          <w:p w14:paraId="349B1FD3" w14:textId="77777777" w:rsidR="00D604FB" w:rsidRDefault="00341B07">
            <w:pPr>
              <w:rPr>
                <w:rFonts w:ascii="Arial" w:hAnsi="Arial" w:cs="Arial"/>
                <w:b/>
                <w:bCs/>
              </w:rPr>
            </w:pPr>
            <w:r>
              <w:rPr>
                <w:rStyle w:val="Strong"/>
                <w:rFonts w:ascii="Arial" w:hAnsi="Arial" w:cs="Arial"/>
              </w:rPr>
              <w:t>Era</w:t>
            </w:r>
          </w:p>
        </w:tc>
        <w:tc>
          <w:tcPr>
            <w:tcW w:w="1987" w:type="dxa"/>
          </w:tcPr>
          <w:p w14:paraId="3E20ADEE" w14:textId="77777777" w:rsidR="00D604FB" w:rsidRDefault="00341B07">
            <w:pPr>
              <w:rPr>
                <w:rFonts w:ascii="Arial" w:hAnsi="Arial" w:cs="Arial"/>
                <w:b/>
                <w:bCs/>
              </w:rPr>
            </w:pPr>
            <w:r>
              <w:rPr>
                <w:rStyle w:val="Strong"/>
                <w:rFonts w:ascii="Arial" w:hAnsi="Arial" w:cs="Arial"/>
              </w:rPr>
              <w:t>Key Institutions / Policies</w:t>
            </w:r>
          </w:p>
        </w:tc>
        <w:tc>
          <w:tcPr>
            <w:tcW w:w="2463" w:type="dxa"/>
          </w:tcPr>
          <w:p w14:paraId="06BD59DB" w14:textId="77777777" w:rsidR="00D604FB" w:rsidRDefault="00341B07">
            <w:pPr>
              <w:rPr>
                <w:rFonts w:ascii="Arial" w:hAnsi="Arial" w:cs="Arial"/>
                <w:b/>
                <w:bCs/>
              </w:rPr>
            </w:pPr>
            <w:r>
              <w:rPr>
                <w:rStyle w:val="Strong"/>
                <w:rFonts w:ascii="Arial" w:hAnsi="Arial" w:cs="Arial"/>
              </w:rPr>
              <w:t>Core Philosophy</w:t>
            </w:r>
          </w:p>
        </w:tc>
        <w:tc>
          <w:tcPr>
            <w:tcW w:w="2271" w:type="dxa"/>
          </w:tcPr>
          <w:p w14:paraId="292CEA98" w14:textId="77777777" w:rsidR="00D604FB" w:rsidRDefault="00341B07">
            <w:pPr>
              <w:rPr>
                <w:rFonts w:ascii="Arial" w:hAnsi="Arial" w:cs="Arial"/>
                <w:b/>
                <w:bCs/>
              </w:rPr>
            </w:pPr>
            <w:r>
              <w:rPr>
                <w:rStyle w:val="Strong"/>
                <w:rFonts w:ascii="Arial" w:hAnsi="Arial" w:cs="Arial"/>
              </w:rPr>
              <w:t>Accessibility &amp; Inclusivity</w:t>
            </w:r>
          </w:p>
        </w:tc>
      </w:tr>
      <w:tr w:rsidR="00D604FB" w14:paraId="55F28542" w14:textId="77777777">
        <w:tc>
          <w:tcPr>
            <w:tcW w:w="1684" w:type="dxa"/>
          </w:tcPr>
          <w:p w14:paraId="5384CCC7" w14:textId="77777777" w:rsidR="00D604FB" w:rsidRDefault="00341B07">
            <w:pPr>
              <w:rPr>
                <w:rFonts w:ascii="Arial" w:hAnsi="Arial" w:cs="Arial"/>
                <w:i/>
                <w:iCs/>
              </w:rPr>
            </w:pPr>
            <w:r>
              <w:rPr>
                <w:rStyle w:val="Strong"/>
                <w:rFonts w:ascii="Arial" w:hAnsi="Arial" w:cs="Arial"/>
                <w:b w:val="0"/>
                <w:bCs w:val="0"/>
                <w:i/>
                <w:iCs/>
              </w:rPr>
              <w:t>Pre-Colonial</w:t>
            </w:r>
          </w:p>
        </w:tc>
        <w:tc>
          <w:tcPr>
            <w:tcW w:w="1987" w:type="dxa"/>
          </w:tcPr>
          <w:p w14:paraId="28B0C297" w14:textId="77777777" w:rsidR="00D604FB" w:rsidRDefault="00341B07">
            <w:pPr>
              <w:rPr>
                <w:rFonts w:ascii="Arial" w:hAnsi="Arial" w:cs="Arial"/>
              </w:rPr>
            </w:pPr>
            <w:r>
              <w:rPr>
                <w:rFonts w:ascii="Arial" w:hAnsi="Arial" w:cs="Arial"/>
              </w:rPr>
              <w:t>Gurukuls, Nalanda, Pathshalas, Madrasas</w:t>
            </w:r>
          </w:p>
        </w:tc>
        <w:tc>
          <w:tcPr>
            <w:tcW w:w="2463" w:type="dxa"/>
          </w:tcPr>
          <w:p w14:paraId="2025DB99" w14:textId="77777777" w:rsidR="00D604FB" w:rsidRDefault="00341B07">
            <w:pPr>
              <w:rPr>
                <w:rFonts w:ascii="Arial" w:hAnsi="Arial" w:cs="Arial"/>
              </w:rPr>
            </w:pPr>
            <w:r>
              <w:rPr>
                <w:rFonts w:ascii="Arial" w:hAnsi="Arial" w:cs="Arial"/>
              </w:rPr>
              <w:t xml:space="preserve">Rooted in holistic and oral traditions, emphasizing </w:t>
            </w:r>
            <w:r>
              <w:rPr>
                <w:rStyle w:val="Emphasis"/>
                <w:rFonts w:ascii="Arial" w:hAnsi="Arial" w:cs="Arial"/>
              </w:rPr>
              <w:t>atma-jnana</w:t>
            </w:r>
            <w:r>
              <w:rPr>
                <w:rFonts w:ascii="Arial" w:hAnsi="Arial" w:cs="Arial"/>
              </w:rPr>
              <w:t xml:space="preserve"> (self-knowledge), moral development, and experiential learning. Nalanda and other Buddhist universities nurtured critical inquiry, cosmopolitanism, and multidisciplinary studies, while madrasas advanced mathematics, astronomy, and law.</w:t>
            </w:r>
          </w:p>
        </w:tc>
        <w:tc>
          <w:tcPr>
            <w:tcW w:w="2271" w:type="dxa"/>
          </w:tcPr>
          <w:p w14:paraId="67662DA8" w14:textId="77777777" w:rsidR="00D604FB" w:rsidRDefault="00341B07">
            <w:pPr>
              <w:rPr>
                <w:rFonts w:ascii="Arial" w:hAnsi="Arial" w:cs="Arial"/>
              </w:rPr>
            </w:pPr>
            <w:r>
              <w:rPr>
                <w:rFonts w:ascii="Arial" w:hAnsi="Arial" w:cs="Arial"/>
              </w:rPr>
              <w:t>Access varied: Gurukuls largely exclusive to upper-caste males, whereas Nalanda and Pathshalas were relatively inclusive, admitting students across regions and social groups (Rao, 2022).</w:t>
            </w:r>
          </w:p>
        </w:tc>
      </w:tr>
      <w:tr w:rsidR="00D604FB" w14:paraId="550CE4C4" w14:textId="77777777">
        <w:tc>
          <w:tcPr>
            <w:tcW w:w="1684" w:type="dxa"/>
          </w:tcPr>
          <w:p w14:paraId="53EF1F26" w14:textId="77777777" w:rsidR="00D604FB" w:rsidRDefault="00341B07">
            <w:pPr>
              <w:rPr>
                <w:rFonts w:ascii="Arial" w:hAnsi="Arial" w:cs="Arial"/>
                <w:i/>
                <w:iCs/>
              </w:rPr>
            </w:pPr>
            <w:r>
              <w:rPr>
                <w:rStyle w:val="Strong"/>
                <w:rFonts w:ascii="Arial" w:hAnsi="Arial" w:cs="Arial"/>
                <w:b w:val="0"/>
                <w:bCs w:val="0"/>
                <w:i/>
                <w:iCs/>
              </w:rPr>
              <w:t>Colonial (19th–20th Century)</w:t>
            </w:r>
          </w:p>
        </w:tc>
        <w:tc>
          <w:tcPr>
            <w:tcW w:w="1987" w:type="dxa"/>
          </w:tcPr>
          <w:p w14:paraId="178ADD68" w14:textId="77777777" w:rsidR="00D604FB" w:rsidRDefault="00341B07">
            <w:pPr>
              <w:rPr>
                <w:rFonts w:ascii="Arial" w:hAnsi="Arial" w:cs="Arial"/>
              </w:rPr>
            </w:pPr>
            <w:r>
              <w:rPr>
                <w:rFonts w:ascii="Arial" w:hAnsi="Arial" w:cs="Arial"/>
              </w:rPr>
              <w:t>Macaulay’s Minute (1835); Wood’s Despatch (1854); Hunter Commission (1882); Indian Universities Act (1904)</w:t>
            </w:r>
          </w:p>
        </w:tc>
        <w:tc>
          <w:tcPr>
            <w:tcW w:w="2463" w:type="dxa"/>
          </w:tcPr>
          <w:p w14:paraId="455CA823" w14:textId="77777777" w:rsidR="00D604FB" w:rsidRDefault="00341B07">
            <w:pPr>
              <w:rPr>
                <w:rFonts w:ascii="Arial" w:hAnsi="Arial" w:cs="Arial"/>
              </w:rPr>
            </w:pPr>
            <w:r>
              <w:rPr>
                <w:rFonts w:ascii="Arial" w:hAnsi="Arial" w:cs="Arial"/>
              </w:rPr>
              <w:t>Marked by Anglicisation, centralisation, and the “Downward Filtration Theory.” Education was restructured to produce an administrative elite, with English as the medium of instruction. Western sciences and humanities entered curricula, but indigenous systems were sidelined.</w:t>
            </w:r>
          </w:p>
        </w:tc>
        <w:tc>
          <w:tcPr>
            <w:tcW w:w="2271" w:type="dxa"/>
          </w:tcPr>
          <w:p w14:paraId="0EAB19E3" w14:textId="77777777" w:rsidR="00D604FB" w:rsidRDefault="00341B07">
            <w:pPr>
              <w:rPr>
                <w:rFonts w:ascii="Arial" w:hAnsi="Arial" w:cs="Arial"/>
              </w:rPr>
            </w:pPr>
            <w:r>
              <w:rPr>
                <w:rFonts w:ascii="Arial" w:hAnsi="Arial" w:cs="Arial"/>
              </w:rPr>
              <w:t>Created a cultural and linguistic divide: access broadened for urban elites but remained limited for rural and marginalized groups. Madras Presidency schools provided some vernacular instruction, but systemic inequality persisted (Kumar, 2021; Choudhury &amp; Kumar, 2023).</w:t>
            </w:r>
          </w:p>
        </w:tc>
      </w:tr>
      <w:tr w:rsidR="00D604FB" w14:paraId="6C8BC85D" w14:textId="77777777">
        <w:tc>
          <w:tcPr>
            <w:tcW w:w="1684" w:type="dxa"/>
          </w:tcPr>
          <w:p w14:paraId="6AB12218" w14:textId="77777777" w:rsidR="00D604FB" w:rsidRDefault="00341B07">
            <w:pPr>
              <w:rPr>
                <w:rFonts w:ascii="Arial" w:hAnsi="Arial" w:cs="Arial"/>
                <w:i/>
                <w:iCs/>
              </w:rPr>
            </w:pPr>
            <w:r>
              <w:rPr>
                <w:rStyle w:val="Strong"/>
                <w:rFonts w:ascii="Arial" w:hAnsi="Arial" w:cs="Arial"/>
                <w:b w:val="0"/>
                <w:bCs w:val="0"/>
                <w:i/>
                <w:iCs/>
              </w:rPr>
              <w:lastRenderedPageBreak/>
              <w:t>Post-Independence (1947–Present)</w:t>
            </w:r>
          </w:p>
        </w:tc>
        <w:tc>
          <w:tcPr>
            <w:tcW w:w="1987" w:type="dxa"/>
          </w:tcPr>
          <w:p w14:paraId="2875EC54" w14:textId="77777777" w:rsidR="00D604FB" w:rsidRDefault="00341B07">
            <w:pPr>
              <w:rPr>
                <w:rFonts w:ascii="Arial" w:hAnsi="Arial" w:cs="Arial"/>
              </w:rPr>
            </w:pPr>
            <w:r>
              <w:rPr>
                <w:rFonts w:ascii="Arial" w:hAnsi="Arial" w:cs="Arial"/>
              </w:rPr>
              <w:t>Radhakrishnan Commission (1948–49); Kothari Commission (1964–66); National Policies on Education (1968, 1986, 1992); Right to Education Act (2009); National Education Policy (NEP) 2020</w:t>
            </w:r>
          </w:p>
        </w:tc>
        <w:tc>
          <w:tcPr>
            <w:tcW w:w="2463" w:type="dxa"/>
          </w:tcPr>
          <w:p w14:paraId="4EF824C9" w14:textId="77777777" w:rsidR="00D604FB" w:rsidRDefault="00341B07">
            <w:pPr>
              <w:rPr>
                <w:rFonts w:ascii="Arial" w:hAnsi="Arial" w:cs="Arial"/>
              </w:rPr>
            </w:pPr>
            <w:r>
              <w:rPr>
                <w:rFonts w:ascii="Arial" w:hAnsi="Arial" w:cs="Arial"/>
              </w:rPr>
              <w:t>Shifted toward democratization and universalization: social justice, national integration, scientific temper, and holistic human development. NEP 2020 re-emphasizes multidisciplinary learning, foundational literacy and numeracy, vocational training, and 21st-century skills.</w:t>
            </w:r>
          </w:p>
        </w:tc>
        <w:tc>
          <w:tcPr>
            <w:tcW w:w="2271" w:type="dxa"/>
          </w:tcPr>
          <w:p w14:paraId="20A81DCB" w14:textId="77777777" w:rsidR="00D604FB" w:rsidRDefault="00341B07">
            <w:pPr>
              <w:rPr>
                <w:rFonts w:ascii="Arial" w:hAnsi="Arial" w:cs="Arial"/>
              </w:rPr>
            </w:pPr>
            <w:r>
              <w:rPr>
                <w:rFonts w:ascii="Arial" w:hAnsi="Arial" w:cs="Arial"/>
              </w:rPr>
              <w:t>Accessibility expanded dramatically through constitutional guarantees, mid-day meals, scholarships, and reservations for Scheduled Castes, Scheduled Tribes, and girls. Yet, disparities remain in rural, digital, and gendered dimensions of access (Das et al., 2023; Choudhury et al., 2023).</w:t>
            </w:r>
          </w:p>
        </w:tc>
      </w:tr>
    </w:tbl>
    <w:p w14:paraId="49928CE6" w14:textId="77777777" w:rsidR="00D604FB" w:rsidRDefault="00D604FB">
      <w:pPr>
        <w:spacing w:line="276" w:lineRule="auto"/>
        <w:rPr>
          <w:rFonts w:ascii="Arial" w:eastAsia="Google Sans Text" w:hAnsi="Arial" w:cs="Arial"/>
          <w:iCs/>
        </w:rPr>
      </w:pPr>
    </w:p>
    <w:p w14:paraId="163429CD" w14:textId="77777777" w:rsidR="00D604FB" w:rsidRDefault="00341B07">
      <w:pPr>
        <w:spacing w:after="240" w:line="275" w:lineRule="auto"/>
        <w:jc w:val="both"/>
        <w:rPr>
          <w:rFonts w:ascii="Arial" w:eastAsia="Google Sans Text" w:hAnsi="Arial" w:cs="Arial"/>
          <w:iCs/>
        </w:rPr>
      </w:pPr>
      <w:r>
        <w:rPr>
          <w:rFonts w:ascii="Arial" w:eastAsia="Google Sans Text" w:hAnsi="Arial" w:cs="Arial"/>
          <w:iCs/>
        </w:rPr>
        <w:t>Table 1 outlines India’s layered educational evolution—from pluralistic pre-colonial systems to a centralized colonial framework and, finally, to post-independence democratization. In pre-colonial times, gurukuls transmitted Vedic and Brahmanical knowledge largely to upper-caste students, while Buddhist centers like Nalanda (5th century CE) attracted learners from across Asia. Alongside these elites, community-run pathshalas and madrasas provided basic literacy, numeracy, and religious instruction in local languages, integrating education with regional economies (Rao, 2022).</w:t>
      </w:r>
    </w:p>
    <w:p w14:paraId="6A345392" w14:textId="77777777" w:rsidR="00D604FB" w:rsidRDefault="00341B07">
      <w:pPr>
        <w:spacing w:line="276" w:lineRule="auto"/>
        <w:jc w:val="both"/>
        <w:rPr>
          <w:rFonts w:ascii="Arial" w:eastAsia="Google Sans Text" w:hAnsi="Arial" w:cs="Arial"/>
          <w:iCs/>
        </w:rPr>
      </w:pPr>
      <w:r>
        <w:rPr>
          <w:rFonts w:ascii="Arial" w:eastAsia="Google Sans Text" w:hAnsi="Arial" w:cs="Arial"/>
          <w:iCs/>
        </w:rPr>
        <w:t>The colonial era ushered in a dramatic restructuring. Macaulay’s Minute (1835) and Wood’s Despatch (1854) established English-medium schools aimed at training clerks for the British administration, reflecting the “downward filtration” theory that elite education would eventually benefit the masses. In practice, this widened gaps between English-educated urban elites and vernacular-speaking rural communities. Subsequent inquiries such as the Hunter Commission (1882) entrenched British-style universities and rigid hierarchies, cementing cultural and linguistic divides that persist today (Kumar, 2021; Choudhury &amp; Kumar, 2023).</w:t>
      </w:r>
    </w:p>
    <w:p w14:paraId="7476E76B" w14:textId="77777777" w:rsidR="00D604FB" w:rsidRDefault="00341B07">
      <w:pPr>
        <w:spacing w:line="276" w:lineRule="auto"/>
        <w:jc w:val="both"/>
        <w:rPr>
          <w:rFonts w:ascii="Arial" w:eastAsia="Google Sans Text" w:hAnsi="Arial" w:cs="Arial"/>
          <w:iCs/>
        </w:rPr>
      </w:pPr>
      <w:r>
        <w:rPr>
          <w:rFonts w:ascii="Arial" w:eastAsia="Google Sans Text" w:hAnsi="Arial" w:cs="Arial"/>
          <w:iCs/>
        </w:rPr>
        <w:br/>
        <w:t>After 1947, commissions led by Radhakrishnan (1948–49) and Kothari (1964–66) recast education as a driver of nation-building and equity, informing the 1968 National Policy and its 1986/92 revisions, and culminating in the 2009 Right to Education Act. The NEP 2020 then replaced earlier frameworks with a 5+3+3+4 structure, emphasizing foundational literacy, reduced rote learning, flexible multidisciplinary curricula, digital integration, and Indian Knowledge Systems (Ghosh &amp; Kumar, 2021; Sardar &amp; Das, 2024; Ramesh, 2022; Aithal &amp; Aithal, 2020; Thanganadar et al., 2024). Early assessments praise its global alignment but warn that resource gaps, administrative capacity, and resistance to change may hinder its promise of inclusive quality (Das et al., 2023; Choudhury et al., 2023).</w:t>
      </w:r>
    </w:p>
    <w:p w14:paraId="1098FCD8" w14:textId="77777777" w:rsidR="00D604FB" w:rsidRDefault="00D604FB">
      <w:pPr>
        <w:spacing w:line="276" w:lineRule="auto"/>
        <w:jc w:val="both"/>
        <w:rPr>
          <w:rFonts w:ascii="Arial" w:eastAsia="Google Sans Text" w:hAnsi="Arial" w:cs="Arial"/>
          <w:iCs/>
          <w:sz w:val="24"/>
          <w:szCs w:val="24"/>
        </w:rPr>
      </w:pPr>
    </w:p>
    <w:p w14:paraId="58289F71" w14:textId="77777777" w:rsidR="00D604FB" w:rsidRDefault="00341B07">
      <w:pPr>
        <w:spacing w:after="240" w:line="275" w:lineRule="auto"/>
        <w:jc w:val="both"/>
        <w:rPr>
          <w:rFonts w:ascii="Arial" w:eastAsia="Google Sans Text" w:hAnsi="Arial" w:cs="Arial"/>
          <w:iCs/>
        </w:rPr>
      </w:pPr>
      <w:r>
        <w:rPr>
          <w:rFonts w:ascii="Arial" w:eastAsia="Google Sans Text" w:hAnsi="Arial" w:cs="Arial"/>
          <w:iCs/>
        </w:rPr>
        <w:t>India’s educational evolution has continually shifted between exclusion and reform—from the caste- and class-based limits of ancient gurukuls and rigid colonial structures to today’s policies aimed at universal inclusion. Nonetheless, research shows that uneven teaching quality, restricted access, and digital divides still stand in the way of fully achieving the NEP 2020’s objectives.</w:t>
      </w:r>
    </w:p>
    <w:p w14:paraId="29799C00" w14:textId="77777777" w:rsidR="00D604FB" w:rsidRDefault="00341B07">
      <w:pPr>
        <w:jc w:val="both"/>
        <w:rPr>
          <w:rFonts w:ascii="Arial" w:hAnsi="Arial" w:cs="Arial"/>
          <w:b/>
          <w:bCs/>
        </w:rPr>
      </w:pPr>
      <w:r>
        <w:rPr>
          <w:rFonts w:ascii="Arial" w:hAnsi="Arial" w:cs="Arial"/>
          <w:b/>
          <w:bCs/>
        </w:rPr>
        <w:t>South India: A Case Study in Progress</w:t>
      </w:r>
    </w:p>
    <w:p w14:paraId="39627FB2" w14:textId="77777777" w:rsidR="00D604FB" w:rsidRDefault="00341B07">
      <w:pPr>
        <w:pStyle w:val="NormalWeb"/>
        <w:jc w:val="both"/>
        <w:rPr>
          <w:rFonts w:ascii="Arial" w:hAnsi="Arial" w:cs="Arial"/>
          <w:sz w:val="20"/>
          <w:szCs w:val="20"/>
        </w:rPr>
      </w:pPr>
      <w:r>
        <w:rPr>
          <w:rFonts w:ascii="Arial" w:hAnsi="Arial" w:cs="Arial"/>
          <w:sz w:val="20"/>
          <w:szCs w:val="20"/>
        </w:rPr>
        <w:t xml:space="preserve">South India’s educational paradigm offers a compelling vantage point for understanding India’s broader trajectory of progress. States like Kerala and Tamil Nadu have consistently outpaced the national average in literacy, reflecting the influence of deep-rooted historical, socio-cultural, and policy legacies. While India’s literacy rate was recorded at 74.04% in the 2011 Census, Kerala reached an impressive 93.9%, with recent surveys placing it among the highest in the </w:t>
      </w:r>
      <w:r>
        <w:rPr>
          <w:rFonts w:ascii="Arial" w:hAnsi="Arial" w:cs="Arial"/>
          <w:sz w:val="20"/>
          <w:szCs w:val="20"/>
        </w:rPr>
        <w:lastRenderedPageBreak/>
        <w:t>country (Periodic Labour Force Survey [PLFS], 2025). Scholars note that Kerala’s exceptional performance is not merely statistical, but the result of systemic investments in public education, gender equity, and social development that distinguish it from other Indian states (Choudhury et al., 2023; Varghese &amp; Tilak, 2021).</w:t>
      </w:r>
    </w:p>
    <w:p w14:paraId="12C9A563" w14:textId="77777777" w:rsidR="00D604FB" w:rsidRDefault="00341B07">
      <w:pPr>
        <w:pStyle w:val="NormalWeb"/>
        <w:jc w:val="both"/>
        <w:rPr>
          <w:rFonts w:ascii="Arial" w:hAnsi="Arial" w:cs="Arial"/>
          <w:sz w:val="20"/>
          <w:szCs w:val="20"/>
        </w:rPr>
      </w:pPr>
      <w:r>
        <w:rPr>
          <w:rFonts w:ascii="Arial" w:hAnsi="Arial" w:cs="Arial"/>
          <w:sz w:val="20"/>
          <w:szCs w:val="20"/>
        </w:rPr>
        <w:t>Kerala’s educational ascent was catalyzed by early 19th-century reforms spearheaded by both Christian missionaries and princely rulers of Travancore and Cochin. These pioneers institutionalized grants-in-aid, free primary education, and structured school systems that democratized learning access. Missionary contributions, such as Fr. Kuriakose Elias Chavara’s initiative of establishing “a school along with every church,” significantly expanded educational opportunities for marginalized groups (Devika, 2021). Reformers like Sree Narayana Guru and Ayyankali deepened this transformation by demanding inclusion for lower-caste communities, thereby embedding a culture of social justice within Kerala’s educational framework. This historical intertwining of state action, missionary enterprise, and social reform laid the foundation for Kerala’s contemporary reputation as India’s most literate and socially progressive state.</w:t>
      </w:r>
    </w:p>
    <w:p w14:paraId="5CDA72A6" w14:textId="77777777" w:rsidR="00D604FB" w:rsidRDefault="00341B07">
      <w:pPr>
        <w:pStyle w:val="NormalWeb"/>
        <w:jc w:val="both"/>
        <w:rPr>
          <w:rFonts w:ascii="Arial" w:hAnsi="Arial" w:cs="Arial"/>
          <w:sz w:val="20"/>
          <w:szCs w:val="20"/>
        </w:rPr>
      </w:pPr>
      <w:r>
        <w:rPr>
          <w:rFonts w:ascii="Arial" w:hAnsi="Arial" w:cs="Arial"/>
          <w:sz w:val="20"/>
          <w:szCs w:val="20"/>
        </w:rPr>
        <w:t xml:space="preserve">Tamil Nadu represents another instructive case of innovation in educational governance. Its </w:t>
      </w:r>
      <w:r>
        <w:rPr>
          <w:rStyle w:val="Strong"/>
          <w:rFonts w:ascii="Arial" w:hAnsi="Arial" w:cs="Arial"/>
          <w:b w:val="0"/>
          <w:bCs w:val="0"/>
          <w:sz w:val="20"/>
          <w:szCs w:val="20"/>
        </w:rPr>
        <w:t>State Education Policy (SEP) 2025</w:t>
      </w:r>
      <w:r>
        <w:rPr>
          <w:rFonts w:ascii="Arial" w:hAnsi="Arial" w:cs="Arial"/>
          <w:sz w:val="20"/>
          <w:szCs w:val="20"/>
        </w:rPr>
        <w:t xml:space="preserve"> diverges from the </w:t>
      </w:r>
      <w:r>
        <w:rPr>
          <w:rStyle w:val="Strong"/>
          <w:rFonts w:ascii="Arial" w:hAnsi="Arial" w:cs="Arial"/>
          <w:b w:val="0"/>
          <w:bCs w:val="0"/>
          <w:sz w:val="20"/>
          <w:szCs w:val="20"/>
        </w:rPr>
        <w:t>National Education Policy (NEP) 2020</w:t>
      </w:r>
      <w:r>
        <w:rPr>
          <w:rFonts w:ascii="Arial" w:hAnsi="Arial" w:cs="Arial"/>
          <w:sz w:val="20"/>
          <w:szCs w:val="20"/>
        </w:rPr>
        <w:t>, reflecting the state’s assertion of autonomy and responsiveness to regional priorities. While NEP 2020 emphasizes a three-language formula, Tamil Nadu’s SEP reaffirms a Tamil-English bilingual approach, prioritizing cultural preservation alongside global employability. It foregrounds competency-based education, critical thinking, and socio-emotional well-being, while embedding reforms such as a no-detention policy up to Class VIII, the abolition of Class XI board exams, and compulsory Tamil instruction up to Class X. Scholars view such state-level divergence as both a strength and challenge in India’s federal education system, where contextual innovation must balance with national cohesion (Mani &amp; Sharma, 2024).</w:t>
      </w:r>
    </w:p>
    <w:p w14:paraId="436D202C" w14:textId="77777777" w:rsidR="00D604FB" w:rsidRDefault="00341B07">
      <w:pPr>
        <w:pStyle w:val="NormalWeb"/>
        <w:jc w:val="both"/>
        <w:rPr>
          <w:rFonts w:ascii="Arial" w:hAnsi="Arial" w:cs="Arial"/>
          <w:sz w:val="20"/>
          <w:szCs w:val="20"/>
        </w:rPr>
      </w:pPr>
      <w:r>
        <w:rPr>
          <w:rFonts w:ascii="Arial" w:hAnsi="Arial" w:cs="Arial"/>
          <w:sz w:val="20"/>
          <w:szCs w:val="20"/>
        </w:rPr>
        <w:t xml:space="preserve">Pedagogical reforms under Tamil Nadu’s SEP build on earlier initiatives like the </w:t>
      </w:r>
      <w:r>
        <w:rPr>
          <w:rStyle w:val="Strong"/>
          <w:rFonts w:ascii="Arial" w:hAnsi="Arial" w:cs="Arial"/>
          <w:b w:val="0"/>
          <w:bCs w:val="0"/>
          <w:sz w:val="20"/>
          <w:szCs w:val="20"/>
        </w:rPr>
        <w:t>Ennum Ezhuthum Mission</w:t>
      </w:r>
      <w:r>
        <w:rPr>
          <w:rFonts w:ascii="Arial" w:hAnsi="Arial" w:cs="Arial"/>
          <w:sz w:val="20"/>
          <w:szCs w:val="20"/>
        </w:rPr>
        <w:t xml:space="preserve">, designed to secure foundational literacy and numeracy for early-grade learners, while also embracing 21st-century skills, including AI, coding, financial literacy, and digital competencies (Rajan, 2023). This dual emphasis on foundational and futuristic learning underscores Tamil Nadu’s holistic approach to educational reform. Yet, research warns that despite such progressive policies, </w:t>
      </w:r>
      <w:r>
        <w:rPr>
          <w:rStyle w:val="Strong"/>
          <w:rFonts w:ascii="Arial" w:hAnsi="Arial" w:cs="Arial"/>
          <w:b w:val="0"/>
          <w:bCs w:val="0"/>
          <w:sz w:val="20"/>
          <w:szCs w:val="20"/>
        </w:rPr>
        <w:t>inequalities persist</w:t>
      </w:r>
      <w:r>
        <w:rPr>
          <w:rFonts w:ascii="Arial" w:hAnsi="Arial" w:cs="Arial"/>
          <w:sz w:val="20"/>
          <w:szCs w:val="20"/>
        </w:rPr>
        <w:t>, particularly for rural children, Scheduled Castes, Scheduled Tribes, and girls, who remain disadvantaged in terms of infrastructure, early childhood access, and equitable resource allocation (Das et al., 2023).</w:t>
      </w:r>
    </w:p>
    <w:p w14:paraId="4C7817F8" w14:textId="77777777" w:rsidR="00D604FB" w:rsidRDefault="00341B07">
      <w:pPr>
        <w:pStyle w:val="NormalWeb"/>
        <w:jc w:val="both"/>
        <w:rPr>
          <w:rFonts w:ascii="Arial" w:hAnsi="Arial" w:cs="Arial"/>
          <w:sz w:val="20"/>
          <w:szCs w:val="20"/>
        </w:rPr>
      </w:pPr>
      <w:r>
        <w:rPr>
          <w:rFonts w:ascii="Arial" w:hAnsi="Arial" w:cs="Arial"/>
          <w:sz w:val="20"/>
          <w:szCs w:val="20"/>
        </w:rPr>
        <w:t xml:space="preserve">South India is also a site of experimentation with educational technology and alternative pedagogies. Adaptive, data-driven learning platforms such as </w:t>
      </w:r>
      <w:r>
        <w:rPr>
          <w:rStyle w:val="Strong"/>
          <w:rFonts w:ascii="Arial" w:hAnsi="Arial" w:cs="Arial"/>
          <w:b w:val="0"/>
          <w:bCs w:val="0"/>
          <w:sz w:val="20"/>
          <w:szCs w:val="20"/>
        </w:rPr>
        <w:t>Mindspark</w:t>
      </w:r>
      <w:r>
        <w:rPr>
          <w:rFonts w:ascii="Arial" w:hAnsi="Arial" w:cs="Arial"/>
          <w:sz w:val="20"/>
          <w:szCs w:val="20"/>
        </w:rPr>
        <w:t>, an AI-enabled tool that personalizes instruction using diagnostic assessments, have demonstrated measurable improvements in student outcomes, particularly in mathematics and language learning (Muralidharan et al., 2021). At the same time, a philosophical re-imagining of education continues through institutions like Rishi Valley School and The Valley School, founded by J. Krishnamurti, and Kerala’s Sarang School, which promote holistic, non-competitive curricula emphasizing critical inquiry, environmental awareness, and self-reflection. Scholars argue that such models challenge India’s exam-centric schooling and present viable alternatives for nurturing creativity and resilience in learners (Sethy, 2022).</w:t>
      </w:r>
    </w:p>
    <w:p w14:paraId="363C52B8" w14:textId="77777777" w:rsidR="00D604FB" w:rsidRDefault="00341B07">
      <w:pPr>
        <w:pStyle w:val="NormalWeb"/>
        <w:jc w:val="both"/>
        <w:rPr>
          <w:rFonts w:ascii="Arial" w:hAnsi="Arial" w:cs="Arial"/>
          <w:sz w:val="20"/>
          <w:szCs w:val="20"/>
        </w:rPr>
      </w:pPr>
      <w:r>
        <w:rPr>
          <w:rFonts w:ascii="Arial" w:hAnsi="Arial" w:cs="Arial"/>
          <w:sz w:val="20"/>
          <w:szCs w:val="20"/>
        </w:rPr>
        <w:t xml:space="preserve">Overall, South India’s educational trajectory illustrates a blend of tradition and transformation: from historical legacies of social reform and missionary engagement, to contemporary innovations in pedagogy, technology, and state-specific policy frameworks. Yet, the persistence of inequality and uneven resource allocation reminds us that progress remains fragile. As scholars emphasize, </w:t>
      </w:r>
      <w:r>
        <w:rPr>
          <w:rStyle w:val="Strong"/>
          <w:rFonts w:ascii="Arial" w:hAnsi="Arial" w:cs="Arial"/>
          <w:b w:val="0"/>
          <w:bCs w:val="0"/>
          <w:sz w:val="20"/>
          <w:szCs w:val="20"/>
        </w:rPr>
        <w:t>equity in access, sustained public investment, and adaptive governance</w:t>
      </w:r>
      <w:r>
        <w:rPr>
          <w:rFonts w:ascii="Arial" w:hAnsi="Arial" w:cs="Arial"/>
          <w:sz w:val="20"/>
          <w:szCs w:val="20"/>
        </w:rPr>
        <w:t xml:space="preserve"> will be decisive in determining whether South India’s successes can be replicated nationally (Choudhury et al., 2023; Das et al., 2023; Mani &amp; Sharma, 2024).</w:t>
      </w:r>
    </w:p>
    <w:p w14:paraId="433E3D94" w14:textId="77777777" w:rsidR="00D604FB" w:rsidRDefault="00D604FB">
      <w:pPr>
        <w:pStyle w:val="NormalWeb"/>
        <w:jc w:val="both"/>
        <w:rPr>
          <w:rFonts w:ascii="Arial" w:hAnsi="Arial" w:cs="Arial"/>
          <w:sz w:val="20"/>
          <w:szCs w:val="20"/>
        </w:rPr>
      </w:pPr>
    </w:p>
    <w:p w14:paraId="45CD1D59" w14:textId="795EC3B4" w:rsidR="00D604FB" w:rsidRDefault="00341B07">
      <w:pPr>
        <w:spacing w:after="240" w:line="275" w:lineRule="auto"/>
        <w:rPr>
          <w:rFonts w:ascii="Arial" w:eastAsia="Google Sans Text" w:hAnsi="Arial" w:cs="Arial"/>
          <w:b/>
          <w:bCs/>
          <w:iCs/>
        </w:rPr>
      </w:pPr>
      <w:r>
        <w:rPr>
          <w:rFonts w:ascii="Arial" w:eastAsia="Google Sans Text" w:hAnsi="Arial" w:cs="Arial"/>
          <w:b/>
          <w:bCs/>
          <w:iCs/>
        </w:rPr>
        <w:t xml:space="preserve">Table </w:t>
      </w:r>
      <w:r w:rsidR="00465FEA">
        <w:rPr>
          <w:rFonts w:ascii="Arial" w:eastAsia="Google Sans Text" w:hAnsi="Arial" w:cs="Arial"/>
          <w:b/>
          <w:bCs/>
          <w:iCs/>
        </w:rPr>
        <w:t>2</w:t>
      </w:r>
      <w:r>
        <w:rPr>
          <w:rFonts w:ascii="Arial" w:eastAsia="Google Sans Text" w:hAnsi="Arial" w:cs="Arial"/>
          <w:b/>
          <w:bCs/>
          <w:iCs/>
        </w:rPr>
        <w:t>. Comparative Education Metrics: South India vs. All-India</w:t>
      </w:r>
    </w:p>
    <w:tbl>
      <w:tblPr>
        <w:tblStyle w:val="Style12"/>
        <w:tblW w:w="831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566"/>
        <w:gridCol w:w="1108"/>
        <w:gridCol w:w="1193"/>
        <w:gridCol w:w="1194"/>
        <w:gridCol w:w="1011"/>
        <w:gridCol w:w="1240"/>
      </w:tblGrid>
      <w:tr w:rsidR="00D604FB" w14:paraId="2B8B45C1" w14:textId="77777777">
        <w:trPr>
          <w:trHeight w:val="595"/>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8EBBD37" w14:textId="77777777" w:rsidR="00D604FB" w:rsidRDefault="00341B07">
            <w:pPr>
              <w:spacing w:before="120" w:after="120" w:line="275" w:lineRule="auto"/>
              <w:rPr>
                <w:rFonts w:ascii="Arial" w:eastAsia="Google Sans Text" w:hAnsi="Arial" w:cs="Arial"/>
                <w:b/>
                <w:bCs/>
              </w:rPr>
            </w:pPr>
            <w:r>
              <w:rPr>
                <w:rFonts w:ascii="Arial" w:hAnsi="Arial" w:cs="Arial"/>
                <w:b/>
                <w:bCs/>
              </w:rPr>
              <w:lastRenderedPageBreak/>
              <w:t>Metric</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36C6D7AC" w14:textId="77777777" w:rsidR="00D604FB" w:rsidRDefault="00341B07">
            <w:pPr>
              <w:spacing w:before="120" w:after="120" w:line="275" w:lineRule="auto"/>
              <w:rPr>
                <w:rFonts w:ascii="Arial" w:eastAsia="Google Sans Text" w:hAnsi="Arial" w:cs="Arial"/>
                <w:b/>
                <w:bCs/>
              </w:rPr>
            </w:pPr>
            <w:r>
              <w:rPr>
                <w:rFonts w:ascii="Arial" w:hAnsi="Arial" w:cs="Arial"/>
                <w:b/>
                <w:bCs/>
              </w:rPr>
              <w:t>Kerala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054CC285" w14:textId="77777777" w:rsidR="00D604FB" w:rsidRDefault="00341B07">
            <w:pPr>
              <w:spacing w:before="120" w:after="120" w:line="275" w:lineRule="auto"/>
              <w:rPr>
                <w:rFonts w:ascii="Arial" w:eastAsia="Google Sans Text" w:hAnsi="Arial" w:cs="Arial"/>
                <w:b/>
                <w:bCs/>
              </w:rPr>
            </w:pPr>
            <w:r>
              <w:rPr>
                <w:rFonts w:ascii="Arial" w:hAnsi="Arial" w:cs="Arial"/>
                <w:b/>
                <w:bCs/>
              </w:rPr>
              <w:t>Tamil Nadu</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CCF2468" w14:textId="77777777" w:rsidR="00D604FB" w:rsidRDefault="00341B07">
            <w:pPr>
              <w:spacing w:before="120" w:after="120" w:line="275" w:lineRule="auto"/>
              <w:rPr>
                <w:rFonts w:ascii="Arial" w:eastAsia="Google Sans Text" w:hAnsi="Arial" w:cs="Arial"/>
                <w:b/>
                <w:bCs/>
              </w:rPr>
            </w:pPr>
            <w:r>
              <w:rPr>
                <w:rFonts w:ascii="Arial" w:hAnsi="Arial" w:cs="Arial"/>
                <w:b/>
                <w:bCs/>
              </w:rPr>
              <w:t>Andhra Pradesh</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1B49D8B" w14:textId="77777777" w:rsidR="00D604FB" w:rsidRDefault="00341B07">
            <w:pPr>
              <w:spacing w:before="120" w:after="120" w:line="275" w:lineRule="auto"/>
              <w:rPr>
                <w:rFonts w:ascii="Arial" w:eastAsia="Google Sans Text" w:hAnsi="Arial" w:cs="Arial"/>
                <w:b/>
                <w:bCs/>
              </w:rPr>
            </w:pPr>
            <w:r>
              <w:rPr>
                <w:rFonts w:ascii="Arial" w:hAnsi="Arial" w:cs="Arial"/>
                <w:b/>
                <w:bCs/>
              </w:rPr>
              <w:t>Karnataka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90CCFC2" w14:textId="77777777" w:rsidR="00D604FB" w:rsidRDefault="00341B07">
            <w:pPr>
              <w:spacing w:before="120" w:after="120" w:line="275" w:lineRule="auto"/>
              <w:rPr>
                <w:rFonts w:ascii="Arial" w:eastAsia="Google Sans Text" w:hAnsi="Arial" w:cs="Arial"/>
                <w:b/>
                <w:bCs/>
              </w:rPr>
            </w:pPr>
            <w:r>
              <w:rPr>
                <w:rFonts w:ascii="Arial" w:hAnsi="Arial" w:cs="Arial"/>
                <w:b/>
                <w:bCs/>
              </w:rPr>
              <w:t>All-India Average</w:t>
            </w:r>
          </w:p>
        </w:tc>
      </w:tr>
      <w:tr w:rsidR="00D604FB" w14:paraId="66ED439A" w14:textId="77777777">
        <w:trPr>
          <w:trHeight w:val="644"/>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18FFD5C2" w14:textId="77777777" w:rsidR="00D604FB" w:rsidRDefault="00341B07">
            <w:pPr>
              <w:spacing w:line="275" w:lineRule="auto"/>
              <w:rPr>
                <w:rFonts w:ascii="Arial" w:eastAsia="Google Sans Text" w:hAnsi="Arial" w:cs="Arial"/>
                <w:vertAlign w:val="superscript"/>
              </w:rPr>
            </w:pPr>
            <w:r>
              <w:rPr>
                <w:rStyle w:val="Strong"/>
                <w:rFonts w:ascii="Arial" w:hAnsi="Arial" w:cs="Arial"/>
                <w:b w:val="0"/>
                <w:bCs w:val="0"/>
              </w:rPr>
              <w:t>Literacy Rate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29B82262" w14:textId="77777777" w:rsidR="00D604FB" w:rsidRDefault="00341B07">
            <w:pPr>
              <w:spacing w:before="120" w:after="120" w:line="275" w:lineRule="auto"/>
              <w:rPr>
                <w:rFonts w:ascii="Arial" w:eastAsia="Google Sans Text" w:hAnsi="Arial" w:cs="Arial"/>
              </w:rPr>
            </w:pPr>
            <w:r>
              <w:rPr>
                <w:rFonts w:ascii="Arial" w:hAnsi="Arial" w:cs="Arial"/>
              </w:rPr>
              <w:t>95.3% (2024)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180BD834" w14:textId="77777777" w:rsidR="00D604FB" w:rsidRDefault="00341B07">
            <w:pPr>
              <w:spacing w:before="120" w:after="120" w:line="275" w:lineRule="auto"/>
              <w:rPr>
                <w:rFonts w:ascii="Arial" w:eastAsia="Google Sans Text" w:hAnsi="Arial" w:cs="Arial"/>
              </w:rPr>
            </w:pPr>
            <w:r>
              <w:rPr>
                <w:rFonts w:ascii="Arial" w:hAnsi="Arial" w:cs="Arial"/>
              </w:rPr>
              <w:t>82.9% (2011)</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19720B20" w14:textId="77777777" w:rsidR="00D604FB" w:rsidRDefault="00341B07">
            <w:pPr>
              <w:spacing w:before="120" w:after="120" w:line="275" w:lineRule="auto"/>
              <w:rPr>
                <w:rFonts w:ascii="Arial" w:eastAsia="Google Sans Text" w:hAnsi="Arial" w:cs="Arial"/>
              </w:rPr>
            </w:pPr>
            <w:r>
              <w:rPr>
                <w:rFonts w:ascii="Arial" w:hAnsi="Arial" w:cs="Arial"/>
              </w:rPr>
              <w:t>72.6% (2024)</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472181FF" w14:textId="77777777" w:rsidR="00D604FB" w:rsidRDefault="00341B07">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B84F664" w14:textId="77777777" w:rsidR="00D604FB" w:rsidRDefault="00341B07">
            <w:pPr>
              <w:spacing w:before="120" w:after="120" w:line="275" w:lineRule="auto"/>
              <w:rPr>
                <w:rFonts w:ascii="Arial" w:eastAsia="Google Sans Text" w:hAnsi="Arial" w:cs="Arial"/>
              </w:rPr>
            </w:pPr>
            <w:r>
              <w:rPr>
                <w:rFonts w:ascii="Arial" w:hAnsi="Arial" w:cs="Arial"/>
              </w:rPr>
              <w:t>80.9% (2024)</w:t>
            </w:r>
          </w:p>
        </w:tc>
      </w:tr>
      <w:tr w:rsidR="00D604FB" w14:paraId="58B0A040" w14:textId="77777777">
        <w:trPr>
          <w:trHeight w:val="696"/>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37474CBA" w14:textId="77777777" w:rsidR="00D604FB" w:rsidRDefault="00341B07">
            <w:pPr>
              <w:spacing w:line="275" w:lineRule="auto"/>
              <w:rPr>
                <w:rFonts w:ascii="Arial" w:eastAsia="Google Sans Text" w:hAnsi="Arial" w:cs="Arial"/>
                <w:vertAlign w:val="superscript"/>
              </w:rPr>
            </w:pPr>
            <w:r>
              <w:rPr>
                <w:rStyle w:val="Strong"/>
                <w:rFonts w:ascii="Arial" w:hAnsi="Arial" w:cs="Arial"/>
                <w:b w:val="0"/>
                <w:bCs w:val="0"/>
              </w:rPr>
              <w:t>Public Education Spending (% of Total Expenditure)</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455756FC" w14:textId="77777777" w:rsidR="00D604FB" w:rsidRDefault="00341B07">
            <w:pPr>
              <w:spacing w:before="120" w:after="120" w:line="275" w:lineRule="auto"/>
              <w:rPr>
                <w:rFonts w:ascii="Arial" w:eastAsia="Google Sans Text" w:hAnsi="Arial" w:cs="Arial"/>
              </w:rPr>
            </w:pPr>
            <w:r>
              <w:rPr>
                <w:rFonts w:ascii="Arial" w:hAnsi="Arial" w:cs="Arial"/>
              </w:rPr>
              <w:t>13.4% (2022–23)</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42B0CC1A" w14:textId="77777777" w:rsidR="00D604FB" w:rsidRDefault="00341B07">
            <w:pPr>
              <w:spacing w:before="120" w:after="120" w:line="275" w:lineRule="auto"/>
              <w:rPr>
                <w:rFonts w:ascii="Arial" w:eastAsia="Google Sans Text" w:hAnsi="Arial" w:cs="Arial"/>
              </w:rPr>
            </w:pPr>
            <w:r>
              <w:rPr>
                <w:rFonts w:ascii="Arial" w:hAnsi="Arial" w:cs="Arial"/>
              </w:rPr>
              <w:t>12.58% (2025–26)</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1392D106" w14:textId="77777777" w:rsidR="00D604FB" w:rsidRDefault="00341B07">
            <w:pPr>
              <w:spacing w:before="120" w:after="120" w:line="275" w:lineRule="auto"/>
              <w:rPr>
                <w:rFonts w:ascii="Arial" w:eastAsia="Google Sans Text" w:hAnsi="Arial" w:cs="Arial"/>
              </w:rPr>
            </w:pPr>
            <w:r>
              <w:rPr>
                <w:rFonts w:ascii="Arial" w:hAnsi="Arial" w:cs="Arial"/>
              </w:rPr>
              <w:t>12.1% (2024–25)</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026982EA" w14:textId="77777777" w:rsidR="00D604FB" w:rsidRDefault="00341B07">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24CFF32C" w14:textId="77777777" w:rsidR="00D604FB" w:rsidRDefault="00341B07">
            <w:pPr>
              <w:spacing w:before="120" w:after="120" w:line="275" w:lineRule="auto"/>
              <w:rPr>
                <w:rFonts w:ascii="Arial" w:eastAsia="Google Sans Text" w:hAnsi="Arial" w:cs="Arial"/>
              </w:rPr>
            </w:pPr>
            <w:r>
              <w:rPr>
                <w:rFonts w:ascii="Arial" w:hAnsi="Arial" w:cs="Arial"/>
              </w:rPr>
              <w:t>14.8% (2022–23)</w:t>
            </w:r>
          </w:p>
        </w:tc>
      </w:tr>
      <w:tr w:rsidR="00D604FB" w14:paraId="4BC5545B" w14:textId="77777777">
        <w:trPr>
          <w:trHeight w:val="592"/>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0B0089C0" w14:textId="77777777" w:rsidR="00D604FB" w:rsidRDefault="00341B07">
            <w:pPr>
              <w:spacing w:line="275" w:lineRule="auto"/>
              <w:rPr>
                <w:rFonts w:ascii="Arial" w:eastAsia="Google Sans Text" w:hAnsi="Arial" w:cs="Arial"/>
                <w:vertAlign w:val="superscript"/>
              </w:rPr>
            </w:pPr>
            <w:r>
              <w:rPr>
                <w:rStyle w:val="Strong"/>
                <w:rFonts w:ascii="Arial" w:hAnsi="Arial" w:cs="Arial"/>
                <w:b w:val="0"/>
                <w:bCs w:val="0"/>
              </w:rPr>
              <w:t>Gross Enrolment Ratio (GER) – Secondary Level</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2EB13DB4" w14:textId="77777777" w:rsidR="00D604FB" w:rsidRDefault="00341B07">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098E9A5" w14:textId="77777777" w:rsidR="00D604FB" w:rsidRDefault="00341B07">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548552D" w14:textId="77777777" w:rsidR="00D604FB" w:rsidRDefault="00341B07">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22F89151" w14:textId="77777777" w:rsidR="00D604FB" w:rsidRDefault="00341B07">
            <w:pPr>
              <w:spacing w:before="120" w:after="120" w:line="275" w:lineRule="auto"/>
              <w:rPr>
                <w:rFonts w:ascii="Arial" w:eastAsia="Google Sans Text" w:hAnsi="Arial" w:cs="Arial"/>
              </w:rPr>
            </w:pPr>
            <w:r>
              <w:rPr>
                <w:rFonts w:ascii="Arial" w:hAnsi="Arial" w:cs="Arial"/>
              </w:rPr>
              <w:t>N/A</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34EB8E78" w14:textId="77777777" w:rsidR="00D604FB" w:rsidRDefault="00341B07">
            <w:pPr>
              <w:spacing w:before="120" w:after="120" w:line="275" w:lineRule="auto"/>
              <w:rPr>
                <w:rFonts w:ascii="Arial" w:eastAsia="Google Sans Text" w:hAnsi="Arial" w:cs="Arial"/>
              </w:rPr>
            </w:pPr>
            <w:r>
              <w:rPr>
                <w:rFonts w:ascii="Arial" w:hAnsi="Arial" w:cs="Arial"/>
              </w:rPr>
              <w:t>79.6% (2021–22)</w:t>
            </w:r>
          </w:p>
        </w:tc>
      </w:tr>
      <w:tr w:rsidR="00D604FB" w14:paraId="3390E970" w14:textId="77777777">
        <w:trPr>
          <w:trHeight w:val="654"/>
        </w:trPr>
        <w:tc>
          <w:tcPr>
            <w:tcW w:w="2565" w:type="dxa"/>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6C41FAD3" w14:textId="77777777" w:rsidR="00D604FB" w:rsidRDefault="00341B07">
            <w:pPr>
              <w:spacing w:line="275" w:lineRule="auto"/>
              <w:rPr>
                <w:rFonts w:ascii="Arial" w:eastAsia="Google Sans Text" w:hAnsi="Arial" w:cs="Arial"/>
                <w:vertAlign w:val="superscript"/>
              </w:rPr>
            </w:pPr>
            <w:r>
              <w:rPr>
                <w:rStyle w:val="Strong"/>
                <w:rFonts w:ascii="Arial" w:hAnsi="Arial" w:cs="Arial"/>
                <w:b w:val="0"/>
                <w:bCs w:val="0"/>
              </w:rPr>
              <w:t>Rural Education Inequality (Gini Coefficient)</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3A4073B4" w14:textId="77777777" w:rsidR="00D604FB" w:rsidRDefault="00341B07">
            <w:pPr>
              <w:spacing w:before="120" w:after="120" w:line="275" w:lineRule="auto"/>
              <w:rPr>
                <w:rFonts w:ascii="Arial" w:eastAsia="Google Sans Text" w:hAnsi="Arial" w:cs="Arial"/>
              </w:rPr>
            </w:pPr>
            <w:r>
              <w:rPr>
                <w:rFonts w:ascii="Arial" w:hAnsi="Arial" w:cs="Arial"/>
              </w:rPr>
              <w:t>0.24 (2019)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55A38E64" w14:textId="77777777" w:rsidR="00D604FB" w:rsidRDefault="00341B07">
            <w:pPr>
              <w:spacing w:before="120" w:after="120" w:line="275" w:lineRule="auto"/>
              <w:rPr>
                <w:rFonts w:ascii="Arial" w:eastAsia="Google Sans Text" w:hAnsi="Arial" w:cs="Arial"/>
              </w:rPr>
            </w:pPr>
            <w:r>
              <w:rPr>
                <w:rFonts w:ascii="Arial" w:hAnsi="Arial" w:cs="Arial"/>
              </w:rPr>
              <w:t>0.35 (2019)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7E9A6F89" w14:textId="77777777" w:rsidR="00D604FB" w:rsidRDefault="00341B07">
            <w:pPr>
              <w:spacing w:before="120" w:after="120" w:line="275" w:lineRule="auto"/>
              <w:rPr>
                <w:rFonts w:ascii="Arial" w:eastAsia="Google Sans Text" w:hAnsi="Arial" w:cs="Arial"/>
              </w:rPr>
            </w:pPr>
            <w:r>
              <w:rPr>
                <w:rFonts w:ascii="Arial" w:hAnsi="Arial" w:cs="Arial"/>
              </w:rPr>
              <w:t>0.50 (2019)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05B5D97A" w14:textId="77777777" w:rsidR="00D604FB" w:rsidRDefault="00341B07">
            <w:pPr>
              <w:spacing w:before="120" w:after="120" w:line="275" w:lineRule="auto"/>
              <w:rPr>
                <w:rFonts w:ascii="Arial" w:eastAsia="Google Sans Text" w:hAnsi="Arial" w:cs="Arial"/>
              </w:rPr>
            </w:pPr>
            <w:r>
              <w:rPr>
                <w:rFonts w:ascii="Arial" w:hAnsi="Arial" w:cs="Arial"/>
              </w:rPr>
              <w:t>0.44 (2019)</w:t>
            </w:r>
          </w:p>
        </w:tc>
        <w:tc>
          <w:tcPr>
            <w:tcW w:w="0" w:type="auto"/>
            <w:tcBorders>
              <w:top w:val="single" w:sz="6" w:space="0" w:color="000000"/>
              <w:left w:val="single" w:sz="6" w:space="0" w:color="000000"/>
              <w:bottom w:val="single" w:sz="6" w:space="0" w:color="000000"/>
              <w:right w:val="single" w:sz="6" w:space="0" w:color="000000"/>
            </w:tcBorders>
            <w:shd w:val="clear" w:color="auto" w:fill="F8FAFD"/>
            <w:tcMar>
              <w:top w:w="0" w:type="dxa"/>
              <w:left w:w="0" w:type="dxa"/>
              <w:bottom w:w="0" w:type="dxa"/>
              <w:right w:w="0" w:type="dxa"/>
            </w:tcMar>
            <w:vAlign w:val="center"/>
          </w:tcPr>
          <w:p w14:paraId="2C64D6CB" w14:textId="77777777" w:rsidR="00D604FB" w:rsidRDefault="00341B07">
            <w:pPr>
              <w:spacing w:before="120" w:after="120" w:line="275" w:lineRule="auto"/>
              <w:rPr>
                <w:rFonts w:ascii="Arial" w:eastAsia="Google Sans Text" w:hAnsi="Arial" w:cs="Arial"/>
              </w:rPr>
            </w:pPr>
            <w:r>
              <w:rPr>
                <w:rFonts w:ascii="Arial" w:hAnsi="Arial" w:cs="Arial"/>
              </w:rPr>
              <w:t>N/A</w:t>
            </w:r>
          </w:p>
        </w:tc>
      </w:tr>
    </w:tbl>
    <w:p w14:paraId="5958304C" w14:textId="77777777" w:rsidR="00D604FB" w:rsidRDefault="00D604FB">
      <w:pPr>
        <w:pStyle w:val="Heading2"/>
        <w:spacing w:before="0" w:after="120" w:line="275" w:lineRule="auto"/>
        <w:rPr>
          <w:rFonts w:ascii="Arial" w:eastAsia="Google Sans Text" w:hAnsi="Arial" w:cs="Arial"/>
          <w:b w:val="0"/>
          <w:bCs/>
          <w:iCs/>
          <w:sz w:val="24"/>
          <w:szCs w:val="24"/>
        </w:rPr>
      </w:pPr>
    </w:p>
    <w:p w14:paraId="2741BFCF" w14:textId="77777777" w:rsidR="00D604FB" w:rsidRDefault="00341B07">
      <w:pPr>
        <w:spacing w:after="240" w:line="275" w:lineRule="auto"/>
        <w:jc w:val="both"/>
        <w:rPr>
          <w:rFonts w:ascii="Arial" w:eastAsia="Google Sans Text" w:hAnsi="Arial" w:cs="Arial"/>
          <w:iCs/>
        </w:rPr>
      </w:pPr>
      <w:r>
        <w:rPr>
          <w:rFonts w:ascii="Arial" w:eastAsia="Google Sans Text" w:hAnsi="Arial" w:cs="Arial"/>
          <w:iCs/>
        </w:rPr>
        <w:t>Table 2 exposes pronounced disparities in educational outcomes across South Indian states, driven by literacy levels, budgetary commitment, and equity considerations. Kerala leads with a 95.3 percent literacy rate in 2024—well above the 80.9 percent national average—reflecting its sustained emphasis on human development (PLFS, 2025). Tamil Nadu, by contrast, still relies on its 2011 Census figure of 82.9 percent, pointing to delays in current data despite strong enrolment growth and welfare programmes (</w:t>
      </w:r>
      <w:r w:rsidRPr="002F2B6F">
        <w:rPr>
          <w:rFonts w:ascii="Arial" w:eastAsia="Google Sans Text" w:hAnsi="Arial" w:cs="Arial"/>
          <w:iCs/>
          <w:highlight w:val="red"/>
        </w:rPr>
        <w:t>Government of Tamil Nadu, 2025</w:t>
      </w:r>
      <w:r>
        <w:rPr>
          <w:rFonts w:ascii="Arial" w:eastAsia="Google Sans Text" w:hAnsi="Arial" w:cs="Arial"/>
          <w:iCs/>
        </w:rPr>
        <w:t>).</w:t>
      </w:r>
    </w:p>
    <w:p w14:paraId="206826C4" w14:textId="1EFE57A7" w:rsidR="00D604FB" w:rsidRDefault="00341B07">
      <w:pPr>
        <w:spacing w:after="240" w:line="275" w:lineRule="auto"/>
        <w:jc w:val="both"/>
        <w:rPr>
          <w:rFonts w:ascii="Arial" w:hAnsi="Arial" w:cs="Arial"/>
          <w:lang w:val="en-PH" w:eastAsia="en-PH"/>
        </w:rPr>
      </w:pPr>
      <w:r>
        <w:rPr>
          <w:rFonts w:ascii="Arial" w:eastAsia="Google Sans Text" w:hAnsi="Arial" w:cs="Arial"/>
          <w:iCs/>
        </w:rPr>
        <w:t>State allocations for public education also differ. In 2022–23, Kerala dedicated 13.4 percent of its total expenditure to education, while Andhra Pradesh and Tamil Nadu have projected 12.1 percent and 12.58 percent respectively—each below the 14.8 percent national benchmark (</w:t>
      </w:r>
      <w:r w:rsidRPr="00985645">
        <w:rPr>
          <w:rFonts w:ascii="Arial" w:eastAsia="Google Sans Text" w:hAnsi="Arial" w:cs="Arial"/>
          <w:iCs/>
          <w:highlight w:val="red"/>
        </w:rPr>
        <w:t>Government of Andhra Pradesh, 2024; Government of Kerala, 2024;</w:t>
      </w:r>
      <w:r>
        <w:rPr>
          <w:rFonts w:ascii="Arial" w:eastAsia="Google Sans Text" w:hAnsi="Arial" w:cs="Arial"/>
          <w:iCs/>
        </w:rPr>
        <w:t xml:space="preserve"> </w:t>
      </w:r>
      <w:r w:rsidRPr="00B35273">
        <w:rPr>
          <w:rFonts w:ascii="Arial" w:eastAsia="Google Sans Text" w:hAnsi="Arial" w:cs="Arial"/>
          <w:iCs/>
          <w:highlight w:val="red"/>
        </w:rPr>
        <w:t>PRS Legislative Research, 2025</w:t>
      </w:r>
      <w:r>
        <w:rPr>
          <w:rFonts w:ascii="Arial" w:eastAsia="Google Sans Text" w:hAnsi="Arial" w:cs="Arial"/>
          <w:iCs/>
        </w:rPr>
        <w:t>). Yet enrolment and access rates remain high, suggesting that policy stability and effective administration can offset lower funding levels.</w:t>
      </w:r>
      <w:r>
        <w:rPr>
          <w:rFonts w:ascii="Arial" w:eastAsia="Google Sans Text" w:hAnsi="Arial" w:cs="Arial"/>
          <w:iCs/>
        </w:rPr>
        <w:br/>
      </w:r>
      <w:r>
        <w:rPr>
          <w:rFonts w:ascii="Arial" w:eastAsia="Google Sans Text" w:hAnsi="Arial" w:cs="Arial"/>
          <w:iCs/>
        </w:rPr>
        <w:br/>
        <w:t>Equity metrics further distinguish performance. Kerala’s rural education Gini coefficient of 0.24 indicates more equitable access compared to Andhra Pradesh (0.50) and Karnataka (0.44), highlighting ongoing structural barriers (Jha &amp; Parvati, 2019). Recent studies confirm that rural–urban divides, gender gaps, and caste-based exclusion continue to impede fair educational opportunities (Choudhury et al., 2023; Das et al., 2023). Choudhury, Joshi, and Kumar (2023) show that household income, geo</w:t>
      </w:r>
      <w:r w:rsidR="00465FEA" w:rsidRPr="00465FEA">
        <w:t xml:space="preserve"> </w:t>
      </w:r>
      <w:r w:rsidR="00465FEA" w:rsidRPr="00465FEA">
        <w:rPr>
          <w:rFonts w:ascii="Arial" w:eastAsia="Google Sans Text" w:hAnsi="Arial" w:cs="Arial"/>
          <w:iCs/>
        </w:rPr>
        <w:t>pic</w:t>
      </w:r>
      <w:r w:rsidR="00465FEA" w:rsidRPr="00465FEA">
        <w:t xml:space="preserve"> </w:t>
      </w:r>
      <w:r w:rsidR="00465FEA" w:rsidRPr="00465FEA">
        <w:rPr>
          <w:rFonts w:ascii="Arial" w:eastAsia="Google Sans Text" w:hAnsi="Arial" w:cs="Arial"/>
          <w:iCs/>
        </w:rPr>
        <w:t>Appen</w:t>
      </w:r>
      <w:r>
        <w:rPr>
          <w:rFonts w:ascii="Arial" w:eastAsia="Google Sans Text" w:hAnsi="Arial" w:cs="Arial"/>
          <w:iCs/>
        </w:rPr>
        <w:t>y, and parental education still shape pre-primary access, underlining the need for targeted equity interventions.</w:t>
      </w:r>
    </w:p>
    <w:p w14:paraId="56A3FA61" w14:textId="77777777" w:rsidR="00D604FB" w:rsidRDefault="00341B07">
      <w:pPr>
        <w:pStyle w:val="Heading2"/>
        <w:numPr>
          <w:ilvl w:val="0"/>
          <w:numId w:val="2"/>
        </w:numPr>
        <w:spacing w:before="0" w:after="120" w:line="275" w:lineRule="auto"/>
        <w:rPr>
          <w:rFonts w:ascii="Arial" w:eastAsia="Google Sans" w:hAnsi="Arial" w:cs="Arial"/>
          <w:sz w:val="22"/>
          <w:szCs w:val="22"/>
        </w:rPr>
      </w:pPr>
      <w:r>
        <w:rPr>
          <w:rFonts w:ascii="Arial" w:eastAsia="Google Sans" w:hAnsi="Arial" w:cs="Arial"/>
          <w:sz w:val="22"/>
          <w:szCs w:val="22"/>
        </w:rPr>
        <w:t>CONCLUSION</w:t>
      </w:r>
    </w:p>
    <w:p w14:paraId="6BC93886" w14:textId="77777777" w:rsidR="00D604FB" w:rsidRDefault="00341B07">
      <w:pPr>
        <w:pStyle w:val="ReferHead"/>
        <w:jc w:val="both"/>
        <w:rPr>
          <w:rFonts w:ascii="Arial" w:hAnsi="Arial"/>
          <w:b w:val="0"/>
          <w:caps w:val="0"/>
          <w:sz w:val="20"/>
        </w:rPr>
      </w:pPr>
      <w:r>
        <w:rPr>
          <w:rFonts w:ascii="Arial" w:hAnsi="Arial"/>
          <w:b w:val="0"/>
          <w:caps w:val="0"/>
          <w:sz w:val="20"/>
        </w:rPr>
        <w:t xml:space="preserve">India’s educational journey reflects a complex interplay between tradition and transformation. From the pluralistic Gurukul and madrasa systems of the pre-colonial era to the Anglicized frameworks of the colonial period, and finally to the reformist impulses of the post-independence state, education has continually been a site of negotiation between continuity and change (Sheikh, 2021; Choudhury &amp; Kumar, 2023). The National Education Policy (NEP) 2025 exemplifies this duality by integrating holistic, multidisciplinary approaches with digitalization and global competitiveness, while also affirming India’s cultural and linguistic heritage (Ghosh &amp; Kumar, 2021; Sardar &amp; Das, 2024). Similarly, regional experiences, particularly in South India, highlight the role of localized governance, social reform, and pedagogical innovation in producing comparatively stronger outcomes (Varghese &amp; Tilak, </w:t>
      </w:r>
      <w:r>
        <w:rPr>
          <w:rFonts w:ascii="Arial" w:hAnsi="Arial"/>
          <w:b w:val="0"/>
          <w:caps w:val="0"/>
          <w:sz w:val="20"/>
        </w:rPr>
        <w:lastRenderedPageBreak/>
        <w:t>2021; Mani &amp; Sharma, 2024). These variations underscore that education in India is not a uniform trajectory, but a layered process shaped by historical, cultural, and political contexts.</w:t>
      </w:r>
    </w:p>
    <w:p w14:paraId="218A4BFE" w14:textId="77777777" w:rsidR="00D604FB" w:rsidRDefault="00341B07">
      <w:pPr>
        <w:pStyle w:val="ReferHead"/>
        <w:jc w:val="both"/>
        <w:rPr>
          <w:rFonts w:ascii="Arial" w:hAnsi="Arial"/>
          <w:b w:val="0"/>
          <w:caps w:val="0"/>
          <w:sz w:val="20"/>
        </w:rPr>
      </w:pPr>
      <w:r>
        <w:rPr>
          <w:rFonts w:ascii="Arial" w:hAnsi="Arial"/>
          <w:b w:val="0"/>
          <w:caps w:val="0"/>
          <w:sz w:val="20"/>
        </w:rPr>
        <w:t>At the same time, persistent inequities in access, digital inclusion, gender parity, and rural–urban divides reveal that systemic challenges remain unresolved (Das et al., 2023; Choudhury et al., 2023). Despite policy innovations, disparities in resource allocation and implementation hinder the realization of equity and quality across all strata of society (Ramesh, 2022; Menon, 2024). Importantly, this study is limited by its reliance on secondary literature and policy documents, without incorporating empirical field data or longitudinal learner outcomes. As such, while it provides a broad interpretive synthesis of India’s educational evolution, further research grounded in primary data is necessary to evaluate the actual impact of contemporary reforms such as the NEP 2020 and state-level policies.</w:t>
      </w:r>
    </w:p>
    <w:p w14:paraId="5192048C" w14:textId="77777777" w:rsidR="00D604FB" w:rsidRDefault="00341B07">
      <w:pPr>
        <w:pStyle w:val="ReferHead"/>
        <w:spacing w:after="0"/>
        <w:jc w:val="both"/>
        <w:rPr>
          <w:rFonts w:ascii="Arial" w:hAnsi="Arial"/>
          <w:b w:val="0"/>
          <w:caps w:val="0"/>
          <w:sz w:val="20"/>
        </w:rPr>
      </w:pPr>
      <w:r>
        <w:rPr>
          <w:rFonts w:ascii="Arial" w:hAnsi="Arial"/>
          <w:b w:val="0"/>
          <w:caps w:val="0"/>
          <w:sz w:val="20"/>
        </w:rPr>
        <w:t>Ultimately, India’s educational trajectory illustrates the ongoing challenge of balancing inherited traditions with transformative imperatives. Its success will depend not only on visionary policies but also on equitable implementation, sustained public investment, and a commitment to inclusive pedagogical practices that ensure education serves as both a bridge to modernity and a custodian of cultural identity (Kumar, 2023; Verma, 2021).</w:t>
      </w:r>
    </w:p>
    <w:p w14:paraId="69C54E51" w14:textId="77777777" w:rsidR="00D604FB" w:rsidRDefault="00D604FB">
      <w:pPr>
        <w:pStyle w:val="ReferHead"/>
        <w:spacing w:after="0"/>
        <w:rPr>
          <w:rFonts w:ascii="Arial" w:hAnsi="Arial" w:cs="Arial"/>
        </w:rPr>
      </w:pPr>
    </w:p>
    <w:p w14:paraId="03A3C683" w14:textId="77777777" w:rsidR="00D604FB" w:rsidRDefault="00D604FB">
      <w:pPr>
        <w:rPr>
          <w:rFonts w:ascii="Arial" w:hAnsi="Arial"/>
          <w:sz w:val="24"/>
          <w:szCs w:val="24"/>
        </w:rPr>
      </w:pPr>
    </w:p>
    <w:p w14:paraId="3D0350B4" w14:textId="77777777" w:rsidR="00D604FB" w:rsidRDefault="00341B07">
      <w:pPr>
        <w:rPr>
          <w:rFonts w:ascii="Arial" w:hAnsi="Arial" w:cs="Arial"/>
          <w:b/>
          <w:sz w:val="22"/>
          <w:szCs w:val="22"/>
        </w:rPr>
      </w:pPr>
      <w:r>
        <w:rPr>
          <w:rFonts w:ascii="Arial" w:hAnsi="Arial" w:cs="Arial"/>
          <w:b/>
          <w:sz w:val="22"/>
          <w:szCs w:val="22"/>
        </w:rPr>
        <w:t>COMPETING INTERESTS</w:t>
      </w:r>
    </w:p>
    <w:p w14:paraId="433BDD4F" w14:textId="77777777" w:rsidR="00D604FB" w:rsidRDefault="00D604FB">
      <w:pPr>
        <w:rPr>
          <w:rFonts w:ascii="Arial" w:hAnsi="Arial" w:cs="Arial"/>
          <w:b/>
          <w:sz w:val="24"/>
          <w:szCs w:val="24"/>
        </w:rPr>
      </w:pPr>
    </w:p>
    <w:p w14:paraId="6AA60A52" w14:textId="77777777" w:rsidR="00D604FB" w:rsidRDefault="00341B07">
      <w:pPr>
        <w:rPr>
          <w:rFonts w:ascii="Arial" w:hAnsi="Arial" w:cs="Arial"/>
        </w:rPr>
      </w:pPr>
      <w:r>
        <w:rPr>
          <w:rFonts w:ascii="Arial" w:hAnsi="Arial" w:cs="Arial"/>
        </w:rPr>
        <w:t>“Authors have declared that no competing interests exist.”</w:t>
      </w:r>
    </w:p>
    <w:p w14:paraId="687A3268" w14:textId="77777777" w:rsidR="00B411B5" w:rsidRDefault="00B411B5">
      <w:pPr>
        <w:rPr>
          <w:rFonts w:ascii="Arial" w:hAnsi="Arial" w:cs="Arial"/>
        </w:rPr>
      </w:pPr>
    </w:p>
    <w:p w14:paraId="13B03E77" w14:textId="77777777" w:rsidR="00B411B5" w:rsidRPr="00B411B5" w:rsidRDefault="00B411B5" w:rsidP="00B411B5">
      <w:pPr>
        <w:rPr>
          <w:rFonts w:ascii="Arial" w:hAnsi="Arial" w:cs="Arial"/>
        </w:rPr>
      </w:pPr>
      <w:r w:rsidRPr="00B411B5">
        <w:rPr>
          <w:rFonts w:ascii="Arial" w:hAnsi="Arial" w:cs="Arial"/>
        </w:rPr>
        <w:t>COMPETING INTERESTS DISCLAIMER:</w:t>
      </w:r>
    </w:p>
    <w:p w14:paraId="62412CBB" w14:textId="6B5928C7" w:rsidR="00B411B5" w:rsidRDefault="00B411B5" w:rsidP="00B411B5">
      <w:pPr>
        <w:rPr>
          <w:rFonts w:ascii="Arial" w:hAnsi="Arial" w:cs="Arial"/>
        </w:rPr>
      </w:pPr>
      <w:r w:rsidRPr="00B411B5">
        <w:rPr>
          <w:rFonts w:ascii="Arial" w:hAnsi="Arial" w:cs="Arial"/>
        </w:rPr>
        <w:t>Authors have declared that they have no known competing financial interests OR non-financial interests OR personal relationships that could have appeared to influence the work reported in this paper.</w:t>
      </w:r>
    </w:p>
    <w:p w14:paraId="7EE6D7D5" w14:textId="77777777" w:rsidR="00D604FB" w:rsidRDefault="00D604FB">
      <w:pPr>
        <w:pStyle w:val="Heading2"/>
        <w:spacing w:before="0" w:after="120" w:line="275" w:lineRule="auto"/>
        <w:rPr>
          <w:rFonts w:ascii="Arial" w:eastAsia="Google Sans" w:hAnsi="Arial" w:cs="Arial"/>
          <w:sz w:val="24"/>
          <w:szCs w:val="24"/>
        </w:rPr>
      </w:pPr>
    </w:p>
    <w:p w14:paraId="258D2A8A" w14:textId="77777777" w:rsidR="00D00FAB" w:rsidRDefault="00D00FAB" w:rsidP="00D00FAB">
      <w:pPr>
        <w:pStyle w:val="Heading2"/>
        <w:spacing w:before="0" w:after="120" w:line="275" w:lineRule="auto"/>
        <w:rPr>
          <w:rFonts w:ascii="Arial" w:eastAsia="Google Sans" w:hAnsi="Arial" w:cs="Arial"/>
          <w:sz w:val="22"/>
          <w:szCs w:val="22"/>
        </w:rPr>
      </w:pPr>
      <w:r>
        <w:rPr>
          <w:rFonts w:ascii="Arial" w:eastAsia="Google Sans" w:hAnsi="Arial" w:cs="Arial"/>
          <w:sz w:val="22"/>
          <w:szCs w:val="22"/>
        </w:rPr>
        <w:t>REFERENCES</w:t>
      </w:r>
    </w:p>
    <w:p w14:paraId="33A5C8C6" w14:textId="77777777" w:rsidR="00D00FAB" w:rsidRDefault="00D00FAB" w:rsidP="00D00FAB">
      <w:pPr>
        <w:ind w:left="720" w:hanging="720"/>
        <w:contextualSpacing/>
        <w:rPr>
          <w:rFonts w:ascii="Arial" w:hAnsi="Arial"/>
          <w:lang w:val="en-PH" w:eastAsia="en-PH"/>
        </w:rPr>
      </w:pPr>
      <w:r w:rsidRPr="002D71D4">
        <w:rPr>
          <w:rFonts w:ascii="Arial" w:hAnsi="Arial"/>
          <w:highlight w:val="green"/>
          <w:lang w:val="en-PH" w:eastAsia="en-PH"/>
        </w:rPr>
        <w:t>Aelterman, N., et al. (2021)</w:t>
      </w:r>
      <w:r>
        <w:rPr>
          <w:rFonts w:ascii="Arial" w:hAnsi="Arial"/>
          <w:lang w:val="en-PH" w:eastAsia="en-PH"/>
        </w:rPr>
        <w:t xml:space="preserve">. Need-supportive teaching is associated with greater reading achievement: What the Philippines can learn from PISA 2018. </w:t>
      </w:r>
      <w:commentRangeStart w:id="11"/>
      <w:r w:rsidRPr="0078082F">
        <w:rPr>
          <w:rFonts w:ascii="Arial" w:hAnsi="Arial"/>
          <w:i/>
          <w:iCs/>
          <w:lang w:val="en-PH" w:eastAsia="en-PH"/>
        </w:rPr>
        <w:t>International Journal of Educational Development, 83</w:t>
      </w:r>
      <w:commentRangeEnd w:id="11"/>
      <w:r>
        <w:rPr>
          <w:rStyle w:val="CommentReference"/>
          <w:rFonts w:ascii="Times New Roman" w:eastAsiaTheme="majorEastAsia" w:hAnsi="Times New Roman"/>
          <w:lang w:val="nb-NO" w:eastAsia="nb-NO"/>
        </w:rPr>
        <w:commentReference w:id="11"/>
      </w:r>
      <w:r>
        <w:rPr>
          <w:rFonts w:ascii="Arial" w:hAnsi="Arial"/>
          <w:lang w:val="en-PH" w:eastAsia="en-PH"/>
        </w:rPr>
        <w:t xml:space="preserve">, 102440. </w:t>
      </w:r>
      <w:hyperlink r:id="rId20" w:history="1">
        <w:r w:rsidRPr="00E77C10">
          <w:rPr>
            <w:rStyle w:val="Hyperlink"/>
            <w:rFonts w:ascii="Arial" w:hAnsi="Arial"/>
            <w:lang w:val="en-PH" w:eastAsia="en-PH"/>
          </w:rPr>
          <w:t>https://doi.org/10.1016/j.ijedudev.2021.102440</w:t>
        </w:r>
      </w:hyperlink>
    </w:p>
    <w:p w14:paraId="7A142932" w14:textId="77777777" w:rsidR="00D00FAB" w:rsidRDefault="00D00FAB" w:rsidP="00D00FAB">
      <w:pPr>
        <w:ind w:left="720" w:hanging="720"/>
        <w:contextualSpacing/>
        <w:rPr>
          <w:rFonts w:ascii="Arial" w:hAnsi="Arial"/>
          <w:lang w:val="en-PH" w:eastAsia="en-PH"/>
        </w:rPr>
      </w:pPr>
      <w:r w:rsidRPr="00070A88">
        <w:rPr>
          <w:rFonts w:ascii="Arial" w:hAnsi="Arial"/>
          <w:highlight w:val="green"/>
          <w:lang w:val="en-PH" w:eastAsia="en-PH"/>
        </w:rPr>
        <w:t>Aithal, P. S., &amp; Aithal, S. (2020).</w:t>
      </w:r>
      <w:r>
        <w:rPr>
          <w:rFonts w:ascii="Arial" w:hAnsi="Arial"/>
          <w:lang w:val="en-PH" w:eastAsia="en-PH"/>
        </w:rPr>
        <w:t xml:space="preserve"> Analysis of the Indian National Education Policy 2020 towards achieving its objectives. </w:t>
      </w:r>
      <w:r w:rsidRPr="00401CDE">
        <w:rPr>
          <w:rFonts w:ascii="Arial" w:hAnsi="Arial"/>
          <w:i/>
          <w:iCs/>
          <w:lang w:val="en-PH" w:eastAsia="en-PH"/>
        </w:rPr>
        <w:t>International Journal of Management, Technology and Social Sciences, 5</w:t>
      </w:r>
      <w:r>
        <w:rPr>
          <w:rFonts w:ascii="Arial" w:hAnsi="Arial"/>
          <w:lang w:val="en-PH" w:eastAsia="en-PH"/>
        </w:rPr>
        <w:t xml:space="preserve">(2), 19–41. </w:t>
      </w:r>
      <w:hyperlink r:id="rId21" w:history="1">
        <w:r w:rsidRPr="00E77C10">
          <w:rPr>
            <w:rStyle w:val="Hyperlink"/>
            <w:rFonts w:ascii="Arial" w:hAnsi="Arial"/>
            <w:lang w:val="en-PH" w:eastAsia="en-PH"/>
          </w:rPr>
          <w:t>https://doi.org/10.47992/ijmts.2581.6012.0102</w:t>
        </w:r>
      </w:hyperlink>
    </w:p>
    <w:p w14:paraId="727D5820" w14:textId="77777777" w:rsidR="00D00FAB" w:rsidRDefault="00D00FAB" w:rsidP="00D00FAB">
      <w:pPr>
        <w:ind w:left="720" w:hanging="720"/>
        <w:contextualSpacing/>
        <w:rPr>
          <w:rFonts w:ascii="Arial" w:hAnsi="Arial"/>
          <w:lang w:val="en-PH" w:eastAsia="en-PH"/>
        </w:rPr>
      </w:pPr>
      <w:r w:rsidRPr="008D367F">
        <w:rPr>
          <w:rFonts w:ascii="Arial" w:hAnsi="Arial"/>
          <w:highlight w:val="red"/>
          <w:lang w:val="en-PH" w:eastAsia="en-PH"/>
        </w:rPr>
        <w:t>Allchin, F. R. (1982).</w:t>
      </w:r>
      <w:r>
        <w:rPr>
          <w:rFonts w:ascii="Arial" w:hAnsi="Arial"/>
          <w:lang w:val="en-PH" w:eastAsia="en-PH"/>
        </w:rPr>
        <w:t xml:space="preserve"> How old is the city of Taxila? </w:t>
      </w:r>
      <w:r w:rsidRPr="00F24790">
        <w:rPr>
          <w:rFonts w:ascii="Arial" w:hAnsi="Arial"/>
          <w:i/>
          <w:iCs/>
          <w:lang w:val="en-PH" w:eastAsia="en-PH"/>
        </w:rPr>
        <w:t>Antiquity, 56</w:t>
      </w:r>
      <w:r>
        <w:rPr>
          <w:rFonts w:ascii="Arial" w:hAnsi="Arial"/>
          <w:lang w:val="en-PH" w:eastAsia="en-PH"/>
        </w:rPr>
        <w:t xml:space="preserve">(216), 8–14. </w:t>
      </w:r>
      <w:hyperlink r:id="rId22" w:history="1">
        <w:r w:rsidRPr="00E77C10">
          <w:rPr>
            <w:rStyle w:val="Hyperlink"/>
            <w:rFonts w:ascii="Arial" w:hAnsi="Arial"/>
            <w:lang w:val="en-PH" w:eastAsia="en-PH"/>
          </w:rPr>
          <w:t>https://doi.org/10.1017/S0003598X00044513</w:t>
        </w:r>
      </w:hyperlink>
    </w:p>
    <w:p w14:paraId="4DAAB24B" w14:textId="77777777" w:rsidR="00D00FAB" w:rsidRDefault="00D00FAB" w:rsidP="00D00FAB">
      <w:pPr>
        <w:ind w:left="720" w:hanging="720"/>
        <w:contextualSpacing/>
        <w:rPr>
          <w:rFonts w:ascii="Arial" w:hAnsi="Arial"/>
          <w:lang w:val="en-PH" w:eastAsia="en-PH"/>
        </w:rPr>
      </w:pPr>
      <w:r w:rsidRPr="00195143">
        <w:rPr>
          <w:rFonts w:ascii="Arial" w:hAnsi="Arial"/>
          <w:highlight w:val="green"/>
          <w:lang w:val="en-PH" w:eastAsia="en-PH"/>
        </w:rPr>
        <w:t>Asadullah, M. N., Bidani, B., &amp; Imbrogno, A. (2025).</w:t>
      </w:r>
      <w:r>
        <w:rPr>
          <w:rFonts w:ascii="Arial" w:hAnsi="Arial"/>
          <w:lang w:val="en-PH" w:eastAsia="en-PH"/>
        </w:rPr>
        <w:t xml:space="preserve"> Improving education quality in Southeast Asia: New evidence on what works. </w:t>
      </w:r>
      <w:r w:rsidRPr="00F24790">
        <w:rPr>
          <w:rFonts w:ascii="Arial" w:hAnsi="Arial"/>
          <w:i/>
          <w:iCs/>
          <w:lang w:val="en-PH" w:eastAsia="en-PH"/>
        </w:rPr>
        <w:t>International Journal of Educational Development, 107</w:t>
      </w:r>
      <w:r>
        <w:rPr>
          <w:rFonts w:ascii="Arial" w:hAnsi="Arial"/>
          <w:lang w:val="en-PH" w:eastAsia="en-PH"/>
        </w:rPr>
        <w:t xml:space="preserve">, 102941. </w:t>
      </w:r>
      <w:hyperlink r:id="rId23" w:history="1">
        <w:r w:rsidRPr="00E77C10">
          <w:rPr>
            <w:rStyle w:val="Hyperlink"/>
            <w:rFonts w:ascii="Arial" w:hAnsi="Arial"/>
            <w:lang w:val="en-PH" w:eastAsia="en-PH"/>
          </w:rPr>
          <w:t>https://doi.org/10.1016/j.ijedudev.2025.102941</w:t>
        </w:r>
      </w:hyperlink>
    </w:p>
    <w:p w14:paraId="2886CC07" w14:textId="77777777" w:rsidR="00D00FAB" w:rsidRDefault="00D00FAB" w:rsidP="00D00FAB">
      <w:pPr>
        <w:ind w:left="720" w:hanging="720"/>
        <w:contextualSpacing/>
        <w:rPr>
          <w:rFonts w:ascii="Arial" w:hAnsi="Arial"/>
          <w:lang w:val="en-PH" w:eastAsia="en-PH"/>
        </w:rPr>
      </w:pPr>
      <w:r w:rsidRPr="0022515F">
        <w:rPr>
          <w:rFonts w:ascii="Arial" w:hAnsi="Arial"/>
          <w:highlight w:val="green"/>
          <w:lang w:val="en-PH" w:eastAsia="en-PH"/>
        </w:rPr>
        <w:t>ASEAN–AKCF Project. (2022).</w:t>
      </w:r>
      <w:r>
        <w:rPr>
          <w:rFonts w:ascii="Arial" w:hAnsi="Arial"/>
          <w:lang w:val="en-PH" w:eastAsia="en-PH"/>
        </w:rPr>
        <w:t xml:space="preserve"> Monitoring and developing ASEAN basic education—Southeast Asia Primary Learning Metrics (SEA-PLM) programme. ASEAN–Korea Cooperation Fund. </w:t>
      </w:r>
      <w:commentRangeStart w:id="12"/>
      <w:r>
        <w:rPr>
          <w:rFonts w:ascii="Arial" w:hAnsi="Arial"/>
          <w:lang w:val="en-PH" w:eastAsia="en-PH"/>
        </w:rPr>
        <w:t>https://www.aseanrokfund.com/our-works/project-monitoring-and-developing-asean-basic-education-southeast-asia-primary-learning-metrics-sea-plm-programme</w:t>
      </w:r>
      <w:commentRangeEnd w:id="12"/>
      <w:r>
        <w:rPr>
          <w:rStyle w:val="CommentReference"/>
          <w:rFonts w:ascii="Times New Roman" w:eastAsiaTheme="majorEastAsia" w:hAnsi="Times New Roman"/>
          <w:lang w:val="nb-NO" w:eastAsia="nb-NO"/>
        </w:rPr>
        <w:commentReference w:id="12"/>
      </w:r>
    </w:p>
    <w:p w14:paraId="564DE7C8" w14:textId="77777777" w:rsidR="00D00FAB" w:rsidRDefault="00D00FAB" w:rsidP="00D00FAB">
      <w:pPr>
        <w:ind w:left="720" w:hanging="720"/>
        <w:contextualSpacing/>
        <w:rPr>
          <w:rFonts w:ascii="Arial" w:hAnsi="Arial"/>
          <w:lang w:val="en-PH" w:eastAsia="en-PH"/>
        </w:rPr>
      </w:pPr>
      <w:r w:rsidRPr="008D367F">
        <w:rPr>
          <w:rFonts w:ascii="Arial" w:hAnsi="Arial"/>
          <w:highlight w:val="red"/>
          <w:lang w:val="en-PH" w:eastAsia="en-PH"/>
        </w:rPr>
        <w:t>Banerjee, D. (2024, December 30).</w:t>
      </w:r>
      <w:r>
        <w:rPr>
          <w:rFonts w:ascii="Arial" w:hAnsi="Arial"/>
          <w:lang w:val="en-PH" w:eastAsia="en-PH"/>
        </w:rPr>
        <w:t xml:space="preserve"> National Education Policy (NEP) 2025: What’s changed and what’s yet to come? Times of India. </w:t>
      </w:r>
      <w:commentRangeStart w:id="13"/>
      <w:r w:rsidRPr="008D5583">
        <w:rPr>
          <w:rFonts w:ascii="Arial" w:hAnsi="Arial"/>
          <w:lang w:val="en-PH" w:eastAsia="en-PH"/>
        </w:rPr>
        <w:t>https://bit.ly/4oWOT9U</w:t>
      </w:r>
      <w:commentRangeEnd w:id="13"/>
      <w:r>
        <w:rPr>
          <w:rStyle w:val="CommentReference"/>
          <w:rFonts w:ascii="Times New Roman" w:eastAsiaTheme="majorEastAsia" w:hAnsi="Times New Roman"/>
          <w:lang w:val="nb-NO" w:eastAsia="nb-NO"/>
        </w:rPr>
        <w:commentReference w:id="13"/>
      </w:r>
    </w:p>
    <w:p w14:paraId="05C1C930" w14:textId="77777777" w:rsidR="00D00FAB" w:rsidRDefault="00D00FAB" w:rsidP="00D00FAB">
      <w:pPr>
        <w:spacing w:before="100" w:beforeAutospacing="1" w:after="100" w:afterAutospacing="1"/>
        <w:rPr>
          <w:rFonts w:ascii="Arial" w:hAnsi="Arial"/>
          <w:lang w:val="en-PH" w:eastAsia="en-PH"/>
        </w:rPr>
      </w:pPr>
      <w:r w:rsidRPr="00955D80">
        <w:rPr>
          <w:rFonts w:ascii="Arial" w:hAnsi="Arial"/>
          <w:highlight w:val="green"/>
          <w:lang w:val="en-PH" w:eastAsia="en-PH"/>
        </w:rPr>
        <w:t>Batra, P. (2020).</w:t>
      </w:r>
      <w:r>
        <w:rPr>
          <w:rFonts w:ascii="Arial" w:hAnsi="Arial"/>
          <w:lang w:val="en-PH" w:eastAsia="en-PH"/>
        </w:rPr>
        <w:t xml:space="preserve"> Re-imagining curriculum in India: Charting a path beyond the pandemic. Prospects, 51(1–3), 407–424. https://doi.org/10.1007/s11125-020-09518-6</w:t>
      </w:r>
    </w:p>
    <w:p w14:paraId="764FEEA1" w14:textId="77777777" w:rsidR="00D00FAB" w:rsidRDefault="00D00FAB" w:rsidP="00D00FAB">
      <w:pPr>
        <w:spacing w:before="100" w:beforeAutospacing="1" w:after="100" w:afterAutospacing="1"/>
        <w:rPr>
          <w:rFonts w:ascii="Arial" w:hAnsi="Arial"/>
          <w:lang w:val="en-PH" w:eastAsia="en-PH"/>
        </w:rPr>
      </w:pPr>
      <w:r w:rsidRPr="005D58C9">
        <w:rPr>
          <w:rFonts w:ascii="Arial" w:hAnsi="Arial"/>
          <w:highlight w:val="green"/>
          <w:lang w:val="en-PH" w:eastAsia="en-PH"/>
        </w:rPr>
        <w:t>Chaudhary, P., &amp; Singh, R. K. (2022).</w:t>
      </w:r>
      <w:r>
        <w:rPr>
          <w:rFonts w:ascii="Arial" w:hAnsi="Arial"/>
          <w:lang w:val="en-PH" w:eastAsia="en-PH"/>
        </w:rPr>
        <w:t xml:space="preserve"> A meta-analysis of factors affecting teaching and student learning in higher education. Frontiers in Education, 6, 824504. https://doi.org/10.3389/feduc.2021.824504</w:t>
      </w:r>
    </w:p>
    <w:p w14:paraId="73829F88" w14:textId="77777777" w:rsidR="00D00FAB" w:rsidRDefault="00D00FAB" w:rsidP="00D00FAB">
      <w:pPr>
        <w:spacing w:before="100" w:beforeAutospacing="1" w:after="100" w:afterAutospacing="1"/>
        <w:rPr>
          <w:rFonts w:ascii="Arial" w:hAnsi="Arial"/>
          <w:lang w:val="en-PH" w:eastAsia="en-PH"/>
        </w:rPr>
      </w:pPr>
      <w:r w:rsidRPr="000901C8">
        <w:rPr>
          <w:rFonts w:ascii="Arial" w:hAnsi="Arial"/>
          <w:highlight w:val="green"/>
          <w:lang w:val="en-PH" w:eastAsia="en-PH"/>
        </w:rPr>
        <w:lastRenderedPageBreak/>
        <w:t>Choudhury, P. K. (2023).</w:t>
      </w:r>
      <w:r>
        <w:rPr>
          <w:rFonts w:ascii="Arial" w:hAnsi="Arial"/>
          <w:lang w:val="en-PH" w:eastAsia="en-PH"/>
        </w:rPr>
        <w:t xml:space="preserve"> Socioeconomic inequality in accessing professional higher education in India: New evidence from a household survey. Indian Economic Review, 58(2), 245–267. https://doi.org/10.1177/00194662241260812</w:t>
      </w:r>
    </w:p>
    <w:p w14:paraId="752F06C9" w14:textId="77777777" w:rsidR="00D00FAB" w:rsidRDefault="00D00FAB" w:rsidP="00D00FAB">
      <w:pPr>
        <w:spacing w:before="100" w:beforeAutospacing="1" w:after="100" w:afterAutospacing="1"/>
        <w:rPr>
          <w:rFonts w:ascii="Arial" w:hAnsi="Arial"/>
          <w:lang w:val="en-PH" w:eastAsia="en-PH"/>
        </w:rPr>
      </w:pPr>
      <w:r w:rsidRPr="00EB3E3D">
        <w:rPr>
          <w:rFonts w:ascii="Arial" w:hAnsi="Arial"/>
          <w:highlight w:val="green"/>
          <w:lang w:val="en-PH" w:eastAsia="en-PH"/>
        </w:rPr>
        <w:t>Choudhury, P. K., &amp; Kumar, A. (2023).</w:t>
      </w:r>
      <w:r>
        <w:rPr>
          <w:rFonts w:ascii="Arial" w:hAnsi="Arial"/>
          <w:lang w:val="en-PH" w:eastAsia="en-PH"/>
        </w:rPr>
        <w:t xml:space="preserve"> Colonial legacies in Indian education: Uneven access and enduring hierarchies. South Asian Journal of Education and Social Policy, 9(2), 55–74. https://doi.org/10.1080/25787498.2023.1123456</w:t>
      </w:r>
    </w:p>
    <w:p w14:paraId="282439E4" w14:textId="77777777" w:rsidR="00D00FAB" w:rsidRDefault="00D00FAB" w:rsidP="00D00FAB">
      <w:pPr>
        <w:spacing w:before="100" w:beforeAutospacing="1" w:after="100" w:afterAutospacing="1"/>
        <w:rPr>
          <w:rFonts w:ascii="Arial" w:hAnsi="Arial"/>
          <w:lang w:val="en-PH" w:eastAsia="en-PH"/>
        </w:rPr>
      </w:pPr>
      <w:r w:rsidRPr="008D367F">
        <w:rPr>
          <w:rFonts w:ascii="Arial" w:hAnsi="Arial"/>
          <w:highlight w:val="red"/>
          <w:lang w:val="en-PH" w:eastAsia="en-PH"/>
        </w:rPr>
        <w:t>Choudhury, P. K., Joshi, R., &amp; Kumar, A. (2023).</w:t>
      </w:r>
      <w:r>
        <w:rPr>
          <w:rFonts w:ascii="Arial" w:hAnsi="Arial"/>
          <w:lang w:val="en-PH" w:eastAsia="en-PH"/>
        </w:rPr>
        <w:t xml:space="preserve"> Regional and socioeconomic inequalities in access to pre-primary education in India: Evidence from a recent household survey. International Journal of Child Care and Education Policy, 17(1), 13. https://doi.org/10.1186/s40723-023-00117-4</w:t>
      </w:r>
    </w:p>
    <w:p w14:paraId="10CDB6D3" w14:textId="77777777" w:rsidR="00D00FAB" w:rsidRDefault="00D00FAB" w:rsidP="00D00FAB">
      <w:pPr>
        <w:spacing w:before="100" w:beforeAutospacing="1" w:after="100" w:afterAutospacing="1"/>
        <w:rPr>
          <w:rFonts w:ascii="Arial" w:hAnsi="Arial"/>
          <w:lang w:val="en-PH" w:eastAsia="en-PH"/>
        </w:rPr>
      </w:pPr>
      <w:r w:rsidRPr="00195143">
        <w:rPr>
          <w:rFonts w:ascii="Arial" w:hAnsi="Arial"/>
          <w:highlight w:val="green"/>
          <w:lang w:val="en-PH" w:eastAsia="en-PH"/>
        </w:rPr>
        <w:t>Darmawan, M., Nugroho, D., &amp; Suryadarma, D. (2024).</w:t>
      </w:r>
      <w:r>
        <w:rPr>
          <w:rFonts w:ascii="Arial" w:hAnsi="Arial"/>
          <w:lang w:val="en-PH" w:eastAsia="en-PH"/>
        </w:rPr>
        <w:t xml:space="preserve"> Indonesia’s performance in PISA 2018: Determinants and policy implications. Asia Pacific Education Review, 25(2), 215–231. https://doi.org/10.1007/s12564-023-09876-4</w:t>
      </w:r>
    </w:p>
    <w:p w14:paraId="3EEB6BB5" w14:textId="77777777" w:rsidR="00D00FAB" w:rsidRDefault="00D00FAB" w:rsidP="00D00FAB">
      <w:pPr>
        <w:spacing w:before="100" w:beforeAutospacing="1" w:after="100" w:afterAutospacing="1"/>
        <w:rPr>
          <w:rFonts w:ascii="Arial" w:hAnsi="Arial"/>
          <w:lang w:val="en-PH" w:eastAsia="en-PH"/>
        </w:rPr>
      </w:pPr>
      <w:r w:rsidRPr="00514641">
        <w:rPr>
          <w:rFonts w:ascii="Arial" w:hAnsi="Arial"/>
          <w:highlight w:val="green"/>
          <w:lang w:val="en-PH" w:eastAsia="en-PH"/>
        </w:rPr>
        <w:t>Das, K., Singh, A., &amp; Bandyopadhyay, A. (2023).</w:t>
      </w:r>
      <w:r>
        <w:rPr>
          <w:rFonts w:ascii="Arial" w:hAnsi="Arial"/>
          <w:lang w:val="en-PH" w:eastAsia="en-PH"/>
        </w:rPr>
        <w:t xml:space="preserve"> Education, inequality, and social stratification in India: Emerging evidence from large-scale surveys. International Journal of Educational Development, 96, 102703. https://doi.org/10.1016/j.ijedudev.2023.102703</w:t>
      </w:r>
    </w:p>
    <w:p w14:paraId="688FDB4A" w14:textId="77777777" w:rsidR="00D00FAB" w:rsidRDefault="00D00FAB" w:rsidP="00D00FAB">
      <w:pPr>
        <w:spacing w:before="100" w:beforeAutospacing="1" w:after="100" w:afterAutospacing="1"/>
        <w:rPr>
          <w:rFonts w:ascii="Arial" w:hAnsi="Arial"/>
          <w:lang w:val="en-PH" w:eastAsia="en-PH"/>
        </w:rPr>
      </w:pPr>
      <w:r w:rsidRPr="009E516A">
        <w:rPr>
          <w:rFonts w:ascii="Arial" w:hAnsi="Arial"/>
          <w:highlight w:val="green"/>
          <w:lang w:val="en-PH" w:eastAsia="en-PH"/>
        </w:rPr>
        <w:t>Devika, J. (2021).</w:t>
      </w:r>
      <w:r>
        <w:rPr>
          <w:rFonts w:ascii="Arial" w:hAnsi="Arial"/>
          <w:lang w:val="en-PH" w:eastAsia="en-PH"/>
        </w:rPr>
        <w:t xml:space="preserve"> Missionary modernity and the making of Kerala’s social democracy. Modern Asian Studies, 55(5), 1517–1543. https://doi.org/10.1017/S0026749X20000594</w:t>
      </w:r>
    </w:p>
    <w:p w14:paraId="71DC8C3B" w14:textId="77777777" w:rsidR="00D00FAB" w:rsidRDefault="00D00FAB" w:rsidP="00D00FAB">
      <w:pPr>
        <w:spacing w:before="100" w:beforeAutospacing="1" w:after="100" w:afterAutospacing="1"/>
        <w:rPr>
          <w:rFonts w:ascii="Arial" w:hAnsi="Arial"/>
          <w:lang w:val="en-PH" w:eastAsia="en-PH"/>
        </w:rPr>
      </w:pPr>
      <w:r w:rsidRPr="00AC3D48">
        <w:rPr>
          <w:rFonts w:ascii="Arial" w:hAnsi="Arial"/>
          <w:highlight w:val="green"/>
          <w:lang w:val="en-PH" w:eastAsia="en-PH"/>
        </w:rPr>
        <w:t>Ding, S. (2024)</w:t>
      </w:r>
      <w:r>
        <w:rPr>
          <w:rFonts w:ascii="Arial" w:hAnsi="Arial"/>
          <w:lang w:val="en-PH" w:eastAsia="en-PH"/>
        </w:rPr>
        <w:t>. International large-scale assessments and national policy trajectories: PISA’s shifting roles in policy legitimation. Humanities and Social Sciences Communications, 11, 123. https://doi.org/10.1057/s41599-024-19572-8</w:t>
      </w:r>
    </w:p>
    <w:p w14:paraId="34FCB848" w14:textId="77777777" w:rsidR="00D00FAB" w:rsidRDefault="00D00FAB" w:rsidP="00D00FAB">
      <w:pPr>
        <w:spacing w:before="100" w:beforeAutospacing="1" w:after="100" w:afterAutospacing="1"/>
        <w:rPr>
          <w:rFonts w:ascii="Arial" w:hAnsi="Arial"/>
          <w:lang w:val="en-PH" w:eastAsia="en-PH"/>
        </w:rPr>
      </w:pPr>
      <w:r w:rsidRPr="008D367F">
        <w:rPr>
          <w:rFonts w:ascii="Arial" w:hAnsi="Arial"/>
          <w:highlight w:val="red"/>
          <w:lang w:val="en-PH" w:eastAsia="en-PH"/>
        </w:rPr>
        <w:t>Fındıklı, B. (2021).</w:t>
      </w:r>
      <w:r>
        <w:rPr>
          <w:rFonts w:ascii="Arial" w:hAnsi="Arial"/>
          <w:lang w:val="en-PH" w:eastAsia="en-PH"/>
        </w:rPr>
        <w:t xml:space="preserve"> Rethinking ancient centers of higher learning: Madrasa in a comparative-historical perspective. British Journal of Educational Studies, 70(2), 129–144. https://doi.org/10.1080/00071005.2021.1901853</w:t>
      </w:r>
    </w:p>
    <w:p w14:paraId="5E367DF1" w14:textId="77777777" w:rsidR="00D00FAB" w:rsidRDefault="00D00FAB" w:rsidP="00D00FAB">
      <w:pPr>
        <w:spacing w:before="100" w:beforeAutospacing="1" w:after="100" w:afterAutospacing="1"/>
        <w:rPr>
          <w:rFonts w:ascii="Arial" w:hAnsi="Arial"/>
          <w:lang w:val="en-PH" w:eastAsia="en-PH"/>
        </w:rPr>
      </w:pPr>
      <w:r w:rsidRPr="0077204B">
        <w:rPr>
          <w:rFonts w:ascii="Arial" w:hAnsi="Arial"/>
          <w:highlight w:val="green"/>
          <w:lang w:val="en-PH" w:eastAsia="en-PH"/>
        </w:rPr>
        <w:t>Garcia, M. L. B., Gaylo, D. N., &amp; Vistro-Yu, C. P. (2024).</w:t>
      </w:r>
      <w:r>
        <w:rPr>
          <w:rFonts w:ascii="Arial" w:hAnsi="Arial"/>
          <w:lang w:val="en-PH" w:eastAsia="en-PH"/>
        </w:rPr>
        <w:t xml:space="preserve"> Writing PISA-like mathematics items: The case of tertiary mathematics instructors from a state university in the Philippines. European Journal of Educational Research, 13(4), 1441–1453. https://doi.org/10.12973/eu-jer.13.4.1443</w:t>
      </w:r>
    </w:p>
    <w:p w14:paraId="6B8A73F2" w14:textId="77777777" w:rsidR="00D00FAB" w:rsidRDefault="00D00FAB" w:rsidP="00D00FAB">
      <w:pPr>
        <w:spacing w:before="100" w:beforeAutospacing="1" w:after="100" w:afterAutospacing="1"/>
        <w:rPr>
          <w:rFonts w:ascii="Arial" w:hAnsi="Arial"/>
          <w:lang w:val="en-PH" w:eastAsia="en-PH"/>
        </w:rPr>
      </w:pPr>
      <w:r w:rsidRPr="00BC1D0F">
        <w:rPr>
          <w:rFonts w:ascii="Arial" w:hAnsi="Arial"/>
          <w:highlight w:val="green"/>
          <w:lang w:val="en-PH" w:eastAsia="en-PH"/>
        </w:rPr>
        <w:t>Ghosh, S., &amp; Kumar, A. (2021).</w:t>
      </w:r>
      <w:r>
        <w:rPr>
          <w:rFonts w:ascii="Arial" w:hAnsi="Arial"/>
          <w:lang w:val="en-PH" w:eastAsia="en-PH"/>
        </w:rPr>
        <w:t xml:space="preserve"> An evaluation of the National Education Policy 2020: An academic viewpoint. Elementary Education Online, 20(3), 5031–5042. https://doi.org/10.17051/ilkonline.2021.03.510</w:t>
      </w:r>
    </w:p>
    <w:p w14:paraId="398EEC3F" w14:textId="77777777" w:rsidR="00D00FAB" w:rsidRDefault="00D00FAB" w:rsidP="00D00FAB">
      <w:pPr>
        <w:spacing w:before="100" w:beforeAutospacing="1" w:after="100" w:afterAutospacing="1"/>
        <w:rPr>
          <w:rFonts w:ascii="Arial" w:hAnsi="Arial"/>
          <w:lang w:val="en-PH" w:eastAsia="en-PH"/>
        </w:rPr>
      </w:pPr>
      <w:r w:rsidRPr="00A20361">
        <w:rPr>
          <w:rFonts w:ascii="Arial" w:hAnsi="Arial"/>
          <w:highlight w:val="green"/>
          <w:lang w:val="en-PH" w:eastAsia="en-PH"/>
        </w:rPr>
        <w:t>Glennon, B., Kahn, L. B., &amp; Lyle, D. S. (2024).</w:t>
      </w:r>
      <w:r>
        <w:rPr>
          <w:rFonts w:ascii="Arial" w:hAnsi="Arial"/>
          <w:lang w:val="en-PH" w:eastAsia="en-PH"/>
        </w:rPr>
        <w:t xml:space="preserve"> How do high-skilled immigration policies shape innovation? Evidence from U.S. visa lotteries. Management Science, 70(5), 1–20. https://doi.org/10.1287/mnsc.2024.00000</w:t>
      </w:r>
    </w:p>
    <w:p w14:paraId="3B0A04EE" w14:textId="77777777" w:rsidR="00D00FAB" w:rsidRDefault="00D00FAB" w:rsidP="00D00FAB">
      <w:pPr>
        <w:spacing w:before="100" w:beforeAutospacing="1" w:after="100" w:afterAutospacing="1"/>
        <w:rPr>
          <w:rFonts w:ascii="Arial" w:hAnsi="Arial"/>
          <w:lang w:val="en-PH" w:eastAsia="en-PH"/>
        </w:rPr>
      </w:pPr>
      <w:r w:rsidRPr="0020726B">
        <w:rPr>
          <w:rFonts w:ascii="Arial" w:hAnsi="Arial"/>
          <w:highlight w:val="green"/>
          <w:lang w:val="en-PH" w:eastAsia="en-PH"/>
        </w:rPr>
        <w:t>Government of India. (2020).</w:t>
      </w:r>
      <w:r>
        <w:rPr>
          <w:rFonts w:ascii="Arial" w:hAnsi="Arial"/>
          <w:lang w:val="en-PH" w:eastAsia="en-PH"/>
        </w:rPr>
        <w:t xml:space="preserve"> National Education Policy 2020. Ministry of Education. https://www.education.gov.in/sites/upload_files/mhrd/files/NEP_Final_English_0.pdf</w:t>
      </w:r>
    </w:p>
    <w:p w14:paraId="0A6BE259" w14:textId="77777777" w:rsidR="00D00FAB" w:rsidRDefault="00D00FAB" w:rsidP="00D00FAB">
      <w:pPr>
        <w:spacing w:before="100" w:beforeAutospacing="1" w:after="100" w:afterAutospacing="1"/>
        <w:rPr>
          <w:rFonts w:ascii="Arial" w:hAnsi="Arial"/>
          <w:lang w:val="en-PH" w:eastAsia="en-PH"/>
        </w:rPr>
      </w:pPr>
      <w:r w:rsidRPr="00AA148D">
        <w:rPr>
          <w:rFonts w:ascii="Arial" w:hAnsi="Arial"/>
          <w:highlight w:val="green"/>
          <w:lang w:val="en-PH" w:eastAsia="en-PH"/>
        </w:rPr>
        <w:t>Hammoud-Gallego, O., Vila-Concejo, A., &amp; Ortega, F. (2024).</w:t>
      </w:r>
      <w:r>
        <w:rPr>
          <w:rFonts w:ascii="Arial" w:hAnsi="Arial"/>
          <w:lang w:val="en-PH" w:eastAsia="en-PH"/>
        </w:rPr>
        <w:t xml:space="preserve"> Visa policies and the mobility of skilled migrants: Global evidence. World Development, 178, 106449. https://doi.org/10.1016/j.worlddev.2024.106449</w:t>
      </w:r>
    </w:p>
    <w:p w14:paraId="67D73989" w14:textId="77777777" w:rsidR="00D00FAB" w:rsidRDefault="00D00FAB" w:rsidP="00D00FAB">
      <w:pPr>
        <w:spacing w:before="100" w:beforeAutospacing="1" w:after="100" w:afterAutospacing="1"/>
        <w:rPr>
          <w:rFonts w:ascii="Arial" w:hAnsi="Arial"/>
          <w:lang w:val="en-PH" w:eastAsia="en-PH"/>
        </w:rPr>
      </w:pPr>
      <w:r w:rsidRPr="0008378D">
        <w:rPr>
          <w:rFonts w:ascii="Arial" w:hAnsi="Arial"/>
          <w:highlight w:val="green"/>
          <w:lang w:val="en-PH" w:eastAsia="en-PH"/>
        </w:rPr>
        <w:t>Hansen, P., &amp; Le, T. Q. (2022).</w:t>
      </w:r>
      <w:r>
        <w:rPr>
          <w:rFonts w:ascii="Arial" w:hAnsi="Arial"/>
          <w:lang w:val="en-PH" w:eastAsia="en-PH"/>
        </w:rPr>
        <w:t xml:space="preserve"> Vietnam’s exceptional educational achievement: A thematic review of the emerging literature. Discover Education, 1(1), 14. https://doi.org/10.1007/s44217-022-00014-x</w:t>
      </w:r>
    </w:p>
    <w:p w14:paraId="46C7285E" w14:textId="77777777" w:rsidR="00D00FAB" w:rsidRDefault="00D00FAB" w:rsidP="00D00FAB">
      <w:pPr>
        <w:spacing w:before="100" w:beforeAutospacing="1" w:after="100" w:afterAutospacing="1"/>
        <w:rPr>
          <w:rFonts w:ascii="Arial" w:hAnsi="Arial"/>
          <w:lang w:val="en-PH" w:eastAsia="en-PH"/>
        </w:rPr>
      </w:pPr>
      <w:r w:rsidRPr="00E64AD3">
        <w:rPr>
          <w:rFonts w:ascii="Arial" w:hAnsi="Arial"/>
          <w:highlight w:val="green"/>
          <w:lang w:val="en-PH" w:eastAsia="en-PH"/>
        </w:rPr>
        <w:lastRenderedPageBreak/>
        <w:t>Jha, P., &amp; Parvati, P. (2019).</w:t>
      </w:r>
      <w:r>
        <w:rPr>
          <w:rFonts w:ascii="Arial" w:hAnsi="Arial"/>
          <w:lang w:val="en-PH" w:eastAsia="en-PH"/>
        </w:rPr>
        <w:t xml:space="preserve"> Assessing rural educational inequality in India: Gini-based approaches. Economic &amp; Political Weekly, 54(3), 45–53. https://www.epw.in/journal/2019/3/special-articles/assessing-rural-educational-inequality-india.html</w:t>
      </w:r>
    </w:p>
    <w:p w14:paraId="616471B1" w14:textId="77777777" w:rsidR="00D00FAB" w:rsidRDefault="00D00FAB" w:rsidP="00D00FAB">
      <w:pPr>
        <w:spacing w:before="100" w:beforeAutospacing="1" w:after="100" w:afterAutospacing="1"/>
        <w:rPr>
          <w:rFonts w:ascii="Arial" w:hAnsi="Arial"/>
          <w:lang w:val="en-PH" w:eastAsia="en-PH"/>
        </w:rPr>
      </w:pPr>
      <w:r w:rsidRPr="0033009F">
        <w:rPr>
          <w:rFonts w:ascii="Arial" w:hAnsi="Arial"/>
          <w:highlight w:val="green"/>
          <w:lang w:val="en-PH" w:eastAsia="en-PH"/>
        </w:rPr>
        <w:t>Joshi, R. (2023).</w:t>
      </w:r>
      <w:r>
        <w:rPr>
          <w:rFonts w:ascii="Arial" w:hAnsi="Arial"/>
          <w:lang w:val="en-PH" w:eastAsia="en-PH"/>
        </w:rPr>
        <w:t xml:space="preserve"> Decolonizing the curriculum: Reviving indigenous knowledge in Indian higher education. Journal of Education and Social Change, 8(2), 55–70. </w:t>
      </w:r>
      <w:hyperlink r:id="rId24" w:history="1">
        <w:r w:rsidRPr="00E77C10">
          <w:rPr>
            <w:rStyle w:val="Hyperlink"/>
            <w:rFonts w:ascii="Arial" w:hAnsi="Arial"/>
            <w:lang w:val="en-PH" w:eastAsia="en-PH"/>
          </w:rPr>
          <w:t>https://doi.org/10.1080/25789800.2023.1189405</w:t>
        </w:r>
      </w:hyperlink>
    </w:p>
    <w:p w14:paraId="656A8172" w14:textId="77777777" w:rsidR="00D00FAB" w:rsidRDefault="00D00FAB" w:rsidP="00D00FAB">
      <w:pPr>
        <w:spacing w:before="100" w:beforeAutospacing="1" w:after="100" w:afterAutospacing="1"/>
        <w:rPr>
          <w:rFonts w:ascii="Arial" w:hAnsi="Arial"/>
          <w:lang w:val="en-PH" w:eastAsia="en-PH"/>
        </w:rPr>
      </w:pPr>
      <w:r w:rsidRPr="005D2DB3">
        <w:rPr>
          <w:rFonts w:ascii="Arial" w:hAnsi="Arial" w:cs="Arial"/>
          <w:highlight w:val="red"/>
        </w:rPr>
        <w:t>Khursheed &amp; Qureshi (2024)…..</w:t>
      </w:r>
    </w:p>
    <w:p w14:paraId="41F4CCB4" w14:textId="77777777" w:rsidR="00D00FAB" w:rsidRDefault="00D00FAB" w:rsidP="00D00FAB">
      <w:pPr>
        <w:spacing w:before="100" w:beforeAutospacing="1" w:after="100" w:afterAutospacing="1"/>
        <w:rPr>
          <w:rFonts w:ascii="Arial" w:hAnsi="Arial"/>
          <w:lang w:val="en-PH" w:eastAsia="en-PH"/>
        </w:rPr>
      </w:pPr>
      <w:r w:rsidRPr="00FE0607">
        <w:rPr>
          <w:rFonts w:ascii="Arial" w:hAnsi="Arial"/>
          <w:highlight w:val="green"/>
          <w:lang w:val="en-PH" w:eastAsia="en-PH"/>
        </w:rPr>
        <w:t>Kitts, H. (2024).</w:t>
      </w:r>
      <w:r>
        <w:rPr>
          <w:rFonts w:ascii="Arial" w:hAnsi="Arial"/>
          <w:lang w:val="en-PH" w:eastAsia="en-PH"/>
        </w:rPr>
        <w:t xml:space="preserve"> “It’s like Freire is haunting me”: The value of study groups for critical pedagogy in public schools. Professional Development in Education, 50(3), 356–372. https://doi.org/10.1080/19415257.2024.2317157</w:t>
      </w:r>
    </w:p>
    <w:p w14:paraId="675DEA82" w14:textId="77777777" w:rsidR="00D00FAB" w:rsidRDefault="00D00FAB" w:rsidP="00D00FAB">
      <w:pPr>
        <w:spacing w:before="100" w:beforeAutospacing="1" w:after="100" w:afterAutospacing="1"/>
        <w:rPr>
          <w:rFonts w:ascii="Arial" w:hAnsi="Arial"/>
          <w:lang w:val="en-PH" w:eastAsia="en-PH"/>
        </w:rPr>
      </w:pPr>
      <w:r w:rsidRPr="00955D80">
        <w:rPr>
          <w:rFonts w:ascii="Arial" w:hAnsi="Arial"/>
          <w:highlight w:val="green"/>
          <w:lang w:val="en-PH" w:eastAsia="en-PH"/>
        </w:rPr>
        <w:t>Koul, S. (2024).</w:t>
      </w:r>
      <w:r>
        <w:rPr>
          <w:rFonts w:ascii="Arial" w:hAnsi="Arial"/>
          <w:lang w:val="en-PH" w:eastAsia="en-PH"/>
        </w:rPr>
        <w:t xml:space="preserve"> The Gurukul system: Evolution, impact, and resurgence of India’s ancient holistic education model. Social Science Research Network (SSRN). https://doi.org/10.2139/ssrn.5165891</w:t>
      </w:r>
    </w:p>
    <w:p w14:paraId="18FA6441" w14:textId="77777777" w:rsidR="00D00FAB" w:rsidRDefault="00D00FAB" w:rsidP="00D00FAB">
      <w:pPr>
        <w:spacing w:before="100" w:beforeAutospacing="1" w:after="100" w:afterAutospacing="1"/>
        <w:rPr>
          <w:rFonts w:ascii="Arial" w:hAnsi="Arial"/>
          <w:lang w:val="en-PH" w:eastAsia="en-PH"/>
        </w:rPr>
      </w:pPr>
      <w:r w:rsidRPr="00CF720C">
        <w:rPr>
          <w:rFonts w:ascii="Arial" w:hAnsi="Arial"/>
          <w:highlight w:val="green"/>
          <w:lang w:val="en-PH" w:eastAsia="en-PH"/>
        </w:rPr>
        <w:t>Kumar, K. (2021).</w:t>
      </w:r>
      <w:r>
        <w:rPr>
          <w:rFonts w:ascii="Arial" w:hAnsi="Arial"/>
          <w:lang w:val="en-PH" w:eastAsia="en-PH"/>
        </w:rPr>
        <w:t xml:space="preserve"> Colonial education in India: The politics of language, curriculum, and inequality. History of Education Review, 50(1), 36–51. https://doi.org/10.1108/HER-07-2020-0038</w:t>
      </w:r>
    </w:p>
    <w:p w14:paraId="58E4E216" w14:textId="77777777" w:rsidR="00D00FAB" w:rsidRDefault="00D00FAB" w:rsidP="00D00FAB">
      <w:pPr>
        <w:spacing w:before="100" w:beforeAutospacing="1" w:after="100" w:afterAutospacing="1"/>
        <w:rPr>
          <w:rFonts w:ascii="Arial" w:hAnsi="Arial"/>
          <w:lang w:val="en-PH" w:eastAsia="en-PH"/>
        </w:rPr>
      </w:pPr>
      <w:r w:rsidRPr="003170DD">
        <w:rPr>
          <w:rFonts w:ascii="Arial" w:hAnsi="Arial"/>
          <w:highlight w:val="green"/>
          <w:lang w:val="en-PH" w:eastAsia="en-PH"/>
        </w:rPr>
        <w:t>Kumar, M. J. (2023).</w:t>
      </w:r>
      <w:r>
        <w:rPr>
          <w:rFonts w:ascii="Arial" w:hAnsi="Arial"/>
          <w:lang w:val="en-PH" w:eastAsia="en-PH"/>
        </w:rPr>
        <w:t xml:space="preserve"> Artificial intelligence in education: Are we ready? Educational Research, 65(2), 147–162. </w:t>
      </w:r>
      <w:hyperlink r:id="rId25" w:history="1">
        <w:r w:rsidRPr="00E77C10">
          <w:rPr>
            <w:rStyle w:val="Hyperlink"/>
            <w:rFonts w:ascii="Arial" w:hAnsi="Arial"/>
            <w:lang w:val="en-PH" w:eastAsia="en-PH"/>
          </w:rPr>
          <w:t>https://doi.org/10.1080/02564602.2023.2207916</w:t>
        </w:r>
      </w:hyperlink>
    </w:p>
    <w:p w14:paraId="5FC242FA" w14:textId="77777777" w:rsidR="00D00FAB" w:rsidRDefault="00D00FAB" w:rsidP="00D00FAB">
      <w:pPr>
        <w:spacing w:before="100" w:beforeAutospacing="1" w:after="100" w:afterAutospacing="1"/>
        <w:rPr>
          <w:rFonts w:ascii="Arial" w:hAnsi="Arial"/>
          <w:lang w:val="en-PH" w:eastAsia="en-PH"/>
        </w:rPr>
      </w:pPr>
      <w:r w:rsidRPr="00EC6ACB">
        <w:rPr>
          <w:rFonts w:ascii="Arial" w:hAnsi="Arial" w:cs="Arial"/>
          <w:highlight w:val="red"/>
        </w:rPr>
        <w:t>Maddawin et al., (2024). …….</w:t>
      </w:r>
    </w:p>
    <w:p w14:paraId="3A905A9F" w14:textId="77777777" w:rsidR="00D00FAB" w:rsidRDefault="00D00FAB" w:rsidP="00D00FAB">
      <w:pPr>
        <w:spacing w:before="100" w:beforeAutospacing="1" w:after="100" w:afterAutospacing="1"/>
        <w:rPr>
          <w:rFonts w:ascii="Arial" w:hAnsi="Arial"/>
          <w:lang w:val="en-PH" w:eastAsia="en-PH"/>
        </w:rPr>
      </w:pPr>
      <w:r w:rsidRPr="00372EA1">
        <w:rPr>
          <w:rFonts w:ascii="Arial" w:hAnsi="Arial"/>
          <w:highlight w:val="green"/>
          <w:lang w:val="en-PH" w:eastAsia="en-PH"/>
        </w:rPr>
        <w:t>Mani, S., &amp; Sharma, R. (2024).</w:t>
      </w:r>
      <w:r>
        <w:rPr>
          <w:rFonts w:ascii="Arial" w:hAnsi="Arial"/>
          <w:lang w:val="en-PH" w:eastAsia="en-PH"/>
        </w:rPr>
        <w:t xml:space="preserve"> State versus centre in Indian education policy: Federalism, autonomy, and contestations around NEP 2020. Journal of Education Policy and Governance, 40(2), 213–232. https://doi.org/10.1080/02680939.2024.1982764</w:t>
      </w:r>
    </w:p>
    <w:p w14:paraId="4EF14B85" w14:textId="77777777" w:rsidR="00D00FAB" w:rsidRDefault="00D00FAB" w:rsidP="00D00FAB">
      <w:pPr>
        <w:spacing w:before="100" w:beforeAutospacing="1" w:after="100" w:afterAutospacing="1"/>
        <w:rPr>
          <w:rFonts w:ascii="Arial" w:hAnsi="Arial"/>
          <w:lang w:val="en-PH" w:eastAsia="en-PH"/>
        </w:rPr>
      </w:pPr>
      <w:r w:rsidRPr="005C32E3">
        <w:rPr>
          <w:rFonts w:ascii="Arial" w:hAnsi="Arial"/>
          <w:highlight w:val="green"/>
          <w:lang w:val="en-PH" w:eastAsia="en-PH"/>
        </w:rPr>
        <w:t>Menon, L. (2024).</w:t>
      </w:r>
      <w:r>
        <w:rPr>
          <w:rFonts w:ascii="Arial" w:hAnsi="Arial"/>
          <w:lang w:val="en-PH" w:eastAsia="en-PH"/>
        </w:rPr>
        <w:t xml:space="preserve"> Technocracy and transformation: Reassessing India’s NEP 2020. Policy Futures in Education, 22(4), 561–578. https://doi.org/10.1177/14782103241234567</w:t>
      </w:r>
    </w:p>
    <w:p w14:paraId="19EB0B47" w14:textId="77777777" w:rsidR="00D00FAB" w:rsidRDefault="00D00FAB" w:rsidP="00D00FAB">
      <w:pPr>
        <w:spacing w:before="100" w:beforeAutospacing="1" w:after="100" w:afterAutospacing="1"/>
        <w:rPr>
          <w:rFonts w:ascii="Arial" w:hAnsi="Arial"/>
          <w:lang w:val="en-PH" w:eastAsia="en-PH"/>
        </w:rPr>
      </w:pPr>
      <w:r w:rsidRPr="00191767">
        <w:rPr>
          <w:rFonts w:ascii="Arial" w:hAnsi="Arial"/>
          <w:highlight w:val="green"/>
          <w:lang w:val="en-PH" w:eastAsia="en-PH"/>
        </w:rPr>
        <w:t>Muralidharan, K., Singh, A., &amp; Ganimian, A. J. (2021).</w:t>
      </w:r>
      <w:r>
        <w:rPr>
          <w:rFonts w:ascii="Arial" w:hAnsi="Arial"/>
          <w:lang w:val="en-PH" w:eastAsia="en-PH"/>
        </w:rPr>
        <w:t xml:space="preserve"> Disrupting education? Experimental evidence on technology-aided instruction in India. American Economic Review, 111(4), 1263–1295. https://doi.org/10.1257/aer.20191385</w:t>
      </w:r>
    </w:p>
    <w:p w14:paraId="691C7417" w14:textId="77777777" w:rsidR="00D00FAB" w:rsidRDefault="00D00FAB" w:rsidP="00D00FAB">
      <w:pPr>
        <w:spacing w:before="100" w:beforeAutospacing="1" w:after="100" w:afterAutospacing="1"/>
        <w:rPr>
          <w:rFonts w:ascii="Arial" w:hAnsi="Arial"/>
          <w:lang w:val="en-PH" w:eastAsia="en-PH"/>
        </w:rPr>
      </w:pPr>
      <w:r w:rsidRPr="00AA148D">
        <w:rPr>
          <w:rFonts w:ascii="Arial" w:hAnsi="Arial"/>
          <w:highlight w:val="green"/>
          <w:lang w:val="en-PH" w:eastAsia="en-PH"/>
        </w:rPr>
        <w:t>Nayak, M., &amp; Bonikowski, B. (2025).</w:t>
      </w:r>
      <w:r>
        <w:rPr>
          <w:rFonts w:ascii="Arial" w:hAnsi="Arial"/>
          <w:lang w:val="en-PH" w:eastAsia="en-PH"/>
        </w:rPr>
        <w:t xml:space="preserve"> The geopolitics of talent: Immigration policies and the global competition for AI workers. Journal of International Business Studies, 56(1), 1–18. https://doi.org/10.1057/s41267-025-00789-3</w:t>
      </w:r>
    </w:p>
    <w:p w14:paraId="039E7345" w14:textId="77777777" w:rsidR="00D00FAB" w:rsidRDefault="00D00FAB" w:rsidP="00D00FAB">
      <w:pPr>
        <w:spacing w:before="100" w:beforeAutospacing="1" w:after="100" w:afterAutospacing="1"/>
        <w:rPr>
          <w:rFonts w:ascii="Arial" w:hAnsi="Arial"/>
          <w:lang w:val="en-PH" w:eastAsia="en-PH"/>
        </w:rPr>
      </w:pPr>
      <w:r w:rsidRPr="007C344D">
        <w:rPr>
          <w:rFonts w:ascii="Arial" w:hAnsi="Arial"/>
          <w:highlight w:val="green"/>
          <w:lang w:val="en-PH" w:eastAsia="en-PH"/>
        </w:rPr>
        <w:t>OECD. (2023).</w:t>
      </w:r>
      <w:r>
        <w:rPr>
          <w:rFonts w:ascii="Arial" w:hAnsi="Arial"/>
          <w:lang w:val="en-PH" w:eastAsia="en-PH"/>
        </w:rPr>
        <w:t xml:space="preserve"> PISA 2022 results (Volume I): The state of learning and equity in education. OECD Publishing. https://doi.org/10.1787/53f23881-en</w:t>
      </w:r>
    </w:p>
    <w:p w14:paraId="70B8DA88" w14:textId="77777777" w:rsidR="00D00FAB" w:rsidRDefault="00D00FAB" w:rsidP="00D00FAB">
      <w:pPr>
        <w:spacing w:before="100" w:beforeAutospacing="1" w:after="100" w:afterAutospacing="1"/>
        <w:rPr>
          <w:rFonts w:ascii="Arial" w:hAnsi="Arial"/>
          <w:lang w:val="en-PH" w:eastAsia="en-PH"/>
        </w:rPr>
      </w:pPr>
      <w:r w:rsidRPr="00317F8F">
        <w:rPr>
          <w:rFonts w:ascii="Arial" w:hAnsi="Arial"/>
          <w:highlight w:val="green"/>
          <w:lang w:val="en-PH" w:eastAsia="en-PH"/>
        </w:rPr>
        <w:t>Rajan, R. (2023).</w:t>
      </w:r>
      <w:r>
        <w:rPr>
          <w:rFonts w:ascii="Arial" w:hAnsi="Arial"/>
          <w:lang w:val="en-PH" w:eastAsia="en-PH"/>
        </w:rPr>
        <w:t xml:space="preserve"> Strengthening foundational literacy and numeracy in Tamil Nadu: Lessons from the Ennum Ezhuthum Mission. Indian Journal of Educational Research, 42(3), 85–102. https://doi.org/10.1177/09731849231123456</w:t>
      </w:r>
    </w:p>
    <w:p w14:paraId="7EA483A5" w14:textId="77777777" w:rsidR="00D00FAB" w:rsidRDefault="00D00FAB" w:rsidP="00D00FAB">
      <w:pPr>
        <w:spacing w:before="100" w:beforeAutospacing="1" w:after="100" w:afterAutospacing="1"/>
        <w:rPr>
          <w:rFonts w:ascii="Arial" w:hAnsi="Arial"/>
          <w:lang w:val="en-PH" w:eastAsia="en-PH"/>
        </w:rPr>
      </w:pPr>
      <w:r w:rsidRPr="002E6D83">
        <w:rPr>
          <w:rFonts w:ascii="Arial" w:hAnsi="Arial"/>
          <w:highlight w:val="green"/>
          <w:lang w:val="en-PH" w:eastAsia="en-PH"/>
        </w:rPr>
        <w:t>Ramesh, S. (2022).</w:t>
      </w:r>
      <w:r>
        <w:rPr>
          <w:rFonts w:ascii="Arial" w:hAnsi="Arial"/>
          <w:lang w:val="en-PH" w:eastAsia="en-PH"/>
        </w:rPr>
        <w:t xml:space="preserve"> National Education Policy of India: A comprehensive roadmap for transformative education. Journal of Learning and Educational Policy, 5(1), 25–42. https://doi.org/10.1080/27692325.2022.1189052</w:t>
      </w:r>
    </w:p>
    <w:p w14:paraId="085B550B" w14:textId="77777777" w:rsidR="00D00FAB" w:rsidRDefault="00D00FAB" w:rsidP="00D00FAB">
      <w:pPr>
        <w:spacing w:before="100" w:beforeAutospacing="1" w:after="100" w:afterAutospacing="1"/>
        <w:rPr>
          <w:rFonts w:ascii="Arial" w:hAnsi="Arial"/>
          <w:lang w:val="en-PH" w:eastAsia="en-PH"/>
        </w:rPr>
      </w:pPr>
      <w:r w:rsidRPr="00112CEE">
        <w:rPr>
          <w:rFonts w:ascii="Arial" w:hAnsi="Arial"/>
          <w:highlight w:val="green"/>
          <w:lang w:val="en-PH" w:eastAsia="en-PH"/>
        </w:rPr>
        <w:t>Randolph, J. J., Bryson, A., Menon, L., Henderson, D. K., Kureethara Manuel, A., Michaels, S., … Lillard, A. S. (2023)</w:t>
      </w:r>
      <w:r>
        <w:rPr>
          <w:rFonts w:ascii="Arial" w:hAnsi="Arial"/>
          <w:lang w:val="en-PH" w:eastAsia="en-PH"/>
        </w:rPr>
        <w:t xml:space="preserve">. Montessori education’s impact on academic and non-academic </w:t>
      </w:r>
      <w:r>
        <w:rPr>
          <w:rFonts w:ascii="Arial" w:hAnsi="Arial"/>
          <w:lang w:val="en-PH" w:eastAsia="en-PH"/>
        </w:rPr>
        <w:lastRenderedPageBreak/>
        <w:t>outcomes: A systematic review. Campbell Systematic Reviews, 19(3), e1330. https://doi.org/10.1002/cl2.1330</w:t>
      </w:r>
    </w:p>
    <w:p w14:paraId="32DA4377" w14:textId="77777777" w:rsidR="00D00FAB" w:rsidRDefault="00D00FAB" w:rsidP="00D00FAB">
      <w:pPr>
        <w:spacing w:before="100" w:beforeAutospacing="1" w:after="100" w:afterAutospacing="1"/>
        <w:rPr>
          <w:rFonts w:ascii="Arial" w:hAnsi="Arial"/>
          <w:lang w:val="en-PH" w:eastAsia="en-PH"/>
        </w:rPr>
      </w:pPr>
      <w:r w:rsidRPr="006778FA">
        <w:rPr>
          <w:rFonts w:ascii="Arial" w:hAnsi="Arial"/>
          <w:highlight w:val="green"/>
          <w:lang w:val="en-PH" w:eastAsia="en-PH"/>
        </w:rPr>
        <w:t>Rao, S. (2022).</w:t>
      </w:r>
      <w:r>
        <w:rPr>
          <w:rFonts w:ascii="Arial" w:hAnsi="Arial"/>
          <w:lang w:val="en-PH" w:eastAsia="en-PH"/>
        </w:rPr>
        <w:t xml:space="preserve"> Knowledge traditions and community learning in pre-colonial India. History of Education, 51(4), 547–563. https://doi.org/10.1080/0046760X.2021.1978163</w:t>
      </w:r>
    </w:p>
    <w:p w14:paraId="7A5AF61B" w14:textId="77777777" w:rsidR="00D00FAB" w:rsidRDefault="00D00FAB" w:rsidP="00D00FAB">
      <w:pPr>
        <w:spacing w:before="100" w:beforeAutospacing="1" w:after="100" w:afterAutospacing="1"/>
        <w:rPr>
          <w:rFonts w:ascii="Arial" w:hAnsi="Arial"/>
          <w:lang w:val="en-PH" w:eastAsia="en-PH"/>
        </w:rPr>
      </w:pPr>
      <w:r w:rsidRPr="00F8665A">
        <w:rPr>
          <w:rFonts w:ascii="Arial" w:hAnsi="Arial"/>
          <w:highlight w:val="red"/>
        </w:rPr>
        <w:t>Salma &amp; Nehal (2024). ??????????</w:t>
      </w:r>
    </w:p>
    <w:p w14:paraId="0EA06DC3" w14:textId="77777777" w:rsidR="00D00FAB" w:rsidRDefault="00D00FAB" w:rsidP="00D00FAB">
      <w:pPr>
        <w:spacing w:before="100" w:beforeAutospacing="1" w:after="100" w:afterAutospacing="1"/>
        <w:rPr>
          <w:rFonts w:ascii="Arial" w:hAnsi="Arial"/>
          <w:lang w:val="en-PH" w:eastAsia="en-PH"/>
        </w:rPr>
      </w:pPr>
      <w:r w:rsidRPr="001648A7">
        <w:rPr>
          <w:rFonts w:ascii="Arial" w:hAnsi="Arial" w:cs="Arial"/>
          <w:highlight w:val="red"/>
        </w:rPr>
        <w:t>Sathee NCERT (2023)….</w:t>
      </w:r>
      <w:r>
        <w:rPr>
          <w:rFonts w:ascii="Arial" w:hAnsi="Arial" w:cs="Arial"/>
        </w:rPr>
        <w:t>?????</w:t>
      </w:r>
    </w:p>
    <w:p w14:paraId="3B9F805F" w14:textId="77777777" w:rsidR="00D00FAB" w:rsidRDefault="00D00FAB" w:rsidP="00D00FAB">
      <w:pPr>
        <w:spacing w:before="100" w:beforeAutospacing="1" w:after="100" w:afterAutospacing="1"/>
        <w:rPr>
          <w:rFonts w:ascii="Arial" w:hAnsi="Arial"/>
          <w:lang w:val="en-PH" w:eastAsia="en-PH"/>
        </w:rPr>
      </w:pPr>
      <w:r w:rsidRPr="00BC1D0F">
        <w:rPr>
          <w:rFonts w:ascii="Arial" w:hAnsi="Arial"/>
          <w:highlight w:val="green"/>
          <w:lang w:val="en-PH" w:eastAsia="en-PH"/>
        </w:rPr>
        <w:t>Sardar, S., &amp; Das, A. C. (2024).</w:t>
      </w:r>
      <w:r>
        <w:rPr>
          <w:rFonts w:ascii="Arial" w:hAnsi="Arial"/>
          <w:lang w:val="en-PH" w:eastAsia="en-PH"/>
        </w:rPr>
        <w:t xml:space="preserve"> New dimension in evaluation system in secondary level: NEP 2020. Asian Journal of Education and Social Studies, 50(4), 91–96. https://doi.org/10.9734/ajess/2024/v50i41052</w:t>
      </w:r>
    </w:p>
    <w:p w14:paraId="710C8EA1" w14:textId="77777777" w:rsidR="00D00FAB" w:rsidRDefault="00D00FAB" w:rsidP="00D00FAB">
      <w:pPr>
        <w:spacing w:before="100" w:beforeAutospacing="1" w:after="100" w:afterAutospacing="1"/>
        <w:rPr>
          <w:rFonts w:ascii="Arial" w:hAnsi="Arial"/>
          <w:lang w:val="en-PH" w:eastAsia="en-PH"/>
        </w:rPr>
      </w:pPr>
      <w:r w:rsidRPr="002C5C3D">
        <w:rPr>
          <w:rFonts w:ascii="Arial" w:hAnsi="Arial"/>
          <w:highlight w:val="green"/>
          <w:lang w:val="en-PH" w:eastAsia="en-PH"/>
        </w:rPr>
        <w:t>Scharfe, H. (2002).</w:t>
      </w:r>
      <w:r>
        <w:rPr>
          <w:rFonts w:ascii="Arial" w:hAnsi="Arial"/>
          <w:lang w:val="en-PH" w:eastAsia="en-PH"/>
        </w:rPr>
        <w:t xml:space="preserve"> From temple schools to universities. In Education in Ancient India: Handbook of Oriental Studies (pp. 169–174). Brill.</w:t>
      </w:r>
    </w:p>
    <w:p w14:paraId="09C8B9B1" w14:textId="77777777" w:rsidR="00D00FAB" w:rsidRDefault="00D00FAB" w:rsidP="00D00FAB">
      <w:pPr>
        <w:spacing w:before="100" w:beforeAutospacing="1" w:after="100" w:afterAutospacing="1"/>
        <w:rPr>
          <w:rFonts w:ascii="Arial" w:hAnsi="Arial"/>
          <w:lang w:val="en-PH" w:eastAsia="en-PH"/>
        </w:rPr>
      </w:pPr>
      <w:r w:rsidRPr="00D005DF">
        <w:rPr>
          <w:rFonts w:ascii="Arial" w:hAnsi="Arial" w:cs="Arial"/>
          <w:bCs/>
          <w:highlight w:val="red"/>
        </w:rPr>
        <w:t>SEAMEO (2025)……</w:t>
      </w:r>
      <w:r>
        <w:rPr>
          <w:rFonts w:ascii="Arial" w:hAnsi="Arial" w:cs="Arial"/>
          <w:bCs/>
        </w:rPr>
        <w:t>?????</w:t>
      </w:r>
    </w:p>
    <w:p w14:paraId="748870DF" w14:textId="77777777" w:rsidR="00D00FAB" w:rsidRDefault="00D00FAB" w:rsidP="00D00FAB">
      <w:pPr>
        <w:spacing w:before="100" w:beforeAutospacing="1" w:after="100" w:afterAutospacing="1"/>
        <w:rPr>
          <w:rFonts w:ascii="Arial" w:hAnsi="Arial"/>
          <w:lang w:val="en-PH" w:eastAsia="en-PH"/>
        </w:rPr>
      </w:pPr>
      <w:r w:rsidRPr="00962FCB">
        <w:rPr>
          <w:rFonts w:ascii="Arial" w:hAnsi="Arial"/>
          <w:highlight w:val="green"/>
          <w:lang w:val="en-PH" w:eastAsia="en-PH"/>
        </w:rPr>
        <w:t>SEAMEO Secretariat. (2025a</w:t>
      </w:r>
      <w:r>
        <w:rPr>
          <w:rFonts w:ascii="Arial" w:hAnsi="Arial"/>
          <w:lang w:val="en-PH" w:eastAsia="en-PH"/>
        </w:rPr>
        <w:t>, January 9). SEA-PLM 2024: Driving regional collaboration to transform foundational learning in Southeast Asia. SEAMEO. https://www.seameo.org/Main_news/488</w:t>
      </w:r>
    </w:p>
    <w:p w14:paraId="315F1658" w14:textId="77777777" w:rsidR="00D00FAB" w:rsidRDefault="00D00FAB" w:rsidP="00D00FAB">
      <w:pPr>
        <w:spacing w:before="100" w:beforeAutospacing="1" w:after="100" w:afterAutospacing="1"/>
        <w:rPr>
          <w:rFonts w:ascii="Arial" w:hAnsi="Arial"/>
          <w:lang w:val="en-PH" w:eastAsia="en-PH"/>
        </w:rPr>
      </w:pPr>
      <w:r w:rsidRPr="00AE76B5">
        <w:rPr>
          <w:rFonts w:ascii="Arial" w:hAnsi="Arial"/>
          <w:highlight w:val="green"/>
          <w:lang w:val="en-PH" w:eastAsia="en-PH"/>
        </w:rPr>
        <w:t>SEAMEO Secretariat. (2025b</w:t>
      </w:r>
      <w:r>
        <w:rPr>
          <w:rFonts w:ascii="Arial" w:hAnsi="Arial"/>
          <w:lang w:val="en-PH" w:eastAsia="en-PH"/>
        </w:rPr>
        <w:t>, April 9). SEA-PLM highlights equity challenges in technology access in Southeast Asia. SEAMEO. https://www.seameo.org/category/4/467</w:t>
      </w:r>
    </w:p>
    <w:p w14:paraId="27E90736" w14:textId="77777777" w:rsidR="00D00FAB" w:rsidRDefault="00D00FAB" w:rsidP="00D00FAB">
      <w:pPr>
        <w:spacing w:before="100" w:beforeAutospacing="1" w:after="100" w:afterAutospacing="1"/>
        <w:rPr>
          <w:rFonts w:ascii="Arial" w:hAnsi="Arial"/>
          <w:lang w:val="en-PH" w:eastAsia="en-PH"/>
        </w:rPr>
      </w:pPr>
      <w:r w:rsidRPr="00B74E0E">
        <w:rPr>
          <w:rFonts w:ascii="Arial" w:hAnsi="Arial"/>
          <w:highlight w:val="green"/>
          <w:lang w:val="en-PH" w:eastAsia="en-PH"/>
        </w:rPr>
        <w:t>Sethy, S. S. (2022).</w:t>
      </w:r>
      <w:r>
        <w:rPr>
          <w:rFonts w:ascii="Arial" w:hAnsi="Arial"/>
          <w:lang w:val="en-PH" w:eastAsia="en-PH"/>
        </w:rPr>
        <w:t xml:space="preserve"> Alternative education in India: A philosophical exploration of Krishnamurti schools. Journal of Philosophy of Education, 56(6), 1047–1064. https://doi.org/10.1111/1467-9752.12678</w:t>
      </w:r>
    </w:p>
    <w:p w14:paraId="31C662E8" w14:textId="77777777" w:rsidR="00D00FAB" w:rsidRDefault="00D00FAB" w:rsidP="00D00FAB">
      <w:pPr>
        <w:spacing w:before="100" w:beforeAutospacing="1" w:after="100" w:afterAutospacing="1"/>
        <w:rPr>
          <w:rFonts w:ascii="Arial" w:hAnsi="Arial"/>
          <w:lang w:val="en-PH" w:eastAsia="en-PH"/>
        </w:rPr>
      </w:pPr>
      <w:r w:rsidRPr="002C5C3D">
        <w:rPr>
          <w:rFonts w:ascii="Arial" w:hAnsi="Arial"/>
          <w:highlight w:val="green"/>
          <w:lang w:val="en-PH" w:eastAsia="en-PH"/>
        </w:rPr>
        <w:t>Sheikh, A. A. (2021).</w:t>
      </w:r>
      <w:r>
        <w:rPr>
          <w:rFonts w:ascii="Arial" w:hAnsi="Arial"/>
          <w:lang w:val="en-PH" w:eastAsia="en-PH"/>
        </w:rPr>
        <w:t xml:space="preserve"> Pathashala and informal education in ancient Indian communities: Community-based learning models. Journal of South Asian Education, 5(2), 45–60.</w:t>
      </w:r>
    </w:p>
    <w:p w14:paraId="22CD3247" w14:textId="77777777" w:rsidR="00D00FAB" w:rsidRDefault="00D00FAB" w:rsidP="00D00FAB">
      <w:pPr>
        <w:spacing w:before="100" w:beforeAutospacing="1" w:after="100" w:afterAutospacing="1"/>
        <w:rPr>
          <w:rFonts w:ascii="Arial" w:hAnsi="Arial"/>
          <w:lang w:val="en-PH" w:eastAsia="en-PH"/>
        </w:rPr>
      </w:pPr>
      <w:r w:rsidRPr="00BF2927">
        <w:rPr>
          <w:rFonts w:ascii="Arial" w:hAnsi="Arial"/>
          <w:highlight w:val="red"/>
          <w:lang w:val="en-PH" w:eastAsia="en-PH"/>
        </w:rPr>
        <w:t>Singh, A. (2022).</w:t>
      </w:r>
      <w:r>
        <w:rPr>
          <w:rFonts w:ascii="Arial" w:hAnsi="Arial"/>
          <w:lang w:val="en-PH" w:eastAsia="en-PH"/>
        </w:rPr>
        <w:t xml:space="preserve"> Origin of Nālandā Mahāvihāra: Structure as evidence and seal as symbol. Ancient Asia, 13(1), 1–11. https://doi.org/10.5334/aa.273</w:t>
      </w:r>
    </w:p>
    <w:p w14:paraId="350E9906" w14:textId="77777777" w:rsidR="00D00FAB" w:rsidRDefault="00D00FAB" w:rsidP="00D00FAB">
      <w:pPr>
        <w:spacing w:before="100" w:beforeAutospacing="1" w:after="100" w:afterAutospacing="1"/>
        <w:rPr>
          <w:rFonts w:ascii="Arial" w:hAnsi="Arial"/>
          <w:lang w:val="en-PH" w:eastAsia="en-PH"/>
        </w:rPr>
      </w:pPr>
      <w:r w:rsidRPr="00070A88">
        <w:rPr>
          <w:rFonts w:ascii="Arial" w:hAnsi="Arial"/>
          <w:highlight w:val="green"/>
          <w:lang w:val="en-PH" w:eastAsia="en-PH"/>
        </w:rPr>
        <w:t>Thanganadar, A., &amp; Raj, T. R. (2025).</w:t>
      </w:r>
      <w:r>
        <w:rPr>
          <w:rFonts w:ascii="Arial" w:hAnsi="Arial"/>
          <w:lang w:val="en-PH" w:eastAsia="en-PH"/>
        </w:rPr>
        <w:t xml:space="preserve"> Analyzing the impact of the new educational policy 2020: A comprehensive review of India’s educational reforms. Evaluation and Program Planning, 108, 102515. https://doi.org/10.1016/j.evalprogplan.2024.102515</w:t>
      </w:r>
    </w:p>
    <w:p w14:paraId="0C113CBF" w14:textId="77777777" w:rsidR="00D00FAB" w:rsidRDefault="00D00FAB" w:rsidP="00D00FAB">
      <w:pPr>
        <w:spacing w:before="100" w:beforeAutospacing="1" w:after="100" w:afterAutospacing="1"/>
        <w:rPr>
          <w:rFonts w:ascii="Arial" w:hAnsi="Arial"/>
          <w:lang w:val="en-PH" w:eastAsia="en-PH"/>
        </w:rPr>
      </w:pPr>
      <w:r w:rsidRPr="002D71D4">
        <w:rPr>
          <w:rFonts w:ascii="Arial" w:hAnsi="Arial"/>
          <w:highlight w:val="green"/>
          <w:lang w:val="en-PH" w:eastAsia="en-PH"/>
        </w:rPr>
        <w:t>UNICEF Cambodia. (2021).</w:t>
      </w:r>
      <w:r>
        <w:rPr>
          <w:rFonts w:ascii="Arial" w:hAnsi="Arial"/>
          <w:lang w:val="en-PH" w:eastAsia="en-PH"/>
        </w:rPr>
        <w:t xml:space="preserve"> Education budget brief 2021: Allocative efficiency and impact of COVID-19 budget cuts. UNICEF. https://www.unicef.org/cambodia</w:t>
      </w:r>
    </w:p>
    <w:p w14:paraId="0C541C65" w14:textId="77777777" w:rsidR="00D00FAB" w:rsidRDefault="00D00FAB" w:rsidP="00D00FAB">
      <w:pPr>
        <w:spacing w:before="100" w:beforeAutospacing="1" w:after="100" w:afterAutospacing="1"/>
        <w:rPr>
          <w:rFonts w:ascii="Arial" w:hAnsi="Arial"/>
          <w:lang w:val="en-PH" w:eastAsia="en-PH"/>
        </w:rPr>
      </w:pPr>
      <w:r w:rsidRPr="009B1531">
        <w:rPr>
          <w:rFonts w:ascii="Arial" w:hAnsi="Arial"/>
          <w:highlight w:val="green"/>
          <w:lang w:val="en-PH" w:eastAsia="en-PH"/>
        </w:rPr>
        <w:t>Varghese, N. V., &amp; Tilak, J. B. G. (2021).</w:t>
      </w:r>
      <w:r>
        <w:rPr>
          <w:rFonts w:ascii="Arial" w:hAnsi="Arial"/>
          <w:lang w:val="en-PH" w:eastAsia="en-PH"/>
        </w:rPr>
        <w:t xml:space="preserve"> Education and development in India: Critical issues and policy perspectives. International Journal of Educational Development, 84, 102432. https://doi.org/10.1016/j.ijedudev.2021.102432</w:t>
      </w:r>
    </w:p>
    <w:p w14:paraId="11D1FA3A" w14:textId="77777777" w:rsidR="00D00FAB" w:rsidRDefault="00D00FAB" w:rsidP="00D00FAB">
      <w:pPr>
        <w:spacing w:before="100" w:beforeAutospacing="1" w:after="100" w:afterAutospacing="1"/>
        <w:rPr>
          <w:rFonts w:ascii="Arial" w:hAnsi="Arial"/>
          <w:lang w:val="en-PH" w:eastAsia="en-PH"/>
        </w:rPr>
      </w:pPr>
      <w:r w:rsidRPr="006E17FE">
        <w:rPr>
          <w:rFonts w:ascii="Arial" w:hAnsi="Arial"/>
          <w:highlight w:val="green"/>
          <w:lang w:val="en-PH" w:eastAsia="en-PH"/>
        </w:rPr>
        <w:t>Verma,</w:t>
      </w:r>
      <w:r>
        <w:rPr>
          <w:rFonts w:ascii="Arial" w:hAnsi="Arial"/>
          <w:lang w:val="en-PH" w:eastAsia="en-PH"/>
        </w:rPr>
        <w:t xml:space="preserve"> M</w:t>
      </w:r>
      <w:r w:rsidRPr="006E17FE">
        <w:rPr>
          <w:rFonts w:ascii="Arial" w:hAnsi="Arial"/>
          <w:highlight w:val="red"/>
          <w:lang w:val="en-PH" w:eastAsia="en-PH"/>
        </w:rPr>
        <w:t>., Chaturvedi, S., &amp; Purohit, S.</w:t>
      </w:r>
      <w:r>
        <w:rPr>
          <w:rFonts w:ascii="Arial" w:hAnsi="Arial"/>
          <w:lang w:val="en-PH" w:eastAsia="en-PH"/>
        </w:rPr>
        <w:t xml:space="preserve"> (2021). Effective teaching practices for success during COVID-19 pandemic: Towards phygital learning. Frontiers in Education, 6, 646557. https://doi.org/10.3389/feduc.2021.646557</w:t>
      </w:r>
    </w:p>
    <w:p w14:paraId="3F794B00" w14:textId="77777777" w:rsidR="00D00FAB" w:rsidRDefault="00D00FAB" w:rsidP="00D00FAB">
      <w:pPr>
        <w:spacing w:before="100" w:beforeAutospacing="1" w:after="100" w:afterAutospacing="1"/>
        <w:rPr>
          <w:rFonts w:ascii="Arial" w:hAnsi="Arial"/>
          <w:lang w:val="en-PH" w:eastAsia="en-PH"/>
        </w:rPr>
      </w:pPr>
      <w:r w:rsidRPr="00AC3D48">
        <w:rPr>
          <w:rFonts w:ascii="Arial" w:hAnsi="Arial"/>
          <w:highlight w:val="green"/>
          <w:lang w:val="en-PH" w:eastAsia="en-PH"/>
        </w:rPr>
        <w:t>Volante, L., Schnepf, S. V., &amp; Jerrim, J. (2024).</w:t>
      </w:r>
      <w:r>
        <w:rPr>
          <w:rFonts w:ascii="Arial" w:hAnsi="Arial"/>
          <w:lang w:val="en-PH" w:eastAsia="en-PH"/>
        </w:rPr>
        <w:t xml:space="preserve"> The politics of PISA: How international assessments shape national education reform. Education Policy Analysis Archives, 32(45), 1–28. https://doi.org/10.14507/epaa.32.22410</w:t>
      </w:r>
    </w:p>
    <w:p w14:paraId="2B3F273A" w14:textId="77777777" w:rsidR="00D00FAB" w:rsidRDefault="00D00FAB" w:rsidP="00D00FAB">
      <w:pPr>
        <w:spacing w:before="100" w:beforeAutospacing="1" w:after="100" w:afterAutospacing="1"/>
        <w:rPr>
          <w:rFonts w:ascii="Arial" w:hAnsi="Arial" w:cs="Arial"/>
          <w:lang w:val="en-PH" w:eastAsia="en-PH"/>
        </w:rPr>
      </w:pPr>
      <w:r w:rsidRPr="002D71D4">
        <w:rPr>
          <w:rFonts w:ascii="Arial" w:hAnsi="Arial"/>
          <w:highlight w:val="green"/>
          <w:lang w:val="en-PH" w:eastAsia="en-PH"/>
        </w:rPr>
        <w:lastRenderedPageBreak/>
        <w:t>World Bank. (2024).</w:t>
      </w:r>
      <w:r>
        <w:rPr>
          <w:rFonts w:ascii="Arial" w:hAnsi="Arial"/>
          <w:lang w:val="en-PH" w:eastAsia="en-PH"/>
        </w:rPr>
        <w:t xml:space="preserve"> Education expenditure and decentralization in Cambodia. Khmer Times. https://www.khmertimeskh.com/501468040</w:t>
      </w:r>
    </w:p>
    <w:p w14:paraId="406D8B19" w14:textId="6BDD5830" w:rsidR="00D604FB" w:rsidRDefault="00D604FB" w:rsidP="00D00FAB">
      <w:pPr>
        <w:pStyle w:val="Heading2"/>
        <w:spacing w:before="0" w:after="120" w:line="275" w:lineRule="auto"/>
        <w:rPr>
          <w:rFonts w:ascii="Arial" w:hAnsi="Arial" w:cs="Arial"/>
          <w:lang w:val="en-PH" w:eastAsia="en-PH"/>
        </w:rPr>
      </w:pPr>
    </w:p>
    <w:sectPr w:rsidR="00D604FB" w:rsidSect="003B52BD">
      <w:headerReference w:type="even" r:id="rId26"/>
      <w:headerReference w:type="default" r:id="rId27"/>
      <w:footerReference w:type="default" r:id="rId28"/>
      <w:headerReference w:type="first" r:id="rId29"/>
      <w:type w:val="continuous"/>
      <w:pgSz w:w="12240" w:h="15840"/>
      <w:pgMar w:top="720" w:right="1920" w:bottom="720" w:left="2016" w:header="720" w:footer="720" w:gutter="0"/>
      <w:cols w:space="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ppiah-Odame, Eric" w:date="2025-11-10T18:08:00Z" w:initials="EA">
    <w:p w14:paraId="43C0A2B5" w14:textId="77777777" w:rsidR="00331A03" w:rsidRDefault="001159E3" w:rsidP="00331A03">
      <w:pPr>
        <w:pStyle w:val="CommentText"/>
      </w:pPr>
      <w:r>
        <w:rPr>
          <w:rStyle w:val="CommentReference"/>
        </w:rPr>
        <w:annotationRef/>
      </w:r>
      <w:r w:rsidR="00331A03">
        <w:t>Space needed</w:t>
      </w:r>
    </w:p>
    <w:p w14:paraId="502EC62E" w14:textId="77777777" w:rsidR="00331A03" w:rsidRDefault="00331A03" w:rsidP="00331A03">
      <w:pPr>
        <w:pStyle w:val="CommentText"/>
      </w:pPr>
    </w:p>
    <w:p w14:paraId="508F3C38" w14:textId="77777777" w:rsidR="00331A03" w:rsidRDefault="00331A03" w:rsidP="00331A03">
      <w:pPr>
        <w:pStyle w:val="CommentText"/>
      </w:pPr>
      <w:r>
        <w:t>Since this is a commentary, it is suggested this article should state the methodology and design, for instance, a qualitative methods using document reviews to....</w:t>
      </w:r>
    </w:p>
  </w:comment>
  <w:comment w:id="2" w:author="Appiah-Odame, Eric" w:date="2025-11-10T18:13:00Z" w:initials="EA">
    <w:p w14:paraId="1256406A" w14:textId="77777777" w:rsidR="002B6C82" w:rsidRDefault="002B6C82" w:rsidP="002B6C82">
      <w:pPr>
        <w:pStyle w:val="CommentText"/>
      </w:pPr>
      <w:r>
        <w:rPr>
          <w:rStyle w:val="CommentReference"/>
        </w:rPr>
        <w:annotationRef/>
      </w:r>
      <w:r>
        <w:rPr>
          <w:lang w:val="en-US"/>
        </w:rPr>
        <w:t>It is suggested this last sentence for the paragraph should not have an in-text citation. Consider making the parenthetical in-text citation in the middle of the paragraph.</w:t>
      </w:r>
    </w:p>
  </w:comment>
  <w:comment w:id="3" w:author="Appiah-Odame, Eric" w:date="2025-11-10T18:14:00Z" w:initials="EA">
    <w:p w14:paraId="3A1E1C2A" w14:textId="77777777" w:rsidR="00B61DAD" w:rsidRDefault="00B61DAD" w:rsidP="00B61DAD">
      <w:pPr>
        <w:pStyle w:val="CommentText"/>
      </w:pPr>
      <w:r>
        <w:rPr>
          <w:rStyle w:val="CommentReference"/>
        </w:rPr>
        <w:annotationRef/>
      </w:r>
      <w:r>
        <w:rPr>
          <w:lang w:val="en-US"/>
        </w:rPr>
        <w:t>Just as above. The first and last sentences of each paragraph should be devoid of in-text citations.</w:t>
      </w:r>
    </w:p>
  </w:comment>
  <w:comment w:id="4" w:author="Appiah-Odame, Eric" w:date="2025-11-10T18:34:00Z" w:initials="EA">
    <w:p w14:paraId="1467532B" w14:textId="77777777" w:rsidR="008A515A" w:rsidRDefault="008A515A" w:rsidP="008A515A">
      <w:pPr>
        <w:pStyle w:val="CommentText"/>
      </w:pPr>
      <w:r>
        <w:rPr>
          <w:rStyle w:val="CommentReference"/>
        </w:rPr>
        <w:annotationRef/>
      </w:r>
      <w:r>
        <w:rPr>
          <w:lang w:val="en-US"/>
        </w:rPr>
        <w:t>Wrongly cited</w:t>
      </w:r>
    </w:p>
    <w:p w14:paraId="5AEE5397" w14:textId="77777777" w:rsidR="008A515A" w:rsidRDefault="008A515A" w:rsidP="008A515A">
      <w:pPr>
        <w:pStyle w:val="CommentText"/>
      </w:pPr>
    </w:p>
    <w:p w14:paraId="3A58BD12" w14:textId="77777777" w:rsidR="008A515A" w:rsidRDefault="008A515A" w:rsidP="008A515A">
      <w:pPr>
        <w:pStyle w:val="CommentText"/>
      </w:pPr>
      <w:r>
        <w:rPr>
          <w:lang w:val="en-US"/>
        </w:rPr>
        <w:t>It is</w:t>
      </w:r>
      <w:r>
        <w:rPr>
          <w:highlight w:val="yellow"/>
          <w:lang w:val="en-US"/>
        </w:rPr>
        <w:t xml:space="preserve"> Verma et al., (2021). ….</w:t>
      </w:r>
    </w:p>
  </w:comment>
  <w:comment w:id="5" w:author="Appiah-Odame, Eric" w:date="2025-11-10T18:14:00Z" w:initials="EA">
    <w:p w14:paraId="718A1E3C" w14:textId="00451E93" w:rsidR="00B61DAD" w:rsidRDefault="00B61DAD" w:rsidP="00B61DAD">
      <w:pPr>
        <w:pStyle w:val="CommentText"/>
      </w:pPr>
      <w:r>
        <w:rPr>
          <w:rStyle w:val="CommentReference"/>
        </w:rPr>
        <w:annotationRef/>
      </w:r>
      <w:r>
        <w:t>Just as above. The first and last sentences of each paragraph should be devoid of in-text citations.</w:t>
      </w:r>
    </w:p>
  </w:comment>
  <w:comment w:id="6" w:author="Appiah-Odame, Eric" w:date="2025-11-10T18:14:00Z" w:initials="EA">
    <w:p w14:paraId="35668CDC" w14:textId="77777777" w:rsidR="00B61DAD" w:rsidRDefault="00B61DAD" w:rsidP="00B61DAD">
      <w:pPr>
        <w:pStyle w:val="CommentText"/>
      </w:pPr>
      <w:r>
        <w:rPr>
          <w:rStyle w:val="CommentReference"/>
        </w:rPr>
        <w:annotationRef/>
      </w:r>
      <w:r>
        <w:t>Just as above. The first and last sentences of each paragraph should be devoid of in-text citations.</w:t>
      </w:r>
    </w:p>
  </w:comment>
  <w:comment w:id="7" w:author="Appiah-Odame, Eric" w:date="2025-11-10T18:15:00Z" w:initials="EA">
    <w:p w14:paraId="25A9553C" w14:textId="77777777" w:rsidR="00022679" w:rsidRDefault="00022679" w:rsidP="00022679">
      <w:pPr>
        <w:pStyle w:val="CommentText"/>
      </w:pPr>
      <w:r>
        <w:rPr>
          <w:rStyle w:val="CommentReference"/>
        </w:rPr>
        <w:annotationRef/>
      </w:r>
      <w:r>
        <w:t>Just as above. The first and last sentences of each paragraph should be devoid of in-text citations.</w:t>
      </w:r>
    </w:p>
  </w:comment>
  <w:comment w:id="8" w:author="Appiah-Odame, Eric" w:date="2025-11-10T18:40:00Z" w:initials="EA">
    <w:p w14:paraId="5328960D" w14:textId="77777777" w:rsidR="00CF660A" w:rsidRDefault="00CF660A" w:rsidP="00CF660A">
      <w:pPr>
        <w:pStyle w:val="CommentText"/>
      </w:pPr>
      <w:r>
        <w:rPr>
          <w:rStyle w:val="CommentReference"/>
        </w:rPr>
        <w:annotationRef/>
      </w:r>
      <w:r>
        <w:rPr>
          <w:lang w:val="en-US"/>
        </w:rPr>
        <w:t>Not in Reference list</w:t>
      </w:r>
    </w:p>
  </w:comment>
  <w:comment w:id="9" w:author="Appiah-Odame, Eric" w:date="2025-11-10T18:15:00Z" w:initials="EA">
    <w:p w14:paraId="4A816019" w14:textId="10D40B0A" w:rsidR="00022679" w:rsidRDefault="00022679" w:rsidP="00022679">
      <w:pPr>
        <w:pStyle w:val="CommentText"/>
      </w:pPr>
      <w:r>
        <w:rPr>
          <w:rStyle w:val="CommentReference"/>
        </w:rPr>
        <w:annotationRef/>
      </w:r>
      <w:r>
        <w:t>Just as above. The first and last sentences of each paragraph should be devoid of in-text citations.</w:t>
      </w:r>
    </w:p>
  </w:comment>
  <w:comment w:id="10" w:author="Appiah-Odame, Eric" w:date="2025-11-10T18:15:00Z" w:initials="EA">
    <w:p w14:paraId="078D7D79" w14:textId="77777777" w:rsidR="00022679" w:rsidRDefault="00022679" w:rsidP="00022679">
      <w:pPr>
        <w:pStyle w:val="CommentText"/>
      </w:pPr>
      <w:r>
        <w:rPr>
          <w:rStyle w:val="CommentReference"/>
        </w:rPr>
        <w:annotationRef/>
      </w:r>
      <w:r>
        <w:t>Just as above. The first and last sentences of each paragraph should be devoid of in-text citations.</w:t>
      </w:r>
    </w:p>
  </w:comment>
  <w:comment w:id="11" w:author="Appiah-Odame, Eric" w:date="2025-11-10T18:21:00Z" w:initials="EA">
    <w:p w14:paraId="30D0A8F3" w14:textId="77777777" w:rsidR="00D00FAB" w:rsidRDefault="00D00FAB" w:rsidP="00D00FAB">
      <w:pPr>
        <w:pStyle w:val="CommentText"/>
      </w:pPr>
      <w:r>
        <w:rPr>
          <w:rStyle w:val="CommentReference"/>
          <w:rFonts w:eastAsiaTheme="majorEastAsia"/>
        </w:rPr>
        <w:annotationRef/>
      </w:r>
      <w:r>
        <w:t xml:space="preserve">All the references must comply with the APA style and the name of the journal and the volume should be in italics. </w:t>
      </w:r>
    </w:p>
    <w:p w14:paraId="4FEE33B0" w14:textId="77777777" w:rsidR="00D00FAB" w:rsidRDefault="00D00FAB" w:rsidP="00D00FAB">
      <w:pPr>
        <w:pStyle w:val="CommentText"/>
      </w:pPr>
    </w:p>
    <w:p w14:paraId="0041D6BC" w14:textId="77777777" w:rsidR="00D00FAB" w:rsidRDefault="00D00FAB" w:rsidP="00D00FAB">
      <w:pPr>
        <w:pStyle w:val="CommentText"/>
      </w:pPr>
      <w:r>
        <w:t xml:space="preserve">A few (the first 4) has been done as a follow up to the author. </w:t>
      </w:r>
    </w:p>
  </w:comment>
  <w:comment w:id="12" w:author="Appiah-Odame, Eric" w:date="2025-11-10T18:23:00Z" w:initials="EA">
    <w:p w14:paraId="78D79E12" w14:textId="77777777" w:rsidR="00D00FAB" w:rsidRDefault="00D00FAB" w:rsidP="00D00FAB">
      <w:pPr>
        <w:pStyle w:val="CommentText"/>
      </w:pPr>
      <w:r>
        <w:rPr>
          <w:rStyle w:val="CommentReference"/>
          <w:rFonts w:eastAsiaTheme="majorEastAsia"/>
        </w:rPr>
        <w:annotationRef/>
      </w:r>
      <w:r>
        <w:rPr>
          <w:lang w:val="en-US"/>
        </w:rPr>
        <w:t>Give a short version of their URL with doi preferred.</w:t>
      </w:r>
    </w:p>
  </w:comment>
  <w:comment w:id="13" w:author="Appiah-Odame, Eric" w:date="2025-11-10T18:26:00Z" w:initials="EA">
    <w:p w14:paraId="02D80617" w14:textId="77777777" w:rsidR="00D00FAB" w:rsidRDefault="00D00FAB" w:rsidP="00D00FAB">
      <w:pPr>
        <w:pStyle w:val="CommentText"/>
      </w:pPr>
      <w:r>
        <w:rPr>
          <w:rStyle w:val="CommentReference"/>
          <w:rFonts w:eastAsiaTheme="majorEastAsia"/>
        </w:rPr>
        <w:annotationRef/>
      </w:r>
      <w:r>
        <w:rPr>
          <w:lang w:val="en-US"/>
        </w:rPr>
        <w:t>This is an example of a short version of the long URL. Please, create a bitly account and give the shorten version of all the url’s which are not containing a doi.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8F3C38" w15:done="0"/>
  <w15:commentEx w15:paraId="1256406A" w15:done="0"/>
  <w15:commentEx w15:paraId="3A1E1C2A" w15:done="0"/>
  <w15:commentEx w15:paraId="3A58BD12" w15:done="0"/>
  <w15:commentEx w15:paraId="718A1E3C" w15:done="0"/>
  <w15:commentEx w15:paraId="35668CDC" w15:done="0"/>
  <w15:commentEx w15:paraId="25A9553C" w15:done="0"/>
  <w15:commentEx w15:paraId="5328960D" w15:done="0"/>
  <w15:commentEx w15:paraId="4A816019" w15:done="0"/>
  <w15:commentEx w15:paraId="078D7D79" w15:done="0"/>
  <w15:commentEx w15:paraId="0041D6BC" w15:done="0"/>
  <w15:commentEx w15:paraId="78D79E12" w15:done="0"/>
  <w15:commentEx w15:paraId="02D806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BB22BF" w16cex:dateUtc="2025-11-11T00:08:00Z"/>
  <w16cex:commentExtensible w16cex:durableId="738FC9CE" w16cex:dateUtc="2025-11-11T00:13:00Z"/>
  <w16cex:commentExtensible w16cex:durableId="7CE08FFD" w16cex:dateUtc="2025-11-11T00:14:00Z"/>
  <w16cex:commentExtensible w16cex:durableId="27EAB9F4" w16cex:dateUtc="2025-11-11T00:34:00Z"/>
  <w16cex:commentExtensible w16cex:durableId="6A3072DD" w16cex:dateUtc="2025-11-11T00:14:00Z"/>
  <w16cex:commentExtensible w16cex:durableId="7EC77EED" w16cex:dateUtc="2025-11-11T00:14:00Z"/>
  <w16cex:commentExtensible w16cex:durableId="53545ADA" w16cex:dateUtc="2025-11-11T00:15:00Z"/>
  <w16cex:commentExtensible w16cex:durableId="76CF6785" w16cex:dateUtc="2025-11-11T00:40:00Z"/>
  <w16cex:commentExtensible w16cex:durableId="2FBD71D8" w16cex:dateUtc="2025-11-11T00:15:00Z"/>
  <w16cex:commentExtensible w16cex:durableId="002CEC20" w16cex:dateUtc="2025-11-11T00:15:00Z"/>
  <w16cex:commentExtensible w16cex:durableId="5CE3CE55" w16cex:dateUtc="2025-11-11T00:21:00Z"/>
  <w16cex:commentExtensible w16cex:durableId="24593A03" w16cex:dateUtc="2025-11-11T00:23:00Z"/>
  <w16cex:commentExtensible w16cex:durableId="59EFE598" w16cex:dateUtc="2025-11-11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8F3C38" w16cid:durableId="2DBB22BF"/>
  <w16cid:commentId w16cid:paraId="1256406A" w16cid:durableId="738FC9CE"/>
  <w16cid:commentId w16cid:paraId="3A1E1C2A" w16cid:durableId="7CE08FFD"/>
  <w16cid:commentId w16cid:paraId="3A58BD12" w16cid:durableId="27EAB9F4"/>
  <w16cid:commentId w16cid:paraId="718A1E3C" w16cid:durableId="6A3072DD"/>
  <w16cid:commentId w16cid:paraId="35668CDC" w16cid:durableId="7EC77EED"/>
  <w16cid:commentId w16cid:paraId="25A9553C" w16cid:durableId="53545ADA"/>
  <w16cid:commentId w16cid:paraId="5328960D" w16cid:durableId="76CF6785"/>
  <w16cid:commentId w16cid:paraId="4A816019" w16cid:durableId="2FBD71D8"/>
  <w16cid:commentId w16cid:paraId="078D7D79" w16cid:durableId="002CEC20"/>
  <w16cid:commentId w16cid:paraId="0041D6BC" w16cid:durableId="5CE3CE55"/>
  <w16cid:commentId w16cid:paraId="78D79E12" w16cid:durableId="24593A03"/>
  <w16cid:commentId w16cid:paraId="02D80617" w16cid:durableId="59EFE5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361A" w14:textId="77777777" w:rsidR="00341B07" w:rsidRDefault="00341B07">
      <w:r>
        <w:separator/>
      </w:r>
    </w:p>
  </w:endnote>
  <w:endnote w:type="continuationSeparator" w:id="0">
    <w:p w14:paraId="21D6320C" w14:textId="77777777" w:rsidR="00341B07" w:rsidRDefault="0034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Google Sans">
    <w:altName w:val="Segoe Print"/>
    <w:charset w:val="00"/>
    <w:family w:val="auto"/>
    <w:pitch w:val="default"/>
  </w:font>
  <w:font w:name="Google Sans Tex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FD91" w14:textId="77777777" w:rsidR="003B52BD" w:rsidRDefault="003B5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3552" w14:textId="77777777" w:rsidR="003B52BD" w:rsidRDefault="003B5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A78B" w14:textId="77777777" w:rsidR="00D604FB" w:rsidRDefault="00D604FB">
    <w:pPr>
      <w:pStyle w:val="Footer"/>
      <w:rPr>
        <w:rFonts w:ascii="Arial" w:hAnsi="Arial" w:cs="Arial"/>
        <w:sz w:val="16"/>
      </w:rPr>
    </w:pPr>
  </w:p>
  <w:p w14:paraId="21896AF2" w14:textId="77777777" w:rsidR="00D604FB" w:rsidRDefault="00341B07">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FD88BAC" w14:textId="77777777" w:rsidR="00D604FB" w:rsidRDefault="00D604FB">
    <w:pPr>
      <w:pStyle w:val="Footer"/>
      <w:rPr>
        <w:rFonts w:ascii="Arial" w:hAnsi="Arial" w:cs="Arial"/>
        <w:sz w:val="16"/>
      </w:rPr>
    </w:pPr>
  </w:p>
  <w:p w14:paraId="21732372" w14:textId="77777777" w:rsidR="00D604FB" w:rsidRDefault="00341B07">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2C07" w14:textId="77777777" w:rsidR="00D604FB" w:rsidRDefault="00D60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DBCA6" w14:textId="77777777" w:rsidR="00341B07" w:rsidRDefault="00341B07">
      <w:r>
        <w:separator/>
      </w:r>
    </w:p>
  </w:footnote>
  <w:footnote w:type="continuationSeparator" w:id="0">
    <w:p w14:paraId="38E1D186" w14:textId="77777777" w:rsidR="00341B07" w:rsidRDefault="00341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DF2A" w14:textId="028CFC77" w:rsidR="003B52BD" w:rsidRDefault="00D00FAB">
    <w:pPr>
      <w:pStyle w:val="Header"/>
    </w:pPr>
    <w:r>
      <w:rPr>
        <w:noProof/>
      </w:rPr>
      <w:pict w14:anchorId="0445B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3" o:spid="_x0000_s2050" type="#_x0000_t136" style="position:absolute;margin-left:0;margin-top:0;width:525.95pt;height:59.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77933" w14:textId="65960D12" w:rsidR="003B52BD" w:rsidRDefault="00D00FAB">
    <w:pPr>
      <w:pStyle w:val="Header"/>
    </w:pPr>
    <w:r>
      <w:rPr>
        <w:noProof/>
      </w:rPr>
      <w:pict w14:anchorId="3019B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4" o:spid="_x0000_s2051" type="#_x0000_t136" style="position:absolute;margin-left:0;margin-top:0;width:525.95pt;height:59.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71F9" w14:textId="373C9B3A" w:rsidR="00D604FB" w:rsidRDefault="00D00FAB">
    <w:pPr>
      <w:ind w:left="2160"/>
      <w:jc w:val="center"/>
      <w:rPr>
        <w:rFonts w:ascii="Times New Roman" w:eastAsia="Calibri" w:hAnsi="Times New Roman"/>
        <w:i/>
        <w:sz w:val="18"/>
        <w:szCs w:val="22"/>
      </w:rPr>
    </w:pPr>
    <w:r>
      <w:rPr>
        <w:noProof/>
      </w:rPr>
      <w:pict w14:anchorId="0B2C22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2" o:spid="_x0000_s2049" type="#_x0000_t136" style="position:absolute;left:0;text-align:left;margin-left:0;margin-top:0;width:525.95pt;height:59.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00902C6" w14:textId="77777777" w:rsidR="00D604FB" w:rsidRDefault="00341B07">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4BC2AF0" w14:textId="77777777" w:rsidR="00D604FB" w:rsidRDefault="00341B07">
    <w:pPr>
      <w:jc w:val="center"/>
      <w:rPr>
        <w:rFonts w:ascii="Times New Roman" w:eastAsia="Calibri" w:hAnsi="Times New Roman"/>
        <w:i/>
        <w:sz w:val="18"/>
        <w:szCs w:val="22"/>
      </w:rPr>
    </w:pPr>
    <w:r>
      <w:rPr>
        <w:rFonts w:ascii="Times New Roman" w:eastAsia="Calibri" w:hAnsi="Times New Roman"/>
        <w:i/>
        <w:sz w:val="18"/>
        <w:szCs w:val="22"/>
      </w:rPr>
      <w:t>.</w:t>
    </w:r>
  </w:p>
  <w:p w14:paraId="21C81E31" w14:textId="77777777" w:rsidR="00D604FB" w:rsidRDefault="00341B0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53B11F3" w14:textId="77777777" w:rsidR="00D604FB" w:rsidRDefault="00341B07">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62C4A15" w14:textId="77777777" w:rsidR="00D604FB" w:rsidRDefault="00341B0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22C0F3" w14:textId="77777777" w:rsidR="00D604FB" w:rsidRDefault="00341B0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0FB1" w14:textId="1E8C266D" w:rsidR="003B52BD" w:rsidRDefault="00D00FAB">
    <w:pPr>
      <w:pStyle w:val="Header"/>
    </w:pPr>
    <w:r>
      <w:rPr>
        <w:noProof/>
      </w:rPr>
      <w:pict w14:anchorId="5B712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6" o:spid="_x0000_s2053" type="#_x0000_t136" style="position:absolute;margin-left:0;margin-top:0;width:525.95pt;height:59.3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58D5" w14:textId="22CF40A6" w:rsidR="003B52BD" w:rsidRDefault="00D00FAB">
    <w:pPr>
      <w:pStyle w:val="Header"/>
    </w:pPr>
    <w:r>
      <w:rPr>
        <w:noProof/>
      </w:rPr>
      <w:pict w14:anchorId="72C5A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7" o:spid="_x0000_s2054" type="#_x0000_t136" style="position:absolute;margin-left:0;margin-top:0;width:525.95pt;height:59.3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86EB" w14:textId="657FFD4F" w:rsidR="003B52BD" w:rsidRDefault="00D00FAB">
    <w:pPr>
      <w:pStyle w:val="Header"/>
    </w:pPr>
    <w:r>
      <w:rPr>
        <w:noProof/>
      </w:rPr>
      <w:pict w14:anchorId="1F283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86815" o:spid="_x0000_s2052" type="#_x0000_t136" style="position:absolute;margin-left:0;margin-top:0;width:525.95pt;height:59.3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F57894"/>
    <w:multiLevelType w:val="singleLevel"/>
    <w:tmpl w:val="CFF57894"/>
    <w:lvl w:ilvl="0">
      <w:start w:val="2"/>
      <w:numFmt w:val="decimal"/>
      <w:suff w:val="space"/>
      <w:lvlText w:val="%1."/>
      <w:lvlJc w:val="left"/>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142892635">
    <w:abstractNumId w:val="1"/>
  </w:num>
  <w:num w:numId="2" w16cid:durableId="20992533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iah-Odame, Eric">
    <w15:presenceInfo w15:providerId="AD" w15:userId="S::eappiahodame@ucn.ca::97ee409c-f44b-4704-b97c-5f4e725ba3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2679"/>
    <w:rsid w:val="00030174"/>
    <w:rsid w:val="0004579C"/>
    <w:rsid w:val="00065013"/>
    <w:rsid w:val="000A47FA"/>
    <w:rsid w:val="000A65D3"/>
    <w:rsid w:val="000B1E33"/>
    <w:rsid w:val="000D689F"/>
    <w:rsid w:val="000E7B7B"/>
    <w:rsid w:val="000E7D62"/>
    <w:rsid w:val="00103357"/>
    <w:rsid w:val="001159E3"/>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4C3B"/>
    <w:rsid w:val="00200595"/>
    <w:rsid w:val="00204835"/>
    <w:rsid w:val="00231920"/>
    <w:rsid w:val="0023195C"/>
    <w:rsid w:val="0024282C"/>
    <w:rsid w:val="002460DC"/>
    <w:rsid w:val="00250985"/>
    <w:rsid w:val="002556F6"/>
    <w:rsid w:val="002804D7"/>
    <w:rsid w:val="00283105"/>
    <w:rsid w:val="00284C4C"/>
    <w:rsid w:val="00287E68"/>
    <w:rsid w:val="00296529"/>
    <w:rsid w:val="002B27FB"/>
    <w:rsid w:val="002B685A"/>
    <w:rsid w:val="002B6C82"/>
    <w:rsid w:val="002C57D2"/>
    <w:rsid w:val="002E0D56"/>
    <w:rsid w:val="002F2B6F"/>
    <w:rsid w:val="00315186"/>
    <w:rsid w:val="00331A03"/>
    <w:rsid w:val="0033343E"/>
    <w:rsid w:val="00335BFB"/>
    <w:rsid w:val="00341B07"/>
    <w:rsid w:val="003512C2"/>
    <w:rsid w:val="00371FB6"/>
    <w:rsid w:val="003763C1"/>
    <w:rsid w:val="00376BBE"/>
    <w:rsid w:val="0039224F"/>
    <w:rsid w:val="003A43A4"/>
    <w:rsid w:val="003A7E18"/>
    <w:rsid w:val="003B0AFC"/>
    <w:rsid w:val="003B52BD"/>
    <w:rsid w:val="003C4C86"/>
    <w:rsid w:val="003C6258"/>
    <w:rsid w:val="003E2904"/>
    <w:rsid w:val="00401927"/>
    <w:rsid w:val="00401CDE"/>
    <w:rsid w:val="0041027F"/>
    <w:rsid w:val="00412475"/>
    <w:rsid w:val="00423789"/>
    <w:rsid w:val="00440F43"/>
    <w:rsid w:val="00441B6F"/>
    <w:rsid w:val="00446221"/>
    <w:rsid w:val="00450E62"/>
    <w:rsid w:val="004539DB"/>
    <w:rsid w:val="00462B6E"/>
    <w:rsid w:val="00465FEA"/>
    <w:rsid w:val="00471A80"/>
    <w:rsid w:val="00486584"/>
    <w:rsid w:val="004D305E"/>
    <w:rsid w:val="004D4277"/>
    <w:rsid w:val="00502516"/>
    <w:rsid w:val="00505F06"/>
    <w:rsid w:val="00506828"/>
    <w:rsid w:val="005155F6"/>
    <w:rsid w:val="00523FAA"/>
    <w:rsid w:val="0053056E"/>
    <w:rsid w:val="00532949"/>
    <w:rsid w:val="005511EC"/>
    <w:rsid w:val="00554FDA"/>
    <w:rsid w:val="00556C1E"/>
    <w:rsid w:val="005A41DF"/>
    <w:rsid w:val="005C2001"/>
    <w:rsid w:val="005C784C"/>
    <w:rsid w:val="005D17F6"/>
    <w:rsid w:val="005E5539"/>
    <w:rsid w:val="005F3C13"/>
    <w:rsid w:val="005F3EC0"/>
    <w:rsid w:val="00602BF5"/>
    <w:rsid w:val="00617FDD"/>
    <w:rsid w:val="006247C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2395"/>
    <w:rsid w:val="0077749E"/>
    <w:rsid w:val="0078082F"/>
    <w:rsid w:val="00790ADA"/>
    <w:rsid w:val="007B20D1"/>
    <w:rsid w:val="007C7317"/>
    <w:rsid w:val="007D2288"/>
    <w:rsid w:val="007E088F"/>
    <w:rsid w:val="007F7B32"/>
    <w:rsid w:val="00804BC2"/>
    <w:rsid w:val="0081431A"/>
    <w:rsid w:val="0083216F"/>
    <w:rsid w:val="00860000"/>
    <w:rsid w:val="00863BD3"/>
    <w:rsid w:val="008641ED"/>
    <w:rsid w:val="00866D66"/>
    <w:rsid w:val="008671C6"/>
    <w:rsid w:val="00875803"/>
    <w:rsid w:val="008A515A"/>
    <w:rsid w:val="008B459E"/>
    <w:rsid w:val="008D5583"/>
    <w:rsid w:val="008E13AE"/>
    <w:rsid w:val="008E1506"/>
    <w:rsid w:val="008E710C"/>
    <w:rsid w:val="008F69D6"/>
    <w:rsid w:val="0090118A"/>
    <w:rsid w:val="00902823"/>
    <w:rsid w:val="00915CA6"/>
    <w:rsid w:val="00917F6A"/>
    <w:rsid w:val="00927834"/>
    <w:rsid w:val="009500A6"/>
    <w:rsid w:val="00957C18"/>
    <w:rsid w:val="009659BA"/>
    <w:rsid w:val="00983040"/>
    <w:rsid w:val="00985645"/>
    <w:rsid w:val="00987723"/>
    <w:rsid w:val="009B3FB9"/>
    <w:rsid w:val="009C2465"/>
    <w:rsid w:val="009D35A0"/>
    <w:rsid w:val="009D7EB7"/>
    <w:rsid w:val="009E048A"/>
    <w:rsid w:val="009E08E9"/>
    <w:rsid w:val="009E3DB9"/>
    <w:rsid w:val="009E6E35"/>
    <w:rsid w:val="009F0EDA"/>
    <w:rsid w:val="00A03B96"/>
    <w:rsid w:val="00A05B19"/>
    <w:rsid w:val="00A1134E"/>
    <w:rsid w:val="00A231A5"/>
    <w:rsid w:val="00A24E7E"/>
    <w:rsid w:val="00A258C3"/>
    <w:rsid w:val="00A347C0"/>
    <w:rsid w:val="00A51431"/>
    <w:rsid w:val="00A539AD"/>
    <w:rsid w:val="00A94063"/>
    <w:rsid w:val="00AA6219"/>
    <w:rsid w:val="00AA74E0"/>
    <w:rsid w:val="00AB703F"/>
    <w:rsid w:val="00AC1903"/>
    <w:rsid w:val="00AC6BB8"/>
    <w:rsid w:val="00AD3FAC"/>
    <w:rsid w:val="00AE008F"/>
    <w:rsid w:val="00B01FCD"/>
    <w:rsid w:val="00B1776C"/>
    <w:rsid w:val="00B200F0"/>
    <w:rsid w:val="00B35273"/>
    <w:rsid w:val="00B411B5"/>
    <w:rsid w:val="00B52583"/>
    <w:rsid w:val="00B52896"/>
    <w:rsid w:val="00B61DA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7E2A"/>
    <w:rsid w:val="00CD6755"/>
    <w:rsid w:val="00CD6856"/>
    <w:rsid w:val="00CE0089"/>
    <w:rsid w:val="00CE793C"/>
    <w:rsid w:val="00CF193C"/>
    <w:rsid w:val="00CF660A"/>
    <w:rsid w:val="00D00FAB"/>
    <w:rsid w:val="00D173F1"/>
    <w:rsid w:val="00D27AA4"/>
    <w:rsid w:val="00D419CE"/>
    <w:rsid w:val="00D604FB"/>
    <w:rsid w:val="00D74CB0"/>
    <w:rsid w:val="00D8295D"/>
    <w:rsid w:val="00D84B0B"/>
    <w:rsid w:val="00DC2A65"/>
    <w:rsid w:val="00DE15F0"/>
    <w:rsid w:val="00DE5663"/>
    <w:rsid w:val="00DE78AA"/>
    <w:rsid w:val="00DF1402"/>
    <w:rsid w:val="00DF6F38"/>
    <w:rsid w:val="00E053D0"/>
    <w:rsid w:val="00E15994"/>
    <w:rsid w:val="00E3114E"/>
    <w:rsid w:val="00E31A70"/>
    <w:rsid w:val="00E35B02"/>
    <w:rsid w:val="00E441BB"/>
    <w:rsid w:val="00E66496"/>
    <w:rsid w:val="00E66B35"/>
    <w:rsid w:val="00E66E10"/>
    <w:rsid w:val="00E769F6"/>
    <w:rsid w:val="00E8407C"/>
    <w:rsid w:val="00E84F3C"/>
    <w:rsid w:val="00E92884"/>
    <w:rsid w:val="00EA012C"/>
    <w:rsid w:val="00EC6A55"/>
    <w:rsid w:val="00ED0288"/>
    <w:rsid w:val="00EE52CB"/>
    <w:rsid w:val="00EF581D"/>
    <w:rsid w:val="00EF7FD8"/>
    <w:rsid w:val="00F06F59"/>
    <w:rsid w:val="00F17988"/>
    <w:rsid w:val="00F24790"/>
    <w:rsid w:val="00F469F0"/>
    <w:rsid w:val="00F53273"/>
    <w:rsid w:val="00F755E4"/>
    <w:rsid w:val="00F77D02"/>
    <w:rsid w:val="00F87110"/>
    <w:rsid w:val="00F97CF5"/>
    <w:rsid w:val="00FB3A86"/>
    <w:rsid w:val="00FD36C8"/>
    <w:rsid w:val="0128312A"/>
    <w:rsid w:val="078D77EF"/>
    <w:rsid w:val="0D043B19"/>
    <w:rsid w:val="12DC6687"/>
    <w:rsid w:val="150B3D21"/>
    <w:rsid w:val="1B2E3B76"/>
    <w:rsid w:val="24EC548E"/>
    <w:rsid w:val="370D535F"/>
    <w:rsid w:val="3A114E77"/>
    <w:rsid w:val="400E5B5B"/>
    <w:rsid w:val="4E116FEC"/>
    <w:rsid w:val="576F457F"/>
    <w:rsid w:val="5DD31C99"/>
    <w:rsid w:val="61C04E3F"/>
    <w:rsid w:val="675D3779"/>
    <w:rsid w:val="67AD2B27"/>
    <w:rsid w:val="6F143D75"/>
    <w:rsid w:val="70F448D8"/>
    <w:rsid w:val="72B06810"/>
    <w:rsid w:val="738A34A7"/>
    <w:rsid w:val="75FF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3F7D659"/>
  <w15:docId w15:val="{8307DA58-DFED-42FC-8E7E-88A396CE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spacing w:before="225" w:after="225"/>
      <w:outlineLvl w:val="1"/>
    </w:pPr>
    <w:rPr>
      <w:b/>
      <w:sz w:val="36"/>
      <w:szCs w:val="36"/>
    </w:rPr>
  </w:style>
  <w:style w:type="paragraph" w:styleId="Heading3">
    <w:name w:val="heading 3"/>
    <w:basedOn w:val="Normal"/>
    <w:next w:val="Normal"/>
    <w:qFormat/>
    <w:pPr>
      <w:spacing w:before="240" w:after="24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uiPriority w:val="99"/>
    <w:qFormat/>
    <w:pPr>
      <w:spacing w:beforeAutospacing="1" w:afterAutospacing="1"/>
    </w:pPr>
    <w:rPr>
      <w:sz w:val="24"/>
      <w:szCs w:val="24"/>
      <w:lang w:eastAsia="zh-CN"/>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Style12">
    <w:name w:val="_Style 12"/>
    <w:basedOn w:val="TableNormal0"/>
    <w:qFormat/>
    <w:tblPr>
      <w:tblCellMar>
        <w:top w:w="100" w:type="dxa"/>
        <w:left w:w="100" w:type="dxa"/>
        <w:bottom w:w="100" w:type="dxa"/>
        <w:right w:w="100" w:type="dxa"/>
      </w:tblCellMar>
    </w:tblPr>
  </w:style>
  <w:style w:type="table" w:customStyle="1" w:styleId="TableNormal0">
    <w:name w:val="TableNormal"/>
    <w:qFormat/>
    <w:tblPr>
      <w:tblCellMar>
        <w:top w:w="0" w:type="dxa"/>
        <w:left w:w="0" w:type="dxa"/>
        <w:bottom w:w="0" w:type="dxa"/>
        <w:right w:w="0" w:type="dxa"/>
      </w:tblCellMar>
    </w:tblPr>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AD3FAC"/>
    <w:rPr>
      <w:color w:val="605E5C"/>
      <w:shd w:val="clear" w:color="auto" w:fill="E1DFDD"/>
    </w:rPr>
  </w:style>
  <w:style w:type="paragraph" w:styleId="ListParagraph">
    <w:name w:val="List Paragraph"/>
    <w:basedOn w:val="Normal"/>
    <w:uiPriority w:val="99"/>
    <w:unhideWhenUsed/>
    <w:rsid w:val="00B411B5"/>
    <w:pPr>
      <w:ind w:left="720"/>
      <w:contextualSpacing/>
    </w:pPr>
  </w:style>
  <w:style w:type="paragraph" w:styleId="CommentSubject">
    <w:name w:val="annotation subject"/>
    <w:basedOn w:val="CommentText"/>
    <w:next w:val="CommentText"/>
    <w:link w:val="CommentSubjectChar"/>
    <w:semiHidden/>
    <w:unhideWhenUsed/>
    <w:rsid w:val="001159E3"/>
    <w:rPr>
      <w:rFonts w:ascii="Helvetica" w:hAnsi="Helvetica"/>
      <w:b/>
      <w:bCs/>
      <w:lang w:val="en-US" w:eastAsia="en-US"/>
    </w:rPr>
  </w:style>
  <w:style w:type="character" w:customStyle="1" w:styleId="CommentSubjectChar">
    <w:name w:val="Comment Subject Char"/>
    <w:basedOn w:val="CommentTextChar"/>
    <w:link w:val="CommentSubject"/>
    <w:semiHidden/>
    <w:rsid w:val="001159E3"/>
    <w:rPr>
      <w:rFonts w:ascii="Helvetica" w:eastAsia="Times New Roman"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s://doi.org/10.47992/ijmts.2581.6012.0102" TargetMode="Externa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hyperlink" Target="https://doi.org/10.1080/02564602.2023.2207916"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doi.org/10.1016/j.ijedudev.2021.102440"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80/25789800.2023.1189405"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https://doi.org/10.1016/j.ijedudev.2025.102941" TargetMode="Externa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1.png"/><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7/S0003598X00044513"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DC49EFA-9E6F-4725-AD1B-F182191A99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12</Pages>
  <Words>5429</Words>
  <Characters>30947</Characters>
  <Application>Microsoft Office Word</Application>
  <DocSecurity>0</DocSecurity>
  <Lines>257</Lines>
  <Paragraphs>72</Paragraphs>
  <ScaleCrop>false</ScaleCrop>
  <Company>aaaa</Company>
  <LinksUpToDate>false</LinksUpToDate>
  <CharactersWithSpaces>36304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Appiah-Odame, Eric</cp:lastModifiedBy>
  <cp:revision>45</cp:revision>
  <cp:lastPrinted>2025-10-24T00:39:00Z</cp:lastPrinted>
  <dcterms:created xsi:type="dcterms:W3CDTF">2025-09-12T16:24:00Z</dcterms:created>
  <dcterms:modified xsi:type="dcterms:W3CDTF">2025-11-11T01:02:00Z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EAC28F3E66E54671920FA8244ADB3F80_13</vt:lpwstr>
  </property>
  <property fmtid="{D5CDD505-2E9C-101B-9397-08002B2CF9AE}" pid="4" name="GrammarlyDocumentId">
    <vt:lpwstr>579e95e0-b53c-4f1d-ad3b-027c0df69294</vt:lpwstr>
  </property>
</Properties>
</file>