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b w:val="1"/>
          <w:bCs w:val="1"/>
          <w:sz w:val="24"/>
          <w:szCs w:val="24"/>
        </w:rPr>
      </w:pPr>
      <w:bookmarkStart w:colFirst="0" w:colLast="0" w:name="_phx6cctkeqex" w:id="0"/>
      <w:bookmarkEnd w:id="0"/>
      <w:r w:rsidDel="00000000" w:rsidR="00000000" w:rsidRPr="00000000">
        <w:rPr>
          <w:rFonts w:ascii="Times New Roman" w:cs="Times New Roman" w:eastAsia="Times New Roman" w:hAnsi="Times New Roman"/>
          <w:b w:val="1"/>
          <w:bCs w:val="1"/>
          <w:sz w:val="24"/>
          <w:szCs w:val="24"/>
          <w:rtl w:val="0"/>
        </w:rPr>
        <w:t xml:space="preserve">Patterns of Wildlife </w:t>
      </w:r>
      <w:r w:rsidDel="00000000" w:rsidR="00000000" w:rsidRPr="00000000">
        <w:rPr>
          <w:rFonts w:ascii="Times New Roman" w:cs="Times New Roman" w:eastAsia="Times New Roman" w:hAnsi="Times New Roman"/>
          <w:b w:val="1"/>
          <w:bCs w:val="1"/>
          <w:sz w:val="24"/>
          <w:szCs w:val="24"/>
          <w:highlight w:val="red"/>
          <w:rtl w:val="0"/>
        </w:rPr>
        <w:t xml:space="preserve">Induced</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highlight w:val="green"/>
          <w:u w:val="single"/>
          <w:rtl w:val="0"/>
        </w:rPr>
        <w:t xml:space="preserve">Caused</w:t>
      </w:r>
      <w:r w:rsidDel="00000000" w:rsidR="00000000" w:rsidRPr="00000000">
        <w:rPr>
          <w:rFonts w:ascii="Times New Roman" w:cs="Times New Roman" w:eastAsia="Times New Roman" w:hAnsi="Times New Roman"/>
          <w:b w:val="1"/>
          <w:bCs w:val="1"/>
          <w:sz w:val="24"/>
          <w:szCs w:val="24"/>
          <w:rtl w:val="0"/>
        </w:rPr>
        <w:t xml:space="preserve"> Crop Raiding and Human-Wildlife Conflict in Valmiki Tiger Reserve, India</w:t>
      </w:r>
    </w:p>
    <w:p w:rsidR="00000000" w:rsidDel="00000000" w:rsidP="00000000" w:rsidRDefault="00000000" w:rsidRPr="00000000" w14:paraId="00000002">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Human-wildlife conflict (HWC) poses a major challenge for communities living around protected areas, particularly through crop raiding by wild animals. This study investigates the spatial and temporal dynamics of crop raiding in the eco-sensitive zone of Valmiki Tiger Reserve (VTR), India. A total of 428 households from 92 villages, stratified into three classes based on proximity to the reserve boundary, were surveyed using questionnaires, interviews, and field observations. Results show that crop depredation was most frequently caused by Nilgai (</w:t>
      </w:r>
      <w:r w:rsidDel="00000000" w:rsidR="00000000" w:rsidRPr="00000000">
        <w:rPr>
          <w:rFonts w:ascii="Times New Roman" w:cs="Times New Roman" w:eastAsia="Times New Roman" w:hAnsi="Times New Roman"/>
          <w:i w:val="1"/>
          <w:iCs w:val="1"/>
          <w:sz w:val="24"/>
          <w:szCs w:val="24"/>
          <w:rtl w:val="0"/>
        </w:rPr>
        <w:t xml:space="preserve">Boselaphus tragocamelus</w:t>
      </w:r>
      <w:r w:rsidDel="00000000" w:rsidR="00000000" w:rsidRPr="00000000">
        <w:rPr>
          <w:rFonts w:ascii="Times New Roman" w:cs="Times New Roman" w:eastAsia="Times New Roman" w:hAnsi="Times New Roman"/>
          <w:sz w:val="24"/>
          <w:szCs w:val="24"/>
          <w:rtl w:val="0"/>
        </w:rPr>
        <w:t xml:space="preserve">), Chital (</w:t>
      </w:r>
      <w:r w:rsidDel="00000000" w:rsidR="00000000" w:rsidRPr="00000000">
        <w:rPr>
          <w:rFonts w:ascii="Times New Roman" w:cs="Times New Roman" w:eastAsia="Times New Roman" w:hAnsi="Times New Roman"/>
          <w:i w:val="1"/>
          <w:iCs w:val="1"/>
          <w:sz w:val="24"/>
          <w:szCs w:val="24"/>
          <w:rtl w:val="0"/>
        </w:rPr>
        <w:t xml:space="preserve">Axis axis</w:t>
      </w:r>
      <w:r w:rsidDel="00000000" w:rsidR="00000000" w:rsidRPr="00000000">
        <w:rPr>
          <w:rFonts w:ascii="Times New Roman" w:cs="Times New Roman" w:eastAsia="Times New Roman" w:hAnsi="Times New Roman"/>
          <w:sz w:val="24"/>
          <w:szCs w:val="24"/>
          <w:rtl w:val="0"/>
        </w:rPr>
        <w:t xml:space="preserve">), and Gaur (</w:t>
      </w:r>
      <w:r w:rsidDel="00000000" w:rsidR="00000000" w:rsidRPr="00000000">
        <w:rPr>
          <w:rFonts w:ascii="Times New Roman" w:cs="Times New Roman" w:eastAsia="Times New Roman" w:hAnsi="Times New Roman"/>
          <w:i w:val="1"/>
          <w:iCs w:val="1"/>
          <w:sz w:val="24"/>
          <w:szCs w:val="24"/>
          <w:rtl w:val="0"/>
        </w:rPr>
        <w:t xml:space="preserve">Bos gaurus</w:t>
      </w:r>
      <w:r w:rsidDel="00000000" w:rsidR="00000000" w:rsidRPr="00000000">
        <w:rPr>
          <w:rFonts w:ascii="Times New Roman" w:cs="Times New Roman" w:eastAsia="Times New Roman" w:hAnsi="Times New Roman"/>
          <w:sz w:val="24"/>
          <w:szCs w:val="24"/>
          <w:rtl w:val="0"/>
        </w:rPr>
        <w:t xml:space="preserve">), accounting for over 50% of reported incidents. Seasonal analysis revealed that winter and monsoon were the most vulnerable periods for crop raiding, collectively contributing to more than 70% of cases. Local communities primarily relied on fencing (65.27%), thorny bushes (58.87%), and watch towers (49.51%) as mitigation measures, though these strategies were only partially effective. Statistical analysis using the Mann-Whitney U test confirmed significant variation in conflict intensity across village classes. The findings highlight the urgent need for sustainable, community-based conflict mitigation strategies and improved land-use planning to balance conservation objectives with the livelihood security of local communities.</w:t>
      </w:r>
    </w:p>
    <w:p w:rsidR="00000000" w:rsidDel="00000000" w:rsidP="00000000" w:rsidRDefault="00000000" w:rsidRPr="00000000" w14:paraId="0000000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Human-wildlife conflict, Crop raiding, Valmiki Tiger Reserve, Mitigation strategies, Conservation management</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Human–wildlife conflict (HWC) has emerged as a critical conservation and livelihood challenge across tropical and subtropical landscapes, particularly in regions where dense human populations coexist with rich biodiversity (Distefano, 2005; Treves &amp; Karanth, 2003). One of the most pressing manifestations of HWC is crop raiding by wild animals, which results in considerable economic losses for farming communities residing adjacent to protected areas (Fungo, 2011). The destruction of crops and livestock not only reduces household income but also heightens food insecurity, thereby exerting direct pressure on rural livelihoods (Madhusudan, 2003). In many cases, these losses foster resentment among local people toward wildlife conservation, creating significant barriers for long-term biodiversity protection (Woodroffe et al., 2005).</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Protected areas, though essential for biodiversity conservation, often become hotspots of conflict as the ecological goals of wildlife protection clash with the livelihood needs of surrounding human populations (Gile, 1978; Karanth &amp; Nepal, 2012). This tension is particularly acute in landscapes where communities are highly dependent on agriculture and livestock rearing as their primary sources of subsistence (Silwal et al., 2017). Studies have consistently demonstrated that the intensity of human–wildlife interactions is highest near protected area boundaries, with conflict frequency generally declining with distance from these zones (Kagoro-Rugunda, 2004; Graham et al., 2005).</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red"/>
          <w:rtl w:val="0"/>
        </w:rPr>
        <w:t xml:space="preserve">In</w:t>
      </w:r>
      <w:r w:rsidDel="00000000" w:rsidR="00000000" w:rsidRPr="00000000">
        <w:rPr>
          <w:rFonts w:ascii="Times New Roman" w:cs="Times New Roman" w:eastAsia="Times New Roman" w:hAnsi="Times New Roman"/>
          <w:sz w:val="24"/>
          <w:szCs w:val="24"/>
          <w:rtl w:val="0"/>
        </w:rPr>
        <w:t xml:space="preserve"> India, which harbors nearly 18% of the world’s human population alongside globally significant populations of large mammals such as tigers, elephants, and leopards, HWC has become a widespread socio-ecological dilemma (Sukumar, 2003; Karanth &amp; Gopal, 2005). Crop raiding is particularly prevalent in the Terai Arc Landscape, where fertile agricultural lands directly adjoin protected forests, creating a mosaic of competition between human and wildlife needs (Chanchani et al., 2014; Lamichhane et al., 2018). The Valmiki Tiger Reserve (VTR) in Bihar, located at the Indo–Nepal border, represents a critical case where communities dependent on rice, wheat, maize, and sugarcane cultivation</w:t>
      </w:r>
      <w:r w:rsidDel="00000000" w:rsidR="00000000" w:rsidRPr="00000000">
        <w:rPr>
          <w:rFonts w:ascii="Times New Roman" w:cs="Times New Roman" w:eastAsia="Times New Roman" w:hAnsi="Times New Roman"/>
          <w:sz w:val="24"/>
          <w:szCs w:val="24"/>
          <w:highlight w:val="green"/>
          <w:rtl w:val="0"/>
        </w:rPr>
        <w:t xml:space="preserve">, </w:t>
      </w:r>
      <w:r w:rsidDel="00000000" w:rsidR="00000000" w:rsidRPr="00000000">
        <w:rPr>
          <w:rFonts w:ascii="Times New Roman" w:cs="Times New Roman" w:eastAsia="Times New Roman" w:hAnsi="Times New Roman"/>
          <w:sz w:val="24"/>
          <w:szCs w:val="24"/>
          <w:rtl w:val="0"/>
        </w:rPr>
        <w:t xml:space="preserve">face recurrent depredation from ungulates and  primates. Wildlife species such as Nilgai (</w:t>
      </w:r>
      <w:r w:rsidDel="00000000" w:rsidR="00000000" w:rsidRPr="00000000">
        <w:rPr>
          <w:rFonts w:ascii="Times New Roman" w:cs="Times New Roman" w:eastAsia="Times New Roman" w:hAnsi="Times New Roman"/>
          <w:i w:val="1"/>
          <w:iCs w:val="1"/>
          <w:sz w:val="24"/>
          <w:szCs w:val="24"/>
          <w:rtl w:val="0"/>
        </w:rPr>
        <w:t xml:space="preserve">Boselaphus tragocamelus</w:t>
      </w:r>
      <w:r w:rsidDel="00000000" w:rsidR="00000000" w:rsidRPr="00000000">
        <w:rPr>
          <w:rFonts w:ascii="Times New Roman" w:cs="Times New Roman" w:eastAsia="Times New Roman" w:hAnsi="Times New Roman"/>
          <w:sz w:val="24"/>
          <w:szCs w:val="24"/>
          <w:rtl w:val="0"/>
        </w:rPr>
        <w:t xml:space="preserve">), Chital (</w:t>
      </w:r>
      <w:r w:rsidDel="00000000" w:rsidR="00000000" w:rsidRPr="00000000">
        <w:rPr>
          <w:rFonts w:ascii="Times New Roman" w:cs="Times New Roman" w:eastAsia="Times New Roman" w:hAnsi="Times New Roman"/>
          <w:i w:val="1"/>
          <w:iCs w:val="1"/>
          <w:sz w:val="24"/>
          <w:szCs w:val="24"/>
          <w:rtl w:val="0"/>
        </w:rPr>
        <w:t xml:space="preserve">Axis axis</w:t>
      </w:r>
      <w:r w:rsidDel="00000000" w:rsidR="00000000" w:rsidRPr="00000000">
        <w:rPr>
          <w:rFonts w:ascii="Times New Roman" w:cs="Times New Roman" w:eastAsia="Times New Roman" w:hAnsi="Times New Roman"/>
          <w:sz w:val="24"/>
          <w:szCs w:val="24"/>
          <w:rtl w:val="0"/>
        </w:rPr>
        <w:t xml:space="preserve">), Langur (</w:t>
      </w:r>
      <w:r w:rsidDel="00000000" w:rsidR="00000000" w:rsidRPr="00000000">
        <w:rPr>
          <w:rFonts w:ascii="Times New Roman" w:cs="Times New Roman" w:eastAsia="Times New Roman" w:hAnsi="Times New Roman"/>
          <w:i w:val="1"/>
          <w:iCs w:val="1"/>
          <w:sz w:val="24"/>
          <w:szCs w:val="24"/>
          <w:rtl w:val="0"/>
        </w:rPr>
        <w:t xml:space="preserve">Semnopithecus entellus</w:t>
      </w:r>
      <w:r w:rsidDel="00000000" w:rsidR="00000000" w:rsidRPr="00000000">
        <w:rPr>
          <w:rFonts w:ascii="Times New Roman" w:cs="Times New Roman" w:eastAsia="Times New Roman" w:hAnsi="Times New Roman"/>
          <w:sz w:val="24"/>
          <w:szCs w:val="24"/>
          <w:rtl w:val="0"/>
        </w:rPr>
        <w:t xml:space="preserve">), and Gaur (</w:t>
      </w:r>
      <w:r w:rsidDel="00000000" w:rsidR="00000000" w:rsidRPr="00000000">
        <w:rPr>
          <w:rFonts w:ascii="Times New Roman" w:cs="Times New Roman" w:eastAsia="Times New Roman" w:hAnsi="Times New Roman"/>
          <w:i w:val="1"/>
          <w:iCs w:val="1"/>
          <w:sz w:val="24"/>
          <w:szCs w:val="24"/>
          <w:rtl w:val="0"/>
        </w:rPr>
        <w:t xml:space="preserve">Bos gaurus</w:t>
      </w:r>
      <w:r w:rsidDel="00000000" w:rsidR="00000000" w:rsidRPr="00000000">
        <w:rPr>
          <w:rFonts w:ascii="Times New Roman" w:cs="Times New Roman" w:eastAsia="Times New Roman" w:hAnsi="Times New Roman"/>
          <w:sz w:val="24"/>
          <w:szCs w:val="24"/>
          <w:rtl w:val="0"/>
        </w:rPr>
        <w:t xml:space="preserve">) are frequently implicated in crop losses, often leading to serious livelihood challenges. </w:t>
      </w: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ecological significance of VTR and its role within the transboundary Terai Arc Landscape, it is crucial to understand the patterns, drivers, and seasonal dimensions of crop raiding in order to develop effective mitigation strategies. While local communities employ traditional measures such as fencing, watchtowers, and scare devices, their effectiveness remains limited, and conflicts persist (Malviya &amp; Ramesh, 2015). Documenting the nature and extent of crop raiding in VTR is therefore essential for formulating sustainable land-use policies that balance conservation objectives with the livelihood security of surrounding populations.</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investigates the scale and seasonal variation of wildlife-</w:t>
      </w:r>
      <w:r w:rsidDel="00000000" w:rsidR="00000000" w:rsidRPr="00000000">
        <w:rPr>
          <w:rFonts w:ascii="Times New Roman" w:cs="Times New Roman" w:eastAsia="Times New Roman" w:hAnsi="Times New Roman"/>
          <w:sz w:val="24"/>
          <w:szCs w:val="24"/>
          <w:highlight w:val="red"/>
          <w:rtl w:val="0"/>
        </w:rPr>
        <w:t xml:space="preserve">induced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caused</w:t>
      </w:r>
      <w:r w:rsidDel="00000000" w:rsidR="00000000" w:rsidRPr="00000000">
        <w:rPr>
          <w:rFonts w:ascii="Times New Roman" w:cs="Times New Roman" w:eastAsia="Times New Roman" w:hAnsi="Times New Roman"/>
          <w:sz w:val="24"/>
          <w:szCs w:val="24"/>
          <w:rtl w:val="0"/>
        </w:rPr>
        <w:t xml:space="preserve"> crop damage in villages around Valmiki Tiger Reserve, India. Specifically, it aims to identify the key wildlife species responsible for crop losses, assess the socio-economic impacts on rural households, and evaluate the efficacy of locally adopted mitigation measures. By doing so, the research contributes to the broader discourse on human–wildlife coexistence in biodiversity-rich but livelihood-fragile landscapes.</w:t>
      </w:r>
    </w:p>
    <w:p w:rsidR="00000000" w:rsidDel="00000000" w:rsidP="00000000" w:rsidRDefault="00000000" w:rsidRPr="00000000" w14:paraId="0000000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red"/>
          <w:rtl w:val="0"/>
        </w:rPr>
        <w:t xml:space="preserve">MATERIAL</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highlight w:val="green"/>
          <w:rtl w:val="0"/>
        </w:rPr>
        <w:t xml:space="preserve">MATERIALS</w:t>
      </w:r>
      <w:r w:rsidDel="00000000" w:rsidR="00000000" w:rsidRPr="00000000">
        <w:rPr>
          <w:rFonts w:ascii="Times New Roman" w:cs="Times New Roman" w:eastAsia="Times New Roman" w:hAnsi="Times New Roman"/>
          <w:b w:val="1"/>
          <w:bCs w:val="1"/>
          <w:sz w:val="24"/>
          <w:szCs w:val="24"/>
          <w:rtl w:val="0"/>
        </w:rPr>
        <w:t xml:space="preserve"> AND METHODS</w:t>
      </w:r>
    </w:p>
    <w:p w:rsidR="00000000" w:rsidDel="00000000" w:rsidP="00000000" w:rsidRDefault="00000000" w:rsidRPr="00000000" w14:paraId="0000000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Study area</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Valmiki Tiger Reserve (VTR) represents the sole tiger reserve of Bihar and forms a critical component of the Terai Arc Landscape at the Himalayan foothills. The reserve encompasses a mosaic of geomorphological units, most notably the bhabar zone, a porous belt of coarse alluvium where streams disappear underground, and the terai zone, characterized by fine alluvial soils that retain moisture and support highly fertile agricultural plains (Champion &amp; Seth, 1968).</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Located in the northwestern part of West Champaran district, VTR occupies a strategic position along the Indo–Nepal frontier, extending from 27°10′N to 27°30′N latitude and 83°50′E to 84°10′E longitude (Fig.1). Its geographical placement ensures ecological connectivity with Parsa Wildlife Reserve and Chitwan National Park in Nepal, thereby forming a transboundary conservation complex of more than 3,000 km² (Maurya &amp; Borah, 2013). Covering an area of 901.70 km², the reserve is delimited by </w:t>
      </w:r>
      <w:r w:rsidDel="00000000" w:rsidR="00000000" w:rsidRPr="00000000">
        <w:rPr>
          <w:rFonts w:ascii="Times New Roman" w:cs="Times New Roman" w:eastAsia="Times New Roman" w:hAnsi="Times New Roman"/>
          <w:sz w:val="24"/>
          <w:szCs w:val="24"/>
          <w:highlight w:val="red"/>
          <w:rtl w:val="0"/>
        </w:rPr>
        <w:t xml:space="preserve">the</w:t>
      </w:r>
      <w:r w:rsidDel="00000000" w:rsidR="00000000" w:rsidRPr="00000000">
        <w:rPr>
          <w:rFonts w:ascii="Times New Roman" w:cs="Times New Roman" w:eastAsia="Times New Roman" w:hAnsi="Times New Roman"/>
          <w:sz w:val="24"/>
          <w:szCs w:val="24"/>
          <w:rtl w:val="0"/>
        </w:rPr>
        <w:t xml:space="preserve"> India–Nepal border on the north and </w:t>
      </w:r>
      <w:r w:rsidDel="00000000" w:rsidR="00000000" w:rsidRPr="00000000">
        <w:rPr>
          <w:rFonts w:ascii="Times New Roman" w:cs="Times New Roman" w:eastAsia="Times New Roman" w:hAnsi="Times New Roman"/>
          <w:sz w:val="24"/>
          <w:szCs w:val="24"/>
          <w:highlight w:val="red"/>
          <w:rtl w:val="0"/>
        </w:rPr>
        <w:t xml:space="preserve">the</w:t>
      </w:r>
      <w:r w:rsidDel="00000000" w:rsidR="00000000" w:rsidRPr="00000000">
        <w:rPr>
          <w:rFonts w:ascii="Times New Roman" w:cs="Times New Roman" w:eastAsia="Times New Roman" w:hAnsi="Times New Roman"/>
          <w:sz w:val="24"/>
          <w:szCs w:val="24"/>
          <w:rtl w:val="0"/>
        </w:rPr>
        <w:t xml:space="preserve"> Bihar–Uttar Pradesh boundary on the west. </w:t>
      </w:r>
      <w:r w:rsidDel="00000000" w:rsidR="00000000" w:rsidRPr="00000000">
        <w:rPr>
          <w:rFonts w:ascii="Times New Roman" w:cs="Times New Roman" w:eastAsia="Times New Roman" w:hAnsi="Times New Roman"/>
          <w:sz w:val="24"/>
          <w:szCs w:val="24"/>
          <w:highlight w:val="red"/>
          <w:rtl w:val="0"/>
        </w:rPr>
        <w:t xml:space="preserve">Because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Due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red"/>
          <w:rtl w:val="0"/>
        </w:rPr>
        <w:t xml:space="preserve">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red"/>
          <w:rtl w:val="0"/>
        </w:rPr>
        <w:t xml:space="preserve">its </w:t>
      </w:r>
      <w:r w:rsidDel="00000000" w:rsidR="00000000" w:rsidRPr="00000000">
        <w:rPr>
          <w:rFonts w:ascii="Times New Roman" w:cs="Times New Roman" w:eastAsia="Times New Roman" w:hAnsi="Times New Roman"/>
          <w:sz w:val="24"/>
          <w:szCs w:val="24"/>
          <w:rtl w:val="0"/>
        </w:rPr>
        <w:t xml:space="preserve">high conservation value and its role in maintaining viable tiger populations, VTR has been recognized by the World Wildlife Fund (WWF-US) as a Level I Tiger Conservation Unit, placing it among the most significant tiger-bearing habitats in South Asia (Pattekar et al., 2021).</w:t>
      </w:r>
    </w:p>
    <w:p w:rsidR="00000000" w:rsidDel="00000000" w:rsidP="00000000" w:rsidRDefault="00000000" w:rsidRPr="00000000" w14:paraId="00000011">
      <w:pPr>
        <w:tabs>
          <w:tab w:val="left" w:leader="none" w:pos="5727"/>
        </w:tabs>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Primary Data Collection</w:t>
      </w:r>
    </w:p>
    <w:p w:rsidR="00000000" w:rsidDel="00000000" w:rsidP="00000000" w:rsidRDefault="00000000" w:rsidRPr="00000000" w14:paraId="00000012">
      <w:pPr>
        <w:tabs>
          <w:tab w:val="left" w:leader="none" w:pos="5727"/>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spatial and temporal dimensions of human–wildlife conflict (HWC) in the Valmiki Tiger Reserve (VTR) landscape, this study employed a mixed-method approach, integrating both primary and secondary data sources. Primary data were obtained through household questionnaire surveys, interviews, and direct field observations, while secondary data consisted of census records, demographic reports, and local media documentation. This triangulation ensured a holistic analysis of the frequency, intensity, and impacts of wildlife-</w:t>
      </w:r>
      <w:r w:rsidDel="00000000" w:rsidR="00000000" w:rsidRPr="00000000">
        <w:rPr>
          <w:rFonts w:ascii="Times New Roman" w:cs="Times New Roman" w:eastAsia="Times New Roman" w:hAnsi="Times New Roman"/>
          <w:sz w:val="24"/>
          <w:szCs w:val="24"/>
          <w:highlight w:val="red"/>
          <w:rtl w:val="0"/>
        </w:rPr>
        <w:t xml:space="preserve">induced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caused</w:t>
      </w:r>
      <w:r w:rsidDel="00000000" w:rsidR="00000000" w:rsidRPr="00000000">
        <w:rPr>
          <w:rFonts w:ascii="Times New Roman" w:cs="Times New Roman" w:eastAsia="Times New Roman" w:hAnsi="Times New Roman"/>
          <w:sz w:val="24"/>
          <w:szCs w:val="24"/>
          <w:rtl w:val="0"/>
        </w:rPr>
        <w:t xml:space="preserve"> challenges faced by rural communities.</w:t>
      </w:r>
    </w:p>
    <w:p w:rsidR="00000000" w:rsidDel="00000000" w:rsidP="00000000" w:rsidRDefault="00000000" w:rsidRPr="00000000" w14:paraId="00000013">
      <w:pPr>
        <w:tabs>
          <w:tab w:val="left" w:leader="none" w:pos="5727"/>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tabs>
          <w:tab w:val="left" w:leader="none" w:pos="5727"/>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household questionnaire survey served as the core of primary data collection, designed to capture perceptions, experiences, and mitigation strategies of affected households (Goodale et al., 2015). Villages were stratified into three spatial classes based on proximity to the reserve: (i) Class 1 – villages situated inside or partially within the reserve boundary, (ii) Class 2 – villages sharing a boundary with the reserve, and (iii) Class 3 – villages located more than 5 km away but within the eco-sensitive zone. Using a simple random sampling method, 28 villages were selected from Class 1, 25 from Class 2, and 39 from Class 3, giving a total of 92 villages. Within these, 428 households were surveyed, ensuring adequate representation across the gradient of human–wildlife interactions.</w:t>
      </w:r>
    </w:p>
    <w:p w:rsidR="00000000" w:rsidDel="00000000" w:rsidP="00000000" w:rsidRDefault="00000000" w:rsidRPr="00000000" w14:paraId="00000015">
      <w:pPr>
        <w:tabs>
          <w:tab w:val="left" w:leader="none" w:pos="5727"/>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tabs>
          <w:tab w:val="left" w:leader="none" w:pos="5727"/>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included a combination of open- and closed-ended questions, addressing the type and frequency of conflicts, affected crops and livestock, seasonal variations, and local adaptation strategies (White et al., 2005). A trained field assistant from the local community facilitated the process. Initial contact was made with village headmen to explain the study’s objectives, after which oral consent was obtained from participants prior to interviews (McGuinness &amp; Taylor, 2014). Respondents ranged in age from 18 to 60 years, with 80.84% male (346 individuals) and 19.15% female (82 individuals). Interviews were conducted between December 2021 and February 2022, each lasting between 20 and 35 minutes, averaging 30 minutes. Alongside the surveys, direct field observations and photography were undertaken to record evidence of wildlife-</w:t>
      </w:r>
      <w:r w:rsidDel="00000000" w:rsidR="00000000" w:rsidRPr="00000000">
        <w:rPr>
          <w:rFonts w:ascii="Times New Roman" w:cs="Times New Roman" w:eastAsia="Times New Roman" w:hAnsi="Times New Roman"/>
          <w:sz w:val="24"/>
          <w:szCs w:val="24"/>
          <w:highlight w:val="red"/>
          <w:rtl w:val="0"/>
        </w:rPr>
        <w:t xml:space="preserve">induced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caused</w:t>
      </w:r>
      <w:r w:rsidDel="00000000" w:rsidR="00000000" w:rsidRPr="00000000">
        <w:rPr>
          <w:rFonts w:ascii="Times New Roman" w:cs="Times New Roman" w:eastAsia="Times New Roman" w:hAnsi="Times New Roman"/>
          <w:sz w:val="24"/>
          <w:szCs w:val="24"/>
          <w:rtl w:val="0"/>
        </w:rPr>
        <w:t xml:space="preserve"> damages, including crop raiding, livestock depredation, property destruction, and human injuries. These observations not only validated survey responses but also provided visual documentation of conflict intensity. For the analysis of long-term conflict patterns, secondary data were incorporated. Population growth, land-use changes, and forest cover alterations were examined using village-level demographic data from the Census of India (1991, 2001, 2011). These data sets offered insights into settlement expansion, increasing human density near the reserve, agricultural intensification, and forest cover changes—all factors contributing to heightened wildlife incursions into human-dominated areas. Local media reports and government records further supplemented the data set by documenting conflict incidents and management responses.</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4300659" cy="2173205"/>
            <wp:effectExtent b="0" l="0" r="0" t="0"/>
            <wp:docPr descr="C:\Users\ram prasad\Desktop\VTR-Maps\survey-village.jpg" id="5" name="image1.png"/>
            <a:graphic>
              <a:graphicData uri="http://schemas.openxmlformats.org/drawingml/2006/picture">
                <pic:pic>
                  <pic:nvPicPr>
                    <pic:cNvPr descr="C:\Users\ram prasad\Desktop\VTR-Maps\survey-village.jpg" id="0" name="image1.png"/>
                    <pic:cNvPicPr preferRelativeResize="0"/>
                  </pic:nvPicPr>
                  <pic:blipFill>
                    <a:blip r:embed="rId6"/>
                    <a:srcRect b="0" l="0" r="0" t="0"/>
                    <a:stretch>
                      <a:fillRect/>
                    </a:stretch>
                  </pic:blipFill>
                  <pic:spPr>
                    <a:xfrm>
                      <a:off x="0" y="0"/>
                      <a:ext cx="4300659" cy="217320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3017520</wp:posOffset>
                </wp:positionH>
                <wp:positionV relativeFrom="paragraph">
                  <wp:posOffset>457834</wp:posOffset>
                </wp:positionV>
                <wp:extent cx="830580" cy="304800"/>
                <wp:effectExtent b="0" l="0" r="7620" t="0"/>
                <wp:wrapNone/>
                <wp:docPr id="4" name=""/>
                <a:graphic>
                  <a:graphicData uri="http://schemas.microsoft.com/office/word/2010/wordprocessingShape">
                    <wps:wsp>
                      <wps:cNvSpPr/>
                      <wps:spPr>
                        <a:xfrm>
                          <a:off x="0" y="0"/>
                          <a:ext cx="83058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C105B" w:rsidDel="00000000" w:rsidP="001C105B" w:rsidRDefault="001C105B" w:rsidRPr="001C105B" w14:paraId="42E235B5" w14:textId="51B2DC59">
                            <w:pPr>
                              <w:jc w:val="center"/>
                              <w:rPr>
                                <w:lang w:val="en-US"/>
                              </w:rPr>
                            </w:pPr>
                            <w:r w:rsidDel="00000000" w:rsidR="00000000" w:rsidRPr="00000000">
                              <w:rPr>
                                <w:lang w:val="en-US"/>
                              </w:rPr>
                              <w:t>NEPAL</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3017520</wp:posOffset>
                </wp:positionH>
                <wp:positionV relativeFrom="paragraph">
                  <wp:posOffset>457834</wp:posOffset>
                </wp:positionV>
                <wp:extent cx="838200" cy="304800"/>
                <wp:effectExtent b="0" l="0" r="0" t="0"/>
                <wp:wrapNone/>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38200" cy="304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739140</wp:posOffset>
                </wp:positionH>
                <wp:positionV relativeFrom="paragraph">
                  <wp:posOffset>1326515</wp:posOffset>
                </wp:positionV>
                <wp:extent cx="830580" cy="449580"/>
                <wp:effectExtent b="0" l="0" r="0" t="0"/>
                <wp:wrapNone/>
                <wp:docPr id="3" name=""/>
                <a:graphic>
                  <a:graphicData uri="http://schemas.microsoft.com/office/word/2010/wordprocessingShape">
                    <wps:wsp>
                      <wps:cNvSpPr/>
                      <wps:spPr>
                        <a:xfrm>
                          <a:off x="0" y="0"/>
                          <a:ext cx="830580" cy="4495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21AAE" w:rsidDel="00000000" w:rsidP="00A21AAE" w:rsidRDefault="00A21AAE" w:rsidRPr="001C105B" w14:paraId="2781C4C8" w14:textId="51A38B61">
                            <w:pPr>
                              <w:jc w:val="center"/>
                              <w:rPr>
                                <w:lang w:val="en-US"/>
                              </w:rPr>
                            </w:pPr>
                            <w:r w:rsidDel="00000000" w:rsidR="00000000" w:rsidRPr="00000000">
                              <w:rPr>
                                <w:lang w:val="en-US"/>
                              </w:rPr>
                              <w:t>UTTAR PRADESH</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739140</wp:posOffset>
                </wp:positionH>
                <wp:positionV relativeFrom="paragraph">
                  <wp:posOffset>1326515</wp:posOffset>
                </wp:positionV>
                <wp:extent cx="830580" cy="449580"/>
                <wp:effectExtent b="0" l="0" r="0" t="0"/>
                <wp:wrapNone/>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30580" cy="4495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2313305</wp:posOffset>
                </wp:positionH>
                <wp:positionV relativeFrom="paragraph">
                  <wp:posOffset>716915</wp:posOffset>
                </wp:positionV>
                <wp:extent cx="830580" cy="304800"/>
                <wp:effectExtent b="0" l="0" r="0" t="0"/>
                <wp:wrapNone/>
                <wp:docPr id="2" name=""/>
                <a:graphic>
                  <a:graphicData uri="http://schemas.microsoft.com/office/word/2010/wordprocessingShape">
                    <wps:wsp>
                      <wps:cNvSpPr/>
                      <wps:spPr>
                        <a:xfrm>
                          <a:off x="0" y="0"/>
                          <a:ext cx="830580" cy="304800"/>
                        </a:xfrm>
                        <a:prstGeom prst="rect">
                          <a:avLst/>
                        </a:prstGeom>
                        <a:noFill/>
                        <a:ln cap="flat" cmpd="sng" w="12700" algn="ctr">
                          <a:noFill/>
                          <a:prstDash val="solid"/>
                          <a:miter lim="800000"/>
                        </a:ln>
                        <a:effectLst/>
                      </wps:spPr>
                      <wps:txbx>
                        <w:txbxContent>
                          <w:p w:rsidR="00A21AAE" w:rsidDel="00000000" w:rsidP="00A21AAE" w:rsidRDefault="00A21AAE" w:rsidRPr="001C105B" w14:paraId="3383393F" w14:textId="51372745">
                            <w:pPr>
                              <w:jc w:val="center"/>
                              <w:rPr>
                                <w:lang w:val="en-US"/>
                              </w:rPr>
                            </w:pPr>
                            <w:r w:rsidDel="00000000" w:rsidR="00000000" w:rsidRPr="00000000">
                              <w:rPr>
                                <w:lang w:val="en-US"/>
                              </w:rPr>
                              <w:t>VTR</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2313305</wp:posOffset>
                </wp:positionH>
                <wp:positionV relativeFrom="paragraph">
                  <wp:posOffset>716915</wp:posOffset>
                </wp:positionV>
                <wp:extent cx="830580" cy="304800"/>
                <wp:effectExtent b="0" l="0" r="0" t="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30580" cy="304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2324100</wp:posOffset>
                </wp:positionH>
                <wp:positionV relativeFrom="paragraph">
                  <wp:posOffset>1440815</wp:posOffset>
                </wp:positionV>
                <wp:extent cx="906780" cy="480060"/>
                <wp:effectExtent b="0" l="0" r="0" t="0"/>
                <wp:wrapNone/>
                <wp:docPr id="1" name=""/>
                <a:graphic>
                  <a:graphicData uri="http://schemas.microsoft.com/office/word/2010/wordprocessingShape">
                    <wps:wsp>
                      <wps:cNvSpPr/>
                      <wps:spPr>
                        <a:xfrm>
                          <a:off x="0" y="0"/>
                          <a:ext cx="906780" cy="4800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57CAB" w:rsidDel="00000000" w:rsidP="00B57CAB" w:rsidRDefault="00B57CAB" w:rsidRPr="001C105B" w14:paraId="2CDCB657" w14:textId="7D557F04">
                            <w:pPr>
                              <w:jc w:val="center"/>
                              <w:rPr>
                                <w:lang w:val="en-US"/>
                              </w:rPr>
                            </w:pPr>
                            <w:r w:rsidDel="00000000" w:rsidR="00000000" w:rsidRPr="00000000">
                              <w:rPr>
                                <w:lang w:val="en-US"/>
                              </w:rPr>
                              <w:t>West Champaran</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1440815</wp:posOffset>
                </wp:positionV>
                <wp:extent cx="906780" cy="480060"/>
                <wp:effectExtent b="0" l="0" r="0" t="0"/>
                <wp:wrapNone/>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06780" cy="480060"/>
                        </a:xfrm>
                        <a:prstGeom prst="rect"/>
                        <a:ln/>
                      </pic:spPr>
                    </pic:pic>
                  </a:graphicData>
                </a:graphic>
              </wp:anchor>
            </w:drawing>
          </mc:Fallback>
        </mc:AlternateConten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 1. Survey villages situated in VTR boundary and Eco-sensitive zone.</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and reliability, statistical tests were applied to compare human–wildlife conflict patterns across the three village classes. The Shapiro–Wilk test indicated that the data set was not normally distributed, making parametric tests such as t-tests and ANOVA unsuitable. Consequently, non- parametric methods were adopted.</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Mann–Whitney U test, a non-parametric alternative to the t-test (Logan, 2010), was used to examine differences among village classes in terms of (i) wildlife species responsible for crop and livestock depredation and (ii) the frequency and intensity of wildlife attacks. All analyses were performed using SPSS (version 20, IBM SPSS Inc., Chicago, USA), which facilitated efficient comparison of responses, identification of significant variations, and assessment of community mitigation strategies across different spatial classes.</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highlights the widespread issue of human-wildlife conflict in the surveyed area, with 94.85% of respondents (n = 406) reporting encounters or observations of wildlife-</w:t>
      </w:r>
      <w:r w:rsidDel="00000000" w:rsidR="00000000" w:rsidRPr="00000000">
        <w:rPr>
          <w:rFonts w:ascii="Times New Roman" w:cs="Times New Roman" w:eastAsia="Times New Roman" w:hAnsi="Times New Roman"/>
          <w:sz w:val="24"/>
          <w:szCs w:val="24"/>
          <w:highlight w:val="red"/>
          <w:rtl w:val="0"/>
        </w:rPr>
        <w:t xml:space="preserve">induced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caused</w:t>
      </w:r>
      <w:r w:rsidDel="00000000" w:rsidR="00000000" w:rsidRPr="00000000">
        <w:rPr>
          <w:rFonts w:ascii="Times New Roman" w:cs="Times New Roman" w:eastAsia="Times New Roman" w:hAnsi="Times New Roman"/>
          <w:sz w:val="24"/>
          <w:szCs w:val="24"/>
          <w:rtl w:val="0"/>
        </w:rPr>
        <w:t xml:space="preserve"> challenges, while only 5.14% (n = 22) stated </w:t>
      </w:r>
      <w:r w:rsidDel="00000000" w:rsidR="00000000" w:rsidRPr="00000000">
        <w:rPr>
          <w:rFonts w:ascii="Times New Roman" w:cs="Times New Roman" w:eastAsia="Times New Roman" w:hAnsi="Times New Roman"/>
          <w:sz w:val="24"/>
          <w:szCs w:val="24"/>
          <w:highlight w:val="green"/>
          <w:rtl w:val="0"/>
        </w:rPr>
        <w:t xml:space="preserve">that</w:t>
      </w:r>
      <w:r w:rsidDel="00000000" w:rsidR="00000000" w:rsidRPr="00000000">
        <w:rPr>
          <w:rFonts w:ascii="Times New Roman" w:cs="Times New Roman" w:eastAsia="Times New Roman" w:hAnsi="Times New Roman"/>
          <w:sz w:val="24"/>
          <w:szCs w:val="24"/>
          <w:rtl w:val="0"/>
        </w:rPr>
        <w:t xml:space="preserve"> they had not experienced any </w:t>
      </w:r>
      <w:r w:rsidDel="00000000" w:rsidR="00000000" w:rsidRPr="00000000">
        <w:rPr>
          <w:rFonts w:ascii="Times New Roman" w:cs="Times New Roman" w:eastAsia="Times New Roman" w:hAnsi="Times New Roman"/>
          <w:sz w:val="24"/>
          <w:szCs w:val="24"/>
          <w:highlight w:val="red"/>
          <w:rtl w:val="0"/>
        </w:rPr>
        <w:t xml:space="preserve">conflicts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conflict.</w:t>
      </w:r>
      <w:r w:rsidDel="00000000" w:rsidR="00000000" w:rsidRPr="00000000">
        <w:rPr>
          <w:rFonts w:ascii="Times New Roman" w:cs="Times New Roman" w:eastAsia="Times New Roman" w:hAnsi="Times New Roman"/>
          <w:sz w:val="24"/>
          <w:szCs w:val="24"/>
          <w:rtl w:val="0"/>
        </w:rPr>
        <w:t xml:space="preserve"> The majority of respondents (95.32%) </w:t>
      </w:r>
      <w:r w:rsidDel="00000000" w:rsidR="00000000" w:rsidRPr="00000000">
        <w:rPr>
          <w:rFonts w:ascii="Times New Roman" w:cs="Times New Roman" w:eastAsia="Times New Roman" w:hAnsi="Times New Roman"/>
          <w:sz w:val="24"/>
          <w:szCs w:val="24"/>
          <w:highlight w:val="red"/>
          <w:rtl w:val="0"/>
        </w:rPr>
        <w:t xml:space="preserve">relied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green"/>
          <w:rtl w:val="0"/>
        </w:rPr>
        <w:t xml:space="preserve">were dependent</w:t>
      </w:r>
      <w:r w:rsidDel="00000000" w:rsidR="00000000" w:rsidRPr="00000000">
        <w:rPr>
          <w:rFonts w:ascii="Times New Roman" w:cs="Times New Roman" w:eastAsia="Times New Roman" w:hAnsi="Times New Roman"/>
          <w:sz w:val="24"/>
          <w:szCs w:val="24"/>
          <w:rtl w:val="0"/>
        </w:rPr>
        <w:t xml:space="preserve"> on agriculture as their primary livelihood, supplementing their income with animal rearing (Table 1). </w:t>
      </w:r>
    </w:p>
    <w:tbl>
      <w:tblPr>
        <w:tblStyle w:val="Table1"/>
        <w:tblW w:w="9042.0" w:type="dxa"/>
        <w:jc w:val="left"/>
        <w:tblInd w:w="108.0" w:type="dxa"/>
        <w:tblLayout w:type="fixed"/>
        <w:tblLook w:val="0400"/>
      </w:tblPr>
      <w:tblGrid>
        <w:gridCol w:w="2887"/>
        <w:gridCol w:w="1478"/>
        <w:gridCol w:w="1531"/>
        <w:gridCol w:w="1530"/>
        <w:gridCol w:w="1616"/>
        <w:tblGridChange w:id="0">
          <w:tblGrid>
            <w:gridCol w:w="2887"/>
            <w:gridCol w:w="1478"/>
            <w:gridCol w:w="1531"/>
            <w:gridCol w:w="1530"/>
            <w:gridCol w:w="1616"/>
          </w:tblGrid>
        </w:tblGridChange>
      </w:tblGrid>
      <w:tr>
        <w:trPr>
          <w:cantSplit w:val="0"/>
          <w:trHeight w:val="316" w:hRule="atLeast"/>
          <w:tblHeader w:val="0"/>
        </w:trPr>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Characteristics</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1 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2 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3 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n(%)</w:t>
            </w:r>
          </w:p>
        </w:tc>
      </w:tr>
      <w:tr>
        <w:trPr>
          <w:cantSplit w:val="0"/>
          <w:trHeight w:val="301" w:hRule="atLeast"/>
          <w:tblHeader w:val="0"/>
        </w:trPr>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Villages</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rHeight w:val="301"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tc>
      </w:tr>
      <w:tr>
        <w:trPr>
          <w:cantSplit w:val="0"/>
          <w:trHeight w:val="301"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Occupation (Agriculture)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122(95.31)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104(96.29)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161(94.70)</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387(95.32)</w:t>
            </w:r>
          </w:p>
        </w:tc>
      </w:tr>
      <w:tr>
        <w:trPr>
          <w:cantSplit w:val="0"/>
          <w:trHeight w:val="301"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livestock/HH</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1"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Crop Raiding</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117(91.41)</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101(93.52)</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148(87.06)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366(90.15)</w:t>
            </w:r>
          </w:p>
        </w:tc>
      </w:tr>
    </w:tbl>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 Household and human-wildlife characteristics of 406 surveyed households in and around VTR.</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Nilgai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Boselaphus tragocamelus</w:t>
      </w:r>
      <w:r w:rsidDel="00000000" w:rsidR="00000000" w:rsidRPr="00000000">
        <w:rPr>
          <w:rFonts w:ascii="Times New Roman" w:cs="Times New Roman" w:eastAsia="Times New Roman" w:hAnsi="Times New Roman"/>
          <w:sz w:val="24"/>
          <w:szCs w:val="24"/>
          <w:rtl w:val="0"/>
        </w:rPr>
        <w:t xml:space="preserve">) emerged as the most prominent crop-raiding species, accounting for 19.87% of total incidents, with the highest proportion reported in Class 1 (22.13%) and Class 3 villages (22.01%). </w:t>
      </w:r>
      <w:r w:rsidDel="00000000" w:rsidR="00000000" w:rsidRPr="00000000">
        <w:rPr>
          <w:rFonts w:ascii="Times New Roman" w:cs="Times New Roman" w:eastAsia="Times New Roman" w:hAnsi="Times New Roman"/>
          <w:i w:val="1"/>
          <w:iCs w:val="1"/>
          <w:sz w:val="24"/>
          <w:szCs w:val="24"/>
          <w:rtl w:val="0"/>
        </w:rPr>
        <w:t xml:space="preserve">Chital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Axis axis</w:t>
      </w:r>
      <w:r w:rsidDel="00000000" w:rsidR="00000000" w:rsidRPr="00000000">
        <w:rPr>
          <w:rFonts w:ascii="Times New Roman" w:cs="Times New Roman" w:eastAsia="Times New Roman" w:hAnsi="Times New Roman"/>
          <w:sz w:val="24"/>
          <w:szCs w:val="24"/>
          <w:rtl w:val="0"/>
        </w:rPr>
        <w:t xml:space="preserve">) was the second most frequent crop raider (16.42%), showing slightly higher incidences in Class 3 villages (17.65%). Similarly, </w:t>
      </w:r>
      <w:r w:rsidDel="00000000" w:rsidR="00000000" w:rsidRPr="00000000">
        <w:rPr>
          <w:rFonts w:ascii="Times New Roman" w:cs="Times New Roman" w:eastAsia="Times New Roman" w:hAnsi="Times New Roman"/>
          <w:i w:val="1"/>
          <w:iCs w:val="1"/>
          <w:sz w:val="24"/>
          <w:szCs w:val="24"/>
          <w:rtl w:val="0"/>
        </w:rPr>
        <w:t xml:space="preserve">Langurs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Semnopithecus</w:t>
      </w:r>
      <w:r w:rsidDel="00000000" w:rsidR="00000000" w:rsidRPr="00000000">
        <w:rPr>
          <w:rFonts w:ascii="Times New Roman" w:cs="Times New Roman" w:eastAsia="Times New Roman" w:hAnsi="Times New Roman"/>
          <w:sz w:val="24"/>
          <w:szCs w:val="24"/>
          <w:rtl w:val="0"/>
        </w:rPr>
        <w:t xml:space="preserve"> spp.) contributed to 14.79% of reported cases, being more active in Class 3 villages (16.32%). </w:t>
      </w:r>
    </w:p>
    <w:tbl>
      <w:tblPr>
        <w:tblStyle w:val="Table2"/>
        <w:tblW w:w="9027.000000000002" w:type="dxa"/>
        <w:jc w:val="left"/>
        <w:tblInd w:w="108.0" w:type="dxa"/>
        <w:tblLayout w:type="fixed"/>
        <w:tblLook w:val="0400"/>
      </w:tblPr>
      <w:tblGrid>
        <w:gridCol w:w="1492"/>
        <w:gridCol w:w="3047"/>
        <w:gridCol w:w="1122"/>
        <w:gridCol w:w="1122"/>
        <w:gridCol w:w="1122"/>
        <w:gridCol w:w="1122"/>
        <w:tblGridChange w:id="0">
          <w:tblGrid>
            <w:gridCol w:w="1492"/>
            <w:gridCol w:w="3047"/>
            <w:gridCol w:w="1122"/>
            <w:gridCol w:w="1122"/>
            <w:gridCol w:w="1122"/>
            <w:gridCol w:w="1122"/>
          </w:tblGrid>
        </w:tblGridChange>
      </w:tblGrid>
      <w:tr>
        <w:trPr>
          <w:cantSplit w:val="0"/>
          <w:trHeight w:val="226" w:hRule="atLeast"/>
          <w:tblHeader w:val="0"/>
        </w:trPr>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Common Name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4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Scientific Name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4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1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4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2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4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3 (%)</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w:t>
            </w:r>
          </w:p>
        </w:tc>
      </w:tr>
      <w:tr>
        <w:trPr>
          <w:cantSplit w:val="0"/>
          <w:trHeight w:val="226" w:hRule="atLeast"/>
          <w:tblHeader w:val="0"/>
        </w:trPr>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 Boar </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4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scrofa</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12.81</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12.17</w:t>
            </w:r>
          </w:p>
        </w:tc>
      </w:tr>
      <w:tr>
        <w:trPr>
          <w:cantSplit w:val="0"/>
          <w:trHeight w:val="226"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Nilgai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F">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Boselephous Tragocamelus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22.01</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19.87</w:t>
            </w:r>
          </w:p>
        </w:tc>
      </w:tr>
      <w:tr>
        <w:trPr>
          <w:cantSplit w:val="0"/>
          <w:trHeight w:val="226"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Gaur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5">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Bos gaurus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13.66</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14.18</w:t>
            </w:r>
          </w:p>
        </w:tc>
      </w:tr>
      <w:tr>
        <w:trPr>
          <w:cantSplit w:val="0"/>
          <w:trHeight w:val="226"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Chital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B">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Axis axis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17.65</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16.42</w:t>
            </w:r>
          </w:p>
        </w:tc>
      </w:tr>
      <w:tr>
        <w:trPr>
          <w:cantSplit w:val="0"/>
          <w:trHeight w:val="226"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Sambhar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1">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Rusa unicolor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14.99</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13.94</w:t>
            </w:r>
          </w:p>
        </w:tc>
      </w:tr>
      <w:tr>
        <w:trPr>
          <w:cantSplit w:val="0"/>
          <w:trHeight w:val="226"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Sloth bear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Melursus ursinus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8.63</w:t>
            </w:r>
          </w:p>
        </w:tc>
      </w:tr>
      <w:tr>
        <w:trPr>
          <w:cantSplit w:val="0"/>
          <w:trHeight w:val="216"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Langur</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Semnopithecus</w:t>
            </w:r>
            <w:r w:rsidDel="00000000" w:rsidR="00000000" w:rsidRPr="00000000">
              <w:rPr>
                <w:rFonts w:ascii="Times New Roman" w:cs="Times New Roman" w:eastAsia="Times New Roman" w:hAnsi="Times New Roman"/>
                <w:sz w:val="24"/>
                <w:szCs w:val="24"/>
                <w:rtl w:val="0"/>
              </w:rPr>
              <w:t xml:space="preserve"> spp.</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15.06</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12.99</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14.79</w:t>
            </w:r>
          </w:p>
        </w:tc>
      </w:tr>
    </w:tbl>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2. Percent of Crop raiding incidents by wildlife species that were recorded as being involved in HWC in various village classes</w:t>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herbivores such as </w:t>
      </w:r>
      <w:r w:rsidDel="00000000" w:rsidR="00000000" w:rsidRPr="00000000">
        <w:rPr>
          <w:rFonts w:ascii="Times New Roman" w:cs="Times New Roman" w:eastAsia="Times New Roman" w:hAnsi="Times New Roman"/>
          <w:i w:val="1"/>
          <w:iCs w:val="1"/>
          <w:sz w:val="24"/>
          <w:szCs w:val="24"/>
          <w:rtl w:val="0"/>
        </w:rPr>
        <w:t xml:space="preserve">Gaur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Bos gaurus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Sambar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Rusa unicolor</w:t>
      </w:r>
      <w:r w:rsidDel="00000000" w:rsidR="00000000" w:rsidRPr="00000000">
        <w:rPr>
          <w:rFonts w:ascii="Times New Roman" w:cs="Times New Roman" w:eastAsia="Times New Roman" w:hAnsi="Times New Roman"/>
          <w:sz w:val="24"/>
          <w:szCs w:val="24"/>
          <w:rtl w:val="0"/>
        </w:rPr>
        <w:t xml:space="preserve">) were responsible for 14.18% and 13.94% of incidents, respectively, with slightly higher incidences in Class 2 villages adjoining the reserve boundary. </w:t>
      </w:r>
      <w:r w:rsidDel="00000000" w:rsidR="00000000" w:rsidRPr="00000000">
        <w:rPr>
          <w:rFonts w:ascii="Times New Roman" w:cs="Times New Roman" w:eastAsia="Times New Roman" w:hAnsi="Times New Roman"/>
          <w:i w:val="1"/>
          <w:iCs w:val="1"/>
          <w:sz w:val="24"/>
          <w:szCs w:val="24"/>
          <w:rtl w:val="0"/>
        </w:rPr>
        <w:t xml:space="preserve">Wild Boar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Sus scrofa</w:t>
      </w:r>
      <w:r w:rsidDel="00000000" w:rsidR="00000000" w:rsidRPr="00000000">
        <w:rPr>
          <w:rFonts w:ascii="Times New Roman" w:cs="Times New Roman" w:eastAsia="Times New Roman" w:hAnsi="Times New Roman"/>
          <w:sz w:val="24"/>
          <w:szCs w:val="24"/>
          <w:rtl w:val="0"/>
        </w:rPr>
        <w:t xml:space="preserve">) accounted for 12.17%, relatively consistent across all classes. Although less frequent overall, </w:t>
      </w:r>
      <w:r w:rsidDel="00000000" w:rsidR="00000000" w:rsidRPr="00000000">
        <w:rPr>
          <w:rFonts w:ascii="Times New Roman" w:cs="Times New Roman" w:eastAsia="Times New Roman" w:hAnsi="Times New Roman"/>
          <w:i w:val="1"/>
          <w:iCs w:val="1"/>
          <w:sz w:val="24"/>
          <w:szCs w:val="24"/>
          <w:rtl w:val="0"/>
        </w:rPr>
        <w:t xml:space="preserve">Sloth Bear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Melursus ursinus</w:t>
      </w:r>
      <w:r w:rsidDel="00000000" w:rsidR="00000000" w:rsidRPr="00000000">
        <w:rPr>
          <w:rFonts w:ascii="Times New Roman" w:cs="Times New Roman" w:eastAsia="Times New Roman" w:hAnsi="Times New Roman"/>
          <w:sz w:val="24"/>
          <w:szCs w:val="24"/>
          <w:rtl w:val="0"/>
        </w:rPr>
        <w:t xml:space="preserve">) raids were notable in Class 2 villages (12.50%), reflecting their tendency to forage along the forest edge (Table 2). Overall, the distribution pattern indicates that ungulates (Nilgai, Chital, Gaur, and Sambar) collectively accounted for the majority of crop-raiding events, whereas primates (</w:t>
      </w:r>
      <w:r w:rsidDel="00000000" w:rsidR="00000000" w:rsidRPr="00000000">
        <w:rPr>
          <w:rFonts w:ascii="Times New Roman" w:cs="Times New Roman" w:eastAsia="Times New Roman" w:hAnsi="Times New Roman"/>
          <w:i w:val="1"/>
          <w:iCs w:val="1"/>
          <w:sz w:val="24"/>
          <w:szCs w:val="24"/>
          <w:rtl w:val="0"/>
        </w:rPr>
        <w:t xml:space="preserve">Langurs</w:t>
      </w:r>
      <w:r w:rsidDel="00000000" w:rsidR="00000000" w:rsidRPr="00000000">
        <w:rPr>
          <w:rFonts w:ascii="Times New Roman" w:cs="Times New Roman" w:eastAsia="Times New Roman" w:hAnsi="Times New Roman"/>
          <w:sz w:val="24"/>
          <w:szCs w:val="24"/>
          <w:rtl w:val="0"/>
        </w:rPr>
        <w:t xml:space="preserve">) and omnivores (</w:t>
      </w:r>
      <w:r w:rsidDel="00000000" w:rsidR="00000000" w:rsidRPr="00000000">
        <w:rPr>
          <w:rFonts w:ascii="Times New Roman" w:cs="Times New Roman" w:eastAsia="Times New Roman" w:hAnsi="Times New Roman"/>
          <w:i w:val="1"/>
          <w:iCs w:val="1"/>
          <w:sz w:val="24"/>
          <w:szCs w:val="24"/>
          <w:rtl w:val="0"/>
        </w:rPr>
        <w:t xml:space="preserve">Wild Boar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Sloth Bear</w:t>
      </w:r>
      <w:r w:rsidDel="00000000" w:rsidR="00000000" w:rsidRPr="00000000">
        <w:rPr>
          <w:rFonts w:ascii="Times New Roman" w:cs="Times New Roman" w:eastAsia="Times New Roman" w:hAnsi="Times New Roman"/>
          <w:sz w:val="24"/>
          <w:szCs w:val="24"/>
          <w:rtl w:val="0"/>
        </w:rPr>
        <w:t xml:space="preserve">) also posed significant but localized challenges. These findings underscore the multi-species nature of crop raiding in the Valmiki landscape and the spatial variation in conflict intensity across different village classes.</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highest proportion of raids occurred during winter (40.44%), followed by monsoon (33.88%). Spring and summer recorded comparatively fewer incidents, with 13.66% and 12.02%, respectively. Across all classes, winter and monsoon remained the peak seasons for crop damage, though Class 3 villages (located farther from the reserve) experienced relatively higher raids in summer (17.57%). This seasonal trend highlights that human-wildlife conflict is more intense during winter and monsoon, coinciding with peak agricultural activity and crop availability (Table 3).</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35.0" w:type="dxa"/>
        <w:jc w:val="left"/>
        <w:tblInd w:w="108.0" w:type="dxa"/>
        <w:tblLayout w:type="fixed"/>
        <w:tblLook w:val="0400"/>
      </w:tblPr>
      <w:tblGrid>
        <w:gridCol w:w="2216"/>
        <w:gridCol w:w="1879"/>
        <w:gridCol w:w="67"/>
        <w:gridCol w:w="1792"/>
        <w:gridCol w:w="307"/>
        <w:gridCol w:w="1326"/>
        <w:gridCol w:w="298"/>
        <w:gridCol w:w="1150"/>
        <w:tblGridChange w:id="0">
          <w:tblGrid>
            <w:gridCol w:w="2216"/>
            <w:gridCol w:w="1879"/>
            <w:gridCol w:w="67"/>
            <w:gridCol w:w="1792"/>
            <w:gridCol w:w="307"/>
            <w:gridCol w:w="1326"/>
            <w:gridCol w:w="298"/>
            <w:gridCol w:w="1150"/>
          </w:tblGrid>
        </w:tblGridChange>
      </w:tblGrid>
      <w:tr>
        <w:trPr>
          <w:cantSplit w:val="0"/>
          <w:trHeight w:val="378" w:hRule="atLeast"/>
          <w:tblHeader w:val="0"/>
        </w:trPr>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Season (Crop Raiding)</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7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1 n(%)</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7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2 n(%)</w:t>
            </w:r>
          </w:p>
        </w:tc>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7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3 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8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n(%)</w:t>
            </w:r>
          </w:p>
        </w:tc>
      </w:tr>
      <w:tr>
        <w:trPr>
          <w:cantSplit w:val="0"/>
          <w:trHeight w:val="378" w:hRule="atLeast"/>
          <w:tblHeader w:val="0"/>
        </w:trPr>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w:t>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10(8.55)</w:t>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8(7.92)</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26(17.57)</w:t>
            </w:r>
          </w:p>
        </w:tc>
        <w:tc>
          <w:tcPr>
            <w:gridSpan w:val="2"/>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44(12.02)</w:t>
            </w:r>
          </w:p>
        </w:tc>
      </w:tr>
      <w:tr>
        <w:trPr>
          <w:cantSplit w:val="0"/>
          <w:trHeight w:val="357"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Monsoon</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37(31.62)</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34(33.66)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53(35.81)</w:t>
            </w:r>
          </w:p>
        </w:tc>
        <w:tc>
          <w:tcPr>
            <w:gridSpan w:val="2"/>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124(33.88)</w:t>
            </w:r>
          </w:p>
        </w:tc>
      </w:tr>
      <w:tr>
        <w:trPr>
          <w:cantSplit w:val="0"/>
          <w:trHeight w:val="357"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56(47.86)</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42(41.58)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50(33.78)</w:t>
            </w:r>
          </w:p>
        </w:tc>
        <w:tc>
          <w:tcPr>
            <w:gridSpan w:val="2"/>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9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148(40.44)</w:t>
            </w:r>
          </w:p>
        </w:tc>
      </w:tr>
      <w:tr>
        <w:trPr>
          <w:cantSplit w:val="0"/>
          <w:trHeight w:val="357"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14(11.97)</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17(16.83)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19(12.84)</w:t>
            </w:r>
          </w:p>
        </w:tc>
        <w:tc>
          <w:tcPr>
            <w:gridSpan w:val="2"/>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50(13.66)</w:t>
            </w:r>
          </w:p>
        </w:tc>
      </w:tr>
      <w:tr>
        <w:trPr>
          <w:cantSplit w:val="0"/>
          <w:trHeight w:val="357"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117(100)</w:t>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101(100)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148(100)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366(100)</w:t>
            </w:r>
          </w:p>
        </w:tc>
      </w:tr>
    </w:tbl>
    <w:p w:rsidR="00000000" w:rsidDel="00000000" w:rsidP="00000000" w:rsidRDefault="00000000" w:rsidRPr="00000000" w14:paraId="000000A9">
      <w:pPr>
        <w:tabs>
          <w:tab w:val="left" w:leader="none" w:pos="5727"/>
        </w:tabs>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3. Crop raiding and livestock depredation in different seasons.</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widely used strategy was fencing (65.27%), followed by setting thorny bushes on field outskirts (58.87%), both of which served as physical barriers to restrict animal entry. Watch towers (49.51%) were also commonly employed, particularly in Class 2 villages (57.41%), where proximity to the forest boundary increases the risk of wildlife incursions (Table 4). Night watch (33.74%) was another preventive measure, with higher reliance in Class 1 and Class 2 villages, whereas Class 3 villages reported comparatively lower use (22.94%), possibly due to reduced frequency of wildlife encounters. Scare devices (18.47%) such as noise and light deterrents were the least adopted method overall, reflecting either limited effectiveness or high labour requirements. Overall, the results suggest that villagers rely more on physical barriers (fencing, thorny bushes, watch towers) than on active measures (night watch, scare devices), with some variation across distance-based village classes.</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71.0" w:type="dxa"/>
        <w:jc w:val="left"/>
        <w:tblInd w:w="108.0" w:type="dxa"/>
        <w:tblLayout w:type="fixed"/>
        <w:tblLook w:val="0400"/>
      </w:tblPr>
      <w:tblGrid>
        <w:gridCol w:w="2695"/>
        <w:gridCol w:w="1797"/>
        <w:gridCol w:w="1668"/>
        <w:gridCol w:w="1614"/>
        <w:gridCol w:w="1297"/>
        <w:tblGridChange w:id="0">
          <w:tblGrid>
            <w:gridCol w:w="2695"/>
            <w:gridCol w:w="1797"/>
            <w:gridCol w:w="1668"/>
            <w:gridCol w:w="1614"/>
            <w:gridCol w:w="1297"/>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0A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Mitigation Methods </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1 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2 n(%)</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Village class 3 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B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n(%)</w:t>
            </w:r>
          </w:p>
        </w:tc>
      </w:tr>
      <w:tr>
        <w:trPr>
          <w:cantSplit w:val="0"/>
          <w:trHeight w:val="303" w:hRule="atLeast"/>
          <w:tblHeader w:val="0"/>
        </w:trPr>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Watch Tower</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58(45.31)</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62(57.41)</w:t>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81(47.65)</w:t>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201(49.51)</w:t>
            </w:r>
          </w:p>
        </w:tc>
      </w:tr>
      <w:tr>
        <w:trPr>
          <w:cantSplit w:val="0"/>
          <w:trHeight w:val="317"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Fencing</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83(64.84)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78(72.22)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104(61.18)</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265(65.27)</w:t>
            </w:r>
          </w:p>
        </w:tc>
      </w:tr>
      <w:tr>
        <w:trPr>
          <w:cantSplit w:val="0"/>
          <w:trHeight w:val="303"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Night Watch</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52(40.63)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46(42.59)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39(22.94)</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137(33.74)</w:t>
            </w:r>
          </w:p>
        </w:tc>
      </w:tr>
      <w:tr>
        <w:trPr>
          <w:cantSplit w:val="0"/>
          <w:trHeight w:val="303" w:hRule="atLeast"/>
          <w:tblHeader w:val="0"/>
        </w:trPr>
        <w:tc>
          <w:tcPr>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Scare Devices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21(16.41)</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20(18.52)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34(20.00)</w:t>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75(18.47)</w:t>
            </w:r>
          </w:p>
        </w:tc>
      </w:tr>
      <w:tr>
        <w:trPr>
          <w:cantSplit w:val="0"/>
          <w:trHeight w:val="303" w:hRule="atLeast"/>
          <w:tblHeader w:val="0"/>
        </w:trPr>
        <w:tc>
          <w:tcPr>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Setting thorny bushes </w:t>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84(65.63)</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74(68.52)</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81(47.65)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239(58.87)</w:t>
            </w:r>
          </w:p>
        </w:tc>
      </w:tr>
    </w:tbl>
    <w:p w:rsidR="00000000" w:rsidDel="00000000" w:rsidP="00000000" w:rsidRDefault="00000000" w:rsidRPr="00000000" w14:paraId="000000CC">
      <w:pPr>
        <w:tabs>
          <w:tab w:val="left" w:leader="none" w:pos="5727"/>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tabs>
          <w:tab w:val="left" w:leader="none" w:pos="5727"/>
        </w:tabs>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4. Mitigation methods used by respondents to prevent crop raiding</w:t>
      </w:r>
    </w:p>
    <w:p w:rsidR="00000000" w:rsidDel="00000000" w:rsidP="00000000" w:rsidRDefault="00000000" w:rsidRPr="00000000" w14:paraId="000000CE">
      <w:pPr>
        <w:tabs>
          <w:tab w:val="left" w:leader="none" w:pos="5727"/>
        </w:tabs>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Farmers employed various mitigation measures such as fencing, placing thorny bushes, watchtowers, night watch duties, and scare devices, but there was no significant difference in the mitigation strategies used across different village categories (Mann-Whitney U = 812.50, p = 0.54). </w:t>
      </w:r>
      <w:r w:rsidDel="00000000" w:rsidR="00000000" w:rsidRPr="00000000">
        <w:rPr>
          <w:rtl w:val="0"/>
        </w:rPr>
      </w:r>
    </w:p>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have previously established a direct link between long cropping months and the frequency of crop raids. Sugarcane, rice, wheat, and maize, which have longer growing seasons, were more susceptible to wildlife damage (Karanth et al., 2012). Furthermore, proximity to protected areas played a significant role in determining crop loss, as villages situated closer to the reserve (village classes 1 and 2) reported higher instances of crop damage compared to villages farther away (village class 3). These findings are consistent with previous research in Royal Bardia National Park, Nepal, where Chital and Wild Boars were responsible for nearly 50% of total crop damage (Studsrød &amp; Wegge, 1995). Wild Boars, in particular, are known for their destructive foraging habits, often uprooting crops, while Nilgai and Chital graze extensively on standing crops.</w:t>
      </w:r>
    </w:p>
    <w:p w:rsidR="00000000" w:rsidDel="00000000" w:rsidP="00000000" w:rsidRDefault="00000000" w:rsidRPr="00000000" w14:paraId="000000D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highlights that crop raiding is one of the most significant forms of human–wildlife conflict in and around Valmiki Tiger Reserve, affecting local livelihoods and food security. The findings demonstrate that a wide range of species—including nilgai, chital, gaur, wild boar, sambhar, sloth bear, and langur—are responsible for crop depredation, with nilgai and chital being the most frequently reported. Seasonal patterns indicate that incidents are most common during the winter (40.44%) and monsoon (33.88%) seasons, coinciding with peak agricultural cycles. Mitigation strategies adopted by local communities primarily rely on physical barriers such as fencing (65.27%) and thorny bushes (58.87%), alongside watch towers (49.51%) and night guarding (33.74%). However, the continued prevalence of crop raiding despite these measures suggests limited effectiveness of traditional methods, especially in villages closer to the protected boundary. Overall, the study underscores the need for integrated conflict mitigation strategies that combine community-based approaches with technological interventions, such as solar fencing, bio-fencing, and compensation schemes, while also strengthening awareness and coordination between forest officials and villagers. Long-term solutions should focus on balancing conservation priorities with local livelihood security to ensure coexistence between wildlife and people in the eco-sensitive zone of VTR.</w:t>
      </w:r>
    </w:p>
    <w:p w:rsidR="00000000" w:rsidDel="00000000" w:rsidP="00000000" w:rsidRDefault="00000000" w:rsidRPr="00000000" w14:paraId="000000D2">
      <w:pPr>
        <w:spacing w:line="240" w:lineRule="auto"/>
        <w:jc w:val="both"/>
        <w:rPr>
          <w:rFonts w:ascii="Times New Roman" w:cs="Times New Roman" w:eastAsia="Times New Roman" w:hAnsi="Times New Roman"/>
          <w:b w:val="1"/>
          <w:bCs w:val="1"/>
          <w:sz w:val="24"/>
          <w:szCs w:val="24"/>
        </w:rPr>
      </w:pPr>
      <w:bookmarkStart w:colFirst="0" w:colLast="0" w:name="_dspzwg9sj01x" w:id="1"/>
      <w:bookmarkEnd w:id="1"/>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D3">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Ahmad, A., Rawat, J. S., &amp; Rai, S. C. (1990). An analysis of the Himalayan environment and guidelines for its management and ecologically sustainable development. </w:t>
      </w:r>
      <w:r w:rsidDel="00000000" w:rsidR="00000000" w:rsidRPr="00000000">
        <w:rPr>
          <w:rFonts w:ascii="Times New Roman" w:cs="Times New Roman" w:eastAsia="Times New Roman" w:hAnsi="Times New Roman"/>
          <w:i w:val="1"/>
          <w:iCs w:val="1"/>
          <w:sz w:val="24"/>
          <w:szCs w:val="24"/>
          <w:rtl w:val="0"/>
        </w:rPr>
        <w:t xml:space="preserve">The Environmentalist</w:t>
      </w:r>
      <w:r w:rsidDel="00000000" w:rsidR="00000000" w:rsidRPr="00000000">
        <w:rPr>
          <w:rFonts w:ascii="Times New Roman" w:cs="Times New Roman" w:eastAsia="Times New Roman" w:hAnsi="Times New Roman"/>
          <w:sz w:val="24"/>
          <w:szCs w:val="24"/>
          <w:rtl w:val="0"/>
        </w:rPr>
        <w:t xml:space="preserve">, 10(4), 281–298. </w:t>
      </w:r>
      <w:hyperlink r:id="rId11">
        <w:r w:rsidDel="00000000" w:rsidR="00000000" w:rsidRPr="00000000">
          <w:rPr>
            <w:rFonts w:ascii="Times New Roman" w:cs="Times New Roman" w:eastAsia="Times New Roman" w:hAnsi="Times New Roman"/>
            <w:color w:val="000000"/>
            <w:sz w:val="24"/>
            <w:szCs w:val="24"/>
            <w:u w:val="none"/>
            <w:rtl w:val="0"/>
          </w:rPr>
          <w:t xml:space="preserve">https://doi.org/10.1007/bf02239722</w:t>
        </w:r>
      </w:hyperlink>
      <w:r w:rsidDel="00000000" w:rsidR="00000000" w:rsidRPr="00000000">
        <w:rPr>
          <w:rtl w:val="0"/>
        </w:rPr>
      </w:r>
    </w:p>
    <w:p w:rsidR="00000000" w:rsidDel="00000000" w:rsidP="00000000" w:rsidRDefault="00000000" w:rsidRPr="00000000" w14:paraId="000000D4">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Champion, H. G., &amp; Seth, S. K. (1968). </w:t>
      </w:r>
      <w:r w:rsidDel="00000000" w:rsidR="00000000" w:rsidRPr="00000000">
        <w:rPr>
          <w:rFonts w:ascii="Times New Roman" w:cs="Times New Roman" w:eastAsia="Times New Roman" w:hAnsi="Times New Roman"/>
          <w:i w:val="1"/>
          <w:iCs w:val="1"/>
          <w:sz w:val="24"/>
          <w:szCs w:val="24"/>
          <w:rtl w:val="0"/>
        </w:rPr>
        <w:t xml:space="preserve">A revised survey of the forest types of India</w:t>
      </w:r>
      <w:r w:rsidDel="00000000" w:rsidR="00000000" w:rsidRPr="00000000">
        <w:rPr>
          <w:rFonts w:ascii="Times New Roman" w:cs="Times New Roman" w:eastAsia="Times New Roman" w:hAnsi="Times New Roman"/>
          <w:sz w:val="24"/>
          <w:szCs w:val="24"/>
          <w:rtl w:val="0"/>
        </w:rPr>
        <w:t xml:space="preserve">. Government of India, Manager of Publications, New Delhi, India, p. 34.</w:t>
      </w:r>
      <w:r w:rsidDel="00000000" w:rsidR="00000000" w:rsidRPr="00000000">
        <w:rPr>
          <w:rtl w:val="0"/>
        </w:rPr>
      </w:r>
    </w:p>
    <w:p w:rsidR="00000000" w:rsidDel="00000000" w:rsidP="00000000" w:rsidRDefault="00000000" w:rsidRPr="00000000" w14:paraId="000000D5">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Chanchani, P., Noon, B. R., Bista, A., &amp; Warrier, R. (2014). Influence of resource gradients and habitat edges on density variation in tiger populations in a multi-use landscape. Frontiers in Ecology and Evolution, 2, 30. </w:t>
      </w:r>
      <w:hyperlink r:id="rId12">
        <w:r w:rsidDel="00000000" w:rsidR="00000000" w:rsidRPr="00000000">
          <w:rPr>
            <w:rFonts w:ascii="Times New Roman" w:cs="Times New Roman" w:eastAsia="Times New Roman" w:hAnsi="Times New Roman"/>
            <w:color w:val="0563c1"/>
            <w:sz w:val="24"/>
            <w:szCs w:val="24"/>
            <w:u w:val="single"/>
            <w:rtl w:val="0"/>
          </w:rPr>
          <w:t xml:space="preserve">https://doi.org/10.3389/fevo.2014.00030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6">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Distefano, E. (2005). Human-wildlife conflict worldwide: Collection of case studies, analysis of management strategies and good practices. FAO, Sustainable Agriculture and Rural Development Initiative. </w:t>
      </w:r>
      <w:hyperlink r:id="rId13">
        <w:r w:rsidDel="00000000" w:rsidR="00000000" w:rsidRPr="00000000">
          <w:rPr>
            <w:rFonts w:ascii="Times New Roman" w:cs="Times New Roman" w:eastAsia="Times New Roman" w:hAnsi="Times New Roman"/>
            <w:color w:val="0563c1"/>
            <w:sz w:val="24"/>
            <w:szCs w:val="24"/>
            <w:u w:val="single"/>
            <w:rtl w:val="0"/>
          </w:rPr>
          <w:t xml:space="preserve">https://www.fao.org/documents/card/en/c/a0000e/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7">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Fungo, B. (2011). A review of crop raiding around protected areas: Nature, control and research gaps. Environmental Research Journal, 5(2), 87–92. </w:t>
      </w:r>
      <w:hyperlink r:id="rId14">
        <w:r w:rsidDel="00000000" w:rsidR="00000000" w:rsidRPr="00000000">
          <w:rPr>
            <w:rFonts w:ascii="Times New Roman" w:cs="Times New Roman" w:eastAsia="Times New Roman" w:hAnsi="Times New Roman"/>
            <w:color w:val="0563c1"/>
            <w:sz w:val="24"/>
            <w:szCs w:val="24"/>
            <w:u w:val="single"/>
            <w:rtl w:val="0"/>
          </w:rPr>
          <w:t xml:space="preserve">https://doi.org/10.3923/erj.2011.87.92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8">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Gile, A. (1978). Protected areas and human conflict: Implications for conservation policy. </w:t>
      </w:r>
      <w:r w:rsidDel="00000000" w:rsidR="00000000" w:rsidRPr="00000000">
        <w:rPr>
          <w:rFonts w:ascii="Times New Roman" w:cs="Times New Roman" w:eastAsia="Times New Roman" w:hAnsi="Times New Roman"/>
          <w:i w:val="1"/>
          <w:iCs w:val="1"/>
          <w:sz w:val="24"/>
          <w:szCs w:val="24"/>
          <w:rtl w:val="0"/>
        </w:rPr>
        <w:t xml:space="preserve">Biological Conservation</w:t>
      </w:r>
      <w:r w:rsidDel="00000000" w:rsidR="00000000" w:rsidRPr="00000000">
        <w:rPr>
          <w:rFonts w:ascii="Times New Roman" w:cs="Times New Roman" w:eastAsia="Times New Roman" w:hAnsi="Times New Roman"/>
          <w:sz w:val="24"/>
          <w:szCs w:val="24"/>
          <w:rtl w:val="0"/>
        </w:rPr>
        <w:t xml:space="preserve">, 13(1), 17–34. https://doi.org/10.1016/0006-3207(78)90042-1</w:t>
      </w:r>
      <w:r w:rsidDel="00000000" w:rsidR="00000000" w:rsidRPr="00000000">
        <w:rPr>
          <w:rtl w:val="0"/>
        </w:rPr>
      </w:r>
    </w:p>
    <w:p w:rsidR="00000000" w:rsidDel="00000000" w:rsidP="00000000" w:rsidRDefault="00000000" w:rsidRPr="00000000" w14:paraId="000000D9">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Graham, K., Beckerman, A. P., &amp; Thirgood, S. (2005). Human–predator–prey conflicts: Ecological correlates, prey losses and patterns of management. Biological Conservation, 122(2), 159–171. </w:t>
      </w:r>
      <w:hyperlink r:id="rId15">
        <w:r w:rsidDel="00000000" w:rsidR="00000000" w:rsidRPr="00000000">
          <w:rPr>
            <w:rFonts w:ascii="Times New Roman" w:cs="Times New Roman" w:eastAsia="Times New Roman" w:hAnsi="Times New Roman"/>
            <w:color w:val="0563c1"/>
            <w:sz w:val="24"/>
            <w:szCs w:val="24"/>
            <w:u w:val="single"/>
            <w:rtl w:val="0"/>
          </w:rPr>
          <w:t xml:space="preserve">https://doi.org/10.1016/j.biocon.2004.06.006</w:t>
        </w:r>
      </w:hyperlink>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tl w:val="0"/>
        </w:rPr>
      </w:r>
    </w:p>
    <w:p w:rsidR="00000000" w:rsidDel="00000000" w:rsidP="00000000" w:rsidRDefault="00000000" w:rsidRPr="00000000" w14:paraId="000000DA">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Kagoro-Rugunda, G. (2004). Crop raiding around Lake Mburo National Park, Uganda. African Journal of Ecology, 42(1), 32–41. </w:t>
      </w:r>
      <w:hyperlink r:id="rId16">
        <w:r w:rsidDel="00000000" w:rsidR="00000000" w:rsidRPr="00000000">
          <w:rPr>
            <w:rFonts w:ascii="Times New Roman" w:cs="Times New Roman" w:eastAsia="Times New Roman" w:hAnsi="Times New Roman"/>
            <w:color w:val="0563c1"/>
            <w:sz w:val="24"/>
            <w:szCs w:val="24"/>
            <w:u w:val="single"/>
            <w:rtl w:val="0"/>
          </w:rPr>
          <w:t xml:space="preserve">https://doi.org/10.1111/j.0141-6707.2004.00444.x</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B">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Karanth, K. U., &amp; Gopal, R. (2005). An ecology-based policy framework for human–tiger coexistence in India. In R. Woodroffe, S. Thirgood, &amp; A. Rabinowitz (Eds.), *People and wildlife: Conflict or co-existence?* (pp. 373–387). Cambridge University Press. </w:t>
      </w:r>
      <w:hyperlink r:id="rId17">
        <w:r w:rsidDel="00000000" w:rsidR="00000000" w:rsidRPr="00000000">
          <w:rPr>
            <w:rFonts w:ascii="Times New Roman" w:cs="Times New Roman" w:eastAsia="Times New Roman" w:hAnsi="Times New Roman"/>
            <w:color w:val="0563c1"/>
            <w:sz w:val="24"/>
            <w:szCs w:val="24"/>
            <w:u w:val="single"/>
            <w:rtl w:val="0"/>
          </w:rPr>
          <w:t xml:space="preserve">https://doi.org/10.1017/CBO9780511614774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C">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Karanth, K. K., &amp; Nepal, S. K. (2012). Local residents’ perception of benefits and losses from protected areas in India and Nepal. Environmental Management, 49(2), 372–386. </w:t>
      </w:r>
      <w:hyperlink r:id="rId18">
        <w:r w:rsidDel="00000000" w:rsidR="00000000" w:rsidRPr="00000000">
          <w:rPr>
            <w:rFonts w:ascii="Times New Roman" w:cs="Times New Roman" w:eastAsia="Times New Roman" w:hAnsi="Times New Roman"/>
            <w:color w:val="0563c1"/>
            <w:sz w:val="24"/>
            <w:szCs w:val="24"/>
            <w:u w:val="single"/>
            <w:rtl w:val="0"/>
          </w:rPr>
          <w:t xml:space="preserve">https://doi.org/10.1007/s00267-011-9778-1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D">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Karanth, K. K., Gopalaswamy, A. M., DeFries, R., &amp; Ballal, N. (2012). Assessing patterns of human–wildlife conflicts and compensation around a Central Indian protected area. PLOS ONE, 7(12), e50433. </w:t>
      </w:r>
      <w:hyperlink r:id="rId19">
        <w:r w:rsidDel="00000000" w:rsidR="00000000" w:rsidRPr="00000000">
          <w:rPr>
            <w:rFonts w:ascii="Times New Roman" w:cs="Times New Roman" w:eastAsia="Times New Roman" w:hAnsi="Times New Roman"/>
            <w:color w:val="0563c1"/>
            <w:sz w:val="24"/>
            <w:szCs w:val="24"/>
            <w:u w:val="single"/>
            <w:rtl w:val="0"/>
          </w:rPr>
          <w:t xml:space="preserve">https://doi.org/10.1371/journal.pone.0050433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E">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Lamichhane, B. R., Persoon, G. A., Leirs, H., Poudel, S., Subedi, N., Pokheral, C. P., Bhattarai, S., Thapaliya, B. P., &amp; de Iongh, H. H. (2018). Spatio-temporal patterns of attacks on human and economic losses from wildlife in Chitwan National Park, Nepal. PLOS ONE. </w:t>
      </w:r>
      <w:hyperlink r:id="rId20">
        <w:r w:rsidDel="00000000" w:rsidR="00000000" w:rsidRPr="00000000">
          <w:rPr>
            <w:rFonts w:ascii="Times New Roman" w:cs="Times New Roman" w:eastAsia="Times New Roman" w:hAnsi="Times New Roman"/>
            <w:color w:val="0563c1"/>
            <w:sz w:val="24"/>
            <w:szCs w:val="24"/>
            <w:u w:val="single"/>
            <w:rtl w:val="0"/>
          </w:rPr>
          <w:t xml:space="preserve">https://doi.org/10.1371/journal.pone.0195373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F">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Logan, M. (2010). Biostatistical design and analysis using R: A practical guide. John Wiley &amp; Sons. </w:t>
      </w:r>
      <w:hyperlink r:id="rId21">
        <w:r w:rsidDel="00000000" w:rsidR="00000000" w:rsidRPr="00000000">
          <w:rPr>
            <w:rFonts w:ascii="Times New Roman" w:cs="Times New Roman" w:eastAsia="Times New Roman" w:hAnsi="Times New Roman"/>
            <w:color w:val="0563c1"/>
            <w:sz w:val="24"/>
            <w:szCs w:val="24"/>
            <w:u w:val="single"/>
            <w:rtl w:val="0"/>
          </w:rPr>
          <w:t xml:space="preserve">https://doi.org/10.1002/9781444335248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0">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Madhusudan, M. D. (2003). Living amidst large wildlife: Livestock and crop depredation by large mammals in the interior villages of Bhadra Tiger Reserve, South India. Environmental Management, 31(4), 466–475. </w:t>
      </w:r>
      <w:hyperlink r:id="rId22">
        <w:r w:rsidDel="00000000" w:rsidR="00000000" w:rsidRPr="00000000">
          <w:rPr>
            <w:rFonts w:ascii="Times New Roman" w:cs="Times New Roman" w:eastAsia="Times New Roman" w:hAnsi="Times New Roman"/>
            <w:color w:val="0563c1"/>
            <w:sz w:val="24"/>
            <w:szCs w:val="24"/>
            <w:u w:val="single"/>
            <w:rtl w:val="0"/>
          </w:rPr>
          <w:t xml:space="preserve">https://doi.org/10.1007/s00267-002-2790-8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1">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Malviya, M., &amp; Ramesh, K. (2015). Human–felid conflict in corridor habitats: Implications for tiger and leopard conservation in Terai Arc Landscape, India. Human–Wildlife Interactions, 9(1), 48–57. </w:t>
      </w:r>
      <w:hyperlink r:id="rId23">
        <w:r w:rsidDel="00000000" w:rsidR="00000000" w:rsidRPr="00000000">
          <w:rPr>
            <w:rFonts w:ascii="Times New Roman" w:cs="Times New Roman" w:eastAsia="Times New Roman" w:hAnsi="Times New Roman"/>
            <w:color w:val="0563c1"/>
            <w:sz w:val="24"/>
            <w:szCs w:val="24"/>
            <w:u w:val="single"/>
            <w:rtl w:val="0"/>
          </w:rPr>
          <w:t xml:space="preserve">https://doi.org/10.26077/8g9e-cc96</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2">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Maurya, K. K., &amp; Borah, J. (2013). Status of tigers in Valmiki Tiger Reserve, Terai Arc Landscape, Bihar, India. WWF-India. </w:t>
      </w:r>
      <w:hyperlink r:id="rId24">
        <w:r w:rsidDel="00000000" w:rsidR="00000000" w:rsidRPr="00000000">
          <w:rPr>
            <w:rFonts w:ascii="Times New Roman" w:cs="Times New Roman" w:eastAsia="Times New Roman" w:hAnsi="Times New Roman"/>
            <w:color w:val="0563c1"/>
            <w:sz w:val="24"/>
            <w:szCs w:val="24"/>
            <w:u w:val="single"/>
            <w:rtl w:val="0"/>
          </w:rPr>
          <w:t xml:space="preserve">https://www.wwfindia.org/news_facts/wwf_publications/?10821/Status-of-tigers-in-Valmiki-Tiger-Reserve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3">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McGuinness, S., &amp; Taylor, D. (2014). Farmers’ perceptions and actions to decrease crop raiding by forest-dwelling primates around a Rwandan forest fragment. Human Dimensions of Wildlife, 19(2), 179–190. </w:t>
      </w:r>
      <w:hyperlink r:id="rId25">
        <w:r w:rsidDel="00000000" w:rsidR="00000000" w:rsidRPr="00000000">
          <w:rPr>
            <w:rFonts w:ascii="Times New Roman" w:cs="Times New Roman" w:eastAsia="Times New Roman" w:hAnsi="Times New Roman"/>
            <w:color w:val="0563c1"/>
            <w:sz w:val="24"/>
            <w:szCs w:val="24"/>
            <w:u w:val="single"/>
            <w:rtl w:val="0"/>
          </w:rPr>
          <w:t xml:space="preserve">https://doi.org/10.1080/10871209.2014.853330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4">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Pattekar, S., Verma, S., Arif, Salaria, S., Chanchani, P., Maurya, K. K., Ojha, G., Mall, A., Narayan, N., &amp; Roy, H. K. (2021). </w:t>
      </w:r>
      <w:r w:rsidDel="00000000" w:rsidR="00000000" w:rsidRPr="00000000">
        <w:rPr>
          <w:rFonts w:ascii="Times New Roman" w:cs="Times New Roman" w:eastAsia="Times New Roman" w:hAnsi="Times New Roman"/>
          <w:i w:val="1"/>
          <w:iCs w:val="1"/>
          <w:sz w:val="24"/>
          <w:szCs w:val="24"/>
          <w:rtl w:val="0"/>
        </w:rPr>
        <w:t xml:space="preserve">Status of tigers and prey in Valmiki Tiger Reserve, Terai Arc Landscape, Bihar, India</w:t>
      </w:r>
      <w:r w:rsidDel="00000000" w:rsidR="00000000" w:rsidRPr="00000000">
        <w:rPr>
          <w:rFonts w:ascii="Times New Roman" w:cs="Times New Roman" w:eastAsia="Times New Roman" w:hAnsi="Times New Roman"/>
          <w:sz w:val="24"/>
          <w:szCs w:val="24"/>
          <w:rtl w:val="0"/>
        </w:rPr>
        <w:t xml:space="preserve">. WWF-India.</w:t>
      </w:r>
      <w:r w:rsidDel="00000000" w:rsidR="00000000" w:rsidRPr="00000000">
        <w:rPr>
          <w:rtl w:val="0"/>
        </w:rPr>
      </w:r>
    </w:p>
    <w:p w:rsidR="00000000" w:rsidDel="00000000" w:rsidP="00000000" w:rsidRDefault="00000000" w:rsidRPr="00000000" w14:paraId="000000E5">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Silwal, T., Kolejka, J., Bhatta, B. P., Rayamajhi, S., Sharma, R. P., &amp; Poudel, B. S. (2017). When, where and whom: Assessing wildlife attacks on people in Chitwan National Park, Nepal. Oryx, 51(2), 370–377. </w:t>
      </w:r>
      <w:hyperlink r:id="rId26">
        <w:r w:rsidDel="00000000" w:rsidR="00000000" w:rsidRPr="00000000">
          <w:rPr>
            <w:rFonts w:ascii="Times New Roman" w:cs="Times New Roman" w:eastAsia="Times New Roman" w:hAnsi="Times New Roman"/>
            <w:color w:val="0563c1"/>
            <w:sz w:val="24"/>
            <w:szCs w:val="24"/>
            <w:u w:val="single"/>
            <w:rtl w:val="0"/>
          </w:rPr>
          <w:t xml:space="preserve">https://doi.org/10.1017/S0030605315001489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6">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Studsrød, J. E., &amp; Wegge, P. (1995). Park-people relationships: The case of damage caused by park animals around the Royal Bardia National Park, Nepal. Environmental Conservation, 22(2), 133–142. </w:t>
      </w:r>
      <w:hyperlink r:id="rId27">
        <w:r w:rsidDel="00000000" w:rsidR="00000000" w:rsidRPr="00000000">
          <w:rPr>
            <w:rFonts w:ascii="Times New Roman" w:cs="Times New Roman" w:eastAsia="Times New Roman" w:hAnsi="Times New Roman"/>
            <w:color w:val="0563c1"/>
            <w:sz w:val="24"/>
            <w:szCs w:val="24"/>
            <w:u w:val="single"/>
            <w:rtl w:val="0"/>
          </w:rPr>
          <w:t xml:space="preserve">https://doi.org/10.1017/S0376892900010183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7">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Sukumar, R. (2003). The living elephants: Evolutionary ecology, behavior, and conservation. Oxford University Press. </w:t>
      </w:r>
      <w:hyperlink r:id="rId28">
        <w:r w:rsidDel="00000000" w:rsidR="00000000" w:rsidRPr="00000000">
          <w:rPr>
            <w:rFonts w:ascii="Times New Roman" w:cs="Times New Roman" w:eastAsia="Times New Roman" w:hAnsi="Times New Roman"/>
            <w:color w:val="0563c1"/>
            <w:sz w:val="24"/>
            <w:szCs w:val="24"/>
            <w:u w:val="single"/>
            <w:rtl w:val="0"/>
          </w:rPr>
          <w:t xml:space="preserve">https://global.oup.com/academic/product/the-living-elephants-9780195107784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8">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Treves, A., &amp; Karanth, K. U. (2003). Human–carnivore conflict and perspectives on carnivore management worldwide. Conservation Biology, 17(6), 1491–1499. </w:t>
      </w:r>
      <w:hyperlink r:id="rId29">
        <w:r w:rsidDel="00000000" w:rsidR="00000000" w:rsidRPr="00000000">
          <w:rPr>
            <w:rFonts w:ascii="Times New Roman" w:cs="Times New Roman" w:eastAsia="Times New Roman" w:hAnsi="Times New Roman"/>
            <w:color w:val="0563c1"/>
            <w:sz w:val="24"/>
            <w:szCs w:val="24"/>
            <w:u w:val="single"/>
            <w:rtl w:val="0"/>
          </w:rPr>
          <w:t xml:space="preserve">https://doi.org/10.1111/j.1523-1739.2003.00059.x</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9">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White, P. C. L., Jennings, N. V., Renwick, A. R., &amp; Barker, N. H. L. (2005). Questionnaires in ecology: A review of past use and recommendations for best practice. Journal of Applied Ecology, 42(3), 421–430. </w:t>
      </w:r>
      <w:hyperlink r:id="rId30">
        <w:r w:rsidDel="00000000" w:rsidR="00000000" w:rsidRPr="00000000">
          <w:rPr>
            <w:rFonts w:ascii="Times New Roman" w:cs="Times New Roman" w:eastAsia="Times New Roman" w:hAnsi="Times New Roman"/>
            <w:color w:val="0563c1"/>
            <w:sz w:val="24"/>
            <w:szCs w:val="24"/>
            <w:u w:val="single"/>
            <w:rtl w:val="0"/>
          </w:rPr>
          <w:t xml:space="preserve">https://doi.org/10.1111/j.1365-2664.2005.01032.x</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A">
      <w:pPr>
        <w:numPr>
          <w:ilvl w:val="0"/>
          <w:numId w:val="1"/>
        </w:numPr>
        <w:spacing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Woodroffe, R., Thirgood, S., &amp; Rabinowitz, A. (2005). People and wildlife: Conflict or coexistence? Cambridge University Press. </w:t>
      </w:r>
      <w:hyperlink r:id="rId31">
        <w:r w:rsidDel="00000000" w:rsidR="00000000" w:rsidRPr="00000000">
          <w:rPr>
            <w:rFonts w:ascii="Times New Roman" w:cs="Times New Roman" w:eastAsia="Times New Roman" w:hAnsi="Times New Roman"/>
            <w:color w:val="0563c1"/>
            <w:sz w:val="24"/>
            <w:szCs w:val="24"/>
            <w:u w:val="single"/>
            <w:rtl w:val="0"/>
          </w:rPr>
          <w:t xml:space="preserve">https://doi.org/10.1017/CBO9780511614774</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B">
      <w:pP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sectPr>
      <w:headerReference r:id="rId32" w:type="default"/>
      <w:headerReference r:id="rId33" w:type="first"/>
      <w:headerReference r:id="rId34" w:type="even"/>
      <w:footerReference r:id="rId35" w:type="default"/>
      <w:footerReference r:id="rId36" w:type="first"/>
      <w:footerReference r:id="rId3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3" style="position:absolute;width:535.2998425196851pt;height:100.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535.2998425196851pt;height:100.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535.2998425196851pt;height:100.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371/journal.pone.0195373" TargetMode="External"/><Relationship Id="rId22" Type="http://schemas.openxmlformats.org/officeDocument/2006/relationships/hyperlink" Target="https://doi.org/10.1007/s00267-002-2790-8" TargetMode="External"/><Relationship Id="rId21" Type="http://schemas.openxmlformats.org/officeDocument/2006/relationships/hyperlink" Target="https://doi.org/10.1002/9781444335248" TargetMode="External"/><Relationship Id="rId24" Type="http://schemas.openxmlformats.org/officeDocument/2006/relationships/hyperlink" Target="https://www.wwfindia.org/news_facts/wwf_publications/?10821/Status-of-tigers-in-Valmiki-Tiger-Reserve" TargetMode="External"/><Relationship Id="rId23" Type="http://schemas.openxmlformats.org/officeDocument/2006/relationships/hyperlink" Target="https://doi.org/10.26077/8g9e-cc9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doi.org/10.1017/S0030605315001489" TargetMode="External"/><Relationship Id="rId25" Type="http://schemas.openxmlformats.org/officeDocument/2006/relationships/hyperlink" Target="https://doi.org/10.1080/10871209.2014.853330" TargetMode="External"/><Relationship Id="rId28" Type="http://schemas.openxmlformats.org/officeDocument/2006/relationships/hyperlink" Target="https://global.oup.com/academic/product/the-living-elephants-9780195107784" TargetMode="External"/><Relationship Id="rId27" Type="http://schemas.openxmlformats.org/officeDocument/2006/relationships/hyperlink" Target="https://doi.org/10.1017/S0376892900010183"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i.org/10.1111/j.1523-1739.2003.00059.x" TargetMode="External"/><Relationship Id="rId7" Type="http://schemas.openxmlformats.org/officeDocument/2006/relationships/image" Target="media/image5.png"/><Relationship Id="rId8" Type="http://schemas.openxmlformats.org/officeDocument/2006/relationships/image" Target="media/image4.png"/><Relationship Id="rId31" Type="http://schemas.openxmlformats.org/officeDocument/2006/relationships/hyperlink" Target="https://doi.org/10.1017/CBO9780511614774" TargetMode="External"/><Relationship Id="rId30" Type="http://schemas.openxmlformats.org/officeDocument/2006/relationships/hyperlink" Target="https://doi.org/10.1111/j.1365-2664.2005.01032.x" TargetMode="External"/><Relationship Id="rId11" Type="http://schemas.openxmlformats.org/officeDocument/2006/relationships/hyperlink" Target="https://doi.org/10.1007/bf02239722" TargetMode="External"/><Relationship Id="rId33" Type="http://schemas.openxmlformats.org/officeDocument/2006/relationships/header" Target="header2.xml"/><Relationship Id="rId10" Type="http://schemas.openxmlformats.org/officeDocument/2006/relationships/image" Target="media/image2.png"/><Relationship Id="rId32" Type="http://schemas.openxmlformats.org/officeDocument/2006/relationships/header" Target="header1.xml"/><Relationship Id="rId13" Type="http://schemas.openxmlformats.org/officeDocument/2006/relationships/hyperlink" Target="https://www.fao.org/documents/card/en/c/a0000e/" TargetMode="External"/><Relationship Id="rId35" Type="http://schemas.openxmlformats.org/officeDocument/2006/relationships/footer" Target="footer1.xml"/><Relationship Id="rId12" Type="http://schemas.openxmlformats.org/officeDocument/2006/relationships/hyperlink" Target="https://doi.org/10.3389/fevo.2014.00030" TargetMode="External"/><Relationship Id="rId34" Type="http://schemas.openxmlformats.org/officeDocument/2006/relationships/header" Target="header3.xml"/><Relationship Id="rId15" Type="http://schemas.openxmlformats.org/officeDocument/2006/relationships/hyperlink" Target="https://doi.org/10.1016/j.biocon.2004.06.006" TargetMode="External"/><Relationship Id="rId37" Type="http://schemas.openxmlformats.org/officeDocument/2006/relationships/footer" Target="footer3.xml"/><Relationship Id="rId14" Type="http://schemas.openxmlformats.org/officeDocument/2006/relationships/hyperlink" Target="https://doi.org/10.3923/erj.2011.87.92" TargetMode="External"/><Relationship Id="rId36" Type="http://schemas.openxmlformats.org/officeDocument/2006/relationships/footer" Target="footer2.xml"/><Relationship Id="rId17" Type="http://schemas.openxmlformats.org/officeDocument/2006/relationships/hyperlink" Target="https://doi.org/10.1017/CBO9780511614774" TargetMode="External"/><Relationship Id="rId16" Type="http://schemas.openxmlformats.org/officeDocument/2006/relationships/hyperlink" Target="https://doi.org/10.1111/j.0141-6707.2004.00444.x" TargetMode="External"/><Relationship Id="rId19" Type="http://schemas.openxmlformats.org/officeDocument/2006/relationships/hyperlink" Target="https://doi.org/10.1371/journal.pone.0050433" TargetMode="External"/><Relationship Id="rId18" Type="http://schemas.openxmlformats.org/officeDocument/2006/relationships/hyperlink" Target="https://doi.org/10.1007/s00267-011-97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