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4108" w14:textId="77777777" w:rsidR="00300AAB" w:rsidRPr="00300AAB" w:rsidRDefault="00300AAB" w:rsidP="00300AAB">
      <w:pPr>
        <w:pStyle w:val="Title"/>
        <w:jc w:val="both"/>
        <w:rPr>
          <w:rFonts w:ascii="Arial" w:hAnsi="Arial" w:cs="Arial"/>
          <w:bCs/>
          <w:i/>
          <w:iCs/>
          <w:u w:val="single"/>
        </w:rPr>
      </w:pPr>
      <w:r w:rsidRPr="00300AAB">
        <w:rPr>
          <w:rFonts w:ascii="Arial" w:hAnsi="Arial" w:cs="Arial"/>
          <w:bCs/>
          <w:i/>
          <w:iCs/>
          <w:u w:val="single"/>
        </w:rPr>
        <w:t>Original Research Article</w:t>
      </w:r>
    </w:p>
    <w:p w14:paraId="01B06B5C" w14:textId="77777777" w:rsidR="00E031B3" w:rsidRDefault="00E031B3">
      <w:pPr>
        <w:pStyle w:val="Title"/>
        <w:spacing w:after="0"/>
        <w:jc w:val="both"/>
        <w:rPr>
          <w:rFonts w:ascii="Arial" w:hAnsi="Arial" w:cs="Arial"/>
        </w:rPr>
      </w:pPr>
    </w:p>
    <w:p w14:paraId="68136B8E" w14:textId="77777777" w:rsidR="00E031B3" w:rsidRDefault="00A03E87">
      <w:pPr>
        <w:pStyle w:val="Author"/>
        <w:spacing w:line="240" w:lineRule="auto"/>
        <w:rPr>
          <w:rFonts w:ascii="Arial" w:hAnsi="Arial" w:cs="Arial"/>
          <w:color w:val="000000" w:themeColor="text1"/>
          <w:sz w:val="28"/>
          <w:szCs w:val="28"/>
        </w:rPr>
      </w:pPr>
      <w:bookmarkStart w:id="0" w:name="_Hlk213589678"/>
      <w:r>
        <w:rPr>
          <w:sz w:val="32"/>
          <w:szCs w:val="32"/>
        </w:rPr>
        <w:t xml:space="preserve">Assessing the Impact of Technology and Enabling Infrastructure on Circular Economy Practices in Solid Waste Management in Garissa, Kenya </w:t>
      </w:r>
      <w:bookmarkEnd w:id="0"/>
    </w:p>
    <w:p w14:paraId="4C121D33" w14:textId="77777777" w:rsidR="00E031B3" w:rsidRDefault="00E031B3">
      <w:pPr>
        <w:pStyle w:val="Author"/>
        <w:spacing w:line="240" w:lineRule="auto"/>
        <w:rPr>
          <w:rFonts w:ascii="Arial" w:hAnsi="Arial" w:cs="Arial"/>
          <w:color w:val="000000" w:themeColor="text1"/>
          <w:szCs w:val="24"/>
        </w:rPr>
      </w:pPr>
    </w:p>
    <w:p w14:paraId="4C9394C1" w14:textId="77777777" w:rsidR="004654A2" w:rsidRDefault="004654A2">
      <w:pPr>
        <w:pStyle w:val="Author"/>
        <w:spacing w:line="240" w:lineRule="auto"/>
        <w:jc w:val="both"/>
        <w:rPr>
          <w:rFonts w:ascii="Arial" w:hAnsi="Arial" w:cs="Arial"/>
          <w:b w:val="0"/>
          <w:bCs/>
          <w:sz w:val="36"/>
        </w:rPr>
      </w:pPr>
    </w:p>
    <w:p w14:paraId="40511A7B" w14:textId="77777777" w:rsidR="00E031B3" w:rsidRDefault="00E031B3">
      <w:pPr>
        <w:pStyle w:val="Affiliation"/>
        <w:spacing w:after="0" w:line="240" w:lineRule="auto"/>
        <w:jc w:val="both"/>
        <w:rPr>
          <w:rFonts w:ascii="Arial" w:hAnsi="Arial" w:cs="Arial"/>
        </w:rPr>
      </w:pPr>
    </w:p>
    <w:p w14:paraId="0271AB3E" w14:textId="77777777" w:rsidR="00E031B3" w:rsidRDefault="00A03E87">
      <w:pPr>
        <w:pStyle w:val="Copyright"/>
        <w:spacing w:after="0" w:line="240" w:lineRule="auto"/>
        <w:jc w:val="both"/>
        <w:rPr>
          <w:rFonts w:ascii="Arial" w:hAnsi="Arial" w:cs="Arial"/>
        </w:rPr>
        <w:sectPr w:rsidR="00E031B3" w:rsidSect="00A8582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1F7DAEE" wp14:editId="4C96C30A">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36A655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5DC312BC" w14:textId="77777777" w:rsidR="00E031B3" w:rsidRDefault="00A03E87">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031B3" w14:paraId="2B63768B" w14:textId="77777777">
        <w:tc>
          <w:tcPr>
            <w:tcW w:w="9576" w:type="dxa"/>
            <w:shd w:val="clear" w:color="auto" w:fill="F2F2F2"/>
          </w:tcPr>
          <w:p w14:paraId="1FB28C65" w14:textId="77777777" w:rsidR="00E031B3" w:rsidRDefault="00A03E87">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bCs/>
                <w:szCs w:val="22"/>
              </w:rPr>
              <w:t>To assess the relationship between technology adoption, the adequacy of waste management infrastructure, and the advancement of circular economy practices—specifically resource recovery, recycling, and reuse—in solid waste management systems in Garissa Township, Kenya, in order to evaluate how technological and infrastructural factors contribute to sustainable waste management outcomes.</w:t>
            </w:r>
            <w:r>
              <w:rPr>
                <w:rFonts w:ascii="Arial" w:eastAsia="Calibri" w:hAnsi="Arial" w:cs="Arial"/>
                <w:bCs/>
                <w:szCs w:val="22"/>
              </w:rPr>
              <w:t xml:space="preserve"> </w:t>
            </w:r>
          </w:p>
          <w:p w14:paraId="1FC0BDDC" w14:textId="77777777" w:rsidR="00E031B3" w:rsidRDefault="00A03E87">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 xml:space="preserve">This study will </w:t>
            </w:r>
            <w:commentRangeStart w:id="1"/>
            <w:r>
              <w:rPr>
                <w:rFonts w:ascii="Arial" w:eastAsia="Calibri" w:hAnsi="Arial"/>
                <w:szCs w:val="22"/>
              </w:rPr>
              <w:t>adopt a mixed-methods research design</w:t>
            </w:r>
            <w:commentRangeEnd w:id="1"/>
            <w:r w:rsidR="0042267C">
              <w:rPr>
                <w:rStyle w:val="CommentReference"/>
                <w:rFonts w:ascii="Times New Roman" w:hAnsi="Times New Roman"/>
                <w:lang w:val="nb-NO" w:eastAsia="nb-NO"/>
              </w:rPr>
              <w:commentReference w:id="1"/>
            </w:r>
          </w:p>
          <w:p w14:paraId="4040591E" w14:textId="77777777" w:rsidR="00E031B3" w:rsidRDefault="00A03E87">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commentRangeStart w:id="2"/>
            <w:r>
              <w:rPr>
                <w:rFonts w:ascii="Arial" w:eastAsia="Calibri" w:hAnsi="Arial"/>
                <w:szCs w:val="22"/>
              </w:rPr>
              <w:t xml:space="preserve">The study was conducted in Garissa Township, specifically across the four administrative wards of Iftin, Township, </w:t>
            </w:r>
            <w:proofErr w:type="spellStart"/>
            <w:r>
              <w:rPr>
                <w:rFonts w:ascii="Arial" w:eastAsia="Calibri" w:hAnsi="Arial"/>
                <w:szCs w:val="22"/>
              </w:rPr>
              <w:t>Galbet</w:t>
            </w:r>
            <w:proofErr w:type="spellEnd"/>
            <w:r>
              <w:rPr>
                <w:rFonts w:ascii="Arial" w:eastAsia="Calibri" w:hAnsi="Arial"/>
                <w:szCs w:val="22"/>
              </w:rPr>
              <w:t xml:space="preserve">, and </w:t>
            </w:r>
            <w:proofErr w:type="spellStart"/>
            <w:r>
              <w:rPr>
                <w:rFonts w:ascii="Arial" w:eastAsia="Calibri" w:hAnsi="Arial"/>
                <w:szCs w:val="22"/>
              </w:rPr>
              <w:t>Waberi</w:t>
            </w:r>
            <w:proofErr w:type="spellEnd"/>
            <w:r>
              <w:rPr>
                <w:rFonts w:ascii="Arial" w:eastAsia="Calibri" w:hAnsi="Arial"/>
                <w:szCs w:val="22"/>
              </w:rPr>
              <w:t xml:space="preserve"> located in Garissa County, northeastern Kenya. The research covered the period between January 2019 and December 2024.</w:t>
            </w:r>
            <w:commentRangeEnd w:id="2"/>
            <w:r w:rsidR="0042267C">
              <w:rPr>
                <w:rStyle w:val="CommentReference"/>
                <w:rFonts w:ascii="Times New Roman" w:hAnsi="Times New Roman"/>
                <w:lang w:val="nb-NO" w:eastAsia="nb-NO"/>
              </w:rPr>
              <w:commentReference w:id="2"/>
            </w:r>
          </w:p>
          <w:p w14:paraId="7FA7B693" w14:textId="77777777" w:rsidR="00E031B3" w:rsidRDefault="00A03E87">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commentRangeStart w:id="3"/>
            <w:r>
              <w:rPr>
                <w:rFonts w:ascii="Arial" w:eastAsia="Calibri" w:hAnsi="Arial"/>
                <w:szCs w:val="22"/>
              </w:rPr>
              <w:t>The study involved 330 participants from the four wards, including household heads aged 18 and above, county waste management officers, and licensed private waste collectors. Individuals under 18 years, non-residents, and those not actively engaged in waste management activities were not included in the study. Participants were selected using purposive and stratified sampling techniques to ensure balanced representation across institutional and community levels</w:t>
            </w:r>
            <w:commentRangeEnd w:id="3"/>
            <w:r w:rsidR="0042267C">
              <w:rPr>
                <w:rStyle w:val="CommentReference"/>
                <w:rFonts w:ascii="Times New Roman" w:hAnsi="Times New Roman"/>
                <w:lang w:val="nb-NO" w:eastAsia="nb-NO"/>
              </w:rPr>
              <w:commentReference w:id="3"/>
            </w:r>
            <w:r>
              <w:rPr>
                <w:rFonts w:ascii="Arial" w:eastAsia="Calibri" w:hAnsi="Arial"/>
                <w:szCs w:val="22"/>
              </w:rPr>
              <w:t>.</w:t>
            </w:r>
          </w:p>
          <w:p w14:paraId="60142E12" w14:textId="77777777" w:rsidR="00E031B3" w:rsidRDefault="00A03E87">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Out of a targeted population of 330—317 responded, yielding a 96.1% response rate. Technological adoption averaged 32%, with GPS tracking (45%), semi-mechanical sorting (41%), and composting (38%) most common. Biogas adoption was 15% but rated most effective (74%). Formal waste collection covered 62% of households, with only two recycling centers operational. Technological adoption correlated positively with recycling rate (r = 0.68, p = 0.03), waste reduction per capita (r = 0.68, p = 0.03), and resource recovery (r = 0.65, p = 0.04), indicating technology improves circular economy performance despite infrastructure gaps.</w:t>
            </w:r>
          </w:p>
          <w:p w14:paraId="01384E5F" w14:textId="77777777" w:rsidR="00E031B3" w:rsidRDefault="00A03E87">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Technological adoption in Garissa Township moderately improves recycling, resource recovery, and waste reduction, but infrastructure gaps limit circular economy effectiveness.</w:t>
            </w:r>
          </w:p>
          <w:p w14:paraId="68234037" w14:textId="77777777" w:rsidR="00E031B3" w:rsidRDefault="00A03E87">
            <w:pPr>
              <w:pStyle w:val="Body"/>
              <w:spacing w:after="0"/>
              <w:rPr>
                <w:rFonts w:ascii="Arial" w:eastAsia="Calibri" w:hAnsi="Arial" w:cs="Arial"/>
                <w:szCs w:val="22"/>
              </w:rPr>
            </w:pPr>
            <w:r>
              <w:rPr>
                <w:rFonts w:ascii="Arial" w:eastAsia="Calibri" w:hAnsi="Arial"/>
                <w:b/>
                <w:bCs/>
                <w:szCs w:val="22"/>
              </w:rPr>
              <w:t>Strategic Interventions &amp; Policy Recommendations:</w:t>
            </w:r>
            <w:r>
              <w:rPr>
                <w:rFonts w:ascii="Arial" w:eastAsia="Calibri" w:hAnsi="Arial"/>
                <w:szCs w:val="22"/>
              </w:rPr>
              <w:t xml:space="preserve"> Invest in waste infrastructure, adopt modern technologies, build stakeholder capacity, enforce supportive policies, and engage communities to strengthen circular economy implementation.</w:t>
            </w:r>
          </w:p>
        </w:tc>
      </w:tr>
    </w:tbl>
    <w:p w14:paraId="21C77B67" w14:textId="77777777" w:rsidR="00E031B3" w:rsidRDefault="00E031B3">
      <w:pPr>
        <w:pStyle w:val="Body"/>
        <w:spacing w:after="0"/>
        <w:rPr>
          <w:rFonts w:ascii="Arial" w:hAnsi="Arial" w:cs="Arial"/>
          <w:i/>
        </w:rPr>
      </w:pPr>
    </w:p>
    <w:p w14:paraId="7CD5EE23" w14:textId="77777777" w:rsidR="00E031B3" w:rsidRDefault="00A03E87">
      <w:pPr>
        <w:pStyle w:val="Body"/>
        <w:spacing w:after="0"/>
        <w:rPr>
          <w:rFonts w:ascii="Arial" w:hAnsi="Arial" w:cs="Arial"/>
          <w:i/>
        </w:rPr>
      </w:pPr>
      <w:r>
        <w:rPr>
          <w:rFonts w:ascii="Arial" w:hAnsi="Arial" w:cs="Arial"/>
          <w:i/>
        </w:rPr>
        <w:t>Keywords:</w:t>
      </w:r>
      <w:r>
        <w:rPr>
          <w:rFonts w:ascii="Arial" w:hAnsi="Arial"/>
          <w:i/>
        </w:rPr>
        <w:t xml:space="preserve"> Circular Economy; Solid Waste Management; Technology Adoption; Waste Management Infrastructure; Sustainable Waste Practices; Garissa Township; Environmental Sustainability; Urban Waste Systems</w:t>
      </w:r>
    </w:p>
    <w:p w14:paraId="361DBF1C" w14:textId="77777777" w:rsidR="00E031B3" w:rsidRDefault="00E031B3">
      <w:pPr>
        <w:pStyle w:val="Body"/>
        <w:spacing w:after="0"/>
        <w:rPr>
          <w:rFonts w:ascii="Arial" w:hAnsi="Arial" w:cs="Arial"/>
          <w:i/>
        </w:rPr>
      </w:pPr>
    </w:p>
    <w:p w14:paraId="2E395B88" w14:textId="77777777" w:rsidR="00E031B3" w:rsidRDefault="00A03E87">
      <w:pPr>
        <w:pStyle w:val="AbstHead"/>
        <w:spacing w:after="0"/>
        <w:jc w:val="both"/>
        <w:rPr>
          <w:rFonts w:ascii="Arial" w:hAnsi="Arial" w:cs="Arial"/>
        </w:rPr>
      </w:pPr>
      <w:r>
        <w:rPr>
          <w:rFonts w:ascii="Arial" w:hAnsi="Arial" w:cs="Arial"/>
        </w:rPr>
        <w:lastRenderedPageBreak/>
        <w:t>1. INTRODUCTION</w:t>
      </w:r>
    </w:p>
    <w:p w14:paraId="69793962" w14:textId="77777777" w:rsidR="00E031B3" w:rsidRDefault="00E031B3">
      <w:pPr>
        <w:pStyle w:val="AbstHead"/>
        <w:spacing w:after="0"/>
        <w:jc w:val="both"/>
        <w:rPr>
          <w:rFonts w:ascii="Arial" w:hAnsi="Arial" w:cs="Arial"/>
        </w:rPr>
      </w:pPr>
    </w:p>
    <w:p w14:paraId="6A9B61A8" w14:textId="77777777" w:rsidR="00E031B3" w:rsidRDefault="00A03E87">
      <w:pPr>
        <w:pStyle w:val="Body"/>
        <w:spacing w:after="0"/>
        <w:rPr>
          <w:rFonts w:ascii="Arial" w:hAnsi="Arial"/>
        </w:rPr>
      </w:pPr>
      <w:r>
        <w:rPr>
          <w:rFonts w:ascii="Arial" w:hAnsi="Arial"/>
        </w:rPr>
        <w:t xml:space="preserve">Solid waste management remains a major environmental and public health challenge in Kenya, particularly in urban and semi-urban areas (Ahmed, </w:t>
      </w:r>
      <w:commentRangeStart w:id="4"/>
      <w:r>
        <w:rPr>
          <w:rFonts w:ascii="Arial" w:hAnsi="Arial"/>
        </w:rPr>
        <w:t>2024</w:t>
      </w:r>
      <w:commentRangeEnd w:id="4"/>
      <w:r w:rsidR="00FB1C0D">
        <w:rPr>
          <w:rStyle w:val="CommentReference"/>
          <w:rFonts w:ascii="Times New Roman" w:hAnsi="Times New Roman"/>
          <w:lang w:val="nb-NO" w:eastAsia="nb-NO"/>
        </w:rPr>
        <w:commentReference w:id="4"/>
      </w:r>
      <w:r>
        <w:rPr>
          <w:rFonts w:ascii="Arial" w:hAnsi="Arial"/>
        </w:rPr>
        <w:t>) Despite national commitments to sustainable waste management, much of the country continues to operate under a linear “take–make–dispose” model. The National Environment Management Authority (NEMA) advocates for a shift toward a circular economy, which emphasizes waste minimization through reuse, repair, recycling, and recovery of materials to extend product life cycles and reduce environmental degradation (NEMA, 2023). However, in many parts of the country, including Garissa Township, the integration of technology and infrastructure necessary to realize circular economy principles remains inadequate.</w:t>
      </w:r>
    </w:p>
    <w:p w14:paraId="65FE49F0" w14:textId="77777777" w:rsidR="00E031B3" w:rsidRDefault="00E031B3">
      <w:pPr>
        <w:pStyle w:val="Body"/>
        <w:spacing w:after="0"/>
        <w:rPr>
          <w:rFonts w:ascii="Arial" w:hAnsi="Arial"/>
        </w:rPr>
      </w:pPr>
    </w:p>
    <w:p w14:paraId="67676935" w14:textId="77777777" w:rsidR="00E031B3" w:rsidRDefault="00A03E87">
      <w:pPr>
        <w:pStyle w:val="Body"/>
        <w:spacing w:after="0"/>
        <w:rPr>
          <w:rFonts w:ascii="Arial" w:hAnsi="Arial"/>
        </w:rPr>
      </w:pPr>
      <w:r>
        <w:rPr>
          <w:rFonts w:ascii="Arial" w:hAnsi="Arial"/>
        </w:rPr>
        <w:t>Only a small proportion of Kenya’s municipal solid waste is currently recovered for recycling or reuse, with most ending up in open dumpsites or poorly managed landfills (</w:t>
      </w:r>
      <w:proofErr w:type="spellStart"/>
      <w:r>
        <w:rPr>
          <w:rFonts w:ascii="Arial" w:hAnsi="Arial"/>
        </w:rPr>
        <w:t>Otundo</w:t>
      </w:r>
      <w:proofErr w:type="spellEnd"/>
      <w:r>
        <w:rPr>
          <w:rFonts w:ascii="Arial" w:hAnsi="Arial"/>
        </w:rPr>
        <w:t xml:space="preserve">, 2024). The absence of modern waste processing infrastructure, such as material recovery facilities, waste segregation systems, and recycling plants, continues to undermine efforts to operationalize circular economy practices (Muriithi &amp; </w:t>
      </w:r>
      <w:proofErr w:type="spellStart"/>
      <w:r>
        <w:rPr>
          <w:rFonts w:ascii="Arial" w:hAnsi="Arial"/>
        </w:rPr>
        <w:t>Ngare</w:t>
      </w:r>
      <w:proofErr w:type="spellEnd"/>
      <w:r>
        <w:rPr>
          <w:rFonts w:ascii="Arial" w:hAnsi="Arial"/>
        </w:rPr>
        <w:t>, 2023). Furthermore, technological innovations—such as smart collection systems, digital waste tracking, and automated sorting—are still largely absent in smaller municipalities. This has resulted in inefficiencies in waste collection, transportation, and processing, limiting opportunities for resource recovery and reuse (</w:t>
      </w:r>
      <w:proofErr w:type="spellStart"/>
      <w:r>
        <w:rPr>
          <w:rFonts w:ascii="Arial" w:hAnsi="Arial"/>
        </w:rPr>
        <w:t>Oguge</w:t>
      </w:r>
      <w:proofErr w:type="spellEnd"/>
      <w:r>
        <w:rPr>
          <w:rFonts w:ascii="Arial" w:hAnsi="Arial"/>
        </w:rPr>
        <w:t>, 2019).</w:t>
      </w:r>
    </w:p>
    <w:p w14:paraId="053BFB1C" w14:textId="77777777" w:rsidR="00E031B3" w:rsidRDefault="00E031B3">
      <w:pPr>
        <w:pStyle w:val="Body"/>
        <w:spacing w:after="0"/>
        <w:rPr>
          <w:rFonts w:ascii="Arial" w:hAnsi="Arial"/>
        </w:rPr>
      </w:pPr>
    </w:p>
    <w:p w14:paraId="691D2761" w14:textId="77777777" w:rsidR="00E031B3" w:rsidRDefault="00A03E87">
      <w:pPr>
        <w:pStyle w:val="Body"/>
        <w:spacing w:after="0"/>
        <w:rPr>
          <w:rFonts w:ascii="Arial" w:hAnsi="Arial"/>
        </w:rPr>
      </w:pPr>
      <w:r>
        <w:rPr>
          <w:rFonts w:ascii="Arial" w:hAnsi="Arial"/>
        </w:rPr>
        <w:t>To address these challenges, this study proposes to assess how technology and infrastructure can be effectively leveraged to advance circular economy practices in Garissa Township. The study will focus on evaluating existing technologies used in waste management, determining the adequacy of available infrastructure, and analyzing their combined impact on resource recovery, recycling, and reuse outcomes. By identifying gaps and opportunities, the research aims to inform practical strategies for enhancing circular waste management systems in Kenya’s smaller urban contexts.</w:t>
      </w:r>
    </w:p>
    <w:p w14:paraId="1E7C95A6" w14:textId="77777777" w:rsidR="00E031B3" w:rsidRDefault="00E031B3">
      <w:pPr>
        <w:pStyle w:val="Body"/>
        <w:spacing w:after="0"/>
        <w:rPr>
          <w:rFonts w:ascii="Arial" w:hAnsi="Arial"/>
        </w:rPr>
      </w:pPr>
    </w:p>
    <w:p w14:paraId="2C85B9E1" w14:textId="77777777" w:rsidR="00E031B3" w:rsidRDefault="00A03E87">
      <w:pPr>
        <w:pStyle w:val="Body"/>
        <w:spacing w:after="0"/>
        <w:rPr>
          <w:rFonts w:ascii="Arial" w:hAnsi="Arial"/>
        </w:rPr>
      </w:pPr>
      <w:r>
        <w:rPr>
          <w:rFonts w:ascii="Arial" w:hAnsi="Arial"/>
        </w:rPr>
        <w:t>Existing research highlights that circular economy transitions depend heavily on the interaction between technological innovation, infrastructural readiness, and supportive governance frameworks (Kanojia &amp; Visvanathan, 2021). Studies conducted in Mombasa and Nakuru, for instance, have demonstrated how improved infrastructure and targeted technological interventions—such as composting technologies and waste-to-energy systems—can significantly boost material recovery rates and reduce landfill dependency (</w:t>
      </w:r>
      <w:proofErr w:type="spellStart"/>
      <w:r>
        <w:rPr>
          <w:rFonts w:ascii="Arial" w:hAnsi="Arial"/>
        </w:rPr>
        <w:t>Otundo</w:t>
      </w:r>
      <w:proofErr w:type="spellEnd"/>
      <w:r>
        <w:rPr>
          <w:rFonts w:ascii="Arial" w:hAnsi="Arial"/>
        </w:rPr>
        <w:t>, 2024). Nonetheless, there is limited empirical evidence from arid and semi-arid regions like Garissa, where institutional capacity, funding, and infrastructure deficits are more pronounced.</w:t>
      </w:r>
    </w:p>
    <w:p w14:paraId="2138A589" w14:textId="77777777" w:rsidR="00E031B3" w:rsidRDefault="00E031B3">
      <w:pPr>
        <w:pStyle w:val="Body"/>
        <w:spacing w:after="0"/>
        <w:rPr>
          <w:rFonts w:ascii="Arial" w:hAnsi="Arial"/>
        </w:rPr>
      </w:pPr>
    </w:p>
    <w:p w14:paraId="15334679" w14:textId="77777777" w:rsidR="00E031B3" w:rsidRDefault="00A03E87">
      <w:pPr>
        <w:pStyle w:val="Body"/>
        <w:spacing w:after="0"/>
        <w:rPr>
          <w:rFonts w:ascii="Arial" w:hAnsi="Arial"/>
        </w:rPr>
      </w:pPr>
      <w:commentRangeStart w:id="5"/>
      <w:r>
        <w:rPr>
          <w:rFonts w:ascii="Arial" w:hAnsi="Arial"/>
        </w:rPr>
        <w:t xml:space="preserve">The scope of this study covered solid waste management practices in Garissa Township, focusing on the period. </w:t>
      </w:r>
      <w:commentRangeEnd w:id="5"/>
      <w:r w:rsidR="00FB1C0D">
        <w:rPr>
          <w:rStyle w:val="CommentReference"/>
          <w:rFonts w:ascii="Times New Roman" w:hAnsi="Times New Roman"/>
          <w:lang w:val="nb-NO" w:eastAsia="nb-NO"/>
        </w:rPr>
        <w:commentReference w:id="5"/>
      </w:r>
      <w:r>
        <w:rPr>
          <w:rFonts w:ascii="Arial" w:hAnsi="Arial"/>
        </w:rPr>
        <w:t>The justification for the study lies in the need to fill this contextual research gap and provide evidence-based insights for local authorities and development partners. Understanding the relationship between technology, infrastructure, and circular economy outcomes will not only inform sustainable urban planning in Garissa but also contribute to national goals under Kenya’s Vision 2030 and the Sustainable Development Goals (SDGs).</w:t>
      </w:r>
    </w:p>
    <w:p w14:paraId="6B23514B" w14:textId="77777777" w:rsidR="00E031B3" w:rsidRDefault="00E031B3">
      <w:pPr>
        <w:pStyle w:val="Body"/>
        <w:spacing w:after="0"/>
        <w:rPr>
          <w:rFonts w:ascii="Arial" w:hAnsi="Arial" w:cs="Arial"/>
        </w:rPr>
      </w:pPr>
    </w:p>
    <w:p w14:paraId="44F29312" w14:textId="77777777" w:rsidR="00E031B3" w:rsidRDefault="00A03E87">
      <w:pPr>
        <w:pStyle w:val="AbstHead"/>
        <w:spacing w:after="0"/>
        <w:jc w:val="both"/>
        <w:rPr>
          <w:rFonts w:ascii="Arial" w:hAnsi="Arial" w:cs="Arial"/>
        </w:rPr>
      </w:pPr>
      <w:r>
        <w:rPr>
          <w:rFonts w:ascii="Arial" w:hAnsi="Arial" w:cs="Arial"/>
        </w:rPr>
        <w:t xml:space="preserve">2. methodology </w:t>
      </w:r>
    </w:p>
    <w:p w14:paraId="2900F7E0" w14:textId="77777777" w:rsidR="00E031B3" w:rsidRDefault="00E031B3">
      <w:pPr>
        <w:pStyle w:val="AbstHead"/>
        <w:spacing w:after="0"/>
        <w:jc w:val="both"/>
        <w:rPr>
          <w:rFonts w:ascii="Arial" w:hAnsi="Arial" w:cs="Arial"/>
        </w:rPr>
      </w:pPr>
    </w:p>
    <w:p w14:paraId="25321A27" w14:textId="77777777" w:rsidR="00E031B3" w:rsidRDefault="00A03E87">
      <w:pPr>
        <w:pStyle w:val="Body"/>
        <w:spacing w:after="0"/>
        <w:rPr>
          <w:rFonts w:ascii="Arial" w:hAnsi="Arial"/>
        </w:rPr>
      </w:pPr>
      <w:r>
        <w:rPr>
          <w:rFonts w:ascii="Arial" w:hAnsi="Arial"/>
          <w:b/>
          <w:bCs/>
        </w:rPr>
        <w:t>2.1 Research design</w:t>
      </w:r>
    </w:p>
    <w:p w14:paraId="0E22127A" w14:textId="77777777" w:rsidR="00E031B3" w:rsidRDefault="00E031B3">
      <w:pPr>
        <w:pStyle w:val="Body"/>
        <w:spacing w:after="0"/>
        <w:rPr>
          <w:rFonts w:ascii="Arial" w:hAnsi="Arial"/>
        </w:rPr>
      </w:pPr>
    </w:p>
    <w:p w14:paraId="4C2B90A9" w14:textId="77777777" w:rsidR="00E031B3" w:rsidRDefault="00A03E87">
      <w:pPr>
        <w:pStyle w:val="Body"/>
        <w:spacing w:after="0"/>
        <w:rPr>
          <w:rFonts w:ascii="Arial" w:hAnsi="Arial"/>
        </w:rPr>
      </w:pPr>
      <w:r>
        <w:rPr>
          <w:rFonts w:ascii="Arial" w:hAnsi="Arial"/>
        </w:rPr>
        <w:lastRenderedPageBreak/>
        <w:t xml:space="preserve">This research employed a mixed-method approach, combining both quantitative and qualitative techniques to achieve a comprehensive understanding of how technology and infrastructure influence circular economy practices in solid waste management. The quantitative component generated numerical information on waste production, recovery, and recycling patterns, while the qualitative component captured the views and experiences of key stakeholders involved in waste management. </w:t>
      </w:r>
      <w:commentRangeStart w:id="6"/>
      <w:r>
        <w:rPr>
          <w:rFonts w:ascii="Arial" w:hAnsi="Arial"/>
        </w:rPr>
        <w:t>The use of both methods enabled the study to verify results from different sources and enhance the reliability of the conclusions (Creswell &amp; Creswell, 2018).</w:t>
      </w:r>
      <w:commentRangeEnd w:id="6"/>
      <w:r w:rsidR="006551C9">
        <w:rPr>
          <w:rStyle w:val="CommentReference"/>
          <w:rFonts w:ascii="Times New Roman" w:hAnsi="Times New Roman"/>
          <w:lang w:val="nb-NO" w:eastAsia="nb-NO"/>
        </w:rPr>
        <w:commentReference w:id="6"/>
      </w:r>
      <w:r>
        <w:rPr>
          <w:rFonts w:ascii="Arial" w:hAnsi="Arial"/>
        </w:rPr>
        <w:t xml:space="preserve"> Data were gathered </w:t>
      </w:r>
      <w:commentRangeStart w:id="7"/>
      <w:r>
        <w:rPr>
          <w:rFonts w:ascii="Arial" w:hAnsi="Arial"/>
        </w:rPr>
        <w:t xml:space="preserve">within a specific timeframe </w:t>
      </w:r>
      <w:commentRangeEnd w:id="7"/>
      <w:r w:rsidR="006551C9">
        <w:rPr>
          <w:rStyle w:val="CommentReference"/>
          <w:rFonts w:ascii="Times New Roman" w:hAnsi="Times New Roman"/>
          <w:lang w:val="nb-NO" w:eastAsia="nb-NO"/>
        </w:rPr>
        <w:commentReference w:id="7"/>
      </w:r>
      <w:r>
        <w:rPr>
          <w:rFonts w:ascii="Arial" w:hAnsi="Arial"/>
        </w:rPr>
        <w:t>through surveys, interviews, and a review of existing reports and policy documents.</w:t>
      </w:r>
    </w:p>
    <w:p w14:paraId="3E598208" w14:textId="77777777" w:rsidR="00E031B3" w:rsidRDefault="00E031B3">
      <w:pPr>
        <w:pStyle w:val="Body"/>
        <w:spacing w:after="0"/>
        <w:rPr>
          <w:rFonts w:ascii="Arial" w:hAnsi="Arial"/>
        </w:rPr>
      </w:pPr>
    </w:p>
    <w:p w14:paraId="0ADE3032" w14:textId="77777777" w:rsidR="00E031B3" w:rsidRDefault="00E031B3">
      <w:pPr>
        <w:pStyle w:val="Body"/>
        <w:spacing w:after="0"/>
        <w:rPr>
          <w:rFonts w:ascii="Arial" w:hAnsi="Arial"/>
        </w:rPr>
      </w:pPr>
    </w:p>
    <w:p w14:paraId="08EBA5FD" w14:textId="77777777" w:rsidR="00E031B3" w:rsidRDefault="00A03E87">
      <w:pPr>
        <w:pStyle w:val="Body"/>
        <w:spacing w:after="0"/>
        <w:rPr>
          <w:rFonts w:ascii="Arial" w:hAnsi="Arial"/>
          <w:b/>
          <w:bCs/>
        </w:rPr>
      </w:pPr>
      <w:r>
        <w:rPr>
          <w:rFonts w:ascii="Arial" w:hAnsi="Arial"/>
          <w:b/>
          <w:bCs/>
        </w:rPr>
        <w:t xml:space="preserve">2.2 Location of the Study </w:t>
      </w:r>
    </w:p>
    <w:p w14:paraId="534B9AC0" w14:textId="77777777" w:rsidR="00E031B3" w:rsidRDefault="00E031B3">
      <w:pPr>
        <w:pStyle w:val="Body"/>
        <w:spacing w:after="0"/>
        <w:rPr>
          <w:rFonts w:ascii="Arial" w:hAnsi="Arial"/>
          <w:b/>
          <w:bCs/>
        </w:rPr>
      </w:pPr>
    </w:p>
    <w:p w14:paraId="167C884D" w14:textId="77777777" w:rsidR="00E031B3" w:rsidRDefault="00A03E87">
      <w:pPr>
        <w:pStyle w:val="Body"/>
        <w:spacing w:after="0"/>
        <w:rPr>
          <w:rFonts w:ascii="Arial" w:hAnsi="Arial"/>
        </w:rPr>
      </w:pPr>
      <w:r>
        <w:rPr>
          <w:rFonts w:ascii="Arial" w:hAnsi="Arial"/>
        </w:rPr>
        <w:t xml:space="preserve">The research was carried out in Garissa Township, situated in Garissa County in northeastern Kenya. This location was selected because of its </w:t>
      </w:r>
      <w:commentRangeStart w:id="8"/>
      <w:r>
        <w:rPr>
          <w:rFonts w:ascii="Arial" w:hAnsi="Arial"/>
        </w:rPr>
        <w:t>expanding urban population, increasing levels of waste generation</w:t>
      </w:r>
      <w:commentRangeEnd w:id="8"/>
      <w:r w:rsidR="006551C9">
        <w:rPr>
          <w:rStyle w:val="CommentReference"/>
          <w:rFonts w:ascii="Times New Roman" w:hAnsi="Times New Roman"/>
          <w:lang w:val="nb-NO" w:eastAsia="nb-NO"/>
        </w:rPr>
        <w:commentReference w:id="8"/>
      </w:r>
      <w:r>
        <w:rPr>
          <w:rFonts w:ascii="Arial" w:hAnsi="Arial"/>
        </w:rPr>
        <w:t>, and ongoing efforts toward sustainable waste management. Garissa Township is a semi-arid, rapidly developing urban area where challenges related to infrastructure and technology in managing solid waste are particularly pronounced. These conditions made it a suitable setting for examining how circular economy practices can be implemented in areas with limited resources (</w:t>
      </w:r>
      <w:commentRangeStart w:id="9"/>
      <w:r>
        <w:rPr>
          <w:rFonts w:ascii="Arial" w:hAnsi="Arial"/>
        </w:rPr>
        <w:t>NEMA</w:t>
      </w:r>
      <w:commentRangeEnd w:id="9"/>
      <w:r w:rsidR="00635028">
        <w:rPr>
          <w:rStyle w:val="CommentReference"/>
          <w:rFonts w:ascii="Times New Roman" w:hAnsi="Times New Roman"/>
          <w:lang w:val="nb-NO" w:eastAsia="nb-NO"/>
        </w:rPr>
        <w:commentReference w:id="9"/>
      </w:r>
      <w:r>
        <w:rPr>
          <w:rFonts w:ascii="Arial" w:hAnsi="Arial"/>
        </w:rPr>
        <w:t>, 2018).</w:t>
      </w:r>
    </w:p>
    <w:p w14:paraId="4285AF90" w14:textId="77777777" w:rsidR="00E031B3" w:rsidRDefault="00E031B3">
      <w:pPr>
        <w:pStyle w:val="Body"/>
        <w:spacing w:after="0"/>
        <w:rPr>
          <w:rFonts w:ascii="Arial" w:hAnsi="Arial"/>
        </w:rPr>
      </w:pPr>
    </w:p>
    <w:p w14:paraId="1DAD0CFE" w14:textId="77777777" w:rsidR="00E031B3" w:rsidRDefault="00A03E87">
      <w:pPr>
        <w:pStyle w:val="Body"/>
        <w:spacing w:after="0"/>
        <w:rPr>
          <w:rFonts w:ascii="Arial" w:hAnsi="Arial"/>
          <w:b/>
          <w:bCs/>
        </w:rPr>
      </w:pPr>
      <w:r>
        <w:rPr>
          <w:rFonts w:ascii="Arial" w:hAnsi="Arial"/>
          <w:b/>
          <w:bCs/>
        </w:rPr>
        <w:t>2.3 Target Population</w:t>
      </w:r>
    </w:p>
    <w:p w14:paraId="12D83269" w14:textId="77777777" w:rsidR="00E031B3" w:rsidRDefault="00E031B3">
      <w:pPr>
        <w:pStyle w:val="Body"/>
        <w:spacing w:after="0"/>
        <w:rPr>
          <w:rFonts w:ascii="Arial" w:hAnsi="Arial"/>
        </w:rPr>
      </w:pPr>
    </w:p>
    <w:p w14:paraId="0B129A39" w14:textId="77777777" w:rsidR="00E031B3" w:rsidRDefault="00A03E87">
      <w:pPr>
        <w:pStyle w:val="Body"/>
        <w:spacing w:after="0"/>
        <w:rPr>
          <w:rFonts w:ascii="Arial" w:hAnsi="Arial"/>
        </w:rPr>
      </w:pPr>
      <w:r>
        <w:rPr>
          <w:rFonts w:ascii="Arial" w:hAnsi="Arial"/>
        </w:rPr>
        <w:t>The target population included all stakeholders involved in solid waste management in Garissa Township. This includes officials from the County Department of Environment, staff from the NEMA, employees of waste collection and recycling companies, members of community-based organizations, and local residents. Including diverse participants ensures the study captures both institutional and community perspectives on technology and infrastructure in circular economy practices.</w:t>
      </w:r>
    </w:p>
    <w:p w14:paraId="63B33966" w14:textId="77777777" w:rsidR="00E031B3" w:rsidRDefault="00A03E87">
      <w:pPr>
        <w:pStyle w:val="Body"/>
        <w:spacing w:after="0"/>
        <w:rPr>
          <w:rFonts w:ascii="Arial" w:hAnsi="Arial"/>
        </w:rPr>
      </w:pPr>
      <w:r>
        <w:rPr>
          <w:rFonts w:ascii="Arial" w:hAnsi="Arial"/>
          <w:b/>
          <w:bCs/>
        </w:rPr>
        <w:t>2.4 Sampling</w:t>
      </w:r>
    </w:p>
    <w:p w14:paraId="6DADDCD6" w14:textId="77777777" w:rsidR="00E031B3" w:rsidRDefault="00E031B3">
      <w:pPr>
        <w:pStyle w:val="Body"/>
        <w:spacing w:after="0"/>
        <w:rPr>
          <w:rFonts w:ascii="Arial" w:hAnsi="Arial"/>
        </w:rPr>
      </w:pPr>
    </w:p>
    <w:p w14:paraId="41FDF554" w14:textId="77777777" w:rsidR="00E031B3" w:rsidRDefault="00A03E87">
      <w:pPr>
        <w:pStyle w:val="Body"/>
        <w:spacing w:after="0"/>
        <w:rPr>
          <w:rFonts w:ascii="Arial" w:hAnsi="Arial"/>
        </w:rPr>
      </w:pPr>
      <w:r>
        <w:rPr>
          <w:rFonts w:ascii="Arial" w:hAnsi="Arial"/>
        </w:rPr>
        <w:t>The study used a combination of purposive and stratified sampling techniques. Key informants, including government officials, managers of waste management companies, and environmental officers, were selected purposively because of their specialized knowledge and direct involvement in solid waste management. Stratified sampling was then applied to group respondents into three main categories: government agencies, private operators, and households, ensuring that each category is adequately represented in the study.</w:t>
      </w:r>
    </w:p>
    <w:p w14:paraId="46B96D75" w14:textId="77777777" w:rsidR="00E031B3" w:rsidRDefault="00E031B3">
      <w:pPr>
        <w:pStyle w:val="Body"/>
        <w:spacing w:after="0"/>
        <w:rPr>
          <w:rFonts w:ascii="Arial" w:hAnsi="Arial"/>
        </w:rPr>
      </w:pPr>
    </w:p>
    <w:p w14:paraId="52A90874" w14:textId="77777777" w:rsidR="00E031B3" w:rsidRDefault="00A03E87">
      <w:pPr>
        <w:pStyle w:val="Body"/>
        <w:spacing w:after="0"/>
        <w:rPr>
          <w:rFonts w:ascii="Arial" w:hAnsi="Arial" w:cs="Arial"/>
        </w:rPr>
      </w:pPr>
      <w:r>
        <w:rPr>
          <w:rFonts w:ascii="Arial" w:hAnsi="Arial" w:cs="Arial"/>
        </w:rPr>
        <w:t xml:space="preserve">For the household category, the sample size was based on the 2019 population of Garissa Township, which was </w:t>
      </w:r>
      <w:r>
        <w:rPr>
          <w:rFonts w:ascii="Arial" w:hAnsi="Arial" w:cs="Arial"/>
          <w:color w:val="000000"/>
          <w:lang w:val="en-GB" w:eastAsia="en-GB"/>
        </w:rPr>
        <w:t xml:space="preserve">116,953 </w:t>
      </w:r>
      <w:r>
        <w:rPr>
          <w:rFonts w:ascii="Arial" w:hAnsi="Arial" w:cs="Arial"/>
        </w:rPr>
        <w:t xml:space="preserve">people according to the Kenya Population and Housing Census (KNBS, 2019). With an average household size of 5.9 persons, this corresponds to approximately 27,800 households. Using </w:t>
      </w:r>
      <w:commentRangeStart w:id="10"/>
      <w:r>
        <w:rPr>
          <w:rFonts w:ascii="Arial" w:hAnsi="Arial" w:cs="Arial"/>
        </w:rPr>
        <w:t xml:space="preserve">Cochran’s formula </w:t>
      </w:r>
      <w:commentRangeEnd w:id="10"/>
      <w:r w:rsidR="002418C8">
        <w:rPr>
          <w:rStyle w:val="CommentReference"/>
          <w:rFonts w:ascii="Times New Roman" w:hAnsi="Times New Roman"/>
          <w:lang w:val="nb-NO" w:eastAsia="nb-NO"/>
        </w:rPr>
        <w:commentReference w:id="10"/>
      </w:r>
      <w:r>
        <w:rPr>
          <w:rFonts w:ascii="Arial" w:hAnsi="Arial" w:cs="Arial"/>
        </w:rPr>
        <w:t xml:space="preserve">for population-based studies, a sample of </w:t>
      </w:r>
      <w:r w:rsidRPr="002418C8">
        <w:rPr>
          <w:rFonts w:ascii="Arial" w:hAnsi="Arial" w:cs="Arial"/>
          <w:highlight w:val="yellow"/>
          <w:rPrChange w:id="11" w:author="Dr Nilam wavhal" w:date="2025-11-15T12:07:00Z" w16du:dateUtc="2025-11-15T06:37:00Z">
            <w:rPr>
              <w:rFonts w:ascii="Arial" w:hAnsi="Arial" w:cs="Arial"/>
            </w:rPr>
          </w:rPrChange>
        </w:rPr>
        <w:t>380</w:t>
      </w:r>
      <w:r>
        <w:rPr>
          <w:rFonts w:ascii="Arial" w:hAnsi="Arial" w:cs="Arial"/>
        </w:rPr>
        <w:t xml:space="preserve"> households was selected to provide a representative view of the population.</w:t>
      </w:r>
    </w:p>
    <w:p w14:paraId="39B63A02" w14:textId="77777777" w:rsidR="00E031B3" w:rsidRDefault="00E031B3">
      <w:pPr>
        <w:pStyle w:val="Body"/>
        <w:spacing w:after="0"/>
        <w:rPr>
          <w:rFonts w:ascii="Arial" w:hAnsi="Arial" w:cs="Arial"/>
        </w:rPr>
      </w:pPr>
    </w:p>
    <w:p w14:paraId="1EDC3FD6" w14:textId="77777777" w:rsidR="00E031B3" w:rsidRDefault="00A03E87">
      <w:pPr>
        <w:pStyle w:val="Body"/>
        <w:spacing w:after="0"/>
        <w:rPr>
          <w:rFonts w:ascii="Arial" w:hAnsi="Arial"/>
        </w:rPr>
      </w:pPr>
      <w:commentRangeStart w:id="12"/>
      <w:r>
        <w:rPr>
          <w:rFonts w:ascii="Arial" w:hAnsi="Arial"/>
        </w:rPr>
        <w:t xml:space="preserve">The final distribution of respondents across the strata was as follows: approximately 62 respondents from government agencies, 33 from private operators, and </w:t>
      </w:r>
      <w:r w:rsidRPr="002418C8">
        <w:rPr>
          <w:rFonts w:ascii="Arial" w:hAnsi="Arial"/>
          <w:highlight w:val="yellow"/>
          <w:rPrChange w:id="13" w:author="Dr Nilam wavhal" w:date="2025-11-15T12:07:00Z" w16du:dateUtc="2025-11-15T06:37:00Z">
            <w:rPr>
              <w:rFonts w:ascii="Arial" w:hAnsi="Arial"/>
            </w:rPr>
          </w:rPrChange>
        </w:rPr>
        <w:t>384</w:t>
      </w:r>
      <w:r>
        <w:rPr>
          <w:rFonts w:ascii="Arial" w:hAnsi="Arial"/>
        </w:rPr>
        <w:t xml:space="preserve"> from households</w:t>
      </w:r>
      <w:commentRangeEnd w:id="12"/>
      <w:r w:rsidR="0098226D">
        <w:rPr>
          <w:rStyle w:val="CommentReference"/>
          <w:rFonts w:ascii="Times New Roman" w:hAnsi="Times New Roman"/>
          <w:lang w:val="nb-NO" w:eastAsia="nb-NO"/>
        </w:rPr>
        <w:commentReference w:id="12"/>
      </w:r>
      <w:r>
        <w:rPr>
          <w:rFonts w:ascii="Arial" w:hAnsi="Arial"/>
        </w:rPr>
        <w:t>. This approach ensured balanced representation across all stakeholder groups, providing reliable quantitative data while capturing detailed qualitative insights on the role of technology and infrastructure in promoting circular economy practices in Garissa Township.</w:t>
      </w:r>
    </w:p>
    <w:p w14:paraId="0289B7CF" w14:textId="77777777" w:rsidR="00E031B3" w:rsidRDefault="00E031B3">
      <w:pPr>
        <w:pStyle w:val="Body"/>
        <w:spacing w:after="0"/>
        <w:rPr>
          <w:rFonts w:ascii="Arial" w:hAnsi="Arial"/>
        </w:rPr>
      </w:pPr>
    </w:p>
    <w:p w14:paraId="785D231D" w14:textId="77777777" w:rsidR="00E031B3" w:rsidRDefault="00A03E87">
      <w:pPr>
        <w:pStyle w:val="Body"/>
        <w:spacing w:after="0"/>
        <w:rPr>
          <w:rFonts w:ascii="Arial" w:hAnsi="Arial"/>
          <w:b/>
          <w:bCs/>
        </w:rPr>
      </w:pPr>
      <w:r>
        <w:rPr>
          <w:rFonts w:ascii="Arial" w:hAnsi="Arial"/>
          <w:b/>
          <w:bCs/>
        </w:rPr>
        <w:t>2.5 Data collection instruments and procedure</w:t>
      </w:r>
    </w:p>
    <w:p w14:paraId="2819021B" w14:textId="77777777" w:rsidR="00E031B3" w:rsidRDefault="00E031B3">
      <w:pPr>
        <w:pStyle w:val="Body"/>
        <w:spacing w:after="0"/>
        <w:rPr>
          <w:rFonts w:ascii="Arial" w:hAnsi="Arial"/>
          <w:b/>
          <w:bCs/>
        </w:rPr>
      </w:pPr>
    </w:p>
    <w:p w14:paraId="627285DF" w14:textId="77777777" w:rsidR="00E031B3" w:rsidRDefault="00A03E87">
      <w:pPr>
        <w:pStyle w:val="Body"/>
        <w:spacing w:after="0"/>
        <w:rPr>
          <w:rFonts w:ascii="Arial" w:hAnsi="Arial"/>
        </w:rPr>
      </w:pPr>
      <w:r>
        <w:rPr>
          <w:rFonts w:ascii="Arial" w:hAnsi="Arial"/>
        </w:rPr>
        <w:lastRenderedPageBreak/>
        <w:t xml:space="preserve">Data for this study was collected through a combination of structured questionnaires, semi-structured interviews, and document reviews. The </w:t>
      </w:r>
      <w:commentRangeStart w:id="14"/>
      <w:r>
        <w:rPr>
          <w:rFonts w:ascii="Arial" w:hAnsi="Arial"/>
        </w:rPr>
        <w:t>questionnaires</w:t>
      </w:r>
      <w:commentRangeEnd w:id="14"/>
      <w:r w:rsidR="002418C8">
        <w:rPr>
          <w:rStyle w:val="CommentReference"/>
          <w:rFonts w:ascii="Times New Roman" w:hAnsi="Times New Roman"/>
          <w:lang w:val="nb-NO" w:eastAsia="nb-NO"/>
        </w:rPr>
        <w:commentReference w:id="14"/>
      </w:r>
      <w:r>
        <w:rPr>
          <w:rFonts w:ascii="Arial" w:hAnsi="Arial"/>
        </w:rPr>
        <w:t xml:space="preserve"> were used to obtain quantitative data on the level of technology adoption, the adequacy of waste management infrastructure, and circular economy practices such as recycling, reuse, and resource recovery. Semi-structured interviews with key informants, including government officials, waste management company managers, and environmental officers, provided qualitative insights into the challenges faced, policy implementation, and potential areas for improvement. Document reviews focused on relevant county reports, policy frameworks, and waste management plans to complement primary data.</w:t>
      </w:r>
    </w:p>
    <w:p w14:paraId="5E86A177" w14:textId="77777777" w:rsidR="00E031B3" w:rsidRDefault="00E031B3">
      <w:pPr>
        <w:pStyle w:val="Body"/>
        <w:spacing w:after="0"/>
        <w:rPr>
          <w:rFonts w:ascii="Arial" w:hAnsi="Arial"/>
        </w:rPr>
      </w:pPr>
    </w:p>
    <w:p w14:paraId="6DED29D2" w14:textId="77777777" w:rsidR="00E031B3" w:rsidRDefault="00A03E87">
      <w:pPr>
        <w:pStyle w:val="Body"/>
        <w:spacing w:after="0"/>
        <w:rPr>
          <w:rFonts w:ascii="Arial" w:hAnsi="Arial"/>
        </w:rPr>
      </w:pPr>
      <w:r>
        <w:rPr>
          <w:rFonts w:ascii="Arial" w:hAnsi="Arial"/>
        </w:rPr>
        <w:t xml:space="preserve">Before the main data collection, the instruments were pretested in one of the township wards within the wider Garissa Township, which shares similar demographic and infrastructural characteristics with the study area. </w:t>
      </w:r>
    </w:p>
    <w:p w14:paraId="3E6A4417" w14:textId="77777777" w:rsidR="00E031B3" w:rsidRDefault="00E031B3">
      <w:pPr>
        <w:pStyle w:val="Body"/>
        <w:spacing w:after="0"/>
        <w:rPr>
          <w:rFonts w:ascii="Arial" w:hAnsi="Arial"/>
          <w:b/>
          <w:bCs/>
        </w:rPr>
      </w:pPr>
    </w:p>
    <w:p w14:paraId="0DC3084A" w14:textId="77777777" w:rsidR="00E031B3" w:rsidRDefault="00A03E87">
      <w:pPr>
        <w:pStyle w:val="Body"/>
        <w:spacing w:after="0"/>
        <w:rPr>
          <w:rFonts w:ascii="Arial" w:hAnsi="Arial"/>
          <w:b/>
          <w:bCs/>
        </w:rPr>
      </w:pPr>
      <w:r>
        <w:rPr>
          <w:rFonts w:ascii="Arial" w:hAnsi="Arial"/>
          <w:b/>
          <w:bCs/>
        </w:rPr>
        <w:t>2.6 Data Management</w:t>
      </w:r>
    </w:p>
    <w:p w14:paraId="0E21C1DF" w14:textId="77777777" w:rsidR="00E031B3" w:rsidRDefault="00E031B3">
      <w:pPr>
        <w:pStyle w:val="Body"/>
        <w:spacing w:after="0"/>
        <w:rPr>
          <w:rFonts w:ascii="Arial" w:hAnsi="Arial"/>
        </w:rPr>
      </w:pPr>
    </w:p>
    <w:p w14:paraId="40174A53" w14:textId="77777777" w:rsidR="00E031B3" w:rsidRDefault="00A03E87">
      <w:pPr>
        <w:pStyle w:val="Body"/>
        <w:spacing w:after="0"/>
        <w:rPr>
          <w:rFonts w:ascii="Arial" w:hAnsi="Arial"/>
        </w:rPr>
      </w:pPr>
      <w:r>
        <w:rPr>
          <w:rFonts w:ascii="Arial" w:hAnsi="Arial"/>
        </w:rPr>
        <w:t xml:space="preserve">Collected data was managed carefully to ensure accuracy, security, and integrity. Quantitative data was coded and entered into SPSS version 27 for analysis, including descriptive statistics (means, frequencies, percentages) and inferential statistics (correlation and regression) to explore relationships between technology, infrastructure, and circular economy outcomes. Qualitative data from interviews was transcribed and analyzed thematically using NVivo software, allowing patterns and trends to emerge. All electronic data was securely stored, and hard copies kept in a locked facility. </w:t>
      </w:r>
    </w:p>
    <w:p w14:paraId="588B2279" w14:textId="77777777" w:rsidR="00E031B3" w:rsidRDefault="00E031B3">
      <w:pPr>
        <w:pStyle w:val="Body"/>
        <w:spacing w:after="0"/>
        <w:rPr>
          <w:rFonts w:ascii="Arial" w:hAnsi="Arial" w:cs="Arial"/>
        </w:rPr>
      </w:pPr>
    </w:p>
    <w:p w14:paraId="6CB6715E" w14:textId="77777777" w:rsidR="00E031B3" w:rsidRDefault="00A03E87">
      <w:pPr>
        <w:pStyle w:val="Head1"/>
        <w:spacing w:after="0"/>
        <w:jc w:val="both"/>
        <w:rPr>
          <w:rFonts w:ascii="Arial" w:hAnsi="Arial" w:cs="Arial"/>
        </w:rPr>
      </w:pPr>
      <w:r>
        <w:rPr>
          <w:rFonts w:ascii="Arial" w:hAnsi="Arial" w:cs="Arial"/>
        </w:rPr>
        <w:t>3. results and discussion</w:t>
      </w:r>
    </w:p>
    <w:p w14:paraId="2E281531" w14:textId="77777777" w:rsidR="00E031B3" w:rsidRDefault="00E031B3">
      <w:pPr>
        <w:pStyle w:val="Head1"/>
        <w:spacing w:after="0"/>
        <w:jc w:val="both"/>
        <w:rPr>
          <w:rFonts w:ascii="Arial" w:hAnsi="Arial" w:cs="Arial"/>
          <w:b w:val="0"/>
          <w:bCs/>
        </w:rPr>
      </w:pPr>
    </w:p>
    <w:p w14:paraId="52C1BDF5" w14:textId="77777777" w:rsidR="00E031B3" w:rsidRDefault="00A03E87">
      <w:pPr>
        <w:pStyle w:val="Body"/>
        <w:spacing w:after="0"/>
        <w:rPr>
          <w:rFonts w:ascii="Arial" w:hAnsi="Arial"/>
        </w:rPr>
      </w:pPr>
      <w:r>
        <w:rPr>
          <w:rFonts w:ascii="Arial" w:hAnsi="Arial"/>
        </w:rPr>
        <w:t xml:space="preserve">Out of a </w:t>
      </w:r>
      <w:commentRangeStart w:id="15"/>
      <w:r>
        <w:rPr>
          <w:rFonts w:ascii="Arial" w:hAnsi="Arial"/>
        </w:rPr>
        <w:t>targeted population of 330 participants</w:t>
      </w:r>
      <w:commentRangeEnd w:id="15"/>
      <w:r w:rsidR="00F44D0A">
        <w:rPr>
          <w:rStyle w:val="CommentReference"/>
          <w:rFonts w:ascii="Times New Roman" w:hAnsi="Times New Roman"/>
          <w:lang w:val="nb-NO" w:eastAsia="nb-NO"/>
        </w:rPr>
        <w:commentReference w:id="15"/>
      </w:r>
      <w:r>
        <w:rPr>
          <w:rFonts w:ascii="Arial" w:hAnsi="Arial"/>
        </w:rPr>
        <w:t>—317 responded, yielding a 96.1% response rate.</w:t>
      </w:r>
    </w:p>
    <w:p w14:paraId="6DA152F1" w14:textId="77777777" w:rsidR="00E031B3" w:rsidRDefault="00E031B3">
      <w:pPr>
        <w:pStyle w:val="Body"/>
        <w:spacing w:after="0"/>
        <w:rPr>
          <w:rFonts w:ascii="Arial" w:hAnsi="Arial"/>
        </w:rPr>
      </w:pPr>
    </w:p>
    <w:p w14:paraId="60F7D9D1" w14:textId="77777777" w:rsidR="00E031B3" w:rsidRDefault="00A03E87">
      <w:pPr>
        <w:pStyle w:val="Body"/>
        <w:spacing w:after="0"/>
        <w:rPr>
          <w:rFonts w:ascii="Arial" w:hAnsi="Arial"/>
          <w:b/>
          <w:bCs/>
        </w:rPr>
      </w:pPr>
      <w:r>
        <w:rPr>
          <w:rFonts w:ascii="Arial" w:hAnsi="Arial"/>
          <w:b/>
          <w:bCs/>
        </w:rPr>
        <w:t xml:space="preserve">2.1 Existing Technological Innovations in Solid Waste Management </w:t>
      </w:r>
    </w:p>
    <w:p w14:paraId="1F6C00EB" w14:textId="77777777" w:rsidR="00E031B3" w:rsidRDefault="00E031B3">
      <w:pPr>
        <w:pStyle w:val="Body"/>
        <w:spacing w:after="0"/>
        <w:rPr>
          <w:rFonts w:ascii="Arial" w:hAnsi="Arial"/>
          <w:b/>
          <w:bCs/>
        </w:rPr>
      </w:pPr>
    </w:p>
    <w:p w14:paraId="0D6BF09F" w14:textId="77777777" w:rsidR="00E031B3" w:rsidRDefault="00A03E87">
      <w:pPr>
        <w:pStyle w:val="Body"/>
        <w:spacing w:after="0"/>
        <w:rPr>
          <w:rFonts w:ascii="Arial" w:hAnsi="Arial"/>
        </w:rPr>
      </w:pPr>
      <w:r>
        <w:rPr>
          <w:rFonts w:ascii="Arial" w:hAnsi="Arial"/>
        </w:rPr>
        <w:t>The findings indicate that Garissa Township has made gradual progress in adopting technological solutions for solid waste management between 2019 and 2024, though the overall uptake remains limited. The most common innovations include GPS-based waste collection tracking systems (45%) and semi-mechanical sorting equipment (41%), which have improved route efficiency, fuel use, and operational accountability. These findings suggest growing awareness of the importance of technology in enhancing waste management efficiency (UNEP, 2023).</w:t>
      </w:r>
    </w:p>
    <w:p w14:paraId="00FAAE8D" w14:textId="77777777" w:rsidR="00E031B3" w:rsidRDefault="00E031B3">
      <w:pPr>
        <w:pStyle w:val="Body"/>
        <w:spacing w:after="0"/>
        <w:rPr>
          <w:rFonts w:ascii="Arial" w:hAnsi="Arial"/>
        </w:rPr>
      </w:pPr>
    </w:p>
    <w:p w14:paraId="2C06FFD6" w14:textId="77777777" w:rsidR="00E031B3" w:rsidRDefault="00A03E87">
      <w:pPr>
        <w:pStyle w:val="Body"/>
        <w:spacing w:after="0"/>
        <w:rPr>
          <w:rFonts w:ascii="Arial" w:hAnsi="Arial"/>
        </w:rPr>
      </w:pPr>
      <w:r>
        <w:rPr>
          <w:rFonts w:ascii="Arial" w:hAnsi="Arial"/>
        </w:rPr>
        <w:t>Composting initiatives, reported by 38% of respondents, have gained popularity among local farmers and community groups as a means of managing organic waste. Although biogas technology recorded the lowest adoption rate (15%), it was considered the most effective (74%) due to its dual benefits of waste reduction and energy production. The biogas project at the Garissa Livestock Market, producing 10–15 m³ of gas per day, demonstrates the potential for waste-to-energy solutions in semi-arid urban settings (</w:t>
      </w:r>
      <w:commentRangeStart w:id="16"/>
      <w:r>
        <w:rPr>
          <w:rFonts w:ascii="Arial" w:hAnsi="Arial"/>
        </w:rPr>
        <w:t>NEMA</w:t>
      </w:r>
      <w:commentRangeEnd w:id="16"/>
      <w:r w:rsidR="00635028">
        <w:rPr>
          <w:rStyle w:val="CommentReference"/>
          <w:rFonts w:ascii="Times New Roman" w:hAnsi="Times New Roman"/>
          <w:lang w:val="nb-NO" w:eastAsia="nb-NO"/>
        </w:rPr>
        <w:commentReference w:id="16"/>
      </w:r>
      <w:r>
        <w:rPr>
          <w:rFonts w:ascii="Arial" w:hAnsi="Arial"/>
        </w:rPr>
        <w:t>, 2022).</w:t>
      </w:r>
    </w:p>
    <w:p w14:paraId="23917974" w14:textId="77777777" w:rsidR="00E031B3" w:rsidRDefault="00E031B3">
      <w:pPr>
        <w:pStyle w:val="Body"/>
        <w:spacing w:after="0"/>
        <w:rPr>
          <w:rFonts w:ascii="Arial" w:hAnsi="Arial"/>
        </w:rPr>
      </w:pPr>
    </w:p>
    <w:p w14:paraId="1EED2BC6" w14:textId="77777777" w:rsidR="00E031B3" w:rsidRDefault="00A03E87">
      <w:pPr>
        <w:pStyle w:val="Body"/>
        <w:spacing w:after="0"/>
        <w:rPr>
          <w:rFonts w:ascii="Arial" w:hAnsi="Arial"/>
        </w:rPr>
      </w:pPr>
      <w:r>
        <w:rPr>
          <w:rFonts w:ascii="Arial" w:hAnsi="Arial"/>
        </w:rPr>
        <w:t xml:space="preserve">Digital systems such as mobile-based waste scheduling, billing platforms, and inventory tracking tools have seen moderate adoption (24–32%). However, </w:t>
      </w:r>
      <w:commentRangeStart w:id="17"/>
      <w:r>
        <w:rPr>
          <w:rFonts w:ascii="Arial" w:hAnsi="Arial"/>
        </w:rPr>
        <w:t xml:space="preserve">challenges </w:t>
      </w:r>
      <w:commentRangeEnd w:id="17"/>
      <w:r w:rsidR="000E0D85">
        <w:rPr>
          <w:rStyle w:val="CommentReference"/>
          <w:rFonts w:ascii="Times New Roman" w:hAnsi="Times New Roman"/>
          <w:lang w:val="nb-NO" w:eastAsia="nb-NO"/>
        </w:rPr>
        <w:commentReference w:id="17"/>
      </w:r>
      <w:r>
        <w:rPr>
          <w:rFonts w:ascii="Arial" w:hAnsi="Arial"/>
        </w:rPr>
        <w:t xml:space="preserve">including limited technical capacity, unreliable internet connectivity, and inadequate funding continue to restrict their expansion (Maina, 2022). Despite these constraints, </w:t>
      </w:r>
      <w:commentRangeStart w:id="18"/>
      <w:r>
        <w:rPr>
          <w:rFonts w:ascii="Arial" w:hAnsi="Arial"/>
        </w:rPr>
        <w:t xml:space="preserve">users of digital systems </w:t>
      </w:r>
      <w:commentRangeEnd w:id="18"/>
      <w:r w:rsidR="000E0D85">
        <w:rPr>
          <w:rStyle w:val="CommentReference"/>
          <w:rFonts w:ascii="Times New Roman" w:hAnsi="Times New Roman"/>
          <w:lang w:val="nb-NO" w:eastAsia="nb-NO"/>
        </w:rPr>
        <w:commentReference w:id="18"/>
      </w:r>
      <w:r>
        <w:rPr>
          <w:rFonts w:ascii="Arial" w:hAnsi="Arial"/>
        </w:rPr>
        <w:t>reported better coordination, transparency, and data accuracy, which are essential for advancing circular economy goals.</w:t>
      </w:r>
    </w:p>
    <w:p w14:paraId="0BB517D9" w14:textId="77777777" w:rsidR="00E031B3" w:rsidRDefault="00E031B3">
      <w:pPr>
        <w:pStyle w:val="Body"/>
        <w:spacing w:after="0"/>
        <w:rPr>
          <w:rFonts w:ascii="Arial" w:hAnsi="Arial"/>
        </w:rPr>
      </w:pPr>
    </w:p>
    <w:p w14:paraId="3D60918C" w14:textId="77777777" w:rsidR="00E031B3" w:rsidRDefault="00A03E87">
      <w:pPr>
        <w:pStyle w:val="Body"/>
        <w:spacing w:after="0"/>
        <w:rPr>
          <w:rFonts w:ascii="Arial" w:hAnsi="Arial"/>
        </w:rPr>
      </w:pPr>
      <w:r>
        <w:rPr>
          <w:rFonts w:ascii="Arial" w:hAnsi="Arial"/>
        </w:rPr>
        <w:lastRenderedPageBreak/>
        <w:t>Overall, technology adoption in Garissa’s waste sector averaged 32%, with 65% of users rating existing innovations as effective. This suggests that while technological awareness is increasing, infrastructure gaps, financial limitations, and weak institutional frameworks still hinder broader implementation.</w:t>
      </w:r>
    </w:p>
    <w:p w14:paraId="3CBC8269" w14:textId="77777777" w:rsidR="00E031B3" w:rsidRDefault="00E031B3">
      <w:pPr>
        <w:pStyle w:val="Body"/>
        <w:spacing w:after="0"/>
        <w:rPr>
          <w:rFonts w:ascii="Arial" w:hAnsi="Arial"/>
        </w:rPr>
      </w:pPr>
    </w:p>
    <w:p w14:paraId="26E3D083" w14:textId="77777777" w:rsidR="00E031B3" w:rsidRDefault="00A03E87">
      <w:pPr>
        <w:pStyle w:val="Body"/>
        <w:spacing w:after="0"/>
        <w:jc w:val="center"/>
        <w:rPr>
          <w:rFonts w:ascii="Arial" w:hAnsi="Arial"/>
          <w:b/>
          <w:bCs/>
        </w:rPr>
      </w:pPr>
      <w:commentRangeStart w:id="19"/>
      <w:r>
        <w:rPr>
          <w:rFonts w:ascii="Arial" w:hAnsi="Arial"/>
          <w:b/>
          <w:bCs/>
        </w:rPr>
        <w:t xml:space="preserve">Table 1 Adoption of Technological </w:t>
      </w:r>
      <w:commentRangeEnd w:id="19"/>
      <w:r w:rsidR="00010804">
        <w:rPr>
          <w:rStyle w:val="CommentReference"/>
          <w:rFonts w:ascii="Times New Roman" w:hAnsi="Times New Roman"/>
          <w:lang w:val="nb-NO" w:eastAsia="nb-NO"/>
        </w:rPr>
        <w:commentReference w:id="19"/>
      </w:r>
      <w:r>
        <w:rPr>
          <w:rFonts w:ascii="Arial" w:hAnsi="Arial"/>
          <w:b/>
          <w:bCs/>
        </w:rPr>
        <w:t xml:space="preserve">Innovations in Solid Waste Management in Garissa Township </w:t>
      </w:r>
    </w:p>
    <w:p w14:paraId="0CC2E751" w14:textId="77777777" w:rsidR="00E031B3" w:rsidRDefault="00E031B3">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1988"/>
        <w:gridCol w:w="2006"/>
        <w:gridCol w:w="2317"/>
      </w:tblGrid>
      <w:tr w:rsidR="00E031B3" w14:paraId="4C8C58F0" w14:textId="77777777">
        <w:trPr>
          <w:tblHeader/>
          <w:tblCellSpacing w:w="15" w:type="dxa"/>
        </w:trPr>
        <w:tc>
          <w:tcPr>
            <w:tcW w:w="0" w:type="auto"/>
            <w:vAlign w:val="center"/>
          </w:tcPr>
          <w:p w14:paraId="2C30CAF8" w14:textId="77777777" w:rsidR="00E031B3" w:rsidRDefault="00A03E87">
            <w:pPr>
              <w:jc w:val="center"/>
              <w:rPr>
                <w:rFonts w:ascii="Arial" w:hAnsi="Arial" w:cs="Arial"/>
                <w:b/>
                <w:bCs/>
              </w:rPr>
            </w:pPr>
            <w:r>
              <w:rPr>
                <w:rStyle w:val="Strong"/>
                <w:rFonts w:ascii="Arial" w:eastAsia="SimSun" w:hAnsi="Arial" w:cs="Arial"/>
                <w:lang w:eastAsia="zh-CN" w:bidi="ar"/>
              </w:rPr>
              <w:t>Type of Technology</w:t>
            </w:r>
          </w:p>
        </w:tc>
        <w:tc>
          <w:tcPr>
            <w:tcW w:w="0" w:type="auto"/>
            <w:vAlign w:val="center"/>
          </w:tcPr>
          <w:p w14:paraId="66E75CF0" w14:textId="77777777" w:rsidR="00E031B3" w:rsidRDefault="00A03E87">
            <w:pPr>
              <w:jc w:val="center"/>
              <w:rPr>
                <w:rFonts w:ascii="Arial" w:hAnsi="Arial" w:cs="Arial"/>
                <w:b/>
                <w:bCs/>
              </w:rPr>
            </w:pPr>
            <w:r>
              <w:rPr>
                <w:rStyle w:val="Strong"/>
                <w:rFonts w:ascii="Arial" w:eastAsia="SimSun" w:hAnsi="Arial" w:cs="Arial"/>
                <w:lang w:eastAsia="zh-CN" w:bidi="ar"/>
              </w:rPr>
              <w:t>Description / Application</w:t>
            </w:r>
          </w:p>
        </w:tc>
        <w:tc>
          <w:tcPr>
            <w:tcW w:w="0" w:type="auto"/>
            <w:vAlign w:val="center"/>
          </w:tcPr>
          <w:p w14:paraId="54E56304" w14:textId="77777777" w:rsidR="00E031B3" w:rsidRDefault="00A03E87">
            <w:pPr>
              <w:jc w:val="center"/>
              <w:rPr>
                <w:rFonts w:ascii="Arial" w:hAnsi="Arial" w:cs="Arial"/>
                <w:b/>
                <w:bCs/>
              </w:rPr>
            </w:pPr>
            <w:r>
              <w:rPr>
                <w:rStyle w:val="Strong"/>
                <w:rFonts w:ascii="Arial" w:eastAsia="SimSun" w:hAnsi="Arial" w:cs="Arial"/>
                <w:lang w:eastAsia="zh-CN" w:bidi="ar"/>
              </w:rPr>
              <w:t>Level of Adoption (% of respondents reporting use)</w:t>
            </w:r>
          </w:p>
        </w:tc>
        <w:tc>
          <w:tcPr>
            <w:tcW w:w="0" w:type="auto"/>
            <w:vAlign w:val="center"/>
          </w:tcPr>
          <w:p w14:paraId="7F1465A5" w14:textId="77777777" w:rsidR="00E031B3" w:rsidRDefault="00A03E87">
            <w:pPr>
              <w:jc w:val="center"/>
              <w:rPr>
                <w:rFonts w:ascii="Arial" w:hAnsi="Arial" w:cs="Arial"/>
                <w:b/>
                <w:bCs/>
              </w:rPr>
            </w:pPr>
            <w:r>
              <w:rPr>
                <w:rStyle w:val="Strong"/>
                <w:rFonts w:ascii="Arial" w:eastAsia="SimSun" w:hAnsi="Arial" w:cs="Arial"/>
                <w:lang w:eastAsia="zh-CN" w:bidi="ar"/>
              </w:rPr>
              <w:t>Perceived Effectiveness (% rating as effective or very effective)</w:t>
            </w:r>
          </w:p>
        </w:tc>
      </w:tr>
      <w:tr w:rsidR="00E031B3" w14:paraId="591ECFFE" w14:textId="77777777">
        <w:trPr>
          <w:tblCellSpacing w:w="15" w:type="dxa"/>
        </w:trPr>
        <w:tc>
          <w:tcPr>
            <w:tcW w:w="0" w:type="auto"/>
            <w:vAlign w:val="center"/>
          </w:tcPr>
          <w:p w14:paraId="3F3CBB8A" w14:textId="77777777" w:rsidR="00E031B3" w:rsidRDefault="00A03E87">
            <w:pPr>
              <w:rPr>
                <w:rFonts w:ascii="Arial" w:hAnsi="Arial" w:cs="Arial"/>
              </w:rPr>
            </w:pPr>
            <w:r>
              <w:rPr>
                <w:rFonts w:ascii="Arial" w:eastAsia="SimSun" w:hAnsi="Arial" w:cs="Arial"/>
                <w:lang w:eastAsia="zh-CN" w:bidi="ar"/>
              </w:rPr>
              <w:t>GPS-enabled waste collection tracking systems</w:t>
            </w:r>
          </w:p>
        </w:tc>
        <w:tc>
          <w:tcPr>
            <w:tcW w:w="0" w:type="auto"/>
            <w:vAlign w:val="center"/>
          </w:tcPr>
          <w:p w14:paraId="17F37A7F" w14:textId="77777777" w:rsidR="00E031B3" w:rsidRDefault="00A03E87">
            <w:pPr>
              <w:rPr>
                <w:rFonts w:ascii="Arial" w:hAnsi="Arial" w:cs="Arial"/>
              </w:rPr>
            </w:pPr>
            <w:r>
              <w:rPr>
                <w:rFonts w:ascii="Arial" w:eastAsia="SimSun" w:hAnsi="Arial" w:cs="Arial"/>
                <w:lang w:eastAsia="zh-CN" w:bidi="ar"/>
              </w:rPr>
              <w:t>Monitoring of waste trucks, optimizing collection routes</w:t>
            </w:r>
          </w:p>
        </w:tc>
        <w:tc>
          <w:tcPr>
            <w:tcW w:w="0" w:type="auto"/>
            <w:vAlign w:val="center"/>
          </w:tcPr>
          <w:p w14:paraId="72AF1A0C" w14:textId="77777777" w:rsidR="00E031B3" w:rsidRDefault="00A03E87">
            <w:pPr>
              <w:rPr>
                <w:rFonts w:ascii="Arial" w:hAnsi="Arial" w:cs="Arial"/>
              </w:rPr>
            </w:pPr>
            <w:r>
              <w:rPr>
                <w:rFonts w:ascii="Arial" w:eastAsia="SimSun" w:hAnsi="Arial" w:cs="Arial"/>
                <w:lang w:eastAsia="zh-CN" w:bidi="ar"/>
              </w:rPr>
              <w:t>45%</w:t>
            </w:r>
          </w:p>
        </w:tc>
        <w:tc>
          <w:tcPr>
            <w:tcW w:w="0" w:type="auto"/>
            <w:vAlign w:val="center"/>
          </w:tcPr>
          <w:p w14:paraId="42873C3D" w14:textId="77777777" w:rsidR="00E031B3" w:rsidRDefault="00A03E87">
            <w:pPr>
              <w:rPr>
                <w:rFonts w:ascii="Arial" w:hAnsi="Arial" w:cs="Arial"/>
              </w:rPr>
            </w:pPr>
            <w:r>
              <w:rPr>
                <w:rFonts w:ascii="Arial" w:eastAsia="SimSun" w:hAnsi="Arial" w:cs="Arial"/>
                <w:lang w:eastAsia="zh-CN" w:bidi="ar"/>
              </w:rPr>
              <w:t>68%</w:t>
            </w:r>
          </w:p>
        </w:tc>
      </w:tr>
      <w:tr w:rsidR="00E031B3" w14:paraId="6729DF85" w14:textId="77777777">
        <w:trPr>
          <w:tblCellSpacing w:w="15" w:type="dxa"/>
        </w:trPr>
        <w:tc>
          <w:tcPr>
            <w:tcW w:w="0" w:type="auto"/>
            <w:vAlign w:val="center"/>
          </w:tcPr>
          <w:p w14:paraId="0E1E2954" w14:textId="77777777" w:rsidR="00E031B3" w:rsidRDefault="00A03E87">
            <w:pPr>
              <w:rPr>
                <w:rFonts w:ascii="Arial" w:hAnsi="Arial" w:cs="Arial"/>
              </w:rPr>
            </w:pPr>
            <w:r>
              <w:rPr>
                <w:rFonts w:ascii="Arial" w:eastAsia="SimSun" w:hAnsi="Arial" w:cs="Arial"/>
                <w:lang w:eastAsia="zh-CN" w:bidi="ar"/>
              </w:rPr>
              <w:t>Digital waste scheduling and payment platforms</w:t>
            </w:r>
          </w:p>
        </w:tc>
        <w:tc>
          <w:tcPr>
            <w:tcW w:w="0" w:type="auto"/>
            <w:vAlign w:val="center"/>
          </w:tcPr>
          <w:p w14:paraId="36243E21" w14:textId="77777777" w:rsidR="00E031B3" w:rsidRDefault="00A03E87">
            <w:pPr>
              <w:rPr>
                <w:rFonts w:ascii="Arial" w:hAnsi="Arial" w:cs="Arial"/>
              </w:rPr>
            </w:pPr>
            <w:r>
              <w:rPr>
                <w:rFonts w:ascii="Arial" w:eastAsia="SimSun" w:hAnsi="Arial" w:cs="Arial"/>
                <w:lang w:eastAsia="zh-CN" w:bidi="ar"/>
              </w:rPr>
              <w:t>Mobile-based scheduling and billing for waste collection</w:t>
            </w:r>
          </w:p>
        </w:tc>
        <w:tc>
          <w:tcPr>
            <w:tcW w:w="0" w:type="auto"/>
            <w:vAlign w:val="center"/>
          </w:tcPr>
          <w:p w14:paraId="27703DD3" w14:textId="77777777" w:rsidR="00E031B3" w:rsidRDefault="00A03E87">
            <w:pPr>
              <w:rPr>
                <w:rFonts w:ascii="Arial" w:hAnsi="Arial" w:cs="Arial"/>
              </w:rPr>
            </w:pPr>
            <w:r>
              <w:rPr>
                <w:rFonts w:ascii="Arial" w:eastAsia="SimSun" w:hAnsi="Arial" w:cs="Arial"/>
                <w:lang w:eastAsia="zh-CN" w:bidi="ar"/>
              </w:rPr>
              <w:t>32%</w:t>
            </w:r>
          </w:p>
        </w:tc>
        <w:tc>
          <w:tcPr>
            <w:tcW w:w="0" w:type="auto"/>
            <w:vAlign w:val="center"/>
          </w:tcPr>
          <w:p w14:paraId="18008638" w14:textId="77777777" w:rsidR="00E031B3" w:rsidRDefault="00A03E87">
            <w:pPr>
              <w:rPr>
                <w:rFonts w:ascii="Arial" w:hAnsi="Arial" w:cs="Arial"/>
              </w:rPr>
            </w:pPr>
            <w:r>
              <w:rPr>
                <w:rFonts w:ascii="Arial" w:eastAsia="SimSun" w:hAnsi="Arial" w:cs="Arial"/>
                <w:lang w:eastAsia="zh-CN" w:bidi="ar"/>
              </w:rPr>
              <w:t>59%</w:t>
            </w:r>
          </w:p>
        </w:tc>
      </w:tr>
      <w:tr w:rsidR="00E031B3" w14:paraId="540DF554" w14:textId="77777777">
        <w:trPr>
          <w:tblCellSpacing w:w="15" w:type="dxa"/>
        </w:trPr>
        <w:tc>
          <w:tcPr>
            <w:tcW w:w="0" w:type="auto"/>
            <w:vAlign w:val="center"/>
          </w:tcPr>
          <w:p w14:paraId="4C70CE9A" w14:textId="77777777" w:rsidR="00E031B3" w:rsidRDefault="00A03E87">
            <w:pPr>
              <w:rPr>
                <w:rFonts w:ascii="Arial" w:hAnsi="Arial" w:cs="Arial"/>
              </w:rPr>
            </w:pPr>
            <w:r>
              <w:rPr>
                <w:rFonts w:ascii="Arial" w:eastAsia="SimSun" w:hAnsi="Arial" w:cs="Arial"/>
                <w:lang w:eastAsia="zh-CN" w:bidi="ar"/>
              </w:rPr>
              <w:t>Semi-mechanical sorting and compacting equipment</w:t>
            </w:r>
          </w:p>
        </w:tc>
        <w:tc>
          <w:tcPr>
            <w:tcW w:w="0" w:type="auto"/>
            <w:vAlign w:val="center"/>
          </w:tcPr>
          <w:p w14:paraId="1EB2C942" w14:textId="77777777" w:rsidR="00E031B3" w:rsidRDefault="00A03E87">
            <w:pPr>
              <w:rPr>
                <w:rFonts w:ascii="Arial" w:hAnsi="Arial" w:cs="Arial"/>
              </w:rPr>
            </w:pPr>
            <w:r>
              <w:rPr>
                <w:rFonts w:ascii="Arial" w:eastAsia="SimSun" w:hAnsi="Arial" w:cs="Arial"/>
                <w:lang w:eastAsia="zh-CN" w:bidi="ar"/>
              </w:rPr>
              <w:t>Used by local recyclers for plastics and metals</w:t>
            </w:r>
          </w:p>
        </w:tc>
        <w:tc>
          <w:tcPr>
            <w:tcW w:w="0" w:type="auto"/>
            <w:vAlign w:val="center"/>
          </w:tcPr>
          <w:p w14:paraId="4BDF9E40" w14:textId="77777777" w:rsidR="00E031B3" w:rsidRDefault="00A03E87">
            <w:pPr>
              <w:rPr>
                <w:rFonts w:ascii="Arial" w:hAnsi="Arial" w:cs="Arial"/>
              </w:rPr>
            </w:pPr>
            <w:r>
              <w:rPr>
                <w:rFonts w:ascii="Arial" w:eastAsia="SimSun" w:hAnsi="Arial" w:cs="Arial"/>
                <w:lang w:eastAsia="zh-CN" w:bidi="ar"/>
              </w:rPr>
              <w:t>41%</w:t>
            </w:r>
          </w:p>
        </w:tc>
        <w:tc>
          <w:tcPr>
            <w:tcW w:w="0" w:type="auto"/>
            <w:vAlign w:val="center"/>
          </w:tcPr>
          <w:p w14:paraId="5CC6DCB5" w14:textId="77777777" w:rsidR="00E031B3" w:rsidRDefault="00A03E87">
            <w:pPr>
              <w:rPr>
                <w:rFonts w:ascii="Arial" w:hAnsi="Arial" w:cs="Arial"/>
              </w:rPr>
            </w:pPr>
            <w:r>
              <w:rPr>
                <w:rFonts w:ascii="Arial" w:eastAsia="SimSun" w:hAnsi="Arial" w:cs="Arial"/>
                <w:lang w:eastAsia="zh-CN" w:bidi="ar"/>
              </w:rPr>
              <w:t>72%</w:t>
            </w:r>
          </w:p>
        </w:tc>
      </w:tr>
      <w:tr w:rsidR="00E031B3" w14:paraId="6C080513" w14:textId="77777777">
        <w:trPr>
          <w:tblCellSpacing w:w="15" w:type="dxa"/>
        </w:trPr>
        <w:tc>
          <w:tcPr>
            <w:tcW w:w="0" w:type="auto"/>
            <w:vAlign w:val="center"/>
          </w:tcPr>
          <w:p w14:paraId="36896EBC" w14:textId="77777777" w:rsidR="00E031B3" w:rsidRDefault="00A03E87">
            <w:pPr>
              <w:rPr>
                <w:rFonts w:ascii="Arial" w:hAnsi="Arial" w:cs="Arial"/>
              </w:rPr>
            </w:pPr>
            <w:r>
              <w:rPr>
                <w:rFonts w:ascii="Arial" w:eastAsia="SimSun" w:hAnsi="Arial" w:cs="Arial"/>
                <w:lang w:eastAsia="zh-CN" w:bidi="ar"/>
              </w:rPr>
              <w:t>Composting technologies (aerated and pit composting)</w:t>
            </w:r>
          </w:p>
        </w:tc>
        <w:tc>
          <w:tcPr>
            <w:tcW w:w="0" w:type="auto"/>
            <w:vAlign w:val="center"/>
          </w:tcPr>
          <w:p w14:paraId="5169E642" w14:textId="77777777" w:rsidR="00E031B3" w:rsidRDefault="00A03E87">
            <w:pPr>
              <w:rPr>
                <w:rFonts w:ascii="Arial" w:hAnsi="Arial" w:cs="Arial"/>
              </w:rPr>
            </w:pPr>
            <w:r>
              <w:rPr>
                <w:rFonts w:ascii="Arial" w:eastAsia="SimSun" w:hAnsi="Arial" w:cs="Arial"/>
                <w:lang w:eastAsia="zh-CN" w:bidi="ar"/>
              </w:rPr>
              <w:t>Treatment of organic waste for fertilizer production</w:t>
            </w:r>
          </w:p>
        </w:tc>
        <w:tc>
          <w:tcPr>
            <w:tcW w:w="0" w:type="auto"/>
            <w:vAlign w:val="center"/>
          </w:tcPr>
          <w:p w14:paraId="66B34226" w14:textId="77777777" w:rsidR="00E031B3" w:rsidRDefault="00A03E87">
            <w:pPr>
              <w:rPr>
                <w:rFonts w:ascii="Arial" w:hAnsi="Arial" w:cs="Arial"/>
              </w:rPr>
            </w:pPr>
            <w:r>
              <w:rPr>
                <w:rFonts w:ascii="Arial" w:eastAsia="SimSun" w:hAnsi="Arial" w:cs="Arial"/>
                <w:lang w:eastAsia="zh-CN" w:bidi="ar"/>
              </w:rPr>
              <w:t>38%</w:t>
            </w:r>
          </w:p>
        </w:tc>
        <w:tc>
          <w:tcPr>
            <w:tcW w:w="0" w:type="auto"/>
            <w:vAlign w:val="center"/>
          </w:tcPr>
          <w:p w14:paraId="05FD9349" w14:textId="77777777" w:rsidR="00E031B3" w:rsidRDefault="00A03E87">
            <w:pPr>
              <w:rPr>
                <w:rFonts w:ascii="Arial" w:hAnsi="Arial" w:cs="Arial"/>
              </w:rPr>
            </w:pPr>
            <w:r>
              <w:rPr>
                <w:rFonts w:ascii="Arial" w:eastAsia="SimSun" w:hAnsi="Arial" w:cs="Arial"/>
                <w:lang w:eastAsia="zh-CN" w:bidi="ar"/>
              </w:rPr>
              <w:t>65%</w:t>
            </w:r>
          </w:p>
        </w:tc>
      </w:tr>
      <w:tr w:rsidR="00E031B3" w14:paraId="2CF111AD" w14:textId="77777777">
        <w:trPr>
          <w:tblCellSpacing w:w="15" w:type="dxa"/>
        </w:trPr>
        <w:tc>
          <w:tcPr>
            <w:tcW w:w="0" w:type="auto"/>
            <w:vAlign w:val="center"/>
          </w:tcPr>
          <w:p w14:paraId="0AB79487" w14:textId="77777777" w:rsidR="00E031B3" w:rsidRDefault="00A03E87">
            <w:pPr>
              <w:rPr>
                <w:rFonts w:ascii="Arial" w:hAnsi="Arial" w:cs="Arial"/>
              </w:rPr>
            </w:pPr>
            <w:r>
              <w:rPr>
                <w:rFonts w:ascii="Arial" w:eastAsia="SimSun" w:hAnsi="Arial" w:cs="Arial"/>
                <w:lang w:eastAsia="zh-CN" w:bidi="ar"/>
              </w:rPr>
              <w:t>Biogas production (waste-to-energy initiatives)</w:t>
            </w:r>
          </w:p>
        </w:tc>
        <w:tc>
          <w:tcPr>
            <w:tcW w:w="0" w:type="auto"/>
            <w:vAlign w:val="center"/>
          </w:tcPr>
          <w:p w14:paraId="3FC9C4CD" w14:textId="77777777" w:rsidR="00E031B3" w:rsidRDefault="00A03E87">
            <w:pPr>
              <w:rPr>
                <w:rFonts w:ascii="Arial" w:hAnsi="Arial" w:cs="Arial"/>
              </w:rPr>
            </w:pPr>
            <w:r>
              <w:rPr>
                <w:rFonts w:ascii="Arial" w:eastAsia="SimSun" w:hAnsi="Arial" w:cs="Arial"/>
                <w:lang w:eastAsia="zh-CN" w:bidi="ar"/>
              </w:rPr>
              <w:t>Conversion of organic waste to biogas for local energy use</w:t>
            </w:r>
          </w:p>
        </w:tc>
        <w:tc>
          <w:tcPr>
            <w:tcW w:w="0" w:type="auto"/>
            <w:vAlign w:val="center"/>
          </w:tcPr>
          <w:p w14:paraId="3A8FCA6F" w14:textId="77777777" w:rsidR="00E031B3" w:rsidRDefault="00A03E87">
            <w:pPr>
              <w:rPr>
                <w:rFonts w:ascii="Arial" w:hAnsi="Arial" w:cs="Arial"/>
              </w:rPr>
            </w:pPr>
            <w:r>
              <w:rPr>
                <w:rFonts w:ascii="Arial" w:eastAsia="SimSun" w:hAnsi="Arial" w:cs="Arial"/>
                <w:lang w:eastAsia="zh-CN" w:bidi="ar"/>
              </w:rPr>
              <w:t>15%</w:t>
            </w:r>
          </w:p>
        </w:tc>
        <w:tc>
          <w:tcPr>
            <w:tcW w:w="0" w:type="auto"/>
            <w:vAlign w:val="center"/>
          </w:tcPr>
          <w:p w14:paraId="3955D59F" w14:textId="77777777" w:rsidR="00E031B3" w:rsidRDefault="00A03E87">
            <w:pPr>
              <w:rPr>
                <w:rFonts w:ascii="Arial" w:hAnsi="Arial" w:cs="Arial"/>
              </w:rPr>
            </w:pPr>
            <w:r>
              <w:rPr>
                <w:rFonts w:ascii="Arial" w:eastAsia="SimSun" w:hAnsi="Arial" w:cs="Arial"/>
                <w:lang w:eastAsia="zh-CN" w:bidi="ar"/>
              </w:rPr>
              <w:t>74%</w:t>
            </w:r>
          </w:p>
        </w:tc>
      </w:tr>
      <w:tr w:rsidR="00E031B3" w14:paraId="1E4C48BE" w14:textId="77777777">
        <w:trPr>
          <w:tblCellSpacing w:w="15" w:type="dxa"/>
        </w:trPr>
        <w:tc>
          <w:tcPr>
            <w:tcW w:w="0" w:type="auto"/>
            <w:vAlign w:val="center"/>
          </w:tcPr>
          <w:p w14:paraId="373FD651" w14:textId="77777777" w:rsidR="00E031B3" w:rsidRDefault="00A03E87">
            <w:pPr>
              <w:rPr>
                <w:rFonts w:ascii="Arial" w:hAnsi="Arial" w:cs="Arial"/>
              </w:rPr>
            </w:pPr>
            <w:r>
              <w:rPr>
                <w:rFonts w:ascii="Arial" w:eastAsia="SimSun" w:hAnsi="Arial" w:cs="Arial"/>
                <w:lang w:eastAsia="zh-CN" w:bidi="ar"/>
              </w:rPr>
              <w:t>Digital recycling data and inventory management</w:t>
            </w:r>
          </w:p>
        </w:tc>
        <w:tc>
          <w:tcPr>
            <w:tcW w:w="0" w:type="auto"/>
            <w:vAlign w:val="center"/>
          </w:tcPr>
          <w:p w14:paraId="270DAB4F" w14:textId="77777777" w:rsidR="00E031B3" w:rsidRDefault="00A03E87">
            <w:pPr>
              <w:rPr>
                <w:rFonts w:ascii="Arial" w:hAnsi="Arial" w:cs="Arial"/>
              </w:rPr>
            </w:pPr>
            <w:r>
              <w:rPr>
                <w:rFonts w:ascii="Arial" w:eastAsia="SimSun" w:hAnsi="Arial" w:cs="Arial"/>
                <w:lang w:eastAsia="zh-CN" w:bidi="ar"/>
              </w:rPr>
              <w:t>Use of digital tools for tracking recyclable materials</w:t>
            </w:r>
          </w:p>
        </w:tc>
        <w:tc>
          <w:tcPr>
            <w:tcW w:w="0" w:type="auto"/>
            <w:vAlign w:val="center"/>
          </w:tcPr>
          <w:p w14:paraId="5271ACEC" w14:textId="77777777" w:rsidR="00E031B3" w:rsidRDefault="00A03E87">
            <w:pPr>
              <w:rPr>
                <w:rFonts w:ascii="Arial" w:hAnsi="Arial" w:cs="Arial"/>
              </w:rPr>
            </w:pPr>
            <w:r>
              <w:rPr>
                <w:rFonts w:ascii="Arial" w:eastAsia="SimSun" w:hAnsi="Arial" w:cs="Arial"/>
                <w:lang w:eastAsia="zh-CN" w:bidi="ar"/>
              </w:rPr>
              <w:t>24%</w:t>
            </w:r>
          </w:p>
        </w:tc>
        <w:tc>
          <w:tcPr>
            <w:tcW w:w="0" w:type="auto"/>
            <w:vAlign w:val="center"/>
          </w:tcPr>
          <w:p w14:paraId="6E03AE8D" w14:textId="77777777" w:rsidR="00E031B3" w:rsidRDefault="00A03E87">
            <w:pPr>
              <w:rPr>
                <w:rFonts w:ascii="Arial" w:hAnsi="Arial" w:cs="Arial"/>
              </w:rPr>
            </w:pPr>
            <w:r>
              <w:rPr>
                <w:rFonts w:ascii="Arial" w:eastAsia="SimSun" w:hAnsi="Arial" w:cs="Arial"/>
                <w:lang w:eastAsia="zh-CN" w:bidi="ar"/>
              </w:rPr>
              <w:t>58%</w:t>
            </w:r>
          </w:p>
        </w:tc>
      </w:tr>
      <w:tr w:rsidR="00E031B3" w14:paraId="08356268" w14:textId="77777777">
        <w:trPr>
          <w:tblCellSpacing w:w="15" w:type="dxa"/>
        </w:trPr>
        <w:tc>
          <w:tcPr>
            <w:tcW w:w="0" w:type="auto"/>
            <w:vAlign w:val="center"/>
          </w:tcPr>
          <w:p w14:paraId="6F8F5BB1" w14:textId="77777777" w:rsidR="00E031B3" w:rsidRDefault="00A03E87">
            <w:pPr>
              <w:rPr>
                <w:rFonts w:ascii="Arial" w:hAnsi="Arial" w:cs="Arial"/>
              </w:rPr>
            </w:pPr>
            <w:r>
              <w:rPr>
                <w:rFonts w:ascii="Arial" w:eastAsia="SimSun" w:hAnsi="Arial" w:cs="Arial"/>
                <w:lang w:eastAsia="zh-CN" w:bidi="ar"/>
              </w:rPr>
              <w:t>Plastic shredding and pelletizing machines</w:t>
            </w:r>
          </w:p>
        </w:tc>
        <w:tc>
          <w:tcPr>
            <w:tcW w:w="0" w:type="auto"/>
            <w:vAlign w:val="center"/>
          </w:tcPr>
          <w:p w14:paraId="69BD77C1" w14:textId="77777777" w:rsidR="00E031B3" w:rsidRDefault="00A03E87">
            <w:pPr>
              <w:rPr>
                <w:rFonts w:ascii="Arial" w:hAnsi="Arial" w:cs="Arial"/>
              </w:rPr>
            </w:pPr>
            <w:r>
              <w:rPr>
                <w:rFonts w:ascii="Arial" w:eastAsia="SimSun" w:hAnsi="Arial" w:cs="Arial"/>
                <w:lang w:eastAsia="zh-CN" w:bidi="ar"/>
              </w:rPr>
              <w:t>Used by small recyclers to repurpose plastics</w:t>
            </w:r>
          </w:p>
        </w:tc>
        <w:tc>
          <w:tcPr>
            <w:tcW w:w="0" w:type="auto"/>
            <w:vAlign w:val="center"/>
          </w:tcPr>
          <w:p w14:paraId="24A81B08" w14:textId="77777777" w:rsidR="00E031B3" w:rsidRDefault="00A03E87">
            <w:pPr>
              <w:rPr>
                <w:rFonts w:ascii="Arial" w:hAnsi="Arial" w:cs="Arial"/>
              </w:rPr>
            </w:pPr>
            <w:r>
              <w:rPr>
                <w:rFonts w:ascii="Arial" w:eastAsia="SimSun" w:hAnsi="Arial" w:cs="Arial"/>
                <w:lang w:eastAsia="zh-CN" w:bidi="ar"/>
              </w:rPr>
              <w:t>29%</w:t>
            </w:r>
          </w:p>
        </w:tc>
        <w:tc>
          <w:tcPr>
            <w:tcW w:w="0" w:type="auto"/>
            <w:vAlign w:val="center"/>
          </w:tcPr>
          <w:p w14:paraId="6021B54E" w14:textId="77777777" w:rsidR="00E031B3" w:rsidRDefault="00A03E87">
            <w:pPr>
              <w:rPr>
                <w:rFonts w:ascii="Arial" w:hAnsi="Arial" w:cs="Arial"/>
              </w:rPr>
            </w:pPr>
            <w:r>
              <w:rPr>
                <w:rFonts w:ascii="Arial" w:eastAsia="SimSun" w:hAnsi="Arial" w:cs="Arial"/>
                <w:lang w:eastAsia="zh-CN" w:bidi="ar"/>
              </w:rPr>
              <w:t>70%</w:t>
            </w:r>
          </w:p>
        </w:tc>
      </w:tr>
    </w:tbl>
    <w:p w14:paraId="030CE6EF" w14:textId="77777777" w:rsidR="00E031B3" w:rsidRDefault="00E031B3">
      <w:pPr>
        <w:pStyle w:val="Body"/>
        <w:spacing w:after="0"/>
        <w:rPr>
          <w:rFonts w:ascii="Arial" w:hAnsi="Arial" w:cs="Arial"/>
          <w:b/>
          <w:bCs/>
        </w:rPr>
      </w:pPr>
    </w:p>
    <w:p w14:paraId="21040650" w14:textId="77777777" w:rsidR="00E031B3" w:rsidRDefault="00A03E87">
      <w:pPr>
        <w:pStyle w:val="Body"/>
        <w:spacing w:after="0"/>
        <w:rPr>
          <w:rFonts w:ascii="Arial" w:hAnsi="Arial" w:cs="Arial"/>
          <w:b/>
          <w:bCs/>
        </w:rPr>
      </w:pPr>
      <w:r>
        <w:rPr>
          <w:rFonts w:ascii="Arial" w:hAnsi="Arial" w:cs="Arial"/>
          <w:b/>
          <w:bCs/>
        </w:rPr>
        <w:t xml:space="preserve">2.2 </w:t>
      </w:r>
      <w:r>
        <w:rPr>
          <w:rFonts w:ascii="Arial" w:hAnsi="Arial"/>
          <w:b/>
          <w:bCs/>
        </w:rPr>
        <w:t>Adequacy and Functionality of Waste Management Infrastructure</w:t>
      </w:r>
    </w:p>
    <w:p w14:paraId="3272FA57" w14:textId="77777777" w:rsidR="00E031B3" w:rsidRDefault="00E031B3">
      <w:pPr>
        <w:pStyle w:val="Body"/>
        <w:spacing w:after="0"/>
        <w:rPr>
          <w:rFonts w:ascii="Arial" w:hAnsi="Arial" w:cs="Arial"/>
        </w:rPr>
      </w:pPr>
    </w:p>
    <w:p w14:paraId="7FFAACD3" w14:textId="77777777" w:rsidR="00E031B3" w:rsidRDefault="00A03E87">
      <w:pPr>
        <w:pStyle w:val="Body"/>
        <w:spacing w:after="0"/>
        <w:rPr>
          <w:rFonts w:ascii="Arial" w:hAnsi="Arial"/>
        </w:rPr>
      </w:pPr>
      <w:r>
        <w:rPr>
          <w:rFonts w:ascii="Arial" w:hAnsi="Arial"/>
        </w:rPr>
        <w:t xml:space="preserve">The findings indicate that the waste management infrastructure in Garissa Township is currently insufficient to support comprehensive circular economy practices. Only about 62% of households benefit from formal waste collection services, leaving the remaining 38% dependent on informal disposal methods such as open dumping and burning. </w:t>
      </w:r>
    </w:p>
    <w:p w14:paraId="4EC516F5" w14:textId="77777777" w:rsidR="00E031B3" w:rsidRDefault="00E031B3">
      <w:pPr>
        <w:pStyle w:val="Body"/>
        <w:spacing w:after="0"/>
        <w:rPr>
          <w:rFonts w:ascii="Arial" w:hAnsi="Arial"/>
        </w:rPr>
      </w:pPr>
    </w:p>
    <w:p w14:paraId="7A0E9C07" w14:textId="77777777" w:rsidR="00E031B3" w:rsidRDefault="00A03E87">
      <w:pPr>
        <w:pStyle w:val="Body"/>
        <w:spacing w:after="0"/>
        <w:rPr>
          <w:rFonts w:ascii="Arial" w:hAnsi="Arial"/>
        </w:rPr>
      </w:pPr>
      <w:r>
        <w:rPr>
          <w:rFonts w:ascii="Arial" w:hAnsi="Arial"/>
        </w:rPr>
        <w:t xml:space="preserve">One community leader noted that many households </w:t>
      </w:r>
    </w:p>
    <w:p w14:paraId="1D84AF62" w14:textId="77777777" w:rsidR="00E031B3" w:rsidRDefault="00A03E87">
      <w:pPr>
        <w:pStyle w:val="Body"/>
        <w:spacing w:after="0"/>
        <w:ind w:left="720"/>
        <w:rPr>
          <w:rFonts w:ascii="Arial" w:hAnsi="Arial"/>
        </w:rPr>
      </w:pPr>
      <w:r>
        <w:rPr>
          <w:rFonts w:ascii="Arial" w:hAnsi="Arial"/>
          <w:i/>
          <w:iCs/>
        </w:rPr>
        <w:t>“</w:t>
      </w:r>
      <w:proofErr w:type="gramStart"/>
      <w:r>
        <w:rPr>
          <w:rFonts w:ascii="Arial" w:hAnsi="Arial"/>
          <w:i/>
          <w:iCs/>
        </w:rPr>
        <w:t>have</w:t>
      </w:r>
      <w:proofErr w:type="gramEnd"/>
      <w:r>
        <w:rPr>
          <w:rFonts w:ascii="Arial" w:hAnsi="Arial"/>
          <w:i/>
          <w:iCs/>
        </w:rPr>
        <w:t xml:space="preserve"> no regular collection and resort to burning waste, which creates health risks and environmental </w:t>
      </w:r>
      <w:commentRangeStart w:id="20"/>
      <w:r>
        <w:rPr>
          <w:rFonts w:ascii="Arial" w:hAnsi="Arial"/>
          <w:i/>
          <w:iCs/>
        </w:rPr>
        <w:t>pollution</w:t>
      </w:r>
      <w:commentRangeEnd w:id="20"/>
      <w:r w:rsidR="00D82D6D">
        <w:rPr>
          <w:rStyle w:val="CommentReference"/>
          <w:rFonts w:ascii="Times New Roman" w:hAnsi="Times New Roman"/>
          <w:lang w:val="nb-NO" w:eastAsia="nb-NO"/>
        </w:rPr>
        <w:commentReference w:id="20"/>
      </w:r>
      <w:proofErr w:type="gramStart"/>
      <w:r>
        <w:rPr>
          <w:rFonts w:ascii="Arial" w:hAnsi="Arial"/>
          <w:i/>
          <w:iCs/>
        </w:rPr>
        <w:t>”</w:t>
      </w:r>
      <w:r>
        <w:rPr>
          <w:rFonts w:ascii="Arial" w:hAnsi="Arial"/>
        </w:rPr>
        <w:t xml:space="preserve"> .</w:t>
      </w:r>
      <w:proofErr w:type="gramEnd"/>
      <w:r>
        <w:rPr>
          <w:rFonts w:ascii="Arial" w:hAnsi="Arial"/>
        </w:rPr>
        <w:t xml:space="preserve"> </w:t>
      </w:r>
    </w:p>
    <w:p w14:paraId="0648F961" w14:textId="77777777" w:rsidR="00E031B3" w:rsidRDefault="00E031B3">
      <w:pPr>
        <w:pStyle w:val="Body"/>
        <w:spacing w:after="0"/>
        <w:rPr>
          <w:rFonts w:ascii="Arial" w:hAnsi="Arial"/>
        </w:rPr>
      </w:pPr>
    </w:p>
    <w:p w14:paraId="3893A93F" w14:textId="77777777" w:rsidR="00E031B3" w:rsidRDefault="00A03E87">
      <w:pPr>
        <w:pStyle w:val="Body"/>
        <w:spacing w:after="0"/>
        <w:rPr>
          <w:rFonts w:ascii="Arial" w:hAnsi="Arial"/>
        </w:rPr>
      </w:pPr>
      <w:r>
        <w:rPr>
          <w:rFonts w:ascii="Arial" w:hAnsi="Arial"/>
        </w:rPr>
        <w:t>Similar patterns have been reported in other mid-sized towns in Kenya, where gaps in waste collection hinder recycling and material recovery initiatives (Mule, 2013).</w:t>
      </w:r>
    </w:p>
    <w:p w14:paraId="13D0B9C5" w14:textId="77777777" w:rsidR="00E031B3" w:rsidRDefault="00E031B3">
      <w:pPr>
        <w:pStyle w:val="Body"/>
        <w:spacing w:after="0"/>
        <w:rPr>
          <w:rFonts w:ascii="Arial" w:hAnsi="Arial"/>
        </w:rPr>
      </w:pPr>
    </w:p>
    <w:p w14:paraId="497372EA" w14:textId="77777777" w:rsidR="00E031B3" w:rsidRDefault="00A03E87">
      <w:pPr>
        <w:pStyle w:val="Body"/>
        <w:spacing w:after="0"/>
        <w:rPr>
          <w:rFonts w:ascii="Arial" w:hAnsi="Arial"/>
        </w:rPr>
      </w:pPr>
      <w:r>
        <w:rPr>
          <w:rFonts w:ascii="Arial" w:hAnsi="Arial"/>
        </w:rPr>
        <w:lastRenderedPageBreak/>
        <w:t xml:space="preserve">The township has just two functioning recycling centers, both privately managed and mainly handling plastic waste, with no centralized facilities for processing paper, metals, or other recyclable materials. Composting efforts are largely limited to small community projects, with no industrial-scale composting or anaerobic digestion plants in operation. </w:t>
      </w:r>
    </w:p>
    <w:p w14:paraId="6D0C4542" w14:textId="77777777" w:rsidR="00E031B3" w:rsidRDefault="00E031B3">
      <w:pPr>
        <w:pStyle w:val="Body"/>
        <w:spacing w:after="0"/>
        <w:rPr>
          <w:rFonts w:ascii="Arial" w:hAnsi="Arial"/>
        </w:rPr>
      </w:pPr>
    </w:p>
    <w:p w14:paraId="0AC9F568" w14:textId="77777777" w:rsidR="00E031B3" w:rsidRDefault="00A03E87">
      <w:pPr>
        <w:pStyle w:val="Body"/>
        <w:spacing w:after="0"/>
        <w:rPr>
          <w:rFonts w:ascii="Arial" w:hAnsi="Arial"/>
        </w:rPr>
      </w:pPr>
      <w:r>
        <w:rPr>
          <w:rFonts w:ascii="Arial" w:hAnsi="Arial"/>
        </w:rPr>
        <w:t xml:space="preserve">A private recycler explained that </w:t>
      </w:r>
    </w:p>
    <w:p w14:paraId="00D85726" w14:textId="77777777" w:rsidR="00E031B3" w:rsidRDefault="00A03E87">
      <w:pPr>
        <w:pStyle w:val="Body"/>
        <w:spacing w:after="0"/>
        <w:ind w:left="720"/>
        <w:rPr>
          <w:rFonts w:ascii="Arial" w:hAnsi="Arial"/>
        </w:rPr>
      </w:pPr>
      <w:r>
        <w:rPr>
          <w:rFonts w:ascii="Arial" w:hAnsi="Arial"/>
          <w:i/>
          <w:iCs/>
        </w:rPr>
        <w:t>“organic waste is often left to rot or mixed with other waste, reducing opportunities for resource recovery”.</w:t>
      </w:r>
      <w:r>
        <w:rPr>
          <w:rFonts w:ascii="Arial" w:hAnsi="Arial"/>
        </w:rPr>
        <w:t xml:space="preserve"> </w:t>
      </w:r>
    </w:p>
    <w:p w14:paraId="06940168" w14:textId="77777777" w:rsidR="00E031B3" w:rsidRDefault="00E031B3">
      <w:pPr>
        <w:pStyle w:val="Body"/>
        <w:spacing w:after="0"/>
        <w:rPr>
          <w:rFonts w:ascii="Arial" w:hAnsi="Arial"/>
        </w:rPr>
      </w:pPr>
    </w:p>
    <w:p w14:paraId="7706B9E3" w14:textId="77777777" w:rsidR="00E031B3" w:rsidRDefault="00A03E87">
      <w:pPr>
        <w:pStyle w:val="Body"/>
        <w:spacing w:after="0"/>
        <w:rPr>
          <w:rFonts w:ascii="Arial" w:hAnsi="Arial"/>
        </w:rPr>
      </w:pPr>
      <w:r>
        <w:rPr>
          <w:rFonts w:ascii="Arial" w:hAnsi="Arial"/>
        </w:rPr>
        <w:t xml:space="preserve">Additionally, the main disposal site in Garissa is open and </w:t>
      </w:r>
      <w:proofErr w:type="spellStart"/>
      <w:r>
        <w:rPr>
          <w:rFonts w:ascii="Arial" w:hAnsi="Arial"/>
        </w:rPr>
        <w:t>unengineered</w:t>
      </w:r>
      <w:proofErr w:type="spellEnd"/>
      <w:r>
        <w:rPr>
          <w:rFonts w:ascii="Arial" w:hAnsi="Arial"/>
        </w:rPr>
        <w:t>, posing environmental and health concerns.</w:t>
      </w:r>
    </w:p>
    <w:p w14:paraId="58162D43" w14:textId="77777777" w:rsidR="00E031B3" w:rsidRDefault="00E031B3">
      <w:pPr>
        <w:pStyle w:val="Body"/>
        <w:spacing w:after="0"/>
        <w:rPr>
          <w:rFonts w:ascii="Arial" w:hAnsi="Arial"/>
        </w:rPr>
      </w:pPr>
    </w:p>
    <w:p w14:paraId="65D33E3A" w14:textId="77777777" w:rsidR="00E031B3" w:rsidRDefault="00A03E87">
      <w:pPr>
        <w:pStyle w:val="Body"/>
        <w:spacing w:after="0"/>
        <w:rPr>
          <w:rFonts w:ascii="Arial" w:hAnsi="Arial"/>
        </w:rPr>
      </w:pPr>
      <w:r>
        <w:rPr>
          <w:rFonts w:ascii="Arial" w:hAnsi="Arial"/>
        </w:rPr>
        <w:t>Stakeholders highlighted that limited funding, poor maintenance, and weak coordination between the county government and private operators are major barriers to improving infrastructure. Interviews revealed that inconsistent collection schedules, logistical challenges, and limited technical support further constrain the implementation of circular economy initiatives. These observations are consistent with the recommendations of the National Solid Waste Management Strategy which emphasizes the need for integrated waste infrastructure, investment in recycling and composting facilities, and strengthened public–private partnerships (NEMA, 2023).</w:t>
      </w:r>
    </w:p>
    <w:p w14:paraId="74071D92" w14:textId="77777777" w:rsidR="00E031B3" w:rsidRDefault="00E031B3">
      <w:pPr>
        <w:pStyle w:val="Body"/>
        <w:spacing w:after="0"/>
        <w:rPr>
          <w:rFonts w:ascii="Arial" w:hAnsi="Arial"/>
        </w:rPr>
      </w:pPr>
    </w:p>
    <w:p w14:paraId="50065676" w14:textId="77777777" w:rsidR="00E031B3" w:rsidRDefault="00A03E87">
      <w:pPr>
        <w:pStyle w:val="Body"/>
        <w:spacing w:after="0"/>
        <w:jc w:val="center"/>
        <w:rPr>
          <w:rFonts w:ascii="Arial" w:hAnsi="Arial"/>
          <w:b/>
          <w:bCs/>
        </w:rPr>
      </w:pPr>
      <w:r>
        <w:rPr>
          <w:rFonts w:ascii="Arial" w:hAnsi="Arial"/>
          <w:b/>
          <w:bCs/>
        </w:rPr>
        <w:t xml:space="preserve">Table 2 Adequacy of Waste Management Infrastructure in Garissa Township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4"/>
        <w:gridCol w:w="3162"/>
        <w:gridCol w:w="2072"/>
      </w:tblGrid>
      <w:tr w:rsidR="00E031B3" w14:paraId="6E7E341A" w14:textId="77777777">
        <w:trPr>
          <w:tblHeader/>
          <w:tblCellSpacing w:w="15" w:type="dxa"/>
        </w:trPr>
        <w:tc>
          <w:tcPr>
            <w:tcW w:w="0" w:type="auto"/>
            <w:vAlign w:val="center"/>
          </w:tcPr>
          <w:p w14:paraId="1E2FC06A" w14:textId="77777777" w:rsidR="00E031B3" w:rsidRDefault="00A03E87">
            <w:pPr>
              <w:jc w:val="center"/>
              <w:rPr>
                <w:rFonts w:ascii="Arial" w:hAnsi="Arial" w:cs="Arial"/>
                <w:b/>
                <w:bCs/>
              </w:rPr>
            </w:pPr>
            <w:r>
              <w:rPr>
                <w:rStyle w:val="Strong"/>
                <w:rFonts w:ascii="Arial" w:eastAsia="SimSun" w:hAnsi="Arial" w:cs="Arial"/>
                <w:lang w:eastAsia="zh-CN" w:bidi="ar"/>
              </w:rPr>
              <w:t>Infrastructure Component</w:t>
            </w:r>
          </w:p>
        </w:tc>
        <w:tc>
          <w:tcPr>
            <w:tcW w:w="0" w:type="auto"/>
            <w:vAlign w:val="center"/>
          </w:tcPr>
          <w:p w14:paraId="28F56A4A" w14:textId="77777777" w:rsidR="00E031B3" w:rsidRDefault="00A03E87">
            <w:pPr>
              <w:jc w:val="center"/>
              <w:rPr>
                <w:rFonts w:ascii="Arial" w:hAnsi="Arial" w:cs="Arial"/>
                <w:b/>
                <w:bCs/>
              </w:rPr>
            </w:pPr>
            <w:r>
              <w:rPr>
                <w:rStyle w:val="Strong"/>
                <w:rFonts w:ascii="Arial" w:eastAsia="SimSun" w:hAnsi="Arial" w:cs="Arial"/>
                <w:lang w:eastAsia="zh-CN" w:bidi="ar"/>
              </w:rPr>
              <w:t>Status / Description</w:t>
            </w:r>
          </w:p>
        </w:tc>
        <w:tc>
          <w:tcPr>
            <w:tcW w:w="0" w:type="auto"/>
            <w:vAlign w:val="center"/>
          </w:tcPr>
          <w:p w14:paraId="69FB732B" w14:textId="77777777" w:rsidR="00E031B3" w:rsidRDefault="00A03E87">
            <w:pPr>
              <w:jc w:val="center"/>
              <w:rPr>
                <w:rFonts w:ascii="Arial" w:hAnsi="Arial" w:cs="Arial"/>
                <w:b/>
                <w:bCs/>
              </w:rPr>
            </w:pPr>
            <w:r>
              <w:rPr>
                <w:rStyle w:val="Strong"/>
                <w:rFonts w:ascii="Arial" w:eastAsia="SimSun" w:hAnsi="Arial" w:cs="Arial"/>
                <w:lang w:eastAsia="zh-CN" w:bidi="ar"/>
              </w:rPr>
              <w:t>Coverage / Availability</w:t>
            </w:r>
          </w:p>
        </w:tc>
      </w:tr>
      <w:tr w:rsidR="00E031B3" w14:paraId="36D1E17A" w14:textId="77777777">
        <w:trPr>
          <w:tblCellSpacing w:w="15" w:type="dxa"/>
        </w:trPr>
        <w:tc>
          <w:tcPr>
            <w:tcW w:w="0" w:type="auto"/>
            <w:vAlign w:val="center"/>
          </w:tcPr>
          <w:p w14:paraId="7AA1B078" w14:textId="77777777" w:rsidR="00E031B3" w:rsidRDefault="00A03E87">
            <w:pPr>
              <w:rPr>
                <w:rFonts w:ascii="Arial" w:hAnsi="Arial" w:cs="Arial"/>
              </w:rPr>
            </w:pPr>
            <w:r>
              <w:rPr>
                <w:rFonts w:ascii="Arial" w:eastAsia="SimSun" w:hAnsi="Arial" w:cs="Arial"/>
                <w:lang w:eastAsia="zh-CN" w:bidi="ar"/>
              </w:rPr>
              <w:t>Waste collection systems</w:t>
            </w:r>
          </w:p>
        </w:tc>
        <w:tc>
          <w:tcPr>
            <w:tcW w:w="0" w:type="auto"/>
            <w:vAlign w:val="center"/>
          </w:tcPr>
          <w:p w14:paraId="27FBE282" w14:textId="77777777" w:rsidR="00E031B3" w:rsidRDefault="00A03E87">
            <w:pPr>
              <w:rPr>
                <w:rFonts w:ascii="Arial" w:hAnsi="Arial" w:cs="Arial"/>
              </w:rPr>
            </w:pPr>
            <w:r>
              <w:rPr>
                <w:rFonts w:ascii="Arial" w:eastAsia="SimSun" w:hAnsi="Arial" w:cs="Arial"/>
                <w:lang w:eastAsia="zh-CN" w:bidi="ar"/>
              </w:rPr>
              <w:t>Formal municipal collection</w:t>
            </w:r>
          </w:p>
        </w:tc>
        <w:tc>
          <w:tcPr>
            <w:tcW w:w="0" w:type="auto"/>
            <w:vAlign w:val="center"/>
          </w:tcPr>
          <w:p w14:paraId="052D52E5" w14:textId="77777777" w:rsidR="00E031B3" w:rsidRDefault="00A03E87">
            <w:pPr>
              <w:rPr>
                <w:rFonts w:ascii="Arial" w:hAnsi="Arial" w:cs="Arial"/>
              </w:rPr>
            </w:pPr>
            <w:r>
              <w:rPr>
                <w:rFonts w:ascii="Arial" w:eastAsia="SimSun" w:hAnsi="Arial" w:cs="Arial"/>
                <w:lang w:eastAsia="zh-CN" w:bidi="ar"/>
              </w:rPr>
              <w:t>62% of households</w:t>
            </w:r>
          </w:p>
        </w:tc>
      </w:tr>
      <w:tr w:rsidR="00E031B3" w14:paraId="7E57FEFE" w14:textId="77777777">
        <w:trPr>
          <w:tblCellSpacing w:w="15" w:type="dxa"/>
        </w:trPr>
        <w:tc>
          <w:tcPr>
            <w:tcW w:w="0" w:type="auto"/>
            <w:vAlign w:val="center"/>
          </w:tcPr>
          <w:p w14:paraId="2CC3C755" w14:textId="77777777" w:rsidR="00E031B3" w:rsidRDefault="00A03E87">
            <w:pPr>
              <w:rPr>
                <w:rFonts w:ascii="Arial" w:hAnsi="Arial" w:cs="Arial"/>
              </w:rPr>
            </w:pPr>
            <w:r>
              <w:rPr>
                <w:rFonts w:ascii="Arial" w:eastAsia="SimSun" w:hAnsi="Arial" w:cs="Arial"/>
                <w:lang w:eastAsia="zh-CN" w:bidi="ar"/>
              </w:rPr>
              <w:t>Sorting and recycling facilities</w:t>
            </w:r>
          </w:p>
        </w:tc>
        <w:tc>
          <w:tcPr>
            <w:tcW w:w="0" w:type="auto"/>
            <w:vAlign w:val="center"/>
          </w:tcPr>
          <w:p w14:paraId="6DC2E2B1" w14:textId="77777777" w:rsidR="00E031B3" w:rsidRDefault="00A03E87">
            <w:pPr>
              <w:rPr>
                <w:rFonts w:ascii="Arial" w:hAnsi="Arial" w:cs="Arial"/>
              </w:rPr>
            </w:pPr>
            <w:r>
              <w:rPr>
                <w:rFonts w:ascii="Arial" w:eastAsia="SimSun" w:hAnsi="Arial" w:cs="Arial"/>
                <w:lang w:eastAsia="zh-CN" w:bidi="ar"/>
              </w:rPr>
              <w:t>Operational recycling centers (private)</w:t>
            </w:r>
          </w:p>
        </w:tc>
        <w:tc>
          <w:tcPr>
            <w:tcW w:w="0" w:type="auto"/>
            <w:vAlign w:val="center"/>
          </w:tcPr>
          <w:p w14:paraId="687F7FD5" w14:textId="77777777" w:rsidR="00E031B3" w:rsidRDefault="00A03E87">
            <w:pPr>
              <w:rPr>
                <w:rFonts w:ascii="Arial" w:hAnsi="Arial" w:cs="Arial"/>
              </w:rPr>
            </w:pPr>
            <w:r>
              <w:rPr>
                <w:rFonts w:ascii="Arial" w:eastAsia="SimSun" w:hAnsi="Arial" w:cs="Arial"/>
                <w:lang w:eastAsia="zh-CN" w:bidi="ar"/>
              </w:rPr>
              <w:t>2 centers</w:t>
            </w:r>
          </w:p>
        </w:tc>
      </w:tr>
      <w:tr w:rsidR="00E031B3" w14:paraId="4314005F" w14:textId="77777777">
        <w:trPr>
          <w:tblCellSpacing w:w="15" w:type="dxa"/>
        </w:trPr>
        <w:tc>
          <w:tcPr>
            <w:tcW w:w="0" w:type="auto"/>
            <w:vAlign w:val="center"/>
          </w:tcPr>
          <w:p w14:paraId="10DE56B4" w14:textId="77777777" w:rsidR="00E031B3" w:rsidRDefault="00A03E87">
            <w:pPr>
              <w:rPr>
                <w:rFonts w:ascii="Arial" w:hAnsi="Arial" w:cs="Arial"/>
              </w:rPr>
            </w:pPr>
            <w:r>
              <w:rPr>
                <w:rFonts w:ascii="Arial" w:eastAsia="SimSun" w:hAnsi="Arial" w:cs="Arial"/>
                <w:lang w:eastAsia="zh-CN" w:bidi="ar"/>
              </w:rPr>
              <w:t>Composting / organic waste facilities</w:t>
            </w:r>
          </w:p>
        </w:tc>
        <w:tc>
          <w:tcPr>
            <w:tcW w:w="0" w:type="auto"/>
            <w:vAlign w:val="center"/>
          </w:tcPr>
          <w:p w14:paraId="3CB0F7C1" w14:textId="77777777" w:rsidR="00E031B3" w:rsidRDefault="00A03E87">
            <w:pPr>
              <w:rPr>
                <w:rFonts w:ascii="Arial" w:hAnsi="Arial" w:cs="Arial"/>
              </w:rPr>
            </w:pPr>
            <w:r>
              <w:rPr>
                <w:rFonts w:ascii="Arial" w:eastAsia="SimSun" w:hAnsi="Arial" w:cs="Arial"/>
                <w:lang w:eastAsia="zh-CN" w:bidi="ar"/>
              </w:rPr>
              <w:t>Small-scale community initiatives</w:t>
            </w:r>
          </w:p>
        </w:tc>
        <w:tc>
          <w:tcPr>
            <w:tcW w:w="0" w:type="auto"/>
            <w:vAlign w:val="center"/>
          </w:tcPr>
          <w:p w14:paraId="6C1D8213" w14:textId="77777777" w:rsidR="00E031B3" w:rsidRDefault="00A03E87">
            <w:pPr>
              <w:rPr>
                <w:rFonts w:ascii="Arial" w:hAnsi="Arial" w:cs="Arial"/>
              </w:rPr>
            </w:pPr>
            <w:r>
              <w:rPr>
                <w:rFonts w:ascii="Arial" w:eastAsia="SimSun" w:hAnsi="Arial" w:cs="Arial"/>
                <w:lang w:eastAsia="zh-CN" w:bidi="ar"/>
              </w:rPr>
              <w:t>Limited</w:t>
            </w:r>
          </w:p>
        </w:tc>
      </w:tr>
      <w:tr w:rsidR="00E031B3" w14:paraId="7A81C2B1" w14:textId="77777777">
        <w:trPr>
          <w:tblCellSpacing w:w="15" w:type="dxa"/>
        </w:trPr>
        <w:tc>
          <w:tcPr>
            <w:tcW w:w="0" w:type="auto"/>
            <w:vAlign w:val="center"/>
          </w:tcPr>
          <w:p w14:paraId="715F24E2" w14:textId="77777777" w:rsidR="00E031B3" w:rsidRDefault="00A03E87">
            <w:pPr>
              <w:rPr>
                <w:rFonts w:ascii="Arial" w:hAnsi="Arial" w:cs="Arial"/>
              </w:rPr>
            </w:pPr>
            <w:r>
              <w:rPr>
                <w:rFonts w:ascii="Arial" w:eastAsia="SimSun" w:hAnsi="Arial" w:cs="Arial"/>
                <w:lang w:eastAsia="zh-CN" w:bidi="ar"/>
              </w:rPr>
              <w:t>Final disposal sites</w:t>
            </w:r>
          </w:p>
        </w:tc>
        <w:tc>
          <w:tcPr>
            <w:tcW w:w="0" w:type="auto"/>
            <w:vAlign w:val="center"/>
          </w:tcPr>
          <w:p w14:paraId="6A16F347" w14:textId="77777777" w:rsidR="00E031B3" w:rsidRDefault="00A03E87">
            <w:pPr>
              <w:rPr>
                <w:rFonts w:ascii="Arial" w:hAnsi="Arial" w:cs="Arial"/>
              </w:rPr>
            </w:pPr>
            <w:r>
              <w:rPr>
                <w:rFonts w:ascii="Arial" w:eastAsia="SimSun" w:hAnsi="Arial" w:cs="Arial"/>
                <w:lang w:eastAsia="zh-CN" w:bidi="ar"/>
              </w:rPr>
              <w:t xml:space="preserve">Main dumpsite, Garissa  </w:t>
            </w:r>
          </w:p>
        </w:tc>
        <w:tc>
          <w:tcPr>
            <w:tcW w:w="0" w:type="auto"/>
            <w:vAlign w:val="center"/>
          </w:tcPr>
          <w:p w14:paraId="0D7FCA54" w14:textId="77777777" w:rsidR="00E031B3" w:rsidRDefault="00A03E87">
            <w:pPr>
              <w:rPr>
                <w:rFonts w:ascii="Arial" w:hAnsi="Arial" w:cs="Arial"/>
              </w:rPr>
            </w:pPr>
            <w:r>
              <w:rPr>
                <w:rFonts w:ascii="Arial" w:eastAsia="SimSun" w:hAnsi="Arial" w:cs="Arial"/>
                <w:lang w:eastAsia="zh-CN" w:bidi="ar"/>
              </w:rPr>
              <w:t>1 site</w:t>
            </w:r>
          </w:p>
        </w:tc>
      </w:tr>
      <w:tr w:rsidR="00E031B3" w14:paraId="65CA3DC2" w14:textId="77777777">
        <w:trPr>
          <w:tblCellSpacing w:w="15" w:type="dxa"/>
        </w:trPr>
        <w:tc>
          <w:tcPr>
            <w:tcW w:w="0" w:type="auto"/>
            <w:vAlign w:val="center"/>
          </w:tcPr>
          <w:p w14:paraId="5F16F9C2" w14:textId="77777777" w:rsidR="00E031B3" w:rsidRDefault="00A03E87">
            <w:pPr>
              <w:rPr>
                <w:rFonts w:ascii="Arial" w:hAnsi="Arial" w:cs="Arial"/>
              </w:rPr>
            </w:pPr>
            <w:r>
              <w:rPr>
                <w:rFonts w:ascii="Arial" w:eastAsia="SimSun" w:hAnsi="Arial" w:cs="Arial"/>
                <w:lang w:eastAsia="zh-CN" w:bidi="ar"/>
              </w:rPr>
              <w:t>Stakeholder capacity</w:t>
            </w:r>
          </w:p>
        </w:tc>
        <w:tc>
          <w:tcPr>
            <w:tcW w:w="0" w:type="auto"/>
            <w:vAlign w:val="center"/>
          </w:tcPr>
          <w:p w14:paraId="0F787241" w14:textId="77777777" w:rsidR="00E031B3" w:rsidRDefault="00A03E87">
            <w:pPr>
              <w:rPr>
                <w:rFonts w:ascii="Arial" w:hAnsi="Arial" w:cs="Arial"/>
              </w:rPr>
            </w:pPr>
            <w:r>
              <w:rPr>
                <w:rFonts w:ascii="Arial" w:eastAsia="SimSun" w:hAnsi="Arial" w:cs="Arial"/>
                <w:lang w:eastAsia="zh-CN" w:bidi="ar"/>
              </w:rPr>
              <w:t>Funding, maintenance, coordination</w:t>
            </w:r>
          </w:p>
        </w:tc>
        <w:tc>
          <w:tcPr>
            <w:tcW w:w="0" w:type="auto"/>
            <w:vAlign w:val="center"/>
          </w:tcPr>
          <w:p w14:paraId="1AC3D4DF" w14:textId="77777777" w:rsidR="00E031B3" w:rsidRDefault="00A03E87">
            <w:pPr>
              <w:rPr>
                <w:rFonts w:ascii="Arial" w:hAnsi="Arial" w:cs="Arial"/>
              </w:rPr>
            </w:pPr>
            <w:r>
              <w:rPr>
                <w:rFonts w:ascii="Arial" w:eastAsia="SimSun" w:hAnsi="Arial" w:cs="Arial"/>
                <w:lang w:eastAsia="zh-CN" w:bidi="ar"/>
              </w:rPr>
              <w:t>Inadequate</w:t>
            </w:r>
          </w:p>
        </w:tc>
      </w:tr>
    </w:tbl>
    <w:p w14:paraId="1AB03803" w14:textId="77777777" w:rsidR="00E031B3" w:rsidRDefault="00E031B3">
      <w:pPr>
        <w:pStyle w:val="Body"/>
        <w:spacing w:after="0"/>
        <w:rPr>
          <w:rFonts w:ascii="Arial" w:hAnsi="Arial"/>
        </w:rPr>
      </w:pPr>
    </w:p>
    <w:p w14:paraId="75617A38" w14:textId="77777777" w:rsidR="00E031B3" w:rsidRDefault="00A03E87">
      <w:pPr>
        <w:pStyle w:val="Body"/>
        <w:spacing w:after="0"/>
        <w:rPr>
          <w:rFonts w:ascii="Arial" w:hAnsi="Arial"/>
          <w:b/>
          <w:bCs/>
        </w:rPr>
      </w:pPr>
      <w:r>
        <w:rPr>
          <w:rFonts w:ascii="Arial" w:hAnsi="Arial"/>
          <w:b/>
          <w:bCs/>
        </w:rPr>
        <w:t>2.3 Relationship Between Technological Adoption and Efficiency of Circular Economy Initiatives</w:t>
      </w:r>
    </w:p>
    <w:p w14:paraId="379A99D9" w14:textId="77777777" w:rsidR="00E031B3" w:rsidRDefault="00E031B3">
      <w:pPr>
        <w:pStyle w:val="Body"/>
        <w:spacing w:after="0"/>
        <w:rPr>
          <w:rFonts w:ascii="Arial" w:hAnsi="Arial"/>
        </w:rPr>
      </w:pPr>
    </w:p>
    <w:p w14:paraId="410CFC10" w14:textId="77777777" w:rsidR="00E031B3" w:rsidRDefault="00A03E87">
      <w:pPr>
        <w:pStyle w:val="Body"/>
        <w:spacing w:after="0"/>
        <w:rPr>
          <w:rFonts w:ascii="Arial" w:hAnsi="Arial"/>
        </w:rPr>
      </w:pPr>
      <w:r>
        <w:rPr>
          <w:rFonts w:ascii="Arial" w:hAnsi="Arial"/>
        </w:rPr>
        <w:t>The analysis (Table 3) demonstrates a clear positive relationship between technological adoption and the efficiency of circular economy initiatives in Garissa Township. Descriptive statistics indicate that technological adoption is moderate (M = 3.42, SD = 0.78), while recycling rates (M = 31.5%, SD = 9.6%), waste reduction per capita (M = 22.7%, SD = 8.3%), and resource recovery levels (M = 28.4%, SD = 7.9%) vary across neighborhoods. Inferential analysis shows significant positive correlations between technology adoption and these efficiency indicators (r = 0.65–0.68, p &lt; 0.05), confirming that higher technological uptake is associated with improved recycling and material recovery.</w:t>
      </w:r>
    </w:p>
    <w:p w14:paraId="2A2ED0AC" w14:textId="77777777" w:rsidR="00E031B3" w:rsidRDefault="00E031B3">
      <w:pPr>
        <w:pStyle w:val="Body"/>
        <w:spacing w:after="0"/>
        <w:rPr>
          <w:rFonts w:ascii="Arial" w:hAnsi="Arial"/>
        </w:rPr>
      </w:pPr>
    </w:p>
    <w:p w14:paraId="61082EAC" w14:textId="77777777" w:rsidR="00E031B3" w:rsidRDefault="00A03E87">
      <w:pPr>
        <w:pStyle w:val="Body"/>
        <w:spacing w:after="0"/>
        <w:rPr>
          <w:rFonts w:ascii="Arial" w:hAnsi="Arial"/>
        </w:rPr>
      </w:pPr>
      <w:r>
        <w:rPr>
          <w:rFonts w:ascii="Arial" w:hAnsi="Arial"/>
        </w:rPr>
        <w:t xml:space="preserve">Qualitative interviews reinforced these results. A municipal waste officer noted, </w:t>
      </w:r>
    </w:p>
    <w:p w14:paraId="11F374AC" w14:textId="77777777" w:rsidR="00E031B3" w:rsidRDefault="00A03E87">
      <w:pPr>
        <w:pStyle w:val="Body"/>
        <w:spacing w:after="0"/>
        <w:ind w:left="720"/>
        <w:rPr>
          <w:rFonts w:ascii="Arial" w:hAnsi="Arial"/>
          <w:i/>
          <w:iCs/>
        </w:rPr>
      </w:pPr>
      <w:r>
        <w:rPr>
          <w:rFonts w:ascii="Arial" w:hAnsi="Arial"/>
          <w:i/>
          <w:iCs/>
        </w:rPr>
        <w:t xml:space="preserve">“Areas with GPS tracking and sorting equipment show more consistent collection and higher recycling, while manual collection zones struggle to recover materials efficiently”. </w:t>
      </w:r>
    </w:p>
    <w:p w14:paraId="43CFAB73" w14:textId="77777777" w:rsidR="00E031B3" w:rsidRDefault="00E031B3">
      <w:pPr>
        <w:pStyle w:val="Body"/>
        <w:spacing w:after="0"/>
        <w:rPr>
          <w:rFonts w:ascii="Arial" w:hAnsi="Arial"/>
        </w:rPr>
      </w:pPr>
    </w:p>
    <w:p w14:paraId="10F120C3" w14:textId="77777777" w:rsidR="00E031B3" w:rsidRDefault="00A03E87">
      <w:pPr>
        <w:pStyle w:val="Body"/>
        <w:spacing w:after="0"/>
        <w:rPr>
          <w:rFonts w:ascii="Arial" w:hAnsi="Arial"/>
        </w:rPr>
      </w:pPr>
      <w:r>
        <w:rPr>
          <w:rFonts w:ascii="Arial" w:hAnsi="Arial"/>
        </w:rPr>
        <w:t>Similarly, informal waste pickers reported that mobile mapping apps and digital buy-back schemes increased their ability to collect and sell recyclables, thereby improving livelihoods.</w:t>
      </w:r>
    </w:p>
    <w:p w14:paraId="0D82A558" w14:textId="77777777" w:rsidR="00E031B3" w:rsidRDefault="00E031B3">
      <w:pPr>
        <w:pStyle w:val="Body"/>
        <w:spacing w:after="0"/>
        <w:rPr>
          <w:rFonts w:ascii="Arial" w:hAnsi="Arial"/>
        </w:rPr>
      </w:pPr>
    </w:p>
    <w:p w14:paraId="680DE5E7" w14:textId="77777777" w:rsidR="00E031B3" w:rsidRDefault="00A03E87">
      <w:pPr>
        <w:pStyle w:val="Body"/>
        <w:spacing w:after="0"/>
        <w:rPr>
          <w:rFonts w:ascii="Arial" w:hAnsi="Arial"/>
        </w:rPr>
      </w:pPr>
      <w:r>
        <w:rPr>
          <w:rFonts w:ascii="Arial" w:hAnsi="Arial"/>
        </w:rPr>
        <w:t>The data (Table 3) suggest that technological adoption significantly enhances circular economy performance in Garissa Township. This aligns with previous research emphasizing technology as a critical enabler of circular systems in developing contexts (Awino &amp; Apitz 2024; Maina, 2022). However, the findings indicate that technology alone is insufficient. The efficiency of circular economy initiatives is closely linked to infrastructure adequacy; regions with limited facilities showed lower gains despite technological adoption.</w:t>
      </w:r>
    </w:p>
    <w:p w14:paraId="7839ACF3" w14:textId="77777777" w:rsidR="00E031B3" w:rsidRDefault="00E031B3">
      <w:pPr>
        <w:pStyle w:val="Body"/>
        <w:spacing w:after="0"/>
        <w:rPr>
          <w:rFonts w:ascii="Arial" w:hAnsi="Arial"/>
        </w:rPr>
      </w:pPr>
    </w:p>
    <w:p w14:paraId="57ACE4E8" w14:textId="77777777" w:rsidR="00E031B3" w:rsidRDefault="00A03E87">
      <w:pPr>
        <w:pStyle w:val="Body"/>
        <w:spacing w:after="0"/>
        <w:jc w:val="center"/>
        <w:rPr>
          <w:rFonts w:ascii="Arial" w:hAnsi="Arial"/>
          <w:b/>
          <w:bCs/>
        </w:rPr>
      </w:pPr>
      <w:r>
        <w:rPr>
          <w:rFonts w:ascii="Arial" w:hAnsi="Arial"/>
          <w:b/>
          <w:bCs/>
        </w:rPr>
        <w:t>Table 3 Descriptive and Inferential Analysis of Technological Adoption and Circular Economy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4"/>
        <w:gridCol w:w="894"/>
        <w:gridCol w:w="2222"/>
        <w:gridCol w:w="1369"/>
        <w:gridCol w:w="759"/>
      </w:tblGrid>
      <w:tr w:rsidR="00E031B3" w14:paraId="70F93CD3" w14:textId="77777777">
        <w:trPr>
          <w:tblHeader/>
          <w:tblCellSpacing w:w="15" w:type="dxa"/>
        </w:trPr>
        <w:tc>
          <w:tcPr>
            <w:tcW w:w="0" w:type="auto"/>
            <w:vAlign w:val="center"/>
          </w:tcPr>
          <w:p w14:paraId="1ED67139" w14:textId="77777777" w:rsidR="00E031B3" w:rsidRDefault="00A03E87">
            <w:pPr>
              <w:jc w:val="center"/>
              <w:rPr>
                <w:rFonts w:ascii="Arial" w:hAnsi="Arial" w:cs="Arial"/>
                <w:b/>
                <w:bCs/>
              </w:rPr>
            </w:pPr>
            <w:r>
              <w:rPr>
                <w:rStyle w:val="Strong"/>
                <w:rFonts w:ascii="Arial" w:eastAsia="SimSun" w:hAnsi="Arial" w:cs="Arial"/>
                <w:lang w:eastAsia="zh-CN" w:bidi="ar"/>
              </w:rPr>
              <w:t>Variable</w:t>
            </w:r>
          </w:p>
        </w:tc>
        <w:tc>
          <w:tcPr>
            <w:tcW w:w="0" w:type="auto"/>
            <w:vAlign w:val="center"/>
          </w:tcPr>
          <w:p w14:paraId="23C2627D" w14:textId="77777777" w:rsidR="00E031B3" w:rsidRDefault="00A03E87">
            <w:pPr>
              <w:jc w:val="center"/>
              <w:rPr>
                <w:rFonts w:ascii="Arial" w:hAnsi="Arial" w:cs="Arial"/>
                <w:b/>
                <w:bCs/>
              </w:rPr>
            </w:pPr>
            <w:r>
              <w:rPr>
                <w:rStyle w:val="Strong"/>
                <w:rFonts w:ascii="Arial" w:eastAsia="SimSun" w:hAnsi="Arial" w:cs="Arial"/>
                <w:lang w:eastAsia="zh-CN" w:bidi="ar"/>
              </w:rPr>
              <w:t>Mean (M)</w:t>
            </w:r>
          </w:p>
        </w:tc>
        <w:tc>
          <w:tcPr>
            <w:tcW w:w="0" w:type="auto"/>
            <w:vAlign w:val="center"/>
          </w:tcPr>
          <w:p w14:paraId="73491386" w14:textId="77777777" w:rsidR="00E031B3" w:rsidRDefault="00A03E87">
            <w:pPr>
              <w:jc w:val="center"/>
              <w:rPr>
                <w:rFonts w:ascii="Arial" w:hAnsi="Arial" w:cs="Arial"/>
                <w:b/>
                <w:bCs/>
              </w:rPr>
            </w:pPr>
            <w:r>
              <w:rPr>
                <w:rStyle w:val="Strong"/>
                <w:rFonts w:ascii="Arial" w:eastAsia="SimSun" w:hAnsi="Arial" w:cs="Arial"/>
                <w:lang w:eastAsia="zh-CN" w:bidi="ar"/>
              </w:rPr>
              <w:t>Standard Deviation (SD)</w:t>
            </w:r>
          </w:p>
        </w:tc>
        <w:tc>
          <w:tcPr>
            <w:tcW w:w="0" w:type="auto"/>
            <w:vAlign w:val="center"/>
          </w:tcPr>
          <w:p w14:paraId="557EEBC5" w14:textId="77777777" w:rsidR="00E031B3" w:rsidRDefault="00A03E87">
            <w:pPr>
              <w:jc w:val="center"/>
              <w:rPr>
                <w:rFonts w:ascii="Arial" w:hAnsi="Arial" w:cs="Arial"/>
                <w:b/>
                <w:bCs/>
              </w:rPr>
            </w:pPr>
            <w:r>
              <w:rPr>
                <w:rStyle w:val="Strong"/>
                <w:rFonts w:ascii="Arial" w:eastAsia="SimSun" w:hAnsi="Arial" w:cs="Arial"/>
                <w:lang w:eastAsia="zh-CN" w:bidi="ar"/>
              </w:rPr>
              <w:t>Correlation (r)</w:t>
            </w:r>
          </w:p>
        </w:tc>
        <w:tc>
          <w:tcPr>
            <w:tcW w:w="0" w:type="auto"/>
            <w:vAlign w:val="center"/>
          </w:tcPr>
          <w:p w14:paraId="0127DA95" w14:textId="77777777" w:rsidR="00E031B3" w:rsidRDefault="00A03E87">
            <w:pPr>
              <w:jc w:val="center"/>
              <w:rPr>
                <w:rFonts w:ascii="Arial" w:hAnsi="Arial" w:cs="Arial"/>
                <w:b/>
                <w:bCs/>
              </w:rPr>
            </w:pPr>
            <w:r>
              <w:rPr>
                <w:rStyle w:val="Strong"/>
                <w:rFonts w:ascii="Arial" w:eastAsia="SimSun" w:hAnsi="Arial" w:cs="Arial"/>
                <w:lang w:eastAsia="zh-CN" w:bidi="ar"/>
              </w:rPr>
              <w:t>p-value</w:t>
            </w:r>
          </w:p>
        </w:tc>
      </w:tr>
      <w:tr w:rsidR="00E031B3" w14:paraId="545D4538" w14:textId="77777777">
        <w:trPr>
          <w:tblCellSpacing w:w="15" w:type="dxa"/>
        </w:trPr>
        <w:tc>
          <w:tcPr>
            <w:tcW w:w="0" w:type="auto"/>
            <w:vAlign w:val="center"/>
          </w:tcPr>
          <w:p w14:paraId="249F5B6C" w14:textId="77777777" w:rsidR="00E031B3" w:rsidRDefault="00A03E87">
            <w:pPr>
              <w:rPr>
                <w:rFonts w:ascii="Arial" w:hAnsi="Arial" w:cs="Arial"/>
              </w:rPr>
            </w:pPr>
            <w:commentRangeStart w:id="21"/>
            <w:r>
              <w:rPr>
                <w:rFonts w:ascii="Arial" w:eastAsia="SimSun" w:hAnsi="Arial" w:cs="Arial"/>
                <w:lang w:eastAsia="zh-CN" w:bidi="ar"/>
              </w:rPr>
              <w:t>Technological Adoption Score</w:t>
            </w:r>
            <w:commentRangeEnd w:id="21"/>
            <w:r w:rsidR="00010804">
              <w:rPr>
                <w:rStyle w:val="CommentReference"/>
                <w:rFonts w:ascii="Times New Roman" w:hAnsi="Times New Roman"/>
                <w:lang w:val="nb-NO" w:eastAsia="nb-NO"/>
              </w:rPr>
              <w:commentReference w:id="21"/>
            </w:r>
          </w:p>
        </w:tc>
        <w:tc>
          <w:tcPr>
            <w:tcW w:w="0" w:type="auto"/>
            <w:vAlign w:val="center"/>
          </w:tcPr>
          <w:p w14:paraId="10830B7D" w14:textId="77777777" w:rsidR="00E031B3" w:rsidRDefault="00A03E87">
            <w:pPr>
              <w:rPr>
                <w:rFonts w:ascii="Arial" w:hAnsi="Arial" w:cs="Arial"/>
              </w:rPr>
            </w:pPr>
            <w:r>
              <w:rPr>
                <w:rFonts w:ascii="Arial" w:eastAsia="SimSun" w:hAnsi="Arial" w:cs="Arial"/>
                <w:lang w:eastAsia="zh-CN" w:bidi="ar"/>
              </w:rPr>
              <w:t>3.42</w:t>
            </w:r>
          </w:p>
        </w:tc>
        <w:tc>
          <w:tcPr>
            <w:tcW w:w="0" w:type="auto"/>
            <w:vAlign w:val="center"/>
          </w:tcPr>
          <w:p w14:paraId="0E5C784E" w14:textId="77777777" w:rsidR="00E031B3" w:rsidRDefault="00A03E87">
            <w:pPr>
              <w:rPr>
                <w:rFonts w:ascii="Arial" w:hAnsi="Arial" w:cs="Arial"/>
              </w:rPr>
            </w:pPr>
            <w:r>
              <w:rPr>
                <w:rFonts w:ascii="Arial" w:eastAsia="SimSun" w:hAnsi="Arial" w:cs="Arial"/>
                <w:lang w:eastAsia="zh-CN" w:bidi="ar"/>
              </w:rPr>
              <w:t>0.78</w:t>
            </w:r>
          </w:p>
        </w:tc>
        <w:tc>
          <w:tcPr>
            <w:tcW w:w="0" w:type="auto"/>
            <w:vAlign w:val="center"/>
          </w:tcPr>
          <w:p w14:paraId="0C7FFD2A" w14:textId="77777777" w:rsidR="00E031B3" w:rsidRDefault="00A03E87">
            <w:pPr>
              <w:rPr>
                <w:rFonts w:ascii="Arial" w:hAnsi="Arial" w:cs="Arial"/>
              </w:rPr>
            </w:pPr>
            <w:r>
              <w:rPr>
                <w:rFonts w:ascii="Arial" w:eastAsia="SimSun" w:hAnsi="Arial" w:cs="Arial"/>
                <w:lang w:eastAsia="zh-CN" w:bidi="ar"/>
              </w:rPr>
              <w:t>–</w:t>
            </w:r>
          </w:p>
        </w:tc>
        <w:tc>
          <w:tcPr>
            <w:tcW w:w="0" w:type="auto"/>
            <w:vAlign w:val="center"/>
          </w:tcPr>
          <w:p w14:paraId="251FE9E9" w14:textId="77777777" w:rsidR="00E031B3" w:rsidRDefault="00A03E87">
            <w:pPr>
              <w:rPr>
                <w:rFonts w:ascii="Arial" w:hAnsi="Arial" w:cs="Arial"/>
              </w:rPr>
            </w:pPr>
            <w:r>
              <w:rPr>
                <w:rFonts w:ascii="Arial" w:eastAsia="SimSun" w:hAnsi="Arial" w:cs="Arial"/>
                <w:lang w:eastAsia="zh-CN" w:bidi="ar"/>
              </w:rPr>
              <w:t>–</w:t>
            </w:r>
          </w:p>
        </w:tc>
      </w:tr>
      <w:tr w:rsidR="00E031B3" w14:paraId="38DAAA78" w14:textId="77777777">
        <w:trPr>
          <w:tblCellSpacing w:w="15" w:type="dxa"/>
        </w:trPr>
        <w:tc>
          <w:tcPr>
            <w:tcW w:w="0" w:type="auto"/>
            <w:vAlign w:val="center"/>
          </w:tcPr>
          <w:p w14:paraId="19354A51" w14:textId="77777777" w:rsidR="00E031B3" w:rsidRDefault="00A03E87">
            <w:pPr>
              <w:rPr>
                <w:rFonts w:ascii="Arial" w:hAnsi="Arial" w:cs="Arial"/>
              </w:rPr>
            </w:pPr>
            <w:r>
              <w:rPr>
                <w:rFonts w:ascii="Arial" w:eastAsia="SimSun" w:hAnsi="Arial" w:cs="Arial"/>
                <w:lang w:eastAsia="zh-CN" w:bidi="ar"/>
              </w:rPr>
              <w:t>Recycling Rate (%)</w:t>
            </w:r>
          </w:p>
        </w:tc>
        <w:tc>
          <w:tcPr>
            <w:tcW w:w="0" w:type="auto"/>
            <w:vAlign w:val="center"/>
          </w:tcPr>
          <w:p w14:paraId="2C70B827" w14:textId="77777777" w:rsidR="00E031B3" w:rsidRDefault="00A03E87">
            <w:pPr>
              <w:rPr>
                <w:rFonts w:ascii="Arial" w:hAnsi="Arial" w:cs="Arial"/>
              </w:rPr>
            </w:pPr>
            <w:r>
              <w:rPr>
                <w:rFonts w:ascii="Arial" w:eastAsia="SimSun" w:hAnsi="Arial" w:cs="Arial"/>
                <w:lang w:eastAsia="zh-CN" w:bidi="ar"/>
              </w:rPr>
              <w:t>31.5</w:t>
            </w:r>
          </w:p>
        </w:tc>
        <w:tc>
          <w:tcPr>
            <w:tcW w:w="0" w:type="auto"/>
            <w:vAlign w:val="center"/>
          </w:tcPr>
          <w:p w14:paraId="7B5588E1" w14:textId="77777777" w:rsidR="00E031B3" w:rsidRDefault="00A03E87">
            <w:pPr>
              <w:rPr>
                <w:rFonts w:ascii="Arial" w:hAnsi="Arial" w:cs="Arial"/>
              </w:rPr>
            </w:pPr>
            <w:r>
              <w:rPr>
                <w:rFonts w:ascii="Arial" w:eastAsia="SimSun" w:hAnsi="Arial" w:cs="Arial"/>
                <w:lang w:eastAsia="zh-CN" w:bidi="ar"/>
              </w:rPr>
              <w:t>9.6</w:t>
            </w:r>
          </w:p>
        </w:tc>
        <w:tc>
          <w:tcPr>
            <w:tcW w:w="0" w:type="auto"/>
            <w:vAlign w:val="center"/>
          </w:tcPr>
          <w:p w14:paraId="1B712257" w14:textId="77777777" w:rsidR="00E031B3" w:rsidRDefault="00A03E87">
            <w:pPr>
              <w:rPr>
                <w:rFonts w:ascii="Arial" w:hAnsi="Arial" w:cs="Arial"/>
              </w:rPr>
            </w:pPr>
            <w:r>
              <w:rPr>
                <w:rFonts w:ascii="Arial" w:eastAsia="SimSun" w:hAnsi="Arial" w:cs="Arial"/>
                <w:lang w:eastAsia="zh-CN" w:bidi="ar"/>
              </w:rPr>
              <w:t>0.68</w:t>
            </w:r>
          </w:p>
        </w:tc>
        <w:tc>
          <w:tcPr>
            <w:tcW w:w="0" w:type="auto"/>
            <w:vAlign w:val="center"/>
          </w:tcPr>
          <w:p w14:paraId="5E3F2E28" w14:textId="77777777" w:rsidR="00E031B3" w:rsidRDefault="00A03E87">
            <w:pPr>
              <w:rPr>
                <w:rFonts w:ascii="Arial" w:hAnsi="Arial" w:cs="Arial"/>
              </w:rPr>
            </w:pPr>
            <w:r>
              <w:rPr>
                <w:rFonts w:ascii="Arial" w:eastAsia="SimSun" w:hAnsi="Arial" w:cs="Arial"/>
                <w:lang w:eastAsia="zh-CN" w:bidi="ar"/>
              </w:rPr>
              <w:t>0.03</w:t>
            </w:r>
          </w:p>
        </w:tc>
      </w:tr>
      <w:tr w:rsidR="00E031B3" w14:paraId="31DF0356" w14:textId="77777777">
        <w:trPr>
          <w:tblCellSpacing w:w="15" w:type="dxa"/>
        </w:trPr>
        <w:tc>
          <w:tcPr>
            <w:tcW w:w="0" w:type="auto"/>
            <w:vAlign w:val="center"/>
          </w:tcPr>
          <w:p w14:paraId="37CA93B0" w14:textId="77777777" w:rsidR="00E031B3" w:rsidRDefault="00A03E87">
            <w:pPr>
              <w:rPr>
                <w:rFonts w:ascii="Arial" w:hAnsi="Arial" w:cs="Arial"/>
              </w:rPr>
            </w:pPr>
            <w:r>
              <w:rPr>
                <w:rFonts w:ascii="Arial" w:eastAsia="SimSun" w:hAnsi="Arial" w:cs="Arial"/>
                <w:lang w:eastAsia="zh-CN" w:bidi="ar"/>
              </w:rPr>
              <w:t>Waste Reduction per Capita (%)</w:t>
            </w:r>
          </w:p>
        </w:tc>
        <w:tc>
          <w:tcPr>
            <w:tcW w:w="0" w:type="auto"/>
            <w:vAlign w:val="center"/>
          </w:tcPr>
          <w:p w14:paraId="71909576" w14:textId="77777777" w:rsidR="00E031B3" w:rsidRDefault="00A03E87">
            <w:pPr>
              <w:rPr>
                <w:rFonts w:ascii="Arial" w:hAnsi="Arial" w:cs="Arial"/>
              </w:rPr>
            </w:pPr>
            <w:r>
              <w:rPr>
                <w:rFonts w:ascii="Arial" w:eastAsia="SimSun" w:hAnsi="Arial" w:cs="Arial"/>
                <w:lang w:eastAsia="zh-CN" w:bidi="ar"/>
              </w:rPr>
              <w:t>22.7</w:t>
            </w:r>
          </w:p>
        </w:tc>
        <w:tc>
          <w:tcPr>
            <w:tcW w:w="0" w:type="auto"/>
            <w:vAlign w:val="center"/>
          </w:tcPr>
          <w:p w14:paraId="52C2B77E" w14:textId="77777777" w:rsidR="00E031B3" w:rsidRDefault="00A03E87">
            <w:pPr>
              <w:rPr>
                <w:rFonts w:ascii="Arial" w:hAnsi="Arial" w:cs="Arial"/>
              </w:rPr>
            </w:pPr>
            <w:r>
              <w:rPr>
                <w:rFonts w:ascii="Arial" w:eastAsia="SimSun" w:hAnsi="Arial" w:cs="Arial"/>
                <w:lang w:eastAsia="zh-CN" w:bidi="ar"/>
              </w:rPr>
              <w:t>8.3</w:t>
            </w:r>
          </w:p>
        </w:tc>
        <w:tc>
          <w:tcPr>
            <w:tcW w:w="0" w:type="auto"/>
            <w:vAlign w:val="center"/>
          </w:tcPr>
          <w:p w14:paraId="13063EB5" w14:textId="77777777" w:rsidR="00E031B3" w:rsidRDefault="00A03E87">
            <w:pPr>
              <w:rPr>
                <w:rFonts w:ascii="Arial" w:hAnsi="Arial" w:cs="Arial"/>
              </w:rPr>
            </w:pPr>
            <w:r>
              <w:rPr>
                <w:rFonts w:ascii="Arial" w:eastAsia="SimSun" w:hAnsi="Arial" w:cs="Arial"/>
                <w:lang w:eastAsia="zh-CN" w:bidi="ar"/>
              </w:rPr>
              <w:t>0.68</w:t>
            </w:r>
          </w:p>
        </w:tc>
        <w:tc>
          <w:tcPr>
            <w:tcW w:w="0" w:type="auto"/>
            <w:vAlign w:val="center"/>
          </w:tcPr>
          <w:p w14:paraId="71A068BD" w14:textId="77777777" w:rsidR="00E031B3" w:rsidRDefault="00A03E87">
            <w:pPr>
              <w:rPr>
                <w:rFonts w:ascii="Arial" w:hAnsi="Arial" w:cs="Arial"/>
              </w:rPr>
            </w:pPr>
            <w:r>
              <w:rPr>
                <w:rFonts w:ascii="Arial" w:eastAsia="SimSun" w:hAnsi="Arial" w:cs="Arial"/>
                <w:lang w:eastAsia="zh-CN" w:bidi="ar"/>
              </w:rPr>
              <w:t>0.03</w:t>
            </w:r>
          </w:p>
        </w:tc>
      </w:tr>
      <w:tr w:rsidR="00E031B3" w14:paraId="32398A0D" w14:textId="77777777">
        <w:trPr>
          <w:tblCellSpacing w:w="15" w:type="dxa"/>
        </w:trPr>
        <w:tc>
          <w:tcPr>
            <w:tcW w:w="0" w:type="auto"/>
            <w:vAlign w:val="center"/>
          </w:tcPr>
          <w:p w14:paraId="538FCAA4" w14:textId="77777777" w:rsidR="00E031B3" w:rsidRDefault="00A03E87">
            <w:pPr>
              <w:rPr>
                <w:rFonts w:ascii="Arial" w:hAnsi="Arial" w:cs="Arial"/>
              </w:rPr>
            </w:pPr>
            <w:r>
              <w:rPr>
                <w:rFonts w:ascii="Arial" w:eastAsia="SimSun" w:hAnsi="Arial" w:cs="Arial"/>
                <w:lang w:eastAsia="zh-CN" w:bidi="ar"/>
              </w:rPr>
              <w:t>Resource Recovery Level (%)</w:t>
            </w:r>
          </w:p>
        </w:tc>
        <w:tc>
          <w:tcPr>
            <w:tcW w:w="0" w:type="auto"/>
            <w:vAlign w:val="center"/>
          </w:tcPr>
          <w:p w14:paraId="4E5DCB98" w14:textId="77777777" w:rsidR="00E031B3" w:rsidRDefault="00A03E87">
            <w:pPr>
              <w:rPr>
                <w:rFonts w:ascii="Arial" w:hAnsi="Arial" w:cs="Arial"/>
              </w:rPr>
            </w:pPr>
            <w:r>
              <w:rPr>
                <w:rFonts w:ascii="Arial" w:eastAsia="SimSun" w:hAnsi="Arial" w:cs="Arial"/>
                <w:lang w:eastAsia="zh-CN" w:bidi="ar"/>
              </w:rPr>
              <w:t>28.4</w:t>
            </w:r>
          </w:p>
        </w:tc>
        <w:tc>
          <w:tcPr>
            <w:tcW w:w="0" w:type="auto"/>
            <w:vAlign w:val="center"/>
          </w:tcPr>
          <w:p w14:paraId="7F587423" w14:textId="77777777" w:rsidR="00E031B3" w:rsidRDefault="00A03E87">
            <w:pPr>
              <w:rPr>
                <w:rFonts w:ascii="Arial" w:hAnsi="Arial" w:cs="Arial"/>
              </w:rPr>
            </w:pPr>
            <w:r>
              <w:rPr>
                <w:rFonts w:ascii="Arial" w:eastAsia="SimSun" w:hAnsi="Arial" w:cs="Arial"/>
                <w:lang w:eastAsia="zh-CN" w:bidi="ar"/>
              </w:rPr>
              <w:t>7.9</w:t>
            </w:r>
          </w:p>
        </w:tc>
        <w:tc>
          <w:tcPr>
            <w:tcW w:w="0" w:type="auto"/>
            <w:vAlign w:val="center"/>
          </w:tcPr>
          <w:p w14:paraId="7F6C4E75" w14:textId="77777777" w:rsidR="00E031B3" w:rsidRDefault="00A03E87">
            <w:pPr>
              <w:rPr>
                <w:rFonts w:ascii="Arial" w:hAnsi="Arial" w:cs="Arial"/>
              </w:rPr>
            </w:pPr>
            <w:r>
              <w:rPr>
                <w:rFonts w:ascii="Arial" w:eastAsia="SimSun" w:hAnsi="Arial" w:cs="Arial"/>
                <w:lang w:eastAsia="zh-CN" w:bidi="ar"/>
              </w:rPr>
              <w:t>0.65</w:t>
            </w:r>
          </w:p>
        </w:tc>
        <w:tc>
          <w:tcPr>
            <w:tcW w:w="0" w:type="auto"/>
            <w:vAlign w:val="center"/>
          </w:tcPr>
          <w:p w14:paraId="790AE67F" w14:textId="77777777" w:rsidR="00E031B3" w:rsidRDefault="00A03E87">
            <w:pPr>
              <w:rPr>
                <w:rFonts w:ascii="Arial" w:hAnsi="Arial" w:cs="Arial"/>
              </w:rPr>
            </w:pPr>
            <w:r>
              <w:rPr>
                <w:rFonts w:ascii="Arial" w:eastAsia="SimSun" w:hAnsi="Arial" w:cs="Arial"/>
                <w:lang w:eastAsia="zh-CN" w:bidi="ar"/>
              </w:rPr>
              <w:t>0.04</w:t>
            </w:r>
          </w:p>
        </w:tc>
      </w:tr>
    </w:tbl>
    <w:p w14:paraId="6471EE8F" w14:textId="77777777" w:rsidR="00E031B3" w:rsidRDefault="00E031B3">
      <w:pPr>
        <w:pStyle w:val="ConcHead"/>
        <w:spacing w:after="0"/>
        <w:jc w:val="both"/>
        <w:rPr>
          <w:rFonts w:ascii="Arial" w:hAnsi="Arial" w:cs="Arial"/>
        </w:rPr>
      </w:pPr>
    </w:p>
    <w:p w14:paraId="01D9DBFD" w14:textId="77777777" w:rsidR="00E031B3" w:rsidRDefault="00A03E87">
      <w:pPr>
        <w:pStyle w:val="ConcHead"/>
        <w:spacing w:after="0"/>
        <w:jc w:val="both"/>
        <w:rPr>
          <w:rFonts w:ascii="Arial" w:hAnsi="Arial" w:cs="Arial"/>
        </w:rPr>
      </w:pPr>
      <w:r>
        <w:rPr>
          <w:rFonts w:ascii="Arial" w:hAnsi="Arial" w:cs="Arial"/>
        </w:rPr>
        <w:t>4. Conclusion</w:t>
      </w:r>
    </w:p>
    <w:p w14:paraId="1DD92BF0" w14:textId="77777777" w:rsidR="00E031B3" w:rsidRDefault="00E031B3">
      <w:pPr>
        <w:pStyle w:val="ConcHead"/>
        <w:spacing w:after="0"/>
        <w:jc w:val="both"/>
        <w:rPr>
          <w:rFonts w:ascii="Arial" w:hAnsi="Arial" w:cs="Arial"/>
        </w:rPr>
      </w:pPr>
    </w:p>
    <w:p w14:paraId="2F77646B" w14:textId="77777777" w:rsidR="00E031B3" w:rsidRDefault="00A03E87">
      <w:pPr>
        <w:pStyle w:val="Body"/>
        <w:spacing w:after="0"/>
        <w:rPr>
          <w:rFonts w:ascii="Arial" w:hAnsi="Arial"/>
        </w:rPr>
      </w:pPr>
      <w:r>
        <w:rPr>
          <w:rFonts w:ascii="Arial" w:hAnsi="Arial"/>
        </w:rPr>
        <w:t xml:space="preserve">This study demonstrates that technological adoption in Garissa Township’s solid waste management between 2019 and 2024 has been moderate, with GPS tracking, semi-mechanical sorting, and composting widely used, while biogas initiatives, though limited, showed the highest effectiveness. Technology positively influenced recycling, resource recovery, and waste reduction; however, inadequate infrastructure—including limited collection coverage, few recycling centers, and an </w:t>
      </w:r>
      <w:proofErr w:type="spellStart"/>
      <w:r>
        <w:rPr>
          <w:rFonts w:ascii="Arial" w:hAnsi="Arial"/>
        </w:rPr>
        <w:t>unengineered</w:t>
      </w:r>
      <w:proofErr w:type="spellEnd"/>
      <w:r>
        <w:rPr>
          <w:rFonts w:ascii="Arial" w:hAnsi="Arial"/>
        </w:rPr>
        <w:t xml:space="preserve"> disposal site—hindered full circular economy implementation. These findings indicate that technology alone is insufficient to achieve sustainable outcomes. Coordinated investment in both technological tools and waste management infrastructure, alongside stakeholder engagement and policy support, is critical to strengthen circular economy practices and improve environmental and resource management in Garissa Township.</w:t>
      </w:r>
    </w:p>
    <w:p w14:paraId="12541944" w14:textId="77777777" w:rsidR="00E031B3" w:rsidRDefault="00E031B3">
      <w:pPr>
        <w:pStyle w:val="Body"/>
        <w:spacing w:after="0"/>
        <w:rPr>
          <w:rFonts w:ascii="Arial" w:hAnsi="Arial" w:cs="Arial"/>
        </w:rPr>
      </w:pPr>
    </w:p>
    <w:p w14:paraId="3F5A089D" w14:textId="77777777" w:rsidR="00E031B3" w:rsidRDefault="00A03E87">
      <w:pPr>
        <w:pStyle w:val="Body"/>
        <w:spacing w:after="0"/>
        <w:rPr>
          <w:rFonts w:ascii="Arial" w:hAnsi="Arial"/>
          <w:b/>
          <w:bCs/>
        </w:rPr>
      </w:pPr>
      <w:r>
        <w:rPr>
          <w:rFonts w:ascii="Arial" w:hAnsi="Arial" w:cs="Arial"/>
          <w:b/>
          <w:bCs/>
        </w:rPr>
        <w:t>5. S</w:t>
      </w:r>
      <w:r>
        <w:rPr>
          <w:rFonts w:ascii="Arial" w:hAnsi="Arial"/>
          <w:b/>
          <w:bCs/>
        </w:rPr>
        <w:t xml:space="preserve">TRATEGIC INTERVENTIONS AND POLICY RECOMMENDATIONS FOR ENHANCING TECHNOLOGY-DRIVEN AND INFRASTRUCTURE-SUPPORTED CIRCULAR ECONOMY SYSTEMS IN GARISSA </w:t>
      </w:r>
      <w:commentRangeStart w:id="22"/>
      <w:r>
        <w:rPr>
          <w:rFonts w:ascii="Arial" w:hAnsi="Arial"/>
          <w:b/>
          <w:bCs/>
        </w:rPr>
        <w:t>TOWNSHIP</w:t>
      </w:r>
      <w:commentRangeEnd w:id="22"/>
      <w:r w:rsidR="00D82D6D">
        <w:rPr>
          <w:rStyle w:val="CommentReference"/>
          <w:rFonts w:ascii="Times New Roman" w:hAnsi="Times New Roman"/>
          <w:lang w:val="nb-NO" w:eastAsia="nb-NO"/>
        </w:rPr>
        <w:commentReference w:id="22"/>
      </w:r>
      <w:r>
        <w:rPr>
          <w:rFonts w:ascii="Arial" w:hAnsi="Arial"/>
          <w:b/>
          <w:bCs/>
        </w:rPr>
        <w:t>.</w:t>
      </w:r>
    </w:p>
    <w:p w14:paraId="7C0950BD" w14:textId="77777777" w:rsidR="00E031B3" w:rsidRDefault="00E031B3">
      <w:pPr>
        <w:pStyle w:val="Body"/>
        <w:spacing w:after="0"/>
        <w:rPr>
          <w:rFonts w:ascii="Arial" w:hAnsi="Arial"/>
        </w:rPr>
      </w:pPr>
    </w:p>
    <w:p w14:paraId="0C6B5D79" w14:textId="77777777" w:rsidR="00E031B3" w:rsidRDefault="00A03E87">
      <w:pPr>
        <w:pStyle w:val="Body"/>
        <w:spacing w:after="0"/>
        <w:rPr>
          <w:rFonts w:ascii="Arial" w:hAnsi="Arial"/>
        </w:rPr>
      </w:pPr>
      <w:r>
        <w:rPr>
          <w:rFonts w:ascii="Arial" w:hAnsi="Arial"/>
        </w:rPr>
        <w:t xml:space="preserve">Advancing circular economy practices in solid waste management in Garissa Township requires strengthening both technological and infrastructural capacities. Upgrading waste collection, sorting, and disposal systems, along with establishing decentralized recycling and resource recovery centers, can improve efficiency and reduce environmental impacts (Kanojia &amp; Visvanathan, 2021). Practical technologies such as mechanized separation, composting systems, and waste-to-energy solutions, supported by digital tracking tools, can further streamline operations. Targeted training for municipal staff, private operators, and community stakeholders is essential to ensure effective adoption and maintenance of these innovations (Muriithi &amp; </w:t>
      </w:r>
      <w:proofErr w:type="spellStart"/>
      <w:r>
        <w:rPr>
          <w:rFonts w:ascii="Arial" w:hAnsi="Arial"/>
        </w:rPr>
        <w:t>Ngare</w:t>
      </w:r>
      <w:proofErr w:type="spellEnd"/>
      <w:r>
        <w:rPr>
          <w:rFonts w:ascii="Arial" w:hAnsi="Arial"/>
        </w:rPr>
        <w:t xml:space="preserve">, 2023). </w:t>
      </w:r>
    </w:p>
    <w:p w14:paraId="0DED9359" w14:textId="77777777" w:rsidR="00E031B3" w:rsidRDefault="00A03E87">
      <w:pPr>
        <w:pStyle w:val="Body"/>
        <w:spacing w:after="0"/>
        <w:rPr>
          <w:rFonts w:ascii="Arial" w:hAnsi="Arial"/>
        </w:rPr>
      </w:pPr>
      <w:r>
        <w:rPr>
          <w:rFonts w:ascii="Arial" w:hAnsi="Arial"/>
        </w:rPr>
        <w:t xml:space="preserve">Policy measures should incentivize recycling, reuse, and resource recovery through subsidies, reporting requirements, and integration with county-level planning strategies. Engaging local communities via awareness campaigns and feedback mechanisms can promote household-level participation in segregation, recycling, and composting (Sesay &amp; Fang, 2025). Regular monitoring and evaluation using performance indicators and periodic audits will support adaptive management and ensure interventions remain responsive to emerging challenges (Ahmed, 2024) </w:t>
      </w:r>
      <w:commentRangeStart w:id="23"/>
      <w:r>
        <w:rPr>
          <w:rFonts w:ascii="Arial" w:hAnsi="Arial"/>
        </w:rPr>
        <w:t>Collectively</w:t>
      </w:r>
      <w:commentRangeEnd w:id="23"/>
      <w:r w:rsidR="00D82D6D">
        <w:rPr>
          <w:rStyle w:val="CommentReference"/>
          <w:rFonts w:ascii="Times New Roman" w:hAnsi="Times New Roman"/>
          <w:lang w:val="nb-NO" w:eastAsia="nb-NO"/>
        </w:rPr>
        <w:commentReference w:id="23"/>
      </w:r>
      <w:r>
        <w:rPr>
          <w:rFonts w:ascii="Arial" w:hAnsi="Arial"/>
        </w:rPr>
        <w:t xml:space="preserve">, these measures provide a practical, </w:t>
      </w:r>
      <w:r>
        <w:rPr>
          <w:rFonts w:ascii="Arial" w:hAnsi="Arial"/>
        </w:rPr>
        <w:lastRenderedPageBreak/>
        <w:t>context-specific roadmap for sustainable circular economy implementation in Garissa Township.</w:t>
      </w:r>
    </w:p>
    <w:p w14:paraId="6E3A6D22" w14:textId="77777777" w:rsidR="00E031B3" w:rsidRDefault="00E031B3">
      <w:pPr>
        <w:pStyle w:val="Body"/>
        <w:spacing w:after="0"/>
        <w:rPr>
          <w:rFonts w:ascii="Arial" w:hAnsi="Arial" w:cs="Arial"/>
        </w:rPr>
      </w:pPr>
    </w:p>
    <w:p w14:paraId="5279AD35" w14:textId="77777777" w:rsidR="00E031B3" w:rsidRDefault="00E031B3">
      <w:pPr>
        <w:pStyle w:val="Body"/>
        <w:spacing w:after="0"/>
        <w:rPr>
          <w:rFonts w:ascii="Arial" w:hAnsi="Arial" w:cs="Arial"/>
        </w:rPr>
      </w:pPr>
    </w:p>
    <w:p w14:paraId="081E0DA1" w14:textId="77777777" w:rsidR="00E031B3" w:rsidRDefault="00A03E87">
      <w:pPr>
        <w:pStyle w:val="ReferHead"/>
        <w:spacing w:after="0"/>
        <w:jc w:val="both"/>
        <w:rPr>
          <w:rFonts w:ascii="Arial" w:hAnsi="Arial" w:cs="Arial"/>
          <w:bCs/>
        </w:rPr>
      </w:pPr>
      <w:r>
        <w:rPr>
          <w:rFonts w:ascii="Arial" w:hAnsi="Arial" w:cs="Arial"/>
          <w:bCs/>
        </w:rPr>
        <w:t xml:space="preserve">Consent </w:t>
      </w:r>
    </w:p>
    <w:p w14:paraId="03FD8A6C" w14:textId="77777777" w:rsidR="00E031B3" w:rsidRDefault="00E031B3">
      <w:pPr>
        <w:pStyle w:val="ReferHead"/>
        <w:spacing w:after="0"/>
        <w:jc w:val="both"/>
        <w:rPr>
          <w:rFonts w:ascii="Arial" w:hAnsi="Arial" w:cs="Arial"/>
          <w:bCs/>
        </w:rPr>
      </w:pPr>
    </w:p>
    <w:p w14:paraId="30B3F5CD" w14:textId="77777777" w:rsidR="00E031B3" w:rsidRDefault="00A03E87">
      <w:pPr>
        <w:pStyle w:val="ReferHead"/>
        <w:spacing w:after="0"/>
        <w:jc w:val="both"/>
        <w:rPr>
          <w:rFonts w:ascii="Arial" w:hAnsi="Arial" w:cs="Arial"/>
          <w:b w:val="0"/>
          <w:caps w:val="0"/>
          <w:sz w:val="20"/>
        </w:rPr>
      </w:pPr>
      <w:r>
        <w:rPr>
          <w:rFonts w:ascii="Arial" w:hAnsi="Arial"/>
          <w:b w:val="0"/>
          <w:caps w:val="0"/>
          <w:sz w:val="20"/>
        </w:rPr>
        <w:t xml:space="preserve">All authors confirm that </w:t>
      </w:r>
      <w:commentRangeStart w:id="24"/>
      <w:r>
        <w:rPr>
          <w:rFonts w:ascii="Arial" w:hAnsi="Arial"/>
          <w:b w:val="0"/>
          <w:caps w:val="0"/>
          <w:sz w:val="20"/>
        </w:rPr>
        <w:t>written informed consent was obtained from each participant before their participation in the study. Participants were provided with detailed information regarding the study’s objectives, procedures, and measures to ensure confidentiality prior to giving consent.</w:t>
      </w:r>
      <w:commentRangeEnd w:id="24"/>
      <w:r w:rsidR="001B798F">
        <w:rPr>
          <w:rStyle w:val="CommentReference"/>
          <w:rFonts w:ascii="Times New Roman" w:hAnsi="Times New Roman"/>
          <w:b w:val="0"/>
          <w:caps w:val="0"/>
          <w:lang w:val="nb-NO" w:eastAsia="nb-NO"/>
        </w:rPr>
        <w:commentReference w:id="24"/>
      </w:r>
      <w:r>
        <w:rPr>
          <w:rFonts w:ascii="Arial" w:hAnsi="Arial"/>
          <w:b w:val="0"/>
          <w:caps w:val="0"/>
          <w:sz w:val="20"/>
        </w:rPr>
        <w:t xml:space="preserve"> Copies of the signed consent forms can be made available to the journal’s Editorial Office, Chief Editor, or Editorial Board upon request.</w:t>
      </w:r>
    </w:p>
    <w:p w14:paraId="02E98587" w14:textId="77777777" w:rsidR="00E031B3" w:rsidRDefault="00E031B3">
      <w:pPr>
        <w:pStyle w:val="ReferHead"/>
        <w:spacing w:after="0"/>
        <w:jc w:val="both"/>
        <w:rPr>
          <w:rFonts w:ascii="Arial" w:hAnsi="Arial" w:cs="Arial"/>
          <w:b w:val="0"/>
          <w:caps w:val="0"/>
          <w:sz w:val="20"/>
        </w:rPr>
      </w:pPr>
    </w:p>
    <w:p w14:paraId="53B44D88" w14:textId="77777777" w:rsidR="00E031B3" w:rsidRDefault="00A03E87">
      <w:pPr>
        <w:pStyle w:val="ReferHead"/>
        <w:spacing w:after="0"/>
        <w:jc w:val="both"/>
        <w:rPr>
          <w:rFonts w:ascii="Arial" w:hAnsi="Arial" w:cs="Arial"/>
          <w:bCs/>
        </w:rPr>
      </w:pPr>
      <w:r>
        <w:rPr>
          <w:rFonts w:ascii="Arial" w:hAnsi="Arial" w:cs="Arial"/>
          <w:bCs/>
        </w:rPr>
        <w:t xml:space="preserve">Ethical approval </w:t>
      </w:r>
    </w:p>
    <w:p w14:paraId="470F2ACE" w14:textId="77777777" w:rsidR="00E031B3" w:rsidRDefault="00E031B3">
      <w:pPr>
        <w:pStyle w:val="ReferHead"/>
        <w:spacing w:after="0"/>
        <w:jc w:val="both"/>
        <w:rPr>
          <w:rFonts w:ascii="Arial" w:hAnsi="Arial" w:cs="Arial"/>
          <w:bCs/>
        </w:rPr>
      </w:pPr>
    </w:p>
    <w:p w14:paraId="2BEA0DDC" w14:textId="77777777" w:rsidR="00E031B3" w:rsidRDefault="00A03E87">
      <w:pPr>
        <w:pStyle w:val="ReferHead"/>
        <w:spacing w:after="0"/>
        <w:jc w:val="both"/>
        <w:rPr>
          <w:rFonts w:ascii="Arial" w:hAnsi="Arial"/>
          <w:b w:val="0"/>
          <w:caps w:val="0"/>
          <w:sz w:val="20"/>
        </w:rPr>
      </w:pPr>
      <w:commentRangeStart w:id="25"/>
      <w:r>
        <w:rPr>
          <w:rFonts w:ascii="Arial" w:hAnsi="Arial"/>
          <w:b w:val="0"/>
          <w:caps w:val="0"/>
          <w:sz w:val="20"/>
        </w:rPr>
        <w:t>The research protocol received approval from the Bangor University Ethics Review. All aspects of the study were carried out following the ethical principles outlined in the Declaration of Helsinki and in accordance with applicable national and institutional guidelines for research involving human participants. Measures were taken to ensure the privacy and confidentiality of all participants throughout the study.</w:t>
      </w:r>
      <w:commentRangeEnd w:id="25"/>
      <w:r w:rsidR="001B798F">
        <w:rPr>
          <w:rStyle w:val="CommentReference"/>
          <w:rFonts w:ascii="Times New Roman" w:hAnsi="Times New Roman"/>
          <w:b w:val="0"/>
          <w:caps w:val="0"/>
          <w:lang w:val="nb-NO" w:eastAsia="nb-NO"/>
        </w:rPr>
        <w:commentReference w:id="25"/>
      </w:r>
    </w:p>
    <w:p w14:paraId="4D226F69" w14:textId="77777777" w:rsidR="00E031B3" w:rsidRDefault="00E031B3">
      <w:pPr>
        <w:pStyle w:val="ReferHead"/>
        <w:spacing w:after="0"/>
        <w:jc w:val="both"/>
        <w:rPr>
          <w:rFonts w:ascii="Arial" w:hAnsi="Arial"/>
          <w:b w:val="0"/>
          <w:caps w:val="0"/>
          <w:sz w:val="20"/>
        </w:rPr>
      </w:pPr>
    </w:p>
    <w:p w14:paraId="3D18FBB7" w14:textId="77777777" w:rsidR="00E031B3" w:rsidRDefault="00A03E87">
      <w:pPr>
        <w:rPr>
          <w:rFonts w:ascii="Arial" w:eastAsia="Calibri" w:hAnsi="Arial" w:cs="Arial"/>
          <w:b/>
          <w:bCs/>
          <w:kern w:val="2"/>
        </w:rPr>
      </w:pPr>
      <w:bookmarkStart w:id="26" w:name="_Hlk213688972"/>
      <w:r>
        <w:rPr>
          <w:rFonts w:ascii="Arial" w:eastAsia="Calibri" w:hAnsi="Arial" w:cs="Arial"/>
          <w:b/>
          <w:bCs/>
          <w:kern w:val="2"/>
        </w:rPr>
        <w:t>DISCLAIMER (ARTIFICIAL INTELLIGENCE)</w:t>
      </w:r>
    </w:p>
    <w:p w14:paraId="027D7CE4" w14:textId="77777777" w:rsidR="00E031B3" w:rsidRDefault="00A03E87">
      <w:pPr>
        <w:pStyle w:val="ReferHead"/>
        <w:spacing w:after="0"/>
        <w:jc w:val="both"/>
        <w:rPr>
          <w:rFonts w:ascii="Arial" w:hAnsi="Arial" w:cs="Arial"/>
          <w:b w:val="0"/>
          <w:bCs/>
          <w:caps w:val="0"/>
          <w:sz w:val="18"/>
          <w:szCs w:val="18"/>
        </w:rPr>
      </w:pPr>
      <w:r>
        <w:rPr>
          <w:rFonts w:ascii="Arial" w:eastAsia="Calibri" w:hAnsi="Arial" w:cs="Arial"/>
          <w:b w:val="0"/>
          <w:bCs/>
          <w:caps w:val="0"/>
          <w:kern w:val="2"/>
          <w:sz w:val="20"/>
          <w:szCs w:val="18"/>
        </w:rPr>
        <w:t>Author(s) hereby declare that no generative AI technologies such as large language models (</w:t>
      </w:r>
      <w:proofErr w:type="spellStart"/>
      <w:r>
        <w:rPr>
          <w:rFonts w:ascii="Arial" w:eastAsia="Calibri" w:hAnsi="Arial" w:cs="Arial"/>
          <w:b w:val="0"/>
          <w:bCs/>
          <w:caps w:val="0"/>
          <w:kern w:val="2"/>
          <w:sz w:val="20"/>
          <w:szCs w:val="18"/>
        </w:rPr>
        <w:t>chatgpt</w:t>
      </w:r>
      <w:proofErr w:type="spellEnd"/>
      <w:r>
        <w:rPr>
          <w:rFonts w:ascii="Arial" w:eastAsia="Calibri" w:hAnsi="Arial" w:cs="Arial"/>
          <w:b w:val="0"/>
          <w:bCs/>
          <w:caps w:val="0"/>
          <w:kern w:val="2"/>
          <w:sz w:val="20"/>
          <w:szCs w:val="18"/>
        </w:rPr>
        <w:t>, copilot, etc.) And text-to-image generators have been used during the writing or editing of this manuscript</w:t>
      </w:r>
      <w:r>
        <w:rPr>
          <w:rFonts w:ascii="Arial" w:eastAsia="Calibri" w:hAnsi="Arial" w:cs="Arial"/>
          <w:b w:val="0"/>
          <w:bCs/>
          <w:kern w:val="2"/>
          <w:sz w:val="20"/>
          <w:szCs w:val="18"/>
        </w:rPr>
        <w:t>.</w:t>
      </w:r>
    </w:p>
    <w:bookmarkEnd w:id="26"/>
    <w:p w14:paraId="232CEF67" w14:textId="77777777" w:rsidR="00E031B3" w:rsidRDefault="00E031B3">
      <w:pPr>
        <w:pStyle w:val="ReferHead"/>
        <w:spacing w:after="0"/>
        <w:jc w:val="both"/>
        <w:rPr>
          <w:rFonts w:ascii="Arial" w:hAnsi="Arial"/>
          <w:b w:val="0"/>
          <w:caps w:val="0"/>
          <w:sz w:val="20"/>
        </w:rPr>
      </w:pPr>
    </w:p>
    <w:p w14:paraId="0DE8FB38" w14:textId="77777777" w:rsidR="00E031B3" w:rsidRDefault="00A03E87">
      <w:pPr>
        <w:pStyle w:val="ReferHead"/>
        <w:spacing w:after="0"/>
        <w:jc w:val="both"/>
        <w:rPr>
          <w:rFonts w:ascii="Arial" w:hAnsi="Arial" w:cs="Arial"/>
        </w:rPr>
      </w:pPr>
      <w:r>
        <w:rPr>
          <w:rFonts w:ascii="Arial" w:hAnsi="Arial" w:cs="Arial"/>
        </w:rPr>
        <w:t>References</w:t>
      </w:r>
    </w:p>
    <w:p w14:paraId="3DFA51AF" w14:textId="77777777" w:rsidR="00E031B3" w:rsidRDefault="00E031B3">
      <w:pPr>
        <w:pStyle w:val="ReferHead"/>
        <w:spacing w:after="0"/>
        <w:jc w:val="both"/>
        <w:rPr>
          <w:rFonts w:ascii="Arial" w:hAnsi="Arial" w:cs="Arial"/>
        </w:rPr>
      </w:pPr>
    </w:p>
    <w:p w14:paraId="471C8535" w14:textId="77777777" w:rsidR="00E031B3" w:rsidRDefault="00A03E87">
      <w:pPr>
        <w:pStyle w:val="Body"/>
        <w:spacing w:after="0"/>
      </w:pPr>
      <w:r>
        <w:t xml:space="preserve">Ahmed, M. A. (2024). Effect of Circular Economy Model on Sustainability of Plastic Waste </w:t>
      </w:r>
      <w:r>
        <w:tab/>
        <w:t xml:space="preserve">Management Initiatives: </w:t>
      </w:r>
      <w:proofErr w:type="gramStart"/>
      <w:r>
        <w:t>a</w:t>
      </w:r>
      <w:proofErr w:type="gramEnd"/>
      <w:r>
        <w:t xml:space="preserve"> Case of Worldwide Fund for Nature Kenya Project in </w:t>
      </w:r>
      <w:r>
        <w:tab/>
        <w:t>Mombasa County Kenya (Doctoral dissertation, University of Nairobi).</w:t>
      </w:r>
    </w:p>
    <w:p w14:paraId="2C2F2BE8" w14:textId="77777777" w:rsidR="00E031B3" w:rsidRDefault="00A03E87">
      <w:pPr>
        <w:pStyle w:val="Body"/>
        <w:spacing w:after="0"/>
      </w:pPr>
      <w:r>
        <w:t xml:space="preserve">Awino, F. B., &amp; Apitz, S. E. (2024). Solid waste management in the context of the waste </w:t>
      </w:r>
      <w:r>
        <w:tab/>
        <w:t xml:space="preserve">hierarchy and circular economy frameworks: An international critical review. </w:t>
      </w:r>
      <w:r>
        <w:tab/>
        <w:t>Integrated Environmental Assessment and Management, 20(1), 9-35.</w:t>
      </w:r>
    </w:p>
    <w:p w14:paraId="28B41B1B" w14:textId="77777777" w:rsidR="00E031B3" w:rsidRDefault="00A03E87">
      <w:pPr>
        <w:pStyle w:val="Body"/>
        <w:spacing w:after="0"/>
      </w:pPr>
      <w:r>
        <w:t xml:space="preserve">Creswell, J. W., &amp; Creswell, J. D. (2018). Research Design: Qualitative, Quantitative, and </w:t>
      </w:r>
      <w:r>
        <w:tab/>
        <w:t>Mixed Methods Approaches (5th ed.). Sage Publications.</w:t>
      </w:r>
    </w:p>
    <w:p w14:paraId="20809AA6" w14:textId="77777777" w:rsidR="00E031B3" w:rsidRDefault="00A03E87">
      <w:pPr>
        <w:pStyle w:val="Body"/>
        <w:spacing w:after="0"/>
      </w:pPr>
      <w:r>
        <w:t xml:space="preserve">Kanojia, A., &amp; Visvanathan, C. (2021). Assessment of urban solid waste management </w:t>
      </w:r>
      <w:r>
        <w:tab/>
        <w:t xml:space="preserve">systems for Industry 4.0 technology interventions and the circular economy. Waste </w:t>
      </w:r>
      <w:r>
        <w:tab/>
        <w:t>Management &amp; Research, 39(11), 1414-1426.</w:t>
      </w:r>
    </w:p>
    <w:p w14:paraId="00B9A2DB" w14:textId="77777777" w:rsidR="00E031B3" w:rsidRDefault="00A03E87">
      <w:pPr>
        <w:pStyle w:val="Body"/>
        <w:spacing w:after="0"/>
      </w:pPr>
      <w:r>
        <w:t xml:space="preserve">Kenya National Bureau of Statistics (KNBS). (2019). 2019 Kenya Population and Housing </w:t>
      </w:r>
      <w:r>
        <w:tab/>
        <w:t xml:space="preserve">Census Volume I: Population by County and Sub-County. Nairobi: KNBS. Retrieved </w:t>
      </w:r>
      <w:r>
        <w:tab/>
        <w:t>from https://www.knbs.or.ke</w:t>
      </w:r>
    </w:p>
    <w:p w14:paraId="6CA96926" w14:textId="77777777" w:rsidR="00E031B3" w:rsidRDefault="00A03E87">
      <w:pPr>
        <w:pStyle w:val="Body"/>
        <w:spacing w:after="0"/>
      </w:pPr>
      <w:r>
        <w:t xml:space="preserve">Maina, G. (2022). Project Management Practices and Implementation of Road Infrastructure </w:t>
      </w:r>
      <w:r>
        <w:tab/>
        <w:t>Projects in Garissa County, Kenya (Doctoral dissertation, University of Nairobi).</w:t>
      </w:r>
    </w:p>
    <w:p w14:paraId="3A33BC7C" w14:textId="77777777" w:rsidR="00E031B3" w:rsidRDefault="00E031B3">
      <w:pPr>
        <w:pStyle w:val="Body"/>
        <w:spacing w:after="0"/>
      </w:pPr>
    </w:p>
    <w:p w14:paraId="6DD2B2CB" w14:textId="77777777" w:rsidR="00E031B3" w:rsidRDefault="00A03E87">
      <w:pPr>
        <w:pStyle w:val="Body"/>
        <w:spacing w:after="0"/>
      </w:pPr>
      <w:r>
        <w:t xml:space="preserve">Muriithi, J. K., &amp; </w:t>
      </w:r>
      <w:proofErr w:type="spellStart"/>
      <w:r>
        <w:t>Ngare</w:t>
      </w:r>
      <w:proofErr w:type="spellEnd"/>
      <w:r>
        <w:t xml:space="preserve">, I. O. (2023). Transitioning circular economy from policy to practice in </w:t>
      </w:r>
      <w:r>
        <w:tab/>
        <w:t>Kenya. Frontiers in Sustainability, 4, 1190470.</w:t>
      </w:r>
    </w:p>
    <w:p w14:paraId="4721F61B" w14:textId="77777777" w:rsidR="00E031B3" w:rsidRDefault="00A03E87">
      <w:pPr>
        <w:pStyle w:val="Body"/>
        <w:spacing w:after="0"/>
      </w:pPr>
      <w:r>
        <w:t xml:space="preserve">Mule, B. M. (2013). Factors influencing household solid waste disposal and management in </w:t>
      </w:r>
      <w:r>
        <w:tab/>
      </w:r>
      <w:proofErr w:type="spellStart"/>
      <w:r>
        <w:t>garissa</w:t>
      </w:r>
      <w:proofErr w:type="spellEnd"/>
      <w:r>
        <w:t xml:space="preserve"> Town, Garissa County, Kenya (Doctoral dissertation, University of Nairobi).</w:t>
      </w:r>
    </w:p>
    <w:p w14:paraId="7CEB340F" w14:textId="77777777" w:rsidR="00E031B3" w:rsidRDefault="00A03E87">
      <w:pPr>
        <w:pStyle w:val="Body"/>
        <w:spacing w:after="0"/>
      </w:pPr>
      <w:r>
        <w:t xml:space="preserve">National Environment Management Authority (NEMA). (2023). Circular Economy in Kenya. </w:t>
      </w:r>
      <w:r>
        <w:tab/>
        <w:t>Retrieved from https://nema.go.ke</w:t>
      </w:r>
    </w:p>
    <w:p w14:paraId="663923E0" w14:textId="77777777" w:rsidR="00E031B3" w:rsidRDefault="00A03E87">
      <w:pPr>
        <w:pStyle w:val="Body"/>
        <w:spacing w:after="0"/>
      </w:pPr>
      <w:proofErr w:type="spellStart"/>
      <w:r>
        <w:t>Oguge</w:t>
      </w:r>
      <w:proofErr w:type="spellEnd"/>
      <w:r>
        <w:t xml:space="preserve">, N. O. (2019). Circular economy measures: an opportunity for rethinking plastics </w:t>
      </w:r>
      <w:r>
        <w:tab/>
        <w:t>waste governance in Kenya. Law Env't &amp; Dev. J., 15, 124.</w:t>
      </w:r>
    </w:p>
    <w:p w14:paraId="39222F1A" w14:textId="77777777" w:rsidR="00E031B3" w:rsidRDefault="00A03E87">
      <w:pPr>
        <w:pStyle w:val="Body"/>
        <w:spacing w:after="0"/>
      </w:pPr>
      <w:proofErr w:type="spellStart"/>
      <w:r>
        <w:lastRenderedPageBreak/>
        <w:t>Otundo</w:t>
      </w:r>
      <w:proofErr w:type="spellEnd"/>
      <w:r>
        <w:t xml:space="preserve"> R, M. (2024). Innovative approaches to solid waste management in Kenya's urban </w:t>
      </w:r>
      <w:r>
        <w:tab/>
        <w:t xml:space="preserve">areas: A case study of </w:t>
      </w:r>
      <w:proofErr w:type="spellStart"/>
      <w:r>
        <w:t>mombasa</w:t>
      </w:r>
      <w:proofErr w:type="spellEnd"/>
      <w:r>
        <w:t xml:space="preserve"> county in advancing sustainable development </w:t>
      </w:r>
      <w:r>
        <w:tab/>
        <w:t xml:space="preserve">goals. Innovative Approaches to Solid Waste Management in Kenya's Urban Areas: </w:t>
      </w:r>
      <w:r>
        <w:tab/>
        <w:t xml:space="preserve">A Case Study of Mombasa County in Advancing Sustainable Development Goals </w:t>
      </w:r>
      <w:r>
        <w:tab/>
        <w:t>(August 26, 2024).</w:t>
      </w:r>
    </w:p>
    <w:p w14:paraId="6F75D368" w14:textId="77777777" w:rsidR="00E031B3" w:rsidRDefault="00A03E87">
      <w:pPr>
        <w:pStyle w:val="Body"/>
        <w:spacing w:after="0"/>
      </w:pPr>
      <w:r>
        <w:t xml:space="preserve">Sesay, R. E. V., &amp; Fang, P. (2025). Circular economy in municipal solid waste management: </w:t>
      </w:r>
      <w:r>
        <w:tab/>
        <w:t xml:space="preserve">Innovations and challenges for urban sustainability. Journal of Environmental </w:t>
      </w:r>
      <w:r>
        <w:tab/>
        <w:t>Protection, 16(2), 35-65.</w:t>
      </w:r>
    </w:p>
    <w:p w14:paraId="163C2A41" w14:textId="77777777" w:rsidR="00E031B3" w:rsidRDefault="00A03E87">
      <w:pPr>
        <w:pStyle w:val="Body"/>
        <w:spacing w:after="0"/>
      </w:pPr>
      <w:r>
        <w:t xml:space="preserve">UNEP. (2023). Sustainable waste management in developing countries. Nairobi: United </w:t>
      </w:r>
      <w:r>
        <w:tab/>
        <w:t xml:space="preserve">Nations Environment </w:t>
      </w:r>
      <w:proofErr w:type="spellStart"/>
      <w:r>
        <w:t>Programme</w:t>
      </w:r>
      <w:proofErr w:type="spellEnd"/>
      <w:r>
        <w:t>.</w:t>
      </w:r>
    </w:p>
    <w:p w14:paraId="1D2DC1A1" w14:textId="77777777" w:rsidR="00E031B3" w:rsidRDefault="00E031B3">
      <w:pPr>
        <w:pStyle w:val="Body"/>
        <w:spacing w:after="0"/>
      </w:pPr>
    </w:p>
    <w:p w14:paraId="7F69F1EF" w14:textId="77777777" w:rsidR="00E031B3" w:rsidRDefault="00E031B3">
      <w:pPr>
        <w:pStyle w:val="Body"/>
        <w:spacing w:after="0"/>
        <w:rPr>
          <w:rFonts w:ascii="Arial" w:hAnsi="Arial" w:cs="Arial"/>
        </w:rPr>
      </w:pPr>
    </w:p>
    <w:p w14:paraId="1E7363B9" w14:textId="77777777" w:rsidR="00E031B3" w:rsidRDefault="00E031B3">
      <w:pPr>
        <w:pStyle w:val="Appendix"/>
        <w:spacing w:after="0"/>
        <w:jc w:val="both"/>
        <w:rPr>
          <w:rFonts w:ascii="Arial" w:hAnsi="Arial" w:cs="Arial"/>
          <w:b w:val="0"/>
        </w:rPr>
        <w:sectPr w:rsidR="00E031B3" w:rsidSect="00A85829">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BC57A76" w14:textId="77777777" w:rsidR="00E031B3" w:rsidRDefault="00E031B3">
      <w:pPr>
        <w:pStyle w:val="Appendix"/>
        <w:spacing w:after="0"/>
        <w:jc w:val="both"/>
        <w:rPr>
          <w:rFonts w:ascii="Arial" w:hAnsi="Arial" w:cs="Arial"/>
          <w:b w:val="0"/>
        </w:rPr>
      </w:pPr>
    </w:p>
    <w:sectPr w:rsidR="00E031B3" w:rsidSect="00A8582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Nilam wavhal" w:date="2025-11-15T13:02:00Z" w:initials="Dw">
    <w:p w14:paraId="189F0127" w14:textId="77777777" w:rsidR="0042267C" w:rsidRDefault="0042267C" w:rsidP="0042267C">
      <w:pPr>
        <w:pStyle w:val="CommentText"/>
      </w:pPr>
      <w:r>
        <w:rPr>
          <w:rStyle w:val="CommentReference"/>
        </w:rPr>
        <w:annotationRef/>
      </w:r>
      <w:r>
        <w:rPr>
          <w:lang w:val="en-IN"/>
        </w:rPr>
        <w:t>Complete sentence</w:t>
      </w:r>
    </w:p>
  </w:comment>
  <w:comment w:id="2" w:author="Dr Nilam wavhal" w:date="2025-11-15T13:05:00Z" w:initials="Dw">
    <w:p w14:paraId="406BF7E4" w14:textId="77777777" w:rsidR="0042267C" w:rsidRDefault="0042267C" w:rsidP="0042267C">
      <w:pPr>
        <w:pStyle w:val="CommentText"/>
      </w:pPr>
      <w:r>
        <w:rPr>
          <w:rStyle w:val="CommentReference"/>
        </w:rPr>
        <w:annotationRef/>
      </w:r>
      <w:r>
        <w:rPr>
          <w:lang w:val="en-IN"/>
        </w:rPr>
        <w:t xml:space="preserve">Whatever is mentioned in abstract , it must be there in article. Mention in detail in material and methods, elaborate that section </w:t>
      </w:r>
    </w:p>
  </w:comment>
  <w:comment w:id="3" w:author="Dr Nilam wavhal" w:date="2025-11-15T13:06:00Z" w:initials="Dw">
    <w:p w14:paraId="31F41FC4" w14:textId="77777777" w:rsidR="0042267C" w:rsidRDefault="0042267C" w:rsidP="0042267C">
      <w:pPr>
        <w:pStyle w:val="CommentText"/>
      </w:pPr>
      <w:r>
        <w:rPr>
          <w:rStyle w:val="CommentReference"/>
        </w:rPr>
        <w:annotationRef/>
      </w:r>
      <w:r>
        <w:rPr>
          <w:lang w:val="en-IN"/>
        </w:rPr>
        <w:t>This part is missing in article. Do mention it in article.</w:t>
      </w:r>
    </w:p>
  </w:comment>
  <w:comment w:id="4" w:author="Dr Nilam wavhal" w:date="2025-11-15T11:45:00Z" w:initials="Dw">
    <w:p w14:paraId="5AA45C4F" w14:textId="0CD69C2B" w:rsidR="00FB1C0D" w:rsidRDefault="00FB1C0D" w:rsidP="00FB1C0D">
      <w:pPr>
        <w:pStyle w:val="CommentText"/>
      </w:pPr>
      <w:r>
        <w:rPr>
          <w:rStyle w:val="CommentReference"/>
        </w:rPr>
        <w:annotationRef/>
      </w:r>
      <w:r>
        <w:rPr>
          <w:lang w:val="en-IN"/>
        </w:rPr>
        <w:t>Full stop. Check grammatical errors</w:t>
      </w:r>
    </w:p>
  </w:comment>
  <w:comment w:id="5" w:author="Dr Nilam wavhal" w:date="2025-11-15T11:52:00Z" w:initials="Dw">
    <w:p w14:paraId="16AEAD90" w14:textId="77777777" w:rsidR="00FB1C0D" w:rsidRDefault="00FB1C0D" w:rsidP="00FB1C0D">
      <w:pPr>
        <w:pStyle w:val="CommentText"/>
      </w:pPr>
      <w:r>
        <w:rPr>
          <w:rStyle w:val="CommentReference"/>
        </w:rPr>
        <w:annotationRef/>
      </w:r>
      <w:r>
        <w:rPr>
          <w:lang w:val="en-IN"/>
        </w:rPr>
        <w:t>Seems incomplete, elaborate.</w:t>
      </w:r>
    </w:p>
  </w:comment>
  <w:comment w:id="6" w:author="Dr Nilam wavhal" w:date="2025-11-15T11:57:00Z" w:initials="Dw">
    <w:p w14:paraId="5F7A9932" w14:textId="77777777" w:rsidR="006551C9" w:rsidRDefault="006551C9" w:rsidP="006551C9">
      <w:pPr>
        <w:pStyle w:val="CommentText"/>
      </w:pPr>
      <w:r>
        <w:rPr>
          <w:rStyle w:val="CommentReference"/>
        </w:rPr>
        <w:annotationRef/>
      </w:r>
      <w:r>
        <w:rPr>
          <w:lang w:val="en-IN"/>
        </w:rPr>
        <w:t>Its can be mentioned in discussion part.</w:t>
      </w:r>
    </w:p>
  </w:comment>
  <w:comment w:id="7" w:author="Dr Nilam wavhal" w:date="2025-11-15T11:54:00Z" w:initials="Dw">
    <w:p w14:paraId="44B539FC" w14:textId="6C910B75" w:rsidR="006551C9" w:rsidRDefault="006551C9" w:rsidP="006551C9">
      <w:pPr>
        <w:pStyle w:val="CommentText"/>
      </w:pPr>
      <w:r>
        <w:rPr>
          <w:rStyle w:val="CommentReference"/>
        </w:rPr>
        <w:annotationRef/>
      </w:r>
      <w:r>
        <w:rPr>
          <w:lang w:val="en-IN"/>
        </w:rPr>
        <w:t xml:space="preserve">Mention exact period of the study </w:t>
      </w:r>
    </w:p>
  </w:comment>
  <w:comment w:id="8" w:author="Dr Nilam wavhal" w:date="2025-11-15T12:01:00Z" w:initials="Dw">
    <w:p w14:paraId="06285C7C" w14:textId="77777777" w:rsidR="006551C9" w:rsidRDefault="006551C9" w:rsidP="006551C9">
      <w:pPr>
        <w:pStyle w:val="CommentText"/>
      </w:pPr>
      <w:r>
        <w:rPr>
          <w:rStyle w:val="CommentReference"/>
        </w:rPr>
        <w:annotationRef/>
      </w:r>
      <w:r>
        <w:rPr>
          <w:lang w:val="en-IN"/>
        </w:rPr>
        <w:t>Mention the statistics of population and particularly waste generation data of Garissa in introduction section.</w:t>
      </w:r>
    </w:p>
  </w:comment>
  <w:comment w:id="9" w:author="Dr Nilam wavhal" w:date="2025-11-15T13:17:00Z" w:initials="Dw">
    <w:p w14:paraId="42ED3660" w14:textId="77777777" w:rsidR="00635028" w:rsidRDefault="00635028" w:rsidP="00635028">
      <w:pPr>
        <w:pStyle w:val="CommentText"/>
      </w:pPr>
      <w:r>
        <w:rPr>
          <w:rStyle w:val="CommentReference"/>
        </w:rPr>
        <w:annotationRef/>
      </w:r>
      <w:r>
        <w:rPr>
          <w:lang w:val="en-IN"/>
        </w:rPr>
        <w:t>Mention it in referenes</w:t>
      </w:r>
    </w:p>
  </w:comment>
  <w:comment w:id="10" w:author="Dr Nilam wavhal" w:date="2025-11-15T12:06:00Z" w:initials="Dw">
    <w:p w14:paraId="772BB963" w14:textId="61706CE6" w:rsidR="002418C8" w:rsidRDefault="002418C8" w:rsidP="002418C8">
      <w:pPr>
        <w:pStyle w:val="CommentText"/>
      </w:pPr>
      <w:r>
        <w:rPr>
          <w:rStyle w:val="CommentReference"/>
        </w:rPr>
        <w:annotationRef/>
      </w:r>
      <w:r>
        <w:rPr>
          <w:lang w:val="en-IN"/>
        </w:rPr>
        <w:t>Mention the formula or insert weblink for the calculation</w:t>
      </w:r>
    </w:p>
  </w:comment>
  <w:comment w:id="12" w:author="Dr Nilam wavhal" w:date="2025-11-15T12:22:00Z" w:initials="Dw">
    <w:p w14:paraId="5D8CAD6D" w14:textId="77777777" w:rsidR="0098226D" w:rsidRDefault="0098226D" w:rsidP="0098226D">
      <w:pPr>
        <w:pStyle w:val="CommentText"/>
      </w:pPr>
      <w:r>
        <w:rPr>
          <w:rStyle w:val="CommentReference"/>
        </w:rPr>
        <w:annotationRef/>
      </w:r>
      <w:r>
        <w:rPr>
          <w:lang w:val="en-IN"/>
        </w:rPr>
        <w:t>Is this targeted number or is it actual number of participants in the study. If so, it should be mentioned in results , not in material method.</w:t>
      </w:r>
    </w:p>
  </w:comment>
  <w:comment w:id="14" w:author="Dr Nilam wavhal" w:date="2025-11-15T12:10:00Z" w:initials="Dw">
    <w:p w14:paraId="5753A128" w14:textId="33C3F953" w:rsidR="002418C8" w:rsidRDefault="002418C8" w:rsidP="002418C8">
      <w:pPr>
        <w:pStyle w:val="CommentText"/>
      </w:pPr>
      <w:r>
        <w:rPr>
          <w:rStyle w:val="CommentReference"/>
        </w:rPr>
        <w:annotationRef/>
      </w:r>
      <w:r>
        <w:rPr>
          <w:lang w:val="en-IN"/>
        </w:rPr>
        <w:t>Provide questionnaire for review</w:t>
      </w:r>
    </w:p>
  </w:comment>
  <w:comment w:id="15" w:author="Dr Nilam wavhal" w:date="2025-11-15T12:16:00Z" w:initials="Dw">
    <w:p w14:paraId="03AD3DEC" w14:textId="77777777" w:rsidR="00F44D0A" w:rsidRDefault="00F44D0A" w:rsidP="00F44D0A">
      <w:pPr>
        <w:pStyle w:val="CommentText"/>
      </w:pPr>
      <w:r>
        <w:rPr>
          <w:rStyle w:val="CommentReference"/>
        </w:rPr>
        <w:annotationRef/>
      </w:r>
      <w:r>
        <w:rPr>
          <w:lang w:val="en-IN"/>
        </w:rPr>
        <w:t xml:space="preserve">Why was the target sample at 330, even though the calculated sample size was 380 </w:t>
      </w:r>
    </w:p>
  </w:comment>
  <w:comment w:id="16" w:author="Dr Nilam wavhal" w:date="2025-11-15T13:21:00Z" w:initials="Dw">
    <w:p w14:paraId="4AE06C42" w14:textId="77777777" w:rsidR="00635028" w:rsidRDefault="00635028" w:rsidP="00635028">
      <w:pPr>
        <w:pStyle w:val="CommentText"/>
      </w:pPr>
      <w:r>
        <w:rPr>
          <w:rStyle w:val="CommentReference"/>
        </w:rPr>
        <w:annotationRef/>
      </w:r>
      <w:r>
        <w:rPr>
          <w:lang w:val="en-IN"/>
        </w:rPr>
        <w:t xml:space="preserve">Mention it in references </w:t>
      </w:r>
    </w:p>
  </w:comment>
  <w:comment w:id="17" w:author="Dr Nilam wavhal" w:date="2025-11-15T12:25:00Z" w:initials="Dw">
    <w:p w14:paraId="602EE245" w14:textId="3B9555E2" w:rsidR="000E0D85" w:rsidRDefault="000E0D85" w:rsidP="000E0D85">
      <w:pPr>
        <w:pStyle w:val="CommentText"/>
      </w:pPr>
      <w:r>
        <w:rPr>
          <w:rStyle w:val="CommentReference"/>
        </w:rPr>
        <w:annotationRef/>
      </w:r>
      <w:r>
        <w:rPr>
          <w:lang w:val="en-IN"/>
        </w:rPr>
        <w:t>Mention the challenges along with percentages first and then provide this reference point.</w:t>
      </w:r>
    </w:p>
  </w:comment>
  <w:comment w:id="18" w:author="Dr Nilam wavhal" w:date="2025-11-15T12:27:00Z" w:initials="Dw">
    <w:p w14:paraId="1DB984E3" w14:textId="77777777" w:rsidR="000E0D85" w:rsidRDefault="000E0D85" w:rsidP="000E0D85">
      <w:pPr>
        <w:pStyle w:val="CommentText"/>
      </w:pPr>
      <w:r>
        <w:rPr>
          <w:rStyle w:val="CommentReference"/>
        </w:rPr>
        <w:annotationRef/>
      </w:r>
      <w:r>
        <w:rPr>
          <w:lang w:val="en-IN"/>
        </w:rPr>
        <w:t>Mention the percentage of digital users</w:t>
      </w:r>
    </w:p>
  </w:comment>
  <w:comment w:id="19" w:author="Dr Nilam wavhal" w:date="2025-11-15T12:42:00Z" w:initials="Dw">
    <w:p w14:paraId="299A9E10" w14:textId="77777777" w:rsidR="00010804" w:rsidRDefault="00010804" w:rsidP="00010804">
      <w:pPr>
        <w:pStyle w:val="CommentText"/>
      </w:pPr>
      <w:r>
        <w:rPr>
          <w:rStyle w:val="CommentReference"/>
        </w:rPr>
        <w:annotationRef/>
      </w:r>
      <w:r>
        <w:rPr>
          <w:lang w:val="en-IN"/>
        </w:rPr>
        <w:t xml:space="preserve">Table 1 and Table 2 have not been cited in the text </w:t>
      </w:r>
    </w:p>
  </w:comment>
  <w:comment w:id="20" w:author="Dr Nilam wavhal" w:date="2025-11-15T13:00:00Z" w:initials="Dw">
    <w:p w14:paraId="42F12443" w14:textId="77777777" w:rsidR="00D82D6D" w:rsidRDefault="00D82D6D" w:rsidP="00D82D6D">
      <w:pPr>
        <w:pStyle w:val="CommentText"/>
      </w:pPr>
      <w:r>
        <w:rPr>
          <w:rStyle w:val="CommentReference"/>
        </w:rPr>
        <w:annotationRef/>
      </w:r>
      <w:r>
        <w:rPr>
          <w:lang w:val="en-IN"/>
        </w:rPr>
        <w:t>Complete the sentence</w:t>
      </w:r>
    </w:p>
  </w:comment>
  <w:comment w:id="21" w:author="Dr Nilam wavhal" w:date="2025-11-15T12:48:00Z" w:initials="Dw">
    <w:p w14:paraId="76E0AFA6" w14:textId="644A701A" w:rsidR="00010804" w:rsidRDefault="00010804" w:rsidP="00010804">
      <w:pPr>
        <w:pStyle w:val="CommentText"/>
      </w:pPr>
      <w:r>
        <w:rPr>
          <w:rStyle w:val="CommentReference"/>
        </w:rPr>
        <w:annotationRef/>
      </w:r>
      <w:r>
        <w:rPr>
          <w:lang w:val="en-IN"/>
        </w:rPr>
        <w:t>Mention the scoring of questionnaire in material method section</w:t>
      </w:r>
    </w:p>
  </w:comment>
  <w:comment w:id="22" w:author="Dr Nilam wavhal" w:date="2025-11-15T12:52:00Z" w:initials="Dw">
    <w:p w14:paraId="1C744B8A" w14:textId="77777777" w:rsidR="00D82D6D" w:rsidRDefault="00D82D6D" w:rsidP="00D82D6D">
      <w:pPr>
        <w:pStyle w:val="CommentText"/>
      </w:pPr>
      <w:r>
        <w:rPr>
          <w:rStyle w:val="CommentReference"/>
        </w:rPr>
        <w:annotationRef/>
      </w:r>
      <w:r>
        <w:rPr>
          <w:lang w:val="en-IN"/>
        </w:rPr>
        <w:t>Remove fullstop. Shorten the heading</w:t>
      </w:r>
    </w:p>
  </w:comment>
  <w:comment w:id="23" w:author="Dr Nilam wavhal" w:date="2025-11-15T12:59:00Z" w:initials="Dw">
    <w:p w14:paraId="7B64A565" w14:textId="77777777" w:rsidR="00D82D6D" w:rsidRDefault="00D82D6D" w:rsidP="00D82D6D">
      <w:pPr>
        <w:pStyle w:val="CommentText"/>
      </w:pPr>
      <w:r>
        <w:rPr>
          <w:rStyle w:val="CommentReference"/>
        </w:rPr>
        <w:annotationRef/>
      </w:r>
      <w:r>
        <w:rPr>
          <w:lang w:val="en-IN"/>
        </w:rPr>
        <w:t>Fullstop. Kindly check overall for grammatical errors</w:t>
      </w:r>
    </w:p>
  </w:comment>
  <w:comment w:id="24" w:author="Dr Nilam wavhal" w:date="2025-11-15T16:30:00Z" w:initials="Dw">
    <w:p w14:paraId="2412684E" w14:textId="77777777" w:rsidR="001B798F" w:rsidRDefault="001B798F" w:rsidP="001B798F">
      <w:pPr>
        <w:pStyle w:val="CommentText"/>
      </w:pPr>
      <w:r>
        <w:rPr>
          <w:rStyle w:val="CommentReference"/>
        </w:rPr>
        <w:annotationRef/>
      </w:r>
      <w:r>
        <w:rPr>
          <w:lang w:val="en-IN"/>
        </w:rPr>
        <w:t>Mention this in material method section under ethical approval heading</w:t>
      </w:r>
    </w:p>
  </w:comment>
  <w:comment w:id="25" w:author="Dr Nilam wavhal" w:date="2025-11-15T16:29:00Z" w:initials="Dw">
    <w:p w14:paraId="60FA611C" w14:textId="1D3E8CDD" w:rsidR="001B798F" w:rsidRDefault="001B798F" w:rsidP="001B798F">
      <w:pPr>
        <w:pStyle w:val="CommentText"/>
      </w:pPr>
      <w:r>
        <w:rPr>
          <w:rStyle w:val="CommentReference"/>
        </w:rPr>
        <w:annotationRef/>
      </w:r>
      <w:r>
        <w:rPr>
          <w:lang w:val="en-IN"/>
        </w:rPr>
        <w:t>Mention this details in material methods section under ethical approval section. Please provide the approval date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9F0127" w15:done="0"/>
  <w15:commentEx w15:paraId="406BF7E4" w15:done="0"/>
  <w15:commentEx w15:paraId="31F41FC4" w15:done="0"/>
  <w15:commentEx w15:paraId="5AA45C4F" w15:done="0"/>
  <w15:commentEx w15:paraId="16AEAD90" w15:done="0"/>
  <w15:commentEx w15:paraId="5F7A9932" w15:done="0"/>
  <w15:commentEx w15:paraId="44B539FC" w15:done="0"/>
  <w15:commentEx w15:paraId="06285C7C" w15:done="0"/>
  <w15:commentEx w15:paraId="42ED3660" w15:done="0"/>
  <w15:commentEx w15:paraId="772BB963" w15:done="0"/>
  <w15:commentEx w15:paraId="5D8CAD6D" w15:done="0"/>
  <w15:commentEx w15:paraId="5753A128" w15:done="0"/>
  <w15:commentEx w15:paraId="03AD3DEC" w15:done="0"/>
  <w15:commentEx w15:paraId="4AE06C42" w15:done="0"/>
  <w15:commentEx w15:paraId="602EE245" w15:done="0"/>
  <w15:commentEx w15:paraId="1DB984E3" w15:done="0"/>
  <w15:commentEx w15:paraId="299A9E10" w15:done="0"/>
  <w15:commentEx w15:paraId="42F12443" w15:done="0"/>
  <w15:commentEx w15:paraId="76E0AFA6" w15:done="0"/>
  <w15:commentEx w15:paraId="1C744B8A" w15:done="0"/>
  <w15:commentEx w15:paraId="7B64A565" w15:done="0"/>
  <w15:commentEx w15:paraId="2412684E" w15:done="0"/>
  <w15:commentEx w15:paraId="60FA61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D0D1F3" w16cex:dateUtc="2025-11-15T07:32:00Z"/>
  <w16cex:commentExtensible w16cex:durableId="0CD2D6F2" w16cex:dateUtc="2025-11-15T07:35:00Z"/>
  <w16cex:commentExtensible w16cex:durableId="643BB4B3" w16cex:dateUtc="2025-11-15T07:36:00Z"/>
  <w16cex:commentExtensible w16cex:durableId="078F63F9" w16cex:dateUtc="2025-11-15T06:15:00Z"/>
  <w16cex:commentExtensible w16cex:durableId="6371FCC3" w16cex:dateUtc="2025-11-15T06:22:00Z"/>
  <w16cex:commentExtensible w16cex:durableId="6BD0C845" w16cex:dateUtc="2025-11-15T06:27:00Z"/>
  <w16cex:commentExtensible w16cex:durableId="0070E8CC" w16cex:dateUtc="2025-11-15T06:24:00Z"/>
  <w16cex:commentExtensible w16cex:durableId="540DA2A8" w16cex:dateUtc="2025-11-15T06:31:00Z"/>
  <w16cex:commentExtensible w16cex:durableId="7E9DE4A8" w16cex:dateUtc="2025-11-15T07:47:00Z"/>
  <w16cex:commentExtensible w16cex:durableId="51AAC9DB" w16cex:dateUtc="2025-11-15T06:36:00Z"/>
  <w16cex:commentExtensible w16cex:durableId="3EECA984" w16cex:dateUtc="2025-11-15T06:52:00Z"/>
  <w16cex:commentExtensible w16cex:durableId="78E627E6" w16cex:dateUtc="2025-11-15T06:40:00Z"/>
  <w16cex:commentExtensible w16cex:durableId="02C1598F" w16cex:dateUtc="2025-11-15T06:46:00Z"/>
  <w16cex:commentExtensible w16cex:durableId="3EF5293D" w16cex:dateUtc="2025-11-15T07:51:00Z"/>
  <w16cex:commentExtensible w16cex:durableId="3E2F222C" w16cex:dateUtc="2025-11-15T06:55:00Z"/>
  <w16cex:commentExtensible w16cex:durableId="5E89E996" w16cex:dateUtc="2025-11-15T06:57:00Z"/>
  <w16cex:commentExtensible w16cex:durableId="37133B45" w16cex:dateUtc="2025-11-15T07:12:00Z"/>
  <w16cex:commentExtensible w16cex:durableId="65DF0678" w16cex:dateUtc="2025-11-15T07:30:00Z"/>
  <w16cex:commentExtensible w16cex:durableId="31E1665F" w16cex:dateUtc="2025-11-15T07:18:00Z"/>
  <w16cex:commentExtensible w16cex:durableId="544A53CE" w16cex:dateUtc="2025-11-15T07:22:00Z"/>
  <w16cex:commentExtensible w16cex:durableId="245FAD8D" w16cex:dateUtc="2025-11-15T07:29:00Z"/>
  <w16cex:commentExtensible w16cex:durableId="3236D5F0" w16cex:dateUtc="2025-11-15T11:00:00Z"/>
  <w16cex:commentExtensible w16cex:durableId="5E11818F" w16cex:dateUtc="2025-11-15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9F0127" w16cid:durableId="60D0D1F3"/>
  <w16cid:commentId w16cid:paraId="406BF7E4" w16cid:durableId="0CD2D6F2"/>
  <w16cid:commentId w16cid:paraId="31F41FC4" w16cid:durableId="643BB4B3"/>
  <w16cid:commentId w16cid:paraId="5AA45C4F" w16cid:durableId="078F63F9"/>
  <w16cid:commentId w16cid:paraId="16AEAD90" w16cid:durableId="6371FCC3"/>
  <w16cid:commentId w16cid:paraId="5F7A9932" w16cid:durableId="6BD0C845"/>
  <w16cid:commentId w16cid:paraId="44B539FC" w16cid:durableId="0070E8CC"/>
  <w16cid:commentId w16cid:paraId="06285C7C" w16cid:durableId="540DA2A8"/>
  <w16cid:commentId w16cid:paraId="42ED3660" w16cid:durableId="7E9DE4A8"/>
  <w16cid:commentId w16cid:paraId="772BB963" w16cid:durableId="51AAC9DB"/>
  <w16cid:commentId w16cid:paraId="5D8CAD6D" w16cid:durableId="3EECA984"/>
  <w16cid:commentId w16cid:paraId="5753A128" w16cid:durableId="78E627E6"/>
  <w16cid:commentId w16cid:paraId="03AD3DEC" w16cid:durableId="02C1598F"/>
  <w16cid:commentId w16cid:paraId="4AE06C42" w16cid:durableId="3EF5293D"/>
  <w16cid:commentId w16cid:paraId="602EE245" w16cid:durableId="3E2F222C"/>
  <w16cid:commentId w16cid:paraId="1DB984E3" w16cid:durableId="5E89E996"/>
  <w16cid:commentId w16cid:paraId="299A9E10" w16cid:durableId="37133B45"/>
  <w16cid:commentId w16cid:paraId="42F12443" w16cid:durableId="65DF0678"/>
  <w16cid:commentId w16cid:paraId="76E0AFA6" w16cid:durableId="31E1665F"/>
  <w16cid:commentId w16cid:paraId="1C744B8A" w16cid:durableId="544A53CE"/>
  <w16cid:commentId w16cid:paraId="7B64A565" w16cid:durableId="245FAD8D"/>
  <w16cid:commentId w16cid:paraId="2412684E" w16cid:durableId="3236D5F0"/>
  <w16cid:commentId w16cid:paraId="60FA611C" w16cid:durableId="5E118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524A" w14:textId="77777777" w:rsidR="00332197" w:rsidRDefault="00332197">
      <w:r>
        <w:separator/>
      </w:r>
    </w:p>
  </w:endnote>
  <w:endnote w:type="continuationSeparator" w:id="0">
    <w:p w14:paraId="600E624F" w14:textId="77777777" w:rsidR="00332197" w:rsidRDefault="0033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D626" w14:textId="77777777" w:rsidR="00E031B3" w:rsidRDefault="00E0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BA25" w14:textId="4FC06683" w:rsidR="00E031B3" w:rsidRPr="00F424A1" w:rsidRDefault="00E031B3" w:rsidP="00F42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4F77" w14:textId="26913495" w:rsidR="00E031B3" w:rsidRPr="004654A2" w:rsidRDefault="00E031B3" w:rsidP="004654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E11" w14:textId="77777777" w:rsidR="00E031B3" w:rsidRDefault="00E0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E414" w14:textId="77777777" w:rsidR="00332197" w:rsidRDefault="00332197">
      <w:r>
        <w:separator/>
      </w:r>
    </w:p>
  </w:footnote>
  <w:footnote w:type="continuationSeparator" w:id="0">
    <w:p w14:paraId="5305784A" w14:textId="77777777" w:rsidR="00332197" w:rsidRDefault="0033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8B59" w14:textId="5A49CA58" w:rsidR="00E031B3" w:rsidRDefault="00000000">
    <w:pPr>
      <w:pStyle w:val="Header"/>
    </w:pPr>
    <w:r>
      <w:rPr>
        <w:noProof/>
      </w:rPr>
      <w:pict w14:anchorId="34988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62EA" w14:textId="22ABE729" w:rsidR="00A85829" w:rsidRDefault="00000000">
    <w:pPr>
      <w:pStyle w:val="Header"/>
    </w:pPr>
    <w:r>
      <w:rPr>
        <w:noProof/>
      </w:rPr>
      <w:pict w14:anchorId="1BBF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C8DC" w14:textId="2B0B50F8" w:rsidR="00E031B3" w:rsidRDefault="00000000">
    <w:pPr>
      <w:ind w:left="2160"/>
      <w:jc w:val="center"/>
      <w:rPr>
        <w:rFonts w:ascii="Times New Roman" w:eastAsia="Calibri" w:hAnsi="Times New Roman"/>
        <w:i/>
        <w:sz w:val="18"/>
        <w:szCs w:val="22"/>
      </w:rPr>
    </w:pPr>
    <w:r>
      <w:rPr>
        <w:noProof/>
      </w:rPr>
      <w:pict w14:anchorId="7D226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EB8898" w14:textId="77777777" w:rsidR="00E031B3" w:rsidRDefault="00A03E8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6E425FC" w14:textId="77777777" w:rsidR="00E031B3" w:rsidRDefault="00A03E87">
    <w:pPr>
      <w:jc w:val="center"/>
      <w:rPr>
        <w:rFonts w:ascii="Times New Roman" w:eastAsia="Calibri" w:hAnsi="Times New Roman"/>
        <w:i/>
        <w:sz w:val="18"/>
        <w:szCs w:val="22"/>
      </w:rPr>
    </w:pPr>
    <w:r>
      <w:rPr>
        <w:rFonts w:ascii="Times New Roman" w:eastAsia="Calibri" w:hAnsi="Times New Roman"/>
        <w:i/>
        <w:sz w:val="18"/>
        <w:szCs w:val="22"/>
      </w:rPr>
      <w:t>.</w:t>
    </w:r>
  </w:p>
  <w:p w14:paraId="4991E447" w14:textId="77777777" w:rsidR="00E031B3" w:rsidRDefault="00A03E8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EF4650" w14:textId="77777777" w:rsidR="00E031B3" w:rsidRDefault="00A03E8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269790E" w14:textId="77777777" w:rsidR="00E031B3" w:rsidRDefault="00A03E8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55C9A8" w14:textId="77777777" w:rsidR="00E031B3" w:rsidRDefault="00A03E8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93DD" w14:textId="56F1F11C" w:rsidR="00A85829" w:rsidRDefault="00000000">
    <w:pPr>
      <w:pStyle w:val="Header"/>
    </w:pPr>
    <w:r>
      <w:rPr>
        <w:noProof/>
      </w:rPr>
      <w:pict w14:anchorId="5BB20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2BAB" w14:textId="1A386FA1" w:rsidR="00A85829" w:rsidRDefault="00000000">
    <w:pPr>
      <w:pStyle w:val="Header"/>
    </w:pPr>
    <w:r>
      <w:rPr>
        <w:noProof/>
      </w:rPr>
      <w:pict w14:anchorId="7C5D1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E84" w14:textId="0804371F" w:rsidR="00A85829" w:rsidRDefault="00000000">
    <w:pPr>
      <w:pStyle w:val="Header"/>
    </w:pPr>
    <w:r>
      <w:rPr>
        <w:noProof/>
      </w:rPr>
      <w:pict w14:anchorId="3CB50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9503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0A17"/>
    <w:multiLevelType w:val="singleLevel"/>
    <w:tmpl w:val="223F0A17"/>
    <w:lvl w:ilvl="0">
      <w:start w:val="1"/>
      <w:numFmt w:val="lowerLetter"/>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256136837">
    <w:abstractNumId w:val="1"/>
  </w:num>
  <w:num w:numId="2" w16cid:durableId="1018309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Nilam wavhal">
    <w15:presenceInfo w15:providerId="Windows Live" w15:userId="111c8280b254c2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804"/>
    <w:rsid w:val="00023BF6"/>
    <w:rsid w:val="00030174"/>
    <w:rsid w:val="00032C76"/>
    <w:rsid w:val="000452CF"/>
    <w:rsid w:val="0004579C"/>
    <w:rsid w:val="000A47FA"/>
    <w:rsid w:val="000A65D3"/>
    <w:rsid w:val="000B1E33"/>
    <w:rsid w:val="000D689F"/>
    <w:rsid w:val="000D7F67"/>
    <w:rsid w:val="000E0D85"/>
    <w:rsid w:val="000E7B7B"/>
    <w:rsid w:val="000E7D62"/>
    <w:rsid w:val="00103357"/>
    <w:rsid w:val="00123C9F"/>
    <w:rsid w:val="0012414E"/>
    <w:rsid w:val="00126190"/>
    <w:rsid w:val="00130F17"/>
    <w:rsid w:val="001320BF"/>
    <w:rsid w:val="00163BC4"/>
    <w:rsid w:val="00191062"/>
    <w:rsid w:val="00192B72"/>
    <w:rsid w:val="001A29D8"/>
    <w:rsid w:val="001A5CAA"/>
    <w:rsid w:val="001B0427"/>
    <w:rsid w:val="001B798F"/>
    <w:rsid w:val="001D1257"/>
    <w:rsid w:val="001D3A51"/>
    <w:rsid w:val="001E10D2"/>
    <w:rsid w:val="001E25B4"/>
    <w:rsid w:val="001E44FE"/>
    <w:rsid w:val="001F1F63"/>
    <w:rsid w:val="001F4191"/>
    <w:rsid w:val="00200595"/>
    <w:rsid w:val="00204835"/>
    <w:rsid w:val="00231920"/>
    <w:rsid w:val="0023195C"/>
    <w:rsid w:val="002418C8"/>
    <w:rsid w:val="0024282C"/>
    <w:rsid w:val="002460DC"/>
    <w:rsid w:val="00250985"/>
    <w:rsid w:val="002556F6"/>
    <w:rsid w:val="00263F34"/>
    <w:rsid w:val="00283105"/>
    <w:rsid w:val="00284C4C"/>
    <w:rsid w:val="00287E68"/>
    <w:rsid w:val="00296529"/>
    <w:rsid w:val="002B27FB"/>
    <w:rsid w:val="002B685A"/>
    <w:rsid w:val="002C57D2"/>
    <w:rsid w:val="002E0D56"/>
    <w:rsid w:val="00300AAB"/>
    <w:rsid w:val="00315186"/>
    <w:rsid w:val="00330F7B"/>
    <w:rsid w:val="00332197"/>
    <w:rsid w:val="0033343E"/>
    <w:rsid w:val="003512C2"/>
    <w:rsid w:val="00371FB6"/>
    <w:rsid w:val="003763C1"/>
    <w:rsid w:val="00376BBE"/>
    <w:rsid w:val="0039224F"/>
    <w:rsid w:val="003A43A4"/>
    <w:rsid w:val="003A7E18"/>
    <w:rsid w:val="003B6F81"/>
    <w:rsid w:val="003C1EC0"/>
    <w:rsid w:val="003C4C86"/>
    <w:rsid w:val="003C6258"/>
    <w:rsid w:val="003D3321"/>
    <w:rsid w:val="003E2904"/>
    <w:rsid w:val="00401927"/>
    <w:rsid w:val="004058A5"/>
    <w:rsid w:val="0041027F"/>
    <w:rsid w:val="00412475"/>
    <w:rsid w:val="00415852"/>
    <w:rsid w:val="0042267C"/>
    <w:rsid w:val="00423789"/>
    <w:rsid w:val="00440F43"/>
    <w:rsid w:val="00441B6F"/>
    <w:rsid w:val="00446221"/>
    <w:rsid w:val="00450E62"/>
    <w:rsid w:val="004539DB"/>
    <w:rsid w:val="00455F47"/>
    <w:rsid w:val="004654A2"/>
    <w:rsid w:val="00471A80"/>
    <w:rsid w:val="004B67A8"/>
    <w:rsid w:val="004D305E"/>
    <w:rsid w:val="004D4277"/>
    <w:rsid w:val="00502516"/>
    <w:rsid w:val="00505F06"/>
    <w:rsid w:val="00506828"/>
    <w:rsid w:val="0053056E"/>
    <w:rsid w:val="00546489"/>
    <w:rsid w:val="00554FDA"/>
    <w:rsid w:val="005840B8"/>
    <w:rsid w:val="005C784C"/>
    <w:rsid w:val="005D17F6"/>
    <w:rsid w:val="005E4F35"/>
    <w:rsid w:val="005E5539"/>
    <w:rsid w:val="005E593F"/>
    <w:rsid w:val="00602BF5"/>
    <w:rsid w:val="00617FDD"/>
    <w:rsid w:val="00633614"/>
    <w:rsid w:val="00633F68"/>
    <w:rsid w:val="00635028"/>
    <w:rsid w:val="00636EB2"/>
    <w:rsid w:val="006375B8"/>
    <w:rsid w:val="006551C9"/>
    <w:rsid w:val="0066510A"/>
    <w:rsid w:val="00673F9F"/>
    <w:rsid w:val="00685DC3"/>
    <w:rsid w:val="00686953"/>
    <w:rsid w:val="00687DEA"/>
    <w:rsid w:val="00687E67"/>
    <w:rsid w:val="00690D3B"/>
    <w:rsid w:val="006967F7"/>
    <w:rsid w:val="006A250C"/>
    <w:rsid w:val="006B21D3"/>
    <w:rsid w:val="006B57D0"/>
    <w:rsid w:val="006D30FF"/>
    <w:rsid w:val="006D6940"/>
    <w:rsid w:val="006F11EC"/>
    <w:rsid w:val="006F563B"/>
    <w:rsid w:val="0070082C"/>
    <w:rsid w:val="007369E6"/>
    <w:rsid w:val="00746E59"/>
    <w:rsid w:val="00754C9A"/>
    <w:rsid w:val="0075599A"/>
    <w:rsid w:val="00761D52"/>
    <w:rsid w:val="007768C5"/>
    <w:rsid w:val="0077749E"/>
    <w:rsid w:val="00790ADA"/>
    <w:rsid w:val="007B04AA"/>
    <w:rsid w:val="007D2288"/>
    <w:rsid w:val="007E088F"/>
    <w:rsid w:val="007F7B32"/>
    <w:rsid w:val="00804BC2"/>
    <w:rsid w:val="0081431A"/>
    <w:rsid w:val="00823D08"/>
    <w:rsid w:val="0083216F"/>
    <w:rsid w:val="008436E1"/>
    <w:rsid w:val="00860000"/>
    <w:rsid w:val="00863BD3"/>
    <w:rsid w:val="008641ED"/>
    <w:rsid w:val="00866D66"/>
    <w:rsid w:val="008671C6"/>
    <w:rsid w:val="00875803"/>
    <w:rsid w:val="008B459E"/>
    <w:rsid w:val="008E13AE"/>
    <w:rsid w:val="008E1506"/>
    <w:rsid w:val="008E710C"/>
    <w:rsid w:val="008F69D6"/>
    <w:rsid w:val="00902823"/>
    <w:rsid w:val="00915CA6"/>
    <w:rsid w:val="00927687"/>
    <w:rsid w:val="00927834"/>
    <w:rsid w:val="009500A6"/>
    <w:rsid w:val="00957C18"/>
    <w:rsid w:val="009659BA"/>
    <w:rsid w:val="0098226D"/>
    <w:rsid w:val="00983040"/>
    <w:rsid w:val="00997103"/>
    <w:rsid w:val="009B0557"/>
    <w:rsid w:val="009B3FB9"/>
    <w:rsid w:val="009C2465"/>
    <w:rsid w:val="009C3391"/>
    <w:rsid w:val="009C4431"/>
    <w:rsid w:val="009D35A0"/>
    <w:rsid w:val="009D7EB7"/>
    <w:rsid w:val="009E048A"/>
    <w:rsid w:val="009E08E9"/>
    <w:rsid w:val="009E3DB9"/>
    <w:rsid w:val="009E6E35"/>
    <w:rsid w:val="009F0EDA"/>
    <w:rsid w:val="009F332E"/>
    <w:rsid w:val="00A03B96"/>
    <w:rsid w:val="00A03E87"/>
    <w:rsid w:val="00A05B19"/>
    <w:rsid w:val="00A1134E"/>
    <w:rsid w:val="00A24E7E"/>
    <w:rsid w:val="00A258C3"/>
    <w:rsid w:val="00A347C0"/>
    <w:rsid w:val="00A35283"/>
    <w:rsid w:val="00A51431"/>
    <w:rsid w:val="00A51E97"/>
    <w:rsid w:val="00A539AD"/>
    <w:rsid w:val="00A85829"/>
    <w:rsid w:val="00A94063"/>
    <w:rsid w:val="00AA497E"/>
    <w:rsid w:val="00AA6219"/>
    <w:rsid w:val="00AA74E0"/>
    <w:rsid w:val="00AB2B5E"/>
    <w:rsid w:val="00AB703F"/>
    <w:rsid w:val="00AC4932"/>
    <w:rsid w:val="00AC6BB8"/>
    <w:rsid w:val="00AE008F"/>
    <w:rsid w:val="00B01FCD"/>
    <w:rsid w:val="00B1776C"/>
    <w:rsid w:val="00B424E1"/>
    <w:rsid w:val="00B52583"/>
    <w:rsid w:val="00B52896"/>
    <w:rsid w:val="00B86BAE"/>
    <w:rsid w:val="00B91A7E"/>
    <w:rsid w:val="00B95236"/>
    <w:rsid w:val="00B96BD9"/>
    <w:rsid w:val="00BA1B01"/>
    <w:rsid w:val="00BA2641"/>
    <w:rsid w:val="00BB2828"/>
    <w:rsid w:val="00BB37AA"/>
    <w:rsid w:val="00BB42D1"/>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9AE"/>
    <w:rsid w:val="00D173F1"/>
    <w:rsid w:val="00D705FE"/>
    <w:rsid w:val="00D74CB0"/>
    <w:rsid w:val="00D8295D"/>
    <w:rsid w:val="00D82D6D"/>
    <w:rsid w:val="00DA6FC5"/>
    <w:rsid w:val="00DC2A65"/>
    <w:rsid w:val="00DE15F0"/>
    <w:rsid w:val="00DE5663"/>
    <w:rsid w:val="00DE78AA"/>
    <w:rsid w:val="00E031B3"/>
    <w:rsid w:val="00E053D0"/>
    <w:rsid w:val="00E15994"/>
    <w:rsid w:val="00E3114E"/>
    <w:rsid w:val="00E31A70"/>
    <w:rsid w:val="00E32107"/>
    <w:rsid w:val="00E35B02"/>
    <w:rsid w:val="00E66496"/>
    <w:rsid w:val="00E66B35"/>
    <w:rsid w:val="00E66E10"/>
    <w:rsid w:val="00E769F6"/>
    <w:rsid w:val="00E8407C"/>
    <w:rsid w:val="00E84F3C"/>
    <w:rsid w:val="00EA012C"/>
    <w:rsid w:val="00EC6A55"/>
    <w:rsid w:val="00ED0288"/>
    <w:rsid w:val="00EE52CB"/>
    <w:rsid w:val="00EE5B75"/>
    <w:rsid w:val="00EF581D"/>
    <w:rsid w:val="00EF7FD8"/>
    <w:rsid w:val="00F06F59"/>
    <w:rsid w:val="00F118E8"/>
    <w:rsid w:val="00F13A19"/>
    <w:rsid w:val="00F17988"/>
    <w:rsid w:val="00F42210"/>
    <w:rsid w:val="00F424A1"/>
    <w:rsid w:val="00F44D0A"/>
    <w:rsid w:val="00F469F0"/>
    <w:rsid w:val="00F53273"/>
    <w:rsid w:val="00F755E4"/>
    <w:rsid w:val="00F77D02"/>
    <w:rsid w:val="00F9608A"/>
    <w:rsid w:val="00FB1C0D"/>
    <w:rsid w:val="00FB3A86"/>
    <w:rsid w:val="00FB56C3"/>
    <w:rsid w:val="00FD36C8"/>
    <w:rsid w:val="3828754C"/>
    <w:rsid w:val="3F934EDE"/>
    <w:rsid w:val="41EC2545"/>
    <w:rsid w:val="43F6272E"/>
    <w:rsid w:val="6B770D4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BA444A"/>
  <w15:docId w15:val="{CFCDAFB2-B9BC-4453-8119-A04A65A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character" w:styleId="UnresolvedMention">
    <w:name w:val="Unresolved Mention"/>
    <w:basedOn w:val="DefaultParagraphFont"/>
    <w:uiPriority w:val="99"/>
    <w:semiHidden/>
    <w:unhideWhenUsed/>
    <w:rsid w:val="00F424A1"/>
    <w:rPr>
      <w:color w:val="605E5C"/>
      <w:shd w:val="clear" w:color="auto" w:fill="E1DFDD"/>
    </w:rPr>
  </w:style>
  <w:style w:type="paragraph" w:styleId="Revision">
    <w:name w:val="Revision"/>
    <w:hidden/>
    <w:uiPriority w:val="99"/>
    <w:unhideWhenUsed/>
    <w:rsid w:val="00FB1C0D"/>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0207F-2B4D-4AB6-B800-6D20514E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361</TotalTime>
  <Pages>9</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Nilam wavhal</cp:lastModifiedBy>
  <cp:revision>44</cp:revision>
  <cp:lastPrinted>1999-07-06T11:00:00Z</cp:lastPrinted>
  <dcterms:created xsi:type="dcterms:W3CDTF">2014-10-25T14:34:00Z</dcterms:created>
  <dcterms:modified xsi:type="dcterms:W3CDTF">2025-11-15T11:00:00Z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1D17165B02B74378AF898C6B7A7822CB_13</vt:lpwstr>
  </property>
</Properties>
</file>