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330D1" w:rsidRPr="00883A1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6330D1" w:rsidRPr="00883A19">
        <w:trPr>
          <w:trHeight w:val="290"/>
        </w:trPr>
        <w:tc>
          <w:tcPr>
            <w:tcW w:w="1234" w:type="pct"/>
          </w:tcPr>
          <w:p w:rsidR="006330D1" w:rsidRPr="00883A19" w:rsidRDefault="004650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D1" w:rsidRPr="00883A19" w:rsidRDefault="0046509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883A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6330D1" w:rsidRPr="00883A19">
        <w:trPr>
          <w:trHeight w:val="290"/>
        </w:trPr>
        <w:tc>
          <w:tcPr>
            <w:tcW w:w="1234" w:type="pct"/>
          </w:tcPr>
          <w:p w:rsidR="006330D1" w:rsidRPr="00883A19" w:rsidRDefault="004650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Ms_AJEBA_148088</w:t>
            </w:r>
          </w:p>
        </w:tc>
      </w:tr>
      <w:tr w:rsidR="006330D1" w:rsidRPr="00883A19">
        <w:trPr>
          <w:trHeight w:val="650"/>
        </w:trPr>
        <w:tc>
          <w:tcPr>
            <w:tcW w:w="1234" w:type="pct"/>
          </w:tcPr>
          <w:p w:rsidR="006330D1" w:rsidRPr="00883A19" w:rsidRDefault="004650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MSME Sector Emerging as a Leading Gateway for </w:t>
            </w:r>
            <w:proofErr w:type="spellStart"/>
            <w:r w:rsidRPr="00883A19">
              <w:rPr>
                <w:rFonts w:ascii="Arial" w:hAnsi="Arial" w:cs="Arial"/>
                <w:b/>
                <w:sz w:val="20"/>
                <w:szCs w:val="20"/>
                <w:lang w:val="en-GB"/>
              </w:rPr>
              <w:t>Atmanirbhar</w:t>
            </w:r>
            <w:proofErr w:type="spellEnd"/>
            <w:r w:rsidRPr="00883A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Bharat</w:t>
            </w:r>
          </w:p>
        </w:tc>
      </w:tr>
      <w:tr w:rsidR="006330D1" w:rsidRPr="00883A19">
        <w:trPr>
          <w:trHeight w:val="332"/>
        </w:trPr>
        <w:tc>
          <w:tcPr>
            <w:tcW w:w="1234" w:type="pct"/>
          </w:tcPr>
          <w:p w:rsidR="006330D1" w:rsidRPr="00883A19" w:rsidRDefault="004650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330D1" w:rsidRPr="00883A19" w:rsidRDefault="006330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30D1" w:rsidRPr="00883A19" w:rsidRDefault="006330D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330D1" w:rsidRPr="00883A1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330D1" w:rsidRPr="00883A19" w:rsidRDefault="004650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A1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83A19">
              <w:rPr>
                <w:rFonts w:ascii="Arial" w:hAnsi="Arial" w:cs="Arial"/>
                <w:lang w:val="en-GB"/>
              </w:rPr>
              <w:t xml:space="preserve"> Comments</w:t>
            </w:r>
          </w:p>
          <w:p w:rsidR="006330D1" w:rsidRPr="00883A19" w:rsidRDefault="006330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30D1" w:rsidRPr="00883A19">
        <w:tc>
          <w:tcPr>
            <w:tcW w:w="1265" w:type="pct"/>
            <w:noWrap/>
          </w:tcPr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6330D1" w:rsidRPr="00883A19" w:rsidRDefault="004650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A19">
              <w:rPr>
                <w:rFonts w:ascii="Arial" w:hAnsi="Arial" w:cs="Arial"/>
                <w:lang w:val="en-GB"/>
              </w:rPr>
              <w:t>Reviewer’s comment</w:t>
            </w:r>
          </w:p>
          <w:p w:rsidR="006330D1" w:rsidRPr="00883A19" w:rsidRDefault="00465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A1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(AI) generated or assisted review comments are strictly prohibited during </w:t>
            </w:r>
            <w:r w:rsidRPr="00883A1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peer review.</w:t>
            </w:r>
          </w:p>
          <w:p w:rsidR="006330D1" w:rsidRPr="00883A19" w:rsidRDefault="006330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330D1" w:rsidRPr="00883A19" w:rsidRDefault="0046509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3A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3A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0D1" w:rsidRPr="00883A19">
        <w:trPr>
          <w:trHeight w:val="1264"/>
        </w:trPr>
        <w:tc>
          <w:tcPr>
            <w:tcW w:w="1265" w:type="pct"/>
            <w:noWrap/>
          </w:tcPr>
          <w:p w:rsidR="006330D1" w:rsidRPr="00883A19" w:rsidRDefault="004650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minimum of 3-4 sentences may be required for this </w:t>
            </w:r>
            <w:r w:rsidRPr="00883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part.</w:t>
            </w:r>
          </w:p>
          <w:p w:rsidR="006330D1" w:rsidRPr="00883A19" w:rsidRDefault="006330D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explores the crucial role of the MSME sector in advancing the </w:t>
            </w:r>
            <w:proofErr w:type="spellStart"/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Atmanirbhar</w:t>
            </w:r>
            <w:proofErr w:type="spellEnd"/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 xml:space="preserve"> Bharat (Self-Reliant India) initiative. Given the centrality of MSMEs in GDP contribution, employment generation, and regional economic development, the topic 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has high relevance for policymakers, scholars of development economics, and practitioners working in industrial policy. The study synthesizes extensive secondary sources to highlight how MSME-driven structural reforms are pivotal for India’s path toward ec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onomic resilience, domestic manufacturing, and global competitiveness. It contributes to ongoing policy dialogues on national self-reliance and MSME strengthening, which remain important for India’s post-pandemic recovery and long-term growth.</w:t>
            </w:r>
          </w:p>
        </w:tc>
        <w:tc>
          <w:tcPr>
            <w:tcW w:w="1523" w:type="pct"/>
          </w:tcPr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0D1" w:rsidRPr="00883A19">
        <w:trPr>
          <w:trHeight w:val="368"/>
        </w:trPr>
        <w:tc>
          <w:tcPr>
            <w:tcW w:w="1265" w:type="pct"/>
            <w:noWrap/>
          </w:tcPr>
          <w:p w:rsidR="006330D1" w:rsidRPr="00883A19" w:rsidRDefault="004650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</w:t>
            </w:r>
            <w:r w:rsidRPr="00883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of the article suitable?</w:t>
            </w:r>
          </w:p>
          <w:p w:rsidR="006330D1" w:rsidRPr="00883A19" w:rsidRDefault="004650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330D1" w:rsidRPr="00883A19" w:rsidRDefault="0046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Yes, the title is appropriate and clearly reflects the scope and central argument of the manuscript. No change is required.</w:t>
            </w:r>
          </w:p>
        </w:tc>
        <w:tc>
          <w:tcPr>
            <w:tcW w:w="1523" w:type="pct"/>
          </w:tcPr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0D1" w:rsidRPr="00883A19">
        <w:trPr>
          <w:trHeight w:val="1262"/>
        </w:trPr>
        <w:tc>
          <w:tcPr>
            <w:tcW w:w="1265" w:type="pct"/>
            <w:noWrap/>
          </w:tcPr>
          <w:p w:rsidR="006330D1" w:rsidRPr="00883A19" w:rsidRDefault="004650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83A19">
              <w:rPr>
                <w:rFonts w:ascii="Arial" w:hAnsi="Arial" w:cs="Arial"/>
                <w:lang w:val="en-GB"/>
              </w:rPr>
              <w:t xml:space="preserve">Is the abstract of the article comprehensive? Do you </w:t>
            </w:r>
            <w:r w:rsidRPr="00883A19">
              <w:rPr>
                <w:rFonts w:ascii="Arial" w:hAnsi="Arial" w:cs="Arial"/>
                <w:lang w:val="en-GB"/>
              </w:rPr>
              <w:t>suggest the addition (or deletion) of some points in this section? Please write your suggestions here.</w:t>
            </w:r>
          </w:p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330D1" w:rsidRPr="00883A19" w:rsidRDefault="0046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provides an overview of the MSME sector’s role in </w:t>
            </w:r>
            <w:proofErr w:type="spellStart"/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Atmanirbhar</w:t>
            </w:r>
            <w:proofErr w:type="spellEnd"/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 xml:space="preserve"> Bharat and highlights major components of the initiative. However, the abstra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ct could be improved by:</w:t>
            </w:r>
          </w:p>
          <w:p w:rsidR="006330D1" w:rsidRPr="00883A19" w:rsidRDefault="0046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ab/>
              <w:t>Including clearer mention of the article’s methodology (secondary data, qualitative/descriptive approach).</w:t>
            </w:r>
          </w:p>
          <w:p w:rsidR="006330D1" w:rsidRPr="00883A19" w:rsidRDefault="0046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ab/>
              <w:t>Avoiding broad general statements and tightening language for clarity.</w:t>
            </w:r>
          </w:p>
          <w:p w:rsidR="006330D1" w:rsidRPr="00883A19" w:rsidRDefault="0046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ab/>
              <w:t>Adding 1–2 sentences summarizing specific fi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ndings or insights.</w:t>
            </w:r>
          </w:p>
          <w:p w:rsidR="006330D1" w:rsidRPr="00883A19" w:rsidRDefault="006330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30D1" w:rsidRPr="00883A19" w:rsidRDefault="004650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Overall, the abstract is informative but would benefit from refinement.</w:t>
            </w:r>
          </w:p>
        </w:tc>
        <w:tc>
          <w:tcPr>
            <w:tcW w:w="1523" w:type="pct"/>
          </w:tcPr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0D1" w:rsidRPr="00883A19">
        <w:trPr>
          <w:trHeight w:val="704"/>
        </w:trPr>
        <w:tc>
          <w:tcPr>
            <w:tcW w:w="1265" w:type="pct"/>
            <w:noWrap/>
          </w:tcPr>
          <w:p w:rsidR="006330D1" w:rsidRPr="00883A19" w:rsidRDefault="0046509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83A1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conceptually sound and draws on a wide range of secondary sources to examine the 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policy environment supporting MSMEs. It is descriptive in nature, and for a qualitative review article, it is scientifically acceptable. The structure is logical, and the manuscript includes important policy frameworks, SWOC analysis, government schemes, a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nd program outcomes.</w:t>
            </w:r>
          </w:p>
          <w:p w:rsidR="006330D1" w:rsidRPr="00883A19" w:rsidRDefault="006330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the following issues require attention:</w:t>
            </w: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 xml:space="preserve">The paper lacks a clearly defined methodological section describing how sources were selected or </w:t>
            </w:r>
            <w:proofErr w:type="spellStart"/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analyzed</w:t>
            </w:r>
            <w:proofErr w:type="spellEnd"/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Some sections are repetitive and can be streamlined for clarity.</w:t>
            </w: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Figu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 are included, but interpretation and citation should be strengthened.</w:t>
            </w: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There is no critical analysis of challenges versus policy outcomes; more analytical depth would improve academic rigor.</w:t>
            </w:r>
          </w:p>
        </w:tc>
        <w:tc>
          <w:tcPr>
            <w:tcW w:w="1523" w:type="pct"/>
          </w:tcPr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0D1" w:rsidRPr="00883A19">
        <w:trPr>
          <w:trHeight w:val="703"/>
        </w:trPr>
        <w:tc>
          <w:tcPr>
            <w:tcW w:w="1265" w:type="pct"/>
            <w:noWrap/>
          </w:tcPr>
          <w:p w:rsidR="006330D1" w:rsidRPr="00883A19" w:rsidRDefault="004650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 w:rsidRPr="00883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suggestions of additional references, please mention them in the review form.</w:t>
            </w:r>
          </w:p>
        </w:tc>
        <w:tc>
          <w:tcPr>
            <w:tcW w:w="2212" w:type="pct"/>
          </w:tcPr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numerous and include both academic and governmental sources. However:</w:t>
            </w: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The formatting is inconsistent.</w:t>
            </w: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Some references lack complete details (e.g., missin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g volume, issue, publisher information).</w:t>
            </w: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Many URLs are repeated; consolidation is needed.</w:t>
            </w: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 xml:space="preserve">The manuscript would benefit from inclusion of more recent (2023–2024) peer-reviewed articles on MSME digitalization, post-COVID resilience, and supply chain 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capacities.</w:t>
            </w:r>
          </w:p>
          <w:p w:rsidR="006330D1" w:rsidRPr="00883A19" w:rsidRDefault="006330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0D1" w:rsidRPr="00883A19" w:rsidRDefault="00465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the references are adequate but should be improved in quality and consistency.</w:t>
            </w:r>
          </w:p>
        </w:tc>
        <w:tc>
          <w:tcPr>
            <w:tcW w:w="1523" w:type="pct"/>
          </w:tcPr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0D1" w:rsidRPr="00883A19">
        <w:trPr>
          <w:trHeight w:val="386"/>
        </w:trPr>
        <w:tc>
          <w:tcPr>
            <w:tcW w:w="1265" w:type="pct"/>
            <w:noWrap/>
          </w:tcPr>
          <w:p w:rsidR="006330D1" w:rsidRPr="00883A19" w:rsidRDefault="0046509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83A19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6330D1" w:rsidRPr="00883A19" w:rsidRDefault="006330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330D1" w:rsidRPr="00883A19" w:rsidRDefault="0046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The language is understandable but needs moderate editing. Several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 xml:space="preserve"> grammatical errors, long sentences, and redundancies reduce readability. A careful proofreading would improve clarity and academic tone.</w:t>
            </w:r>
          </w:p>
        </w:tc>
        <w:tc>
          <w:tcPr>
            <w:tcW w:w="1523" w:type="pct"/>
          </w:tcPr>
          <w:p w:rsidR="006330D1" w:rsidRPr="00883A19" w:rsidRDefault="006330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30D1" w:rsidRPr="00883A19">
        <w:trPr>
          <w:trHeight w:val="1178"/>
        </w:trPr>
        <w:tc>
          <w:tcPr>
            <w:tcW w:w="1265" w:type="pct"/>
            <w:noWrap/>
          </w:tcPr>
          <w:p w:rsidR="006330D1" w:rsidRPr="00883A19" w:rsidRDefault="004650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83A1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83A1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83A1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The manuscript is rich in descriptive content but should improve analytical depth.</w:t>
            </w:r>
          </w:p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Several sections can be reorganized or merged to avoid repetition.</w:t>
            </w:r>
          </w:p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Data presented in figures and tables should be better integrated into the discussion.</w:t>
            </w:r>
          </w:p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 xml:space="preserve">Adding a conceptual framework or flowchart linking MSMEs → </w:t>
            </w:r>
            <w:proofErr w:type="spellStart"/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Atmanirbhar</w:t>
            </w:r>
            <w:proofErr w:type="spellEnd"/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Bharat pillars → economic 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outcomes may strengthen the article.</w:t>
            </w:r>
          </w:p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•</w:t>
            </w:r>
            <w:r w:rsidRPr="00883A19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A more concise conclusion summarizing key policy recommendations would enhance the paper’s impact.</w:t>
            </w:r>
          </w:p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6330D1" w:rsidRPr="00883A19" w:rsidRDefault="0046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The paper is relevant, well-structured, and provides useful insights, but revisions are required in language, refer</w:t>
            </w:r>
            <w:r w:rsidRPr="00883A19">
              <w:rPr>
                <w:rFonts w:ascii="Arial" w:hAnsi="Arial" w:cs="Arial"/>
                <w:sz w:val="20"/>
                <w:szCs w:val="20"/>
                <w:lang w:val="en-GB"/>
              </w:rPr>
              <w:t>ence formatting, methodological clarity, and reduction of repetition to meet scholarly standards.</w:t>
            </w:r>
          </w:p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330D1" w:rsidRPr="00883A19" w:rsidRDefault="006330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330D1" w:rsidRPr="00883A19" w:rsidRDefault="006330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30D1" w:rsidRPr="00883A19" w:rsidRDefault="006330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330D1" w:rsidRPr="00883A1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83A1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83A1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330D1" w:rsidRPr="00883A19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0D1" w:rsidRPr="00883A19" w:rsidRDefault="004650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A1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6330D1" w:rsidRPr="00883A19" w:rsidRDefault="0046509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3A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3A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330D1" w:rsidRPr="00883A19" w:rsidRDefault="006330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0D1" w:rsidRPr="00883A19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A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3A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3A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3A1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6330D1" w:rsidRPr="00883A19" w:rsidRDefault="0046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83A19">
              <w:rPr>
                <w:rFonts w:ascii="Arial" w:hAnsi="Arial" w:cs="Arial"/>
                <w:sz w:val="20"/>
                <w:szCs w:val="20"/>
              </w:rPr>
              <w:t>No ethical issues were identified. The article uses publicly available secondary data and does not involve human or animal subjects.</w:t>
            </w:r>
          </w:p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6330D1" w:rsidRPr="00883A19" w:rsidRDefault="006330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330D1" w:rsidRPr="00883A19" w:rsidRDefault="006330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330D1" w:rsidRPr="00883A19" w:rsidRDefault="006330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330D1" w:rsidRPr="00883A19" w:rsidRDefault="00633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6330D1" w:rsidRPr="00883A19" w:rsidRDefault="006330D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83A19" w:rsidRPr="00883A19" w:rsidRDefault="00883A1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83A19" w:rsidRPr="00883A19" w:rsidRDefault="00883A19" w:rsidP="00883A19">
      <w:pPr>
        <w:rPr>
          <w:rFonts w:ascii="Arial" w:hAnsi="Arial" w:cs="Arial"/>
          <w:b/>
          <w:sz w:val="20"/>
          <w:szCs w:val="20"/>
        </w:rPr>
      </w:pPr>
    </w:p>
    <w:p w:rsidR="00883A19" w:rsidRPr="00883A19" w:rsidRDefault="00883A19" w:rsidP="00883A19">
      <w:pPr>
        <w:rPr>
          <w:rFonts w:ascii="Arial" w:hAnsi="Arial" w:cs="Arial"/>
          <w:b/>
          <w:sz w:val="20"/>
          <w:szCs w:val="20"/>
          <w:u w:val="single"/>
        </w:rPr>
      </w:pPr>
      <w:r w:rsidRPr="00883A1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83A19" w:rsidRPr="00883A19" w:rsidRDefault="00883A1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83A19" w:rsidRPr="00883A19" w:rsidRDefault="00883A19" w:rsidP="00883A19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4976305"/>
      <w:proofErr w:type="spellStart"/>
      <w:r w:rsidRPr="00883A19">
        <w:rPr>
          <w:rFonts w:ascii="Arial" w:hAnsi="Arial" w:cs="Arial"/>
          <w:b/>
          <w:sz w:val="20"/>
          <w:szCs w:val="20"/>
          <w:lang w:val="en-GB"/>
        </w:rPr>
        <w:t>Champa</w:t>
      </w:r>
      <w:proofErr w:type="spellEnd"/>
      <w:r w:rsidRPr="00883A19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883A19">
        <w:rPr>
          <w:rFonts w:ascii="Arial" w:hAnsi="Arial" w:cs="Arial"/>
          <w:b/>
          <w:sz w:val="20"/>
          <w:szCs w:val="20"/>
          <w:lang w:val="en-GB"/>
        </w:rPr>
        <w:t>Bosu</w:t>
      </w:r>
      <w:proofErr w:type="spellEnd"/>
      <w:r w:rsidRPr="00883A1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883A19">
        <w:rPr>
          <w:rFonts w:ascii="Arial" w:hAnsi="Arial" w:cs="Arial"/>
          <w:b/>
          <w:sz w:val="20"/>
          <w:szCs w:val="20"/>
          <w:lang w:val="en-GB"/>
        </w:rPr>
        <w:t>Chouddagram</w:t>
      </w:r>
      <w:proofErr w:type="spellEnd"/>
      <w:r w:rsidRPr="00883A19">
        <w:rPr>
          <w:rFonts w:ascii="Arial" w:hAnsi="Arial" w:cs="Arial"/>
          <w:b/>
          <w:sz w:val="20"/>
          <w:szCs w:val="20"/>
          <w:lang w:val="en-GB"/>
        </w:rPr>
        <w:t xml:space="preserve"> Government College, Bangladesh</w:t>
      </w:r>
      <w:bookmarkStart w:id="3" w:name="_GoBack"/>
      <w:bookmarkEnd w:id="2"/>
      <w:bookmarkEnd w:id="3"/>
    </w:p>
    <w:sectPr w:rsidR="00883A19" w:rsidRPr="00883A1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9D" w:rsidRDefault="0046509D">
      <w:r>
        <w:separator/>
      </w:r>
    </w:p>
  </w:endnote>
  <w:endnote w:type="continuationSeparator" w:id="0">
    <w:p w:rsidR="0046509D" w:rsidRDefault="0046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D1" w:rsidRDefault="0046509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9D" w:rsidRDefault="0046509D">
      <w:r>
        <w:separator/>
      </w:r>
    </w:p>
  </w:footnote>
  <w:footnote w:type="continuationSeparator" w:id="0">
    <w:p w:rsidR="0046509D" w:rsidRDefault="00465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D1" w:rsidRDefault="006330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330D1" w:rsidRDefault="0046509D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D1"/>
    <w:rsid w:val="0046509D"/>
    <w:rsid w:val="006330D1"/>
    <w:rsid w:val="0088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E0DD6"/>
  <w15:chartTrackingRefBased/>
  <w15:docId w15:val="{25164216-B44A-2143-ABAE-0D1C1DD3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2AA3-47F0-4209-9E80-58A77C12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22</cp:revision>
  <dcterms:created xsi:type="dcterms:W3CDTF">2025-11-22T07:50:00Z</dcterms:created>
  <dcterms:modified xsi:type="dcterms:W3CDTF">2025-11-25T09:48:00Z</dcterms:modified>
</cp:coreProperties>
</file>