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95754" w14:textId="77777777" w:rsidR="00C274D4" w:rsidRPr="00C274D4" w:rsidRDefault="00EC0D13" w:rsidP="00C274D4">
      <w:pPr>
        <w:jc w:val="right"/>
        <w:rPr>
          <w:rFonts w:ascii="Arial" w:hAnsi="Arial" w:cs="Arial"/>
          <w:b/>
          <w:bCs/>
          <w:i/>
          <w:iCs/>
          <w:sz w:val="36"/>
          <w:szCs w:val="36"/>
          <w:u w:val="single"/>
          <w:lang w:val="en-US"/>
        </w:rPr>
      </w:pPr>
      <w:r w:rsidRPr="0007543A">
        <w:rPr>
          <w:rFonts w:ascii="Arial" w:hAnsi="Arial" w:cs="Arial"/>
          <w:sz w:val="36"/>
          <w:szCs w:val="36"/>
          <w:lang w:val="en-US"/>
        </w:rPr>
        <w:t xml:space="preserve"> </w:t>
      </w:r>
      <w:r w:rsidR="00C274D4" w:rsidRPr="00C274D4">
        <w:rPr>
          <w:rFonts w:ascii="Arial" w:hAnsi="Arial" w:cs="Arial"/>
          <w:b/>
          <w:bCs/>
          <w:i/>
          <w:iCs/>
          <w:sz w:val="36"/>
          <w:szCs w:val="36"/>
          <w:u w:val="single"/>
          <w:lang w:val="en-US"/>
        </w:rPr>
        <w:t>Review Article</w:t>
      </w:r>
    </w:p>
    <w:p w14:paraId="4487CE45" w14:textId="0E57F8DA" w:rsidR="00FD00EC" w:rsidRDefault="00EC0D13" w:rsidP="00825864">
      <w:pPr>
        <w:jc w:val="right"/>
        <w:rPr>
          <w:rFonts w:ascii="Arial" w:hAnsi="Arial" w:cs="Arial"/>
          <w:sz w:val="36"/>
          <w:szCs w:val="36"/>
          <w:lang w:val="en-US"/>
        </w:rPr>
      </w:pPr>
      <w:bookmarkStart w:id="0" w:name="_GoBack"/>
      <w:proofErr w:type="spellStart"/>
      <w:r w:rsidRPr="0007543A">
        <w:rPr>
          <w:rFonts w:ascii="Arial" w:hAnsi="Arial" w:cs="Arial"/>
          <w:sz w:val="36"/>
          <w:szCs w:val="36"/>
          <w:lang w:val="en-US"/>
        </w:rPr>
        <w:t>Ligaplants</w:t>
      </w:r>
      <w:proofErr w:type="spellEnd"/>
      <w:r w:rsidRPr="0007543A">
        <w:rPr>
          <w:rFonts w:ascii="Arial" w:hAnsi="Arial" w:cs="Arial"/>
          <w:sz w:val="36"/>
          <w:szCs w:val="36"/>
          <w:lang w:val="en-US"/>
        </w:rPr>
        <w:t xml:space="preserve"> in Implantology: A Paradigm Shift in Regenerative Dental Implants</w:t>
      </w:r>
      <w:bookmarkEnd w:id="0"/>
    </w:p>
    <w:p w14:paraId="03EA5BB0" w14:textId="472666A8" w:rsidR="00BC4FDB" w:rsidRPr="009608CA" w:rsidRDefault="00BC4FDB" w:rsidP="009608CA">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0800" behindDoc="0" locked="0" layoutInCell="1" allowOverlap="1" wp14:anchorId="50D08CB9" wp14:editId="5ED2D751">
                <wp:simplePos x="0" y="0"/>
                <wp:positionH relativeFrom="column">
                  <wp:posOffset>15240</wp:posOffset>
                </wp:positionH>
                <wp:positionV relativeFrom="paragraph">
                  <wp:posOffset>89535</wp:posOffset>
                </wp:positionV>
                <wp:extent cx="5768340" cy="7620"/>
                <wp:effectExtent l="0" t="0" r="22860" b="30480"/>
                <wp:wrapNone/>
                <wp:docPr id="947488875" name="Straight Connector 1"/>
                <wp:cNvGraphicFramePr/>
                <a:graphic xmlns:a="http://schemas.openxmlformats.org/drawingml/2006/main">
                  <a:graphicData uri="http://schemas.microsoft.com/office/word/2010/wordprocessingShape">
                    <wps:wsp>
                      <wps:cNvCnPr/>
                      <wps:spPr>
                        <a:xfrm flipV="1">
                          <a:off x="0" y="0"/>
                          <a:ext cx="57683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3DF9F4C" id="Straight Connector 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05pt" to="455.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" strokecolor="#4472c4 [3204]" strokeweight=".5pt">
                <v:stroke joinstyle="miter"/>
              </v:line>
            </w:pict>
          </mc:Fallback>
        </mc:AlternateContent>
      </w:r>
    </w:p>
    <w:p w14:paraId="700FBEBA" w14:textId="1FCFD9FC" w:rsidR="00693130" w:rsidRPr="000D7D27" w:rsidRDefault="00693130" w:rsidP="00FD00EC">
      <w:pPr>
        <w:jc w:val="both"/>
        <w:rPr>
          <w:rFonts w:ascii="Arial" w:hAnsi="Arial" w:cs="Arial"/>
          <w:sz w:val="20"/>
          <w:szCs w:val="20"/>
          <w:lang w:val="en-US"/>
        </w:rPr>
      </w:pPr>
      <w:r w:rsidRPr="007E5561">
        <w:rPr>
          <w:rFonts w:ascii="Arial" w:hAnsi="Arial" w:cs="Arial"/>
          <w:b/>
          <w:bCs/>
          <w:sz w:val="22"/>
          <w:szCs w:val="22"/>
          <w:lang w:val="en-US"/>
        </w:rPr>
        <w:t>ABSTRACT:</w:t>
      </w:r>
      <w:r w:rsidR="00EB4963" w:rsidRPr="00EB4963">
        <w:t xml:space="preserve"> </w:t>
      </w:r>
      <w:r w:rsidR="00EB4963" w:rsidRPr="000D7D27">
        <w:rPr>
          <w:rFonts w:ascii="Arial" w:hAnsi="Arial" w:cs="Arial"/>
          <w:sz w:val="20"/>
          <w:szCs w:val="20"/>
          <w:lang w:val="en-US"/>
        </w:rPr>
        <w:t xml:space="preserve">The advancement of implant dentistry has ushered in innovative solutions to overcome the limitations of traditional implants, notably the absence of the periodontal ligament (PDL). </w:t>
      </w:r>
      <w:proofErr w:type="spellStart"/>
      <w:r w:rsidR="00EB4963" w:rsidRPr="000D7D27">
        <w:rPr>
          <w:rFonts w:ascii="Arial" w:hAnsi="Arial" w:cs="Arial"/>
          <w:sz w:val="20"/>
          <w:szCs w:val="20"/>
          <w:lang w:val="en-US"/>
        </w:rPr>
        <w:t>Ligaplants</w:t>
      </w:r>
      <w:proofErr w:type="spellEnd"/>
      <w:r w:rsidR="00EB4963" w:rsidRPr="000D7D27">
        <w:rPr>
          <w:rFonts w:ascii="Arial" w:hAnsi="Arial" w:cs="Arial"/>
          <w:sz w:val="20"/>
          <w:szCs w:val="20"/>
          <w:lang w:val="en-US"/>
        </w:rPr>
        <w:t xml:space="preserve">—a hybrid of biocompatible implant material and bioengineered PDL—represent a paradigm shift in dental rehabilitation. These next-generation implants aim to recreate the natural tooth attachment apparatus by integrating tissue engineering techniques, including the use of scaffolds, signaling molecules, and stem cells derived from dental follicle or PDL tissue. This review explores the development, preparation, biological integration, and challenges associated with </w:t>
      </w:r>
      <w:proofErr w:type="spellStart"/>
      <w:r w:rsidR="00EB4963" w:rsidRPr="000D7D27">
        <w:rPr>
          <w:rFonts w:ascii="Arial" w:hAnsi="Arial" w:cs="Arial"/>
          <w:sz w:val="20"/>
          <w:szCs w:val="20"/>
          <w:lang w:val="en-US"/>
        </w:rPr>
        <w:t>Ligaplants</w:t>
      </w:r>
      <w:proofErr w:type="spellEnd"/>
      <w:r w:rsidR="00EB4963" w:rsidRPr="000D7D27">
        <w:rPr>
          <w:rFonts w:ascii="Arial" w:hAnsi="Arial" w:cs="Arial"/>
          <w:sz w:val="20"/>
          <w:szCs w:val="20"/>
          <w:lang w:val="en-US"/>
        </w:rPr>
        <w:t xml:space="preserve">. While still largely experimental, animal studies and early clinical trials suggest that </w:t>
      </w:r>
      <w:proofErr w:type="spellStart"/>
      <w:r w:rsidR="00EB4963" w:rsidRPr="000D7D27">
        <w:rPr>
          <w:rFonts w:ascii="Arial" w:hAnsi="Arial" w:cs="Arial"/>
          <w:sz w:val="20"/>
          <w:szCs w:val="20"/>
          <w:lang w:val="en-US"/>
        </w:rPr>
        <w:t>Ligaplants</w:t>
      </w:r>
      <w:proofErr w:type="spellEnd"/>
      <w:r w:rsidR="00EB4963" w:rsidRPr="000D7D27">
        <w:rPr>
          <w:rFonts w:ascii="Arial" w:hAnsi="Arial" w:cs="Arial"/>
          <w:sz w:val="20"/>
          <w:szCs w:val="20"/>
          <w:lang w:val="en-US"/>
        </w:rPr>
        <w:t xml:space="preserve"> may restore proprioception, distribute occlusal forces more physiologically, and promote bone regeneration without the need for grafting. Despite high costs, ethical concerns, and the complexity of culturing PDL tissue, </w:t>
      </w:r>
      <w:proofErr w:type="spellStart"/>
      <w:r w:rsidR="00EB4963" w:rsidRPr="000D7D27">
        <w:rPr>
          <w:rFonts w:ascii="Arial" w:hAnsi="Arial" w:cs="Arial"/>
          <w:sz w:val="20"/>
          <w:szCs w:val="20"/>
          <w:lang w:val="en-US"/>
        </w:rPr>
        <w:t>Ligaplants</w:t>
      </w:r>
      <w:proofErr w:type="spellEnd"/>
      <w:r w:rsidR="00EB4963" w:rsidRPr="000D7D27">
        <w:rPr>
          <w:rFonts w:ascii="Arial" w:hAnsi="Arial" w:cs="Arial"/>
          <w:sz w:val="20"/>
          <w:szCs w:val="20"/>
          <w:lang w:val="en-US"/>
        </w:rPr>
        <w:t xml:space="preserve"> hold immense promise as a biologically functional alternative to </w:t>
      </w:r>
      <w:proofErr w:type="spellStart"/>
      <w:r w:rsidR="00EB4963" w:rsidRPr="000D7D27">
        <w:rPr>
          <w:rFonts w:ascii="Arial" w:hAnsi="Arial" w:cs="Arial"/>
          <w:sz w:val="20"/>
          <w:szCs w:val="20"/>
          <w:lang w:val="en-US"/>
        </w:rPr>
        <w:t>osseointegrated</w:t>
      </w:r>
      <w:proofErr w:type="spellEnd"/>
      <w:r w:rsidR="00EB4963" w:rsidRPr="000D7D27">
        <w:rPr>
          <w:rFonts w:ascii="Arial" w:hAnsi="Arial" w:cs="Arial"/>
          <w:sz w:val="20"/>
          <w:szCs w:val="20"/>
          <w:lang w:val="en-US"/>
        </w:rPr>
        <w:t xml:space="preserve"> implants, offering new horizons in regenerative dentistry.</w:t>
      </w:r>
    </w:p>
    <w:p w14:paraId="7C0C0EE0" w14:textId="337DDD01" w:rsidR="00C56267" w:rsidRPr="00D32951" w:rsidRDefault="00C56267" w:rsidP="00FD00EC">
      <w:pPr>
        <w:jc w:val="both"/>
        <w:rPr>
          <w:rFonts w:ascii="Arial" w:hAnsi="Arial" w:cs="Arial"/>
          <w:b/>
          <w:bCs/>
          <w:i/>
          <w:iCs/>
          <w:sz w:val="20"/>
          <w:szCs w:val="20"/>
          <w:vertAlign w:val="superscript"/>
          <w:lang w:val="en-US"/>
        </w:rPr>
      </w:pPr>
      <w:r w:rsidRPr="007E5561">
        <w:rPr>
          <w:rFonts w:ascii="Arial" w:hAnsi="Arial" w:cs="Arial"/>
          <w:b/>
          <w:bCs/>
          <w:sz w:val="20"/>
          <w:szCs w:val="20"/>
          <w:lang w:val="en-US"/>
        </w:rPr>
        <w:t>Keyword:</w:t>
      </w:r>
      <w:r w:rsidRPr="000D7D27">
        <w:rPr>
          <w:rFonts w:ascii="Arial" w:hAnsi="Arial" w:cs="Arial"/>
          <w:sz w:val="20"/>
          <w:szCs w:val="20"/>
          <w:lang w:val="en-US"/>
        </w:rPr>
        <w:t xml:space="preserve"> </w:t>
      </w:r>
      <w:proofErr w:type="spellStart"/>
      <w:r w:rsidR="00EC0D13" w:rsidRPr="00D32951">
        <w:rPr>
          <w:rFonts w:ascii="Arial" w:hAnsi="Arial" w:cs="Arial"/>
          <w:i/>
          <w:iCs/>
          <w:sz w:val="20"/>
          <w:szCs w:val="20"/>
          <w:lang w:val="en-US"/>
        </w:rPr>
        <w:t>Ligaplants</w:t>
      </w:r>
      <w:proofErr w:type="spellEnd"/>
      <w:r w:rsidR="00EC0D13" w:rsidRPr="00D32951">
        <w:rPr>
          <w:rFonts w:ascii="Arial" w:hAnsi="Arial" w:cs="Arial"/>
          <w:i/>
          <w:iCs/>
          <w:sz w:val="20"/>
          <w:szCs w:val="20"/>
          <w:lang w:val="en-US"/>
        </w:rPr>
        <w:t>,</w:t>
      </w:r>
      <w:r w:rsidRPr="00D32951">
        <w:rPr>
          <w:rFonts w:ascii="Arial" w:hAnsi="Arial" w:cs="Arial"/>
          <w:i/>
          <w:iCs/>
          <w:sz w:val="20"/>
          <w:szCs w:val="20"/>
          <w:lang w:val="en-US"/>
        </w:rPr>
        <w:t xml:space="preserve"> periodontal tissue </w:t>
      </w:r>
      <w:r w:rsidR="00EC0D13" w:rsidRPr="00D32951">
        <w:rPr>
          <w:rFonts w:ascii="Arial" w:hAnsi="Arial" w:cs="Arial"/>
          <w:i/>
          <w:iCs/>
          <w:sz w:val="20"/>
          <w:szCs w:val="20"/>
          <w:lang w:val="en-US"/>
        </w:rPr>
        <w:t>regeneration,</w:t>
      </w:r>
      <w:r w:rsidRPr="00D32951">
        <w:rPr>
          <w:rFonts w:ascii="Arial" w:hAnsi="Arial" w:cs="Arial"/>
          <w:i/>
          <w:iCs/>
          <w:sz w:val="20"/>
          <w:szCs w:val="20"/>
          <w:lang w:val="en-US"/>
        </w:rPr>
        <w:t xml:space="preserve"> Tissue </w:t>
      </w:r>
      <w:r w:rsidR="00EC0D13" w:rsidRPr="00D32951">
        <w:rPr>
          <w:rFonts w:ascii="Arial" w:hAnsi="Arial" w:cs="Arial"/>
          <w:i/>
          <w:iCs/>
          <w:sz w:val="20"/>
          <w:szCs w:val="20"/>
          <w:lang w:val="en-US"/>
        </w:rPr>
        <w:t>engineering,</w:t>
      </w:r>
      <w:r w:rsidRPr="00D32951">
        <w:rPr>
          <w:rFonts w:ascii="Arial" w:hAnsi="Arial" w:cs="Arial"/>
          <w:i/>
          <w:iCs/>
          <w:sz w:val="20"/>
          <w:szCs w:val="20"/>
          <w:lang w:val="en-US"/>
        </w:rPr>
        <w:t xml:space="preserve"> Biohybrid dental </w:t>
      </w:r>
      <w:r w:rsidR="00EC0D13" w:rsidRPr="00D32951">
        <w:rPr>
          <w:rFonts w:ascii="Arial" w:hAnsi="Arial" w:cs="Arial"/>
          <w:i/>
          <w:iCs/>
          <w:sz w:val="20"/>
          <w:szCs w:val="20"/>
          <w:lang w:val="en-US"/>
        </w:rPr>
        <w:t>implant,</w:t>
      </w:r>
      <w:r w:rsidRPr="00D32951">
        <w:rPr>
          <w:rFonts w:ascii="Arial" w:hAnsi="Arial" w:cs="Arial"/>
          <w:i/>
          <w:iCs/>
          <w:sz w:val="20"/>
          <w:szCs w:val="20"/>
          <w:lang w:val="en-US"/>
        </w:rPr>
        <w:t xml:space="preserve"> Regenerative dentistry</w:t>
      </w:r>
    </w:p>
    <w:p w14:paraId="6B230F29" w14:textId="50554EBE" w:rsidR="00EE1E61" w:rsidRPr="008F2519" w:rsidRDefault="00FD00EC" w:rsidP="00FD00EC">
      <w:pPr>
        <w:jc w:val="both"/>
        <w:rPr>
          <w:rFonts w:ascii="Arial" w:hAnsi="Arial" w:cs="Arial"/>
          <w:b/>
          <w:bCs/>
          <w:sz w:val="22"/>
          <w:szCs w:val="22"/>
        </w:rPr>
      </w:pPr>
      <w:r w:rsidRPr="00D36951">
        <w:rPr>
          <w:rFonts w:ascii="Arial" w:hAnsi="Arial" w:cs="Arial"/>
          <w:sz w:val="22"/>
          <w:szCs w:val="22"/>
          <w:lang w:val="en-US"/>
        </w:rPr>
        <w:t xml:space="preserve">                            </w:t>
      </w:r>
      <w:r w:rsidR="004E429F" w:rsidRPr="00D36951">
        <w:rPr>
          <w:rFonts w:ascii="Arial" w:hAnsi="Arial" w:cs="Arial"/>
          <w:sz w:val="22"/>
          <w:szCs w:val="22"/>
          <w:lang w:val="en-US"/>
        </w:rPr>
        <w:t xml:space="preserve">   </w:t>
      </w:r>
      <w:r w:rsidR="00D36951">
        <w:rPr>
          <w:rFonts w:ascii="Arial" w:hAnsi="Arial" w:cs="Arial"/>
          <w:sz w:val="22"/>
          <w:szCs w:val="22"/>
          <w:lang w:val="en-US"/>
        </w:rPr>
        <w:t xml:space="preserve">                          </w:t>
      </w:r>
      <w:r w:rsidRPr="00D36951">
        <w:rPr>
          <w:rFonts w:ascii="Arial" w:hAnsi="Arial" w:cs="Arial"/>
          <w:sz w:val="22"/>
          <w:szCs w:val="22"/>
          <w:lang w:val="en-US"/>
        </w:rPr>
        <w:t xml:space="preserve"> </w:t>
      </w:r>
      <w:r w:rsidR="00E84C26" w:rsidRPr="008F2519">
        <w:rPr>
          <w:rFonts w:ascii="Arial" w:hAnsi="Arial" w:cs="Arial"/>
          <w:b/>
          <w:bCs/>
          <w:sz w:val="22"/>
          <w:szCs w:val="22"/>
          <w:lang w:val="en-US"/>
        </w:rPr>
        <w:t>INTORDUCTION</w:t>
      </w:r>
    </w:p>
    <w:p w14:paraId="27253576" w14:textId="7D72EA7C" w:rsidR="00B950CF" w:rsidRDefault="00E84C26" w:rsidP="00FD00EC">
      <w:pPr>
        <w:jc w:val="both"/>
        <w:rPr>
          <w:rFonts w:ascii="Arial" w:hAnsi="Arial" w:cs="Arial"/>
          <w:sz w:val="20"/>
          <w:szCs w:val="20"/>
        </w:rPr>
      </w:pPr>
      <w:r w:rsidRPr="00D36951">
        <w:rPr>
          <w:rFonts w:ascii="Arial" w:hAnsi="Arial" w:cs="Arial"/>
          <w:sz w:val="20"/>
          <w:szCs w:val="20"/>
          <w:lang w:val="en-US"/>
        </w:rPr>
        <w:t xml:space="preserve">Dental implants, sometimes referred to as oral or </w:t>
      </w:r>
      <w:proofErr w:type="spellStart"/>
      <w:r w:rsidRPr="00D36951">
        <w:rPr>
          <w:rFonts w:ascii="Arial" w:hAnsi="Arial" w:cs="Arial"/>
          <w:sz w:val="20"/>
          <w:szCs w:val="20"/>
          <w:lang w:val="en-US"/>
        </w:rPr>
        <w:t>endosseous</w:t>
      </w:r>
      <w:proofErr w:type="spellEnd"/>
      <w:r w:rsidRPr="00D36951">
        <w:rPr>
          <w:rFonts w:ascii="Arial" w:hAnsi="Arial" w:cs="Arial"/>
          <w:sz w:val="20"/>
          <w:szCs w:val="20"/>
          <w:lang w:val="en-US"/>
        </w:rPr>
        <w:t xml:space="preserve"> implants, have been used to replace missing teeth in recent decades</w:t>
      </w:r>
      <w:commentRangeStart w:id="1"/>
      <w:r w:rsidRPr="00D36951">
        <w:rPr>
          <w:rFonts w:ascii="Arial" w:hAnsi="Arial" w:cs="Arial"/>
          <w:sz w:val="20"/>
          <w:szCs w:val="20"/>
          <w:lang w:val="en-US"/>
        </w:rPr>
        <w:t>.</w:t>
      </w:r>
      <w:commentRangeEnd w:id="1"/>
      <w:r w:rsidR="002D373F">
        <w:rPr>
          <w:rStyle w:val="CommentReference"/>
        </w:rPr>
        <w:commentReference w:id="1"/>
      </w:r>
      <w:r w:rsidRPr="00D36951">
        <w:rPr>
          <w:rFonts w:ascii="Arial" w:hAnsi="Arial" w:cs="Arial"/>
          <w:sz w:val="20"/>
          <w:szCs w:val="20"/>
        </w:rPr>
        <w:t xml:space="preserve"> </w:t>
      </w:r>
      <w:commentRangeStart w:id="2"/>
      <w:r w:rsidR="00485BAF" w:rsidRPr="00D36951">
        <w:rPr>
          <w:rFonts w:ascii="Arial" w:hAnsi="Arial" w:cs="Arial"/>
          <w:sz w:val="20"/>
          <w:szCs w:val="20"/>
        </w:rPr>
        <w:t>[6]</w:t>
      </w:r>
      <w:r w:rsidR="001A20B7" w:rsidRPr="00D36951">
        <w:rPr>
          <w:rFonts w:ascii="Arial" w:hAnsi="Arial" w:cs="Arial"/>
          <w:sz w:val="20"/>
          <w:szCs w:val="20"/>
        </w:rPr>
        <w:t xml:space="preserve"> </w:t>
      </w:r>
      <w:commentRangeEnd w:id="2"/>
      <w:r w:rsidR="001074CB">
        <w:rPr>
          <w:rStyle w:val="CommentReference"/>
        </w:rPr>
        <w:commentReference w:id="2"/>
      </w:r>
      <w:r w:rsidR="001A20B7" w:rsidRPr="00D36951">
        <w:rPr>
          <w:rFonts w:ascii="Arial" w:hAnsi="Arial" w:cs="Arial"/>
          <w:sz w:val="20"/>
          <w:szCs w:val="20"/>
        </w:rPr>
        <w:t>A number of factors, including the longer lifespan of elderly people, the shortcomings of both fixed and removable prostheses, the benefits, and the predictable results of implant use, are responsible for the rise in implant dentistry.</w:t>
      </w:r>
      <w:r w:rsidR="001A20B7" w:rsidRPr="00D36951">
        <w:rPr>
          <w:rFonts w:ascii="Arial" w:hAnsi="Arial" w:cs="Arial"/>
          <w:sz w:val="20"/>
          <w:szCs w:val="20"/>
          <w:lang w:val="en-US"/>
        </w:rPr>
        <w:t xml:space="preserve"> </w:t>
      </w:r>
      <w:r w:rsidR="00A30451" w:rsidRPr="00D36951">
        <w:rPr>
          <w:rFonts w:ascii="Arial" w:hAnsi="Arial" w:cs="Arial"/>
          <w:sz w:val="20"/>
          <w:szCs w:val="20"/>
          <w:lang w:val="en-US"/>
        </w:rPr>
        <w:t>[10]</w:t>
      </w:r>
      <w:r w:rsidR="00DC3A1A" w:rsidRPr="00D36951">
        <w:rPr>
          <w:rFonts w:ascii="Arial" w:hAnsi="Arial" w:cs="Arial"/>
          <w:sz w:val="20"/>
          <w:szCs w:val="20"/>
          <w:lang w:val="en-US"/>
        </w:rPr>
        <w:t xml:space="preserve"> </w:t>
      </w:r>
      <w:r w:rsidR="00FF107D" w:rsidRPr="00D36951">
        <w:rPr>
          <w:rFonts w:ascii="Arial" w:hAnsi="Arial" w:cs="Arial"/>
          <w:sz w:val="20"/>
          <w:szCs w:val="20"/>
        </w:rPr>
        <w:t>I</w:t>
      </w:r>
      <w:r w:rsidR="00F670BB" w:rsidRPr="00D36951">
        <w:rPr>
          <w:rFonts w:ascii="Arial" w:hAnsi="Arial" w:cs="Arial"/>
          <w:sz w:val="20"/>
          <w:szCs w:val="20"/>
        </w:rPr>
        <w:t xml:space="preserve">mplants are a biocompatible alternative for restoring missing teeth, thus making them an obvious </w:t>
      </w:r>
      <w:proofErr w:type="gramStart"/>
      <w:r w:rsidR="00F670BB" w:rsidRPr="00D36951">
        <w:rPr>
          <w:rFonts w:ascii="Arial" w:hAnsi="Arial" w:cs="Arial"/>
          <w:sz w:val="20"/>
          <w:szCs w:val="20"/>
        </w:rPr>
        <w:t>solution.[</w:t>
      </w:r>
      <w:proofErr w:type="gramEnd"/>
      <w:r w:rsidR="00F670BB" w:rsidRPr="00D36951">
        <w:rPr>
          <w:rFonts w:ascii="Arial" w:hAnsi="Arial" w:cs="Arial"/>
          <w:sz w:val="20"/>
          <w:szCs w:val="20"/>
        </w:rPr>
        <w:t>6]</w:t>
      </w:r>
      <w:r w:rsidR="00DC3A1A" w:rsidRPr="00D36951">
        <w:rPr>
          <w:rFonts w:ascii="Arial" w:eastAsia="Times New Roman" w:hAnsi="Arial" w:cs="Arial"/>
          <w:kern w:val="0"/>
          <w:sz w:val="20"/>
          <w:szCs w:val="20"/>
          <w:lang w:eastAsia="en-IN"/>
          <w14:ligatures w14:val="none"/>
        </w:rPr>
        <w:t xml:space="preserve"> </w:t>
      </w:r>
      <w:r w:rsidR="0095345A" w:rsidRPr="00D36951">
        <w:rPr>
          <w:rFonts w:ascii="Arial" w:hAnsi="Arial" w:cs="Arial"/>
          <w:sz w:val="20"/>
          <w:szCs w:val="20"/>
        </w:rPr>
        <w:t>Osteointegration</w:t>
      </w:r>
      <w:r w:rsidR="00F670BB" w:rsidRPr="00D36951">
        <w:rPr>
          <w:rFonts w:ascii="Arial" w:hAnsi="Arial" w:cs="Arial"/>
          <w:sz w:val="20"/>
          <w:szCs w:val="20"/>
        </w:rPr>
        <w:t xml:space="preserve"> is one the key factor for successful outcome of implant treatment is affected by several local and systemic</w:t>
      </w:r>
      <w:r w:rsidR="008807A7" w:rsidRPr="00D36951">
        <w:rPr>
          <w:rFonts w:ascii="Arial" w:hAnsi="Arial" w:cs="Arial"/>
          <w:sz w:val="20"/>
          <w:szCs w:val="20"/>
        </w:rPr>
        <w:t xml:space="preserve"> </w:t>
      </w:r>
      <w:r w:rsidR="00F670BB" w:rsidRPr="00D36951">
        <w:rPr>
          <w:rFonts w:ascii="Arial" w:hAnsi="Arial" w:cs="Arial"/>
          <w:sz w:val="20"/>
          <w:szCs w:val="20"/>
        </w:rPr>
        <w:t>factors</w:t>
      </w:r>
      <w:r w:rsidR="00D803B1" w:rsidRPr="00D36951">
        <w:rPr>
          <w:rFonts w:ascii="Arial" w:hAnsi="Arial" w:cs="Arial"/>
          <w:sz w:val="20"/>
          <w:szCs w:val="20"/>
        </w:rPr>
        <w:t>.[1</w:t>
      </w:r>
      <w:r w:rsidR="00E178C0" w:rsidRPr="00D36951">
        <w:rPr>
          <w:rFonts w:ascii="Arial" w:hAnsi="Arial" w:cs="Arial"/>
          <w:sz w:val="20"/>
          <w:szCs w:val="20"/>
        </w:rPr>
        <w:t>2]</w:t>
      </w:r>
      <w:r w:rsidR="00D803B1" w:rsidRPr="00D36951">
        <w:rPr>
          <w:rFonts w:ascii="Arial" w:eastAsia="Times New Roman" w:hAnsi="Arial" w:cs="Arial"/>
          <w:kern w:val="0"/>
          <w:sz w:val="20"/>
          <w:szCs w:val="20"/>
          <w:lang w:eastAsia="en-IN"/>
          <w14:ligatures w14:val="none"/>
        </w:rPr>
        <w:t xml:space="preserve"> </w:t>
      </w:r>
      <w:r w:rsidR="00FF107D" w:rsidRPr="00D36951">
        <w:rPr>
          <w:rFonts w:ascii="Arial" w:eastAsia="Times New Roman" w:hAnsi="Arial" w:cs="Arial"/>
          <w:kern w:val="0"/>
          <w:sz w:val="20"/>
          <w:szCs w:val="20"/>
          <w:lang w:eastAsia="en-IN"/>
          <w14:ligatures w14:val="none"/>
        </w:rPr>
        <w:t>S</w:t>
      </w:r>
      <w:r w:rsidR="00710E6C" w:rsidRPr="00D36951">
        <w:rPr>
          <w:rFonts w:ascii="Arial" w:hAnsi="Arial" w:cs="Arial"/>
          <w:sz w:val="20"/>
          <w:szCs w:val="20"/>
        </w:rPr>
        <w:t>everal modifications can be made to manage the complications</w:t>
      </w:r>
      <w:r w:rsidR="00BA3A55" w:rsidRPr="00D36951">
        <w:rPr>
          <w:rFonts w:ascii="Arial" w:hAnsi="Arial" w:cs="Arial"/>
          <w:sz w:val="20"/>
          <w:szCs w:val="20"/>
        </w:rPr>
        <w:t xml:space="preserve"> </w:t>
      </w:r>
      <w:r w:rsidR="00710E6C" w:rsidRPr="00D36951">
        <w:rPr>
          <w:rFonts w:ascii="Arial" w:hAnsi="Arial" w:cs="Arial"/>
          <w:sz w:val="20"/>
          <w:szCs w:val="20"/>
        </w:rPr>
        <w:t>connected with</w:t>
      </w:r>
      <w:r w:rsidR="00BA3A55" w:rsidRPr="00D36951">
        <w:rPr>
          <w:rFonts w:ascii="Arial" w:hAnsi="Arial" w:cs="Arial"/>
          <w:sz w:val="20"/>
          <w:szCs w:val="20"/>
        </w:rPr>
        <w:t xml:space="preserve"> </w:t>
      </w:r>
      <w:r w:rsidR="0095345A" w:rsidRPr="00D36951">
        <w:rPr>
          <w:rFonts w:ascii="Arial" w:hAnsi="Arial" w:cs="Arial"/>
          <w:sz w:val="20"/>
          <w:szCs w:val="20"/>
        </w:rPr>
        <w:t>osteointegration</w:t>
      </w:r>
      <w:r w:rsidR="00710E6C" w:rsidRPr="00D36951">
        <w:rPr>
          <w:rFonts w:ascii="Arial" w:hAnsi="Arial" w:cs="Arial"/>
          <w:sz w:val="20"/>
          <w:szCs w:val="20"/>
        </w:rPr>
        <w:t xml:space="preserve">. Improves osseointegration and bone-to-implant interface </w:t>
      </w:r>
      <w:r w:rsidR="0095345A" w:rsidRPr="00D36951">
        <w:rPr>
          <w:rFonts w:ascii="Arial" w:hAnsi="Arial" w:cs="Arial"/>
          <w:sz w:val="20"/>
          <w:szCs w:val="20"/>
        </w:rPr>
        <w:t>strength. Bio</w:t>
      </w:r>
      <w:r w:rsidR="00710E6C" w:rsidRPr="00D36951">
        <w:rPr>
          <w:rFonts w:ascii="Arial" w:hAnsi="Arial" w:cs="Arial"/>
          <w:sz w:val="20"/>
          <w:szCs w:val="20"/>
        </w:rPr>
        <w:t>-mimetic compounds are increasingly being used to enhance the bio-functionality of dental implants, in addition to physical and chemical modifications to the implant surface.</w:t>
      </w:r>
      <w:r w:rsidR="00D660A4" w:rsidRPr="00D36951">
        <w:rPr>
          <w:rFonts w:ascii="Arial" w:hAnsi="Arial" w:cs="Arial"/>
          <w:sz w:val="20"/>
          <w:szCs w:val="20"/>
        </w:rPr>
        <w:t xml:space="preserve"> Despite all of these modifications, the implant's biological function is limited by the lack of periodontal ligament (PDL) </w:t>
      </w:r>
      <w:proofErr w:type="gramStart"/>
      <w:r w:rsidR="00D660A4" w:rsidRPr="00D36951">
        <w:rPr>
          <w:rFonts w:ascii="Arial" w:hAnsi="Arial" w:cs="Arial"/>
          <w:sz w:val="20"/>
          <w:szCs w:val="20"/>
        </w:rPr>
        <w:t>attachment</w:t>
      </w:r>
      <w:r w:rsidR="00D803B1" w:rsidRPr="00D36951">
        <w:rPr>
          <w:rFonts w:ascii="Arial" w:hAnsi="Arial" w:cs="Arial"/>
          <w:sz w:val="20"/>
          <w:szCs w:val="20"/>
        </w:rPr>
        <w:t>.[</w:t>
      </w:r>
      <w:proofErr w:type="gramEnd"/>
      <w:r w:rsidR="00D803B1" w:rsidRPr="00D36951">
        <w:rPr>
          <w:rFonts w:ascii="Arial" w:hAnsi="Arial" w:cs="Arial"/>
          <w:sz w:val="20"/>
          <w:szCs w:val="20"/>
        </w:rPr>
        <w:t xml:space="preserve">12] </w:t>
      </w:r>
      <w:r w:rsidR="008807A7" w:rsidRPr="00D36951">
        <w:rPr>
          <w:rFonts w:ascii="Arial" w:hAnsi="Arial" w:cs="Arial"/>
          <w:sz w:val="20"/>
          <w:szCs w:val="20"/>
        </w:rPr>
        <w:t xml:space="preserve">In addition to its function in tooth anchoring, The periodontal ligament (PDL) serves as the periosteum in the alveolar socket that faces the tooth root and supplies progenitor cells for alveolar bone production and </w:t>
      </w:r>
      <w:proofErr w:type="spellStart"/>
      <w:r w:rsidR="008807A7" w:rsidRPr="00D36951">
        <w:rPr>
          <w:rFonts w:ascii="Arial" w:hAnsi="Arial" w:cs="Arial"/>
          <w:sz w:val="20"/>
          <w:szCs w:val="20"/>
        </w:rPr>
        <w:t>remodeling</w:t>
      </w:r>
      <w:proofErr w:type="spellEnd"/>
      <w:r w:rsidR="008807A7" w:rsidRPr="00D36951">
        <w:rPr>
          <w:rFonts w:ascii="Arial" w:hAnsi="Arial" w:cs="Arial"/>
          <w:sz w:val="20"/>
          <w:szCs w:val="20"/>
        </w:rPr>
        <w:t>.</w:t>
      </w:r>
      <w:r w:rsidR="008807A7" w:rsidRPr="00D36951">
        <w:rPr>
          <w:rFonts w:ascii="Arial" w:eastAsia="Times New Roman" w:hAnsi="Arial" w:cs="Arial"/>
          <w:kern w:val="0"/>
          <w:sz w:val="20"/>
          <w:szCs w:val="20"/>
          <w:lang w:eastAsia="en-IN"/>
          <w14:ligatures w14:val="none"/>
        </w:rPr>
        <w:t xml:space="preserve"> </w:t>
      </w:r>
      <w:r w:rsidR="008807A7" w:rsidRPr="00D36951">
        <w:rPr>
          <w:rFonts w:ascii="Arial" w:hAnsi="Arial" w:cs="Arial"/>
          <w:sz w:val="20"/>
          <w:szCs w:val="20"/>
        </w:rPr>
        <w:t xml:space="preserve">When PDL is absent, the implant's mobility is decreased and the stress is transferred straight to the bone-implant </w:t>
      </w:r>
      <w:proofErr w:type="gramStart"/>
      <w:r w:rsidR="008807A7" w:rsidRPr="00D36951">
        <w:rPr>
          <w:rFonts w:ascii="Arial" w:hAnsi="Arial" w:cs="Arial"/>
          <w:sz w:val="20"/>
          <w:szCs w:val="20"/>
        </w:rPr>
        <w:t>interface</w:t>
      </w:r>
      <w:commentRangeStart w:id="3"/>
      <w:r w:rsidR="008807A7" w:rsidRPr="00D36951">
        <w:rPr>
          <w:rFonts w:ascii="Arial" w:hAnsi="Arial" w:cs="Arial"/>
          <w:sz w:val="20"/>
          <w:szCs w:val="20"/>
        </w:rPr>
        <w:t>.</w:t>
      </w:r>
      <w:r w:rsidR="00D803B1" w:rsidRPr="00D36951">
        <w:rPr>
          <w:rFonts w:ascii="Arial" w:hAnsi="Arial" w:cs="Arial"/>
          <w:sz w:val="20"/>
          <w:szCs w:val="20"/>
          <w:vertAlign w:val="superscript"/>
        </w:rPr>
        <w:t>[</w:t>
      </w:r>
      <w:proofErr w:type="gramEnd"/>
      <w:r w:rsidR="00D803B1" w:rsidRPr="00D36951">
        <w:rPr>
          <w:rFonts w:ascii="Arial" w:hAnsi="Arial" w:cs="Arial"/>
          <w:sz w:val="20"/>
          <w:szCs w:val="20"/>
          <w:vertAlign w:val="superscript"/>
        </w:rPr>
        <w:t xml:space="preserve">5] </w:t>
      </w:r>
      <w:commentRangeEnd w:id="3"/>
      <w:r w:rsidR="00A811D5">
        <w:rPr>
          <w:rStyle w:val="CommentReference"/>
        </w:rPr>
        <w:commentReference w:id="3"/>
      </w:r>
      <w:r w:rsidR="008807A7" w:rsidRPr="00D36951">
        <w:rPr>
          <w:rFonts w:ascii="Arial" w:hAnsi="Arial" w:cs="Arial"/>
          <w:sz w:val="20"/>
          <w:szCs w:val="20"/>
        </w:rPr>
        <w:t xml:space="preserve">Lack of PDL sufferers' functional efficiency is also decreased by proprioceptive </w:t>
      </w:r>
      <w:proofErr w:type="spellStart"/>
      <w:r w:rsidR="008807A7" w:rsidRPr="00D36951">
        <w:rPr>
          <w:rFonts w:ascii="Arial" w:hAnsi="Arial" w:cs="Arial"/>
          <w:sz w:val="20"/>
          <w:szCs w:val="20"/>
        </w:rPr>
        <w:t>fibers</w:t>
      </w:r>
      <w:proofErr w:type="spellEnd"/>
      <w:r w:rsidR="008807A7" w:rsidRPr="00D36951">
        <w:rPr>
          <w:rFonts w:ascii="Arial" w:hAnsi="Arial" w:cs="Arial"/>
          <w:sz w:val="20"/>
          <w:szCs w:val="20"/>
        </w:rPr>
        <w:t xml:space="preserve">. Bioengineered PDL has been created to solve these problems in light of the development of regenerative dentistry, a unique fibrous tooth implant connection utilizing dental follicle stem </w:t>
      </w:r>
      <w:r w:rsidR="00B950CF" w:rsidRPr="00D36951">
        <w:rPr>
          <w:rFonts w:ascii="Arial" w:hAnsi="Arial" w:cs="Arial"/>
          <w:sz w:val="20"/>
          <w:szCs w:val="20"/>
        </w:rPr>
        <w:t>cells. Although</w:t>
      </w:r>
      <w:r w:rsidR="008807A7" w:rsidRPr="00D36951">
        <w:rPr>
          <w:rFonts w:ascii="Arial" w:hAnsi="Arial" w:cs="Arial"/>
          <w:sz w:val="20"/>
          <w:szCs w:val="20"/>
        </w:rPr>
        <w:t xml:space="preserve"> bioengineered</w:t>
      </w:r>
      <w:r w:rsidR="00B950CF" w:rsidRPr="00D36951">
        <w:rPr>
          <w:rFonts w:ascii="Arial" w:hAnsi="Arial" w:cs="Arial"/>
          <w:sz w:val="20"/>
          <w:szCs w:val="20"/>
        </w:rPr>
        <w:t xml:space="preserve"> </w:t>
      </w:r>
      <w:r w:rsidR="008807A7" w:rsidRPr="00D36951">
        <w:rPr>
          <w:rFonts w:ascii="Arial" w:hAnsi="Arial" w:cs="Arial"/>
          <w:sz w:val="20"/>
          <w:szCs w:val="20"/>
        </w:rPr>
        <w:t xml:space="preserve">PDL </w:t>
      </w:r>
      <w:proofErr w:type="spellStart"/>
      <w:r w:rsidR="008807A7" w:rsidRPr="00D36951">
        <w:rPr>
          <w:rFonts w:ascii="Arial" w:hAnsi="Arial" w:cs="Arial"/>
          <w:sz w:val="20"/>
          <w:szCs w:val="20"/>
        </w:rPr>
        <w:t>ligaplant</w:t>
      </w:r>
      <w:proofErr w:type="spellEnd"/>
      <w:r w:rsidR="008807A7" w:rsidRPr="00D36951">
        <w:rPr>
          <w:rFonts w:ascii="Arial" w:hAnsi="Arial" w:cs="Arial"/>
          <w:sz w:val="20"/>
          <w:szCs w:val="20"/>
        </w:rPr>
        <w:t xml:space="preserve"> implants were first developed decades earlier, bio-hybrid </w:t>
      </w:r>
      <w:r w:rsidR="00A70750" w:rsidRPr="00D36951">
        <w:rPr>
          <w:rFonts w:ascii="Arial" w:hAnsi="Arial" w:cs="Arial"/>
          <w:sz w:val="20"/>
          <w:szCs w:val="20"/>
        </w:rPr>
        <w:t>implants. The</w:t>
      </w:r>
      <w:r w:rsidR="008807A7" w:rsidRPr="00D36951">
        <w:rPr>
          <w:rFonts w:ascii="Arial" w:hAnsi="Arial" w:cs="Arial"/>
          <w:sz w:val="20"/>
          <w:szCs w:val="20"/>
        </w:rPr>
        <w:t xml:space="preserve"> more recent development in this field is stem cell technology. </w:t>
      </w:r>
      <w:r w:rsidR="00FC5027" w:rsidRPr="00D36951">
        <w:rPr>
          <w:rFonts w:ascii="Arial" w:hAnsi="Arial" w:cs="Arial"/>
          <w:sz w:val="20"/>
          <w:szCs w:val="20"/>
        </w:rPr>
        <w:t>PDL shown an immense potential for regeneration,</w:t>
      </w:r>
      <w:r w:rsidR="00522B17" w:rsidRPr="00D36951">
        <w:rPr>
          <w:rFonts w:ascii="Arial" w:hAnsi="Arial" w:cs="Arial"/>
          <w:sz w:val="20"/>
          <w:szCs w:val="20"/>
        </w:rPr>
        <w:t xml:space="preserve"> </w:t>
      </w:r>
      <w:r w:rsidR="00FC5027" w:rsidRPr="00D36951">
        <w:rPr>
          <w:rFonts w:ascii="Arial" w:hAnsi="Arial" w:cs="Arial"/>
          <w:sz w:val="20"/>
          <w:szCs w:val="20"/>
        </w:rPr>
        <w:t xml:space="preserve">reestablishing innervations and strengthening biomechanical </w:t>
      </w:r>
      <w:r w:rsidR="0095345A" w:rsidRPr="00D36951">
        <w:rPr>
          <w:rFonts w:ascii="Arial" w:hAnsi="Arial" w:cs="Arial"/>
          <w:sz w:val="20"/>
          <w:szCs w:val="20"/>
        </w:rPr>
        <w:t>tissue. A</w:t>
      </w:r>
      <w:r w:rsidR="00FC5027" w:rsidRPr="00D36951">
        <w:rPr>
          <w:rFonts w:ascii="Arial" w:hAnsi="Arial" w:cs="Arial"/>
          <w:sz w:val="20"/>
          <w:szCs w:val="20"/>
        </w:rPr>
        <w:t xml:space="preserve"> new approach Discusses tissue engineering of the PDL, a method for replacing lost teeth. This involves the formation of tissue-engineered PDL cells on dental implants, which function similarly to a natural </w:t>
      </w:r>
      <w:proofErr w:type="gramStart"/>
      <w:r w:rsidR="00FC5027" w:rsidRPr="00D36951">
        <w:rPr>
          <w:rFonts w:ascii="Arial" w:hAnsi="Arial" w:cs="Arial"/>
          <w:sz w:val="20"/>
          <w:szCs w:val="20"/>
        </w:rPr>
        <w:t>tooth.[</w:t>
      </w:r>
      <w:proofErr w:type="gramEnd"/>
      <w:r w:rsidR="00FC5027" w:rsidRPr="00D36951">
        <w:rPr>
          <w:rFonts w:ascii="Arial" w:hAnsi="Arial" w:cs="Arial"/>
          <w:sz w:val="20"/>
          <w:szCs w:val="20"/>
        </w:rPr>
        <w:t xml:space="preserve">5] </w:t>
      </w:r>
      <w:r w:rsidR="008807A7" w:rsidRPr="00D36951">
        <w:rPr>
          <w:rFonts w:ascii="Arial" w:hAnsi="Arial" w:cs="Arial"/>
          <w:sz w:val="20"/>
          <w:szCs w:val="20"/>
        </w:rPr>
        <w:t>This review offers an understanding of the available methods and biomaterials utilized in biohybrid implants, with a</w:t>
      </w:r>
      <w:r w:rsidR="00DC3A1A" w:rsidRPr="00D36951">
        <w:rPr>
          <w:rFonts w:ascii="Arial" w:hAnsi="Arial" w:cs="Arial"/>
          <w:sz w:val="20"/>
          <w:szCs w:val="20"/>
        </w:rPr>
        <w:t xml:space="preserve"> </w:t>
      </w:r>
      <w:r w:rsidR="008807A7" w:rsidRPr="00D36951">
        <w:rPr>
          <w:rFonts w:ascii="Arial" w:hAnsi="Arial" w:cs="Arial"/>
          <w:sz w:val="20"/>
          <w:szCs w:val="20"/>
        </w:rPr>
        <w:t>focus on the most current results and potential directions.[</w:t>
      </w:r>
      <w:r w:rsidR="002F62BB" w:rsidRPr="00D36951">
        <w:rPr>
          <w:rFonts w:ascii="Arial" w:hAnsi="Arial" w:cs="Arial"/>
          <w:sz w:val="20"/>
          <w:szCs w:val="20"/>
        </w:rPr>
        <w:t xml:space="preserve">12] </w:t>
      </w:r>
      <w:proofErr w:type="spellStart"/>
      <w:r w:rsidR="002F62BB" w:rsidRPr="00D36951">
        <w:rPr>
          <w:rFonts w:ascii="Arial" w:hAnsi="Arial" w:cs="Arial"/>
          <w:sz w:val="20"/>
          <w:szCs w:val="20"/>
        </w:rPr>
        <w:t>Ligaplants</w:t>
      </w:r>
      <w:proofErr w:type="spellEnd"/>
      <w:r w:rsidR="00B950CF" w:rsidRPr="00D36951">
        <w:rPr>
          <w:rFonts w:ascii="Arial" w:hAnsi="Arial" w:cs="Arial"/>
          <w:sz w:val="20"/>
          <w:szCs w:val="20"/>
        </w:rPr>
        <w:t xml:space="preserve"> are a novel development in the implant dentistry. </w:t>
      </w:r>
      <w:r w:rsidR="00FC5027" w:rsidRPr="00D36951">
        <w:rPr>
          <w:rFonts w:ascii="Arial" w:hAnsi="Arial" w:cs="Arial"/>
          <w:sz w:val="20"/>
          <w:szCs w:val="20"/>
        </w:rPr>
        <w:t>[5]</w:t>
      </w:r>
    </w:p>
    <w:p w14:paraId="72F38E40" w14:textId="77777777" w:rsidR="00B913DE" w:rsidRDefault="00B913DE" w:rsidP="00FD00EC">
      <w:pPr>
        <w:jc w:val="both"/>
        <w:rPr>
          <w:rFonts w:ascii="Arial" w:hAnsi="Arial" w:cs="Arial"/>
          <w:sz w:val="20"/>
          <w:szCs w:val="20"/>
        </w:rPr>
      </w:pPr>
      <w:commentRangeStart w:id="4"/>
      <w:commentRangeEnd w:id="4"/>
      <w:r>
        <w:rPr>
          <w:rStyle w:val="CommentReference"/>
        </w:rPr>
        <w:commentReference w:id="4"/>
      </w:r>
    </w:p>
    <w:p w14:paraId="3C9A8604" w14:textId="77777777" w:rsidR="00316126" w:rsidRPr="00D36951" w:rsidRDefault="00316126" w:rsidP="00FD00EC">
      <w:pPr>
        <w:jc w:val="both"/>
        <w:rPr>
          <w:rFonts w:ascii="Arial" w:hAnsi="Arial" w:cs="Arial"/>
          <w:sz w:val="20"/>
          <w:szCs w:val="20"/>
        </w:rPr>
      </w:pPr>
    </w:p>
    <w:p w14:paraId="1BB56A62" w14:textId="5FC843BE" w:rsidR="00EE1E61" w:rsidRPr="008F2519" w:rsidRDefault="00AB75F8" w:rsidP="00EE1E61">
      <w:pPr>
        <w:jc w:val="both"/>
        <w:rPr>
          <w:rFonts w:ascii="Arial" w:hAnsi="Arial" w:cs="Arial"/>
          <w:b/>
          <w:bCs/>
          <w:sz w:val="22"/>
          <w:szCs w:val="22"/>
        </w:rPr>
      </w:pPr>
      <w:r w:rsidRPr="008F2519">
        <w:rPr>
          <w:rFonts w:ascii="Times New Roman" w:hAnsi="Times New Roman" w:cs="Times New Roman"/>
          <w:b/>
          <w:bCs/>
          <w:sz w:val="28"/>
          <w:szCs w:val="28"/>
        </w:rPr>
        <w:t xml:space="preserve">                  </w:t>
      </w:r>
      <w:r w:rsidR="004E429F" w:rsidRPr="008F2519">
        <w:rPr>
          <w:rFonts w:ascii="Times New Roman" w:hAnsi="Times New Roman" w:cs="Times New Roman"/>
          <w:b/>
          <w:bCs/>
          <w:sz w:val="28"/>
          <w:szCs w:val="28"/>
        </w:rPr>
        <w:t xml:space="preserve">              </w:t>
      </w:r>
      <w:r w:rsidR="00D36951" w:rsidRPr="008F2519">
        <w:rPr>
          <w:rFonts w:ascii="Times New Roman" w:hAnsi="Times New Roman" w:cs="Times New Roman"/>
          <w:b/>
          <w:bCs/>
          <w:sz w:val="28"/>
          <w:szCs w:val="28"/>
        </w:rPr>
        <w:t xml:space="preserve">        </w:t>
      </w:r>
      <w:r w:rsidR="004E429F" w:rsidRPr="008F2519">
        <w:rPr>
          <w:rFonts w:ascii="Times New Roman" w:hAnsi="Times New Roman" w:cs="Times New Roman"/>
          <w:b/>
          <w:bCs/>
          <w:sz w:val="28"/>
          <w:szCs w:val="28"/>
        </w:rPr>
        <w:t xml:space="preserve"> </w:t>
      </w:r>
      <w:r w:rsidR="00EE1E61" w:rsidRPr="008F2519">
        <w:rPr>
          <w:rFonts w:ascii="Arial" w:hAnsi="Arial" w:cs="Arial"/>
          <w:b/>
          <w:bCs/>
          <w:sz w:val="22"/>
          <w:szCs w:val="22"/>
        </w:rPr>
        <w:t>FOUNDATION OF LIGAPLANTS</w:t>
      </w:r>
    </w:p>
    <w:p w14:paraId="0A8A0480" w14:textId="0B6B3A5B" w:rsidR="00D471B0" w:rsidRPr="00D36951" w:rsidRDefault="00EE1E61" w:rsidP="008F2519">
      <w:pPr>
        <w:rPr>
          <w:rFonts w:ascii="Arial" w:hAnsi="Arial" w:cs="Arial"/>
          <w:sz w:val="20"/>
          <w:szCs w:val="20"/>
        </w:rPr>
      </w:pPr>
      <w:r w:rsidRPr="00D36951">
        <w:rPr>
          <w:rFonts w:ascii="Arial" w:hAnsi="Arial" w:cs="Arial"/>
          <w:sz w:val="20"/>
          <w:szCs w:val="20"/>
        </w:rPr>
        <w:t xml:space="preserve">Experiments and research have been conducted to generate periodontal ligaments around </w:t>
      </w:r>
      <w:r w:rsidR="007F0090" w:rsidRPr="00D36951">
        <w:rPr>
          <w:rFonts w:ascii="Arial" w:hAnsi="Arial" w:cs="Arial"/>
          <w:sz w:val="20"/>
          <w:szCs w:val="20"/>
        </w:rPr>
        <w:t>implants. Creating</w:t>
      </w:r>
      <w:r w:rsidRPr="00D36951">
        <w:rPr>
          <w:rFonts w:ascii="Arial" w:hAnsi="Arial" w:cs="Arial"/>
          <w:sz w:val="20"/>
          <w:szCs w:val="20"/>
        </w:rPr>
        <w:t xml:space="preserve"> a bio-root can provide optimal circumstances for future implant-supported treatments</w:t>
      </w:r>
      <w:r w:rsidR="00D471B0" w:rsidRPr="00D36951">
        <w:rPr>
          <w:rFonts w:ascii="Arial" w:hAnsi="Arial" w:cs="Arial"/>
          <w:sz w:val="20"/>
          <w:szCs w:val="20"/>
        </w:rPr>
        <w:t>.</w:t>
      </w:r>
      <w:r w:rsidR="001A20B7" w:rsidRPr="00D36951">
        <w:rPr>
          <w:rFonts w:ascii="Arial" w:hAnsi="Arial" w:cs="Arial"/>
          <w:sz w:val="20"/>
          <w:szCs w:val="20"/>
        </w:rPr>
        <w:t xml:space="preserve"> Buser et al. found in 1990 that when titanium dental implants are used, the PDL of the root can supply cells to the implant surface during the healing process. </w:t>
      </w:r>
      <w:r w:rsidR="001A20B7" w:rsidRPr="00D36951">
        <w:rPr>
          <w:rFonts w:ascii="Arial" w:hAnsi="Arial" w:cs="Arial"/>
          <w:sz w:val="20"/>
          <w:szCs w:val="20"/>
        </w:rPr>
        <w:cr/>
        <w:t xml:space="preserve">The retained root tips came into contact with the </w:t>
      </w:r>
      <w:proofErr w:type="spellStart"/>
      <w:proofErr w:type="gramStart"/>
      <w:r w:rsidR="001A20B7" w:rsidRPr="00D36951">
        <w:rPr>
          <w:rFonts w:ascii="Arial" w:hAnsi="Arial" w:cs="Arial"/>
          <w:sz w:val="20"/>
          <w:szCs w:val="20"/>
        </w:rPr>
        <w:t>implants</w:t>
      </w:r>
      <w:r w:rsidR="00D471B0" w:rsidRPr="00D36951">
        <w:rPr>
          <w:rFonts w:ascii="Arial" w:hAnsi="Arial" w:cs="Arial"/>
          <w:sz w:val="20"/>
          <w:szCs w:val="20"/>
        </w:rPr>
        <w:t>.Tissue</w:t>
      </w:r>
      <w:proofErr w:type="spellEnd"/>
      <w:proofErr w:type="gramEnd"/>
      <w:r w:rsidR="00D471B0" w:rsidRPr="00D36951">
        <w:rPr>
          <w:rFonts w:ascii="Arial" w:hAnsi="Arial" w:cs="Arial"/>
          <w:sz w:val="20"/>
          <w:szCs w:val="20"/>
        </w:rPr>
        <w:t xml:space="preserve"> engineering has revolutionized the field of periodontal regeneration and dental implant treatment. [5] </w:t>
      </w:r>
      <w:r w:rsidR="009C0B6E" w:rsidRPr="00D36951">
        <w:rPr>
          <w:rFonts w:ascii="Arial" w:hAnsi="Arial" w:cs="Arial"/>
          <w:sz w:val="20"/>
          <w:szCs w:val="20"/>
        </w:rPr>
        <w:t xml:space="preserve">To regenerate PDL tissues in titanium, Lin et al. used autologous rat PDL cells from the root surfaces of molar teeth. </w:t>
      </w:r>
      <w:r w:rsidR="004D6434" w:rsidRPr="00D36951">
        <w:rPr>
          <w:rFonts w:ascii="Arial" w:hAnsi="Arial" w:cs="Arial"/>
          <w:sz w:val="20"/>
          <w:szCs w:val="20"/>
        </w:rPr>
        <w:t>At the titanium implant alveolar bone contact, they employed Matrigel, a three-dimensional biomatrix scaffold that contains essential extracellular matrix (ECM) components and can support orderly rat PDL regeneration.</w:t>
      </w:r>
      <w:r w:rsidR="00FB6FB1" w:rsidRPr="00D36951">
        <w:rPr>
          <w:rFonts w:ascii="Arial" w:eastAsia="Times New Roman" w:hAnsi="Arial" w:cs="Arial"/>
          <w:kern w:val="0"/>
          <w:sz w:val="20"/>
          <w:szCs w:val="20"/>
          <w:lang w:eastAsia="en-IN"/>
          <w14:ligatures w14:val="none"/>
        </w:rPr>
        <w:t xml:space="preserve"> </w:t>
      </w:r>
      <w:r w:rsidR="00FB6FB1" w:rsidRPr="00D36951">
        <w:rPr>
          <w:rFonts w:ascii="Arial" w:hAnsi="Arial" w:cs="Arial"/>
          <w:sz w:val="20"/>
          <w:szCs w:val="20"/>
        </w:rPr>
        <w:t xml:space="preserve">Collagen </w:t>
      </w:r>
      <w:proofErr w:type="spellStart"/>
      <w:r w:rsidR="00FB6FB1" w:rsidRPr="00D36951">
        <w:rPr>
          <w:rFonts w:ascii="Arial" w:hAnsi="Arial" w:cs="Arial"/>
          <w:sz w:val="20"/>
          <w:szCs w:val="20"/>
        </w:rPr>
        <w:t>fibers</w:t>
      </w:r>
      <w:proofErr w:type="spellEnd"/>
      <w:r w:rsidR="00FB6FB1" w:rsidRPr="00D36951">
        <w:rPr>
          <w:rFonts w:ascii="Arial" w:hAnsi="Arial" w:cs="Arial"/>
          <w:sz w:val="20"/>
          <w:szCs w:val="20"/>
        </w:rPr>
        <w:t>-oriented perpendicular to the surface were observed in 10% of experimental implants seeded with PDL cells, exhibiting bioengineered cementum-like tissue.</w:t>
      </w:r>
      <w:r w:rsidR="00D471B0" w:rsidRPr="00D36951">
        <w:rPr>
          <w:rFonts w:ascii="Arial" w:hAnsi="Arial" w:cs="Arial"/>
          <w:sz w:val="20"/>
          <w:szCs w:val="20"/>
        </w:rPr>
        <w:t xml:space="preserve"> </w:t>
      </w:r>
      <w:r w:rsidR="00B91B5E" w:rsidRPr="00D36951">
        <w:rPr>
          <w:rFonts w:ascii="Arial" w:hAnsi="Arial" w:cs="Arial"/>
          <w:sz w:val="20"/>
          <w:szCs w:val="20"/>
        </w:rPr>
        <w:t xml:space="preserve">The titanium implant surface developed cementum-like tissue as a result of the proliferation, cloning, and production of cultured PDL </w:t>
      </w:r>
      <w:r w:rsidR="008B09CD" w:rsidRPr="00D36951">
        <w:rPr>
          <w:rFonts w:ascii="Arial" w:hAnsi="Arial" w:cs="Arial"/>
          <w:sz w:val="20"/>
          <w:szCs w:val="20"/>
        </w:rPr>
        <w:t>cells. Sharpey’s</w:t>
      </w:r>
      <w:r w:rsidR="00D471B0" w:rsidRPr="00D36951">
        <w:rPr>
          <w:rFonts w:ascii="Arial" w:hAnsi="Arial" w:cs="Arial"/>
          <w:sz w:val="20"/>
          <w:szCs w:val="20"/>
        </w:rPr>
        <w:t xml:space="preserve"> </w:t>
      </w:r>
      <w:r w:rsidR="008B09CD" w:rsidRPr="00D36951">
        <w:rPr>
          <w:rFonts w:ascii="Arial" w:hAnsi="Arial" w:cs="Arial"/>
          <w:sz w:val="20"/>
          <w:szCs w:val="20"/>
        </w:rPr>
        <w:t>fibres</w:t>
      </w:r>
      <w:r w:rsidR="00D471B0" w:rsidRPr="00D36951">
        <w:rPr>
          <w:rFonts w:ascii="Arial" w:hAnsi="Arial" w:cs="Arial"/>
          <w:sz w:val="20"/>
          <w:szCs w:val="20"/>
        </w:rPr>
        <w:t xml:space="preserve"> were introduced perpendicularly to the </w:t>
      </w:r>
      <w:proofErr w:type="gramStart"/>
      <w:r w:rsidR="00D471B0" w:rsidRPr="00D36951">
        <w:rPr>
          <w:rFonts w:ascii="Arial" w:hAnsi="Arial" w:cs="Arial"/>
          <w:sz w:val="20"/>
          <w:szCs w:val="20"/>
        </w:rPr>
        <w:t>implant.</w:t>
      </w:r>
      <w:r w:rsidR="00BB3DCC" w:rsidRPr="00D36951">
        <w:rPr>
          <w:rFonts w:ascii="Arial" w:hAnsi="Arial" w:cs="Arial"/>
          <w:sz w:val="20"/>
          <w:szCs w:val="20"/>
        </w:rPr>
        <w:t>[</w:t>
      </w:r>
      <w:proofErr w:type="gramEnd"/>
      <w:r w:rsidR="00BB3DCC" w:rsidRPr="00D36951">
        <w:rPr>
          <w:rFonts w:ascii="Arial" w:hAnsi="Arial" w:cs="Arial"/>
          <w:sz w:val="20"/>
          <w:szCs w:val="20"/>
        </w:rPr>
        <w:t>3]</w:t>
      </w:r>
    </w:p>
    <w:p w14:paraId="27F288ED" w14:textId="0406FAC6" w:rsidR="00FD00EC" w:rsidRPr="008F2519" w:rsidRDefault="00FD00EC" w:rsidP="00FD00EC">
      <w:pPr>
        <w:jc w:val="both"/>
        <w:rPr>
          <w:rFonts w:ascii="Arial" w:hAnsi="Arial" w:cs="Arial"/>
          <w:b/>
          <w:bCs/>
          <w:sz w:val="22"/>
          <w:szCs w:val="22"/>
          <w:lang w:val="en-US"/>
        </w:rPr>
      </w:pPr>
      <w:r w:rsidRP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004E429F" w:rsidRP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Pr="008F2519">
        <w:rPr>
          <w:rFonts w:ascii="Arial" w:hAnsi="Arial" w:cs="Arial"/>
          <w:b/>
          <w:bCs/>
          <w:sz w:val="22"/>
          <w:szCs w:val="22"/>
          <w:lang w:val="en-US"/>
        </w:rPr>
        <w:t>LIGAPLANTS</w:t>
      </w:r>
    </w:p>
    <w:p w14:paraId="4EC1F74B" w14:textId="502AA524" w:rsidR="00AB75F8" w:rsidRPr="00D36951" w:rsidRDefault="003A60EA" w:rsidP="00B64754">
      <w:pPr>
        <w:jc w:val="both"/>
        <w:rPr>
          <w:rFonts w:ascii="Arial" w:hAnsi="Arial" w:cs="Arial"/>
          <w:sz w:val="20"/>
          <w:szCs w:val="20"/>
        </w:rPr>
      </w:pPr>
      <w:r w:rsidRPr="00D36951">
        <w:rPr>
          <w:rFonts w:ascii="Arial" w:hAnsi="Arial" w:cs="Arial"/>
          <w:sz w:val="20"/>
          <w:szCs w:val="20"/>
        </w:rPr>
        <w:t xml:space="preserve">PDL cells combined with implant biomaterial is known as </w:t>
      </w:r>
      <w:proofErr w:type="spellStart"/>
      <w:r w:rsidR="00C573FA" w:rsidRPr="00D36951">
        <w:rPr>
          <w:rFonts w:ascii="Arial" w:hAnsi="Arial" w:cs="Arial"/>
          <w:sz w:val="20"/>
          <w:szCs w:val="20"/>
        </w:rPr>
        <w:t>ligaplants</w:t>
      </w:r>
      <w:proofErr w:type="spellEnd"/>
      <w:r w:rsidR="00C573FA" w:rsidRPr="00D36951">
        <w:rPr>
          <w:rFonts w:ascii="Arial" w:hAnsi="Arial" w:cs="Arial"/>
          <w:sz w:val="20"/>
          <w:szCs w:val="20"/>
        </w:rPr>
        <w:t>.</w:t>
      </w:r>
      <w:r w:rsidR="00C573FA" w:rsidRPr="00D36951">
        <w:rPr>
          <w:rFonts w:ascii="Arial" w:hAnsi="Arial" w:cs="Arial"/>
          <w:sz w:val="20"/>
          <w:szCs w:val="20"/>
          <w:lang w:val="en-US"/>
        </w:rPr>
        <w:t xml:space="preserve"> </w:t>
      </w:r>
      <w:r w:rsidR="009154D4" w:rsidRPr="00D36951">
        <w:rPr>
          <w:rFonts w:ascii="Arial" w:hAnsi="Arial" w:cs="Arial"/>
          <w:sz w:val="20"/>
          <w:szCs w:val="20"/>
        </w:rPr>
        <w:t xml:space="preserve">The PDL is no longer taken into consideration when replacing lost teeth with inert biomaterial implants that are inserted straight into the jawbone. </w:t>
      </w:r>
      <w:r w:rsidR="00A34E47" w:rsidRPr="00D36951">
        <w:rPr>
          <w:rFonts w:ascii="Arial" w:hAnsi="Arial" w:cs="Arial"/>
          <w:sz w:val="20"/>
          <w:szCs w:val="20"/>
        </w:rPr>
        <w:t xml:space="preserve">Before these surgeries, Bone repair is required due to local bone abnormalities and usually poor bone </w:t>
      </w:r>
      <w:r w:rsidR="00226C63" w:rsidRPr="00D36951">
        <w:rPr>
          <w:rFonts w:ascii="Arial" w:hAnsi="Arial" w:cs="Arial"/>
          <w:sz w:val="20"/>
          <w:szCs w:val="20"/>
        </w:rPr>
        <w:t>quality.</w:t>
      </w:r>
      <w:r w:rsidR="00226C63" w:rsidRPr="00D36951">
        <w:rPr>
          <w:rFonts w:ascii="Arial" w:hAnsi="Arial" w:cs="Arial"/>
          <w:sz w:val="20"/>
          <w:szCs w:val="20"/>
          <w:lang w:val="en-US"/>
        </w:rPr>
        <w:t xml:space="preserve"> Apart</w:t>
      </w:r>
      <w:r w:rsidR="00FD00EC" w:rsidRPr="00D36951">
        <w:rPr>
          <w:rFonts w:ascii="Arial" w:hAnsi="Arial" w:cs="Arial"/>
          <w:sz w:val="20"/>
          <w:szCs w:val="20"/>
          <w:lang w:val="en-US"/>
        </w:rPr>
        <w:t xml:space="preserve"> from that, localized bone loss surrounding the implant fixture is a clinical problem, particularly in gingival recession situations where modified tissue architecture may be the cause, requiring additional surgical procedures. </w:t>
      </w:r>
      <w:r w:rsidR="00F710CB" w:rsidRPr="00D36951">
        <w:rPr>
          <w:rFonts w:ascii="Arial" w:hAnsi="Arial" w:cs="Arial"/>
          <w:sz w:val="20"/>
          <w:szCs w:val="20"/>
        </w:rPr>
        <w:t xml:space="preserve">An implant system with tissue-inducing capabilities could be helpful in resolving this problem. PDL implants can be inserted into a missing tooth's extraction socket to make surgery </w:t>
      </w:r>
      <w:proofErr w:type="gramStart"/>
      <w:r w:rsidR="00F710CB" w:rsidRPr="00D36951">
        <w:rPr>
          <w:rFonts w:ascii="Arial" w:hAnsi="Arial" w:cs="Arial"/>
          <w:sz w:val="20"/>
          <w:szCs w:val="20"/>
        </w:rPr>
        <w:t>easier.</w:t>
      </w:r>
      <w:r w:rsidR="00FD00EC" w:rsidRPr="00D36951">
        <w:rPr>
          <w:rFonts w:ascii="Arial" w:hAnsi="Arial" w:cs="Arial"/>
          <w:sz w:val="20"/>
          <w:szCs w:val="20"/>
          <w:lang w:val="en-US"/>
        </w:rPr>
        <w:t>[</w:t>
      </w:r>
      <w:proofErr w:type="gramEnd"/>
      <w:r w:rsidR="00FD00EC" w:rsidRPr="00D36951">
        <w:rPr>
          <w:rFonts w:ascii="Arial" w:hAnsi="Arial" w:cs="Arial"/>
          <w:sz w:val="20"/>
          <w:szCs w:val="20"/>
          <w:lang w:val="en-US"/>
        </w:rPr>
        <w:t>7]</w:t>
      </w:r>
      <w:r w:rsidR="00FD00EC" w:rsidRPr="00D36951">
        <w:rPr>
          <w:rFonts w:ascii="Arial" w:hAnsi="Arial" w:cs="Arial"/>
          <w:sz w:val="20"/>
          <w:szCs w:val="20"/>
        </w:rPr>
        <w:t xml:space="preserve"> </w:t>
      </w:r>
      <w:proofErr w:type="spellStart"/>
      <w:r w:rsidR="00FD00EC" w:rsidRPr="00D36951">
        <w:rPr>
          <w:rFonts w:ascii="Arial" w:hAnsi="Arial" w:cs="Arial"/>
          <w:sz w:val="20"/>
          <w:szCs w:val="20"/>
          <w:lang w:val="en-US"/>
        </w:rPr>
        <w:t>Ligaplants</w:t>
      </w:r>
      <w:proofErr w:type="spellEnd"/>
      <w:r w:rsidR="00FD00EC" w:rsidRPr="00D36951">
        <w:rPr>
          <w:rFonts w:ascii="Arial" w:hAnsi="Arial" w:cs="Arial"/>
          <w:sz w:val="20"/>
          <w:szCs w:val="20"/>
          <w:lang w:val="en-US"/>
        </w:rPr>
        <w:t xml:space="preserve"> are a new treatment option experiment in clinical trials both in vivo and in vitro. Additionally, while animal research </w:t>
      </w:r>
      <w:r w:rsidR="00EB4963" w:rsidRPr="00D36951">
        <w:rPr>
          <w:rFonts w:ascii="Arial" w:hAnsi="Arial" w:cs="Arial"/>
          <w:sz w:val="20"/>
          <w:szCs w:val="20"/>
          <w:lang w:val="en-US"/>
        </w:rPr>
        <w:t>has</w:t>
      </w:r>
      <w:r w:rsidR="00FD00EC" w:rsidRPr="00D36951">
        <w:rPr>
          <w:rFonts w:ascii="Arial" w:hAnsi="Arial" w:cs="Arial"/>
          <w:sz w:val="20"/>
          <w:szCs w:val="20"/>
          <w:lang w:val="en-US"/>
        </w:rPr>
        <w:t xml:space="preserve"> yielded positive benefits, in vivo results have not been as promising are yet to be connected. </w:t>
      </w:r>
      <w:r w:rsidR="00D460BF" w:rsidRPr="00D36951">
        <w:rPr>
          <w:rFonts w:ascii="Arial" w:hAnsi="Arial" w:cs="Arial"/>
          <w:sz w:val="20"/>
          <w:szCs w:val="20"/>
        </w:rPr>
        <w:t xml:space="preserve">The periodontium-supported implants can maintain performs and proprioceptive actions that are exactly like those of natural teeth, according to a number of successful </w:t>
      </w:r>
      <w:proofErr w:type="gramStart"/>
      <w:r w:rsidR="00D460BF" w:rsidRPr="00D36951">
        <w:rPr>
          <w:rFonts w:ascii="Arial" w:hAnsi="Arial" w:cs="Arial"/>
          <w:sz w:val="20"/>
          <w:szCs w:val="20"/>
        </w:rPr>
        <w:t>trials.</w:t>
      </w:r>
      <w:r w:rsidR="00FD00EC" w:rsidRPr="00D36951">
        <w:rPr>
          <w:rFonts w:ascii="Arial" w:hAnsi="Arial" w:cs="Arial"/>
          <w:sz w:val="20"/>
          <w:szCs w:val="20"/>
          <w:lang w:val="en-US"/>
        </w:rPr>
        <w:t>The</w:t>
      </w:r>
      <w:proofErr w:type="gramEnd"/>
      <w:r w:rsidR="00FD00EC" w:rsidRPr="00D36951">
        <w:rPr>
          <w:rFonts w:ascii="Arial" w:hAnsi="Arial" w:cs="Arial"/>
          <w:sz w:val="20"/>
          <w:szCs w:val="20"/>
          <w:lang w:val="en-US"/>
        </w:rPr>
        <w:t xml:space="preserve"> substantial data suggests that using this implant in clinical practice could transform implant dentistry and benefit patients too.[6]</w:t>
      </w:r>
      <w:r w:rsidR="00AB75F8" w:rsidRPr="00D36951">
        <w:rPr>
          <w:rFonts w:ascii="Arial" w:hAnsi="Arial" w:cs="Arial"/>
          <w:sz w:val="20"/>
          <w:szCs w:val="20"/>
        </w:rPr>
        <w:t xml:space="preserve"> </w:t>
      </w:r>
    </w:p>
    <w:p w14:paraId="550F5EAB" w14:textId="11098AAB" w:rsidR="005C2242" w:rsidRPr="008F2519" w:rsidRDefault="00FD00EC" w:rsidP="005C2242">
      <w:pPr>
        <w:jc w:val="both"/>
        <w:rPr>
          <w:rFonts w:ascii="Arial" w:hAnsi="Arial" w:cs="Arial"/>
          <w:b/>
          <w:bCs/>
          <w:sz w:val="22"/>
          <w:szCs w:val="22"/>
        </w:rPr>
      </w:pPr>
      <w:r w:rsidRPr="008F2519">
        <w:rPr>
          <w:rFonts w:ascii="Arial" w:hAnsi="Arial" w:cs="Arial"/>
          <w:b/>
          <w:bCs/>
          <w:sz w:val="22"/>
          <w:szCs w:val="22"/>
          <w:lang w:val="en-US"/>
        </w:rPr>
        <w:t>TISSUE ENGINERING -</w:t>
      </w:r>
      <w:r w:rsidR="005C2242" w:rsidRPr="008F2519">
        <w:rPr>
          <w:rFonts w:ascii="Arial" w:eastAsia="Times New Roman" w:hAnsi="Arial" w:cs="Arial"/>
          <w:b/>
          <w:bCs/>
          <w:kern w:val="0"/>
          <w:sz w:val="22"/>
          <w:szCs w:val="22"/>
          <w:lang w:eastAsia="en-IN"/>
          <w14:ligatures w14:val="none"/>
        </w:rPr>
        <w:t xml:space="preserve"> </w:t>
      </w:r>
      <w:r w:rsidR="005C2242" w:rsidRPr="008F2519">
        <w:rPr>
          <w:rFonts w:ascii="Arial" w:hAnsi="Arial" w:cs="Arial"/>
          <w:b/>
          <w:bCs/>
          <w:sz w:val="22"/>
          <w:szCs w:val="22"/>
        </w:rPr>
        <w:t xml:space="preserve">The fundamental basis of </w:t>
      </w:r>
      <w:proofErr w:type="spellStart"/>
      <w:r w:rsidR="005C2242" w:rsidRPr="008F2519">
        <w:rPr>
          <w:rFonts w:ascii="Arial" w:hAnsi="Arial" w:cs="Arial"/>
          <w:b/>
          <w:bCs/>
          <w:sz w:val="22"/>
          <w:szCs w:val="22"/>
        </w:rPr>
        <w:t>ligaplants</w:t>
      </w:r>
      <w:proofErr w:type="spellEnd"/>
    </w:p>
    <w:p w14:paraId="29CD70CF" w14:textId="4DE615C2" w:rsidR="00FD00EC" w:rsidRPr="00D36951" w:rsidRDefault="00D0395B" w:rsidP="00FD00EC">
      <w:pPr>
        <w:jc w:val="both"/>
        <w:rPr>
          <w:rFonts w:ascii="Arial" w:hAnsi="Arial" w:cs="Arial"/>
          <w:sz w:val="20"/>
          <w:szCs w:val="20"/>
        </w:rPr>
      </w:pPr>
      <w:r w:rsidRPr="00D36951">
        <w:rPr>
          <w:rFonts w:ascii="Arial" w:hAnsi="Arial" w:cs="Arial"/>
          <w:sz w:val="20"/>
          <w:szCs w:val="20"/>
        </w:rPr>
        <w:t xml:space="preserve">Tissue engineering is a quickly evolving method for producing scaffolds composed of growth factors and biodegradable polymers to create </w:t>
      </w:r>
      <w:proofErr w:type="gramStart"/>
      <w:r w:rsidRPr="00D36951">
        <w:rPr>
          <w:rFonts w:ascii="Arial" w:hAnsi="Arial" w:cs="Arial"/>
          <w:sz w:val="20"/>
          <w:szCs w:val="20"/>
        </w:rPr>
        <w:t>tissues.</w:t>
      </w:r>
      <w:r w:rsidR="00FD00EC" w:rsidRPr="00D36951">
        <w:rPr>
          <w:rFonts w:ascii="Arial" w:hAnsi="Arial" w:cs="Arial"/>
          <w:sz w:val="20"/>
          <w:szCs w:val="20"/>
          <w:lang w:val="en-US"/>
        </w:rPr>
        <w:t>[</w:t>
      </w:r>
      <w:proofErr w:type="gramEnd"/>
      <w:r w:rsidR="00FD00EC" w:rsidRPr="00D36951">
        <w:rPr>
          <w:rFonts w:ascii="Arial" w:hAnsi="Arial" w:cs="Arial"/>
          <w:sz w:val="20"/>
          <w:szCs w:val="20"/>
          <w:lang w:val="en-US"/>
        </w:rPr>
        <w:t>4]</w:t>
      </w:r>
      <w:r w:rsidR="00FD00EC" w:rsidRPr="00D36951">
        <w:rPr>
          <w:rFonts w:ascii="Arial" w:hAnsi="Arial" w:cs="Arial"/>
          <w:sz w:val="20"/>
          <w:szCs w:val="20"/>
        </w:rPr>
        <w:t xml:space="preserve"> </w:t>
      </w:r>
      <w:r w:rsidR="00DF1D06" w:rsidRPr="00D36951">
        <w:rPr>
          <w:rFonts w:ascii="Arial" w:hAnsi="Arial" w:cs="Arial"/>
          <w:sz w:val="20"/>
          <w:szCs w:val="20"/>
        </w:rPr>
        <w:t>Life science and engineering principles form its foundation.</w:t>
      </w:r>
      <w:r w:rsidR="00CF4E90" w:rsidRPr="00D36951">
        <w:rPr>
          <w:rFonts w:ascii="Arial" w:eastAsia="Times New Roman" w:hAnsi="Arial" w:cs="Arial"/>
          <w:kern w:val="0"/>
          <w:sz w:val="20"/>
          <w:szCs w:val="20"/>
          <w:lang w:eastAsia="en-IN"/>
          <w14:ligatures w14:val="none"/>
        </w:rPr>
        <w:t xml:space="preserve"> </w:t>
      </w:r>
      <w:r w:rsidR="00CF4E90" w:rsidRPr="00D36951">
        <w:rPr>
          <w:rFonts w:ascii="Arial" w:hAnsi="Arial" w:cs="Arial"/>
          <w:sz w:val="20"/>
          <w:szCs w:val="20"/>
        </w:rPr>
        <w:t xml:space="preserve">The advantages of tissue engineering products and osteoconductive matrix are increased when </w:t>
      </w:r>
      <w:r w:rsidR="001723AD" w:rsidRPr="00D36951">
        <w:rPr>
          <w:rFonts w:ascii="Arial" w:hAnsi="Arial" w:cs="Arial"/>
          <w:sz w:val="20"/>
          <w:szCs w:val="20"/>
        </w:rPr>
        <w:t>combined.</w:t>
      </w:r>
      <w:r w:rsidR="001723AD" w:rsidRPr="00D36951">
        <w:rPr>
          <w:rFonts w:ascii="Arial" w:hAnsi="Arial" w:cs="Arial"/>
          <w:sz w:val="20"/>
          <w:szCs w:val="20"/>
          <w:lang w:val="en-US"/>
        </w:rPr>
        <w:t xml:space="preserve"> These</w:t>
      </w:r>
      <w:r w:rsidR="00FD00EC" w:rsidRPr="00D36951">
        <w:rPr>
          <w:rFonts w:ascii="Arial" w:hAnsi="Arial" w:cs="Arial"/>
          <w:sz w:val="20"/>
          <w:szCs w:val="20"/>
          <w:lang w:val="en-US"/>
        </w:rPr>
        <w:t xml:space="preserve"> materials benefit from revascularization and increased cellular development. </w:t>
      </w:r>
      <w:r w:rsidR="001D2E63" w:rsidRPr="00D36951">
        <w:rPr>
          <w:rFonts w:ascii="Arial" w:hAnsi="Arial" w:cs="Arial"/>
          <w:sz w:val="20"/>
          <w:szCs w:val="20"/>
        </w:rPr>
        <w:t xml:space="preserve">In order to start regeneration and solidify newly formed transverse </w:t>
      </w:r>
      <w:proofErr w:type="spellStart"/>
      <w:r w:rsidR="001D2E63" w:rsidRPr="00D36951">
        <w:rPr>
          <w:rFonts w:ascii="Arial" w:hAnsi="Arial" w:cs="Arial"/>
          <w:sz w:val="20"/>
          <w:szCs w:val="20"/>
        </w:rPr>
        <w:t>fibers</w:t>
      </w:r>
      <w:proofErr w:type="spellEnd"/>
      <w:r w:rsidR="001D2E63" w:rsidRPr="00D36951">
        <w:rPr>
          <w:rFonts w:ascii="Arial" w:hAnsi="Arial" w:cs="Arial"/>
          <w:sz w:val="20"/>
          <w:szCs w:val="20"/>
        </w:rPr>
        <w:t xml:space="preserve">, a layer on </w:t>
      </w:r>
      <w:commentRangeStart w:id="5"/>
      <w:r w:rsidR="001D2E63" w:rsidRPr="00D36951">
        <w:rPr>
          <w:rFonts w:ascii="Arial" w:hAnsi="Arial" w:cs="Arial"/>
          <w:sz w:val="20"/>
          <w:szCs w:val="20"/>
        </w:rPr>
        <w:t>C</w:t>
      </w:r>
      <w:commentRangeEnd w:id="5"/>
      <w:r w:rsidR="00077270">
        <w:rPr>
          <w:rStyle w:val="CommentReference"/>
        </w:rPr>
        <w:commentReference w:id="5"/>
      </w:r>
      <w:r w:rsidR="001D2E63" w:rsidRPr="00D36951">
        <w:rPr>
          <w:rFonts w:ascii="Arial" w:hAnsi="Arial" w:cs="Arial"/>
          <w:sz w:val="20"/>
          <w:szCs w:val="20"/>
        </w:rPr>
        <w:t xml:space="preserve">ementum adheres to the teeth's original </w:t>
      </w:r>
      <w:proofErr w:type="gramStart"/>
      <w:r w:rsidR="001D2E63" w:rsidRPr="00D36951">
        <w:rPr>
          <w:rFonts w:ascii="Arial" w:hAnsi="Arial" w:cs="Arial"/>
          <w:sz w:val="20"/>
          <w:szCs w:val="20"/>
        </w:rPr>
        <w:t>cementum</w:t>
      </w:r>
      <w:r w:rsidR="00FD00EC" w:rsidRPr="00D36951">
        <w:rPr>
          <w:rFonts w:ascii="Arial" w:hAnsi="Arial" w:cs="Arial"/>
          <w:sz w:val="20"/>
          <w:szCs w:val="20"/>
          <w:lang w:val="en-US"/>
        </w:rPr>
        <w:t>.[</w:t>
      </w:r>
      <w:proofErr w:type="gramEnd"/>
      <w:r w:rsidR="00FD00EC" w:rsidRPr="00D36951">
        <w:rPr>
          <w:rFonts w:ascii="Arial" w:hAnsi="Arial" w:cs="Arial"/>
          <w:sz w:val="20"/>
          <w:szCs w:val="20"/>
          <w:lang w:val="en-US"/>
        </w:rPr>
        <w:t>6]</w:t>
      </w:r>
    </w:p>
    <w:p w14:paraId="496D85D2" w14:textId="6CEB1D6D" w:rsidR="00FD00EC" w:rsidRPr="00D36951" w:rsidRDefault="00FD00EC" w:rsidP="00FD00EC">
      <w:pPr>
        <w:rPr>
          <w:rFonts w:ascii="Arial" w:hAnsi="Arial" w:cs="Arial"/>
          <w:sz w:val="20"/>
          <w:szCs w:val="20"/>
        </w:rPr>
      </w:pPr>
      <w:commentRangeStart w:id="6"/>
      <w:r w:rsidRPr="00D36951">
        <w:rPr>
          <w:rFonts w:ascii="Arial" w:hAnsi="Arial" w:cs="Arial"/>
          <w:sz w:val="20"/>
          <w:szCs w:val="20"/>
        </w:rPr>
        <w:t>Tissue engineering involves integrating three key components to promote regeneration. The key elements considered to be a triangle are as follows</w:t>
      </w:r>
      <w:commentRangeEnd w:id="6"/>
      <w:r w:rsidR="00A811D5">
        <w:rPr>
          <w:rStyle w:val="CommentReference"/>
        </w:rPr>
        <w:commentReference w:id="6"/>
      </w:r>
      <w:r w:rsidRPr="00D36951">
        <w:rPr>
          <w:rFonts w:ascii="Arial" w:hAnsi="Arial" w:cs="Arial"/>
          <w:sz w:val="20"/>
          <w:szCs w:val="20"/>
        </w:rPr>
        <w:t xml:space="preserve">: </w:t>
      </w:r>
      <w:r w:rsidRPr="00D36951">
        <w:rPr>
          <w:rFonts w:ascii="Arial" w:hAnsi="Arial" w:cs="Arial"/>
          <w:sz w:val="20"/>
          <w:szCs w:val="20"/>
        </w:rPr>
        <w:br/>
      </w:r>
      <w:r w:rsidR="00DE0F17" w:rsidRPr="00D36951">
        <w:rPr>
          <w:rFonts w:ascii="Arial" w:hAnsi="Arial" w:cs="Arial"/>
          <w:sz w:val="20"/>
          <w:szCs w:val="20"/>
        </w:rPr>
        <w:t>[a]</w:t>
      </w:r>
      <w:r w:rsidRPr="00D36951">
        <w:rPr>
          <w:rFonts w:ascii="Arial" w:hAnsi="Arial" w:cs="Arial"/>
          <w:sz w:val="20"/>
          <w:szCs w:val="20"/>
        </w:rPr>
        <w:t xml:space="preserve">Scaffolding or matrix. </w:t>
      </w:r>
      <w:r w:rsidRPr="00D36951">
        <w:rPr>
          <w:rFonts w:ascii="Arial" w:hAnsi="Arial" w:cs="Arial"/>
          <w:sz w:val="20"/>
          <w:szCs w:val="20"/>
        </w:rPr>
        <w:br/>
      </w:r>
      <w:r w:rsidR="00DE0F17" w:rsidRPr="00D36951">
        <w:rPr>
          <w:rFonts w:ascii="Arial" w:hAnsi="Arial" w:cs="Arial"/>
          <w:sz w:val="20"/>
          <w:szCs w:val="20"/>
        </w:rPr>
        <w:t>[b]</w:t>
      </w:r>
      <w:r w:rsidRPr="00D36951">
        <w:rPr>
          <w:rFonts w:ascii="Arial" w:hAnsi="Arial" w:cs="Arial"/>
          <w:sz w:val="20"/>
          <w:szCs w:val="20"/>
        </w:rPr>
        <w:t xml:space="preserve">Signal molecules </w:t>
      </w:r>
      <w:r w:rsidRPr="00D36951">
        <w:rPr>
          <w:rFonts w:ascii="Arial" w:hAnsi="Arial" w:cs="Arial"/>
          <w:sz w:val="20"/>
          <w:szCs w:val="20"/>
        </w:rPr>
        <w:br/>
      </w:r>
      <w:r w:rsidR="00DE0F17" w:rsidRPr="00D36951">
        <w:rPr>
          <w:rFonts w:ascii="Arial" w:hAnsi="Arial" w:cs="Arial"/>
          <w:sz w:val="20"/>
          <w:szCs w:val="20"/>
        </w:rPr>
        <w:t>[c]</w:t>
      </w:r>
      <w:r w:rsidRPr="00D36951">
        <w:rPr>
          <w:rFonts w:ascii="Arial" w:hAnsi="Arial" w:cs="Arial"/>
          <w:sz w:val="20"/>
          <w:szCs w:val="20"/>
        </w:rPr>
        <w:t>Cells</w:t>
      </w:r>
    </w:p>
    <w:p w14:paraId="2B201ADF" w14:textId="6272D09B" w:rsidR="00DC3A1A" w:rsidRPr="00D36951" w:rsidRDefault="000977E9" w:rsidP="00D36951">
      <w:pPr>
        <w:rPr>
          <w:rFonts w:ascii="Arial" w:hAnsi="Arial" w:cs="Arial"/>
          <w:sz w:val="20"/>
          <w:szCs w:val="20"/>
        </w:rPr>
      </w:pPr>
      <w:r w:rsidRPr="00D36951">
        <w:rPr>
          <w:rFonts w:ascii="Arial" w:hAnsi="Arial" w:cs="Arial"/>
          <w:sz w:val="20"/>
          <w:szCs w:val="20"/>
        </w:rPr>
        <w:t xml:space="preserve">The scaffold serves as a three-dimensional structure that facilitates cellular migration and proliferation, which in turn encourages matrix formation and tissue development. </w:t>
      </w:r>
      <w:r w:rsidR="00FD00EC" w:rsidRPr="00D36951">
        <w:rPr>
          <w:rFonts w:ascii="Arial" w:hAnsi="Arial" w:cs="Arial"/>
          <w:sz w:val="20"/>
          <w:szCs w:val="20"/>
        </w:rPr>
        <w:t>[4]</w:t>
      </w:r>
      <w:r w:rsidR="00FD00EC" w:rsidRPr="00D36951">
        <w:rPr>
          <w:rFonts w:ascii="Arial" w:eastAsia="Times New Roman" w:hAnsi="Arial" w:cs="Arial"/>
          <w:kern w:val="0"/>
          <w:sz w:val="20"/>
          <w:szCs w:val="20"/>
          <w:lang w:eastAsia="en-IN"/>
          <w14:ligatures w14:val="none"/>
        </w:rPr>
        <w:t xml:space="preserve"> </w:t>
      </w:r>
      <w:r w:rsidR="00FD00EC" w:rsidRPr="00D36951">
        <w:rPr>
          <w:rFonts w:ascii="Arial" w:hAnsi="Arial" w:cs="Arial"/>
          <w:sz w:val="20"/>
          <w:szCs w:val="20"/>
        </w:rPr>
        <w:t xml:space="preserve">Cells are cultivated on a biodegradable matrix and scaffold, then transplanted into the body. </w:t>
      </w:r>
      <w:r w:rsidR="0069498C" w:rsidRPr="00D36951">
        <w:rPr>
          <w:rFonts w:ascii="Arial" w:hAnsi="Arial" w:cs="Arial"/>
          <w:sz w:val="20"/>
          <w:szCs w:val="20"/>
        </w:rPr>
        <w:t xml:space="preserve">This process is called the "in vitro method." </w:t>
      </w:r>
      <w:r w:rsidR="000A631A" w:rsidRPr="00D36951">
        <w:rPr>
          <w:rFonts w:ascii="Arial" w:hAnsi="Arial" w:cs="Arial"/>
          <w:sz w:val="20"/>
          <w:szCs w:val="20"/>
        </w:rPr>
        <w:t>Physiological regeneration and repair occur when important components that have been cultivated are</w:t>
      </w:r>
      <w:r w:rsidR="00D36951">
        <w:rPr>
          <w:rFonts w:ascii="Arial" w:hAnsi="Arial" w:cs="Arial"/>
          <w:sz w:val="20"/>
          <w:szCs w:val="20"/>
        </w:rPr>
        <w:t xml:space="preserve"> </w:t>
      </w:r>
      <w:r w:rsidR="000A631A" w:rsidRPr="00D36951">
        <w:rPr>
          <w:rFonts w:ascii="Arial" w:hAnsi="Arial" w:cs="Arial"/>
          <w:sz w:val="20"/>
          <w:szCs w:val="20"/>
        </w:rPr>
        <w:t xml:space="preserve">deposited in tissue </w:t>
      </w:r>
      <w:commentRangeStart w:id="7"/>
      <w:r w:rsidR="000A631A" w:rsidRPr="00D36951">
        <w:rPr>
          <w:rFonts w:ascii="Arial" w:hAnsi="Arial" w:cs="Arial"/>
          <w:sz w:val="20"/>
          <w:szCs w:val="20"/>
        </w:rPr>
        <w:t>defects</w:t>
      </w:r>
      <w:commentRangeEnd w:id="7"/>
      <w:r w:rsidR="00832B33">
        <w:rPr>
          <w:rStyle w:val="CommentReference"/>
        </w:rPr>
        <w:commentReference w:id="7"/>
      </w:r>
      <w:r w:rsidR="000A631A" w:rsidRPr="00D36951">
        <w:rPr>
          <w:rFonts w:ascii="Arial" w:hAnsi="Arial" w:cs="Arial"/>
          <w:sz w:val="20"/>
          <w:szCs w:val="20"/>
        </w:rPr>
        <w:t xml:space="preserve">. </w:t>
      </w:r>
      <w:r w:rsidR="000A631A" w:rsidRPr="00D36951">
        <w:rPr>
          <w:rFonts w:ascii="Arial" w:hAnsi="Arial" w:cs="Arial"/>
          <w:sz w:val="20"/>
          <w:szCs w:val="20"/>
        </w:rPr>
        <w:br/>
        <w:t xml:space="preserve">Both in vitro and in vivo methods can be used to produce </w:t>
      </w:r>
      <w:proofErr w:type="spellStart"/>
      <w:proofErr w:type="gramStart"/>
      <w:r w:rsidR="000A631A" w:rsidRPr="00D36951">
        <w:rPr>
          <w:rFonts w:ascii="Arial" w:hAnsi="Arial" w:cs="Arial"/>
          <w:sz w:val="20"/>
          <w:szCs w:val="20"/>
        </w:rPr>
        <w:t>ligaplants</w:t>
      </w:r>
      <w:proofErr w:type="spellEnd"/>
      <w:r w:rsidR="000A631A" w:rsidRPr="00D36951">
        <w:rPr>
          <w:rFonts w:ascii="Arial" w:hAnsi="Arial" w:cs="Arial"/>
          <w:sz w:val="20"/>
          <w:szCs w:val="20"/>
        </w:rPr>
        <w:t>.</w:t>
      </w:r>
      <w:r w:rsidR="00FD00EC" w:rsidRPr="00D36951">
        <w:rPr>
          <w:rFonts w:ascii="Arial" w:hAnsi="Arial" w:cs="Arial"/>
          <w:sz w:val="20"/>
          <w:szCs w:val="20"/>
        </w:rPr>
        <w:t>[</w:t>
      </w:r>
      <w:proofErr w:type="gramEnd"/>
      <w:r w:rsidR="00FD00EC" w:rsidRPr="00D36951">
        <w:rPr>
          <w:rFonts w:ascii="Arial" w:hAnsi="Arial" w:cs="Arial"/>
          <w:sz w:val="20"/>
          <w:szCs w:val="20"/>
        </w:rPr>
        <w:t>6</w:t>
      </w:r>
      <w:r w:rsidR="00DC3A1A" w:rsidRPr="00D36951">
        <w:rPr>
          <w:rFonts w:ascii="Arial" w:hAnsi="Arial" w:cs="Arial"/>
          <w:sz w:val="20"/>
          <w:szCs w:val="20"/>
        </w:rPr>
        <w:t>]</w:t>
      </w:r>
    </w:p>
    <w:p w14:paraId="77C00D56" w14:textId="3A5ED791" w:rsidR="00E51F43" w:rsidRPr="008F2519" w:rsidRDefault="00461A39" w:rsidP="00E51F43">
      <w:pPr>
        <w:jc w:val="both"/>
        <w:rPr>
          <w:rFonts w:ascii="Arial" w:hAnsi="Arial" w:cs="Arial"/>
          <w:b/>
          <w:bCs/>
          <w:sz w:val="22"/>
          <w:szCs w:val="22"/>
        </w:rPr>
      </w:pPr>
      <w:r w:rsidRPr="008F2519">
        <w:rPr>
          <w:rFonts w:ascii="Arial" w:hAnsi="Arial" w:cs="Arial"/>
          <w:b/>
          <w:bCs/>
          <w:sz w:val="22"/>
          <w:szCs w:val="22"/>
        </w:rPr>
        <w:lastRenderedPageBreak/>
        <w:t>INTERPHASE OF THE PERIODONTAL AND IMPLANT LIGAMENT TISSUE</w:t>
      </w:r>
      <w:commentRangeStart w:id="8"/>
      <w:r w:rsidRPr="008F2519">
        <w:rPr>
          <w:rFonts w:ascii="Arial" w:hAnsi="Arial" w:cs="Arial"/>
          <w:b/>
          <w:bCs/>
          <w:sz w:val="22"/>
          <w:szCs w:val="22"/>
        </w:rPr>
        <w:t>:</w:t>
      </w:r>
      <w:commentRangeEnd w:id="8"/>
      <w:r w:rsidR="00832B33">
        <w:rPr>
          <w:rStyle w:val="CommentReference"/>
        </w:rPr>
        <w:commentReference w:id="8"/>
      </w:r>
    </w:p>
    <w:p w14:paraId="5D571323" w14:textId="5DDF6EFE" w:rsidR="0096353C" w:rsidRPr="00D36951" w:rsidRDefault="008760E6" w:rsidP="003D5078">
      <w:pPr>
        <w:jc w:val="both"/>
        <w:rPr>
          <w:rFonts w:ascii="Arial" w:hAnsi="Arial" w:cs="Arial"/>
          <w:sz w:val="20"/>
          <w:szCs w:val="20"/>
        </w:rPr>
      </w:pPr>
      <w:r w:rsidRPr="00D36951">
        <w:rPr>
          <w:rFonts w:ascii="Arial" w:hAnsi="Arial" w:cs="Arial"/>
          <w:sz w:val="20"/>
          <w:szCs w:val="20"/>
        </w:rPr>
        <w:t xml:space="preserve">Tissue-specific features, such as a cement-like layer </w:t>
      </w:r>
      <w:commentRangeStart w:id="9"/>
      <w:r w:rsidRPr="00D36951">
        <w:rPr>
          <w:rFonts w:ascii="Arial" w:hAnsi="Arial" w:cs="Arial"/>
          <w:sz w:val="20"/>
          <w:szCs w:val="20"/>
        </w:rPr>
        <w:t>and</w:t>
      </w:r>
      <w:commentRangeEnd w:id="9"/>
      <w:r w:rsidR="00832B33">
        <w:rPr>
          <w:rStyle w:val="CommentReference"/>
        </w:rPr>
        <w:commentReference w:id="9"/>
      </w:r>
      <w:r w:rsidRPr="00D36951">
        <w:rPr>
          <w:rFonts w:ascii="Arial" w:hAnsi="Arial" w:cs="Arial"/>
          <w:sz w:val="20"/>
          <w:szCs w:val="20"/>
        </w:rPr>
        <w:t xml:space="preserve"> cell and fibre orientation across non-mineralized areas, appeared after implantation. </w:t>
      </w:r>
      <w:commentRangeStart w:id="10"/>
      <w:r w:rsidRPr="00D36951">
        <w:rPr>
          <w:rFonts w:ascii="Arial" w:hAnsi="Arial" w:cs="Arial"/>
          <w:sz w:val="20"/>
          <w:szCs w:val="20"/>
        </w:rPr>
        <w:t>space between implants</w:t>
      </w:r>
      <w:commentRangeEnd w:id="10"/>
      <w:r w:rsidR="00FE6254">
        <w:rPr>
          <w:rStyle w:val="CommentReference"/>
        </w:rPr>
        <w:commentReference w:id="10"/>
      </w:r>
      <w:r w:rsidRPr="00D36951">
        <w:rPr>
          <w:rFonts w:ascii="Arial" w:hAnsi="Arial" w:cs="Arial"/>
          <w:sz w:val="20"/>
          <w:szCs w:val="20"/>
        </w:rPr>
        <w:t xml:space="preserve">. Tissue cooperation surrounding the </w:t>
      </w:r>
      <w:proofErr w:type="spellStart"/>
      <w:r w:rsidRPr="00D36951">
        <w:rPr>
          <w:rFonts w:ascii="Arial" w:hAnsi="Arial" w:cs="Arial"/>
          <w:sz w:val="20"/>
          <w:szCs w:val="20"/>
        </w:rPr>
        <w:t>ligaplant</w:t>
      </w:r>
      <w:proofErr w:type="spellEnd"/>
      <w:r w:rsidRPr="00D36951">
        <w:rPr>
          <w:rFonts w:ascii="Arial" w:hAnsi="Arial" w:cs="Arial"/>
          <w:sz w:val="20"/>
          <w:szCs w:val="20"/>
        </w:rPr>
        <w:t xml:space="preserve"> location was improved by PDL organization. </w:t>
      </w:r>
      <w:proofErr w:type="spellStart"/>
      <w:r w:rsidRPr="00D36951">
        <w:rPr>
          <w:rFonts w:ascii="Arial" w:hAnsi="Arial" w:cs="Arial"/>
          <w:sz w:val="20"/>
          <w:szCs w:val="20"/>
        </w:rPr>
        <w:t>Ligaplants</w:t>
      </w:r>
      <w:proofErr w:type="spellEnd"/>
      <w:r w:rsidRPr="00D36951">
        <w:rPr>
          <w:rFonts w:ascii="Arial" w:hAnsi="Arial" w:cs="Arial"/>
          <w:sz w:val="20"/>
          <w:szCs w:val="20"/>
        </w:rPr>
        <w:t xml:space="preserve"> were shown to encourage bone growth, suggesting that the novel PDL may have osteogenic potential. Site-specific signalling is necessary for regenerative PDLs and is controlled by an anatomical code that is expressed by transcription factors that are </w:t>
      </w:r>
      <w:proofErr w:type="spellStart"/>
      <w:r w:rsidRPr="00D36951">
        <w:rPr>
          <w:rFonts w:ascii="Arial" w:hAnsi="Arial" w:cs="Arial"/>
          <w:sz w:val="20"/>
          <w:szCs w:val="20"/>
        </w:rPr>
        <w:t>homeogene-</w:t>
      </w:r>
      <w:proofErr w:type="gramStart"/>
      <w:r w:rsidRPr="00D36951">
        <w:rPr>
          <w:rFonts w:ascii="Arial" w:hAnsi="Arial" w:cs="Arial"/>
          <w:sz w:val="20"/>
          <w:szCs w:val="20"/>
        </w:rPr>
        <w:t>coded.The</w:t>
      </w:r>
      <w:proofErr w:type="spellEnd"/>
      <w:proofErr w:type="gramEnd"/>
      <w:r w:rsidRPr="00D36951">
        <w:rPr>
          <w:rFonts w:ascii="Arial" w:hAnsi="Arial" w:cs="Arial"/>
          <w:sz w:val="20"/>
          <w:szCs w:val="20"/>
        </w:rPr>
        <w:t xml:space="preserve"> production of signalling and cell surface components is regulated by homeoproteins, and homogenic expression is modulated by cell surface feedback. Anatomical location and tissue type are used to create cell identities. It is true that </w:t>
      </w:r>
      <w:proofErr w:type="spellStart"/>
      <w:r w:rsidRPr="00D36951">
        <w:rPr>
          <w:rFonts w:ascii="Arial" w:hAnsi="Arial" w:cs="Arial"/>
          <w:sz w:val="20"/>
          <w:szCs w:val="20"/>
        </w:rPr>
        <w:t>homeogene</w:t>
      </w:r>
      <w:proofErr w:type="spellEnd"/>
      <w:r w:rsidRPr="00D36951">
        <w:rPr>
          <w:rFonts w:ascii="Arial" w:hAnsi="Arial" w:cs="Arial"/>
          <w:sz w:val="20"/>
          <w:szCs w:val="20"/>
        </w:rPr>
        <w:t xml:space="preserve"> </w:t>
      </w:r>
      <w:commentRangeStart w:id="11"/>
      <w:r w:rsidRPr="00D36951">
        <w:rPr>
          <w:rFonts w:ascii="Arial" w:hAnsi="Arial" w:cs="Arial"/>
          <w:sz w:val="20"/>
          <w:szCs w:val="20"/>
        </w:rPr>
        <w:t>Msx2</w:t>
      </w:r>
      <w:commentRangeEnd w:id="11"/>
      <w:r w:rsidR="00FE6254">
        <w:rPr>
          <w:rStyle w:val="CommentReference"/>
        </w:rPr>
        <w:commentReference w:id="11"/>
      </w:r>
      <w:r w:rsidRPr="00D36951">
        <w:rPr>
          <w:rFonts w:ascii="Arial" w:hAnsi="Arial" w:cs="Arial"/>
          <w:sz w:val="20"/>
          <w:szCs w:val="20"/>
        </w:rPr>
        <w:t xml:space="preserve"> has been taken into consideration when separating mineralized bone from non-mineralized PDL. Aspirin, an </w:t>
      </w:r>
      <w:commentRangeStart w:id="12"/>
      <w:r w:rsidRPr="00D36951">
        <w:rPr>
          <w:rFonts w:ascii="Arial" w:hAnsi="Arial" w:cs="Arial"/>
          <w:sz w:val="20"/>
          <w:szCs w:val="20"/>
        </w:rPr>
        <w:t>SLRP</w:t>
      </w:r>
      <w:commentRangeEnd w:id="12"/>
      <w:r w:rsidR="000B77BC">
        <w:rPr>
          <w:rStyle w:val="CommentReference"/>
        </w:rPr>
        <w:commentReference w:id="12"/>
      </w:r>
      <w:r w:rsidRPr="00D36951">
        <w:rPr>
          <w:rFonts w:ascii="Arial" w:hAnsi="Arial" w:cs="Arial"/>
          <w:sz w:val="20"/>
          <w:szCs w:val="20"/>
        </w:rPr>
        <w:t xml:space="preserve"> protein found in the extracellular matrix, has been implicated in the prevention of PDL mineral formation. </w:t>
      </w:r>
      <w:r w:rsidR="003D5078" w:rsidRPr="00D36951">
        <w:rPr>
          <w:rFonts w:ascii="Arial" w:hAnsi="Arial" w:cs="Arial"/>
          <w:sz w:val="20"/>
          <w:szCs w:val="20"/>
        </w:rPr>
        <w:t>[5]</w:t>
      </w:r>
    </w:p>
    <w:p w14:paraId="46AB0A67" w14:textId="349F997D" w:rsidR="00C616E0" w:rsidRPr="008F2519" w:rsidRDefault="002F62BB" w:rsidP="003D5078">
      <w:pPr>
        <w:jc w:val="both"/>
        <w:rPr>
          <w:rFonts w:ascii="Arial" w:hAnsi="Arial" w:cs="Arial"/>
          <w:b/>
          <w:bCs/>
          <w:sz w:val="22"/>
          <w:szCs w:val="22"/>
        </w:rPr>
      </w:pPr>
      <w:r w:rsidRPr="008F2519">
        <w:rPr>
          <w:rFonts w:ascii="Arial" w:hAnsi="Arial" w:cs="Arial"/>
          <w:b/>
          <w:bCs/>
          <w:sz w:val="20"/>
          <w:szCs w:val="20"/>
        </w:rPr>
        <w:t xml:space="preserve">              </w:t>
      </w:r>
      <w:r w:rsidR="00C616E0" w:rsidRPr="008F2519">
        <w:rPr>
          <w:rFonts w:ascii="Arial" w:hAnsi="Arial" w:cs="Arial"/>
          <w:b/>
          <w:bCs/>
          <w:sz w:val="20"/>
          <w:szCs w:val="20"/>
        </w:rPr>
        <w:t xml:space="preserve"> </w:t>
      </w:r>
      <w:r w:rsidR="004E429F" w:rsidRPr="008F2519">
        <w:rPr>
          <w:rFonts w:ascii="Arial" w:hAnsi="Arial" w:cs="Arial"/>
          <w:b/>
          <w:bCs/>
          <w:sz w:val="20"/>
          <w:szCs w:val="20"/>
        </w:rPr>
        <w:t xml:space="preserve">       </w:t>
      </w:r>
      <w:r w:rsidR="00D36951" w:rsidRPr="008F2519">
        <w:rPr>
          <w:rFonts w:ascii="Arial" w:hAnsi="Arial" w:cs="Arial"/>
          <w:b/>
          <w:bCs/>
          <w:sz w:val="20"/>
          <w:szCs w:val="20"/>
        </w:rPr>
        <w:t xml:space="preserve">                    </w:t>
      </w:r>
      <w:r w:rsidR="008F2519">
        <w:rPr>
          <w:rFonts w:ascii="Arial" w:hAnsi="Arial" w:cs="Arial"/>
          <w:b/>
          <w:bCs/>
          <w:sz w:val="20"/>
          <w:szCs w:val="20"/>
        </w:rPr>
        <w:t xml:space="preserve">     </w:t>
      </w:r>
      <w:r w:rsidR="004E429F" w:rsidRPr="008F2519">
        <w:rPr>
          <w:rFonts w:ascii="Arial" w:hAnsi="Arial" w:cs="Arial"/>
          <w:b/>
          <w:bCs/>
          <w:sz w:val="20"/>
          <w:szCs w:val="20"/>
        </w:rPr>
        <w:t xml:space="preserve">  </w:t>
      </w:r>
      <w:r w:rsidR="00C616E0" w:rsidRPr="008F2519">
        <w:rPr>
          <w:rFonts w:ascii="Arial" w:hAnsi="Arial" w:cs="Arial"/>
          <w:b/>
          <w:bCs/>
          <w:sz w:val="22"/>
          <w:szCs w:val="22"/>
        </w:rPr>
        <w:t>PREPA</w:t>
      </w:r>
      <w:r w:rsidR="00485BAF" w:rsidRPr="008F2519">
        <w:rPr>
          <w:rFonts w:ascii="Arial" w:hAnsi="Arial" w:cs="Arial"/>
          <w:b/>
          <w:bCs/>
          <w:sz w:val="22"/>
          <w:szCs w:val="22"/>
        </w:rPr>
        <w:t>RA</w:t>
      </w:r>
      <w:r w:rsidR="00C616E0" w:rsidRPr="008F2519">
        <w:rPr>
          <w:rFonts w:ascii="Arial" w:hAnsi="Arial" w:cs="Arial"/>
          <w:b/>
          <w:bCs/>
          <w:sz w:val="22"/>
          <w:szCs w:val="22"/>
        </w:rPr>
        <w:t>TION OF LIGAPLANTS</w:t>
      </w:r>
    </w:p>
    <w:p w14:paraId="7AADB646" w14:textId="747CA336" w:rsidR="00F655B0" w:rsidRPr="00D36951" w:rsidRDefault="00713F6F" w:rsidP="00713F6F">
      <w:pPr>
        <w:jc w:val="both"/>
        <w:rPr>
          <w:rFonts w:ascii="Arial" w:hAnsi="Arial" w:cs="Arial"/>
          <w:b/>
          <w:bCs/>
          <w:sz w:val="20"/>
          <w:szCs w:val="20"/>
        </w:rPr>
      </w:pPr>
      <w:r w:rsidRPr="00D36951">
        <w:rPr>
          <w:rFonts w:ascii="Arial" w:hAnsi="Arial" w:cs="Arial"/>
          <w:sz w:val="20"/>
          <w:szCs w:val="20"/>
        </w:rPr>
        <w:t xml:space="preserve">One of the best instances of PDL stimulation's capacity for healing is the transplantation of a tooth. </w:t>
      </w:r>
      <w:r w:rsidR="0069498C" w:rsidRPr="00D36951">
        <w:rPr>
          <w:rFonts w:ascii="Arial" w:hAnsi="Arial" w:cs="Arial"/>
          <w:sz w:val="20"/>
          <w:szCs w:val="20"/>
        </w:rPr>
        <w:t>14 days prior to the transplant, the donor tooth is extracted and placed back in its original location</w:t>
      </w:r>
      <w:commentRangeStart w:id="13"/>
      <w:r w:rsidR="0069498C" w:rsidRPr="00D36951">
        <w:rPr>
          <w:rFonts w:ascii="Arial" w:hAnsi="Arial" w:cs="Arial"/>
          <w:sz w:val="20"/>
          <w:szCs w:val="20"/>
        </w:rPr>
        <w:t>, the alveolus.</w:t>
      </w:r>
      <w:commentRangeEnd w:id="13"/>
      <w:r w:rsidR="008C2029">
        <w:rPr>
          <w:rStyle w:val="CommentReference"/>
        </w:rPr>
        <w:commentReference w:id="13"/>
      </w:r>
      <w:r w:rsidR="0069498C" w:rsidRPr="00D36951">
        <w:rPr>
          <w:rFonts w:ascii="Arial" w:hAnsi="Arial" w:cs="Arial"/>
          <w:sz w:val="20"/>
          <w:szCs w:val="20"/>
        </w:rPr>
        <w:t xml:space="preserve"> Cell </w:t>
      </w:r>
      <w:r w:rsidRPr="00D36951">
        <w:rPr>
          <w:rFonts w:ascii="Arial" w:hAnsi="Arial" w:cs="Arial"/>
          <w:sz w:val="20"/>
          <w:szCs w:val="20"/>
        </w:rPr>
        <w:t>division and proliferation are observed as the PDL's repair mechanism is triggered by this deliberate trauma</w:t>
      </w:r>
      <w:commentRangeStart w:id="14"/>
      <w:r w:rsidRPr="00D36951">
        <w:rPr>
          <w:rFonts w:ascii="Arial" w:hAnsi="Arial" w:cs="Arial"/>
          <w:sz w:val="20"/>
          <w:szCs w:val="20"/>
        </w:rPr>
        <w:t>.</w:t>
      </w:r>
      <w:r w:rsidR="002F62BB" w:rsidRPr="00D36951">
        <w:rPr>
          <w:rFonts w:ascii="Arial" w:hAnsi="Arial" w:cs="Arial"/>
          <w:sz w:val="20"/>
          <w:szCs w:val="20"/>
        </w:rPr>
        <w:t xml:space="preserve"> </w:t>
      </w:r>
      <w:r w:rsidR="0069498C" w:rsidRPr="00D36951">
        <w:rPr>
          <w:rFonts w:ascii="Arial" w:hAnsi="Arial" w:cs="Arial"/>
          <w:sz w:val="20"/>
          <w:szCs w:val="20"/>
        </w:rPr>
        <w:t>After the donor tooth is extracted, it is immediately replanted into its original alveolus fourteen days prior to transplantation. There is both cell division and proliferation</w:t>
      </w:r>
      <w:commentRangeEnd w:id="14"/>
      <w:r w:rsidR="008C2029">
        <w:rPr>
          <w:rStyle w:val="CommentReference"/>
        </w:rPr>
        <w:commentReference w:id="14"/>
      </w:r>
      <w:r w:rsidR="0069498C" w:rsidRPr="00D36951">
        <w:rPr>
          <w:rFonts w:ascii="Arial" w:hAnsi="Arial" w:cs="Arial"/>
          <w:sz w:val="20"/>
          <w:szCs w:val="20"/>
        </w:rPr>
        <w:t>.</w:t>
      </w:r>
      <w:r w:rsidRPr="00D36951">
        <w:rPr>
          <w:rFonts w:ascii="Arial" w:hAnsi="Arial" w:cs="Arial"/>
          <w:sz w:val="20"/>
          <w:szCs w:val="20"/>
        </w:rPr>
        <w:t xml:space="preserve"> </w:t>
      </w:r>
      <w:r w:rsidR="0069498C" w:rsidRPr="00D36951">
        <w:rPr>
          <w:rFonts w:ascii="Arial" w:hAnsi="Arial" w:cs="Arial"/>
          <w:sz w:val="20"/>
          <w:szCs w:val="20"/>
        </w:rPr>
        <w:t>B</w:t>
      </w:r>
      <w:r w:rsidRPr="00D36951">
        <w:rPr>
          <w:rFonts w:ascii="Arial" w:hAnsi="Arial" w:cs="Arial"/>
          <w:sz w:val="20"/>
          <w:szCs w:val="20"/>
        </w:rPr>
        <w:t xml:space="preserve">ecause of the deliberate trauma that triggers the PDL's healing process. </w:t>
      </w:r>
      <w:r w:rsidR="008760E6" w:rsidRPr="00D36951">
        <w:rPr>
          <w:rFonts w:ascii="Arial" w:hAnsi="Arial" w:cs="Arial"/>
          <w:sz w:val="20"/>
          <w:szCs w:val="20"/>
        </w:rPr>
        <w:t>The tooth can be transplanted 14 days later, when the cell culture has reached its peak and different cells on the root surface are connected by newly formed Sharpey's fibres. A</w:t>
      </w:r>
      <w:r w:rsidR="0069498C" w:rsidRPr="00D36951">
        <w:rPr>
          <w:rFonts w:ascii="Arial" w:hAnsi="Arial" w:cs="Arial"/>
          <w:sz w:val="20"/>
          <w:szCs w:val="20"/>
        </w:rPr>
        <w:t xml:space="preserve"> novel approach to creating </w:t>
      </w:r>
      <w:proofErr w:type="spellStart"/>
      <w:r w:rsidR="0069498C" w:rsidRPr="00D36951">
        <w:rPr>
          <w:rFonts w:ascii="Arial" w:hAnsi="Arial" w:cs="Arial"/>
          <w:sz w:val="20"/>
          <w:szCs w:val="20"/>
        </w:rPr>
        <w:t>ligaplants</w:t>
      </w:r>
      <w:proofErr w:type="spellEnd"/>
      <w:r w:rsidR="0069498C" w:rsidRPr="00D36951">
        <w:rPr>
          <w:rFonts w:ascii="Arial" w:hAnsi="Arial" w:cs="Arial"/>
          <w:sz w:val="20"/>
          <w:szCs w:val="20"/>
        </w:rPr>
        <w:t xml:space="preserve"> is to use tissue engineering to create an identical cell culture around an artificial root in the three processes listed </w:t>
      </w:r>
      <w:proofErr w:type="gramStart"/>
      <w:r w:rsidR="0069498C" w:rsidRPr="00D36951">
        <w:rPr>
          <w:rFonts w:ascii="Arial" w:hAnsi="Arial" w:cs="Arial"/>
          <w:sz w:val="20"/>
          <w:szCs w:val="20"/>
        </w:rPr>
        <w:t>below.</w:t>
      </w:r>
      <w:r w:rsidRPr="00D36951">
        <w:rPr>
          <w:rFonts w:ascii="Arial" w:hAnsi="Arial" w:cs="Arial"/>
          <w:sz w:val="20"/>
          <w:szCs w:val="20"/>
        </w:rPr>
        <w:t>[</w:t>
      </w:r>
      <w:proofErr w:type="gramEnd"/>
      <w:r w:rsidRPr="00D36951">
        <w:rPr>
          <w:rFonts w:ascii="Arial" w:hAnsi="Arial" w:cs="Arial"/>
          <w:sz w:val="20"/>
          <w:szCs w:val="20"/>
        </w:rPr>
        <w:t>6]</w:t>
      </w:r>
      <w:r w:rsidR="005A331A" w:rsidRPr="00D36951">
        <w:rPr>
          <w:rFonts w:ascii="Arial" w:hAnsi="Arial" w:cs="Arial"/>
          <w:b/>
          <w:bCs/>
          <w:sz w:val="20"/>
          <w:szCs w:val="20"/>
        </w:rPr>
        <w:t xml:space="preserve"> </w:t>
      </w:r>
    </w:p>
    <w:p w14:paraId="2310C411" w14:textId="77777777" w:rsidR="00B644C9" w:rsidRDefault="00B644C9" w:rsidP="003A4F90">
      <w:pPr>
        <w:jc w:val="both"/>
        <w:rPr>
          <w:rFonts w:ascii="Arial" w:hAnsi="Arial" w:cs="Arial"/>
          <w:b/>
          <w:bCs/>
          <w:sz w:val="20"/>
          <w:szCs w:val="20"/>
        </w:rPr>
      </w:pPr>
    </w:p>
    <w:p w14:paraId="738081AD" w14:textId="63ADF159" w:rsidR="003545C8" w:rsidRPr="008F2519" w:rsidRDefault="005A331A" w:rsidP="003A4F90">
      <w:pPr>
        <w:jc w:val="both"/>
        <w:rPr>
          <w:rFonts w:ascii="Arial" w:hAnsi="Arial" w:cs="Arial"/>
          <w:b/>
          <w:bCs/>
          <w:sz w:val="22"/>
          <w:szCs w:val="22"/>
        </w:rPr>
      </w:pPr>
      <w:r w:rsidRPr="008F2519">
        <w:rPr>
          <w:rFonts w:ascii="Arial" w:hAnsi="Arial" w:cs="Arial"/>
          <w:b/>
          <w:bCs/>
          <w:sz w:val="22"/>
          <w:szCs w:val="22"/>
        </w:rPr>
        <w:t>Preparation of Temperature</w:t>
      </w:r>
      <w:r w:rsidRPr="008F2519">
        <w:rPr>
          <w:rFonts w:ascii="Arial" w:hAnsi="Arial" w:cs="Arial"/>
          <w:b/>
          <w:bCs/>
          <w:sz w:val="22"/>
          <w:szCs w:val="22"/>
        </w:rPr>
        <w:noBreakHyphen/>
        <w:t>responsive Culture Dishes</w:t>
      </w:r>
      <w:commentRangeStart w:id="15"/>
      <w:r w:rsidR="00F655B0" w:rsidRPr="008F2519">
        <w:rPr>
          <w:rFonts w:ascii="Arial" w:hAnsi="Arial" w:cs="Arial"/>
          <w:b/>
          <w:bCs/>
          <w:sz w:val="22"/>
          <w:szCs w:val="22"/>
        </w:rPr>
        <w:t>:</w:t>
      </w:r>
      <w:commentRangeEnd w:id="15"/>
      <w:r w:rsidR="008C2029">
        <w:rPr>
          <w:rStyle w:val="CommentReference"/>
        </w:rPr>
        <w:commentReference w:id="15"/>
      </w:r>
    </w:p>
    <w:p w14:paraId="34BDB11E" w14:textId="6E3B4986" w:rsidR="003A4F90" w:rsidRPr="00D36951" w:rsidRDefault="003A4F90" w:rsidP="003A4F90">
      <w:pPr>
        <w:jc w:val="both"/>
        <w:rPr>
          <w:rFonts w:ascii="Arial" w:hAnsi="Arial" w:cs="Arial"/>
          <w:sz w:val="20"/>
          <w:szCs w:val="20"/>
        </w:rPr>
      </w:pPr>
      <w:r w:rsidRPr="00D36951">
        <w:rPr>
          <w:rFonts w:ascii="Arial" w:hAnsi="Arial" w:cs="Arial"/>
          <w:sz w:val="20"/>
          <w:szCs w:val="20"/>
        </w:rPr>
        <w:t xml:space="preserve">Polystyrene culture dishes are coated with N-isopropylacrylamide monomer in a 2-propanol solution. To eliminate the </w:t>
      </w:r>
      <w:proofErr w:type="spellStart"/>
      <w:r w:rsidRPr="00D36951">
        <w:rPr>
          <w:rFonts w:ascii="Arial" w:hAnsi="Arial" w:cs="Arial"/>
          <w:sz w:val="20"/>
          <w:szCs w:val="20"/>
        </w:rPr>
        <w:t>ungrafted</w:t>
      </w:r>
      <w:proofErr w:type="spellEnd"/>
      <w:r w:rsidRPr="00D36951">
        <w:rPr>
          <w:rFonts w:ascii="Arial" w:hAnsi="Arial" w:cs="Arial"/>
          <w:sz w:val="20"/>
          <w:szCs w:val="20"/>
        </w:rPr>
        <w:t xml:space="preserve"> monomer, the irradiation of an area beam electron processing system to create the electron beam. These dishes are then rinsed and sterilized using ethylene </w:t>
      </w:r>
      <w:proofErr w:type="gramStart"/>
      <w:r w:rsidRPr="00D36951">
        <w:rPr>
          <w:rFonts w:ascii="Arial" w:hAnsi="Arial" w:cs="Arial"/>
          <w:sz w:val="20"/>
          <w:szCs w:val="20"/>
        </w:rPr>
        <w:t>oxide.[</w:t>
      </w:r>
      <w:proofErr w:type="gramEnd"/>
      <w:r w:rsidRPr="00D36951">
        <w:rPr>
          <w:rFonts w:ascii="Arial" w:hAnsi="Arial" w:cs="Arial"/>
          <w:sz w:val="20"/>
          <w:szCs w:val="20"/>
        </w:rPr>
        <w:t>4]</w:t>
      </w:r>
    </w:p>
    <w:p w14:paraId="75D7722B" w14:textId="4A878CFA" w:rsidR="00F655B0" w:rsidRPr="00C302BF" w:rsidRDefault="00F655B0" w:rsidP="003A4F90">
      <w:pPr>
        <w:jc w:val="both"/>
        <w:rPr>
          <w:rFonts w:ascii="Arial" w:hAnsi="Arial" w:cs="Arial"/>
          <w:b/>
          <w:bCs/>
          <w:sz w:val="22"/>
          <w:szCs w:val="22"/>
        </w:rPr>
      </w:pPr>
      <w:r w:rsidRPr="00C302BF">
        <w:rPr>
          <w:rFonts w:ascii="Arial" w:hAnsi="Arial" w:cs="Arial"/>
          <w:b/>
          <w:bCs/>
          <w:sz w:val="22"/>
          <w:szCs w:val="22"/>
        </w:rPr>
        <w:t>Cell Culture and Cells:</w:t>
      </w:r>
    </w:p>
    <w:p w14:paraId="1DBA2023" w14:textId="77777777" w:rsidR="00050063" w:rsidRDefault="003A4F90" w:rsidP="00050063">
      <w:pPr>
        <w:jc w:val="both"/>
        <w:rPr>
          <w:rFonts w:ascii="Arial" w:hAnsi="Arial" w:cs="Arial"/>
          <w:sz w:val="20"/>
          <w:szCs w:val="20"/>
        </w:rPr>
      </w:pPr>
      <w:r w:rsidRPr="00D36951">
        <w:rPr>
          <w:rFonts w:ascii="Arial" w:hAnsi="Arial" w:cs="Arial"/>
          <w:sz w:val="20"/>
          <w:szCs w:val="20"/>
        </w:rPr>
        <w:t xml:space="preserve">A scalpel blade is used to scrape periodontal tissue, which contains PDL cells, from the middle third of </w:t>
      </w:r>
      <w:commentRangeStart w:id="16"/>
      <w:r w:rsidRPr="00D36951">
        <w:rPr>
          <w:rFonts w:ascii="Arial" w:hAnsi="Arial" w:cs="Arial"/>
          <w:sz w:val="20"/>
          <w:szCs w:val="20"/>
        </w:rPr>
        <w:t>a tooth's root</w:t>
      </w:r>
      <w:commentRangeEnd w:id="16"/>
      <w:r w:rsidR="008C2029">
        <w:rPr>
          <w:rStyle w:val="CommentReference"/>
        </w:rPr>
        <w:commentReference w:id="16"/>
      </w:r>
      <w:r w:rsidRPr="00D36951">
        <w:rPr>
          <w:rFonts w:ascii="Arial" w:hAnsi="Arial" w:cs="Arial"/>
          <w:sz w:val="20"/>
          <w:szCs w:val="20"/>
        </w:rPr>
        <w:t xml:space="preserve">. </w:t>
      </w:r>
      <w:r w:rsidR="00744EE9" w:rsidRPr="00D36951">
        <w:rPr>
          <w:rFonts w:ascii="Arial" w:hAnsi="Arial" w:cs="Arial"/>
          <w:sz w:val="20"/>
          <w:szCs w:val="20"/>
        </w:rPr>
        <w:t xml:space="preserve">The tissue is then placed in culture dishes containing Dulbecco's modified Eagle's minimal essential medium, which has been supplemented with 100 units/mL of penicillin-streptomycin and 10% </w:t>
      </w:r>
      <w:proofErr w:type="spellStart"/>
      <w:r w:rsidR="00744EE9" w:rsidRPr="00D36951">
        <w:rPr>
          <w:rFonts w:ascii="Arial" w:hAnsi="Arial" w:cs="Arial"/>
          <w:sz w:val="20"/>
          <w:szCs w:val="20"/>
        </w:rPr>
        <w:t>fetal</w:t>
      </w:r>
      <w:proofErr w:type="spellEnd"/>
      <w:r w:rsidR="00744EE9" w:rsidRPr="00D36951">
        <w:rPr>
          <w:rFonts w:ascii="Arial" w:hAnsi="Arial" w:cs="Arial"/>
          <w:sz w:val="20"/>
          <w:szCs w:val="20"/>
        </w:rPr>
        <w:t xml:space="preserve"> bovine serum.</w:t>
      </w:r>
      <w:r w:rsidR="00873C25" w:rsidRPr="00D36951">
        <w:rPr>
          <w:rFonts w:ascii="Arial" w:eastAsia="Times New Roman" w:hAnsi="Arial" w:cs="Arial"/>
          <w:kern w:val="0"/>
          <w:sz w:val="20"/>
          <w:szCs w:val="20"/>
          <w:lang w:eastAsia="en-IN"/>
          <w14:ligatures w14:val="none"/>
        </w:rPr>
        <w:t xml:space="preserve"> </w:t>
      </w:r>
      <w:r w:rsidR="00873C25" w:rsidRPr="00D36951">
        <w:rPr>
          <w:rFonts w:ascii="Arial" w:hAnsi="Arial" w:cs="Arial"/>
          <w:sz w:val="20"/>
          <w:szCs w:val="20"/>
        </w:rPr>
        <w:t xml:space="preserve">For 48 hours, the outgrown cells are cultured at 37°C in a humidified atmosphere with 5% </w:t>
      </w:r>
      <w:commentRangeStart w:id="17"/>
      <w:r w:rsidR="00873C25" w:rsidRPr="00D36951">
        <w:rPr>
          <w:rFonts w:ascii="Arial" w:hAnsi="Arial" w:cs="Arial"/>
          <w:sz w:val="20"/>
          <w:szCs w:val="20"/>
        </w:rPr>
        <w:t>CO2</w:t>
      </w:r>
      <w:commentRangeEnd w:id="17"/>
      <w:r w:rsidR="00F97323">
        <w:rPr>
          <w:rStyle w:val="CommentReference"/>
        </w:rPr>
        <w:commentReference w:id="17"/>
      </w:r>
      <w:r w:rsidR="00873C25" w:rsidRPr="00D36951">
        <w:rPr>
          <w:rFonts w:ascii="Arial" w:hAnsi="Arial" w:cs="Arial"/>
          <w:sz w:val="20"/>
          <w:szCs w:val="20"/>
        </w:rPr>
        <w:t xml:space="preserve">. This makes attaching the cells to the dishes easier. </w:t>
      </w:r>
      <w:r w:rsidR="00050063" w:rsidRPr="00D36951">
        <w:rPr>
          <w:rFonts w:ascii="Arial" w:hAnsi="Arial" w:cs="Arial"/>
          <w:sz w:val="20"/>
          <w:szCs w:val="20"/>
        </w:rPr>
        <w:t xml:space="preserve">The medium is changed after the dishes have been cleaned to get rid of any debris. At least three times per week. On temperature-responsive culture dishes (35 mm in diameter), these cells are then grown at 37°C with 50 mg/mL ascorbic acid 2 phosphate, 10 </w:t>
      </w:r>
      <w:proofErr w:type="spellStart"/>
      <w:r w:rsidR="00050063" w:rsidRPr="00D36951">
        <w:rPr>
          <w:rFonts w:ascii="Arial" w:hAnsi="Arial" w:cs="Arial"/>
          <w:sz w:val="20"/>
          <w:szCs w:val="20"/>
        </w:rPr>
        <w:t>nM</w:t>
      </w:r>
      <w:proofErr w:type="spellEnd"/>
      <w:r w:rsidR="00050063" w:rsidRPr="00D36951">
        <w:rPr>
          <w:rFonts w:ascii="Arial" w:hAnsi="Arial" w:cs="Arial"/>
          <w:sz w:val="20"/>
          <w:szCs w:val="20"/>
        </w:rPr>
        <w:t xml:space="preserve"> dexamethasone, and 10 </w:t>
      </w:r>
      <w:proofErr w:type="spellStart"/>
      <w:r w:rsidR="00050063" w:rsidRPr="00D36951">
        <w:rPr>
          <w:rFonts w:ascii="Arial" w:hAnsi="Arial" w:cs="Arial"/>
          <w:sz w:val="20"/>
          <w:szCs w:val="20"/>
        </w:rPr>
        <w:t>nM</w:t>
      </w:r>
      <w:proofErr w:type="spellEnd"/>
      <w:r w:rsidR="00050063" w:rsidRPr="00D36951">
        <w:rPr>
          <w:rFonts w:ascii="Arial" w:hAnsi="Arial" w:cs="Arial"/>
          <w:sz w:val="20"/>
          <w:szCs w:val="20"/>
        </w:rPr>
        <w:t xml:space="preserve"> β-glycerophosphate at a cell density of 1 × 105 in order to harvest the cell </w:t>
      </w:r>
      <w:proofErr w:type="gramStart"/>
      <w:r w:rsidR="00050063" w:rsidRPr="00D36951">
        <w:rPr>
          <w:rFonts w:ascii="Arial" w:hAnsi="Arial" w:cs="Arial"/>
          <w:sz w:val="20"/>
          <w:szCs w:val="20"/>
        </w:rPr>
        <w:t>sheet.[</w:t>
      </w:r>
      <w:proofErr w:type="gramEnd"/>
      <w:r w:rsidR="00050063" w:rsidRPr="00D36951">
        <w:rPr>
          <w:rFonts w:ascii="Arial" w:hAnsi="Arial" w:cs="Arial"/>
          <w:sz w:val="20"/>
          <w:szCs w:val="20"/>
        </w:rPr>
        <w:t>4]</w:t>
      </w:r>
    </w:p>
    <w:p w14:paraId="6F0F8E71" w14:textId="77777777" w:rsidR="00490247" w:rsidRDefault="00490247" w:rsidP="00050063">
      <w:pPr>
        <w:jc w:val="both"/>
        <w:rPr>
          <w:rFonts w:ascii="Arial" w:hAnsi="Arial" w:cs="Arial"/>
          <w:noProof/>
          <w:sz w:val="20"/>
          <w:szCs w:val="20"/>
        </w:rPr>
      </w:pPr>
    </w:p>
    <w:p w14:paraId="10CEE6AF" w14:textId="77777777" w:rsidR="009F06C2" w:rsidRPr="008F2519" w:rsidRDefault="00490247" w:rsidP="00050063">
      <w:pPr>
        <w:jc w:val="both"/>
        <w:rPr>
          <w:rFonts w:ascii="Arial" w:hAnsi="Arial" w:cs="Arial"/>
          <w:b/>
          <w:bCs/>
          <w:noProof/>
          <w:sz w:val="20"/>
          <w:szCs w:val="20"/>
        </w:rPr>
      </w:pPr>
      <w:r w:rsidRPr="008F2519">
        <w:rPr>
          <w:rFonts w:ascii="Arial" w:hAnsi="Arial" w:cs="Arial"/>
          <w:b/>
          <w:bCs/>
          <w:noProof/>
          <w:sz w:val="20"/>
          <w:szCs w:val="20"/>
        </w:rPr>
        <w:t>In a bioreactor,PDL</w:t>
      </w:r>
      <w:r w:rsidR="00AB7B72" w:rsidRPr="008F2519">
        <w:rPr>
          <w:rFonts w:ascii="Arial" w:hAnsi="Arial" w:cs="Arial"/>
          <w:b/>
          <w:bCs/>
          <w:noProof/>
          <w:sz w:val="20"/>
          <w:szCs w:val="20"/>
        </w:rPr>
        <w:t xml:space="preserve"> cell </w:t>
      </w:r>
      <w:r w:rsidR="0067420E" w:rsidRPr="008F2519">
        <w:rPr>
          <w:rFonts w:ascii="Arial" w:hAnsi="Arial" w:cs="Arial"/>
          <w:b/>
          <w:bCs/>
          <w:noProof/>
          <w:sz w:val="20"/>
          <w:szCs w:val="20"/>
        </w:rPr>
        <w:t xml:space="preserve"> are cultured </w:t>
      </w:r>
      <w:commentRangeStart w:id="18"/>
      <w:r w:rsidR="0067420E" w:rsidRPr="008F2519">
        <w:rPr>
          <w:rFonts w:ascii="Arial" w:hAnsi="Arial" w:cs="Arial"/>
          <w:b/>
          <w:bCs/>
          <w:noProof/>
          <w:sz w:val="20"/>
          <w:szCs w:val="20"/>
        </w:rPr>
        <w:t>:</w:t>
      </w:r>
      <w:commentRangeEnd w:id="18"/>
      <w:r w:rsidR="004D0D86">
        <w:rPr>
          <w:rStyle w:val="CommentReference"/>
        </w:rPr>
        <w:commentReference w:id="18"/>
      </w:r>
    </w:p>
    <w:p w14:paraId="78E0B428" w14:textId="698E3D34" w:rsidR="00903AA2" w:rsidRDefault="00903AA2" w:rsidP="00050063">
      <w:pPr>
        <w:jc w:val="both"/>
        <w:rPr>
          <w:rFonts w:ascii="Arial" w:hAnsi="Arial" w:cs="Arial"/>
          <w:sz w:val="20"/>
          <w:szCs w:val="20"/>
        </w:rPr>
      </w:pPr>
      <w:r w:rsidRPr="00D36951">
        <w:rPr>
          <w:rFonts w:ascii="Arial" w:hAnsi="Arial" w:cs="Arial"/>
          <w:noProof/>
          <w:sz w:val="20"/>
          <w:szCs w:val="20"/>
        </w:rPr>
        <w:t>A plastic cylinder with a hollow interior and 3 mm gaps on all sides held a titanium pin coated in hydroxyapatite (HAP).</w:t>
      </w:r>
      <w:r w:rsidRPr="00D36951">
        <w:rPr>
          <w:rFonts w:ascii="Arial" w:hAnsi="Arial" w:cs="Arial"/>
          <w:sz w:val="20"/>
          <w:szCs w:val="20"/>
        </w:rPr>
        <w:t xml:space="preserve"> The gap was constantly filled with the culture medium. For the first eighteen days, the human single-cell suspension (periodontal ligament cell suspension) is seeded into plastic </w:t>
      </w:r>
      <w:proofErr w:type="gramStart"/>
      <w:r w:rsidRPr="00D36951">
        <w:rPr>
          <w:rFonts w:ascii="Arial" w:hAnsi="Arial" w:cs="Arial"/>
          <w:sz w:val="20"/>
          <w:szCs w:val="20"/>
        </w:rPr>
        <w:t>containers.[</w:t>
      </w:r>
      <w:proofErr w:type="gramEnd"/>
      <w:r w:rsidRPr="00D36951">
        <w:rPr>
          <w:rFonts w:ascii="Arial" w:hAnsi="Arial" w:cs="Arial"/>
          <w:sz w:val="20"/>
          <w:szCs w:val="20"/>
        </w:rPr>
        <w:t>14</w:t>
      </w:r>
      <w:r w:rsidR="0067420E">
        <w:rPr>
          <w:rFonts w:ascii="Arial" w:hAnsi="Arial" w:cs="Arial"/>
          <w:sz w:val="20"/>
          <w:szCs w:val="20"/>
        </w:rPr>
        <w:t>]</w:t>
      </w:r>
    </w:p>
    <w:p w14:paraId="12DEB33D" w14:textId="500AF566" w:rsidR="00DE30B4" w:rsidRPr="00D36951" w:rsidRDefault="0069576F" w:rsidP="00EB4963">
      <w:pPr>
        <w:jc w:val="both"/>
        <w:rPr>
          <w:rFonts w:ascii="Arial" w:hAnsi="Arial" w:cs="Arial"/>
          <w:sz w:val="20"/>
          <w:szCs w:val="20"/>
        </w:rPr>
      </w:pPr>
      <w:commentRangeStart w:id="19"/>
      <w:r w:rsidRPr="008F2519">
        <w:rPr>
          <w:rFonts w:ascii="Arial" w:hAnsi="Arial" w:cs="Arial"/>
          <w:b/>
          <w:bCs/>
          <w:noProof/>
          <w:sz w:val="20"/>
          <w:szCs w:val="20"/>
        </w:rPr>
        <w:lastRenderedPageBreak/>
        <w:drawing>
          <wp:anchor distT="0" distB="0" distL="114300" distR="114300" simplePos="0" relativeHeight="251656704" behindDoc="0" locked="0" layoutInCell="1" allowOverlap="1" wp14:anchorId="7159EC48" wp14:editId="2D65BF66">
            <wp:simplePos x="0" y="0"/>
            <wp:positionH relativeFrom="margin">
              <wp:posOffset>0</wp:posOffset>
            </wp:positionH>
            <wp:positionV relativeFrom="paragraph">
              <wp:posOffset>0</wp:posOffset>
            </wp:positionV>
            <wp:extent cx="6084570" cy="3956050"/>
            <wp:effectExtent l="38100" t="0" r="49530" b="0"/>
            <wp:wrapTopAndBottom/>
            <wp:docPr id="165800299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1B486D" w:rsidRPr="008F2519">
        <w:rPr>
          <w:rFonts w:ascii="Arial" w:hAnsi="Arial" w:cs="Arial"/>
          <w:b/>
          <w:bCs/>
          <w:sz w:val="20"/>
          <w:szCs w:val="20"/>
        </w:rPr>
        <w:t>Figure1.Flowchart for method of proce</w:t>
      </w:r>
      <w:r w:rsidR="00DE30B4" w:rsidRPr="008F2519">
        <w:rPr>
          <w:rFonts w:ascii="Arial" w:hAnsi="Arial" w:cs="Arial"/>
          <w:b/>
          <w:bCs/>
          <w:sz w:val="20"/>
          <w:szCs w:val="20"/>
        </w:rPr>
        <w:t xml:space="preserve">ssing </w:t>
      </w:r>
      <w:proofErr w:type="spellStart"/>
      <w:r w:rsidR="00DE30B4" w:rsidRPr="008F2519">
        <w:rPr>
          <w:rFonts w:ascii="Arial" w:hAnsi="Arial" w:cs="Arial"/>
          <w:b/>
          <w:bCs/>
          <w:sz w:val="20"/>
          <w:szCs w:val="20"/>
        </w:rPr>
        <w:t>ligaplants</w:t>
      </w:r>
      <w:commentRangeEnd w:id="19"/>
      <w:proofErr w:type="spellEnd"/>
      <w:r w:rsidR="004D0D86">
        <w:rPr>
          <w:rStyle w:val="CommentReference"/>
          <w:rtl/>
        </w:rPr>
        <w:commentReference w:id="19"/>
      </w:r>
    </w:p>
    <w:tbl>
      <w:tblPr>
        <w:tblStyle w:val="TableGrid"/>
        <w:tblW w:w="9030" w:type="dxa"/>
        <w:tblLook w:val="04A0" w:firstRow="1" w:lastRow="0" w:firstColumn="1" w:lastColumn="0" w:noHBand="0" w:noVBand="1"/>
      </w:tblPr>
      <w:tblGrid>
        <w:gridCol w:w="4515"/>
        <w:gridCol w:w="4515"/>
      </w:tblGrid>
      <w:tr w:rsidR="00403E84" w:rsidRPr="00D36951" w14:paraId="6EEFDB39" w14:textId="77777777" w:rsidTr="00403E84">
        <w:trPr>
          <w:trHeight w:val="256"/>
        </w:trPr>
        <w:tc>
          <w:tcPr>
            <w:tcW w:w="4515" w:type="dxa"/>
          </w:tcPr>
          <w:p w14:paraId="46548B4E" w14:textId="4B5A14BA" w:rsidR="00403E84" w:rsidRPr="00D36951" w:rsidRDefault="0069576F" w:rsidP="006974B0">
            <w:pPr>
              <w:jc w:val="both"/>
              <w:rPr>
                <w:rFonts w:ascii="Arial" w:hAnsi="Arial" w:cs="Arial"/>
                <w:b/>
                <w:bCs/>
                <w:sz w:val="20"/>
                <w:szCs w:val="20"/>
              </w:rPr>
            </w:pPr>
            <w:commentRangeStart w:id="20"/>
            <w:r w:rsidRPr="00D36951">
              <w:rPr>
                <w:rFonts w:ascii="Arial" w:hAnsi="Arial" w:cs="Arial"/>
                <w:b/>
                <w:bCs/>
                <w:sz w:val="20"/>
                <w:szCs w:val="20"/>
              </w:rPr>
              <w:t xml:space="preserve">                 ADVANTAGE</w:t>
            </w:r>
          </w:p>
        </w:tc>
        <w:tc>
          <w:tcPr>
            <w:tcW w:w="4515" w:type="dxa"/>
          </w:tcPr>
          <w:p w14:paraId="34710594" w14:textId="1DFE5042" w:rsidR="00403E84" w:rsidRPr="00D36951" w:rsidRDefault="0069576F" w:rsidP="006974B0">
            <w:pPr>
              <w:jc w:val="both"/>
              <w:rPr>
                <w:rFonts w:ascii="Arial" w:hAnsi="Arial" w:cs="Arial"/>
                <w:b/>
                <w:bCs/>
                <w:sz w:val="20"/>
                <w:szCs w:val="20"/>
              </w:rPr>
            </w:pPr>
            <w:r w:rsidRPr="00D36951">
              <w:rPr>
                <w:rFonts w:ascii="Arial" w:hAnsi="Arial" w:cs="Arial"/>
                <w:b/>
                <w:bCs/>
                <w:sz w:val="20"/>
                <w:szCs w:val="20"/>
              </w:rPr>
              <w:t xml:space="preserve">          DISADVANTAGE</w:t>
            </w:r>
            <w:commentRangeEnd w:id="20"/>
            <w:r w:rsidR="00E00298">
              <w:rPr>
                <w:rStyle w:val="CommentReference"/>
              </w:rPr>
              <w:commentReference w:id="20"/>
            </w:r>
          </w:p>
        </w:tc>
      </w:tr>
      <w:tr w:rsidR="00403E84" w:rsidRPr="00D36951" w14:paraId="21486599" w14:textId="77777777" w:rsidTr="00403E84">
        <w:trPr>
          <w:trHeight w:val="1345"/>
        </w:trPr>
        <w:tc>
          <w:tcPr>
            <w:tcW w:w="4515" w:type="dxa"/>
          </w:tcPr>
          <w:p w14:paraId="02BA1F75" w14:textId="6951C82D" w:rsidR="00403E84" w:rsidRPr="00D36951" w:rsidRDefault="00403E84" w:rsidP="00403E84">
            <w:pPr>
              <w:jc w:val="both"/>
              <w:rPr>
                <w:rFonts w:ascii="Arial" w:hAnsi="Arial" w:cs="Arial"/>
                <w:b/>
                <w:bCs/>
                <w:sz w:val="20"/>
                <w:szCs w:val="20"/>
              </w:rPr>
            </w:pPr>
            <w:r w:rsidRPr="00D36951">
              <w:rPr>
                <w:rFonts w:ascii="Arial" w:hAnsi="Arial" w:cs="Arial"/>
                <w:sz w:val="20"/>
                <w:szCs w:val="20"/>
              </w:rPr>
              <w:t>It deals with issues like bone abnormalities and gingival recession caused by tooth loss.</w:t>
            </w:r>
          </w:p>
        </w:tc>
        <w:tc>
          <w:tcPr>
            <w:tcW w:w="4515" w:type="dxa"/>
          </w:tcPr>
          <w:p w14:paraId="395587D2" w14:textId="1FA54CD8" w:rsidR="00403E84" w:rsidRPr="00D36951" w:rsidRDefault="00B14747" w:rsidP="00403E84">
            <w:pPr>
              <w:jc w:val="both"/>
              <w:rPr>
                <w:rFonts w:ascii="Arial" w:hAnsi="Arial" w:cs="Arial"/>
                <w:sz w:val="20"/>
                <w:szCs w:val="20"/>
              </w:rPr>
            </w:pPr>
            <w:proofErr w:type="spellStart"/>
            <w:r w:rsidRPr="00D36951">
              <w:rPr>
                <w:rFonts w:ascii="Arial" w:hAnsi="Arial" w:cs="Arial"/>
                <w:sz w:val="20"/>
                <w:szCs w:val="20"/>
              </w:rPr>
              <w:t>Ligaplant</w:t>
            </w:r>
            <w:proofErr w:type="spellEnd"/>
            <w:r w:rsidRPr="00D36951">
              <w:rPr>
                <w:rFonts w:ascii="Arial" w:hAnsi="Arial" w:cs="Arial"/>
                <w:sz w:val="20"/>
                <w:szCs w:val="20"/>
              </w:rPr>
              <w:t xml:space="preserve"> culture requires careful attention to detail. For example, the temperature, the length of time, the kind of cells used for growth, and so on. If an issue arises during the culturing process, the </w:t>
            </w:r>
            <w:proofErr w:type="spellStart"/>
            <w:r w:rsidRPr="00D36951">
              <w:rPr>
                <w:rFonts w:ascii="Arial" w:hAnsi="Arial" w:cs="Arial"/>
                <w:sz w:val="20"/>
                <w:szCs w:val="20"/>
              </w:rPr>
              <w:t>ligaplants</w:t>
            </w:r>
            <w:proofErr w:type="spellEnd"/>
            <w:r w:rsidRPr="00D36951">
              <w:rPr>
                <w:rFonts w:ascii="Arial" w:hAnsi="Arial" w:cs="Arial"/>
                <w:sz w:val="20"/>
                <w:szCs w:val="20"/>
              </w:rPr>
              <w:t xml:space="preserve"> may fail due to the development of nonperiodontal cells. </w:t>
            </w:r>
          </w:p>
        </w:tc>
      </w:tr>
      <w:tr w:rsidR="00403E84" w:rsidRPr="00D36951" w14:paraId="06AC38AB" w14:textId="77777777" w:rsidTr="00403E84">
        <w:trPr>
          <w:trHeight w:val="452"/>
        </w:trPr>
        <w:tc>
          <w:tcPr>
            <w:tcW w:w="4515" w:type="dxa"/>
          </w:tcPr>
          <w:p w14:paraId="716E750C" w14:textId="6C8B58A2" w:rsidR="00403E84" w:rsidRPr="00D36951" w:rsidRDefault="00403E84" w:rsidP="00403E84">
            <w:pPr>
              <w:jc w:val="both"/>
              <w:rPr>
                <w:rFonts w:ascii="Arial" w:hAnsi="Arial" w:cs="Arial"/>
                <w:b/>
                <w:bCs/>
                <w:sz w:val="20"/>
                <w:szCs w:val="20"/>
              </w:rPr>
            </w:pPr>
            <w:r w:rsidRPr="00D36951">
              <w:rPr>
                <w:rFonts w:ascii="Arial" w:hAnsi="Arial" w:cs="Arial"/>
                <w:sz w:val="20"/>
                <w:szCs w:val="20"/>
              </w:rPr>
              <w:t>Resemble the alveolar process's natural tooth root insertion.</w:t>
            </w:r>
          </w:p>
        </w:tc>
        <w:tc>
          <w:tcPr>
            <w:tcW w:w="4515" w:type="dxa"/>
          </w:tcPr>
          <w:p w14:paraId="358D3EBA" w14:textId="054DFFBF" w:rsidR="00403E84" w:rsidRPr="00D36951" w:rsidRDefault="007206C4" w:rsidP="00403E84">
            <w:pPr>
              <w:jc w:val="both"/>
              <w:rPr>
                <w:rFonts w:ascii="Arial" w:hAnsi="Arial" w:cs="Arial"/>
                <w:sz w:val="20"/>
                <w:szCs w:val="20"/>
              </w:rPr>
            </w:pPr>
            <w:r w:rsidRPr="00D36951">
              <w:rPr>
                <w:rFonts w:ascii="Arial" w:hAnsi="Arial" w:cs="Arial"/>
                <w:sz w:val="20"/>
                <w:szCs w:val="20"/>
              </w:rPr>
              <w:t>This implant is also expensive due to the need for extra facilities.</w:t>
            </w:r>
          </w:p>
        </w:tc>
      </w:tr>
      <w:tr w:rsidR="00403E84" w:rsidRPr="00D36951" w14:paraId="0FCB4E68" w14:textId="77777777" w:rsidTr="00403E84">
        <w:trPr>
          <w:trHeight w:val="1149"/>
        </w:trPr>
        <w:tc>
          <w:tcPr>
            <w:tcW w:w="4515" w:type="dxa"/>
          </w:tcPr>
          <w:p w14:paraId="1806BC75" w14:textId="23168369" w:rsidR="005916BC" w:rsidRPr="00D36951" w:rsidRDefault="005916BC" w:rsidP="00403E84">
            <w:pPr>
              <w:jc w:val="both"/>
              <w:rPr>
                <w:rFonts w:ascii="Arial" w:hAnsi="Arial" w:cs="Arial"/>
                <w:sz w:val="20"/>
                <w:szCs w:val="20"/>
              </w:rPr>
            </w:pPr>
            <w:proofErr w:type="spellStart"/>
            <w:r w:rsidRPr="00D36951">
              <w:rPr>
                <w:rFonts w:ascii="Arial" w:hAnsi="Arial" w:cs="Arial"/>
                <w:sz w:val="20"/>
                <w:szCs w:val="20"/>
              </w:rPr>
              <w:t>Ligaplants</w:t>
            </w:r>
            <w:proofErr w:type="spellEnd"/>
            <w:r w:rsidRPr="00D36951">
              <w:rPr>
                <w:rFonts w:ascii="Arial" w:hAnsi="Arial" w:cs="Arial"/>
                <w:sz w:val="20"/>
                <w:szCs w:val="20"/>
              </w:rPr>
              <w:t xml:space="preserve"> initially fit loosely but eventually integrate firmly without locking or coming into direct contact with the bone, protecting the PDL cell cushion.</w:t>
            </w:r>
          </w:p>
        </w:tc>
        <w:tc>
          <w:tcPr>
            <w:tcW w:w="4515" w:type="dxa"/>
          </w:tcPr>
          <w:p w14:paraId="6EB1401F" w14:textId="77777777" w:rsidR="00014DD3" w:rsidRPr="00D36951" w:rsidRDefault="00403E84" w:rsidP="00014DD3">
            <w:pPr>
              <w:jc w:val="both"/>
              <w:rPr>
                <w:rFonts w:ascii="Arial" w:hAnsi="Arial" w:cs="Arial"/>
                <w:sz w:val="20"/>
                <w:szCs w:val="20"/>
              </w:rPr>
            </w:pPr>
            <w:r w:rsidRPr="00D36951">
              <w:rPr>
                <w:rFonts w:ascii="Arial" w:hAnsi="Arial" w:cs="Arial"/>
                <w:sz w:val="20"/>
                <w:szCs w:val="20"/>
              </w:rPr>
              <w:t xml:space="preserve">Implant failure may result from unpredictable PDL growth in the socket or factors influencing </w:t>
            </w:r>
            <w:r w:rsidR="00014DD3" w:rsidRPr="00D36951">
              <w:rPr>
                <w:rFonts w:ascii="Arial" w:hAnsi="Arial" w:cs="Arial"/>
                <w:sz w:val="20"/>
                <w:szCs w:val="20"/>
              </w:rPr>
              <w:t>the implant's acceptance by the host.</w:t>
            </w:r>
          </w:p>
          <w:p w14:paraId="5578A128" w14:textId="20F5C64C" w:rsidR="00403E84" w:rsidRPr="00D36951" w:rsidRDefault="00403E84" w:rsidP="00403E84">
            <w:pPr>
              <w:jc w:val="both"/>
              <w:rPr>
                <w:rFonts w:ascii="Arial" w:hAnsi="Arial" w:cs="Arial"/>
                <w:b/>
                <w:bCs/>
                <w:sz w:val="20"/>
                <w:szCs w:val="20"/>
              </w:rPr>
            </w:pPr>
          </w:p>
        </w:tc>
      </w:tr>
      <w:tr w:rsidR="00403E84" w:rsidRPr="00D36951" w14:paraId="1E6BFB9A" w14:textId="77777777" w:rsidTr="00403E84">
        <w:trPr>
          <w:trHeight w:val="709"/>
        </w:trPr>
        <w:tc>
          <w:tcPr>
            <w:tcW w:w="4515" w:type="dxa"/>
          </w:tcPr>
          <w:p w14:paraId="46082252" w14:textId="77777777" w:rsidR="00403E84" w:rsidRPr="00D36951" w:rsidRDefault="00403E84" w:rsidP="00403E84">
            <w:pPr>
              <w:jc w:val="both"/>
              <w:rPr>
                <w:rFonts w:ascii="Arial" w:hAnsi="Arial" w:cs="Arial"/>
                <w:sz w:val="20"/>
                <w:szCs w:val="20"/>
              </w:rPr>
            </w:pPr>
            <w:r w:rsidRPr="00D36951">
              <w:rPr>
                <w:rFonts w:ascii="Arial" w:hAnsi="Arial" w:cs="Arial"/>
                <w:sz w:val="20"/>
                <w:szCs w:val="20"/>
              </w:rPr>
              <w:t>When chewing forces are transmitted from bone to teeth</w:t>
            </w:r>
          </w:p>
          <w:p w14:paraId="058B9B37" w14:textId="77777777" w:rsidR="00403E84" w:rsidRPr="00D36951" w:rsidRDefault="00403E84" w:rsidP="00403E84">
            <w:pPr>
              <w:jc w:val="both"/>
              <w:rPr>
                <w:rFonts w:ascii="Arial" w:hAnsi="Arial" w:cs="Arial"/>
                <w:b/>
                <w:bCs/>
                <w:sz w:val="20"/>
                <w:szCs w:val="20"/>
              </w:rPr>
            </w:pPr>
          </w:p>
        </w:tc>
        <w:tc>
          <w:tcPr>
            <w:tcW w:w="4515" w:type="dxa"/>
          </w:tcPr>
          <w:p w14:paraId="43FDF596" w14:textId="77777777" w:rsidR="00014DD3" w:rsidRPr="00D36951" w:rsidRDefault="00014DD3" w:rsidP="00014DD3">
            <w:pPr>
              <w:jc w:val="both"/>
              <w:rPr>
                <w:rFonts w:ascii="Arial" w:hAnsi="Arial" w:cs="Arial"/>
                <w:sz w:val="20"/>
                <w:szCs w:val="20"/>
              </w:rPr>
            </w:pPr>
            <w:r w:rsidRPr="00D36951">
              <w:rPr>
                <w:rFonts w:ascii="Arial" w:hAnsi="Arial" w:cs="Arial"/>
                <w:sz w:val="20"/>
                <w:szCs w:val="20"/>
              </w:rPr>
              <w:t>Uncertainty regarding host acceptance</w:t>
            </w:r>
          </w:p>
          <w:p w14:paraId="57CE3FA2" w14:textId="77777777" w:rsidR="00403E84" w:rsidRPr="00D36951" w:rsidRDefault="00403E84" w:rsidP="00403E84">
            <w:pPr>
              <w:jc w:val="both"/>
              <w:rPr>
                <w:rFonts w:ascii="Arial" w:hAnsi="Arial" w:cs="Arial"/>
                <w:b/>
                <w:bCs/>
                <w:sz w:val="20"/>
                <w:szCs w:val="20"/>
              </w:rPr>
            </w:pPr>
          </w:p>
        </w:tc>
      </w:tr>
      <w:tr w:rsidR="00403E84" w:rsidRPr="00D36951" w14:paraId="43DCC029" w14:textId="77777777" w:rsidTr="00403E84">
        <w:trPr>
          <w:trHeight w:val="452"/>
        </w:trPr>
        <w:tc>
          <w:tcPr>
            <w:tcW w:w="4515" w:type="dxa"/>
          </w:tcPr>
          <w:p w14:paraId="6D36E15C" w14:textId="77777777" w:rsidR="0075215B" w:rsidRPr="00D36951" w:rsidRDefault="00403E84" w:rsidP="0075215B">
            <w:pPr>
              <w:jc w:val="both"/>
              <w:rPr>
                <w:rFonts w:ascii="Arial" w:hAnsi="Arial" w:cs="Arial"/>
                <w:sz w:val="20"/>
                <w:szCs w:val="20"/>
              </w:rPr>
            </w:pPr>
            <w:r w:rsidRPr="00D36951">
              <w:rPr>
                <w:rFonts w:ascii="Arial" w:hAnsi="Arial" w:cs="Arial"/>
                <w:sz w:val="20"/>
                <w:szCs w:val="20"/>
              </w:rPr>
              <w:t xml:space="preserve">Its capacity </w:t>
            </w:r>
            <w:r w:rsidR="0075215B" w:rsidRPr="00D36951">
              <w:rPr>
                <w:rFonts w:ascii="Arial" w:hAnsi="Arial" w:cs="Arial"/>
                <w:sz w:val="20"/>
                <w:szCs w:val="20"/>
              </w:rPr>
              <w:t xml:space="preserve">to restructure bone </w:t>
            </w:r>
          </w:p>
          <w:p w14:paraId="2F9FFCF1" w14:textId="6D707AEF" w:rsidR="00403E84" w:rsidRPr="00D36951" w:rsidRDefault="00403E84" w:rsidP="00403E84">
            <w:pPr>
              <w:jc w:val="both"/>
              <w:rPr>
                <w:rFonts w:ascii="Arial" w:hAnsi="Arial" w:cs="Arial"/>
                <w:b/>
                <w:bCs/>
                <w:sz w:val="20"/>
                <w:szCs w:val="20"/>
              </w:rPr>
            </w:pPr>
            <w:r w:rsidRPr="00D36951">
              <w:rPr>
                <w:rFonts w:ascii="Arial" w:hAnsi="Arial" w:cs="Arial"/>
                <w:sz w:val="20"/>
                <w:szCs w:val="20"/>
              </w:rPr>
              <w:t>(bone quality is maintained or renewed when PDL is present)</w:t>
            </w:r>
          </w:p>
        </w:tc>
        <w:tc>
          <w:tcPr>
            <w:tcW w:w="4515" w:type="dxa"/>
          </w:tcPr>
          <w:p w14:paraId="1A509A17" w14:textId="30F1EFF0" w:rsidR="00014DD3" w:rsidRPr="00D36951" w:rsidRDefault="00403E84" w:rsidP="00014DD3">
            <w:pPr>
              <w:jc w:val="both"/>
              <w:rPr>
                <w:rFonts w:ascii="Arial" w:hAnsi="Arial" w:cs="Arial"/>
                <w:sz w:val="20"/>
                <w:szCs w:val="20"/>
              </w:rPr>
            </w:pPr>
            <w:r w:rsidRPr="00D36951">
              <w:rPr>
                <w:rFonts w:ascii="Arial" w:hAnsi="Arial" w:cs="Arial"/>
                <w:sz w:val="20"/>
                <w:szCs w:val="20"/>
              </w:rPr>
              <w:t>This</w:t>
            </w:r>
            <w:r w:rsidR="00014DD3" w:rsidRPr="00D36951">
              <w:rPr>
                <w:rFonts w:ascii="Arial" w:hAnsi="Arial" w:cs="Arial"/>
                <w:sz w:val="20"/>
                <w:szCs w:val="20"/>
              </w:rPr>
              <w:t xml:space="preserve"> process is expensive.</w:t>
            </w:r>
          </w:p>
          <w:p w14:paraId="27B773A8" w14:textId="213436B4" w:rsidR="00403E84" w:rsidRPr="00D36951" w:rsidRDefault="00403E84" w:rsidP="00403E84">
            <w:pPr>
              <w:jc w:val="both"/>
              <w:rPr>
                <w:rFonts w:ascii="Arial" w:hAnsi="Arial" w:cs="Arial"/>
                <w:b/>
                <w:bCs/>
                <w:sz w:val="20"/>
                <w:szCs w:val="20"/>
              </w:rPr>
            </w:pPr>
          </w:p>
        </w:tc>
      </w:tr>
      <w:tr w:rsidR="00403E84" w:rsidRPr="00D36951" w14:paraId="759AE34F" w14:textId="77777777" w:rsidTr="00E44EBD">
        <w:trPr>
          <w:trHeight w:val="966"/>
        </w:trPr>
        <w:tc>
          <w:tcPr>
            <w:tcW w:w="4515" w:type="dxa"/>
          </w:tcPr>
          <w:p w14:paraId="02781382" w14:textId="58A91E89" w:rsidR="0075215B" w:rsidRPr="00D36951" w:rsidRDefault="0075215B" w:rsidP="0075215B">
            <w:pPr>
              <w:jc w:val="both"/>
              <w:rPr>
                <w:rFonts w:ascii="Arial" w:hAnsi="Arial" w:cs="Arial"/>
                <w:sz w:val="20"/>
                <w:szCs w:val="20"/>
              </w:rPr>
            </w:pPr>
            <w:r w:rsidRPr="00D36951">
              <w:rPr>
                <w:rFonts w:ascii="Arial" w:hAnsi="Arial" w:cs="Arial"/>
                <w:sz w:val="20"/>
                <w:szCs w:val="20"/>
              </w:rPr>
              <w:t>Promotes bone formation, removing the need for bone grafting even in regions with severe periodontal defects.</w:t>
            </w:r>
          </w:p>
          <w:p w14:paraId="57791C49" w14:textId="489E7840" w:rsidR="00E44EBD" w:rsidRPr="00D36951" w:rsidRDefault="00E44EBD" w:rsidP="00403E84">
            <w:pPr>
              <w:jc w:val="both"/>
              <w:rPr>
                <w:rFonts w:ascii="Arial" w:hAnsi="Arial" w:cs="Arial"/>
                <w:sz w:val="20"/>
                <w:szCs w:val="20"/>
              </w:rPr>
            </w:pPr>
          </w:p>
        </w:tc>
        <w:tc>
          <w:tcPr>
            <w:tcW w:w="4515" w:type="dxa"/>
          </w:tcPr>
          <w:p w14:paraId="5C3EF070" w14:textId="1C1CB9E3" w:rsidR="00403E84" w:rsidRPr="00D36951" w:rsidRDefault="00403E84" w:rsidP="00403E84">
            <w:pPr>
              <w:jc w:val="both"/>
              <w:rPr>
                <w:rFonts w:ascii="Arial" w:hAnsi="Arial" w:cs="Arial"/>
                <w:sz w:val="20"/>
                <w:szCs w:val="20"/>
              </w:rPr>
            </w:pPr>
            <w:r w:rsidRPr="00D36951">
              <w:rPr>
                <w:rFonts w:ascii="Arial" w:hAnsi="Arial" w:cs="Arial"/>
                <w:sz w:val="20"/>
                <w:szCs w:val="20"/>
              </w:rPr>
              <w:t>Long-term cell culture may promote the emergence of non-PDL cell types.</w:t>
            </w:r>
          </w:p>
        </w:tc>
      </w:tr>
    </w:tbl>
    <w:p w14:paraId="50A00453" w14:textId="77777777" w:rsidR="00461A39" w:rsidRPr="00D36951" w:rsidRDefault="0069576F" w:rsidP="006974B0">
      <w:pPr>
        <w:jc w:val="both"/>
        <w:rPr>
          <w:rFonts w:ascii="Arial" w:hAnsi="Arial" w:cs="Arial"/>
          <w:b/>
          <w:bCs/>
          <w:sz w:val="20"/>
          <w:szCs w:val="20"/>
        </w:rPr>
      </w:pPr>
      <w:r w:rsidRPr="00D36951">
        <w:rPr>
          <w:rFonts w:ascii="Arial" w:hAnsi="Arial" w:cs="Arial"/>
          <w:noProof/>
          <w:sz w:val="20"/>
          <w:szCs w:val="20"/>
        </w:rPr>
        <w:lastRenderedPageBreak/>
        <w:drawing>
          <wp:anchor distT="0" distB="0" distL="114300" distR="114300" simplePos="0" relativeHeight="251658752" behindDoc="0" locked="0" layoutInCell="1" allowOverlap="1" wp14:anchorId="4F00AF53" wp14:editId="5B7ADE0F">
            <wp:simplePos x="0" y="0"/>
            <wp:positionH relativeFrom="margin">
              <wp:posOffset>1262562</wp:posOffset>
            </wp:positionH>
            <wp:positionV relativeFrom="paragraph">
              <wp:posOffset>532674</wp:posOffset>
            </wp:positionV>
            <wp:extent cx="3548380" cy="2426970"/>
            <wp:effectExtent l="0" t="0" r="0" b="0"/>
            <wp:wrapTopAndBottom/>
            <wp:docPr id="90737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8821" name="Picture 77098821"/>
                    <pic:cNvPicPr/>
                  </pic:nvPicPr>
                  <pic:blipFill rotWithShape="1">
                    <a:blip r:embed="rId16"/>
                    <a:srcRect t="8956" b="1"/>
                    <a:stretch>
                      <a:fillRect/>
                    </a:stretch>
                  </pic:blipFill>
                  <pic:spPr bwMode="auto">
                    <a:xfrm>
                      <a:off x="0" y="0"/>
                      <a:ext cx="3548380" cy="242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36A" w:rsidRPr="00D36951">
        <w:rPr>
          <w:rFonts w:ascii="Arial" w:hAnsi="Arial" w:cs="Arial"/>
          <w:b/>
          <w:bCs/>
          <w:sz w:val="20"/>
          <w:szCs w:val="20"/>
        </w:rPr>
        <w:t>TABLE</w:t>
      </w:r>
      <w:commentRangeStart w:id="21"/>
      <w:r w:rsidR="0077336A" w:rsidRPr="00D36951">
        <w:rPr>
          <w:rFonts w:ascii="Arial" w:hAnsi="Arial" w:cs="Arial"/>
          <w:b/>
          <w:bCs/>
          <w:sz w:val="20"/>
          <w:szCs w:val="20"/>
        </w:rPr>
        <w:t>:</w:t>
      </w:r>
      <w:commentRangeEnd w:id="21"/>
      <w:r w:rsidR="00E00298">
        <w:rPr>
          <w:rStyle w:val="CommentReference"/>
        </w:rPr>
        <w:commentReference w:id="21"/>
      </w:r>
      <w:r w:rsidR="0077336A" w:rsidRPr="00D36951">
        <w:rPr>
          <w:rFonts w:ascii="Arial" w:hAnsi="Arial" w:cs="Arial"/>
          <w:b/>
          <w:bCs/>
          <w:sz w:val="20"/>
          <w:szCs w:val="20"/>
        </w:rPr>
        <w:t xml:space="preserve">1 Advantage and disadvantage of </w:t>
      </w:r>
      <w:proofErr w:type="spellStart"/>
      <w:r w:rsidR="0077336A" w:rsidRPr="00D36951">
        <w:rPr>
          <w:rFonts w:ascii="Arial" w:hAnsi="Arial" w:cs="Arial"/>
          <w:b/>
          <w:bCs/>
          <w:sz w:val="20"/>
          <w:szCs w:val="20"/>
        </w:rPr>
        <w:t>ligaplants</w:t>
      </w:r>
      <w:proofErr w:type="spellEnd"/>
      <w:r w:rsidR="0077336A" w:rsidRPr="00D36951">
        <w:rPr>
          <w:rFonts w:ascii="Arial" w:hAnsi="Arial" w:cs="Arial"/>
          <w:b/>
          <w:bCs/>
          <w:sz w:val="20"/>
          <w:szCs w:val="20"/>
        </w:rPr>
        <w:t>.</w:t>
      </w:r>
    </w:p>
    <w:p w14:paraId="002D4C7B" w14:textId="77777777" w:rsidR="00EB118E" w:rsidRDefault="00EB118E" w:rsidP="006974B0">
      <w:pPr>
        <w:jc w:val="both"/>
        <w:rPr>
          <w:rFonts w:ascii="Arial" w:hAnsi="Arial" w:cs="Arial"/>
          <w:b/>
          <w:bCs/>
          <w:sz w:val="20"/>
          <w:szCs w:val="20"/>
        </w:rPr>
      </w:pPr>
    </w:p>
    <w:p w14:paraId="4A2B6D4D" w14:textId="18153209" w:rsidR="00461A39" w:rsidRPr="00D36951" w:rsidRDefault="00CA12AA" w:rsidP="006974B0">
      <w:pPr>
        <w:jc w:val="both"/>
        <w:rPr>
          <w:rFonts w:ascii="Arial" w:hAnsi="Arial" w:cs="Arial"/>
          <w:b/>
          <w:bCs/>
          <w:sz w:val="20"/>
          <w:szCs w:val="20"/>
        </w:rPr>
      </w:pPr>
      <w:commentRangeStart w:id="22"/>
      <w:r w:rsidRPr="00D36951">
        <w:rPr>
          <w:rFonts w:ascii="Arial" w:hAnsi="Arial" w:cs="Arial"/>
          <w:b/>
          <w:bCs/>
          <w:sz w:val="20"/>
          <w:szCs w:val="20"/>
        </w:rPr>
        <w:t xml:space="preserve">Figure </w:t>
      </w:r>
      <w:r w:rsidR="00C56267" w:rsidRPr="00D36951">
        <w:rPr>
          <w:rFonts w:ascii="Arial" w:hAnsi="Arial" w:cs="Arial"/>
          <w:b/>
          <w:bCs/>
          <w:sz w:val="20"/>
          <w:szCs w:val="20"/>
        </w:rPr>
        <w:t xml:space="preserve">2: </w:t>
      </w:r>
      <w:proofErr w:type="spellStart"/>
      <w:r w:rsidR="00C56267" w:rsidRPr="00D36951">
        <w:rPr>
          <w:rFonts w:ascii="Arial" w:hAnsi="Arial" w:cs="Arial"/>
          <w:b/>
          <w:bCs/>
          <w:sz w:val="20"/>
          <w:szCs w:val="20"/>
        </w:rPr>
        <w:t>ligaplants</w:t>
      </w:r>
      <w:commentRangeEnd w:id="22"/>
      <w:proofErr w:type="spellEnd"/>
      <w:r w:rsidR="00B15F3F">
        <w:rPr>
          <w:rStyle w:val="CommentReference"/>
        </w:rPr>
        <w:commentReference w:id="22"/>
      </w:r>
    </w:p>
    <w:p w14:paraId="3CF8FE08" w14:textId="77777777" w:rsidR="00461A39" w:rsidRPr="00D36951" w:rsidRDefault="00461A39" w:rsidP="006974B0">
      <w:pPr>
        <w:jc w:val="both"/>
        <w:rPr>
          <w:rFonts w:ascii="Arial" w:hAnsi="Arial" w:cs="Arial"/>
          <w:b/>
          <w:bCs/>
          <w:sz w:val="20"/>
          <w:szCs w:val="20"/>
        </w:rPr>
      </w:pPr>
    </w:p>
    <w:p w14:paraId="7E5307CE" w14:textId="59E34662" w:rsidR="00122B0A" w:rsidRPr="007348DB" w:rsidRDefault="00E44EBD" w:rsidP="007348DB">
      <w:pPr>
        <w:jc w:val="both"/>
        <w:rPr>
          <w:rFonts w:ascii="Arial" w:hAnsi="Arial" w:cs="Arial"/>
          <w:sz w:val="22"/>
          <w:szCs w:val="22"/>
        </w:rPr>
      </w:pPr>
      <w:r>
        <w:rPr>
          <w:rFonts w:ascii="Arial" w:hAnsi="Arial" w:cs="Arial"/>
          <w:sz w:val="22"/>
          <w:szCs w:val="22"/>
        </w:rPr>
        <w:t xml:space="preserve">                                    </w:t>
      </w:r>
      <w:r w:rsidR="007348DB">
        <w:rPr>
          <w:rFonts w:ascii="Arial" w:hAnsi="Arial" w:cs="Arial"/>
          <w:sz w:val="22"/>
          <w:szCs w:val="22"/>
        </w:rPr>
        <w:t xml:space="preserve">                  </w:t>
      </w:r>
      <w:r w:rsidR="00122B0A" w:rsidRPr="00122B0A">
        <w:rPr>
          <w:rFonts w:ascii="Arial" w:hAnsi="Arial" w:cs="Arial"/>
          <w:b/>
          <w:bCs/>
          <w:sz w:val="22"/>
          <w:szCs w:val="22"/>
        </w:rPr>
        <w:t>BIO- HYBRID IMPLANT</w:t>
      </w:r>
    </w:p>
    <w:p w14:paraId="4393D4DC" w14:textId="51AC02A4" w:rsidR="00122B0A" w:rsidRPr="00122B0A" w:rsidRDefault="00122B0A" w:rsidP="00122B0A">
      <w:pPr>
        <w:rPr>
          <w:rFonts w:ascii="Arial" w:hAnsi="Arial" w:cs="Arial"/>
          <w:sz w:val="20"/>
          <w:szCs w:val="20"/>
        </w:rPr>
      </w:pPr>
      <w:r w:rsidRPr="00122B0A">
        <w:rPr>
          <w:rFonts w:ascii="Arial" w:hAnsi="Arial" w:cs="Arial"/>
          <w:sz w:val="20"/>
          <w:szCs w:val="20"/>
        </w:rPr>
        <w:t>Bio-hybrid implants are implantable electronic arrays that utilize stem cells. These implants not only stimulate growth</w:t>
      </w:r>
      <w:commentRangeStart w:id="23"/>
      <w:r w:rsidRPr="00122B0A">
        <w:rPr>
          <w:rFonts w:ascii="Arial" w:hAnsi="Arial" w:cs="Arial"/>
          <w:sz w:val="20"/>
          <w:szCs w:val="20"/>
        </w:rPr>
        <w:t xml:space="preserve">. Figure 1 </w:t>
      </w:r>
      <w:commentRangeEnd w:id="23"/>
      <w:r w:rsidR="0058413A">
        <w:rPr>
          <w:rStyle w:val="CommentReference"/>
        </w:rPr>
        <w:commentReference w:id="23"/>
      </w:r>
      <w:r w:rsidRPr="00122B0A">
        <w:rPr>
          <w:rFonts w:ascii="Arial" w:hAnsi="Arial" w:cs="Arial"/>
          <w:sz w:val="20"/>
          <w:szCs w:val="20"/>
        </w:rPr>
        <w:t xml:space="preserve">illustrates how damaged or absent tissue might interact with nervous tissue to restore </w:t>
      </w:r>
      <w:proofErr w:type="gramStart"/>
      <w:r w:rsidRPr="00122B0A">
        <w:rPr>
          <w:rFonts w:ascii="Arial" w:hAnsi="Arial" w:cs="Arial"/>
          <w:sz w:val="20"/>
          <w:szCs w:val="20"/>
        </w:rPr>
        <w:t>function.[</w:t>
      </w:r>
      <w:proofErr w:type="gramEnd"/>
      <w:r w:rsidRPr="00122B0A">
        <w:rPr>
          <w:rFonts w:ascii="Arial" w:hAnsi="Arial" w:cs="Arial"/>
          <w:sz w:val="20"/>
          <w:szCs w:val="20"/>
        </w:rPr>
        <w:t>1</w:t>
      </w:r>
      <w:r w:rsidR="00073CA3">
        <w:rPr>
          <w:rFonts w:ascii="Arial" w:hAnsi="Arial" w:cs="Arial"/>
          <w:sz w:val="20"/>
          <w:szCs w:val="20"/>
        </w:rPr>
        <w:t xml:space="preserve">6] </w:t>
      </w:r>
      <w:r w:rsidRPr="00122B0A">
        <w:rPr>
          <w:rFonts w:ascii="Arial" w:hAnsi="Arial" w:cs="Arial"/>
          <w:sz w:val="20"/>
          <w:szCs w:val="20"/>
        </w:rPr>
        <w:t xml:space="preserve">Bio-hybrid eye and cochlear implants are widely used to treat visual impairment and hearing loss, respectively. </w:t>
      </w:r>
      <w:proofErr w:type="spellStart"/>
      <w:r w:rsidRPr="00122B0A">
        <w:rPr>
          <w:rFonts w:ascii="Arial" w:hAnsi="Arial" w:cs="Arial"/>
          <w:sz w:val="20"/>
          <w:szCs w:val="20"/>
        </w:rPr>
        <w:t>Osseointegrated</w:t>
      </w:r>
      <w:proofErr w:type="spellEnd"/>
      <w:r w:rsidRPr="00122B0A">
        <w:rPr>
          <w:rFonts w:ascii="Arial" w:hAnsi="Arial" w:cs="Arial"/>
          <w:sz w:val="20"/>
          <w:szCs w:val="20"/>
        </w:rPr>
        <w:t xml:space="preserve"> bio-hybrid implants provide mechanical support and are attached to the surrounding tissue, allowing for flexibility and </w:t>
      </w:r>
      <w:proofErr w:type="gramStart"/>
      <w:r w:rsidRPr="00122B0A">
        <w:rPr>
          <w:rFonts w:ascii="Arial" w:hAnsi="Arial" w:cs="Arial"/>
          <w:sz w:val="20"/>
          <w:szCs w:val="20"/>
        </w:rPr>
        <w:t>mobility.[</w:t>
      </w:r>
      <w:proofErr w:type="gramEnd"/>
      <w:r w:rsidRPr="00122B0A">
        <w:rPr>
          <w:rFonts w:ascii="Arial" w:hAnsi="Arial" w:cs="Arial"/>
          <w:sz w:val="20"/>
          <w:szCs w:val="20"/>
        </w:rPr>
        <w:t>1</w:t>
      </w:r>
      <w:r w:rsidR="00073CA3">
        <w:rPr>
          <w:rFonts w:ascii="Arial" w:hAnsi="Arial" w:cs="Arial"/>
          <w:sz w:val="20"/>
          <w:szCs w:val="20"/>
        </w:rPr>
        <w:t>7]</w:t>
      </w:r>
      <w:r w:rsidRPr="00122B0A">
        <w:rPr>
          <w:rFonts w:ascii="Arial" w:hAnsi="Arial" w:cs="Arial"/>
          <w:sz w:val="20"/>
          <w:szCs w:val="20"/>
        </w:rPr>
        <w:t xml:space="preserve"> While no human research have been undertaken, animal studies have showed encouraging outcomes in developing PDL </w:t>
      </w:r>
      <w:proofErr w:type="spellStart"/>
      <w:r w:rsidRPr="00122B0A">
        <w:rPr>
          <w:rFonts w:ascii="Arial" w:hAnsi="Arial" w:cs="Arial"/>
          <w:sz w:val="20"/>
          <w:szCs w:val="20"/>
        </w:rPr>
        <w:t>fibers</w:t>
      </w:r>
      <w:proofErr w:type="spellEnd"/>
      <w:r w:rsidRPr="00122B0A">
        <w:rPr>
          <w:rFonts w:ascii="Arial" w:hAnsi="Arial" w:cs="Arial"/>
          <w:sz w:val="20"/>
          <w:szCs w:val="20"/>
        </w:rPr>
        <w:t xml:space="preserve"> and nerve interfaces between bone and implant. </w:t>
      </w:r>
    </w:p>
    <w:p w14:paraId="159CDC80" w14:textId="77777777" w:rsidR="00122B0A" w:rsidRDefault="00122B0A" w:rsidP="00122B0A">
      <w:pPr>
        <w:rPr>
          <w:rFonts w:ascii="Arial" w:hAnsi="Arial" w:cs="Arial"/>
          <w:b/>
          <w:bCs/>
          <w:sz w:val="22"/>
          <w:szCs w:val="22"/>
        </w:rPr>
      </w:pPr>
    </w:p>
    <w:p w14:paraId="356F3AFB" w14:textId="321833F8" w:rsidR="00EB118E" w:rsidRPr="00122B0A" w:rsidRDefault="00EB118E" w:rsidP="00122B0A">
      <w:pPr>
        <w:rPr>
          <w:rFonts w:ascii="Arial" w:hAnsi="Arial" w:cs="Arial"/>
          <w:b/>
          <w:bCs/>
          <w:sz w:val="22"/>
          <w:szCs w:val="22"/>
        </w:rPr>
      </w:pPr>
      <w:r>
        <w:rPr>
          <w:rFonts w:ascii="Arial" w:hAnsi="Arial" w:cs="Arial"/>
          <w:b/>
          <w:bCs/>
          <w:sz w:val="22"/>
          <w:szCs w:val="22"/>
        </w:rPr>
        <w:t>STEM</w:t>
      </w:r>
      <w:r w:rsidRPr="00EB118E">
        <w:rPr>
          <w:rFonts w:ascii="Arial" w:hAnsi="Arial" w:cs="Arial"/>
          <w:b/>
          <w:bCs/>
          <w:sz w:val="22"/>
          <w:szCs w:val="22"/>
        </w:rPr>
        <w:t xml:space="preserve"> CELL USED IN BIO-HYBRID IMPLANTS</w:t>
      </w:r>
      <w:r w:rsidRPr="00EB118E">
        <w:rPr>
          <w:rFonts w:ascii="Arial" w:hAnsi="Arial" w:cs="Arial"/>
          <w:sz w:val="22"/>
          <w:szCs w:val="22"/>
        </w:rPr>
        <w:t xml:space="preserve">: </w:t>
      </w:r>
    </w:p>
    <w:p w14:paraId="21899E51" w14:textId="5C2FEBA0" w:rsidR="00D34412" w:rsidRPr="00122B0A" w:rsidRDefault="00D34412" w:rsidP="00122B0A">
      <w:pPr>
        <w:jc w:val="both"/>
        <w:rPr>
          <w:rFonts w:ascii="Arial" w:hAnsi="Arial" w:cs="Arial"/>
          <w:sz w:val="20"/>
          <w:szCs w:val="20"/>
        </w:rPr>
      </w:pPr>
      <w:r w:rsidRPr="00122B0A">
        <w:rPr>
          <w:rFonts w:ascii="Arial" w:hAnsi="Arial" w:cs="Arial"/>
          <w:sz w:val="20"/>
          <w:szCs w:val="20"/>
        </w:rPr>
        <w:t xml:space="preserve">Stem cells for bio-hybrid implants can be derived from both extraoral and oral tissues, including cranial bone, dental pulp, and PDL. Dental structures include follicles, apical papilla, oral mucosa, gingiva, and periosteum. Dental stem cells (DSCs) are post-natal stem cells with </w:t>
      </w:r>
      <w:commentRangeStart w:id="24"/>
      <w:r w:rsidRPr="00122B0A">
        <w:rPr>
          <w:rFonts w:ascii="Arial" w:hAnsi="Arial" w:cs="Arial"/>
          <w:sz w:val="20"/>
          <w:szCs w:val="20"/>
        </w:rPr>
        <w:t>MSC</w:t>
      </w:r>
      <w:commentRangeEnd w:id="24"/>
      <w:r w:rsidR="0058413A">
        <w:rPr>
          <w:rStyle w:val="CommentReference"/>
        </w:rPr>
        <w:commentReference w:id="24"/>
      </w:r>
      <w:r w:rsidRPr="00122B0A">
        <w:rPr>
          <w:rFonts w:ascii="Arial" w:hAnsi="Arial" w:cs="Arial"/>
          <w:sz w:val="20"/>
          <w:szCs w:val="20"/>
        </w:rPr>
        <w:t>-like features, such as self-renewal and multilineage differentiation capabilit</w:t>
      </w:r>
      <w:commentRangeStart w:id="25"/>
      <w:r w:rsidRPr="00122B0A">
        <w:rPr>
          <w:rFonts w:ascii="Arial" w:hAnsi="Arial" w:cs="Arial"/>
          <w:sz w:val="20"/>
          <w:szCs w:val="20"/>
        </w:rPr>
        <w:t>y</w:t>
      </w:r>
      <w:commentRangeEnd w:id="25"/>
      <w:r w:rsidR="0058413A">
        <w:rPr>
          <w:rStyle w:val="CommentReference"/>
        </w:rPr>
        <w:commentReference w:id="25"/>
      </w:r>
      <w:r w:rsidRPr="00122B0A">
        <w:rPr>
          <w:rFonts w:ascii="Arial" w:hAnsi="Arial" w:cs="Arial"/>
          <w:sz w:val="20"/>
          <w:szCs w:val="20"/>
        </w:rPr>
        <w:t>.</w:t>
      </w:r>
    </w:p>
    <w:p w14:paraId="5BD6F832" w14:textId="77777777" w:rsidR="00073CA3" w:rsidRPr="00BD5E0A" w:rsidRDefault="00073CA3" w:rsidP="00BD5E0A">
      <w:pPr>
        <w:jc w:val="both"/>
        <w:rPr>
          <w:rFonts w:ascii="Arial" w:hAnsi="Arial" w:cs="Arial"/>
          <w:b/>
          <w:bCs/>
          <w:sz w:val="20"/>
          <w:szCs w:val="20"/>
        </w:rPr>
      </w:pPr>
      <w:r w:rsidRPr="00BD5E0A">
        <w:rPr>
          <w:rFonts w:ascii="Arial" w:hAnsi="Arial" w:cs="Arial"/>
          <w:b/>
          <w:bCs/>
          <w:sz w:val="20"/>
          <w:szCs w:val="20"/>
        </w:rPr>
        <w:t>Dental pulp stem cells (DPSCs)</w:t>
      </w:r>
    </w:p>
    <w:p w14:paraId="70CD1C7E" w14:textId="77D6F484" w:rsidR="00D34412" w:rsidRDefault="00D34412" w:rsidP="00122B0A">
      <w:pPr>
        <w:jc w:val="both"/>
        <w:rPr>
          <w:rFonts w:ascii="Arial" w:hAnsi="Arial" w:cs="Arial"/>
          <w:sz w:val="20"/>
          <w:szCs w:val="20"/>
        </w:rPr>
      </w:pPr>
      <w:r w:rsidRPr="00122B0A">
        <w:rPr>
          <w:rFonts w:ascii="Arial" w:hAnsi="Arial" w:cs="Arial"/>
          <w:sz w:val="20"/>
          <w:szCs w:val="20"/>
        </w:rPr>
        <w:t xml:space="preserve">These cells exhibit fibroblast-like shape and have the capacity to differentiate into dentinogenic, osteogenic, neurogenic, chondrogenic, and myogenic </w:t>
      </w:r>
      <w:proofErr w:type="gramStart"/>
      <w:r w:rsidRPr="00122B0A">
        <w:rPr>
          <w:rFonts w:ascii="Arial" w:hAnsi="Arial" w:cs="Arial"/>
          <w:sz w:val="20"/>
          <w:szCs w:val="20"/>
        </w:rPr>
        <w:t>tissues.[</w:t>
      </w:r>
      <w:commentRangeStart w:id="26"/>
      <w:proofErr w:type="gramEnd"/>
      <w:r w:rsidR="003D53CF">
        <w:rPr>
          <w:rFonts w:ascii="Arial" w:hAnsi="Arial" w:cs="Arial"/>
          <w:sz w:val="20"/>
          <w:szCs w:val="20"/>
        </w:rPr>
        <w:t>20 21</w:t>
      </w:r>
      <w:commentRangeEnd w:id="26"/>
      <w:r w:rsidR="0058413A">
        <w:rPr>
          <w:rStyle w:val="CommentReference"/>
        </w:rPr>
        <w:commentReference w:id="26"/>
      </w:r>
      <w:r w:rsidRPr="00122B0A">
        <w:rPr>
          <w:rFonts w:ascii="Arial" w:hAnsi="Arial" w:cs="Arial"/>
          <w:sz w:val="20"/>
          <w:szCs w:val="20"/>
        </w:rPr>
        <w:t xml:space="preserve">] Human-DPSC cultures contain multipotent neural crest stem cells (NCSC) that develop into neural crest cells. </w:t>
      </w:r>
      <w:r w:rsidRPr="00122B0A">
        <w:rPr>
          <w:rFonts w:ascii="Arial" w:hAnsi="Arial" w:cs="Arial"/>
          <w:sz w:val="20"/>
          <w:szCs w:val="20"/>
        </w:rPr>
        <w:br/>
        <w:t xml:space="preserve">These cells display biomarkers such </w:t>
      </w:r>
      <w:commentRangeStart w:id="27"/>
      <w:r w:rsidRPr="00122B0A">
        <w:rPr>
          <w:rFonts w:ascii="Arial" w:hAnsi="Arial" w:cs="Arial"/>
          <w:sz w:val="20"/>
          <w:szCs w:val="20"/>
        </w:rPr>
        <w:t>as STRO-1, CD146, and OCT4</w:t>
      </w:r>
      <w:commentRangeEnd w:id="27"/>
      <w:r w:rsidR="0058413A">
        <w:rPr>
          <w:rStyle w:val="CommentReference"/>
        </w:rPr>
        <w:commentReference w:id="27"/>
      </w:r>
      <w:r w:rsidRPr="00122B0A">
        <w:rPr>
          <w:rFonts w:ascii="Arial" w:hAnsi="Arial" w:cs="Arial"/>
          <w:sz w:val="20"/>
          <w:szCs w:val="20"/>
        </w:rPr>
        <w:t xml:space="preserve">, which indicate mesenchymal and bone marrow stem </w:t>
      </w:r>
      <w:proofErr w:type="gramStart"/>
      <w:r w:rsidRPr="00122B0A">
        <w:rPr>
          <w:rFonts w:ascii="Arial" w:hAnsi="Arial" w:cs="Arial"/>
          <w:sz w:val="20"/>
          <w:szCs w:val="20"/>
        </w:rPr>
        <w:t>cells.[</w:t>
      </w:r>
      <w:proofErr w:type="gramEnd"/>
      <w:r w:rsidRPr="00122B0A">
        <w:rPr>
          <w:rFonts w:ascii="Arial" w:hAnsi="Arial" w:cs="Arial"/>
          <w:sz w:val="20"/>
          <w:szCs w:val="20"/>
        </w:rPr>
        <w:t>1</w:t>
      </w:r>
      <w:r w:rsidR="003D53CF">
        <w:rPr>
          <w:rFonts w:ascii="Arial" w:hAnsi="Arial" w:cs="Arial"/>
          <w:sz w:val="20"/>
          <w:szCs w:val="20"/>
        </w:rPr>
        <w:t>9</w:t>
      </w:r>
      <w:r w:rsidRPr="00122B0A">
        <w:rPr>
          <w:rFonts w:ascii="Arial" w:hAnsi="Arial" w:cs="Arial"/>
          <w:sz w:val="20"/>
          <w:szCs w:val="20"/>
        </w:rPr>
        <w:t>]</w:t>
      </w:r>
    </w:p>
    <w:p w14:paraId="0FF54475" w14:textId="240AD786" w:rsidR="003D53CF" w:rsidRPr="003D53CF" w:rsidRDefault="003D53CF" w:rsidP="00122B0A">
      <w:pPr>
        <w:jc w:val="both"/>
        <w:rPr>
          <w:rFonts w:ascii="Arial" w:hAnsi="Arial" w:cs="Arial"/>
          <w:b/>
          <w:bCs/>
          <w:sz w:val="22"/>
          <w:szCs w:val="22"/>
        </w:rPr>
      </w:pPr>
      <w:r w:rsidRPr="003D53CF">
        <w:rPr>
          <w:rFonts w:ascii="Arial" w:hAnsi="Arial" w:cs="Arial"/>
          <w:b/>
          <w:bCs/>
          <w:sz w:val="22"/>
          <w:szCs w:val="22"/>
        </w:rPr>
        <w:t xml:space="preserve">Periodontal ligament stem </w:t>
      </w:r>
      <w:proofErr w:type="gramStart"/>
      <w:r w:rsidRPr="003D53CF">
        <w:rPr>
          <w:rFonts w:ascii="Arial" w:hAnsi="Arial" w:cs="Arial"/>
          <w:b/>
          <w:bCs/>
          <w:sz w:val="22"/>
          <w:szCs w:val="22"/>
        </w:rPr>
        <w:t>cells(</w:t>
      </w:r>
      <w:proofErr w:type="gramEnd"/>
      <w:r w:rsidRPr="003D53CF">
        <w:rPr>
          <w:rFonts w:ascii="Arial" w:hAnsi="Arial" w:cs="Arial"/>
          <w:b/>
          <w:bCs/>
          <w:sz w:val="22"/>
          <w:szCs w:val="22"/>
        </w:rPr>
        <w:t>PDLSCs)</w:t>
      </w:r>
    </w:p>
    <w:p w14:paraId="5F302F80" w14:textId="3BA44731" w:rsidR="00073CA3" w:rsidRPr="00122B0A" w:rsidRDefault="003D53CF" w:rsidP="003D53CF">
      <w:pPr>
        <w:jc w:val="both"/>
        <w:rPr>
          <w:rFonts w:ascii="Arial" w:hAnsi="Arial" w:cs="Arial"/>
          <w:sz w:val="20"/>
          <w:szCs w:val="20"/>
        </w:rPr>
      </w:pPr>
      <w:r w:rsidRPr="003D53CF">
        <w:rPr>
          <w:rFonts w:ascii="Arial" w:hAnsi="Arial" w:cs="Arial"/>
          <w:sz w:val="20"/>
          <w:szCs w:val="20"/>
        </w:rPr>
        <w:t xml:space="preserve">These cells have comparable shape to fibroblasts and can develop into </w:t>
      </w:r>
      <w:proofErr w:type="spellStart"/>
      <w:r w:rsidRPr="003D53CF">
        <w:rPr>
          <w:rFonts w:ascii="Arial" w:hAnsi="Arial" w:cs="Arial"/>
          <w:sz w:val="20"/>
          <w:szCs w:val="20"/>
        </w:rPr>
        <w:t>cementoblasts</w:t>
      </w:r>
      <w:proofErr w:type="spellEnd"/>
      <w:r w:rsidRPr="003D53CF">
        <w:rPr>
          <w:rFonts w:ascii="Arial" w:hAnsi="Arial" w:cs="Arial"/>
          <w:sz w:val="20"/>
          <w:szCs w:val="20"/>
        </w:rPr>
        <w:t xml:space="preserve">. Osteoblast </w:t>
      </w:r>
      <w:proofErr w:type="gramStart"/>
      <w:r w:rsidRPr="003D53CF">
        <w:rPr>
          <w:rFonts w:ascii="Arial" w:hAnsi="Arial" w:cs="Arial"/>
          <w:sz w:val="20"/>
          <w:szCs w:val="20"/>
        </w:rPr>
        <w:t>cells.[</w:t>
      </w:r>
      <w:proofErr w:type="gramEnd"/>
      <w:r w:rsidRPr="003D53CF">
        <w:rPr>
          <w:rFonts w:ascii="Arial" w:hAnsi="Arial" w:cs="Arial"/>
          <w:sz w:val="20"/>
          <w:szCs w:val="20"/>
        </w:rPr>
        <w:t xml:space="preserve">15] These cells have higher proliferation rates than DPSCs. These cells express biological cues, including </w:t>
      </w:r>
      <w:commentRangeStart w:id="28"/>
      <w:r w:rsidRPr="003D53CF">
        <w:rPr>
          <w:rFonts w:ascii="Arial" w:hAnsi="Arial" w:cs="Arial"/>
          <w:sz w:val="20"/>
          <w:szCs w:val="20"/>
        </w:rPr>
        <w:t>STRO-1, CD146</w:t>
      </w:r>
      <w:commentRangeEnd w:id="28"/>
      <w:r w:rsidR="0058413A">
        <w:rPr>
          <w:rStyle w:val="CommentReference"/>
        </w:rPr>
        <w:commentReference w:id="28"/>
      </w:r>
      <w:r w:rsidRPr="003D53CF">
        <w:rPr>
          <w:rFonts w:ascii="Arial" w:hAnsi="Arial" w:cs="Arial"/>
          <w:sz w:val="20"/>
          <w:szCs w:val="20"/>
        </w:rPr>
        <w:t xml:space="preserve">, and tendon-specific transcription </w:t>
      </w:r>
      <w:proofErr w:type="gramStart"/>
      <w:r w:rsidRPr="003D53CF">
        <w:rPr>
          <w:rFonts w:ascii="Arial" w:hAnsi="Arial" w:cs="Arial"/>
          <w:sz w:val="20"/>
          <w:szCs w:val="20"/>
        </w:rPr>
        <w:t>factor.[</w:t>
      </w:r>
      <w:proofErr w:type="gramEnd"/>
      <w:r>
        <w:rPr>
          <w:rFonts w:ascii="Arial" w:hAnsi="Arial" w:cs="Arial"/>
          <w:sz w:val="20"/>
          <w:szCs w:val="20"/>
        </w:rPr>
        <w:t>22</w:t>
      </w:r>
      <w:r w:rsidRPr="003D53CF">
        <w:rPr>
          <w:rFonts w:ascii="Arial" w:hAnsi="Arial" w:cs="Arial"/>
          <w:sz w:val="20"/>
          <w:szCs w:val="20"/>
        </w:rPr>
        <w:t>]</w:t>
      </w:r>
    </w:p>
    <w:p w14:paraId="4251CA75" w14:textId="09C8DBF6" w:rsidR="00EB118E" w:rsidRPr="00122B0A" w:rsidRDefault="00EB118E" w:rsidP="00122B0A">
      <w:pPr>
        <w:jc w:val="both"/>
        <w:rPr>
          <w:rFonts w:ascii="Arial" w:hAnsi="Arial" w:cs="Arial"/>
          <w:b/>
          <w:bCs/>
          <w:sz w:val="22"/>
          <w:szCs w:val="22"/>
        </w:rPr>
      </w:pPr>
      <w:r w:rsidRPr="00122B0A">
        <w:rPr>
          <w:rFonts w:ascii="Arial" w:hAnsi="Arial" w:cs="Arial"/>
          <w:b/>
          <w:bCs/>
          <w:sz w:val="22"/>
          <w:szCs w:val="22"/>
        </w:rPr>
        <w:t xml:space="preserve">Stem cells from human exfoliated deciduous teeth </w:t>
      </w:r>
      <w:r w:rsidR="003D4D65" w:rsidRPr="00122B0A">
        <w:rPr>
          <w:rFonts w:ascii="Arial" w:hAnsi="Arial" w:cs="Arial"/>
          <w:b/>
          <w:bCs/>
          <w:sz w:val="22"/>
          <w:szCs w:val="22"/>
        </w:rPr>
        <w:t>(SHED</w:t>
      </w:r>
      <w:r w:rsidRPr="00122B0A">
        <w:rPr>
          <w:rFonts w:ascii="Arial" w:hAnsi="Arial" w:cs="Arial"/>
          <w:b/>
          <w:bCs/>
          <w:sz w:val="22"/>
          <w:szCs w:val="22"/>
        </w:rPr>
        <w:t>)</w:t>
      </w:r>
    </w:p>
    <w:p w14:paraId="7274CD21" w14:textId="61786A31" w:rsidR="007E43D0" w:rsidRPr="00122B0A" w:rsidRDefault="007E43D0" w:rsidP="00122B0A">
      <w:pPr>
        <w:jc w:val="both"/>
        <w:rPr>
          <w:rFonts w:ascii="Arial" w:hAnsi="Arial" w:cs="Arial"/>
          <w:sz w:val="20"/>
          <w:szCs w:val="20"/>
        </w:rPr>
      </w:pPr>
      <w:r w:rsidRPr="00122B0A">
        <w:rPr>
          <w:rFonts w:ascii="Arial" w:hAnsi="Arial" w:cs="Arial"/>
          <w:sz w:val="20"/>
          <w:szCs w:val="20"/>
        </w:rPr>
        <w:lastRenderedPageBreak/>
        <w:t xml:space="preserve">Muira et al. (2003) identified the mesenchymal progenitor stem cell from exfoliated deciduous </w:t>
      </w:r>
      <w:proofErr w:type="gramStart"/>
      <w:r w:rsidRPr="00122B0A">
        <w:rPr>
          <w:rFonts w:ascii="Arial" w:hAnsi="Arial" w:cs="Arial"/>
          <w:sz w:val="20"/>
          <w:szCs w:val="20"/>
        </w:rPr>
        <w:t>teeth.[</w:t>
      </w:r>
      <w:proofErr w:type="gramEnd"/>
      <w:r w:rsidR="003D53CF">
        <w:rPr>
          <w:rFonts w:ascii="Arial" w:hAnsi="Arial" w:cs="Arial"/>
          <w:sz w:val="20"/>
          <w:szCs w:val="20"/>
        </w:rPr>
        <w:t>23</w:t>
      </w:r>
      <w:r w:rsidRPr="00122B0A">
        <w:rPr>
          <w:rFonts w:ascii="Arial" w:hAnsi="Arial" w:cs="Arial"/>
          <w:sz w:val="20"/>
          <w:szCs w:val="20"/>
        </w:rPr>
        <w:t>] SHED exhibits increased proliferation and CFU compared to DPSCs, with early expression of biological markers such as STRO-1 and CD146.[1</w:t>
      </w:r>
      <w:r w:rsidR="003D53CF">
        <w:rPr>
          <w:rFonts w:ascii="Arial" w:hAnsi="Arial" w:cs="Arial"/>
          <w:sz w:val="20"/>
          <w:szCs w:val="20"/>
        </w:rPr>
        <w:t>9</w:t>
      </w:r>
      <w:r w:rsidRPr="00122B0A">
        <w:rPr>
          <w:rFonts w:ascii="Arial" w:hAnsi="Arial" w:cs="Arial"/>
          <w:sz w:val="20"/>
          <w:szCs w:val="20"/>
        </w:rPr>
        <w:t>]</w:t>
      </w:r>
    </w:p>
    <w:p w14:paraId="6BBD3B81" w14:textId="0EC9568C" w:rsidR="00EB118E" w:rsidRPr="00122B0A" w:rsidRDefault="00EB118E" w:rsidP="00122B0A">
      <w:pPr>
        <w:jc w:val="both"/>
        <w:rPr>
          <w:rFonts w:ascii="Arial" w:hAnsi="Arial" w:cs="Arial"/>
          <w:b/>
          <w:bCs/>
          <w:sz w:val="22"/>
          <w:szCs w:val="22"/>
        </w:rPr>
      </w:pPr>
      <w:r w:rsidRPr="00122B0A">
        <w:rPr>
          <w:rFonts w:ascii="Arial" w:hAnsi="Arial" w:cs="Arial"/>
          <w:b/>
          <w:bCs/>
          <w:sz w:val="22"/>
          <w:szCs w:val="22"/>
        </w:rPr>
        <w:t>Tooth germ progenitor cells (TGPCs)</w:t>
      </w:r>
    </w:p>
    <w:p w14:paraId="7AD5B461" w14:textId="1D313D34"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These are dental mesenchymal cells collected from the third molar. TGPCs express many biomarkers such as STRO-1 and CDs. They promote the expression of pluripotency-associated genes such as </w:t>
      </w:r>
      <w:proofErr w:type="spellStart"/>
      <w:r w:rsidRPr="00122B0A">
        <w:rPr>
          <w:rFonts w:ascii="Arial" w:hAnsi="Arial" w:cs="Arial"/>
          <w:sz w:val="20"/>
          <w:szCs w:val="20"/>
        </w:rPr>
        <w:t>nanog</w:t>
      </w:r>
      <w:proofErr w:type="spellEnd"/>
      <w:r w:rsidRPr="00122B0A">
        <w:rPr>
          <w:rFonts w:ascii="Arial" w:hAnsi="Arial" w:cs="Arial"/>
          <w:sz w:val="20"/>
          <w:szCs w:val="20"/>
        </w:rPr>
        <w:t>, Oct4, and Sox</w:t>
      </w:r>
      <w:proofErr w:type="gramStart"/>
      <w:r w:rsidRPr="00122B0A">
        <w:rPr>
          <w:rFonts w:ascii="Arial" w:hAnsi="Arial" w:cs="Arial"/>
          <w:sz w:val="20"/>
          <w:szCs w:val="20"/>
        </w:rPr>
        <w:t>2.[</w:t>
      </w:r>
      <w:proofErr w:type="gramEnd"/>
      <w:r w:rsidRPr="00122B0A">
        <w:rPr>
          <w:rFonts w:ascii="Arial" w:hAnsi="Arial" w:cs="Arial"/>
          <w:sz w:val="20"/>
          <w:szCs w:val="20"/>
        </w:rPr>
        <w:t>2</w:t>
      </w:r>
      <w:r w:rsidR="008C2E8B">
        <w:rPr>
          <w:rFonts w:ascii="Arial" w:hAnsi="Arial" w:cs="Arial"/>
          <w:sz w:val="20"/>
          <w:szCs w:val="20"/>
        </w:rPr>
        <w:t>3</w:t>
      </w:r>
      <w:r w:rsidRPr="00122B0A">
        <w:rPr>
          <w:rFonts w:ascii="Arial" w:hAnsi="Arial" w:cs="Arial"/>
          <w:sz w:val="20"/>
          <w:szCs w:val="20"/>
        </w:rPr>
        <w:t>] TGPCs can differentiate into multiple lineages, including adipocytes, osteoblasts/odontoblasts, osteocytes, and neurons</w:t>
      </w:r>
      <w:commentRangeStart w:id="29"/>
      <w:r w:rsidRPr="00122B0A">
        <w:rPr>
          <w:rFonts w:ascii="Arial" w:hAnsi="Arial" w:cs="Arial"/>
          <w:sz w:val="20"/>
          <w:szCs w:val="20"/>
        </w:rPr>
        <w:t>.</w:t>
      </w:r>
      <w:r w:rsidR="008C2E8B">
        <w:rPr>
          <w:rFonts w:ascii="Arial" w:hAnsi="Arial" w:cs="Arial"/>
          <w:sz w:val="20"/>
          <w:szCs w:val="20"/>
        </w:rPr>
        <w:t>24</w:t>
      </w:r>
      <w:r w:rsidRPr="00122B0A">
        <w:rPr>
          <w:rFonts w:ascii="Arial" w:hAnsi="Arial" w:cs="Arial"/>
          <w:sz w:val="20"/>
          <w:szCs w:val="20"/>
        </w:rPr>
        <w:t>]</w:t>
      </w:r>
      <w:commentRangeEnd w:id="29"/>
      <w:r w:rsidR="007006EC">
        <w:rPr>
          <w:rStyle w:val="CommentReference"/>
        </w:rPr>
        <w:commentReference w:id="29"/>
      </w:r>
    </w:p>
    <w:p w14:paraId="39646FC2" w14:textId="77777777" w:rsidR="008C2E8B" w:rsidRDefault="00913DE4" w:rsidP="00122B0A">
      <w:pPr>
        <w:jc w:val="both"/>
        <w:rPr>
          <w:rFonts w:ascii="Arial" w:hAnsi="Arial" w:cs="Arial"/>
          <w:b/>
          <w:bCs/>
          <w:sz w:val="22"/>
          <w:szCs w:val="22"/>
        </w:rPr>
      </w:pPr>
      <w:r w:rsidRPr="00122B0A">
        <w:rPr>
          <w:rFonts w:ascii="Arial" w:hAnsi="Arial" w:cs="Arial"/>
          <w:b/>
          <w:bCs/>
          <w:sz w:val="22"/>
          <w:szCs w:val="22"/>
        </w:rPr>
        <w:t>Dental follicle progenitor cells (DFPCs)</w:t>
      </w:r>
    </w:p>
    <w:p w14:paraId="1FCBFCD2" w14:textId="2E4C4C38" w:rsidR="007E1E65" w:rsidRPr="008C2E8B" w:rsidRDefault="007E1E65" w:rsidP="00122B0A">
      <w:pPr>
        <w:jc w:val="both"/>
        <w:rPr>
          <w:rFonts w:ascii="Arial" w:hAnsi="Arial" w:cs="Arial"/>
          <w:b/>
          <w:bCs/>
          <w:sz w:val="22"/>
          <w:szCs w:val="22"/>
        </w:rPr>
      </w:pPr>
      <w:r w:rsidRPr="00122B0A">
        <w:rPr>
          <w:rFonts w:ascii="Arial" w:hAnsi="Arial" w:cs="Arial"/>
          <w:sz w:val="20"/>
          <w:szCs w:val="20"/>
        </w:rPr>
        <w:t xml:space="preserve">These </w:t>
      </w:r>
      <w:proofErr w:type="spellStart"/>
      <w:r w:rsidRPr="00122B0A">
        <w:rPr>
          <w:rFonts w:ascii="Arial" w:hAnsi="Arial" w:cs="Arial"/>
          <w:sz w:val="20"/>
          <w:szCs w:val="20"/>
        </w:rPr>
        <w:t>ectomesenchymal</w:t>
      </w:r>
      <w:proofErr w:type="spellEnd"/>
      <w:r w:rsidRPr="00122B0A">
        <w:rPr>
          <w:rFonts w:ascii="Arial" w:hAnsi="Arial" w:cs="Arial"/>
          <w:sz w:val="20"/>
          <w:szCs w:val="20"/>
        </w:rPr>
        <w:t xml:space="preserve"> cells were isolated from a human third-trimester follicle. </w:t>
      </w:r>
      <w:r w:rsidRPr="00122B0A">
        <w:rPr>
          <w:rFonts w:ascii="Arial" w:hAnsi="Arial" w:cs="Arial"/>
          <w:sz w:val="20"/>
          <w:szCs w:val="20"/>
        </w:rPr>
        <w:br/>
      </w:r>
      <w:proofErr w:type="gramStart"/>
      <w:r w:rsidRPr="00122B0A">
        <w:rPr>
          <w:rFonts w:ascii="Arial" w:hAnsi="Arial" w:cs="Arial"/>
          <w:sz w:val="20"/>
          <w:szCs w:val="20"/>
        </w:rPr>
        <w:t>molars.[</w:t>
      </w:r>
      <w:proofErr w:type="gramEnd"/>
      <w:r w:rsidRPr="00122B0A">
        <w:rPr>
          <w:rFonts w:ascii="Arial" w:hAnsi="Arial" w:cs="Arial"/>
          <w:sz w:val="20"/>
          <w:szCs w:val="20"/>
        </w:rPr>
        <w:t>1</w:t>
      </w:r>
      <w:r w:rsidR="008C2E8B">
        <w:rPr>
          <w:rFonts w:ascii="Arial" w:hAnsi="Arial" w:cs="Arial"/>
          <w:sz w:val="20"/>
          <w:szCs w:val="20"/>
        </w:rPr>
        <w:t>9</w:t>
      </w:r>
      <w:r w:rsidRPr="00122B0A">
        <w:rPr>
          <w:rFonts w:ascii="Arial" w:hAnsi="Arial" w:cs="Arial"/>
          <w:sz w:val="20"/>
          <w:szCs w:val="20"/>
        </w:rPr>
        <w:t xml:space="preserve">] These cells express biomarkers such as Notch1, STRO-1, and </w:t>
      </w:r>
      <w:proofErr w:type="spellStart"/>
      <w:r w:rsidRPr="00122B0A">
        <w:rPr>
          <w:rFonts w:ascii="Arial" w:hAnsi="Arial" w:cs="Arial"/>
          <w:sz w:val="20"/>
          <w:szCs w:val="20"/>
        </w:rPr>
        <w:t>Nestin</w:t>
      </w:r>
      <w:proofErr w:type="spellEnd"/>
      <w:r w:rsidRPr="00122B0A">
        <w:rPr>
          <w:rFonts w:ascii="Arial" w:hAnsi="Arial" w:cs="Arial"/>
          <w:sz w:val="20"/>
          <w:szCs w:val="20"/>
        </w:rPr>
        <w:t>.[2</w:t>
      </w:r>
      <w:r w:rsidR="008C2E8B">
        <w:rPr>
          <w:rFonts w:ascii="Arial" w:hAnsi="Arial" w:cs="Arial"/>
          <w:sz w:val="20"/>
          <w:szCs w:val="20"/>
        </w:rPr>
        <w:t>6</w:t>
      </w:r>
      <w:r w:rsidRPr="00122B0A">
        <w:rPr>
          <w:rFonts w:ascii="Arial" w:hAnsi="Arial" w:cs="Arial"/>
          <w:sz w:val="20"/>
          <w:szCs w:val="20"/>
        </w:rPr>
        <w:t xml:space="preserve">] STRO-1-positive dental follicle stem cells (DFSCs) can develop into </w:t>
      </w:r>
      <w:proofErr w:type="spellStart"/>
      <w:r w:rsidRPr="00122B0A">
        <w:rPr>
          <w:rFonts w:ascii="Arial" w:hAnsi="Arial" w:cs="Arial"/>
          <w:sz w:val="20"/>
          <w:szCs w:val="20"/>
        </w:rPr>
        <w:t>cementoblasts</w:t>
      </w:r>
      <w:proofErr w:type="spellEnd"/>
      <w:r w:rsidRPr="00122B0A">
        <w:rPr>
          <w:rFonts w:ascii="Arial" w:hAnsi="Arial" w:cs="Arial"/>
          <w:sz w:val="20"/>
          <w:szCs w:val="20"/>
        </w:rPr>
        <w:t xml:space="preserve"> and produce cementum.[2</w:t>
      </w:r>
      <w:r w:rsidR="008C2E8B">
        <w:rPr>
          <w:rFonts w:ascii="Arial" w:hAnsi="Arial" w:cs="Arial"/>
          <w:sz w:val="20"/>
          <w:szCs w:val="20"/>
        </w:rPr>
        <w:t>7</w:t>
      </w:r>
      <w:r w:rsidRPr="00122B0A">
        <w:rPr>
          <w:rFonts w:ascii="Arial" w:hAnsi="Arial" w:cs="Arial"/>
          <w:sz w:val="20"/>
          <w:szCs w:val="20"/>
        </w:rPr>
        <w:t>]</w:t>
      </w:r>
    </w:p>
    <w:p w14:paraId="40F061B7" w14:textId="06B0CC6D"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Gingival mesenchymal stem cells (GMSCs)</w:t>
      </w:r>
    </w:p>
    <w:p w14:paraId="48F163D0" w14:textId="492D294F"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GMSCs from gingival and retromolar tissue show clonogenicity and self-renewal. </w:t>
      </w:r>
      <w:r w:rsidRPr="00122B0A">
        <w:rPr>
          <w:rFonts w:ascii="Arial" w:hAnsi="Arial" w:cs="Arial"/>
          <w:sz w:val="20"/>
          <w:szCs w:val="20"/>
        </w:rPr>
        <w:br/>
        <w:t xml:space="preserve">Multipotent differentiation and immunomodulatory </w:t>
      </w:r>
      <w:proofErr w:type="gramStart"/>
      <w:r w:rsidRPr="00122B0A">
        <w:rPr>
          <w:rFonts w:ascii="Arial" w:hAnsi="Arial" w:cs="Arial"/>
          <w:sz w:val="20"/>
          <w:szCs w:val="20"/>
        </w:rPr>
        <w:t>characteristics.[</w:t>
      </w:r>
      <w:proofErr w:type="gramEnd"/>
      <w:r w:rsidRPr="00122B0A">
        <w:rPr>
          <w:rFonts w:ascii="Arial" w:hAnsi="Arial" w:cs="Arial"/>
          <w:sz w:val="20"/>
          <w:szCs w:val="20"/>
        </w:rPr>
        <w:t>1</w:t>
      </w:r>
      <w:r w:rsidR="008C2E8B">
        <w:rPr>
          <w:rFonts w:ascii="Arial" w:hAnsi="Arial" w:cs="Arial"/>
          <w:sz w:val="20"/>
          <w:szCs w:val="20"/>
        </w:rPr>
        <w:t>9</w:t>
      </w:r>
      <w:r w:rsidRPr="00122B0A">
        <w:rPr>
          <w:rFonts w:ascii="Arial" w:hAnsi="Arial" w:cs="Arial"/>
          <w:sz w:val="20"/>
          <w:szCs w:val="20"/>
        </w:rPr>
        <w:t>,2</w:t>
      </w:r>
      <w:r w:rsidR="008C2E8B">
        <w:rPr>
          <w:rFonts w:ascii="Arial" w:hAnsi="Arial" w:cs="Arial"/>
          <w:sz w:val="20"/>
          <w:szCs w:val="20"/>
        </w:rPr>
        <w:t>8</w:t>
      </w:r>
      <w:r w:rsidRPr="00122B0A">
        <w:rPr>
          <w:rFonts w:ascii="Arial" w:hAnsi="Arial" w:cs="Arial"/>
          <w:sz w:val="20"/>
          <w:szCs w:val="20"/>
        </w:rPr>
        <w:t xml:space="preserve">] GMSCs express CDs and have positive signals for Oct4, Sox2, Nanog, </w:t>
      </w:r>
      <w:proofErr w:type="spellStart"/>
      <w:r w:rsidRPr="00122B0A">
        <w:rPr>
          <w:rFonts w:ascii="Arial" w:hAnsi="Arial" w:cs="Arial"/>
          <w:sz w:val="20"/>
          <w:szCs w:val="20"/>
        </w:rPr>
        <w:t>Nestin</w:t>
      </w:r>
      <w:proofErr w:type="spellEnd"/>
      <w:r w:rsidRPr="00122B0A">
        <w:rPr>
          <w:rFonts w:ascii="Arial" w:hAnsi="Arial" w:cs="Arial"/>
          <w:sz w:val="20"/>
          <w:szCs w:val="20"/>
        </w:rPr>
        <w:t>, SSEA-4, and Stro-1. These cells exhibit tissue regeneration and wound healing through increased telomerase activity.</w:t>
      </w:r>
    </w:p>
    <w:p w14:paraId="40F7B8AF" w14:textId="3320747D"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Alveolar bone-derived mesenchymal stem cells (ABMSCs)</w:t>
      </w:r>
    </w:p>
    <w:p w14:paraId="35575BF2" w14:textId="2385A7FC"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Matsubara et al. (2005) isolate </w:t>
      </w:r>
      <w:proofErr w:type="spellStart"/>
      <w:proofErr w:type="gramStart"/>
      <w:r w:rsidRPr="00122B0A">
        <w:rPr>
          <w:rFonts w:ascii="Arial" w:hAnsi="Arial" w:cs="Arial"/>
          <w:sz w:val="20"/>
          <w:szCs w:val="20"/>
        </w:rPr>
        <w:t>them.Spindle</w:t>
      </w:r>
      <w:proofErr w:type="spellEnd"/>
      <w:proofErr w:type="gramEnd"/>
      <w:r w:rsidRPr="00122B0A">
        <w:rPr>
          <w:rFonts w:ascii="Arial" w:hAnsi="Arial" w:cs="Arial"/>
          <w:sz w:val="20"/>
          <w:szCs w:val="20"/>
        </w:rPr>
        <w:t xml:space="preserve">-shaped fibroblasts, similar to stem cells </w:t>
      </w:r>
      <w:commentRangeStart w:id="30"/>
      <w:proofErr w:type="spellStart"/>
      <w:r w:rsidRPr="00122B0A">
        <w:rPr>
          <w:rFonts w:ascii="Arial" w:hAnsi="Arial" w:cs="Arial"/>
          <w:sz w:val="20"/>
          <w:szCs w:val="20"/>
        </w:rPr>
        <w:t>cells</w:t>
      </w:r>
      <w:proofErr w:type="spellEnd"/>
      <w:r w:rsidRPr="00122B0A">
        <w:rPr>
          <w:rFonts w:ascii="Arial" w:hAnsi="Arial" w:cs="Arial"/>
          <w:sz w:val="20"/>
          <w:szCs w:val="20"/>
        </w:rPr>
        <w:t xml:space="preserve">. </w:t>
      </w:r>
      <w:commentRangeEnd w:id="30"/>
      <w:r w:rsidR="00357CC7">
        <w:rPr>
          <w:rStyle w:val="CommentReference"/>
        </w:rPr>
        <w:commentReference w:id="30"/>
      </w:r>
      <w:r w:rsidRPr="00122B0A">
        <w:rPr>
          <w:rFonts w:ascii="Arial" w:hAnsi="Arial" w:cs="Arial"/>
          <w:sz w:val="20"/>
          <w:szCs w:val="20"/>
        </w:rPr>
        <w:t>[2</w:t>
      </w:r>
      <w:r w:rsidR="00BD5E0A">
        <w:rPr>
          <w:rFonts w:ascii="Arial" w:hAnsi="Arial" w:cs="Arial"/>
          <w:sz w:val="20"/>
          <w:szCs w:val="20"/>
        </w:rPr>
        <w:t>9</w:t>
      </w:r>
      <w:r w:rsidRPr="00122B0A">
        <w:rPr>
          <w:rFonts w:ascii="Arial" w:hAnsi="Arial" w:cs="Arial"/>
          <w:sz w:val="20"/>
          <w:szCs w:val="20"/>
        </w:rPr>
        <w:t xml:space="preserve">] Similar to other stem cells. these cells also have osteoblastic, chondrogenic and </w:t>
      </w:r>
      <w:proofErr w:type="spellStart"/>
      <w:r w:rsidRPr="00122B0A">
        <w:rPr>
          <w:rFonts w:ascii="Arial" w:hAnsi="Arial" w:cs="Arial"/>
          <w:sz w:val="20"/>
          <w:szCs w:val="20"/>
        </w:rPr>
        <w:t>adipogenic</w:t>
      </w:r>
      <w:proofErr w:type="spellEnd"/>
      <w:r w:rsidRPr="00122B0A">
        <w:rPr>
          <w:rFonts w:ascii="Arial" w:hAnsi="Arial" w:cs="Arial"/>
          <w:sz w:val="20"/>
          <w:szCs w:val="20"/>
        </w:rPr>
        <w:t xml:space="preserve"> differentiation </w:t>
      </w:r>
      <w:proofErr w:type="gramStart"/>
      <w:r w:rsidRPr="00122B0A">
        <w:rPr>
          <w:rFonts w:ascii="Arial" w:hAnsi="Arial" w:cs="Arial"/>
          <w:sz w:val="20"/>
          <w:szCs w:val="20"/>
        </w:rPr>
        <w:t>potentials.[</w:t>
      </w:r>
      <w:proofErr w:type="gramEnd"/>
      <w:r w:rsidRPr="00122B0A">
        <w:rPr>
          <w:rFonts w:ascii="Arial" w:hAnsi="Arial" w:cs="Arial"/>
          <w:sz w:val="20"/>
          <w:szCs w:val="20"/>
        </w:rPr>
        <w:t>1</w:t>
      </w:r>
      <w:r w:rsidR="008C2E8B">
        <w:rPr>
          <w:rFonts w:ascii="Arial" w:hAnsi="Arial" w:cs="Arial"/>
          <w:sz w:val="20"/>
          <w:szCs w:val="20"/>
        </w:rPr>
        <w:t>9</w:t>
      </w:r>
      <w:r w:rsidRPr="00122B0A">
        <w:rPr>
          <w:rFonts w:ascii="Arial" w:hAnsi="Arial" w:cs="Arial"/>
          <w:sz w:val="20"/>
          <w:szCs w:val="20"/>
        </w:rPr>
        <w:t>] These cells express the surface markers CD73, CD90, CD105, STRO-1and high level of alkaline phosphatase.[</w:t>
      </w:r>
      <w:commentRangeStart w:id="31"/>
      <w:r w:rsidRPr="00122B0A">
        <w:rPr>
          <w:rFonts w:ascii="Arial" w:hAnsi="Arial" w:cs="Arial"/>
          <w:sz w:val="20"/>
          <w:szCs w:val="20"/>
        </w:rPr>
        <w:t>,</w:t>
      </w:r>
      <w:commentRangeEnd w:id="31"/>
      <w:r w:rsidR="000B3653">
        <w:rPr>
          <w:rStyle w:val="CommentReference"/>
        </w:rPr>
        <w:commentReference w:id="31"/>
      </w:r>
      <w:r w:rsidRPr="00122B0A">
        <w:rPr>
          <w:rFonts w:ascii="Arial" w:hAnsi="Arial" w:cs="Arial"/>
          <w:sz w:val="20"/>
          <w:szCs w:val="20"/>
        </w:rPr>
        <w:t>1</w:t>
      </w:r>
      <w:r w:rsidR="008C2E8B">
        <w:rPr>
          <w:rFonts w:ascii="Arial" w:hAnsi="Arial" w:cs="Arial"/>
          <w:sz w:val="20"/>
          <w:szCs w:val="20"/>
        </w:rPr>
        <w:t>9</w:t>
      </w:r>
      <w:r w:rsidRPr="00122B0A">
        <w:rPr>
          <w:rFonts w:ascii="Arial" w:hAnsi="Arial" w:cs="Arial"/>
          <w:sz w:val="20"/>
          <w:szCs w:val="20"/>
        </w:rPr>
        <w:t>]</w:t>
      </w:r>
    </w:p>
    <w:p w14:paraId="18352A34" w14:textId="31628D6C"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Adipose-derived stem cells (ADSCs)</w:t>
      </w:r>
    </w:p>
    <w:p w14:paraId="5C8ED3AD" w14:textId="3BE4230C" w:rsidR="00913DE4" w:rsidRDefault="00913DE4" w:rsidP="00122B0A">
      <w:pPr>
        <w:jc w:val="both"/>
        <w:rPr>
          <w:rFonts w:ascii="Arial" w:hAnsi="Arial" w:cs="Arial"/>
          <w:sz w:val="20"/>
          <w:szCs w:val="20"/>
        </w:rPr>
      </w:pPr>
      <w:r w:rsidRPr="00122B0A">
        <w:rPr>
          <w:rFonts w:ascii="Arial" w:hAnsi="Arial" w:cs="Arial"/>
          <w:sz w:val="20"/>
          <w:szCs w:val="20"/>
        </w:rPr>
        <w:t xml:space="preserve">ADSCs have similar features as DSCs, but having the advantage of being able to reach higher levels. quantity with </w:t>
      </w:r>
      <w:proofErr w:type="gramStart"/>
      <w:r w:rsidRPr="00122B0A">
        <w:rPr>
          <w:rFonts w:ascii="Arial" w:hAnsi="Arial" w:cs="Arial"/>
          <w:sz w:val="20"/>
          <w:szCs w:val="20"/>
        </w:rPr>
        <w:t>ease</w:t>
      </w:r>
      <w:r w:rsidR="00BD5E0A">
        <w:rPr>
          <w:rFonts w:ascii="Arial" w:hAnsi="Arial" w:cs="Arial"/>
          <w:sz w:val="20"/>
          <w:szCs w:val="20"/>
        </w:rPr>
        <w:t>[</w:t>
      </w:r>
      <w:proofErr w:type="gramEnd"/>
      <w:r w:rsidRPr="00122B0A">
        <w:rPr>
          <w:rFonts w:ascii="Arial" w:hAnsi="Arial" w:cs="Arial"/>
          <w:sz w:val="20"/>
          <w:szCs w:val="20"/>
        </w:rPr>
        <w:t>.</w:t>
      </w:r>
      <w:r w:rsidR="00BD5E0A">
        <w:rPr>
          <w:rFonts w:ascii="Arial" w:hAnsi="Arial" w:cs="Arial"/>
          <w:sz w:val="20"/>
          <w:szCs w:val="20"/>
        </w:rPr>
        <w:t>30]</w:t>
      </w:r>
      <w:r w:rsidRPr="00122B0A">
        <w:rPr>
          <w:rFonts w:ascii="Arial" w:hAnsi="Arial" w:cs="Arial"/>
          <w:sz w:val="20"/>
          <w:szCs w:val="20"/>
        </w:rPr>
        <w:t xml:space="preserve"> These cells can differentiate into chondrocytes, osteoclasts, or myocytes and can be applied to locations with bone defects.[</w:t>
      </w:r>
      <w:r w:rsidR="00BD5E0A">
        <w:rPr>
          <w:rFonts w:ascii="Arial" w:hAnsi="Arial" w:cs="Arial"/>
          <w:sz w:val="20"/>
          <w:szCs w:val="20"/>
        </w:rPr>
        <w:t>31</w:t>
      </w:r>
      <w:r w:rsidRPr="00122B0A">
        <w:rPr>
          <w:rFonts w:ascii="Arial" w:hAnsi="Arial" w:cs="Arial"/>
          <w:sz w:val="20"/>
          <w:szCs w:val="20"/>
        </w:rPr>
        <w:t>] Stem cells can come from various sources, including the apical section of the human dental papilla (SCAP), bone marrow-derived mesenchymal stem cells (BMSCs), and blood stem cells.[</w:t>
      </w:r>
      <w:r w:rsidR="00BD5E0A">
        <w:rPr>
          <w:rFonts w:ascii="Arial" w:hAnsi="Arial" w:cs="Arial"/>
          <w:sz w:val="20"/>
          <w:szCs w:val="20"/>
        </w:rPr>
        <w:t>21</w:t>
      </w:r>
      <w:r w:rsidRPr="00122B0A">
        <w:rPr>
          <w:rFonts w:ascii="Arial" w:hAnsi="Arial" w:cs="Arial"/>
          <w:sz w:val="20"/>
          <w:szCs w:val="20"/>
        </w:rPr>
        <w:t>]</w:t>
      </w:r>
    </w:p>
    <w:p w14:paraId="2F373D24" w14:textId="77777777" w:rsidR="00BD5E0A" w:rsidRDefault="00BD5E0A" w:rsidP="00122B0A">
      <w:pPr>
        <w:jc w:val="both"/>
        <w:rPr>
          <w:rFonts w:ascii="Arial" w:hAnsi="Arial" w:cs="Arial"/>
          <w:sz w:val="20"/>
          <w:szCs w:val="20"/>
        </w:rPr>
      </w:pPr>
    </w:p>
    <w:p w14:paraId="3E306B9E" w14:textId="00113552" w:rsidR="00467127" w:rsidRPr="00467127" w:rsidRDefault="00467127" w:rsidP="00122B0A">
      <w:pPr>
        <w:jc w:val="both"/>
        <w:rPr>
          <w:rFonts w:ascii="Arial" w:hAnsi="Arial" w:cs="Arial"/>
          <w:b/>
          <w:bCs/>
          <w:sz w:val="22"/>
          <w:szCs w:val="22"/>
        </w:rPr>
      </w:pPr>
      <w:r w:rsidRPr="00467127">
        <w:rPr>
          <w:rFonts w:ascii="Arial" w:hAnsi="Arial" w:cs="Arial"/>
          <w:b/>
          <w:bCs/>
          <w:sz w:val="22"/>
          <w:szCs w:val="22"/>
        </w:rPr>
        <w:t>STRUCTURE OF BIO-HYBRID IMPLANT</w:t>
      </w:r>
      <w:commentRangeStart w:id="32"/>
      <w:r w:rsidRPr="00467127">
        <w:rPr>
          <w:rFonts w:ascii="Arial" w:hAnsi="Arial" w:cs="Arial"/>
          <w:b/>
          <w:bCs/>
          <w:sz w:val="22"/>
          <w:szCs w:val="22"/>
        </w:rPr>
        <w:t>:</w:t>
      </w:r>
      <w:commentRangeEnd w:id="32"/>
      <w:r w:rsidR="000B3653">
        <w:rPr>
          <w:rStyle w:val="CommentReference"/>
        </w:rPr>
        <w:commentReference w:id="32"/>
      </w:r>
    </w:p>
    <w:p w14:paraId="242129E1" w14:textId="34BBC084" w:rsidR="007348DB" w:rsidRDefault="007348DB" w:rsidP="007348DB">
      <w:pPr>
        <w:jc w:val="both"/>
        <w:rPr>
          <w:rFonts w:ascii="Arial" w:hAnsi="Arial" w:cs="Arial"/>
          <w:sz w:val="20"/>
          <w:szCs w:val="20"/>
        </w:rPr>
      </w:pPr>
      <w:commentRangeStart w:id="33"/>
      <w:r w:rsidRPr="007348DB">
        <w:rPr>
          <w:rFonts w:ascii="Arial" w:hAnsi="Arial" w:cs="Arial"/>
          <w:sz w:val="20"/>
          <w:szCs w:val="20"/>
        </w:rPr>
        <w:t>Implants with bio-engineered PDL and stem cells consist of three components: implant body, scaffold, and stem cells. The scaffold around the implant has the following function: to support stem cells and regulate biomarker activity. Scaffolding materials can be as follows:</w:t>
      </w:r>
      <w:commentRangeEnd w:id="33"/>
      <w:r w:rsidR="000B3653">
        <w:rPr>
          <w:rStyle w:val="CommentReference"/>
        </w:rPr>
        <w:commentReference w:id="33"/>
      </w:r>
    </w:p>
    <w:p w14:paraId="6510485D" w14:textId="4C8E0274" w:rsidR="00467127" w:rsidRPr="00467127" w:rsidRDefault="00467127" w:rsidP="007348DB">
      <w:pPr>
        <w:jc w:val="both"/>
        <w:rPr>
          <w:rFonts w:ascii="Arial" w:hAnsi="Arial" w:cs="Arial"/>
          <w:b/>
          <w:bCs/>
          <w:sz w:val="22"/>
          <w:szCs w:val="22"/>
        </w:rPr>
      </w:pPr>
      <w:r w:rsidRPr="00467127">
        <w:rPr>
          <w:rFonts w:ascii="Arial" w:hAnsi="Arial" w:cs="Arial"/>
          <w:b/>
          <w:bCs/>
          <w:sz w:val="22"/>
          <w:szCs w:val="22"/>
        </w:rPr>
        <w:t>Natural Polymers</w:t>
      </w:r>
      <w:commentRangeStart w:id="34"/>
      <w:r w:rsidRPr="00467127">
        <w:rPr>
          <w:rFonts w:ascii="Arial" w:hAnsi="Arial" w:cs="Arial"/>
          <w:b/>
          <w:bCs/>
          <w:sz w:val="22"/>
          <w:szCs w:val="22"/>
        </w:rPr>
        <w:t>-</w:t>
      </w:r>
      <w:commentRangeEnd w:id="34"/>
      <w:r w:rsidR="000B3653">
        <w:rPr>
          <w:rStyle w:val="CommentReference"/>
        </w:rPr>
        <w:commentReference w:id="34"/>
      </w:r>
    </w:p>
    <w:p w14:paraId="63A71EEE" w14:textId="77777777" w:rsidR="0085147D" w:rsidRDefault="0085147D" w:rsidP="0085147D">
      <w:pPr>
        <w:jc w:val="both"/>
        <w:rPr>
          <w:rFonts w:ascii="Arial" w:hAnsi="Arial" w:cs="Arial"/>
          <w:sz w:val="20"/>
          <w:szCs w:val="20"/>
        </w:rPr>
      </w:pPr>
      <w:commentRangeStart w:id="35"/>
      <w:r w:rsidRPr="0085147D">
        <w:rPr>
          <w:rFonts w:ascii="Arial" w:hAnsi="Arial" w:cs="Arial"/>
          <w:sz w:val="20"/>
          <w:szCs w:val="20"/>
        </w:rPr>
        <w:t xml:space="preserve">3D-printed natural polymers, such as chitosan and collagen, are often employed as scaffolds. </w:t>
      </w:r>
      <w:commentRangeEnd w:id="35"/>
      <w:r w:rsidR="000B3653">
        <w:rPr>
          <w:rStyle w:val="CommentReference"/>
        </w:rPr>
        <w:commentReference w:id="35"/>
      </w:r>
      <w:r w:rsidRPr="0085147D">
        <w:rPr>
          <w:rFonts w:ascii="Arial" w:hAnsi="Arial" w:cs="Arial"/>
          <w:sz w:val="20"/>
          <w:szCs w:val="20"/>
        </w:rPr>
        <w:t xml:space="preserve"> </w:t>
      </w:r>
    </w:p>
    <w:p w14:paraId="674FB67B" w14:textId="77777777" w:rsidR="00BD5E0A" w:rsidRDefault="00BD5E0A" w:rsidP="0085147D">
      <w:pPr>
        <w:jc w:val="both"/>
        <w:rPr>
          <w:rFonts w:ascii="Arial" w:hAnsi="Arial" w:cs="Arial"/>
          <w:sz w:val="20"/>
          <w:szCs w:val="20"/>
        </w:rPr>
      </w:pPr>
    </w:p>
    <w:p w14:paraId="35DF318D" w14:textId="77777777" w:rsidR="00BD5E0A" w:rsidRDefault="00BD5E0A" w:rsidP="0085147D">
      <w:pPr>
        <w:jc w:val="both"/>
        <w:rPr>
          <w:rFonts w:ascii="Arial" w:hAnsi="Arial" w:cs="Arial"/>
          <w:sz w:val="20"/>
          <w:szCs w:val="20"/>
        </w:rPr>
      </w:pPr>
    </w:p>
    <w:p w14:paraId="465BDE3D" w14:textId="20674C19" w:rsidR="00BD5E0A" w:rsidRDefault="00467127" w:rsidP="0085147D">
      <w:pPr>
        <w:jc w:val="both"/>
        <w:rPr>
          <w:rFonts w:ascii="Arial" w:hAnsi="Arial" w:cs="Arial"/>
          <w:b/>
          <w:bCs/>
          <w:sz w:val="22"/>
          <w:szCs w:val="22"/>
        </w:rPr>
      </w:pPr>
      <w:r w:rsidRPr="00467127">
        <w:rPr>
          <w:rFonts w:ascii="Arial" w:hAnsi="Arial" w:cs="Arial"/>
          <w:b/>
          <w:bCs/>
          <w:sz w:val="22"/>
          <w:szCs w:val="22"/>
        </w:rPr>
        <w:t>Synthetic Polymers</w:t>
      </w:r>
      <w:commentRangeStart w:id="36"/>
      <w:r w:rsidRPr="00467127">
        <w:rPr>
          <w:rFonts w:ascii="Arial" w:hAnsi="Arial" w:cs="Arial"/>
          <w:b/>
          <w:bCs/>
          <w:sz w:val="22"/>
          <w:szCs w:val="22"/>
        </w:rPr>
        <w:t>-</w:t>
      </w:r>
      <w:commentRangeEnd w:id="36"/>
      <w:r w:rsidR="000B3653">
        <w:rPr>
          <w:rStyle w:val="CommentReference"/>
        </w:rPr>
        <w:commentReference w:id="36"/>
      </w:r>
    </w:p>
    <w:p w14:paraId="39A3C8A7" w14:textId="36A08004" w:rsidR="0085147D" w:rsidRPr="00BD5E0A" w:rsidRDefault="0085147D" w:rsidP="0085147D">
      <w:pPr>
        <w:jc w:val="both"/>
        <w:rPr>
          <w:rFonts w:ascii="Arial" w:hAnsi="Arial" w:cs="Arial"/>
          <w:b/>
          <w:bCs/>
          <w:sz w:val="22"/>
          <w:szCs w:val="22"/>
        </w:rPr>
      </w:pPr>
      <w:commentRangeStart w:id="37"/>
      <w:r w:rsidRPr="0085147D">
        <w:rPr>
          <w:rFonts w:ascii="Arial" w:hAnsi="Arial" w:cs="Arial"/>
          <w:sz w:val="20"/>
          <w:szCs w:val="20"/>
        </w:rPr>
        <w:lastRenderedPageBreak/>
        <w:t xml:space="preserve">Synthetic bio-degradable polymers include </w:t>
      </w:r>
      <w:proofErr w:type="gramStart"/>
      <w:r w:rsidRPr="0085147D">
        <w:rPr>
          <w:rFonts w:ascii="Arial" w:hAnsi="Arial" w:cs="Arial"/>
          <w:sz w:val="20"/>
          <w:szCs w:val="20"/>
        </w:rPr>
        <w:t>poly(</w:t>
      </w:r>
      <w:proofErr w:type="gramEnd"/>
      <w:r w:rsidRPr="0085147D">
        <w:rPr>
          <w:rFonts w:ascii="Arial" w:hAnsi="Arial" w:cs="Arial"/>
          <w:sz w:val="20"/>
          <w:szCs w:val="20"/>
        </w:rPr>
        <w:t>ethylene glycol) and b-poly(l-lactide-co-caprolactone). Scaffolds can be made from PELCL, PLGA, or PCLEEP materials. These polymers' confirming porosity (pore size 150-500 nm) regulates cell release and biological signals</w:t>
      </w:r>
      <w:commentRangeEnd w:id="37"/>
      <w:r w:rsidR="000B3653">
        <w:rPr>
          <w:rStyle w:val="CommentReference"/>
        </w:rPr>
        <w:commentReference w:id="37"/>
      </w:r>
      <w:r w:rsidRPr="0085147D">
        <w:rPr>
          <w:rFonts w:ascii="Arial" w:hAnsi="Arial" w:cs="Arial"/>
          <w:sz w:val="20"/>
          <w:szCs w:val="20"/>
        </w:rPr>
        <w:t>.</w:t>
      </w:r>
    </w:p>
    <w:p w14:paraId="16DA3EC8" w14:textId="76CCE5D2" w:rsidR="00467127" w:rsidRPr="00467127" w:rsidRDefault="00467127" w:rsidP="0085147D">
      <w:pPr>
        <w:jc w:val="both"/>
        <w:rPr>
          <w:rFonts w:ascii="Arial" w:hAnsi="Arial" w:cs="Arial"/>
          <w:b/>
          <w:bCs/>
          <w:sz w:val="22"/>
          <w:szCs w:val="22"/>
        </w:rPr>
      </w:pPr>
      <w:r w:rsidRPr="00467127">
        <w:rPr>
          <w:rFonts w:ascii="Arial" w:hAnsi="Arial" w:cs="Arial"/>
          <w:b/>
          <w:bCs/>
          <w:sz w:val="22"/>
          <w:szCs w:val="22"/>
        </w:rPr>
        <w:t>Bio-ceramics-</w:t>
      </w:r>
    </w:p>
    <w:p w14:paraId="4F521590" w14:textId="14F27248" w:rsidR="0085147D" w:rsidRPr="00122B0A" w:rsidRDefault="0085147D" w:rsidP="0085147D">
      <w:pPr>
        <w:jc w:val="both"/>
        <w:rPr>
          <w:rFonts w:ascii="Arial" w:hAnsi="Arial" w:cs="Arial"/>
          <w:sz w:val="20"/>
          <w:szCs w:val="20"/>
        </w:rPr>
      </w:pPr>
      <w:r w:rsidRPr="0085147D">
        <w:rPr>
          <w:rFonts w:ascii="Arial" w:hAnsi="Arial" w:cs="Arial"/>
          <w:sz w:val="20"/>
          <w:szCs w:val="20"/>
        </w:rPr>
        <w:t xml:space="preserve">Hydroxyapatite nanoparticles, injectable mesoporous silica nanoparticles, and bioactive glass. Nanoclusters are typically combined with polymers to create </w:t>
      </w:r>
      <w:proofErr w:type="gramStart"/>
      <w:r w:rsidRPr="0085147D">
        <w:rPr>
          <w:rFonts w:ascii="Arial" w:hAnsi="Arial" w:cs="Arial"/>
          <w:sz w:val="20"/>
          <w:szCs w:val="20"/>
        </w:rPr>
        <w:t>scaffolds.</w:t>
      </w:r>
      <w:r w:rsidR="00BD5E0A">
        <w:rPr>
          <w:rFonts w:ascii="Arial" w:hAnsi="Arial" w:cs="Arial"/>
          <w:sz w:val="20"/>
          <w:szCs w:val="20"/>
        </w:rPr>
        <w:t>[</w:t>
      </w:r>
      <w:proofErr w:type="gramEnd"/>
      <w:r w:rsidR="00BD5E0A">
        <w:rPr>
          <w:rFonts w:ascii="Arial" w:hAnsi="Arial" w:cs="Arial"/>
          <w:sz w:val="20"/>
          <w:szCs w:val="20"/>
        </w:rPr>
        <w:t>32]</w:t>
      </w:r>
    </w:p>
    <w:p w14:paraId="216FDBF6" w14:textId="77777777" w:rsidR="007E1E65" w:rsidRPr="007E1E65" w:rsidRDefault="007E1E65" w:rsidP="007E1E65">
      <w:pPr>
        <w:rPr>
          <w:rFonts w:ascii="Arial" w:hAnsi="Arial" w:cs="Arial"/>
          <w:sz w:val="20"/>
          <w:szCs w:val="20"/>
        </w:rPr>
      </w:pPr>
    </w:p>
    <w:p w14:paraId="0A684C50" w14:textId="6D302087" w:rsidR="00FD7DF3" w:rsidRPr="008F2519" w:rsidRDefault="00E44EBD" w:rsidP="006974B0">
      <w:pPr>
        <w:jc w:val="both"/>
        <w:rPr>
          <w:rFonts w:ascii="Arial" w:hAnsi="Arial" w:cs="Arial"/>
          <w:b/>
          <w:bCs/>
          <w:sz w:val="22"/>
          <w:szCs w:val="22"/>
        </w:rPr>
      </w:pPr>
      <w:r>
        <w:rPr>
          <w:rFonts w:ascii="Arial" w:hAnsi="Arial" w:cs="Arial"/>
          <w:sz w:val="22"/>
          <w:szCs w:val="22"/>
        </w:rPr>
        <w:t xml:space="preserve"> </w:t>
      </w:r>
      <w:r w:rsidR="00FD3F54" w:rsidRPr="008F2519">
        <w:rPr>
          <w:rFonts w:ascii="Arial" w:hAnsi="Arial" w:cs="Arial"/>
          <w:b/>
          <w:bCs/>
          <w:sz w:val="22"/>
          <w:szCs w:val="22"/>
        </w:rPr>
        <w:t>PRECAUTIONS WHILE PREPARING LIGAPLANT</w:t>
      </w:r>
    </w:p>
    <w:p w14:paraId="56514489" w14:textId="40CCC6CA"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r w:rsidRPr="00D36951">
        <w:rPr>
          <w:rFonts w:ascii="Arial" w:eastAsia="Times New Roman" w:hAnsi="Arial" w:cs="Arial"/>
          <w:kern w:val="0"/>
          <w:sz w:val="20"/>
          <w:szCs w:val="20"/>
          <w:lang w:eastAsia="en-IN"/>
          <w14:ligatures w14:val="none"/>
        </w:rPr>
        <w:t xml:space="preserve">PDL formation is </w:t>
      </w:r>
      <w:r w:rsidR="0069576F" w:rsidRPr="00D36951">
        <w:rPr>
          <w:rFonts w:ascii="Arial" w:eastAsia="Times New Roman" w:hAnsi="Arial" w:cs="Arial"/>
          <w:kern w:val="0"/>
          <w:sz w:val="20"/>
          <w:szCs w:val="20"/>
          <w:lang w:eastAsia="en-IN"/>
          <w14:ligatures w14:val="none"/>
        </w:rPr>
        <w:t>favoured</w:t>
      </w:r>
      <w:r w:rsidRPr="00D36951">
        <w:rPr>
          <w:rFonts w:ascii="Arial" w:eastAsia="Times New Roman" w:hAnsi="Arial" w:cs="Arial"/>
          <w:kern w:val="0"/>
          <w:sz w:val="20"/>
          <w:szCs w:val="20"/>
          <w:lang w:eastAsia="en-IN"/>
          <w14:ligatures w14:val="none"/>
        </w:rPr>
        <w:t xml:space="preserve"> by a cushion that is thick enough, and non-PDL cell types may arise as a result of extended cell </w:t>
      </w:r>
      <w:r w:rsidR="0069576F" w:rsidRPr="00D36951">
        <w:rPr>
          <w:rFonts w:ascii="Arial" w:eastAsia="Times New Roman" w:hAnsi="Arial" w:cs="Arial"/>
          <w:kern w:val="0"/>
          <w:sz w:val="20"/>
          <w:szCs w:val="20"/>
          <w:lang w:eastAsia="en-IN"/>
          <w14:ligatures w14:val="none"/>
        </w:rPr>
        <w:t>culture. To</w:t>
      </w:r>
      <w:r w:rsidRPr="00D36951">
        <w:rPr>
          <w:rFonts w:ascii="Arial" w:eastAsia="Times New Roman" w:hAnsi="Arial" w:cs="Arial"/>
          <w:kern w:val="0"/>
          <w:sz w:val="20"/>
          <w:szCs w:val="20"/>
          <w:lang w:eastAsia="en-IN"/>
          <w14:ligatures w14:val="none"/>
        </w:rPr>
        <w:t xml:space="preserve"> maintain the differentiation of the cells state, and the bioreactor should be designed to mimic </w:t>
      </w:r>
      <w:r w:rsidR="00014DD3" w:rsidRPr="00D36951">
        <w:rPr>
          <w:rFonts w:ascii="Arial" w:eastAsia="Times New Roman" w:hAnsi="Arial" w:cs="Arial"/>
          <w:kern w:val="0"/>
          <w:sz w:val="20"/>
          <w:szCs w:val="20"/>
          <w:lang w:eastAsia="en-IN"/>
          <w14:ligatures w14:val="none"/>
        </w:rPr>
        <w:t xml:space="preserve">PDL </w:t>
      </w:r>
      <w:r w:rsidR="00D20431" w:rsidRPr="00D36951">
        <w:rPr>
          <w:rFonts w:ascii="Arial" w:eastAsia="Times New Roman" w:hAnsi="Arial" w:cs="Arial"/>
          <w:kern w:val="0"/>
          <w:sz w:val="20"/>
          <w:szCs w:val="20"/>
          <w:lang w:eastAsia="en-IN"/>
          <w14:ligatures w14:val="none"/>
        </w:rPr>
        <w:t>conditions to achieve adequate cell stimulation during cell growth</w:t>
      </w:r>
      <w:r w:rsidRPr="00D36951">
        <w:rPr>
          <w:rFonts w:ascii="Arial" w:eastAsia="Times New Roman" w:hAnsi="Arial" w:cs="Arial"/>
          <w:kern w:val="0"/>
          <w:sz w:val="20"/>
          <w:szCs w:val="20"/>
          <w:lang w:eastAsia="en-IN"/>
          <w14:ligatures w14:val="none"/>
        </w:rPr>
        <w:t xml:space="preserve">. The cells are arranged around the hollow cylinder and in a small gap between the </w:t>
      </w:r>
      <w:proofErr w:type="spellStart"/>
      <w:r w:rsidRPr="00D36951">
        <w:rPr>
          <w:rFonts w:ascii="Arial" w:eastAsia="Times New Roman" w:hAnsi="Arial" w:cs="Arial"/>
          <w:kern w:val="0"/>
          <w:sz w:val="20"/>
          <w:szCs w:val="20"/>
          <w:lang w:eastAsia="en-IN"/>
          <w14:ligatures w14:val="none"/>
        </w:rPr>
        <w:t>ligaplant</w:t>
      </w:r>
      <w:proofErr w:type="spellEnd"/>
      <w:r w:rsidRPr="00D36951">
        <w:rPr>
          <w:rFonts w:ascii="Arial" w:eastAsia="Times New Roman" w:hAnsi="Arial" w:cs="Arial"/>
          <w:kern w:val="0"/>
          <w:sz w:val="20"/>
          <w:szCs w:val="20"/>
          <w:lang w:eastAsia="en-IN"/>
          <w14:ligatures w14:val="none"/>
        </w:rPr>
        <w:t xml:space="preserve">. Therefore, it was anticipated that the PDL phenotype, which suggests a strong cell attachment to the implant, would be </w:t>
      </w:r>
      <w:proofErr w:type="gramStart"/>
      <w:r w:rsidRPr="00D36951">
        <w:rPr>
          <w:rFonts w:ascii="Arial" w:eastAsia="Times New Roman" w:hAnsi="Arial" w:cs="Arial"/>
          <w:kern w:val="0"/>
          <w:sz w:val="20"/>
          <w:szCs w:val="20"/>
          <w:lang w:eastAsia="en-IN"/>
          <w14:ligatures w14:val="none"/>
        </w:rPr>
        <w:t>preferred.[</w:t>
      </w:r>
      <w:proofErr w:type="gramEnd"/>
      <w:r w:rsidRPr="00D36951">
        <w:rPr>
          <w:rFonts w:ascii="Arial" w:eastAsia="Times New Roman" w:hAnsi="Arial" w:cs="Arial"/>
          <w:kern w:val="0"/>
          <w:sz w:val="20"/>
          <w:szCs w:val="20"/>
          <w:lang w:eastAsia="en-IN"/>
          <w14:ligatures w14:val="none"/>
        </w:rPr>
        <w:t>15]</w:t>
      </w:r>
    </w:p>
    <w:p w14:paraId="051816F7" w14:textId="77777777"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p>
    <w:p w14:paraId="027F76F4" w14:textId="7031C337"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r w:rsidRPr="00D36951">
        <w:rPr>
          <w:rFonts w:ascii="Arial" w:eastAsia="Times New Roman" w:hAnsi="Arial" w:cs="Arial"/>
          <w:kern w:val="0"/>
          <w:sz w:val="20"/>
          <w:szCs w:val="20"/>
          <w:lang w:eastAsia="en-IN"/>
          <w14:ligatures w14:val="none"/>
        </w:rPr>
        <w:t xml:space="preserve">To ensure that the </w:t>
      </w:r>
      <w:proofErr w:type="spellStart"/>
      <w:r w:rsidRPr="00D36951">
        <w:rPr>
          <w:rFonts w:ascii="Arial" w:eastAsia="Times New Roman" w:hAnsi="Arial" w:cs="Arial"/>
          <w:kern w:val="0"/>
          <w:sz w:val="20"/>
          <w:szCs w:val="20"/>
          <w:lang w:eastAsia="en-IN"/>
          <w14:ligatures w14:val="none"/>
        </w:rPr>
        <w:t>ligaplants</w:t>
      </w:r>
      <w:proofErr w:type="spellEnd"/>
      <w:r w:rsidRPr="00D36951">
        <w:rPr>
          <w:rFonts w:ascii="Arial" w:eastAsia="Times New Roman" w:hAnsi="Arial" w:cs="Arial"/>
          <w:kern w:val="0"/>
          <w:sz w:val="20"/>
          <w:szCs w:val="20"/>
          <w:lang w:eastAsia="en-IN"/>
          <w14:ligatures w14:val="none"/>
        </w:rPr>
        <w:t xml:space="preserve"> are successful and significantly enhance the implant system, the following guidelines must be adhered to during the preparation process:</w:t>
      </w:r>
    </w:p>
    <w:p w14:paraId="332E79C3" w14:textId="021FBBF4" w:rsidR="0047359B" w:rsidRPr="00D36951" w:rsidRDefault="0047359B" w:rsidP="00B64754">
      <w:pPr>
        <w:jc w:val="both"/>
        <w:rPr>
          <w:rFonts w:ascii="Arial" w:eastAsia="Times New Roman" w:hAnsi="Arial" w:cs="Arial"/>
          <w:kern w:val="0"/>
          <w:sz w:val="20"/>
          <w:szCs w:val="20"/>
          <w:lang w:eastAsia="en-IN"/>
          <w14:ligatures w14:val="none"/>
        </w:rPr>
      </w:pPr>
    </w:p>
    <w:p w14:paraId="533C40A9" w14:textId="40276877" w:rsidR="00FD3F54" w:rsidRPr="00D36951" w:rsidRDefault="006264F7" w:rsidP="0047359B">
      <w:pPr>
        <w:pStyle w:val="ListParagraph"/>
        <w:numPr>
          <w:ilvl w:val="0"/>
          <w:numId w:val="2"/>
        </w:numPr>
        <w:jc w:val="both"/>
        <w:rPr>
          <w:rFonts w:ascii="Arial" w:hAnsi="Arial" w:cs="Arial"/>
          <w:noProof/>
          <w:sz w:val="20"/>
          <w:szCs w:val="20"/>
        </w:rPr>
      </w:pPr>
      <w:r w:rsidRPr="00D36951">
        <w:rPr>
          <w:rFonts w:ascii="Arial" w:hAnsi="Arial" w:cs="Arial"/>
          <w:noProof/>
          <w:sz w:val="20"/>
          <w:szCs w:val="20"/>
        </w:rPr>
        <w:t>Throughout the process, proper sterilization protocols must be followed.[8]</w:t>
      </w:r>
    </w:p>
    <w:p w14:paraId="76A57A04" w14:textId="2BE28644" w:rsidR="006264F7" w:rsidRPr="00D36951" w:rsidRDefault="006264F7" w:rsidP="00FD3F54">
      <w:pPr>
        <w:pStyle w:val="ListParagraph"/>
        <w:numPr>
          <w:ilvl w:val="0"/>
          <w:numId w:val="2"/>
        </w:numPr>
        <w:jc w:val="both"/>
        <w:rPr>
          <w:rFonts w:ascii="Arial" w:hAnsi="Arial" w:cs="Arial"/>
          <w:noProof/>
          <w:sz w:val="20"/>
          <w:szCs w:val="20"/>
        </w:rPr>
      </w:pPr>
      <w:r w:rsidRPr="00D36951">
        <w:rPr>
          <w:rFonts w:ascii="Arial" w:hAnsi="Arial" w:cs="Arial"/>
          <w:noProof/>
          <w:sz w:val="20"/>
          <w:szCs w:val="20"/>
        </w:rPr>
        <w:t>The medium should have constant, automatic micromovements while the ligaplants are forming.[4]</w:t>
      </w:r>
    </w:p>
    <w:p w14:paraId="7DAFCBB7" w14:textId="073D978F" w:rsidR="00FD3F54" w:rsidRPr="00D36951" w:rsidRDefault="00FD3F54" w:rsidP="00FD3F54">
      <w:pPr>
        <w:pStyle w:val="ListParagraph"/>
        <w:numPr>
          <w:ilvl w:val="0"/>
          <w:numId w:val="2"/>
        </w:numPr>
        <w:jc w:val="both"/>
        <w:rPr>
          <w:rFonts w:ascii="Arial" w:hAnsi="Arial" w:cs="Arial"/>
          <w:noProof/>
          <w:sz w:val="20"/>
          <w:szCs w:val="20"/>
        </w:rPr>
      </w:pPr>
      <w:commentRangeStart w:id="38"/>
      <w:r w:rsidRPr="00D36951">
        <w:rPr>
          <w:rFonts w:ascii="Arial" w:hAnsi="Arial" w:cs="Arial"/>
          <w:noProof/>
          <w:sz w:val="20"/>
          <w:szCs w:val="20"/>
        </w:rPr>
        <w:t>To get good results, the surface treatment should be applied for the shortest possible amount of time.</w:t>
      </w:r>
      <w:commentRangeEnd w:id="38"/>
      <w:r w:rsidR="000B3653">
        <w:rPr>
          <w:rStyle w:val="CommentReference"/>
        </w:rPr>
        <w:commentReference w:id="38"/>
      </w:r>
    </w:p>
    <w:p w14:paraId="30D5FD52" w14:textId="731EE4DD" w:rsidR="00815614" w:rsidRPr="008F2519" w:rsidRDefault="004E429F" w:rsidP="00815614">
      <w:pPr>
        <w:jc w:val="both"/>
        <w:rPr>
          <w:rFonts w:ascii="Arial" w:hAnsi="Arial" w:cs="Arial"/>
          <w:b/>
          <w:bCs/>
          <w:noProof/>
          <w:sz w:val="22"/>
          <w:szCs w:val="22"/>
        </w:rPr>
      </w:pPr>
      <w:r w:rsidRPr="00D36951">
        <w:rPr>
          <w:rFonts w:ascii="Arial" w:hAnsi="Arial" w:cs="Arial"/>
          <w:b/>
          <w:bCs/>
          <w:noProof/>
          <w:sz w:val="20"/>
          <w:szCs w:val="20"/>
        </w:rPr>
        <w:t xml:space="preserve">                             </w:t>
      </w:r>
      <w:r w:rsidRPr="00E44EBD">
        <w:rPr>
          <w:rFonts w:ascii="Arial" w:hAnsi="Arial" w:cs="Arial"/>
          <w:noProof/>
          <w:sz w:val="22"/>
          <w:szCs w:val="22"/>
        </w:rPr>
        <w:t xml:space="preserve"> </w:t>
      </w:r>
      <w:r w:rsidR="00E44EBD">
        <w:rPr>
          <w:rFonts w:ascii="Arial" w:hAnsi="Arial" w:cs="Arial"/>
          <w:noProof/>
          <w:sz w:val="22"/>
          <w:szCs w:val="22"/>
        </w:rPr>
        <w:t xml:space="preserve">               </w:t>
      </w:r>
      <w:r w:rsidR="00815614" w:rsidRPr="008F2519">
        <w:rPr>
          <w:rFonts w:ascii="Arial" w:hAnsi="Arial" w:cs="Arial"/>
          <w:b/>
          <w:bCs/>
          <w:noProof/>
          <w:sz w:val="22"/>
          <w:szCs w:val="22"/>
        </w:rPr>
        <w:t>RISK FACTORS OF LIGAPLANTS</w:t>
      </w:r>
    </w:p>
    <w:p w14:paraId="3339A604" w14:textId="1A9A3D69" w:rsidR="008A7150" w:rsidRPr="00D36951" w:rsidRDefault="00452E40" w:rsidP="008A7150">
      <w:pPr>
        <w:jc w:val="both"/>
        <w:rPr>
          <w:rFonts w:ascii="Arial" w:hAnsi="Arial" w:cs="Arial"/>
          <w:noProof/>
          <w:sz w:val="20"/>
          <w:szCs w:val="20"/>
        </w:rPr>
      </w:pPr>
      <w:r w:rsidRPr="00D36951">
        <w:rPr>
          <w:rFonts w:ascii="Arial" w:hAnsi="Arial" w:cs="Arial"/>
          <w:noProof/>
          <w:sz w:val="20"/>
          <w:szCs w:val="20"/>
        </w:rPr>
        <w:t>The only process required for the formation of periodontal ligaments is site signaling, which is primarily mediated by anatomic code and homeogene-coded transcription factors.</w:t>
      </w:r>
      <w:r w:rsidR="00D87D69" w:rsidRPr="00D36951">
        <w:rPr>
          <w:rFonts w:ascii="Arial" w:eastAsia="Times New Roman" w:hAnsi="Arial" w:cs="Arial"/>
          <w:kern w:val="0"/>
          <w:sz w:val="20"/>
          <w:szCs w:val="20"/>
          <w:lang w:eastAsia="en-IN"/>
          <w14:ligatures w14:val="none"/>
        </w:rPr>
        <w:t xml:space="preserve"> </w:t>
      </w:r>
      <w:r w:rsidR="00D87D69" w:rsidRPr="00D36951">
        <w:rPr>
          <w:rFonts w:ascii="Arial" w:hAnsi="Arial" w:cs="Arial"/>
          <w:noProof/>
          <w:sz w:val="20"/>
          <w:szCs w:val="20"/>
        </w:rPr>
        <w:t>Both the development of the cell surface and the signaling components depend on these homeoproteins.</w:t>
      </w:r>
      <w:r w:rsidR="004C3D8E" w:rsidRPr="00D36951">
        <w:rPr>
          <w:rFonts w:ascii="Arial" w:eastAsia="Times New Roman" w:hAnsi="Arial" w:cs="Arial"/>
          <w:kern w:val="0"/>
          <w:sz w:val="20"/>
          <w:szCs w:val="20"/>
          <w:lang w:eastAsia="en-IN"/>
          <w14:ligatures w14:val="none"/>
        </w:rPr>
        <w:t xml:space="preserve"> </w:t>
      </w:r>
      <w:r w:rsidR="004C3D8E" w:rsidRPr="00D36951">
        <w:rPr>
          <w:rFonts w:ascii="Arial" w:hAnsi="Arial" w:cs="Arial"/>
          <w:noProof/>
          <w:sz w:val="20"/>
          <w:szCs w:val="20"/>
        </w:rPr>
        <w:t>The effectiveness of treatment is at risk due to factors that influence the development of the periodontal ligaments at the required location, which are usually unpredictable.</w:t>
      </w:r>
      <w:r w:rsidR="00B64754" w:rsidRPr="00D36951">
        <w:rPr>
          <w:rFonts w:ascii="Arial" w:hAnsi="Arial" w:cs="Arial"/>
          <w:noProof/>
          <w:sz w:val="20"/>
          <w:szCs w:val="20"/>
        </w:rPr>
        <w:t>[16]</w:t>
      </w:r>
    </w:p>
    <w:p w14:paraId="61093D4D" w14:textId="4529D6FA" w:rsidR="00815614" w:rsidRPr="008F2519" w:rsidRDefault="005F2F77" w:rsidP="008A7150">
      <w:pPr>
        <w:jc w:val="both"/>
        <w:rPr>
          <w:rFonts w:ascii="Arial" w:hAnsi="Arial" w:cs="Arial"/>
          <w:b/>
          <w:bCs/>
          <w:noProof/>
          <w:sz w:val="22"/>
          <w:szCs w:val="22"/>
        </w:rPr>
      </w:pPr>
      <w:r w:rsidRPr="00D36951">
        <w:rPr>
          <w:rFonts w:ascii="Arial" w:hAnsi="Arial" w:cs="Arial"/>
          <w:b/>
          <w:bCs/>
          <w:noProof/>
          <w:sz w:val="20"/>
          <w:szCs w:val="20"/>
        </w:rPr>
        <w:t xml:space="preserve">                            </w:t>
      </w:r>
      <w:r w:rsidR="004E429F" w:rsidRPr="00D36951">
        <w:rPr>
          <w:rFonts w:ascii="Arial" w:hAnsi="Arial" w:cs="Arial"/>
          <w:b/>
          <w:bCs/>
          <w:noProof/>
          <w:sz w:val="20"/>
          <w:szCs w:val="20"/>
        </w:rPr>
        <w:t xml:space="preserve">   </w:t>
      </w:r>
      <w:r w:rsidR="001F6677">
        <w:rPr>
          <w:rFonts w:ascii="Arial" w:hAnsi="Arial" w:cs="Arial"/>
          <w:b/>
          <w:bCs/>
          <w:noProof/>
          <w:sz w:val="20"/>
          <w:szCs w:val="20"/>
        </w:rPr>
        <w:t xml:space="preserve">                         </w:t>
      </w:r>
      <w:r w:rsidR="008A7150" w:rsidRPr="008F2519">
        <w:rPr>
          <w:rFonts w:ascii="Arial" w:hAnsi="Arial" w:cs="Arial"/>
          <w:b/>
          <w:bCs/>
          <w:noProof/>
          <w:sz w:val="22"/>
          <w:szCs w:val="22"/>
        </w:rPr>
        <w:t>SUCCESS OF LIGAPLANT</w:t>
      </w:r>
    </w:p>
    <w:p w14:paraId="4C35AD87" w14:textId="639B4DB7" w:rsidR="008A7150" w:rsidRPr="00D36951" w:rsidRDefault="00E5107D" w:rsidP="008A7150">
      <w:pPr>
        <w:jc w:val="both"/>
        <w:rPr>
          <w:rFonts w:ascii="Arial" w:hAnsi="Arial" w:cs="Arial"/>
          <w:noProof/>
          <w:sz w:val="20"/>
          <w:szCs w:val="20"/>
        </w:rPr>
      </w:pPr>
      <w:r w:rsidRPr="00D36951">
        <w:rPr>
          <w:rFonts w:ascii="Arial" w:hAnsi="Arial" w:cs="Arial"/>
          <w:noProof/>
          <w:sz w:val="20"/>
          <w:szCs w:val="20"/>
        </w:rPr>
        <w:t>The development of regenerative PDL depends on site-specific signals, which is mediated by an anatomical code expressed in homeogene-coded transcription factor expression patterns.As a result, homeoproteins affect the synthesis of signaling and cell surface components, and cell surface feedback controls homeogene expression, defining cell identities based on anatomical location and tissue type.</w:t>
      </w:r>
      <w:r w:rsidR="008A7150" w:rsidRPr="00D36951">
        <w:rPr>
          <w:rFonts w:ascii="Arial" w:hAnsi="Arial" w:cs="Arial"/>
          <w:noProof/>
          <w:sz w:val="20"/>
          <w:szCs w:val="20"/>
        </w:rPr>
        <w:t>[</w:t>
      </w:r>
      <w:r w:rsidR="00D20431" w:rsidRPr="00D36951">
        <w:rPr>
          <w:rFonts w:ascii="Arial" w:hAnsi="Arial" w:cs="Arial"/>
          <w:noProof/>
          <w:sz w:val="20"/>
          <w:szCs w:val="20"/>
        </w:rPr>
        <w:t>11</w:t>
      </w:r>
      <w:r w:rsidR="008A7150" w:rsidRPr="00D36951">
        <w:rPr>
          <w:rFonts w:ascii="Arial" w:hAnsi="Arial" w:cs="Arial"/>
          <w:noProof/>
          <w:sz w:val="20"/>
          <w:szCs w:val="20"/>
        </w:rPr>
        <w:t>]</w:t>
      </w:r>
    </w:p>
    <w:p w14:paraId="2A6A040D" w14:textId="26E137DF" w:rsidR="0077336A" w:rsidRPr="008F2519" w:rsidRDefault="00CA12AA" w:rsidP="005F555F">
      <w:pPr>
        <w:rPr>
          <w:b/>
          <w:bCs/>
          <w:noProof/>
          <w:sz w:val="22"/>
          <w:szCs w:val="22"/>
        </w:rPr>
      </w:pPr>
      <w:commentRangeStart w:id="39"/>
      <w:r w:rsidRPr="00D36951">
        <w:rPr>
          <w:noProof/>
        </w:rPr>
        <w:t xml:space="preserve">                                            </w:t>
      </w:r>
      <w:r w:rsidR="00D20431" w:rsidRPr="00D36951">
        <w:rPr>
          <w:noProof/>
        </w:rPr>
        <w:t xml:space="preserve">            </w:t>
      </w:r>
      <w:r w:rsidR="001F6677">
        <w:rPr>
          <w:noProof/>
        </w:rPr>
        <w:t xml:space="preserve">      </w:t>
      </w:r>
      <w:r w:rsidR="0077336A" w:rsidRPr="008F2519">
        <w:rPr>
          <w:b/>
          <w:bCs/>
          <w:noProof/>
          <w:sz w:val="22"/>
          <w:szCs w:val="22"/>
        </w:rPr>
        <w:t>RECENT STUDIES</w:t>
      </w:r>
      <w:commentRangeEnd w:id="39"/>
      <w:r w:rsidR="00C31418">
        <w:rPr>
          <w:rStyle w:val="CommentReference"/>
        </w:rPr>
        <w:commentReference w:id="39"/>
      </w:r>
    </w:p>
    <w:p w14:paraId="22DCD89A" w14:textId="77777777" w:rsidR="00E84E4D" w:rsidRPr="00D36951" w:rsidRDefault="00E84E4D" w:rsidP="00E84E4D">
      <w:pPr>
        <w:jc w:val="both"/>
        <w:rPr>
          <w:rFonts w:ascii="Arial" w:hAnsi="Arial" w:cs="Arial"/>
          <w:noProof/>
          <w:sz w:val="20"/>
          <w:szCs w:val="20"/>
        </w:rPr>
      </w:pPr>
      <w:r w:rsidRPr="00D36951">
        <w:rPr>
          <w:rFonts w:ascii="Arial" w:hAnsi="Arial" w:cs="Arial"/>
          <w:noProof/>
          <w:sz w:val="20"/>
          <w:szCs w:val="20"/>
        </w:rPr>
        <w:t>The impact of residual PDL and the viability of the PDL surrounding a dental implant were examined in 2005 by Akira et al., Parlar et al., and Jahangir et al.The process by which a dental implant replaces a tooth is dependent upon the mechanical, biological, and physiological function restoration capabilities of the anatomical substitute.</w:t>
      </w:r>
    </w:p>
    <w:p w14:paraId="13B9E985" w14:textId="77777777" w:rsidR="001931FE" w:rsidRPr="00D36951" w:rsidRDefault="005A2FE9" w:rsidP="001931FE">
      <w:pPr>
        <w:jc w:val="both"/>
        <w:rPr>
          <w:rFonts w:ascii="Arial" w:hAnsi="Arial" w:cs="Arial"/>
          <w:noProof/>
          <w:sz w:val="20"/>
          <w:szCs w:val="20"/>
        </w:rPr>
      </w:pPr>
      <w:r w:rsidRPr="00D36951">
        <w:rPr>
          <w:rFonts w:ascii="Arial" w:hAnsi="Arial" w:cs="Arial"/>
          <w:noProof/>
          <w:sz w:val="20"/>
          <w:szCs w:val="20"/>
        </w:rPr>
        <w:t>To determine the impact of PDL on the dynamic load transfer mechanism from the tooth to the alveolar bone, Carvalho et al. [12] evaluated the ligament structure's equivalent dynamic stiffness.</w:t>
      </w:r>
      <w:r w:rsidR="0077336A" w:rsidRPr="00D36951">
        <w:rPr>
          <w:rFonts w:ascii="Arial" w:hAnsi="Arial" w:cs="Arial"/>
          <w:noProof/>
          <w:sz w:val="20"/>
          <w:szCs w:val="20"/>
        </w:rPr>
        <w:t xml:space="preserve">In order to determine </w:t>
      </w:r>
      <w:r w:rsidR="003E1DBF" w:rsidRPr="00D36951">
        <w:rPr>
          <w:rFonts w:ascii="Arial" w:hAnsi="Arial" w:cs="Arial"/>
          <w:noProof/>
          <w:sz w:val="20"/>
          <w:szCs w:val="20"/>
        </w:rPr>
        <w:t>the system's overall dynamic transmissibility,</w:t>
      </w:r>
      <w:r w:rsidR="0077336A" w:rsidRPr="00D36951">
        <w:rPr>
          <w:rFonts w:ascii="Arial" w:hAnsi="Arial" w:cs="Arial"/>
          <w:noProof/>
          <w:sz w:val="20"/>
          <w:szCs w:val="20"/>
        </w:rPr>
        <w:t xml:space="preserve"> an experimental procedure was conducted using a fresh porcine mandible with a tooth. </w:t>
      </w:r>
      <w:r w:rsidR="001931FE" w:rsidRPr="00D36951">
        <w:rPr>
          <w:rFonts w:ascii="Arial" w:hAnsi="Arial" w:cs="Arial"/>
          <w:noProof/>
          <w:sz w:val="20"/>
          <w:szCs w:val="20"/>
        </w:rPr>
        <w:t>The transmissibility function disclosed the PDL's stiffness and damping, which can aid in the development of a more effective dental implant system.</w:t>
      </w:r>
    </w:p>
    <w:p w14:paraId="3CB058B1" w14:textId="5E404571" w:rsidR="00A300E3" w:rsidRPr="00D36951" w:rsidRDefault="00655332" w:rsidP="00A300E3">
      <w:pPr>
        <w:jc w:val="both"/>
        <w:rPr>
          <w:rFonts w:ascii="Arial" w:hAnsi="Arial" w:cs="Arial"/>
          <w:noProof/>
          <w:sz w:val="20"/>
          <w:szCs w:val="20"/>
        </w:rPr>
      </w:pPr>
      <w:r w:rsidRPr="00D36951">
        <w:rPr>
          <w:rFonts w:ascii="Arial" w:hAnsi="Arial" w:cs="Arial"/>
          <w:noProof/>
          <w:sz w:val="20"/>
          <w:szCs w:val="20"/>
        </w:rPr>
        <w:lastRenderedPageBreak/>
        <w:t>In another study, Marei et al. [13] implanted titanium fixtures in goats after seeding them with autogenous bone marrow-derived mesenchymal stem cells on a porous hollow root-form poly(D,L-lactide-co-glycolide) scaffold.</w:t>
      </w:r>
      <w:r w:rsidR="00A300E3" w:rsidRPr="00D36951">
        <w:rPr>
          <w:rFonts w:ascii="Arial" w:eastAsia="Times New Roman" w:hAnsi="Arial" w:cs="Arial"/>
          <w:kern w:val="0"/>
          <w:sz w:val="20"/>
          <w:szCs w:val="20"/>
          <w:lang w:eastAsia="en-IN"/>
          <w14:ligatures w14:val="none"/>
        </w:rPr>
        <w:t xml:space="preserve"> </w:t>
      </w:r>
      <w:r w:rsidR="00A300E3" w:rsidRPr="00D36951">
        <w:rPr>
          <w:rFonts w:ascii="Arial" w:hAnsi="Arial" w:cs="Arial"/>
          <w:noProof/>
          <w:sz w:val="20"/>
          <w:szCs w:val="20"/>
        </w:rPr>
        <w:t>The goats' display of periodontium-like tissue with newly formed bone at 10 days and 1 month demonstrated that undifferentiated mesenchymal stem cells could differentiate to produce the cementum, bone, and PDL surrounding the implants—the three crucial tissues required for periodontal tissue regeneration.</w:t>
      </w:r>
    </w:p>
    <w:p w14:paraId="273F516E" w14:textId="529E1D03" w:rsidR="009C3D25" w:rsidRPr="008F2519" w:rsidRDefault="001F6677" w:rsidP="006974B0">
      <w:pPr>
        <w:jc w:val="both"/>
        <w:rPr>
          <w:rFonts w:ascii="Arial" w:hAnsi="Arial" w:cs="Arial"/>
          <w:b/>
          <w:bCs/>
          <w:sz w:val="22"/>
          <w:szCs w:val="22"/>
        </w:rPr>
      </w:pPr>
      <w:r w:rsidRPr="008F2519">
        <w:rPr>
          <w:rFonts w:ascii="Arial" w:hAnsi="Arial" w:cs="Arial"/>
          <w:b/>
          <w:bCs/>
          <w:noProof/>
          <w:sz w:val="20"/>
          <w:szCs w:val="20"/>
        </w:rPr>
        <w:t xml:space="preserve">                                                               </w:t>
      </w:r>
      <w:r w:rsidR="008F2519">
        <w:rPr>
          <w:rFonts w:ascii="Arial" w:hAnsi="Arial" w:cs="Arial"/>
          <w:b/>
          <w:bCs/>
          <w:noProof/>
          <w:sz w:val="20"/>
          <w:szCs w:val="20"/>
        </w:rPr>
        <w:t xml:space="preserve"> </w:t>
      </w:r>
      <w:r w:rsidR="005F2F77" w:rsidRPr="008F2519">
        <w:rPr>
          <w:rFonts w:ascii="Arial" w:hAnsi="Arial" w:cs="Arial"/>
          <w:b/>
          <w:bCs/>
          <w:sz w:val="22"/>
          <w:szCs w:val="22"/>
        </w:rPr>
        <w:t>CONCLUSION</w:t>
      </w:r>
    </w:p>
    <w:p w14:paraId="1CDE46A7" w14:textId="77777777" w:rsidR="00E3258F" w:rsidRDefault="005F2F77" w:rsidP="00E3258F">
      <w:pPr>
        <w:jc w:val="both"/>
        <w:rPr>
          <w:rFonts w:ascii="Arial" w:hAnsi="Arial" w:cs="Arial"/>
          <w:sz w:val="20"/>
          <w:szCs w:val="20"/>
        </w:rPr>
      </w:pPr>
      <w:r w:rsidRPr="00D36951">
        <w:rPr>
          <w:rFonts w:ascii="Arial" w:hAnsi="Arial" w:cs="Arial"/>
          <w:sz w:val="20"/>
          <w:szCs w:val="20"/>
        </w:rPr>
        <w:t xml:space="preserve">More research is needed in order to confirm that it is feasible to create a periodontal-like tissue surrounding the implants, as the majority of </w:t>
      </w:r>
      <w:proofErr w:type="spellStart"/>
      <w:r w:rsidRPr="00D36951">
        <w:rPr>
          <w:rFonts w:ascii="Arial" w:hAnsi="Arial" w:cs="Arial"/>
          <w:sz w:val="20"/>
          <w:szCs w:val="20"/>
        </w:rPr>
        <w:t>Ligaplant</w:t>
      </w:r>
      <w:proofErr w:type="spellEnd"/>
      <w:r w:rsidRPr="00D36951">
        <w:rPr>
          <w:rFonts w:ascii="Arial" w:hAnsi="Arial" w:cs="Arial"/>
          <w:sz w:val="20"/>
          <w:szCs w:val="20"/>
        </w:rPr>
        <w:t xml:space="preserve"> studies are conducted on </w:t>
      </w:r>
      <w:r w:rsidR="0069576F" w:rsidRPr="00D36951">
        <w:rPr>
          <w:rFonts w:ascii="Arial" w:hAnsi="Arial" w:cs="Arial"/>
          <w:sz w:val="20"/>
          <w:szCs w:val="20"/>
        </w:rPr>
        <w:t xml:space="preserve">animals. </w:t>
      </w:r>
      <w:r w:rsidR="00C57BB1" w:rsidRPr="00D36951">
        <w:rPr>
          <w:rFonts w:ascii="Arial" w:hAnsi="Arial" w:cs="Arial"/>
          <w:sz w:val="20"/>
          <w:szCs w:val="20"/>
        </w:rPr>
        <w:t xml:space="preserve">clinically to assess its long-term viability, stability, and success, especially in </w:t>
      </w:r>
      <w:proofErr w:type="spellStart"/>
      <w:proofErr w:type="gramStart"/>
      <w:r w:rsidR="00C57BB1" w:rsidRPr="00D36951">
        <w:rPr>
          <w:rFonts w:ascii="Arial" w:hAnsi="Arial" w:cs="Arial"/>
          <w:sz w:val="20"/>
          <w:szCs w:val="20"/>
        </w:rPr>
        <w:t>humans.</w:t>
      </w:r>
      <w:r w:rsidRPr="00D36951">
        <w:rPr>
          <w:rFonts w:ascii="Arial" w:hAnsi="Arial" w:cs="Arial"/>
          <w:sz w:val="20"/>
          <w:szCs w:val="20"/>
        </w:rPr>
        <w:t>Furthermore</w:t>
      </w:r>
      <w:proofErr w:type="spellEnd"/>
      <w:proofErr w:type="gramEnd"/>
      <w:r w:rsidRPr="00D36951">
        <w:rPr>
          <w:rFonts w:ascii="Arial" w:hAnsi="Arial" w:cs="Arial"/>
          <w:sz w:val="20"/>
          <w:szCs w:val="20"/>
        </w:rPr>
        <w:t xml:space="preserve">, practically speaking, such tissue engineering applications come with a high cost and time requirement. However, this ground-breaking method for creating </w:t>
      </w:r>
      <w:proofErr w:type="spellStart"/>
      <w:r w:rsidRPr="00D36951">
        <w:rPr>
          <w:rFonts w:ascii="Arial" w:hAnsi="Arial" w:cs="Arial"/>
          <w:sz w:val="20"/>
          <w:szCs w:val="20"/>
        </w:rPr>
        <w:t>periodontio</w:t>
      </w:r>
      <w:proofErr w:type="spellEnd"/>
      <w:r w:rsidRPr="00D36951">
        <w:rPr>
          <w:rFonts w:ascii="Arial" w:hAnsi="Arial" w:cs="Arial"/>
          <w:sz w:val="20"/>
          <w:szCs w:val="20"/>
        </w:rPr>
        <w:t xml:space="preserve">-integrated implants presents prosthodontists with a number of intriguing opportunities to use readily </w:t>
      </w:r>
      <w:proofErr w:type="spellStart"/>
      <w:proofErr w:type="gramStart"/>
      <w:r w:rsidRPr="00D36951">
        <w:rPr>
          <w:rFonts w:ascii="Arial" w:hAnsi="Arial" w:cs="Arial"/>
          <w:sz w:val="20"/>
          <w:szCs w:val="20"/>
        </w:rPr>
        <w:t>available,</w:t>
      </w:r>
      <w:r w:rsidR="00C57BB1" w:rsidRPr="00D36951">
        <w:rPr>
          <w:rFonts w:ascii="Arial" w:hAnsi="Arial" w:cs="Arial"/>
          <w:sz w:val="20"/>
          <w:szCs w:val="20"/>
        </w:rPr>
        <w:t>commercially</w:t>
      </w:r>
      <w:proofErr w:type="spellEnd"/>
      <w:proofErr w:type="gramEnd"/>
      <w:r w:rsidR="00C57BB1" w:rsidRPr="00D36951">
        <w:rPr>
          <w:rFonts w:ascii="Arial" w:hAnsi="Arial" w:cs="Arial"/>
          <w:sz w:val="20"/>
          <w:szCs w:val="20"/>
        </w:rPr>
        <w:t xml:space="preserve"> available biological tooth substitutes that could be provided as oral implants made of hybrid materials.</w:t>
      </w:r>
    </w:p>
    <w:p w14:paraId="408B2658" w14:textId="77777777" w:rsidR="00E3258F" w:rsidRDefault="00E3258F" w:rsidP="00E3258F">
      <w:pPr>
        <w:jc w:val="both"/>
        <w:rPr>
          <w:rFonts w:ascii="Arial" w:hAnsi="Arial" w:cs="Arial"/>
          <w:b/>
          <w:sz w:val="20"/>
        </w:rPr>
      </w:pPr>
    </w:p>
    <w:p w14:paraId="788130F5" w14:textId="4C039580" w:rsidR="00E3258F" w:rsidRDefault="00E3258F" w:rsidP="00E3258F">
      <w:pPr>
        <w:jc w:val="both"/>
        <w:rPr>
          <w:rFonts w:ascii="Arial" w:hAnsi="Arial" w:cs="Arial"/>
          <w:b/>
          <w:sz w:val="20"/>
        </w:rPr>
      </w:pPr>
      <w:r w:rsidRPr="00E3258F">
        <w:rPr>
          <w:rFonts w:ascii="Arial" w:hAnsi="Arial" w:cs="Arial"/>
          <w:b/>
          <w:sz w:val="20"/>
        </w:rPr>
        <w:t>COMPETING INTERESTS:</w:t>
      </w:r>
    </w:p>
    <w:p w14:paraId="19ED3CAA" w14:textId="2CFCC794" w:rsidR="00E3258F" w:rsidRPr="00E3258F" w:rsidRDefault="001937BB" w:rsidP="00E3258F">
      <w:pPr>
        <w:jc w:val="both"/>
        <w:rPr>
          <w:rFonts w:ascii="Arial" w:hAnsi="Arial" w:cs="Arial"/>
          <w:b/>
          <w:sz w:val="20"/>
        </w:rPr>
      </w:pPr>
      <w:r w:rsidRPr="00F469F0">
        <w:rPr>
          <w:rFonts w:ascii="Arial" w:hAnsi="Arial" w:cs="Arial"/>
          <w:sz w:val="20"/>
          <w:u w:val="single"/>
        </w:rPr>
        <w:t>“Authors have declared that no competing interests exist.”.</w:t>
      </w:r>
    </w:p>
    <w:p w14:paraId="38E20513" w14:textId="77777777" w:rsidR="00BB4345" w:rsidRPr="00BB4345" w:rsidRDefault="00BB4345" w:rsidP="00BB4345">
      <w:pPr>
        <w:pStyle w:val="ReferHead"/>
        <w:spacing w:after="0"/>
        <w:jc w:val="both"/>
        <w:rPr>
          <w:rFonts w:ascii="Arial" w:hAnsi="Arial" w:cs="Arial"/>
          <w:bCs/>
        </w:rPr>
      </w:pPr>
    </w:p>
    <w:p w14:paraId="7C21C7BB" w14:textId="77777777" w:rsidR="00BB4345" w:rsidRPr="00BB4345" w:rsidRDefault="00BB4345" w:rsidP="00BB4345">
      <w:pPr>
        <w:pStyle w:val="ReferHead"/>
        <w:spacing w:after="0"/>
        <w:jc w:val="both"/>
        <w:rPr>
          <w:rFonts w:ascii="Arial" w:hAnsi="Arial" w:cs="Arial"/>
          <w:bCs/>
        </w:rPr>
      </w:pPr>
    </w:p>
    <w:p w14:paraId="4B0EE96B" w14:textId="77777777" w:rsidR="001937BB" w:rsidRDefault="001937BB" w:rsidP="001937BB">
      <w:pPr>
        <w:pStyle w:val="ReferHead"/>
        <w:spacing w:after="0"/>
        <w:jc w:val="both"/>
        <w:rPr>
          <w:rFonts w:ascii="Arial" w:hAnsi="Arial" w:cs="Arial"/>
          <w:b w:val="0"/>
          <w:caps w:val="0"/>
          <w:sz w:val="20"/>
        </w:rPr>
      </w:pPr>
    </w:p>
    <w:p w14:paraId="73C0A8C0" w14:textId="77777777" w:rsidR="006A1082" w:rsidRPr="001937BB" w:rsidRDefault="006A1082" w:rsidP="004E429F">
      <w:pPr>
        <w:jc w:val="both"/>
        <w:rPr>
          <w:rFonts w:ascii="Arial" w:hAnsi="Arial" w:cs="Arial"/>
          <w:b/>
          <w:bCs/>
          <w:sz w:val="20"/>
          <w:szCs w:val="20"/>
        </w:rPr>
      </w:pPr>
    </w:p>
    <w:p w14:paraId="26A78A90" w14:textId="7423EDCF" w:rsidR="0077336A" w:rsidRPr="008F2519" w:rsidRDefault="0077336A" w:rsidP="004E429F">
      <w:pPr>
        <w:jc w:val="both"/>
        <w:rPr>
          <w:rFonts w:ascii="Arial" w:hAnsi="Arial" w:cs="Arial"/>
          <w:b/>
          <w:bCs/>
          <w:sz w:val="22"/>
          <w:szCs w:val="22"/>
        </w:rPr>
      </w:pPr>
      <w:r w:rsidRPr="00D36951">
        <w:rPr>
          <w:rFonts w:ascii="Arial" w:hAnsi="Arial" w:cs="Arial"/>
          <w:b/>
          <w:bCs/>
          <w:sz w:val="20"/>
          <w:szCs w:val="20"/>
        </w:rPr>
        <w:t xml:space="preserve">                                           </w:t>
      </w:r>
      <w:r w:rsidR="001F6677">
        <w:rPr>
          <w:rFonts w:ascii="Arial" w:hAnsi="Arial" w:cs="Arial"/>
          <w:b/>
          <w:bCs/>
          <w:sz w:val="20"/>
          <w:szCs w:val="20"/>
        </w:rPr>
        <w:t xml:space="preserve">                       </w:t>
      </w:r>
      <w:r w:rsidRPr="008F2519">
        <w:rPr>
          <w:rFonts w:ascii="Arial" w:hAnsi="Arial" w:cs="Arial"/>
          <w:b/>
          <w:bCs/>
          <w:sz w:val="22"/>
          <w:szCs w:val="22"/>
        </w:rPr>
        <w:t>REFERENCE</w:t>
      </w:r>
    </w:p>
    <w:p w14:paraId="1A41DC22" w14:textId="4BA13F40" w:rsidR="00EC0D13" w:rsidRPr="004F5C03" w:rsidRDefault="00EC0D13" w:rsidP="004E429F">
      <w:pPr>
        <w:jc w:val="both"/>
        <w:rPr>
          <w:rFonts w:ascii="Arial" w:hAnsi="Arial" w:cs="Arial"/>
          <w:sz w:val="20"/>
          <w:szCs w:val="20"/>
        </w:rPr>
      </w:pPr>
      <w:r w:rsidRPr="004F5C03">
        <w:rPr>
          <w:rFonts w:ascii="Arial" w:hAnsi="Arial" w:cs="Arial"/>
          <w:sz w:val="20"/>
          <w:szCs w:val="20"/>
        </w:rPr>
        <w:t>1.</w:t>
      </w:r>
      <w:r w:rsidR="00AD5832" w:rsidRPr="00AD5832">
        <w:t xml:space="preserve"> </w:t>
      </w:r>
      <w:r w:rsidR="00AD5832" w:rsidRPr="00AD5832">
        <w:rPr>
          <w:rFonts w:ascii="Arial" w:hAnsi="Arial" w:cs="Arial"/>
          <w:sz w:val="20"/>
          <w:szCs w:val="20"/>
        </w:rPr>
        <w:t xml:space="preserve">Mathew, A., Babu, A. S., &amp; </w:t>
      </w:r>
      <w:proofErr w:type="spellStart"/>
      <w:r w:rsidR="00AD5832" w:rsidRPr="00AD5832">
        <w:rPr>
          <w:rFonts w:ascii="Arial" w:hAnsi="Arial" w:cs="Arial"/>
          <w:sz w:val="20"/>
          <w:szCs w:val="20"/>
        </w:rPr>
        <w:t>Keepanasseril</w:t>
      </w:r>
      <w:proofErr w:type="spellEnd"/>
      <w:r w:rsidR="00AD5832" w:rsidRPr="00AD5832">
        <w:rPr>
          <w:rFonts w:ascii="Arial" w:hAnsi="Arial" w:cs="Arial"/>
          <w:sz w:val="20"/>
          <w:szCs w:val="20"/>
        </w:rPr>
        <w:t xml:space="preserve">, A. (2020). Biomimetic properties of engineered periodontal ligament/cementum in dental implants. Contemporary Clinical Dentistry, 11(4), 301–310. </w:t>
      </w:r>
      <w:hyperlink r:id="rId17" w:history="1">
        <w:r w:rsidR="00AD5832" w:rsidRPr="00C67A6A">
          <w:rPr>
            <w:rStyle w:val="Hyperlink"/>
            <w:rFonts w:ascii="Arial" w:hAnsi="Arial" w:cs="Arial"/>
            <w:sz w:val="20"/>
            <w:szCs w:val="20"/>
          </w:rPr>
          <w:t>https://doi.org/10.4103/ccd.ccd_196_20</w:t>
        </w:r>
      </w:hyperlink>
      <w:r w:rsidR="00AD5832">
        <w:rPr>
          <w:rFonts w:ascii="Arial" w:hAnsi="Arial" w:cs="Arial"/>
          <w:sz w:val="20"/>
          <w:szCs w:val="20"/>
        </w:rPr>
        <w:t xml:space="preserve"> </w:t>
      </w:r>
    </w:p>
    <w:p w14:paraId="1CFC5071" w14:textId="5C18E9DD" w:rsidR="00EC0D13" w:rsidRPr="004F5C03" w:rsidRDefault="00EC0D13" w:rsidP="004E429F">
      <w:pPr>
        <w:jc w:val="both"/>
        <w:rPr>
          <w:rFonts w:ascii="Times New Roman" w:hAnsi="Times New Roman" w:cs="Times New Roman"/>
          <w:sz w:val="28"/>
          <w:szCs w:val="28"/>
        </w:rPr>
      </w:pPr>
      <w:r w:rsidRPr="004F5C03">
        <w:rPr>
          <w:rFonts w:ascii="Arial" w:hAnsi="Arial" w:cs="Arial"/>
          <w:sz w:val="20"/>
          <w:szCs w:val="20"/>
        </w:rPr>
        <w:t>2.</w:t>
      </w:r>
      <w:r w:rsidR="007E5561" w:rsidRPr="004F5C03">
        <w:rPr>
          <w:rFonts w:ascii="Times New Roman" w:hAnsi="Times New Roman" w:cs="Times New Roman"/>
          <w:sz w:val="28"/>
          <w:szCs w:val="28"/>
        </w:rPr>
        <w:t xml:space="preserve"> </w:t>
      </w:r>
      <w:r w:rsidR="00AD5832" w:rsidRPr="00AD5832">
        <w:rPr>
          <w:rFonts w:ascii="Times New Roman" w:hAnsi="Times New Roman" w:cs="Times New Roman"/>
          <w:sz w:val="22"/>
          <w:szCs w:val="28"/>
        </w:rPr>
        <w:t>Kiong, A. L., &amp; Arjunkumar, R. (2014). Tissue engineered Ligament: Implant constructs for Tooth Replacement (</w:t>
      </w:r>
      <w:proofErr w:type="spellStart"/>
      <w:r w:rsidR="00AD5832" w:rsidRPr="00AD5832">
        <w:rPr>
          <w:rFonts w:ascii="Times New Roman" w:hAnsi="Times New Roman" w:cs="Times New Roman"/>
          <w:sz w:val="22"/>
          <w:szCs w:val="28"/>
        </w:rPr>
        <w:t>Ligaplants</w:t>
      </w:r>
      <w:proofErr w:type="spellEnd"/>
      <w:r w:rsidR="00AD5832" w:rsidRPr="00AD5832">
        <w:rPr>
          <w:rFonts w:ascii="Times New Roman" w:hAnsi="Times New Roman" w:cs="Times New Roman"/>
          <w:sz w:val="22"/>
          <w:szCs w:val="28"/>
        </w:rPr>
        <w:t xml:space="preserve">). Journal of Pharmaceutical Sciences and Research, 6, 158-160. </w:t>
      </w:r>
      <w:hyperlink r:id="rId18" w:history="1">
        <w:r w:rsidR="00AD5832" w:rsidRPr="00AD5832">
          <w:rPr>
            <w:rStyle w:val="Hyperlink"/>
            <w:rFonts w:ascii="Times New Roman" w:hAnsi="Times New Roman" w:cs="Times New Roman"/>
            <w:sz w:val="22"/>
            <w:szCs w:val="28"/>
          </w:rPr>
          <w:t>https://www.pharmainfo.net/articles/tissue-engineered-ligament-implant-constructs-tooth-replacement-ligaplants</w:t>
        </w:r>
      </w:hyperlink>
      <w:r w:rsidR="00AD5832" w:rsidRPr="00AD5832">
        <w:rPr>
          <w:rFonts w:ascii="Times New Roman" w:hAnsi="Times New Roman" w:cs="Times New Roman"/>
          <w:sz w:val="22"/>
          <w:szCs w:val="28"/>
        </w:rPr>
        <w:t xml:space="preserve"> </w:t>
      </w:r>
    </w:p>
    <w:p w14:paraId="4F59AA5D" w14:textId="2B266EC1" w:rsidR="0050664A" w:rsidRPr="004F5C03" w:rsidRDefault="0050664A" w:rsidP="004E429F">
      <w:pPr>
        <w:jc w:val="both"/>
        <w:rPr>
          <w:rFonts w:ascii="Arial" w:hAnsi="Arial" w:cs="Arial"/>
          <w:sz w:val="20"/>
          <w:szCs w:val="20"/>
        </w:rPr>
      </w:pPr>
      <w:r w:rsidRPr="004F5C03">
        <w:rPr>
          <w:rFonts w:ascii="Arial" w:hAnsi="Arial" w:cs="Arial"/>
          <w:sz w:val="20"/>
          <w:szCs w:val="20"/>
        </w:rPr>
        <w:t>3.</w:t>
      </w:r>
      <w:r w:rsidR="00AD5832" w:rsidRPr="00AD5832">
        <w:t xml:space="preserve"> </w:t>
      </w:r>
      <w:r w:rsidR="00AD5832" w:rsidRPr="00AD5832">
        <w:rPr>
          <w:rFonts w:ascii="Arial" w:hAnsi="Arial" w:cs="Arial"/>
          <w:sz w:val="20"/>
          <w:szCs w:val="20"/>
        </w:rPr>
        <w:t xml:space="preserve">Bathla, N., </w:t>
      </w:r>
      <w:proofErr w:type="spellStart"/>
      <w:r w:rsidR="00AD5832" w:rsidRPr="00AD5832">
        <w:rPr>
          <w:rFonts w:ascii="Arial" w:hAnsi="Arial" w:cs="Arial"/>
          <w:sz w:val="20"/>
          <w:szCs w:val="20"/>
        </w:rPr>
        <w:t>Sailo</w:t>
      </w:r>
      <w:proofErr w:type="spellEnd"/>
      <w:r w:rsidR="00AD5832" w:rsidRPr="00AD5832">
        <w:rPr>
          <w:rFonts w:ascii="Arial" w:hAnsi="Arial" w:cs="Arial"/>
          <w:sz w:val="20"/>
          <w:szCs w:val="20"/>
        </w:rPr>
        <w:t xml:space="preserve">, J. L., Kapoor, N., Nagpal, A., Gupta, R., &amp; Singla, 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the next-generation prosthodontic implants: A comprehensive review. Indian Journal of Dental Sciences, 13(2), 146-149. </w:t>
      </w:r>
      <w:hyperlink r:id="rId19" w:history="1">
        <w:r w:rsidR="00AD5832" w:rsidRPr="00C67A6A">
          <w:rPr>
            <w:rStyle w:val="Hyperlink"/>
            <w:rFonts w:ascii="Arial" w:hAnsi="Arial" w:cs="Arial"/>
            <w:sz w:val="20"/>
            <w:szCs w:val="20"/>
          </w:rPr>
          <w:t>https://doi.org/10.4103/IJDS.IJDS_140_20</w:t>
        </w:r>
      </w:hyperlink>
      <w:r w:rsidR="00AD5832">
        <w:rPr>
          <w:rFonts w:ascii="Arial" w:hAnsi="Arial" w:cs="Arial"/>
          <w:sz w:val="20"/>
          <w:szCs w:val="20"/>
        </w:rPr>
        <w:t xml:space="preserve"> </w:t>
      </w:r>
    </w:p>
    <w:p w14:paraId="705B6E33" w14:textId="0A41999B"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4. </w:t>
      </w:r>
      <w:proofErr w:type="spellStart"/>
      <w:r w:rsidR="00AD5832" w:rsidRPr="00AD5832">
        <w:rPr>
          <w:rFonts w:ascii="Arial" w:hAnsi="Arial" w:cs="Arial"/>
          <w:sz w:val="20"/>
          <w:szCs w:val="20"/>
        </w:rPr>
        <w:t>Shikarkhane</w:t>
      </w:r>
      <w:proofErr w:type="spellEnd"/>
      <w:r w:rsidR="00AD5832" w:rsidRPr="00AD5832">
        <w:rPr>
          <w:rFonts w:ascii="Arial" w:hAnsi="Arial" w:cs="Arial"/>
          <w:sz w:val="20"/>
          <w:szCs w:val="20"/>
        </w:rPr>
        <w:t xml:space="preserve">, V., Dodwad, V., &amp; Bhosale, N. (2023).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natural implant: Myth or </w:t>
      </w:r>
      <w:proofErr w:type="gramStart"/>
      <w:r w:rsidR="00AD5832" w:rsidRPr="00AD5832">
        <w:rPr>
          <w:rFonts w:ascii="Arial" w:hAnsi="Arial" w:cs="Arial"/>
          <w:sz w:val="20"/>
          <w:szCs w:val="20"/>
        </w:rPr>
        <w:t>hope?:</w:t>
      </w:r>
      <w:proofErr w:type="gramEnd"/>
      <w:r w:rsidR="00AD5832" w:rsidRPr="00AD5832">
        <w:rPr>
          <w:rFonts w:ascii="Arial" w:hAnsi="Arial" w:cs="Arial"/>
          <w:sz w:val="20"/>
          <w:szCs w:val="20"/>
        </w:rPr>
        <w:t xml:space="preserve"> A literature review. Journal of Dental Research and Review, 10(2), 63-66. </w:t>
      </w:r>
      <w:hyperlink r:id="rId20" w:history="1">
        <w:r w:rsidR="00AD5832" w:rsidRPr="00C67A6A">
          <w:rPr>
            <w:rStyle w:val="Hyperlink"/>
            <w:rFonts w:ascii="Arial" w:hAnsi="Arial" w:cs="Arial"/>
            <w:sz w:val="20"/>
            <w:szCs w:val="20"/>
          </w:rPr>
          <w:t>https://doi.org/10.4103/jdrr.jdrr_31_23</w:t>
        </w:r>
      </w:hyperlink>
      <w:r w:rsidR="00AD5832">
        <w:rPr>
          <w:rFonts w:ascii="Arial" w:hAnsi="Arial" w:cs="Arial"/>
          <w:sz w:val="20"/>
          <w:szCs w:val="20"/>
        </w:rPr>
        <w:t xml:space="preserve"> </w:t>
      </w:r>
    </w:p>
    <w:p w14:paraId="33679634" w14:textId="4DC62AAD"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5. </w:t>
      </w:r>
      <w:r w:rsidR="00AD5832" w:rsidRPr="00AD5832">
        <w:rPr>
          <w:rFonts w:ascii="Arial" w:hAnsi="Arial" w:cs="Arial"/>
          <w:sz w:val="20"/>
          <w:szCs w:val="20"/>
        </w:rPr>
        <w:t xml:space="preserve">Garg, H., &amp; Deepa, D. (2018). Bioengineered periodontal ligament: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new dimension in the field of implant dentistry – Mini review. Journal of Oral Research and Review, 10(2), 92-95. </w:t>
      </w:r>
      <w:hyperlink r:id="rId21" w:history="1">
        <w:r w:rsidR="00AD5832" w:rsidRPr="00C67A6A">
          <w:rPr>
            <w:rStyle w:val="Hyperlink"/>
            <w:rFonts w:ascii="Arial" w:hAnsi="Arial" w:cs="Arial"/>
            <w:sz w:val="20"/>
            <w:szCs w:val="20"/>
          </w:rPr>
          <w:t>https://doi.org/10.4103/jorr.jorr_1_18</w:t>
        </w:r>
      </w:hyperlink>
      <w:r w:rsidR="00AD5832">
        <w:rPr>
          <w:rFonts w:ascii="Arial" w:hAnsi="Arial" w:cs="Arial"/>
          <w:sz w:val="20"/>
          <w:szCs w:val="20"/>
        </w:rPr>
        <w:t xml:space="preserve"> </w:t>
      </w:r>
    </w:p>
    <w:p w14:paraId="7C26A708" w14:textId="45905A3D"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6. </w:t>
      </w:r>
      <w:proofErr w:type="spellStart"/>
      <w:r w:rsidR="00AD5832" w:rsidRPr="00AD5832">
        <w:rPr>
          <w:rFonts w:ascii="Arial" w:hAnsi="Arial" w:cs="Arial"/>
          <w:sz w:val="20"/>
          <w:szCs w:val="20"/>
        </w:rPr>
        <w:t>Melath</w:t>
      </w:r>
      <w:proofErr w:type="spellEnd"/>
      <w:r w:rsidR="00AD5832" w:rsidRPr="00AD5832">
        <w:rPr>
          <w:rFonts w:ascii="Arial" w:hAnsi="Arial" w:cs="Arial"/>
          <w:sz w:val="20"/>
          <w:szCs w:val="20"/>
        </w:rPr>
        <w:t xml:space="preserve">, A., Raveendran, A. M., Stephenraj, S., Prakash, N., Sayoojya, V., &amp; Nazir, S. (2024).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future endeavour. *International Journal of Preventive and Clinical Dental Research*, *11*(1), 5–9. </w:t>
      </w:r>
      <w:hyperlink r:id="rId22" w:history="1">
        <w:r w:rsidR="00AD5832" w:rsidRPr="00C67A6A">
          <w:rPr>
            <w:rStyle w:val="Hyperlink"/>
            <w:rFonts w:ascii="Arial" w:hAnsi="Arial" w:cs="Arial"/>
            <w:sz w:val="20"/>
            <w:szCs w:val="20"/>
          </w:rPr>
          <w:t>https://doi.org/10.4103/ijpcdr.ijpcdr_2_24</w:t>
        </w:r>
      </w:hyperlink>
      <w:r w:rsidR="00AD5832">
        <w:rPr>
          <w:rFonts w:ascii="Arial" w:hAnsi="Arial" w:cs="Arial"/>
          <w:sz w:val="20"/>
          <w:szCs w:val="20"/>
        </w:rPr>
        <w:t xml:space="preserve"> </w:t>
      </w:r>
    </w:p>
    <w:p w14:paraId="08C8E0E4" w14:textId="6F631C09" w:rsidR="0050664A" w:rsidRPr="004F5C03" w:rsidRDefault="0050664A" w:rsidP="004E429F">
      <w:pPr>
        <w:jc w:val="both"/>
        <w:rPr>
          <w:rFonts w:ascii="Arial" w:hAnsi="Arial" w:cs="Arial"/>
          <w:sz w:val="20"/>
          <w:szCs w:val="20"/>
        </w:rPr>
      </w:pPr>
      <w:r w:rsidRPr="004F5C03">
        <w:rPr>
          <w:rFonts w:ascii="Arial" w:hAnsi="Arial" w:cs="Arial"/>
          <w:sz w:val="20"/>
          <w:szCs w:val="20"/>
        </w:rPr>
        <w:lastRenderedPageBreak/>
        <w:t>7.</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Kiong, A. L., &amp; Arjunkumar, R. (2014). Tissue-engineered Ligament: Implant constructs for Tooth Replacement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Journal of Pharmaceutical Sciences and Research, 6(3), 158–160. </w:t>
      </w:r>
      <w:commentRangeStart w:id="40"/>
      <w:r w:rsidR="00AD5832">
        <w:fldChar w:fldCharType="begin"/>
      </w:r>
      <w:r w:rsidR="00AD5832">
        <w:instrText>HYPERLINK "https://www.jpsr.pharmainfo.in/Documents/Volumes/Vol6Issue03/jpsr06031401.pdf"</w:instrText>
      </w:r>
      <w:r w:rsidR="00AD5832">
        <w:fldChar w:fldCharType="separate"/>
      </w:r>
      <w:r w:rsidR="00AD5832" w:rsidRPr="00C67A6A">
        <w:rPr>
          <w:rStyle w:val="Hyperlink"/>
          <w:rFonts w:ascii="Arial" w:hAnsi="Arial" w:cs="Arial"/>
          <w:sz w:val="20"/>
          <w:szCs w:val="20"/>
        </w:rPr>
        <w:t>https://www.jpsr.pharmainfo.in/Documents/Volumes/Vol6Issue03/jpsr06031401.pdf</w:t>
      </w:r>
      <w:r w:rsidR="00AD5832">
        <w:fldChar w:fldCharType="end"/>
      </w:r>
      <w:commentRangeEnd w:id="40"/>
      <w:r w:rsidR="00612FFD">
        <w:rPr>
          <w:rStyle w:val="CommentReference"/>
        </w:rPr>
        <w:commentReference w:id="40"/>
      </w:r>
      <w:r w:rsidR="00AD5832">
        <w:rPr>
          <w:rFonts w:ascii="Arial" w:hAnsi="Arial" w:cs="Arial"/>
          <w:sz w:val="20"/>
          <w:szCs w:val="20"/>
        </w:rPr>
        <w:t xml:space="preserve"> </w:t>
      </w:r>
    </w:p>
    <w:p w14:paraId="7505787A" w14:textId="54A2E258" w:rsidR="0050664A" w:rsidRPr="004F5C03" w:rsidRDefault="0050664A" w:rsidP="004E429F">
      <w:pPr>
        <w:jc w:val="both"/>
        <w:rPr>
          <w:rFonts w:ascii="Arial" w:hAnsi="Arial" w:cs="Arial"/>
          <w:sz w:val="20"/>
          <w:szCs w:val="20"/>
        </w:rPr>
      </w:pPr>
      <w:r w:rsidRPr="004F5C03">
        <w:rPr>
          <w:rFonts w:ascii="Arial" w:hAnsi="Arial" w:cs="Arial"/>
          <w:sz w:val="20"/>
          <w:szCs w:val="20"/>
        </w:rPr>
        <w:t>8.</w:t>
      </w:r>
      <w:r w:rsidR="001A20B7"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Pritam, N., De, A., Rambabu, D., S. R., S., &amp; Nisha, S. (2021). </w:t>
      </w:r>
      <w:proofErr w:type="spellStart"/>
      <w:r w:rsidR="00AD5832" w:rsidRPr="00AD5832">
        <w:rPr>
          <w:rFonts w:ascii="Arial" w:hAnsi="Arial" w:cs="Arial"/>
          <w:sz w:val="20"/>
          <w:szCs w:val="20"/>
        </w:rPr>
        <w:t>Ligaplant</w:t>
      </w:r>
      <w:proofErr w:type="spellEnd"/>
      <w:r w:rsidR="00AD5832" w:rsidRPr="00AD5832">
        <w:rPr>
          <w:rFonts w:ascii="Arial" w:hAnsi="Arial" w:cs="Arial"/>
          <w:sz w:val="20"/>
          <w:szCs w:val="20"/>
        </w:rPr>
        <w:t xml:space="preserve">- A Revolutionary Concept </w:t>
      </w:r>
      <w:commentRangeStart w:id="41"/>
      <w:r w:rsidR="00AD5832" w:rsidRPr="00AD5832">
        <w:rPr>
          <w:rFonts w:ascii="Arial" w:hAnsi="Arial" w:cs="Arial"/>
          <w:sz w:val="20"/>
          <w:szCs w:val="20"/>
        </w:rPr>
        <w:t>Of</w:t>
      </w:r>
      <w:commentRangeEnd w:id="41"/>
      <w:r w:rsidR="00172372">
        <w:rPr>
          <w:rStyle w:val="CommentReference"/>
        </w:rPr>
        <w:commentReference w:id="41"/>
      </w:r>
      <w:r w:rsidR="00AD5832" w:rsidRPr="00AD5832">
        <w:rPr>
          <w:rFonts w:ascii="Arial" w:hAnsi="Arial" w:cs="Arial"/>
          <w:sz w:val="20"/>
          <w:szCs w:val="20"/>
        </w:rPr>
        <w:t xml:space="preserve"> </w:t>
      </w:r>
      <w:proofErr w:type="spellStart"/>
      <w:r w:rsidR="00AD5832" w:rsidRPr="00AD5832">
        <w:rPr>
          <w:rFonts w:ascii="Arial" w:hAnsi="Arial" w:cs="Arial"/>
          <w:sz w:val="20"/>
          <w:szCs w:val="20"/>
        </w:rPr>
        <w:t>Periodontio</w:t>
      </w:r>
      <w:proofErr w:type="spellEnd"/>
      <w:r w:rsidR="00AD5832" w:rsidRPr="00AD5832">
        <w:rPr>
          <w:rFonts w:ascii="Arial" w:hAnsi="Arial" w:cs="Arial"/>
          <w:sz w:val="20"/>
          <w:szCs w:val="20"/>
        </w:rPr>
        <w:t xml:space="preserve">-Integrated Implants. JIDAM (Journal of Indian Dental Association Madras), 8(3). </w:t>
      </w:r>
      <w:hyperlink r:id="rId23" w:history="1">
        <w:r w:rsidR="00AD5832" w:rsidRPr="00C67A6A">
          <w:rPr>
            <w:rStyle w:val="Hyperlink"/>
            <w:rFonts w:ascii="Arial" w:hAnsi="Arial" w:cs="Arial"/>
            <w:sz w:val="20"/>
            <w:szCs w:val="20"/>
          </w:rPr>
          <w:t>https://doi.org/10.37841/jidam_2021_V8_I3_02</w:t>
        </w:r>
      </w:hyperlink>
      <w:r w:rsidR="00AD5832">
        <w:rPr>
          <w:rFonts w:ascii="Arial" w:hAnsi="Arial" w:cs="Arial"/>
          <w:sz w:val="20"/>
          <w:szCs w:val="20"/>
        </w:rPr>
        <w:t xml:space="preserve"> </w:t>
      </w:r>
      <w:r w:rsidR="001A20B7" w:rsidRPr="004F5C03">
        <w:rPr>
          <w:rFonts w:ascii="Arial" w:hAnsi="Arial" w:cs="Arial"/>
          <w:sz w:val="20"/>
          <w:szCs w:val="20"/>
        </w:rPr>
        <w:t>.</w:t>
      </w:r>
    </w:p>
    <w:p w14:paraId="6DAAE18D" w14:textId="64955644"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9. </w:t>
      </w:r>
      <w:r w:rsidR="00AD5832" w:rsidRPr="00AD5832">
        <w:rPr>
          <w:rFonts w:ascii="Arial" w:hAnsi="Arial" w:cs="Arial"/>
          <w:sz w:val="20"/>
          <w:szCs w:val="20"/>
        </w:rPr>
        <w:t xml:space="preserve">Saleem, M., Kaushik, M., Ghai, A., Tomar, N., &amp; Singh, S. (2020).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revolutionary concept in implant dentistry. Annals of Maxillofacial Surgery, 10(1), 195–197. </w:t>
      </w:r>
      <w:hyperlink r:id="rId24" w:history="1">
        <w:r w:rsidR="00AD5832" w:rsidRPr="00C67A6A">
          <w:rPr>
            <w:rStyle w:val="Hyperlink"/>
            <w:rFonts w:ascii="Arial" w:hAnsi="Arial" w:cs="Arial"/>
            <w:sz w:val="20"/>
            <w:szCs w:val="20"/>
          </w:rPr>
          <w:t>https://doi.org/10.4103/ams.ams_58_19</w:t>
        </w:r>
      </w:hyperlink>
      <w:r w:rsidR="00AD5832">
        <w:rPr>
          <w:rFonts w:ascii="Arial" w:hAnsi="Arial" w:cs="Arial"/>
          <w:sz w:val="20"/>
          <w:szCs w:val="20"/>
        </w:rPr>
        <w:t xml:space="preserve"> </w:t>
      </w:r>
    </w:p>
    <w:p w14:paraId="0F515E5A" w14:textId="77777777" w:rsidR="00AD5832" w:rsidRDefault="00A56949" w:rsidP="004E429F">
      <w:pPr>
        <w:jc w:val="both"/>
        <w:rPr>
          <w:rFonts w:ascii="Arial" w:hAnsi="Arial" w:cs="Arial"/>
          <w:sz w:val="20"/>
          <w:szCs w:val="20"/>
        </w:rPr>
      </w:pPr>
      <w:commentRangeStart w:id="42"/>
      <w:r w:rsidRPr="004F5C03">
        <w:rPr>
          <w:rFonts w:ascii="Arial" w:hAnsi="Arial" w:cs="Arial"/>
          <w:sz w:val="20"/>
          <w:szCs w:val="20"/>
        </w:rPr>
        <w:t>10.</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Nair, S. T., </w:t>
      </w:r>
      <w:proofErr w:type="spellStart"/>
      <w:r w:rsidR="00AD5832" w:rsidRPr="00AD5832">
        <w:rPr>
          <w:rFonts w:ascii="Arial" w:hAnsi="Arial" w:cs="Arial"/>
          <w:sz w:val="20"/>
          <w:szCs w:val="20"/>
        </w:rPr>
        <w:t>Krishanan</w:t>
      </w:r>
      <w:proofErr w:type="spellEnd"/>
      <w:r w:rsidR="00AD5832" w:rsidRPr="00AD5832">
        <w:rPr>
          <w:rFonts w:ascii="Arial" w:hAnsi="Arial" w:cs="Arial"/>
          <w:sz w:val="20"/>
          <w:szCs w:val="20"/>
        </w:rPr>
        <w:t xml:space="preserve"> G, S., Beevi, R., &amp; Janam, P. (2015).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–a therapeutic modality on the horizon. JSPIK, 8(3), 101-104</w:t>
      </w:r>
      <w:commentRangeEnd w:id="42"/>
      <w:r w:rsidR="006661C7">
        <w:rPr>
          <w:rStyle w:val="CommentReference"/>
        </w:rPr>
        <w:commentReference w:id="42"/>
      </w:r>
      <w:r w:rsidR="00AD5832" w:rsidRPr="00AD5832">
        <w:rPr>
          <w:rFonts w:ascii="Arial" w:hAnsi="Arial" w:cs="Arial"/>
          <w:sz w:val="20"/>
          <w:szCs w:val="20"/>
        </w:rPr>
        <w:t>.</w:t>
      </w:r>
      <w:r w:rsidR="00AD5832">
        <w:rPr>
          <w:rFonts w:ascii="Arial" w:hAnsi="Arial" w:cs="Arial"/>
          <w:sz w:val="20"/>
          <w:szCs w:val="20"/>
        </w:rPr>
        <w:t xml:space="preserve"> </w:t>
      </w:r>
    </w:p>
    <w:p w14:paraId="174574F8" w14:textId="3C1D224B" w:rsidR="00A56949" w:rsidRPr="004F5C03" w:rsidRDefault="00A56949" w:rsidP="004E429F">
      <w:pPr>
        <w:jc w:val="both"/>
        <w:rPr>
          <w:rFonts w:ascii="Arial" w:hAnsi="Arial" w:cs="Arial"/>
          <w:sz w:val="20"/>
          <w:szCs w:val="20"/>
        </w:rPr>
      </w:pPr>
      <w:r w:rsidRPr="004F5C03">
        <w:rPr>
          <w:rFonts w:ascii="Arial" w:hAnsi="Arial" w:cs="Arial"/>
          <w:sz w:val="20"/>
          <w:szCs w:val="20"/>
        </w:rPr>
        <w:t>11.</w:t>
      </w:r>
      <w:r w:rsidR="001A20B7" w:rsidRPr="004F5C03">
        <w:rPr>
          <w:rFonts w:ascii="Arial" w:hAnsi="Arial" w:cs="Arial"/>
          <w:color w:val="222222"/>
          <w:sz w:val="20"/>
          <w:szCs w:val="20"/>
          <w:shd w:val="clear" w:color="auto" w:fill="FFFFFF"/>
        </w:rPr>
        <w:t xml:space="preserve"> </w:t>
      </w:r>
      <w:proofErr w:type="spellStart"/>
      <w:r w:rsidR="00AD5832" w:rsidRPr="00AD5832">
        <w:rPr>
          <w:rFonts w:ascii="Arial" w:hAnsi="Arial" w:cs="Arial"/>
          <w:sz w:val="20"/>
          <w:szCs w:val="20"/>
        </w:rPr>
        <w:t>Aeran</w:t>
      </w:r>
      <w:proofErr w:type="spellEnd"/>
      <w:r w:rsidR="00AD5832" w:rsidRPr="00AD5832">
        <w:rPr>
          <w:rFonts w:ascii="Arial" w:hAnsi="Arial" w:cs="Arial"/>
          <w:sz w:val="20"/>
          <w:szCs w:val="20"/>
        </w:rPr>
        <w:t xml:space="preserve">, H., Tuli, A. S., &amp; Anamika.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Recreation of a natural link in implant dentistry: A review. International Journal of Oral Health Dentistry, 7(1), 3-7. </w:t>
      </w:r>
      <w:hyperlink r:id="rId25" w:history="1">
        <w:r w:rsidR="00AD5832" w:rsidRPr="00C67A6A">
          <w:rPr>
            <w:rStyle w:val="Hyperlink"/>
            <w:rFonts w:ascii="Arial" w:hAnsi="Arial" w:cs="Arial"/>
            <w:sz w:val="20"/>
            <w:szCs w:val="20"/>
          </w:rPr>
          <w:t>https://doi.org/10.18231/j.ijohd.2021.002</w:t>
        </w:r>
      </w:hyperlink>
      <w:r w:rsidR="00AD5832">
        <w:rPr>
          <w:rFonts w:ascii="Arial" w:hAnsi="Arial" w:cs="Arial"/>
          <w:sz w:val="20"/>
          <w:szCs w:val="20"/>
        </w:rPr>
        <w:t xml:space="preserve"> </w:t>
      </w:r>
    </w:p>
    <w:p w14:paraId="38DC62DD" w14:textId="729B9F9B" w:rsidR="00A56949" w:rsidRPr="004F5C03" w:rsidRDefault="00A56949" w:rsidP="004E429F">
      <w:pPr>
        <w:jc w:val="both"/>
        <w:rPr>
          <w:rFonts w:ascii="Arial" w:hAnsi="Arial" w:cs="Arial"/>
          <w:sz w:val="20"/>
          <w:szCs w:val="20"/>
        </w:rPr>
      </w:pPr>
      <w:r w:rsidRPr="004F5C03">
        <w:rPr>
          <w:rFonts w:ascii="Arial" w:hAnsi="Arial" w:cs="Arial"/>
          <w:sz w:val="20"/>
          <w:szCs w:val="20"/>
        </w:rPr>
        <w:t>12.</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Adhya, P. S., &amp; Chakraborty, S. (2021). Bio-hybrid implant, Next generation of bio-engineered implant – A review. Journal of Orofacial Rehabilitation, 1(1), 15-23. </w:t>
      </w:r>
      <w:hyperlink r:id="rId26" w:history="1">
        <w:r w:rsidR="00AD5832" w:rsidRPr="00C67A6A">
          <w:rPr>
            <w:rStyle w:val="Hyperlink"/>
            <w:rFonts w:ascii="Arial" w:hAnsi="Arial" w:cs="Arial"/>
            <w:sz w:val="20"/>
            <w:szCs w:val="20"/>
          </w:rPr>
          <w:t>https://doi.org/10.5281/zenodo.5112972</w:t>
        </w:r>
      </w:hyperlink>
      <w:r w:rsidR="00AD5832">
        <w:rPr>
          <w:rFonts w:ascii="Arial" w:hAnsi="Arial" w:cs="Arial"/>
          <w:sz w:val="20"/>
          <w:szCs w:val="20"/>
        </w:rPr>
        <w:t xml:space="preserve"> </w:t>
      </w:r>
    </w:p>
    <w:p w14:paraId="6B395561" w14:textId="67D6690B" w:rsidR="00A56949" w:rsidRPr="004F5C03" w:rsidRDefault="00A56949" w:rsidP="004E429F">
      <w:pPr>
        <w:jc w:val="both"/>
        <w:rPr>
          <w:rFonts w:ascii="Arial" w:hAnsi="Arial" w:cs="Arial"/>
          <w:sz w:val="20"/>
          <w:szCs w:val="20"/>
        </w:rPr>
      </w:pPr>
      <w:r w:rsidRPr="004F5C03">
        <w:rPr>
          <w:rFonts w:ascii="Arial" w:hAnsi="Arial" w:cs="Arial"/>
          <w:sz w:val="20"/>
          <w:szCs w:val="20"/>
        </w:rPr>
        <w:t>13.</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Singh, R., Raj, S., Singh, G. B., Nikunj, A. M., &amp; Chaurasia, S. (2019).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w:t>
      </w:r>
      <w:proofErr w:type="spellStart"/>
      <w:r w:rsidR="00AD5832" w:rsidRPr="00AD5832">
        <w:rPr>
          <w:rFonts w:ascii="Arial" w:hAnsi="Arial" w:cs="Arial"/>
          <w:sz w:val="20"/>
          <w:szCs w:val="20"/>
        </w:rPr>
        <w:t>Periodntio</w:t>
      </w:r>
      <w:proofErr w:type="spellEnd"/>
      <w:r w:rsidR="00AD5832" w:rsidRPr="00AD5832">
        <w:rPr>
          <w:rFonts w:ascii="Arial" w:hAnsi="Arial" w:cs="Arial"/>
          <w:sz w:val="20"/>
          <w:szCs w:val="20"/>
        </w:rPr>
        <w:t xml:space="preserve"> – Integrated Implants. IOSR Journal of Dental and Medical Sciences, 18(7), 61-64. </w:t>
      </w:r>
      <w:hyperlink r:id="rId27" w:history="1">
        <w:r w:rsidR="00AD5832" w:rsidRPr="00C67A6A">
          <w:rPr>
            <w:rStyle w:val="Hyperlink"/>
            <w:rFonts w:ascii="Arial" w:hAnsi="Arial" w:cs="Arial"/>
            <w:sz w:val="20"/>
            <w:szCs w:val="20"/>
          </w:rPr>
          <w:t>https://doi.org/10.9790/0853-1807076164</w:t>
        </w:r>
      </w:hyperlink>
      <w:r w:rsidR="00AD5832">
        <w:rPr>
          <w:rFonts w:ascii="Arial" w:hAnsi="Arial" w:cs="Arial"/>
          <w:sz w:val="20"/>
          <w:szCs w:val="20"/>
        </w:rPr>
        <w:t xml:space="preserve"> </w:t>
      </w:r>
    </w:p>
    <w:p w14:paraId="35B8275E" w14:textId="1D3DAD81" w:rsidR="00A56949" w:rsidRPr="004F5C03" w:rsidRDefault="00A56949" w:rsidP="004E429F">
      <w:pPr>
        <w:jc w:val="both"/>
        <w:rPr>
          <w:rFonts w:ascii="Arial" w:hAnsi="Arial" w:cs="Arial"/>
          <w:sz w:val="20"/>
          <w:szCs w:val="20"/>
        </w:rPr>
      </w:pPr>
      <w:r w:rsidRPr="004F5C03">
        <w:rPr>
          <w:rFonts w:ascii="Arial" w:hAnsi="Arial" w:cs="Arial"/>
          <w:sz w:val="20"/>
          <w:szCs w:val="20"/>
        </w:rPr>
        <w:t xml:space="preserve">14. </w:t>
      </w:r>
      <w:r w:rsidR="00AD5832" w:rsidRPr="00AD5832">
        <w:rPr>
          <w:rFonts w:ascii="Arial" w:hAnsi="Arial" w:cs="Arial"/>
          <w:sz w:val="20"/>
          <w:szCs w:val="20"/>
        </w:rPr>
        <w:t xml:space="preserve">Bajaj, P., </w:t>
      </w:r>
      <w:proofErr w:type="spellStart"/>
      <w:r w:rsidR="00AD5832" w:rsidRPr="00AD5832">
        <w:rPr>
          <w:rFonts w:ascii="Arial" w:hAnsi="Arial" w:cs="Arial"/>
          <w:sz w:val="20"/>
          <w:szCs w:val="20"/>
        </w:rPr>
        <w:t>Shirbhate</w:t>
      </w:r>
      <w:proofErr w:type="spellEnd"/>
      <w:r w:rsidR="00AD5832" w:rsidRPr="00AD5832">
        <w:rPr>
          <w:rFonts w:ascii="Arial" w:hAnsi="Arial" w:cs="Arial"/>
          <w:sz w:val="20"/>
          <w:szCs w:val="20"/>
        </w:rPr>
        <w:t xml:space="preserve">, U., &amp; Dare, S. (2023).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Uprising Regimen in the Glebe of Implant Dentistry. Cureus, 15(9), e45968. </w:t>
      </w:r>
      <w:hyperlink r:id="rId28" w:history="1">
        <w:r w:rsidR="00AD5832" w:rsidRPr="00C67A6A">
          <w:rPr>
            <w:rStyle w:val="Hyperlink"/>
            <w:rFonts w:ascii="Arial" w:hAnsi="Arial" w:cs="Arial"/>
            <w:sz w:val="20"/>
            <w:szCs w:val="20"/>
          </w:rPr>
          <w:t>https://doi.org/10.7759/cureus.45968</w:t>
        </w:r>
      </w:hyperlink>
      <w:r w:rsidR="00AD5832">
        <w:rPr>
          <w:rFonts w:ascii="Arial" w:hAnsi="Arial" w:cs="Arial"/>
          <w:sz w:val="20"/>
          <w:szCs w:val="20"/>
        </w:rPr>
        <w:t xml:space="preserve"> </w:t>
      </w:r>
    </w:p>
    <w:p w14:paraId="352A61D7" w14:textId="5BCE7B46" w:rsidR="00A56949" w:rsidRDefault="00A56949" w:rsidP="004E429F">
      <w:pPr>
        <w:jc w:val="both"/>
        <w:rPr>
          <w:rFonts w:ascii="Arial" w:hAnsi="Arial" w:cs="Arial"/>
          <w:sz w:val="20"/>
          <w:szCs w:val="20"/>
        </w:rPr>
      </w:pPr>
      <w:r w:rsidRPr="004F5C03">
        <w:rPr>
          <w:rFonts w:ascii="Arial" w:hAnsi="Arial" w:cs="Arial"/>
          <w:sz w:val="20"/>
          <w:szCs w:val="20"/>
        </w:rPr>
        <w:t xml:space="preserve">15. </w:t>
      </w:r>
      <w:r w:rsidR="00AD5832" w:rsidRPr="00AD5832">
        <w:rPr>
          <w:rFonts w:ascii="Arial" w:hAnsi="Arial" w:cs="Arial"/>
          <w:sz w:val="20"/>
          <w:szCs w:val="20"/>
        </w:rPr>
        <w:t xml:space="preserve">Bathla, N., </w:t>
      </w:r>
      <w:proofErr w:type="spellStart"/>
      <w:r w:rsidR="00AD5832" w:rsidRPr="00AD5832">
        <w:rPr>
          <w:rFonts w:ascii="Arial" w:hAnsi="Arial" w:cs="Arial"/>
          <w:sz w:val="20"/>
          <w:szCs w:val="20"/>
        </w:rPr>
        <w:t>Sailo</w:t>
      </w:r>
      <w:proofErr w:type="spellEnd"/>
      <w:r w:rsidR="00AD5832" w:rsidRPr="00AD5832">
        <w:rPr>
          <w:rFonts w:ascii="Arial" w:hAnsi="Arial" w:cs="Arial"/>
          <w:sz w:val="20"/>
          <w:szCs w:val="20"/>
        </w:rPr>
        <w:t xml:space="preserve">, J. L., Kapoor, N., Nagpal, A., Gupta, R., &amp; Singla, 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the next-generation prosthodontic implants: A comprehensive review. Indian Journal of Dental Sciences, 13, 146-149. </w:t>
      </w:r>
      <w:hyperlink r:id="rId29" w:history="1">
        <w:r w:rsidR="00AD5832" w:rsidRPr="00C67A6A">
          <w:rPr>
            <w:rStyle w:val="Hyperlink"/>
            <w:rFonts w:ascii="Arial" w:hAnsi="Arial" w:cs="Arial"/>
            <w:sz w:val="20"/>
            <w:szCs w:val="20"/>
          </w:rPr>
          <w:t>https://doi.org/10.4103/IJDS.IJDS_140_20</w:t>
        </w:r>
      </w:hyperlink>
      <w:r w:rsidR="00AD5832">
        <w:rPr>
          <w:rFonts w:ascii="Arial" w:hAnsi="Arial" w:cs="Arial"/>
          <w:sz w:val="20"/>
          <w:szCs w:val="20"/>
        </w:rPr>
        <w:t xml:space="preserve"> </w:t>
      </w:r>
    </w:p>
    <w:p w14:paraId="1C03B5C6" w14:textId="30F6177F" w:rsidR="00073CA3" w:rsidRDefault="00073CA3" w:rsidP="00073CA3">
      <w:pPr>
        <w:jc w:val="both"/>
        <w:rPr>
          <w:rFonts w:ascii="Arial" w:hAnsi="Arial" w:cs="Arial"/>
          <w:sz w:val="20"/>
          <w:szCs w:val="20"/>
        </w:rPr>
      </w:pPr>
      <w:r>
        <w:rPr>
          <w:rFonts w:ascii="Arial" w:hAnsi="Arial" w:cs="Arial"/>
          <w:sz w:val="20"/>
          <w:szCs w:val="20"/>
        </w:rPr>
        <w:t xml:space="preserve">16. </w:t>
      </w:r>
      <w:r w:rsidR="00AD5832" w:rsidRPr="00AD5832">
        <w:rPr>
          <w:rFonts w:ascii="Arial" w:hAnsi="Arial" w:cs="Arial"/>
          <w:sz w:val="20"/>
          <w:szCs w:val="20"/>
        </w:rPr>
        <w:t xml:space="preserve">Rochford, A. E., </w:t>
      </w:r>
      <w:proofErr w:type="spellStart"/>
      <w:r w:rsidR="00AD5832" w:rsidRPr="00AD5832">
        <w:rPr>
          <w:rFonts w:ascii="Arial" w:hAnsi="Arial" w:cs="Arial"/>
          <w:sz w:val="20"/>
          <w:szCs w:val="20"/>
        </w:rPr>
        <w:t>Carnicer-Lombarte</w:t>
      </w:r>
      <w:proofErr w:type="spellEnd"/>
      <w:r w:rsidR="00AD5832" w:rsidRPr="00AD5832">
        <w:rPr>
          <w:rFonts w:ascii="Arial" w:hAnsi="Arial" w:cs="Arial"/>
          <w:sz w:val="20"/>
          <w:szCs w:val="20"/>
        </w:rPr>
        <w:t xml:space="preserve">, A., Curto, V. F., </w:t>
      </w:r>
      <w:proofErr w:type="spellStart"/>
      <w:r w:rsidR="00AD5832" w:rsidRPr="00AD5832">
        <w:rPr>
          <w:rFonts w:ascii="Arial" w:hAnsi="Arial" w:cs="Arial"/>
          <w:sz w:val="20"/>
          <w:szCs w:val="20"/>
        </w:rPr>
        <w:t>Malliaras</w:t>
      </w:r>
      <w:proofErr w:type="spellEnd"/>
      <w:r w:rsidR="00AD5832" w:rsidRPr="00AD5832">
        <w:rPr>
          <w:rFonts w:ascii="Arial" w:hAnsi="Arial" w:cs="Arial"/>
          <w:sz w:val="20"/>
          <w:szCs w:val="20"/>
        </w:rPr>
        <w:t xml:space="preserve">, G. G., &amp; Barone, D. G. (2020). When bio meets technology: Biohybrid neural interfaces. Advanced Materials, 32(15), 1903182. </w:t>
      </w:r>
      <w:hyperlink r:id="rId30" w:history="1">
        <w:r w:rsidR="00AD5832" w:rsidRPr="00C67A6A">
          <w:rPr>
            <w:rStyle w:val="Hyperlink"/>
            <w:rFonts w:ascii="Arial" w:hAnsi="Arial" w:cs="Arial"/>
            <w:sz w:val="20"/>
            <w:szCs w:val="20"/>
          </w:rPr>
          <w:t>https://doi.org/10.1002/adma.201903182</w:t>
        </w:r>
      </w:hyperlink>
      <w:r w:rsidR="00AD5832">
        <w:rPr>
          <w:rFonts w:ascii="Arial" w:hAnsi="Arial" w:cs="Arial"/>
          <w:sz w:val="20"/>
          <w:szCs w:val="20"/>
        </w:rPr>
        <w:t xml:space="preserve"> </w:t>
      </w:r>
    </w:p>
    <w:p w14:paraId="2076B08A" w14:textId="5116BC1C" w:rsidR="00073CA3" w:rsidRDefault="00073CA3" w:rsidP="00073CA3">
      <w:pPr>
        <w:jc w:val="both"/>
        <w:rPr>
          <w:rFonts w:ascii="Arial" w:hAnsi="Arial" w:cs="Arial"/>
          <w:sz w:val="20"/>
          <w:szCs w:val="20"/>
        </w:rPr>
      </w:pPr>
      <w:commentRangeStart w:id="43"/>
      <w:r>
        <w:rPr>
          <w:rFonts w:ascii="Arial" w:hAnsi="Arial" w:cs="Arial"/>
          <w:sz w:val="20"/>
          <w:szCs w:val="20"/>
        </w:rPr>
        <w:t>17.</w:t>
      </w:r>
      <w:r w:rsidRPr="00073CA3">
        <w:t xml:space="preserve"> </w:t>
      </w:r>
      <w:r w:rsidRPr="00073CA3">
        <w:rPr>
          <w:rFonts w:ascii="Arial" w:hAnsi="Arial" w:cs="Arial"/>
          <w:sz w:val="20"/>
          <w:szCs w:val="20"/>
        </w:rPr>
        <w:t xml:space="preserve">Oshima M, Inoue K, Nakajima K, Tachikawa T, Yamazaki H, Isobe T, Sugawara A, Ogawa M, Tanaka C, Saito M, Kasugai S. Functional tooth restoration by next-generation bio-hybrid implant as a bio-hybrid artificial organ replacement therapy. Scientific reports. 2014 Aug 13;4(1):1-0. 12. Nakajima, K., Oshima, M., Yamamoto, N., Tanaka, C., Koitabashi, R., Inoue, T. and Tsuji, T., 2016. Development of a functional biohybrid implant formed from periodontal tissue utilizing bioengineering technology. Tissue </w:t>
      </w:r>
      <w:proofErr w:type="gramStart"/>
      <w:r w:rsidRPr="00073CA3">
        <w:rPr>
          <w:rFonts w:ascii="Arial" w:hAnsi="Arial" w:cs="Arial"/>
          <w:sz w:val="20"/>
          <w:szCs w:val="20"/>
        </w:rPr>
        <w:t>Engineering .Part</w:t>
      </w:r>
      <w:proofErr w:type="gramEnd"/>
      <w:r w:rsidRPr="00073CA3">
        <w:rPr>
          <w:rFonts w:ascii="Arial" w:hAnsi="Arial" w:cs="Arial"/>
          <w:sz w:val="20"/>
          <w:szCs w:val="20"/>
        </w:rPr>
        <w:t xml:space="preserve"> A, 22(17-18):.1108-15</w:t>
      </w:r>
      <w:commentRangeEnd w:id="43"/>
      <w:r w:rsidR="008512BB">
        <w:rPr>
          <w:rStyle w:val="CommentReference"/>
        </w:rPr>
        <w:commentReference w:id="43"/>
      </w:r>
    </w:p>
    <w:p w14:paraId="5D26996D" w14:textId="36B7AB70" w:rsidR="00073CA3" w:rsidRDefault="00073CA3" w:rsidP="00073CA3">
      <w:pPr>
        <w:jc w:val="both"/>
        <w:rPr>
          <w:rFonts w:ascii="Arial" w:hAnsi="Arial" w:cs="Arial"/>
          <w:sz w:val="20"/>
          <w:szCs w:val="20"/>
        </w:rPr>
      </w:pPr>
      <w:r w:rsidRPr="00073CA3">
        <w:rPr>
          <w:rFonts w:ascii="Arial" w:hAnsi="Arial" w:cs="Arial"/>
          <w:sz w:val="20"/>
          <w:szCs w:val="20"/>
        </w:rPr>
        <w:t>1</w:t>
      </w:r>
      <w:r>
        <w:rPr>
          <w:rFonts w:ascii="Arial" w:hAnsi="Arial" w:cs="Arial"/>
          <w:sz w:val="20"/>
          <w:szCs w:val="20"/>
        </w:rPr>
        <w:t>8</w:t>
      </w:r>
      <w:r w:rsidRPr="00073CA3">
        <w:rPr>
          <w:rFonts w:ascii="Arial" w:hAnsi="Arial" w:cs="Arial"/>
          <w:sz w:val="20"/>
          <w:szCs w:val="20"/>
        </w:rPr>
        <w:t xml:space="preserve">. </w:t>
      </w:r>
      <w:r w:rsidR="00AD5832" w:rsidRPr="00AD5832">
        <w:rPr>
          <w:rFonts w:ascii="Arial" w:hAnsi="Arial" w:cs="Arial"/>
          <w:sz w:val="20"/>
          <w:szCs w:val="20"/>
        </w:rPr>
        <w:t xml:space="preserve">Komada, Y., Yamane, T., Kadota, D., Isono, K., Takakura, N., Hayashi, S. I., &amp; Yamazaki, H. (2012). Origins and properties of dental, thymic, and bone marrow mesenchymal cells and their stem cells. </w:t>
      </w:r>
      <w:proofErr w:type="spellStart"/>
      <w:r w:rsidR="00AD5832" w:rsidRPr="00AD5832">
        <w:rPr>
          <w:rFonts w:ascii="Arial" w:hAnsi="Arial" w:cs="Arial"/>
          <w:sz w:val="20"/>
          <w:szCs w:val="20"/>
        </w:rPr>
        <w:t>PloS</w:t>
      </w:r>
      <w:proofErr w:type="spellEnd"/>
      <w:r w:rsidR="00AD5832" w:rsidRPr="00AD5832">
        <w:rPr>
          <w:rFonts w:ascii="Arial" w:hAnsi="Arial" w:cs="Arial"/>
          <w:sz w:val="20"/>
          <w:szCs w:val="20"/>
        </w:rPr>
        <w:t xml:space="preserve"> one, 7(11</w:t>
      </w:r>
      <w:proofErr w:type="gramStart"/>
      <w:r w:rsidR="00AD5832" w:rsidRPr="00AD5832">
        <w:rPr>
          <w:rFonts w:ascii="Arial" w:hAnsi="Arial" w:cs="Arial"/>
          <w:sz w:val="20"/>
          <w:szCs w:val="20"/>
        </w:rPr>
        <w:t>):e</w:t>
      </w:r>
      <w:proofErr w:type="gramEnd"/>
      <w:r w:rsidR="00AD5832" w:rsidRPr="00AD5832">
        <w:rPr>
          <w:rFonts w:ascii="Arial" w:hAnsi="Arial" w:cs="Arial"/>
          <w:sz w:val="20"/>
          <w:szCs w:val="20"/>
        </w:rPr>
        <w:t xml:space="preserve">46436. </w:t>
      </w:r>
      <w:hyperlink r:id="rId31" w:history="1">
        <w:r w:rsidR="00AD5832" w:rsidRPr="00C67A6A">
          <w:rPr>
            <w:rStyle w:val="Hyperlink"/>
            <w:rFonts w:ascii="Arial" w:hAnsi="Arial" w:cs="Arial"/>
            <w:sz w:val="20"/>
            <w:szCs w:val="20"/>
          </w:rPr>
          <w:t>https://doi.org/10.1371/journal.pone.0046436</w:t>
        </w:r>
      </w:hyperlink>
      <w:r w:rsidR="00AD5832">
        <w:rPr>
          <w:rFonts w:ascii="Arial" w:hAnsi="Arial" w:cs="Arial"/>
          <w:sz w:val="20"/>
          <w:szCs w:val="20"/>
        </w:rPr>
        <w:t xml:space="preserve"> </w:t>
      </w:r>
    </w:p>
    <w:p w14:paraId="12B41A5D" w14:textId="77777777" w:rsidR="00E071B3" w:rsidRDefault="00073CA3" w:rsidP="004E429F">
      <w:pPr>
        <w:jc w:val="both"/>
        <w:rPr>
          <w:rFonts w:ascii="Arial" w:hAnsi="Arial" w:cs="Arial"/>
          <w:sz w:val="20"/>
          <w:szCs w:val="20"/>
        </w:rPr>
      </w:pPr>
      <w:r w:rsidRPr="00073CA3">
        <w:rPr>
          <w:rFonts w:ascii="Arial" w:hAnsi="Arial" w:cs="Arial"/>
          <w:sz w:val="20"/>
          <w:szCs w:val="20"/>
        </w:rPr>
        <w:t>1</w:t>
      </w:r>
      <w:r>
        <w:rPr>
          <w:rFonts w:ascii="Arial" w:hAnsi="Arial" w:cs="Arial"/>
          <w:sz w:val="20"/>
          <w:szCs w:val="20"/>
        </w:rPr>
        <w:t>9.</w:t>
      </w:r>
      <w:r w:rsidRPr="00073CA3">
        <w:rPr>
          <w:rFonts w:ascii="Arial" w:hAnsi="Arial" w:cs="Arial"/>
          <w:sz w:val="20"/>
          <w:szCs w:val="20"/>
        </w:rPr>
        <w:t xml:space="preserve"> </w:t>
      </w:r>
      <w:proofErr w:type="spellStart"/>
      <w:r w:rsidR="00AD5832" w:rsidRPr="00AD5832">
        <w:rPr>
          <w:rFonts w:ascii="Arial" w:hAnsi="Arial" w:cs="Arial"/>
          <w:sz w:val="20"/>
          <w:szCs w:val="20"/>
        </w:rPr>
        <w:t>Chalisserry</w:t>
      </w:r>
      <w:proofErr w:type="spellEnd"/>
      <w:r w:rsidR="00AD5832" w:rsidRPr="00AD5832">
        <w:rPr>
          <w:rFonts w:ascii="Arial" w:hAnsi="Arial" w:cs="Arial"/>
          <w:sz w:val="20"/>
          <w:szCs w:val="20"/>
        </w:rPr>
        <w:t xml:space="preserve">, E. P., Nam, S. Y., Park, S. H., &amp; Anil, S. (2017). Therapeutic potential of dental stem cells. Journal of Tissue Engineering, 8, 2041731417702531. </w:t>
      </w:r>
      <w:hyperlink r:id="rId32" w:history="1">
        <w:r w:rsidR="00E071B3" w:rsidRPr="00C67A6A">
          <w:rPr>
            <w:rStyle w:val="Hyperlink"/>
            <w:rFonts w:ascii="Arial" w:hAnsi="Arial" w:cs="Arial"/>
            <w:sz w:val="20"/>
            <w:szCs w:val="20"/>
          </w:rPr>
          <w:t>https://doi.org/10.1177/2041731417702531</w:t>
        </w:r>
      </w:hyperlink>
      <w:r w:rsidR="00E071B3">
        <w:rPr>
          <w:rFonts w:ascii="Arial" w:hAnsi="Arial" w:cs="Arial"/>
          <w:sz w:val="20"/>
          <w:szCs w:val="20"/>
        </w:rPr>
        <w:t xml:space="preserve"> </w:t>
      </w:r>
    </w:p>
    <w:p w14:paraId="6208E180" w14:textId="6E384946" w:rsidR="003D53CF" w:rsidRDefault="003D53CF" w:rsidP="004E429F">
      <w:pPr>
        <w:jc w:val="both"/>
        <w:rPr>
          <w:rFonts w:ascii="Arial" w:hAnsi="Arial" w:cs="Arial"/>
          <w:sz w:val="20"/>
          <w:szCs w:val="20"/>
        </w:rPr>
      </w:pPr>
      <w:r>
        <w:rPr>
          <w:rFonts w:ascii="Arial" w:hAnsi="Arial" w:cs="Arial"/>
          <w:sz w:val="20"/>
          <w:szCs w:val="20"/>
        </w:rPr>
        <w:t>20</w:t>
      </w:r>
      <w:r w:rsidRPr="003D53CF">
        <w:rPr>
          <w:rFonts w:ascii="Arial" w:hAnsi="Arial" w:cs="Arial"/>
          <w:sz w:val="20"/>
          <w:szCs w:val="20"/>
        </w:rPr>
        <w:t xml:space="preserve">. </w:t>
      </w:r>
      <w:r w:rsidR="00E071B3" w:rsidRPr="00E071B3">
        <w:rPr>
          <w:rFonts w:ascii="Arial" w:hAnsi="Arial" w:cs="Arial"/>
          <w:sz w:val="20"/>
          <w:szCs w:val="20"/>
        </w:rPr>
        <w:t xml:space="preserve">Ikeda, E., &amp; Tsuji, T. (2008). Growing bioengineered teeth from single cells: potential for dental regenerative medicine. Expert Opinion on Biological Therapy, 8(6), 735-744. </w:t>
      </w:r>
      <w:hyperlink r:id="rId33" w:history="1">
        <w:r w:rsidR="00E071B3" w:rsidRPr="00C67A6A">
          <w:rPr>
            <w:rStyle w:val="Hyperlink"/>
            <w:rFonts w:ascii="Arial" w:hAnsi="Arial" w:cs="Arial"/>
            <w:sz w:val="20"/>
            <w:szCs w:val="20"/>
          </w:rPr>
          <w:t>https://doi.org/10.1517/14712598.8.6.735</w:t>
        </w:r>
      </w:hyperlink>
      <w:r w:rsidR="00E071B3">
        <w:rPr>
          <w:rFonts w:ascii="Arial" w:hAnsi="Arial" w:cs="Arial"/>
          <w:sz w:val="20"/>
          <w:szCs w:val="20"/>
        </w:rPr>
        <w:t xml:space="preserve"> </w:t>
      </w:r>
    </w:p>
    <w:p w14:paraId="31DEF2D8" w14:textId="1C814D71" w:rsidR="006020E1" w:rsidRDefault="003D53CF" w:rsidP="004E429F">
      <w:pPr>
        <w:jc w:val="both"/>
        <w:rPr>
          <w:rFonts w:ascii="Arial" w:hAnsi="Arial" w:cs="Arial"/>
          <w:sz w:val="20"/>
          <w:szCs w:val="20"/>
        </w:rPr>
      </w:pPr>
      <w:r>
        <w:rPr>
          <w:rFonts w:ascii="Arial" w:hAnsi="Arial" w:cs="Arial"/>
          <w:sz w:val="20"/>
          <w:szCs w:val="20"/>
        </w:rPr>
        <w:lastRenderedPageBreak/>
        <w:t>21.</w:t>
      </w:r>
      <w:r w:rsidRPr="003D53CF">
        <w:rPr>
          <w:rFonts w:ascii="Arial" w:hAnsi="Arial" w:cs="Arial"/>
          <w:sz w:val="20"/>
          <w:szCs w:val="20"/>
        </w:rPr>
        <w:t xml:space="preserve"> </w:t>
      </w:r>
      <w:proofErr w:type="spellStart"/>
      <w:r w:rsidR="002E5FEE" w:rsidRPr="002E5FEE">
        <w:rPr>
          <w:rFonts w:ascii="Arial" w:hAnsi="Arial" w:cs="Arial"/>
          <w:sz w:val="20"/>
          <w:szCs w:val="20"/>
        </w:rPr>
        <w:t>Hilkens</w:t>
      </w:r>
      <w:proofErr w:type="spellEnd"/>
      <w:r w:rsidR="002E5FEE" w:rsidRPr="002E5FEE">
        <w:rPr>
          <w:rFonts w:ascii="Arial" w:hAnsi="Arial" w:cs="Arial"/>
          <w:sz w:val="20"/>
          <w:szCs w:val="20"/>
        </w:rPr>
        <w:t xml:space="preserve">, P., </w:t>
      </w:r>
      <w:proofErr w:type="spellStart"/>
      <w:r w:rsidR="002E5FEE" w:rsidRPr="002E5FEE">
        <w:rPr>
          <w:rFonts w:ascii="Arial" w:hAnsi="Arial" w:cs="Arial"/>
          <w:sz w:val="20"/>
          <w:szCs w:val="20"/>
        </w:rPr>
        <w:t>Gervois</w:t>
      </w:r>
      <w:proofErr w:type="spellEnd"/>
      <w:r w:rsidR="002E5FEE" w:rsidRPr="002E5FEE">
        <w:rPr>
          <w:rFonts w:ascii="Arial" w:hAnsi="Arial" w:cs="Arial"/>
          <w:sz w:val="20"/>
          <w:szCs w:val="20"/>
        </w:rPr>
        <w:t xml:space="preserve">, P., Fanton, Y., </w:t>
      </w:r>
      <w:proofErr w:type="spellStart"/>
      <w:r w:rsidR="002E5FEE" w:rsidRPr="002E5FEE">
        <w:rPr>
          <w:rFonts w:ascii="Arial" w:hAnsi="Arial" w:cs="Arial"/>
          <w:sz w:val="20"/>
          <w:szCs w:val="20"/>
        </w:rPr>
        <w:t>Vanormelingen</w:t>
      </w:r>
      <w:proofErr w:type="spellEnd"/>
      <w:r w:rsidR="002E5FEE" w:rsidRPr="002E5FEE">
        <w:rPr>
          <w:rFonts w:ascii="Arial" w:hAnsi="Arial" w:cs="Arial"/>
          <w:sz w:val="20"/>
          <w:szCs w:val="20"/>
        </w:rPr>
        <w:t xml:space="preserve">, J., Martens, W., </w:t>
      </w:r>
      <w:proofErr w:type="spellStart"/>
      <w:r w:rsidR="002E5FEE" w:rsidRPr="002E5FEE">
        <w:rPr>
          <w:rFonts w:ascii="Arial" w:hAnsi="Arial" w:cs="Arial"/>
          <w:sz w:val="20"/>
          <w:szCs w:val="20"/>
        </w:rPr>
        <w:t>Struys</w:t>
      </w:r>
      <w:proofErr w:type="spellEnd"/>
      <w:r w:rsidR="002E5FEE" w:rsidRPr="002E5FEE">
        <w:rPr>
          <w:rFonts w:ascii="Arial" w:hAnsi="Arial" w:cs="Arial"/>
          <w:sz w:val="20"/>
          <w:szCs w:val="20"/>
        </w:rPr>
        <w:t xml:space="preserve">, T., Politis, C., </w:t>
      </w:r>
      <w:proofErr w:type="spellStart"/>
      <w:r w:rsidR="002E5FEE" w:rsidRPr="002E5FEE">
        <w:rPr>
          <w:rFonts w:ascii="Arial" w:hAnsi="Arial" w:cs="Arial"/>
          <w:sz w:val="20"/>
          <w:szCs w:val="20"/>
        </w:rPr>
        <w:t>Lambrichts</w:t>
      </w:r>
      <w:proofErr w:type="spellEnd"/>
      <w:r w:rsidR="002E5FEE" w:rsidRPr="002E5FEE">
        <w:rPr>
          <w:rFonts w:ascii="Arial" w:hAnsi="Arial" w:cs="Arial"/>
          <w:sz w:val="20"/>
          <w:szCs w:val="20"/>
        </w:rPr>
        <w:t xml:space="preserve">, I., &amp; </w:t>
      </w:r>
      <w:proofErr w:type="spellStart"/>
      <w:r w:rsidR="002E5FEE" w:rsidRPr="002E5FEE">
        <w:rPr>
          <w:rFonts w:ascii="Arial" w:hAnsi="Arial" w:cs="Arial"/>
          <w:sz w:val="20"/>
          <w:szCs w:val="20"/>
        </w:rPr>
        <w:t>Bronckaers</w:t>
      </w:r>
      <w:proofErr w:type="spellEnd"/>
      <w:r w:rsidR="002E5FEE" w:rsidRPr="002E5FEE">
        <w:rPr>
          <w:rFonts w:ascii="Arial" w:hAnsi="Arial" w:cs="Arial"/>
          <w:sz w:val="20"/>
          <w:szCs w:val="20"/>
        </w:rPr>
        <w:t xml:space="preserve">, A. (2013). Effect of isolation methodology on stem cell properties and multilineage differentiation potential of human dental pulp stem cells. Cell and Tissue Research, 353(1), 65-78. </w:t>
      </w:r>
      <w:hyperlink r:id="rId34" w:history="1">
        <w:r w:rsidR="002E5FEE" w:rsidRPr="00C67A6A">
          <w:rPr>
            <w:rStyle w:val="Hyperlink"/>
            <w:rFonts w:ascii="Arial" w:hAnsi="Arial" w:cs="Arial"/>
            <w:sz w:val="20"/>
            <w:szCs w:val="20"/>
          </w:rPr>
          <w:t>https://doi.org/10.1007/s00441-013-1630-x</w:t>
        </w:r>
      </w:hyperlink>
      <w:r w:rsidR="002E5FEE">
        <w:rPr>
          <w:rFonts w:ascii="Arial" w:hAnsi="Arial" w:cs="Arial"/>
          <w:sz w:val="20"/>
          <w:szCs w:val="20"/>
        </w:rPr>
        <w:t xml:space="preserve"> </w:t>
      </w:r>
    </w:p>
    <w:p w14:paraId="04DD1180" w14:textId="7D15EFDE" w:rsidR="003D53CF" w:rsidRDefault="003D53CF" w:rsidP="004E429F">
      <w:pPr>
        <w:jc w:val="both"/>
        <w:rPr>
          <w:rFonts w:ascii="Arial" w:hAnsi="Arial" w:cs="Arial"/>
          <w:sz w:val="20"/>
          <w:szCs w:val="20"/>
        </w:rPr>
      </w:pPr>
      <w:r>
        <w:rPr>
          <w:rFonts w:ascii="Arial" w:hAnsi="Arial" w:cs="Arial"/>
          <w:sz w:val="20"/>
          <w:szCs w:val="20"/>
        </w:rPr>
        <w:t>22.</w:t>
      </w:r>
      <w:r w:rsidR="002E5FEE" w:rsidRPr="002E5FEE">
        <w:t xml:space="preserve"> </w:t>
      </w:r>
      <w:r w:rsidR="002E5FEE" w:rsidRPr="002E5FEE">
        <w:rPr>
          <w:rFonts w:ascii="Arial" w:hAnsi="Arial" w:cs="Arial"/>
          <w:sz w:val="20"/>
          <w:szCs w:val="20"/>
        </w:rPr>
        <w:t xml:space="preserve">Gay, I. C., Chen, S., &amp; MacDougall, M. (2007). Isolation and characterization of multipotent human periodontal ligament stem cells. Orthodontics &amp; Craniofacial Research, 10(3), 149-160. </w:t>
      </w:r>
      <w:hyperlink r:id="rId35" w:history="1">
        <w:r w:rsidR="002E5FEE" w:rsidRPr="00C67A6A">
          <w:rPr>
            <w:rStyle w:val="Hyperlink"/>
            <w:rFonts w:ascii="Arial" w:hAnsi="Arial" w:cs="Arial"/>
            <w:sz w:val="20"/>
            <w:szCs w:val="20"/>
          </w:rPr>
          <w:t>https://doi.org/10.1111/j.1601-6343.2007.00399.x</w:t>
        </w:r>
      </w:hyperlink>
      <w:r w:rsidR="002E5FEE">
        <w:rPr>
          <w:rFonts w:ascii="Arial" w:hAnsi="Arial" w:cs="Arial"/>
          <w:sz w:val="20"/>
          <w:szCs w:val="20"/>
        </w:rPr>
        <w:t xml:space="preserve"> </w:t>
      </w:r>
    </w:p>
    <w:p w14:paraId="30802502" w14:textId="2EC5C5B7" w:rsidR="002E5FEE" w:rsidRDefault="003D53CF" w:rsidP="004E429F">
      <w:pPr>
        <w:jc w:val="both"/>
        <w:rPr>
          <w:rFonts w:ascii="Arial" w:hAnsi="Arial" w:cs="Arial"/>
          <w:sz w:val="20"/>
          <w:szCs w:val="20"/>
        </w:rPr>
      </w:pPr>
      <w:r>
        <w:rPr>
          <w:rFonts w:ascii="Arial" w:hAnsi="Arial" w:cs="Arial"/>
          <w:sz w:val="20"/>
          <w:szCs w:val="20"/>
        </w:rPr>
        <w:t>23.</w:t>
      </w:r>
      <w:r w:rsidR="002E5FEE" w:rsidRPr="002E5FEE">
        <w:t xml:space="preserve"> </w:t>
      </w:r>
      <w:r w:rsidR="002E5FEE" w:rsidRPr="002E5FEE">
        <w:rPr>
          <w:rFonts w:ascii="Arial" w:hAnsi="Arial" w:cs="Arial"/>
          <w:sz w:val="20"/>
          <w:szCs w:val="20"/>
        </w:rPr>
        <w:t xml:space="preserve">Miura, M., </w:t>
      </w:r>
      <w:proofErr w:type="spellStart"/>
      <w:r w:rsidR="002E5FEE" w:rsidRPr="002E5FEE">
        <w:rPr>
          <w:rFonts w:ascii="Arial" w:hAnsi="Arial" w:cs="Arial"/>
          <w:sz w:val="20"/>
          <w:szCs w:val="20"/>
        </w:rPr>
        <w:t>Gronthos</w:t>
      </w:r>
      <w:proofErr w:type="spellEnd"/>
      <w:r w:rsidR="002E5FEE" w:rsidRPr="002E5FEE">
        <w:rPr>
          <w:rFonts w:ascii="Arial" w:hAnsi="Arial" w:cs="Arial"/>
          <w:sz w:val="20"/>
          <w:szCs w:val="20"/>
        </w:rPr>
        <w:t xml:space="preserve">, S., Zhao, M., Lu, B., Fisher, L. W., Robey, P. G., &amp; Shi, S. (2003). SHED: Stem cells from human exfoliated deciduous teeth. Proceedings of the National Academy of Sciences, 100(10), 5807-5812. </w:t>
      </w:r>
      <w:hyperlink r:id="rId36" w:history="1">
        <w:r w:rsidR="002E5FEE" w:rsidRPr="00C67A6A">
          <w:rPr>
            <w:rStyle w:val="Hyperlink"/>
            <w:rFonts w:ascii="Arial" w:hAnsi="Arial" w:cs="Arial"/>
            <w:sz w:val="20"/>
            <w:szCs w:val="20"/>
          </w:rPr>
          <w:t>https://doi.org/10.1073/pnas.0937635100</w:t>
        </w:r>
      </w:hyperlink>
    </w:p>
    <w:p w14:paraId="2C82AF4B" w14:textId="77B687AE" w:rsidR="008C2E8B" w:rsidRDefault="008C2E8B" w:rsidP="004E429F">
      <w:pPr>
        <w:jc w:val="both"/>
        <w:rPr>
          <w:rFonts w:ascii="Arial" w:hAnsi="Arial" w:cs="Arial"/>
          <w:sz w:val="20"/>
          <w:szCs w:val="20"/>
        </w:rPr>
      </w:pPr>
      <w:r w:rsidRPr="008C2E8B">
        <w:t xml:space="preserve"> </w:t>
      </w:r>
      <w:commentRangeStart w:id="44"/>
      <w:r w:rsidRPr="008C2E8B">
        <w:rPr>
          <w:rFonts w:ascii="Arial" w:hAnsi="Arial" w:cs="Arial"/>
          <w:sz w:val="20"/>
          <w:szCs w:val="20"/>
        </w:rPr>
        <w:t>2</w:t>
      </w:r>
      <w:r>
        <w:rPr>
          <w:rFonts w:ascii="Arial" w:hAnsi="Arial" w:cs="Arial"/>
          <w:sz w:val="20"/>
          <w:szCs w:val="20"/>
        </w:rPr>
        <w:t>4</w:t>
      </w:r>
      <w:r w:rsidRPr="008C2E8B">
        <w:rPr>
          <w:rFonts w:ascii="Arial" w:hAnsi="Arial" w:cs="Arial"/>
          <w:sz w:val="20"/>
          <w:szCs w:val="20"/>
        </w:rPr>
        <w:t xml:space="preserve">. </w:t>
      </w:r>
      <w:proofErr w:type="spellStart"/>
      <w:r w:rsidRPr="008C2E8B">
        <w:rPr>
          <w:rFonts w:ascii="Arial" w:hAnsi="Arial" w:cs="Arial"/>
          <w:sz w:val="20"/>
          <w:szCs w:val="20"/>
        </w:rPr>
        <w:t>Guven</w:t>
      </w:r>
      <w:proofErr w:type="spellEnd"/>
      <w:r w:rsidRPr="008C2E8B">
        <w:rPr>
          <w:rFonts w:ascii="Arial" w:hAnsi="Arial" w:cs="Arial"/>
          <w:sz w:val="20"/>
          <w:szCs w:val="20"/>
        </w:rPr>
        <w:t xml:space="preserve"> EP, </w:t>
      </w:r>
      <w:proofErr w:type="spellStart"/>
      <w:r w:rsidRPr="008C2E8B">
        <w:rPr>
          <w:rFonts w:ascii="Arial" w:hAnsi="Arial" w:cs="Arial"/>
          <w:sz w:val="20"/>
          <w:szCs w:val="20"/>
        </w:rPr>
        <w:t>Yalvac</w:t>
      </w:r>
      <w:proofErr w:type="spellEnd"/>
      <w:r w:rsidRPr="008C2E8B">
        <w:rPr>
          <w:rFonts w:ascii="Arial" w:hAnsi="Arial" w:cs="Arial"/>
          <w:sz w:val="20"/>
          <w:szCs w:val="20"/>
        </w:rPr>
        <w:t xml:space="preserve"> ME, </w:t>
      </w:r>
      <w:proofErr w:type="spellStart"/>
      <w:r w:rsidRPr="008C2E8B">
        <w:rPr>
          <w:rFonts w:ascii="Arial" w:hAnsi="Arial" w:cs="Arial"/>
          <w:sz w:val="20"/>
          <w:szCs w:val="20"/>
        </w:rPr>
        <w:t>Kayahan</w:t>
      </w:r>
      <w:proofErr w:type="spellEnd"/>
      <w:r w:rsidRPr="008C2E8B">
        <w:rPr>
          <w:rFonts w:ascii="Arial" w:hAnsi="Arial" w:cs="Arial"/>
          <w:sz w:val="20"/>
          <w:szCs w:val="20"/>
        </w:rPr>
        <w:t xml:space="preserve"> MB, </w:t>
      </w:r>
      <w:proofErr w:type="spellStart"/>
      <w:r w:rsidRPr="008C2E8B">
        <w:rPr>
          <w:rFonts w:ascii="Arial" w:hAnsi="Arial" w:cs="Arial"/>
          <w:sz w:val="20"/>
          <w:szCs w:val="20"/>
        </w:rPr>
        <w:t>Sunay</w:t>
      </w:r>
      <w:proofErr w:type="spellEnd"/>
      <w:r w:rsidRPr="008C2E8B">
        <w:rPr>
          <w:rFonts w:ascii="Arial" w:hAnsi="Arial" w:cs="Arial"/>
          <w:sz w:val="20"/>
          <w:szCs w:val="20"/>
        </w:rPr>
        <w:t xml:space="preserve"> H, </w:t>
      </w:r>
      <w:proofErr w:type="spellStart"/>
      <w:r w:rsidRPr="008C2E8B">
        <w:rPr>
          <w:rFonts w:ascii="Arial" w:hAnsi="Arial" w:cs="Arial"/>
          <w:sz w:val="20"/>
          <w:szCs w:val="20"/>
        </w:rPr>
        <w:t>SahIn</w:t>
      </w:r>
      <w:proofErr w:type="spellEnd"/>
      <w:r w:rsidRPr="008C2E8B">
        <w:rPr>
          <w:rFonts w:ascii="Arial" w:hAnsi="Arial" w:cs="Arial"/>
          <w:sz w:val="20"/>
          <w:szCs w:val="20"/>
        </w:rPr>
        <w:t xml:space="preserve"> F, </w:t>
      </w:r>
      <w:proofErr w:type="spellStart"/>
      <w:r w:rsidRPr="008C2E8B">
        <w:rPr>
          <w:rFonts w:ascii="Arial" w:hAnsi="Arial" w:cs="Arial"/>
          <w:sz w:val="20"/>
          <w:szCs w:val="20"/>
        </w:rPr>
        <w:t>Bayirli</w:t>
      </w:r>
      <w:proofErr w:type="spellEnd"/>
      <w:r w:rsidRPr="008C2E8B">
        <w:rPr>
          <w:rFonts w:ascii="Arial" w:hAnsi="Arial" w:cs="Arial"/>
          <w:sz w:val="20"/>
          <w:szCs w:val="20"/>
        </w:rPr>
        <w:t xml:space="preserve"> G. Human tooth germ stem cell response to calcium silicate based endodontic cements. Journal of Applied Oral Science. 2013 Aug;21(4):351-7.</w:t>
      </w:r>
      <w:commentRangeEnd w:id="44"/>
      <w:r w:rsidR="00730E88">
        <w:rPr>
          <w:rStyle w:val="CommentReference"/>
        </w:rPr>
        <w:commentReference w:id="44"/>
      </w:r>
    </w:p>
    <w:p w14:paraId="18048EFC" w14:textId="53C6125D" w:rsidR="008C2E8B" w:rsidRDefault="008C2E8B" w:rsidP="004E429F">
      <w:pPr>
        <w:jc w:val="both"/>
        <w:rPr>
          <w:rFonts w:ascii="Arial" w:hAnsi="Arial" w:cs="Arial"/>
          <w:sz w:val="20"/>
          <w:szCs w:val="20"/>
        </w:rPr>
      </w:pPr>
      <w:r>
        <w:rPr>
          <w:rFonts w:ascii="Arial" w:hAnsi="Arial" w:cs="Arial"/>
          <w:sz w:val="20"/>
          <w:szCs w:val="20"/>
        </w:rPr>
        <w:t>25.</w:t>
      </w:r>
      <w:r w:rsidRPr="008C2E8B">
        <w:rPr>
          <w:rFonts w:ascii="Arial" w:hAnsi="Arial" w:cs="Arial"/>
          <w:sz w:val="20"/>
          <w:szCs w:val="20"/>
        </w:rPr>
        <w:t xml:space="preserve"> </w:t>
      </w:r>
      <w:r w:rsidR="00574388" w:rsidRPr="00574388">
        <w:rPr>
          <w:rFonts w:ascii="Arial" w:hAnsi="Arial" w:cs="Arial"/>
          <w:sz w:val="20"/>
          <w:szCs w:val="20"/>
        </w:rPr>
        <w:t xml:space="preserve">Gómez-de Diego, R., Mang-de la Rosa, M. R., Romero-Pérez, M. J., </w:t>
      </w:r>
      <w:proofErr w:type="spellStart"/>
      <w:r w:rsidR="00574388" w:rsidRPr="00574388">
        <w:rPr>
          <w:rFonts w:ascii="Arial" w:hAnsi="Arial" w:cs="Arial"/>
          <w:sz w:val="20"/>
          <w:szCs w:val="20"/>
        </w:rPr>
        <w:t>Cutando</w:t>
      </w:r>
      <w:proofErr w:type="spellEnd"/>
      <w:r w:rsidR="00574388" w:rsidRPr="00574388">
        <w:rPr>
          <w:rFonts w:ascii="Arial" w:hAnsi="Arial" w:cs="Arial"/>
          <w:sz w:val="20"/>
          <w:szCs w:val="20"/>
        </w:rPr>
        <w:t xml:space="preserve">-Soriano, A., &amp; López-Valverde-Centeno, A. (2014). Indications and contraindications of dental implants in medically compromised patients: Update. </w:t>
      </w:r>
      <w:proofErr w:type="spellStart"/>
      <w:r w:rsidR="00574388" w:rsidRPr="00574388">
        <w:rPr>
          <w:rFonts w:ascii="Arial" w:hAnsi="Arial" w:cs="Arial"/>
          <w:sz w:val="20"/>
          <w:szCs w:val="20"/>
        </w:rPr>
        <w:t>Medicina</w:t>
      </w:r>
      <w:proofErr w:type="spellEnd"/>
      <w:r w:rsidR="00574388" w:rsidRPr="00574388">
        <w:rPr>
          <w:rFonts w:ascii="Arial" w:hAnsi="Arial" w:cs="Arial"/>
          <w:sz w:val="20"/>
          <w:szCs w:val="20"/>
        </w:rPr>
        <w:t xml:space="preserve"> Oral, </w:t>
      </w:r>
      <w:proofErr w:type="spellStart"/>
      <w:r w:rsidR="00574388" w:rsidRPr="00574388">
        <w:rPr>
          <w:rFonts w:ascii="Arial" w:hAnsi="Arial" w:cs="Arial"/>
          <w:sz w:val="20"/>
          <w:szCs w:val="20"/>
        </w:rPr>
        <w:t>Patología</w:t>
      </w:r>
      <w:proofErr w:type="spellEnd"/>
      <w:r w:rsidR="00574388" w:rsidRPr="00574388">
        <w:rPr>
          <w:rFonts w:ascii="Arial" w:hAnsi="Arial" w:cs="Arial"/>
          <w:sz w:val="20"/>
          <w:szCs w:val="20"/>
        </w:rPr>
        <w:t xml:space="preserve"> Oral y </w:t>
      </w:r>
      <w:proofErr w:type="spellStart"/>
      <w:r w:rsidR="00574388" w:rsidRPr="00574388">
        <w:rPr>
          <w:rFonts w:ascii="Arial" w:hAnsi="Arial" w:cs="Arial"/>
          <w:sz w:val="20"/>
          <w:szCs w:val="20"/>
        </w:rPr>
        <w:t>Cirugía</w:t>
      </w:r>
      <w:proofErr w:type="spellEnd"/>
      <w:r w:rsidR="00574388" w:rsidRPr="00574388">
        <w:rPr>
          <w:rFonts w:ascii="Arial" w:hAnsi="Arial" w:cs="Arial"/>
          <w:sz w:val="20"/>
          <w:szCs w:val="20"/>
        </w:rPr>
        <w:t xml:space="preserve"> Bucal, 19(5), e483-e489. </w:t>
      </w:r>
      <w:hyperlink r:id="rId37" w:history="1">
        <w:r w:rsidR="00574388" w:rsidRPr="00C67A6A">
          <w:rPr>
            <w:rStyle w:val="Hyperlink"/>
            <w:rFonts w:ascii="Arial" w:hAnsi="Arial" w:cs="Arial"/>
            <w:sz w:val="20"/>
            <w:szCs w:val="20"/>
          </w:rPr>
          <w:t>https://doi.org/10.4317/medoral.19565</w:t>
        </w:r>
      </w:hyperlink>
      <w:r w:rsidR="00574388">
        <w:rPr>
          <w:rFonts w:ascii="Arial" w:hAnsi="Arial" w:cs="Arial"/>
          <w:sz w:val="20"/>
          <w:szCs w:val="20"/>
        </w:rPr>
        <w:t xml:space="preserve"> </w:t>
      </w:r>
    </w:p>
    <w:p w14:paraId="44C4D73B" w14:textId="73970F9C" w:rsidR="008C2E8B" w:rsidRDefault="008C2E8B" w:rsidP="004E429F">
      <w:pPr>
        <w:jc w:val="both"/>
        <w:rPr>
          <w:rFonts w:ascii="Arial" w:hAnsi="Arial" w:cs="Arial"/>
          <w:sz w:val="20"/>
          <w:szCs w:val="20"/>
        </w:rPr>
      </w:pPr>
      <w:r w:rsidRPr="008C2E8B">
        <w:rPr>
          <w:rFonts w:ascii="Arial" w:hAnsi="Arial" w:cs="Arial"/>
          <w:sz w:val="20"/>
          <w:szCs w:val="20"/>
        </w:rPr>
        <w:t>2</w:t>
      </w:r>
      <w:r>
        <w:rPr>
          <w:rFonts w:ascii="Arial" w:hAnsi="Arial" w:cs="Arial"/>
          <w:sz w:val="20"/>
          <w:szCs w:val="20"/>
        </w:rPr>
        <w:t>6</w:t>
      </w:r>
      <w:r w:rsidRPr="008C2E8B">
        <w:rPr>
          <w:rFonts w:ascii="Arial" w:hAnsi="Arial" w:cs="Arial"/>
          <w:sz w:val="20"/>
          <w:szCs w:val="20"/>
        </w:rPr>
        <w:t xml:space="preserve">. </w:t>
      </w:r>
      <w:proofErr w:type="spellStart"/>
      <w:r w:rsidR="00574388" w:rsidRPr="00574388">
        <w:rPr>
          <w:rFonts w:ascii="Arial" w:hAnsi="Arial" w:cs="Arial"/>
          <w:sz w:val="20"/>
          <w:szCs w:val="20"/>
        </w:rPr>
        <w:t>Morsczeck</w:t>
      </w:r>
      <w:proofErr w:type="spellEnd"/>
      <w:r w:rsidR="00574388" w:rsidRPr="00574388">
        <w:rPr>
          <w:rFonts w:ascii="Arial" w:hAnsi="Arial" w:cs="Arial"/>
          <w:sz w:val="20"/>
          <w:szCs w:val="20"/>
        </w:rPr>
        <w:t xml:space="preserve">, C., Götz, W., Schierholz, J., </w:t>
      </w:r>
      <w:proofErr w:type="spellStart"/>
      <w:r w:rsidR="00574388" w:rsidRPr="00574388">
        <w:rPr>
          <w:rFonts w:ascii="Arial" w:hAnsi="Arial" w:cs="Arial"/>
          <w:sz w:val="20"/>
          <w:szCs w:val="20"/>
        </w:rPr>
        <w:t>Zeilhofer</w:t>
      </w:r>
      <w:proofErr w:type="spellEnd"/>
      <w:r w:rsidR="00574388" w:rsidRPr="00574388">
        <w:rPr>
          <w:rFonts w:ascii="Arial" w:hAnsi="Arial" w:cs="Arial"/>
          <w:sz w:val="20"/>
          <w:szCs w:val="20"/>
        </w:rPr>
        <w:t xml:space="preserve">, F., Kühn, U., </w:t>
      </w:r>
      <w:proofErr w:type="spellStart"/>
      <w:r w:rsidR="00574388" w:rsidRPr="00574388">
        <w:rPr>
          <w:rFonts w:ascii="Arial" w:hAnsi="Arial" w:cs="Arial"/>
          <w:sz w:val="20"/>
          <w:szCs w:val="20"/>
        </w:rPr>
        <w:t>Möhl</w:t>
      </w:r>
      <w:proofErr w:type="spellEnd"/>
      <w:r w:rsidR="00574388" w:rsidRPr="00574388">
        <w:rPr>
          <w:rFonts w:ascii="Arial" w:hAnsi="Arial" w:cs="Arial"/>
          <w:sz w:val="20"/>
          <w:szCs w:val="20"/>
        </w:rPr>
        <w:t xml:space="preserve">, C., Sippel, C., &amp; Hoffmann, K. H. (2005). Isolation of precursor cells (PCs) from human dental follicle of wisdom teeth. Matrix Biology, 24(2), 155-165. </w:t>
      </w:r>
      <w:hyperlink r:id="rId38" w:history="1">
        <w:r w:rsidR="00574388" w:rsidRPr="00C67A6A">
          <w:rPr>
            <w:rStyle w:val="Hyperlink"/>
            <w:rFonts w:ascii="Arial" w:hAnsi="Arial" w:cs="Arial"/>
            <w:sz w:val="20"/>
            <w:szCs w:val="20"/>
          </w:rPr>
          <w:t>https://doi.org/10.1016/j.matbio.2004.12.004</w:t>
        </w:r>
      </w:hyperlink>
      <w:r w:rsidR="00574388">
        <w:rPr>
          <w:rFonts w:ascii="Arial" w:hAnsi="Arial" w:cs="Arial"/>
          <w:sz w:val="20"/>
          <w:szCs w:val="20"/>
        </w:rPr>
        <w:t xml:space="preserve"> </w:t>
      </w:r>
    </w:p>
    <w:p w14:paraId="38638106" w14:textId="5A09A022" w:rsidR="008C2E8B" w:rsidRDefault="008C2E8B" w:rsidP="004E429F">
      <w:pPr>
        <w:jc w:val="both"/>
        <w:rPr>
          <w:rFonts w:ascii="Arial" w:hAnsi="Arial" w:cs="Arial"/>
          <w:sz w:val="20"/>
          <w:szCs w:val="20"/>
        </w:rPr>
      </w:pPr>
      <w:r w:rsidRPr="008C2E8B">
        <w:rPr>
          <w:rFonts w:ascii="Arial" w:hAnsi="Arial" w:cs="Arial"/>
          <w:sz w:val="20"/>
          <w:szCs w:val="20"/>
        </w:rPr>
        <w:t xml:space="preserve"> 2</w:t>
      </w:r>
      <w:r>
        <w:rPr>
          <w:rFonts w:ascii="Arial" w:hAnsi="Arial" w:cs="Arial"/>
          <w:sz w:val="20"/>
          <w:szCs w:val="20"/>
        </w:rPr>
        <w:t>7</w:t>
      </w:r>
      <w:r w:rsidRPr="008C2E8B">
        <w:rPr>
          <w:rFonts w:ascii="Arial" w:hAnsi="Arial" w:cs="Arial"/>
          <w:sz w:val="20"/>
          <w:szCs w:val="20"/>
        </w:rPr>
        <w:t xml:space="preserve">. </w:t>
      </w:r>
      <w:proofErr w:type="spellStart"/>
      <w:r w:rsidR="00574388" w:rsidRPr="00574388">
        <w:rPr>
          <w:rFonts w:ascii="Arial" w:hAnsi="Arial" w:cs="Arial"/>
          <w:sz w:val="20"/>
          <w:szCs w:val="20"/>
        </w:rPr>
        <w:t>Kémoun</w:t>
      </w:r>
      <w:proofErr w:type="spellEnd"/>
      <w:r w:rsidR="00574388" w:rsidRPr="00574388">
        <w:rPr>
          <w:rFonts w:ascii="Arial" w:hAnsi="Arial" w:cs="Arial"/>
          <w:sz w:val="20"/>
          <w:szCs w:val="20"/>
        </w:rPr>
        <w:t>, P., Laurencin-</w:t>
      </w:r>
      <w:proofErr w:type="spellStart"/>
      <w:r w:rsidR="00574388" w:rsidRPr="00574388">
        <w:rPr>
          <w:rFonts w:ascii="Arial" w:hAnsi="Arial" w:cs="Arial"/>
          <w:sz w:val="20"/>
          <w:szCs w:val="20"/>
        </w:rPr>
        <w:t>Dalicieux</w:t>
      </w:r>
      <w:proofErr w:type="spellEnd"/>
      <w:r w:rsidR="00574388" w:rsidRPr="00574388">
        <w:rPr>
          <w:rFonts w:ascii="Arial" w:hAnsi="Arial" w:cs="Arial"/>
          <w:sz w:val="20"/>
          <w:szCs w:val="20"/>
        </w:rPr>
        <w:t xml:space="preserve">, S., Rue, J., </w:t>
      </w:r>
      <w:proofErr w:type="spellStart"/>
      <w:r w:rsidR="00574388" w:rsidRPr="00574388">
        <w:rPr>
          <w:rFonts w:ascii="Arial" w:hAnsi="Arial" w:cs="Arial"/>
          <w:sz w:val="20"/>
          <w:szCs w:val="20"/>
        </w:rPr>
        <w:t>Farges</w:t>
      </w:r>
      <w:proofErr w:type="spellEnd"/>
      <w:r w:rsidR="00574388" w:rsidRPr="00574388">
        <w:rPr>
          <w:rFonts w:ascii="Arial" w:hAnsi="Arial" w:cs="Arial"/>
          <w:sz w:val="20"/>
          <w:szCs w:val="20"/>
        </w:rPr>
        <w:t xml:space="preserve">, J. C., </w:t>
      </w:r>
      <w:proofErr w:type="spellStart"/>
      <w:r w:rsidR="00574388" w:rsidRPr="00574388">
        <w:rPr>
          <w:rFonts w:ascii="Arial" w:hAnsi="Arial" w:cs="Arial"/>
          <w:sz w:val="20"/>
          <w:szCs w:val="20"/>
        </w:rPr>
        <w:t>Gennero</w:t>
      </w:r>
      <w:proofErr w:type="spellEnd"/>
      <w:r w:rsidR="00574388" w:rsidRPr="00574388">
        <w:rPr>
          <w:rFonts w:ascii="Arial" w:hAnsi="Arial" w:cs="Arial"/>
          <w:sz w:val="20"/>
          <w:szCs w:val="20"/>
        </w:rPr>
        <w:t xml:space="preserve">, I., Conte-Auriol, F., Briand-Mesange, F., </w:t>
      </w:r>
      <w:proofErr w:type="spellStart"/>
      <w:r w:rsidR="00574388" w:rsidRPr="00574388">
        <w:rPr>
          <w:rFonts w:ascii="Arial" w:hAnsi="Arial" w:cs="Arial"/>
          <w:sz w:val="20"/>
          <w:szCs w:val="20"/>
        </w:rPr>
        <w:t>Gadelorge</w:t>
      </w:r>
      <w:proofErr w:type="spellEnd"/>
      <w:r w:rsidR="00574388" w:rsidRPr="00574388">
        <w:rPr>
          <w:rFonts w:ascii="Arial" w:hAnsi="Arial" w:cs="Arial"/>
          <w:sz w:val="20"/>
          <w:szCs w:val="20"/>
        </w:rPr>
        <w:t xml:space="preserve">, M., Arzate, H., Narayanan, A. S., &amp; Brunel, G. (2007). Human dental follicle cells acquire </w:t>
      </w:r>
      <w:proofErr w:type="spellStart"/>
      <w:r w:rsidR="00574388" w:rsidRPr="00574388">
        <w:rPr>
          <w:rFonts w:ascii="Arial" w:hAnsi="Arial" w:cs="Arial"/>
          <w:sz w:val="20"/>
          <w:szCs w:val="20"/>
        </w:rPr>
        <w:t>cementoblast</w:t>
      </w:r>
      <w:proofErr w:type="spellEnd"/>
      <w:r w:rsidR="00574388" w:rsidRPr="00574388">
        <w:rPr>
          <w:rFonts w:ascii="Arial" w:hAnsi="Arial" w:cs="Arial"/>
          <w:sz w:val="20"/>
          <w:szCs w:val="20"/>
        </w:rPr>
        <w:t xml:space="preserve"> features under stimulation by BMP-2/-7 and enamel matrix derivatives (EMD) in vitro. Cell and Tissue Research, 329(2), 283–294. </w:t>
      </w:r>
      <w:hyperlink r:id="rId39" w:history="1">
        <w:r w:rsidR="00574388" w:rsidRPr="00C67A6A">
          <w:rPr>
            <w:rStyle w:val="Hyperlink"/>
            <w:rFonts w:ascii="Arial" w:hAnsi="Arial" w:cs="Arial"/>
            <w:sz w:val="20"/>
            <w:szCs w:val="20"/>
          </w:rPr>
          <w:t>https://doi.org/10.1007/s00441-007-0397-3</w:t>
        </w:r>
      </w:hyperlink>
      <w:r w:rsidR="00574388">
        <w:rPr>
          <w:rFonts w:ascii="Arial" w:hAnsi="Arial" w:cs="Arial"/>
          <w:sz w:val="20"/>
          <w:szCs w:val="20"/>
        </w:rPr>
        <w:t xml:space="preserve"> </w:t>
      </w:r>
    </w:p>
    <w:p w14:paraId="2B772341" w14:textId="1FA4D9A7" w:rsidR="008C2E8B" w:rsidRDefault="008C2E8B" w:rsidP="004E429F">
      <w:pPr>
        <w:jc w:val="both"/>
        <w:rPr>
          <w:rFonts w:ascii="Arial" w:hAnsi="Arial" w:cs="Arial"/>
          <w:sz w:val="20"/>
          <w:szCs w:val="20"/>
        </w:rPr>
      </w:pPr>
      <w:r>
        <w:rPr>
          <w:rFonts w:ascii="Arial" w:hAnsi="Arial" w:cs="Arial"/>
          <w:sz w:val="20"/>
          <w:szCs w:val="20"/>
        </w:rPr>
        <w:t>28.</w:t>
      </w:r>
      <w:r w:rsidR="00574388" w:rsidRPr="00574388">
        <w:t xml:space="preserve"> </w:t>
      </w:r>
      <w:r w:rsidR="00574388" w:rsidRPr="00574388">
        <w:rPr>
          <w:rFonts w:ascii="Arial" w:hAnsi="Arial" w:cs="Arial"/>
          <w:sz w:val="20"/>
          <w:szCs w:val="20"/>
        </w:rPr>
        <w:t xml:space="preserve">Zhang, Q., Shi, S., Liu, Y., </w:t>
      </w:r>
      <w:proofErr w:type="spellStart"/>
      <w:r w:rsidR="00574388" w:rsidRPr="00574388">
        <w:rPr>
          <w:rFonts w:ascii="Arial" w:hAnsi="Arial" w:cs="Arial"/>
          <w:sz w:val="20"/>
          <w:szCs w:val="20"/>
        </w:rPr>
        <w:t>Uyanne</w:t>
      </w:r>
      <w:proofErr w:type="spellEnd"/>
      <w:r w:rsidR="00574388" w:rsidRPr="00574388">
        <w:rPr>
          <w:rFonts w:ascii="Arial" w:hAnsi="Arial" w:cs="Arial"/>
          <w:sz w:val="20"/>
          <w:szCs w:val="20"/>
        </w:rPr>
        <w:t xml:space="preserve">, J., Shi, Y., Shi, S., &amp; Le, A. D. (2009). Mesenchymal stem cells derived from human gingiva are capable of immunomodulatory functions and ameliorate inflammation-related tissue destruction in experimental colitis. The Journal of Immunology, 183(12), 7787-7798. </w:t>
      </w:r>
      <w:hyperlink r:id="rId40" w:history="1">
        <w:r w:rsidR="00574388" w:rsidRPr="00C67A6A">
          <w:rPr>
            <w:rStyle w:val="Hyperlink"/>
            <w:rFonts w:ascii="Arial" w:hAnsi="Arial" w:cs="Arial"/>
            <w:sz w:val="20"/>
            <w:szCs w:val="20"/>
          </w:rPr>
          <w:t>https://doi.org/10.4049/jimmunol.0902318</w:t>
        </w:r>
      </w:hyperlink>
      <w:r w:rsidR="00574388">
        <w:rPr>
          <w:rFonts w:ascii="Arial" w:hAnsi="Arial" w:cs="Arial"/>
          <w:sz w:val="20"/>
          <w:szCs w:val="20"/>
        </w:rPr>
        <w:t xml:space="preserve"> </w:t>
      </w:r>
    </w:p>
    <w:p w14:paraId="4859FCAF" w14:textId="7DFC50EC" w:rsidR="008C2E8B" w:rsidRDefault="008C2E8B" w:rsidP="004E429F">
      <w:pPr>
        <w:jc w:val="both"/>
        <w:rPr>
          <w:rFonts w:ascii="Arial" w:hAnsi="Arial" w:cs="Arial"/>
          <w:sz w:val="20"/>
          <w:szCs w:val="20"/>
        </w:rPr>
      </w:pPr>
      <w:r>
        <w:rPr>
          <w:rFonts w:ascii="Arial" w:hAnsi="Arial" w:cs="Arial"/>
          <w:sz w:val="20"/>
          <w:szCs w:val="20"/>
        </w:rPr>
        <w:t>29.</w:t>
      </w:r>
      <w:r w:rsidR="00574388" w:rsidRPr="00574388">
        <w:t xml:space="preserve"> </w:t>
      </w:r>
      <w:r w:rsidR="00574388" w:rsidRPr="00574388">
        <w:rPr>
          <w:rFonts w:ascii="Arial" w:hAnsi="Arial" w:cs="Arial"/>
          <w:sz w:val="20"/>
          <w:szCs w:val="20"/>
        </w:rPr>
        <w:t xml:space="preserve">Matsubara, T., </w:t>
      </w:r>
      <w:proofErr w:type="spellStart"/>
      <w:r w:rsidR="00574388" w:rsidRPr="00574388">
        <w:rPr>
          <w:rFonts w:ascii="Arial" w:hAnsi="Arial" w:cs="Arial"/>
          <w:sz w:val="20"/>
          <w:szCs w:val="20"/>
        </w:rPr>
        <w:t>Suardita</w:t>
      </w:r>
      <w:proofErr w:type="spellEnd"/>
      <w:r w:rsidR="00574388" w:rsidRPr="00574388">
        <w:rPr>
          <w:rFonts w:ascii="Arial" w:hAnsi="Arial" w:cs="Arial"/>
          <w:sz w:val="20"/>
          <w:szCs w:val="20"/>
        </w:rPr>
        <w:t xml:space="preserve">, K., Ishii, M., Sugiyama, M., Igarashi, A., Oda, R., Nishimura, M., Saito, M., Nakagawa, K., Yamanaka, K., &amp; Miyazaki, K. (2005). Alveolar bone marrow as a cell source for regenerative medicine: differences between alveolar and iliac bone marrow stromal cells. Journal of Bone and Mineral Research, 20(3), 399-409. </w:t>
      </w:r>
      <w:hyperlink r:id="rId41" w:history="1">
        <w:r w:rsidR="00574388" w:rsidRPr="00C67A6A">
          <w:rPr>
            <w:rStyle w:val="Hyperlink"/>
            <w:rFonts w:ascii="Arial" w:hAnsi="Arial" w:cs="Arial"/>
            <w:sz w:val="20"/>
            <w:szCs w:val="20"/>
          </w:rPr>
          <w:t>https://doi.org/10.1359/JBMR.041117</w:t>
        </w:r>
      </w:hyperlink>
      <w:r w:rsidR="00574388">
        <w:rPr>
          <w:rFonts w:ascii="Arial" w:hAnsi="Arial" w:cs="Arial"/>
          <w:sz w:val="20"/>
          <w:szCs w:val="20"/>
        </w:rPr>
        <w:t xml:space="preserve"> </w:t>
      </w:r>
    </w:p>
    <w:p w14:paraId="62DF728B" w14:textId="6FFF208A" w:rsidR="00BD5E0A" w:rsidRDefault="00BD5E0A" w:rsidP="004E429F">
      <w:pPr>
        <w:jc w:val="both"/>
        <w:rPr>
          <w:rFonts w:ascii="Arial" w:hAnsi="Arial" w:cs="Arial"/>
          <w:sz w:val="20"/>
          <w:szCs w:val="20"/>
        </w:rPr>
      </w:pPr>
      <w:r>
        <w:rPr>
          <w:rFonts w:ascii="Arial" w:hAnsi="Arial" w:cs="Arial"/>
          <w:sz w:val="20"/>
          <w:szCs w:val="20"/>
        </w:rPr>
        <w:t>30</w:t>
      </w:r>
      <w:r w:rsidRPr="00BD5E0A">
        <w:rPr>
          <w:rFonts w:ascii="Arial" w:hAnsi="Arial" w:cs="Arial"/>
          <w:sz w:val="20"/>
          <w:szCs w:val="20"/>
        </w:rPr>
        <w:t xml:space="preserve">. </w:t>
      </w:r>
      <w:r w:rsidR="00574388" w:rsidRPr="00574388">
        <w:rPr>
          <w:rFonts w:ascii="Arial" w:hAnsi="Arial" w:cs="Arial"/>
          <w:sz w:val="20"/>
          <w:szCs w:val="20"/>
        </w:rPr>
        <w:t xml:space="preserve">Bressan, E., Botticelli, D., </w:t>
      </w:r>
      <w:proofErr w:type="spellStart"/>
      <w:r w:rsidR="00574388" w:rsidRPr="00574388">
        <w:rPr>
          <w:rFonts w:ascii="Arial" w:hAnsi="Arial" w:cs="Arial"/>
          <w:sz w:val="20"/>
          <w:szCs w:val="20"/>
        </w:rPr>
        <w:t>Sivolella</w:t>
      </w:r>
      <w:proofErr w:type="spellEnd"/>
      <w:r w:rsidR="00574388" w:rsidRPr="00574388">
        <w:rPr>
          <w:rFonts w:ascii="Arial" w:hAnsi="Arial" w:cs="Arial"/>
          <w:sz w:val="20"/>
          <w:szCs w:val="20"/>
        </w:rPr>
        <w:t xml:space="preserve">, S., </w:t>
      </w:r>
      <w:proofErr w:type="spellStart"/>
      <w:r w:rsidR="00574388" w:rsidRPr="00574388">
        <w:rPr>
          <w:rFonts w:ascii="Arial" w:hAnsi="Arial" w:cs="Arial"/>
          <w:sz w:val="20"/>
          <w:szCs w:val="20"/>
        </w:rPr>
        <w:t>Bengazi</w:t>
      </w:r>
      <w:proofErr w:type="spellEnd"/>
      <w:r w:rsidR="00574388" w:rsidRPr="00574388">
        <w:rPr>
          <w:rFonts w:ascii="Arial" w:hAnsi="Arial" w:cs="Arial"/>
          <w:sz w:val="20"/>
          <w:szCs w:val="20"/>
        </w:rPr>
        <w:t xml:space="preserve">, F., </w:t>
      </w:r>
      <w:proofErr w:type="spellStart"/>
      <w:r w:rsidR="00574388" w:rsidRPr="00574388">
        <w:rPr>
          <w:rFonts w:ascii="Arial" w:hAnsi="Arial" w:cs="Arial"/>
          <w:sz w:val="20"/>
          <w:szCs w:val="20"/>
        </w:rPr>
        <w:t>Guazzo</w:t>
      </w:r>
      <w:proofErr w:type="spellEnd"/>
      <w:r w:rsidR="00574388" w:rsidRPr="00574388">
        <w:rPr>
          <w:rFonts w:ascii="Arial" w:hAnsi="Arial" w:cs="Arial"/>
          <w:sz w:val="20"/>
          <w:szCs w:val="20"/>
        </w:rPr>
        <w:t xml:space="preserve">, R., </w:t>
      </w:r>
      <w:proofErr w:type="spellStart"/>
      <w:r w:rsidR="00574388" w:rsidRPr="00574388">
        <w:rPr>
          <w:rFonts w:ascii="Arial" w:hAnsi="Arial" w:cs="Arial"/>
          <w:sz w:val="20"/>
          <w:szCs w:val="20"/>
        </w:rPr>
        <w:t>Sbricoli</w:t>
      </w:r>
      <w:proofErr w:type="spellEnd"/>
      <w:r w:rsidR="00574388" w:rsidRPr="00574388">
        <w:rPr>
          <w:rFonts w:ascii="Arial" w:hAnsi="Arial" w:cs="Arial"/>
          <w:sz w:val="20"/>
          <w:szCs w:val="20"/>
        </w:rPr>
        <w:t xml:space="preserve">, L., Ricci, S., Ferroni, L., Gardin, C., Velez, J. U., &amp; Zavan, B. (2015). Adipose-Derived Stem Cells as a Tool for Dental Implant Osseointegration: </w:t>
      </w:r>
      <w:proofErr w:type="gramStart"/>
      <w:r w:rsidR="00574388" w:rsidRPr="00574388">
        <w:rPr>
          <w:rFonts w:ascii="Arial" w:hAnsi="Arial" w:cs="Arial"/>
          <w:sz w:val="20"/>
          <w:szCs w:val="20"/>
        </w:rPr>
        <w:t>an</w:t>
      </w:r>
      <w:proofErr w:type="gramEnd"/>
      <w:r w:rsidR="00574388" w:rsidRPr="00574388">
        <w:rPr>
          <w:rFonts w:ascii="Arial" w:hAnsi="Arial" w:cs="Arial"/>
          <w:sz w:val="20"/>
          <w:szCs w:val="20"/>
        </w:rPr>
        <w:t xml:space="preserve"> Experimental Study in the Dog. International Journal of Molecular and Cellular Medicine, 4(4), 197-208. </w:t>
      </w:r>
      <w:hyperlink r:id="rId42" w:history="1">
        <w:r w:rsidR="00574388" w:rsidRPr="00C67A6A">
          <w:rPr>
            <w:rStyle w:val="Hyperlink"/>
            <w:rFonts w:ascii="Arial" w:hAnsi="Arial" w:cs="Arial"/>
            <w:sz w:val="20"/>
            <w:szCs w:val="20"/>
          </w:rPr>
          <w:t>https://www.ncbi.nlm.nih.gov/pmc/articles/PMC4769597/</w:t>
        </w:r>
      </w:hyperlink>
      <w:r w:rsidR="00574388">
        <w:rPr>
          <w:rFonts w:ascii="Arial" w:hAnsi="Arial" w:cs="Arial"/>
          <w:sz w:val="20"/>
          <w:szCs w:val="20"/>
        </w:rPr>
        <w:t xml:space="preserve"> </w:t>
      </w:r>
    </w:p>
    <w:p w14:paraId="2769E243" w14:textId="5443F826" w:rsidR="00BD5E0A" w:rsidRDefault="00BD5E0A" w:rsidP="004E429F">
      <w:pPr>
        <w:jc w:val="both"/>
        <w:rPr>
          <w:rFonts w:ascii="Arial" w:hAnsi="Arial" w:cs="Arial"/>
          <w:sz w:val="20"/>
          <w:szCs w:val="20"/>
        </w:rPr>
      </w:pPr>
      <w:r w:rsidRPr="00BD5E0A">
        <w:rPr>
          <w:rFonts w:ascii="Arial" w:hAnsi="Arial" w:cs="Arial"/>
          <w:sz w:val="20"/>
          <w:szCs w:val="20"/>
        </w:rPr>
        <w:t xml:space="preserve"> </w:t>
      </w:r>
      <w:r>
        <w:rPr>
          <w:rFonts w:ascii="Arial" w:hAnsi="Arial" w:cs="Arial"/>
          <w:sz w:val="20"/>
          <w:szCs w:val="20"/>
        </w:rPr>
        <w:t>31.</w:t>
      </w:r>
      <w:r w:rsidRPr="00BD5E0A">
        <w:rPr>
          <w:rFonts w:ascii="Arial" w:hAnsi="Arial" w:cs="Arial"/>
          <w:sz w:val="20"/>
          <w:szCs w:val="20"/>
        </w:rPr>
        <w:t xml:space="preserve"> </w:t>
      </w:r>
      <w:r w:rsidR="00574388" w:rsidRPr="00574388">
        <w:rPr>
          <w:rFonts w:ascii="Arial" w:hAnsi="Arial" w:cs="Arial"/>
          <w:sz w:val="20"/>
          <w:szCs w:val="20"/>
        </w:rPr>
        <w:t xml:space="preserve">Baena, R. R., Rizzo, S., Graziano, A., &amp; Lupi, S. M. (2016). Bone regeneration in implant dentistry: Role of mesenchymal stem cells. In M. H. K. Motamedi (Ed.), A Textbook of Advanced Oral and Maxillofacial Surgery: Volume 3. </w:t>
      </w:r>
      <w:proofErr w:type="spellStart"/>
      <w:r w:rsidR="00574388" w:rsidRPr="00574388">
        <w:rPr>
          <w:rFonts w:ascii="Arial" w:hAnsi="Arial" w:cs="Arial"/>
          <w:sz w:val="20"/>
          <w:szCs w:val="20"/>
        </w:rPr>
        <w:t>IntechOpen</w:t>
      </w:r>
      <w:commentRangeStart w:id="45"/>
      <w:proofErr w:type="spellEnd"/>
      <w:r w:rsidR="00574388" w:rsidRPr="00574388">
        <w:rPr>
          <w:rFonts w:ascii="Arial" w:hAnsi="Arial" w:cs="Arial"/>
          <w:sz w:val="20"/>
          <w:szCs w:val="20"/>
        </w:rPr>
        <w:t xml:space="preserve">. </w:t>
      </w:r>
      <w:hyperlink r:id="rId43" w:history="1">
        <w:r w:rsidR="00574388" w:rsidRPr="00C67A6A">
          <w:rPr>
            <w:rStyle w:val="Hyperlink"/>
            <w:rFonts w:ascii="Arial" w:hAnsi="Arial" w:cs="Arial"/>
            <w:sz w:val="20"/>
            <w:szCs w:val="20"/>
          </w:rPr>
          <w:t>https://doi.org/10.5772/63346</w:t>
        </w:r>
      </w:hyperlink>
      <w:commentRangeEnd w:id="45"/>
      <w:r w:rsidR="00C0298C">
        <w:rPr>
          <w:rStyle w:val="CommentReference"/>
        </w:rPr>
        <w:commentReference w:id="45"/>
      </w:r>
      <w:r w:rsidR="00574388">
        <w:rPr>
          <w:rFonts w:ascii="Arial" w:hAnsi="Arial" w:cs="Arial"/>
          <w:sz w:val="20"/>
          <w:szCs w:val="20"/>
        </w:rPr>
        <w:t xml:space="preserve"> </w:t>
      </w:r>
    </w:p>
    <w:p w14:paraId="6BB658D2" w14:textId="1F2D597F" w:rsidR="00BD5E0A" w:rsidRPr="004F5C03" w:rsidRDefault="00BD5E0A" w:rsidP="004E429F">
      <w:pPr>
        <w:jc w:val="both"/>
        <w:rPr>
          <w:rFonts w:ascii="Arial" w:hAnsi="Arial" w:cs="Arial"/>
          <w:sz w:val="20"/>
          <w:szCs w:val="20"/>
        </w:rPr>
      </w:pPr>
      <w:r>
        <w:rPr>
          <w:rFonts w:ascii="Arial" w:hAnsi="Arial" w:cs="Arial"/>
          <w:sz w:val="20"/>
          <w:szCs w:val="20"/>
        </w:rPr>
        <w:t>32.</w:t>
      </w:r>
      <w:r w:rsidR="00574388" w:rsidRPr="00574388">
        <w:t xml:space="preserve"> </w:t>
      </w:r>
      <w:proofErr w:type="spellStart"/>
      <w:r w:rsidR="00574388" w:rsidRPr="00574388">
        <w:rPr>
          <w:rFonts w:ascii="Arial" w:hAnsi="Arial" w:cs="Arial"/>
          <w:sz w:val="20"/>
          <w:szCs w:val="20"/>
        </w:rPr>
        <w:t>Asa'ad</w:t>
      </w:r>
      <w:proofErr w:type="spellEnd"/>
      <w:r w:rsidR="00574388" w:rsidRPr="00574388">
        <w:rPr>
          <w:rFonts w:ascii="Arial" w:hAnsi="Arial" w:cs="Arial"/>
          <w:sz w:val="20"/>
          <w:szCs w:val="20"/>
        </w:rPr>
        <w:t xml:space="preserve">, F., </w:t>
      </w:r>
      <w:proofErr w:type="spellStart"/>
      <w:r w:rsidR="00574388" w:rsidRPr="00574388">
        <w:rPr>
          <w:rFonts w:ascii="Arial" w:hAnsi="Arial" w:cs="Arial"/>
          <w:sz w:val="20"/>
          <w:szCs w:val="20"/>
        </w:rPr>
        <w:t>Pelanyte</w:t>
      </w:r>
      <w:proofErr w:type="spellEnd"/>
      <w:r w:rsidR="00574388" w:rsidRPr="00574388">
        <w:rPr>
          <w:rFonts w:ascii="Arial" w:hAnsi="Arial" w:cs="Arial"/>
          <w:sz w:val="20"/>
          <w:szCs w:val="20"/>
        </w:rPr>
        <w:t xml:space="preserve">, G., Philip, J., Dahlin, C., &amp; Larsson, L. (2020). The Role of Epigenetic Functionalization of Implants and Biomaterials in Osseointegration and Bone Regeneration—A Review. *Molecules*, *25*(24), 5879. </w:t>
      </w:r>
      <w:hyperlink r:id="rId44" w:history="1">
        <w:r w:rsidR="00574388" w:rsidRPr="00C67A6A">
          <w:rPr>
            <w:rStyle w:val="Hyperlink"/>
            <w:rFonts w:ascii="Arial" w:hAnsi="Arial" w:cs="Arial"/>
            <w:sz w:val="20"/>
            <w:szCs w:val="20"/>
          </w:rPr>
          <w:t>https://doi.org/10.3390/molecules25245879</w:t>
        </w:r>
      </w:hyperlink>
      <w:r w:rsidR="00574388">
        <w:rPr>
          <w:rFonts w:ascii="Arial" w:hAnsi="Arial" w:cs="Arial"/>
          <w:sz w:val="20"/>
          <w:szCs w:val="20"/>
        </w:rPr>
        <w:t xml:space="preserve"> </w:t>
      </w:r>
    </w:p>
    <w:p w14:paraId="4E155D2C" w14:textId="30F7A345" w:rsidR="00FD00EC" w:rsidRPr="004F5C03" w:rsidRDefault="00FD00EC" w:rsidP="005F2F77">
      <w:pPr>
        <w:rPr>
          <w:rFonts w:ascii="Arial" w:hAnsi="Arial" w:cs="Arial"/>
          <w:sz w:val="20"/>
          <w:szCs w:val="20"/>
        </w:rPr>
      </w:pPr>
    </w:p>
    <w:p w14:paraId="24A44DDB" w14:textId="77777777" w:rsidR="00FD00EC" w:rsidRPr="004F5C03" w:rsidRDefault="00FD00EC" w:rsidP="00FD00EC">
      <w:pPr>
        <w:jc w:val="both"/>
        <w:rPr>
          <w:rFonts w:ascii="Arial" w:hAnsi="Arial" w:cs="Arial"/>
          <w:sz w:val="20"/>
          <w:szCs w:val="20"/>
          <w:lang w:val="en-US"/>
        </w:rPr>
      </w:pPr>
    </w:p>
    <w:p w14:paraId="4E4BA17A" w14:textId="77777777" w:rsidR="00FD00EC" w:rsidRPr="004F5C03" w:rsidRDefault="00FD00EC" w:rsidP="00FD00EC">
      <w:pPr>
        <w:jc w:val="both"/>
        <w:rPr>
          <w:rFonts w:ascii="Arial" w:hAnsi="Arial" w:cs="Arial"/>
          <w:sz w:val="20"/>
          <w:szCs w:val="20"/>
          <w:lang w:val="en-US"/>
        </w:rPr>
      </w:pPr>
    </w:p>
    <w:p w14:paraId="6D6DCA30" w14:textId="467E93C5" w:rsidR="00FD00EC" w:rsidRPr="004F5C03" w:rsidRDefault="00FD00EC" w:rsidP="00FD00EC">
      <w:pPr>
        <w:jc w:val="both"/>
        <w:rPr>
          <w:rFonts w:ascii="Arial" w:hAnsi="Arial" w:cs="Arial"/>
          <w:sz w:val="20"/>
          <w:szCs w:val="20"/>
        </w:rPr>
      </w:pPr>
      <w:r w:rsidRPr="004F5C03">
        <w:rPr>
          <w:rFonts w:ascii="Arial" w:hAnsi="Arial" w:cs="Arial"/>
          <w:sz w:val="20"/>
          <w:szCs w:val="20"/>
          <w:lang w:val="en-US"/>
        </w:rPr>
        <w:cr/>
      </w:r>
    </w:p>
    <w:p w14:paraId="0D752B13" w14:textId="6BDB5347" w:rsidR="00EE1E61" w:rsidRPr="004F5C03" w:rsidRDefault="00EE1E61" w:rsidP="00EE1E61">
      <w:pPr>
        <w:jc w:val="both"/>
        <w:rPr>
          <w:rFonts w:ascii="Arial" w:hAnsi="Arial" w:cs="Arial"/>
          <w:sz w:val="20"/>
          <w:szCs w:val="20"/>
        </w:rPr>
      </w:pPr>
    </w:p>
    <w:p w14:paraId="00556DFD" w14:textId="5980B71F" w:rsidR="008807A7" w:rsidRPr="004F5C03" w:rsidRDefault="008807A7" w:rsidP="00FC5027">
      <w:pPr>
        <w:jc w:val="both"/>
        <w:rPr>
          <w:rFonts w:ascii="Arial" w:hAnsi="Arial" w:cs="Arial"/>
          <w:sz w:val="20"/>
          <w:szCs w:val="20"/>
        </w:rPr>
      </w:pPr>
    </w:p>
    <w:p w14:paraId="195A9084" w14:textId="68692B12" w:rsidR="008807A7" w:rsidRPr="004F5C03" w:rsidRDefault="008807A7" w:rsidP="00FC5027">
      <w:pPr>
        <w:jc w:val="both"/>
        <w:rPr>
          <w:sz w:val="28"/>
          <w:szCs w:val="28"/>
        </w:rPr>
      </w:pPr>
    </w:p>
    <w:p w14:paraId="46A2F69B" w14:textId="4266C7C2" w:rsidR="00710E6C" w:rsidRPr="004F5C03" w:rsidRDefault="00710E6C" w:rsidP="00FC5027">
      <w:pPr>
        <w:jc w:val="both"/>
        <w:rPr>
          <w:sz w:val="28"/>
          <w:szCs w:val="28"/>
        </w:rPr>
      </w:pPr>
    </w:p>
    <w:p w14:paraId="2CFDA726" w14:textId="74DB68A1" w:rsidR="00F670BB" w:rsidRPr="004F5C03" w:rsidRDefault="00F670BB" w:rsidP="00FC5027">
      <w:pPr>
        <w:jc w:val="both"/>
        <w:rPr>
          <w:sz w:val="28"/>
          <w:szCs w:val="28"/>
        </w:rPr>
      </w:pPr>
    </w:p>
    <w:p w14:paraId="1437D6AE" w14:textId="1A0224BD" w:rsidR="00F670BB" w:rsidRPr="004F5C03" w:rsidRDefault="00F670BB" w:rsidP="00FC5027">
      <w:pPr>
        <w:jc w:val="both"/>
        <w:rPr>
          <w:sz w:val="28"/>
          <w:szCs w:val="28"/>
        </w:rPr>
      </w:pPr>
    </w:p>
    <w:p w14:paraId="115AED03" w14:textId="3D337DA5" w:rsidR="00E84C26" w:rsidRPr="004F5C03" w:rsidRDefault="00E84C26" w:rsidP="00FC5027">
      <w:pPr>
        <w:jc w:val="both"/>
        <w:rPr>
          <w:sz w:val="28"/>
          <w:szCs w:val="28"/>
          <w:lang w:val="en-US"/>
        </w:rPr>
      </w:pPr>
    </w:p>
    <w:p w14:paraId="413DC69C" w14:textId="684356DE" w:rsidR="00E84C26" w:rsidRPr="004F5C03" w:rsidRDefault="00E84C26" w:rsidP="00E84C26">
      <w:pPr>
        <w:rPr>
          <w:sz w:val="28"/>
          <w:szCs w:val="28"/>
          <w:lang w:val="en-US"/>
        </w:rPr>
      </w:pPr>
      <w:r w:rsidRPr="004F5C03">
        <w:rPr>
          <w:sz w:val="28"/>
          <w:szCs w:val="28"/>
          <w:lang w:val="en-US"/>
        </w:rPr>
        <w:cr/>
      </w:r>
    </w:p>
    <w:sectPr w:rsidR="00E84C26" w:rsidRPr="004F5C03">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h" w:date="2025-12-10T01:07:00Z" w:initials="MF">
    <w:p w14:paraId="39BFD0E7" w14:textId="207C4C2F" w:rsidR="002D373F" w:rsidRDefault="002D373F">
      <w:pPr>
        <w:pStyle w:val="CommentText"/>
      </w:pPr>
      <w:r>
        <w:rPr>
          <w:rStyle w:val="CommentReference"/>
        </w:rPr>
        <w:annotationRef/>
      </w:r>
      <w:r>
        <w:t xml:space="preserve">The dot after the reference or follow the instruction of the journal </w:t>
      </w:r>
    </w:p>
  </w:comment>
  <w:comment w:id="2" w:author="Sh" w:date="2025-12-09T01:05:00Z" w:initials="MF">
    <w:p w14:paraId="0900503C" w14:textId="77777777" w:rsidR="001074CB" w:rsidRDefault="001074CB">
      <w:pPr>
        <w:pStyle w:val="CommentText"/>
      </w:pPr>
      <w:r>
        <w:rPr>
          <w:rStyle w:val="CommentReference"/>
        </w:rPr>
        <w:annotationRef/>
      </w:r>
      <w:r>
        <w:t xml:space="preserve">Begin with reference </w:t>
      </w:r>
      <w:proofErr w:type="gramStart"/>
      <w:r>
        <w:t>1  or</w:t>
      </w:r>
      <w:proofErr w:type="gramEnd"/>
      <w:r>
        <w:t xml:space="preserve"> 6 </w:t>
      </w:r>
    </w:p>
    <w:p w14:paraId="07BF1EDD" w14:textId="06D19544" w:rsidR="001074CB" w:rsidRDefault="001074CB">
      <w:pPr>
        <w:pStyle w:val="CommentText"/>
      </w:pPr>
      <w:r>
        <w:t>Please, check the sequence of reference.</w:t>
      </w:r>
    </w:p>
  </w:comment>
  <w:comment w:id="3" w:author="Sh" w:date="2025-12-09T01:09:00Z" w:initials="MF">
    <w:p w14:paraId="567467A0" w14:textId="0641A25A" w:rsidR="00A811D5" w:rsidRDefault="00A811D5">
      <w:pPr>
        <w:pStyle w:val="CommentText"/>
      </w:pPr>
      <w:r>
        <w:rPr>
          <w:rStyle w:val="CommentReference"/>
        </w:rPr>
        <w:annotationRef/>
      </w:r>
      <w:r>
        <w:t xml:space="preserve">Correct </w:t>
      </w:r>
      <w:proofErr w:type="gramStart"/>
      <w:r>
        <w:t>it .</w:t>
      </w:r>
      <w:proofErr w:type="gramEnd"/>
    </w:p>
  </w:comment>
  <w:comment w:id="4" w:author="Sh" w:date="2025-12-10T01:59:00Z" w:initials="MF">
    <w:p w14:paraId="2CD3EB41" w14:textId="1AF2ACC6" w:rsidR="00B913DE" w:rsidRDefault="00B913DE">
      <w:pPr>
        <w:pStyle w:val="CommentText"/>
      </w:pPr>
      <w:r>
        <w:rPr>
          <w:rStyle w:val="CommentReference"/>
        </w:rPr>
        <w:annotationRef/>
      </w:r>
      <w:r>
        <w:t xml:space="preserve">Add section of methodology </w:t>
      </w:r>
    </w:p>
  </w:comment>
  <w:comment w:id="5" w:author="Sh" w:date="2025-12-09T01:11:00Z" w:initials="MF">
    <w:p w14:paraId="012DB954" w14:textId="76AA3204" w:rsidR="00077270" w:rsidRDefault="00077270">
      <w:pPr>
        <w:pStyle w:val="CommentText"/>
      </w:pPr>
      <w:r>
        <w:rPr>
          <w:rStyle w:val="CommentReference"/>
        </w:rPr>
        <w:annotationRef/>
      </w:r>
      <w:r>
        <w:t xml:space="preserve">cementum </w:t>
      </w:r>
    </w:p>
  </w:comment>
  <w:comment w:id="6" w:author="Sh" w:date="2025-12-09T01:11:00Z" w:initials="MF">
    <w:p w14:paraId="1EFE065B" w14:textId="6B42E529" w:rsidR="00A811D5" w:rsidRDefault="00A811D5">
      <w:pPr>
        <w:pStyle w:val="CommentText"/>
      </w:pPr>
      <w:r>
        <w:rPr>
          <w:rStyle w:val="CommentReference"/>
        </w:rPr>
        <w:annotationRef/>
      </w:r>
      <w:r>
        <w:t xml:space="preserve">Please, add the reference </w:t>
      </w:r>
    </w:p>
  </w:comment>
  <w:comment w:id="7" w:author="Sh" w:date="2025-12-09T01:12:00Z" w:initials="MF">
    <w:p w14:paraId="10C7E39C" w14:textId="672D298F" w:rsidR="00832B33" w:rsidRDefault="00832B33">
      <w:pPr>
        <w:pStyle w:val="CommentText"/>
      </w:pPr>
      <w:r>
        <w:rPr>
          <w:rStyle w:val="CommentReference"/>
        </w:rPr>
        <w:annotationRef/>
      </w:r>
      <w:r>
        <w:t xml:space="preserve">Please, add the reference </w:t>
      </w:r>
    </w:p>
  </w:comment>
  <w:comment w:id="8" w:author="Sh" w:date="2025-12-09T01:13:00Z" w:initials="MF">
    <w:p w14:paraId="4AA03F4C" w14:textId="751C427D" w:rsidR="00832B33" w:rsidRDefault="00832B33">
      <w:pPr>
        <w:pStyle w:val="CommentText"/>
      </w:pPr>
      <w:r>
        <w:rPr>
          <w:rStyle w:val="CommentReference"/>
        </w:rPr>
        <w:annotationRef/>
      </w:r>
      <w:r>
        <w:t>Delete it</w:t>
      </w:r>
    </w:p>
  </w:comment>
  <w:comment w:id="9" w:author="Sh" w:date="2025-12-09T01:15:00Z" w:initials="MF">
    <w:p w14:paraId="582FA0EE" w14:textId="2F6799CF" w:rsidR="00832B33" w:rsidRDefault="00832B33">
      <w:pPr>
        <w:pStyle w:val="CommentText"/>
      </w:pPr>
      <w:r>
        <w:rPr>
          <w:rStyle w:val="CommentReference"/>
        </w:rPr>
        <w:annotationRef/>
      </w:r>
      <w:r>
        <w:t>Replace it by comma</w:t>
      </w:r>
    </w:p>
  </w:comment>
  <w:comment w:id="10" w:author="Sh" w:date="2025-12-09T01:15:00Z" w:initials="MF">
    <w:p w14:paraId="0F4E1FC4" w14:textId="77777777" w:rsidR="00FE6254" w:rsidRDefault="00FE6254">
      <w:pPr>
        <w:pStyle w:val="CommentText"/>
      </w:pPr>
      <w:r>
        <w:rPr>
          <w:rStyle w:val="CommentReference"/>
        </w:rPr>
        <w:annotationRef/>
      </w:r>
      <w:r>
        <w:t xml:space="preserve">Not clear what do you </w:t>
      </w:r>
      <w:proofErr w:type="gramStart"/>
      <w:r>
        <w:t>mean .</w:t>
      </w:r>
      <w:proofErr w:type="gramEnd"/>
    </w:p>
    <w:p w14:paraId="7005DD35" w14:textId="51D446CB" w:rsidR="00FE6254" w:rsidRDefault="00FE6254">
      <w:pPr>
        <w:pStyle w:val="CommentText"/>
      </w:pPr>
      <w:r>
        <w:t xml:space="preserve">Please, explain </w:t>
      </w:r>
    </w:p>
  </w:comment>
  <w:comment w:id="11" w:author="Sh" w:date="2025-12-09T01:17:00Z" w:initials="MF">
    <w:p w14:paraId="57ACABCB" w14:textId="7BBBB1BB" w:rsidR="00FE6254" w:rsidRDefault="00FE6254">
      <w:pPr>
        <w:pStyle w:val="CommentText"/>
      </w:pPr>
      <w:r>
        <w:rPr>
          <w:rStyle w:val="CommentReference"/>
        </w:rPr>
        <w:annotationRef/>
      </w:r>
      <w:r>
        <w:t xml:space="preserve">Add the meaning of this abbreviation </w:t>
      </w:r>
    </w:p>
  </w:comment>
  <w:comment w:id="12" w:author="Sh" w:date="2025-12-09T01:18:00Z" w:initials="MF">
    <w:p w14:paraId="2FD7BE8D" w14:textId="6A577E31" w:rsidR="000B77BC" w:rsidRDefault="000B77BC">
      <w:pPr>
        <w:pStyle w:val="CommentText"/>
      </w:pPr>
      <w:r>
        <w:rPr>
          <w:rStyle w:val="CommentReference"/>
        </w:rPr>
        <w:annotationRef/>
      </w:r>
      <w:r>
        <w:t>Same previous note.</w:t>
      </w:r>
    </w:p>
  </w:comment>
  <w:comment w:id="13" w:author="Sh" w:date="2025-12-09T01:21:00Z" w:initials="MF">
    <w:p w14:paraId="09004D1C" w14:textId="04351B03" w:rsidR="008C2029" w:rsidRDefault="008C2029">
      <w:pPr>
        <w:pStyle w:val="CommentText"/>
      </w:pPr>
      <w:r>
        <w:rPr>
          <w:rStyle w:val="CommentReference"/>
        </w:rPr>
        <w:annotationRef/>
      </w:r>
      <w:r>
        <w:t xml:space="preserve">Not clear </w:t>
      </w:r>
    </w:p>
  </w:comment>
  <w:comment w:id="14" w:author="Sh" w:date="2025-12-09T01:22:00Z" w:initials="MF">
    <w:p w14:paraId="6F9A1EC2" w14:textId="45380F20" w:rsidR="008C2029" w:rsidRDefault="008C2029">
      <w:pPr>
        <w:pStyle w:val="CommentText"/>
      </w:pPr>
      <w:r>
        <w:rPr>
          <w:rStyle w:val="CommentReference"/>
        </w:rPr>
        <w:annotationRef/>
      </w:r>
      <w:r>
        <w:t>The phrase is repeated.</w:t>
      </w:r>
    </w:p>
    <w:p w14:paraId="0459FFA6" w14:textId="4B483CDE" w:rsidR="008C2029" w:rsidRDefault="008C2029">
      <w:pPr>
        <w:pStyle w:val="CommentText"/>
      </w:pPr>
      <w:r>
        <w:t>Please, check it.</w:t>
      </w:r>
    </w:p>
  </w:comment>
  <w:comment w:id="15" w:author="Sh" w:date="2025-12-09T01:24:00Z" w:initials="MF">
    <w:p w14:paraId="12A91ADD" w14:textId="3D1CB6FA" w:rsidR="008C2029" w:rsidRDefault="008C2029">
      <w:pPr>
        <w:pStyle w:val="CommentText"/>
      </w:pPr>
      <w:r>
        <w:rPr>
          <w:rStyle w:val="CommentReference"/>
        </w:rPr>
        <w:annotationRef/>
      </w:r>
      <w:r>
        <w:t xml:space="preserve">Delete it </w:t>
      </w:r>
    </w:p>
  </w:comment>
  <w:comment w:id="16" w:author="Sh" w:date="2025-12-09T01:24:00Z" w:initials="MF">
    <w:p w14:paraId="11A45EB4" w14:textId="56ACB869" w:rsidR="008C2029" w:rsidRDefault="008C2029">
      <w:pPr>
        <w:pStyle w:val="CommentText"/>
      </w:pPr>
      <w:r>
        <w:rPr>
          <w:rStyle w:val="CommentReference"/>
        </w:rPr>
        <w:annotationRef/>
      </w:r>
      <w:r>
        <w:t xml:space="preserve">Explain the source of tooth </w:t>
      </w:r>
      <w:r w:rsidR="00360FED">
        <w:t xml:space="preserve">from animal or human if human mention which tooth from mandible or </w:t>
      </w:r>
      <w:proofErr w:type="gramStart"/>
      <w:r w:rsidR="00360FED">
        <w:t>maxilla ,male</w:t>
      </w:r>
      <w:proofErr w:type="gramEnd"/>
      <w:r w:rsidR="00360FED">
        <w:t xml:space="preserve"> or female and age.</w:t>
      </w:r>
    </w:p>
  </w:comment>
  <w:comment w:id="17" w:author="Sh" w:date="2025-12-09T01:40:00Z" w:initials="MF">
    <w:p w14:paraId="65CA49EC" w14:textId="5B501AE3" w:rsidR="00F97323" w:rsidRPr="00A55BFC" w:rsidRDefault="00F97323">
      <w:pPr>
        <w:pStyle w:val="CommentText"/>
      </w:pPr>
      <w:r>
        <w:rPr>
          <w:rStyle w:val="CommentReference"/>
        </w:rPr>
        <w:annotationRef/>
      </w:r>
      <w:r>
        <w:t>CO</w:t>
      </w:r>
      <w:r>
        <w:rPr>
          <w:vertAlign w:val="subscript"/>
        </w:rPr>
        <w:t>2</w:t>
      </w:r>
    </w:p>
  </w:comment>
  <w:comment w:id="18" w:author="Sh" w:date="2025-12-09T01:42:00Z" w:initials="MF">
    <w:p w14:paraId="02476890" w14:textId="0E349B0A" w:rsidR="004D0D86" w:rsidRDefault="004D0D86">
      <w:pPr>
        <w:pStyle w:val="CommentText"/>
      </w:pPr>
      <w:r>
        <w:rPr>
          <w:rStyle w:val="CommentReference"/>
        </w:rPr>
        <w:annotationRef/>
      </w:r>
      <w:r>
        <w:t xml:space="preserve">Delete it </w:t>
      </w:r>
    </w:p>
  </w:comment>
  <w:comment w:id="19" w:author="Sh" w:date="2025-12-09T01:45:00Z" w:initials="MF">
    <w:p w14:paraId="1860A814" w14:textId="77777777" w:rsidR="004D0D86" w:rsidRDefault="004D0D86">
      <w:pPr>
        <w:pStyle w:val="CommentText"/>
        <w:rPr>
          <w:lang w:val="en-US"/>
        </w:rPr>
      </w:pPr>
      <w:r>
        <w:rPr>
          <w:rStyle w:val="CommentReference"/>
        </w:rPr>
        <w:annotationRef/>
      </w:r>
      <w:r>
        <w:rPr>
          <w:lang w:val="en-US"/>
        </w:rPr>
        <w:t xml:space="preserve">Check 18 days and confirm </w:t>
      </w:r>
    </w:p>
    <w:p w14:paraId="1E7F4251" w14:textId="77777777" w:rsidR="004D0D86" w:rsidRDefault="004D0D86">
      <w:pPr>
        <w:pStyle w:val="CommentText"/>
        <w:rPr>
          <w:lang w:val="en-US"/>
        </w:rPr>
      </w:pPr>
    </w:p>
    <w:p w14:paraId="4F7535BA" w14:textId="584E069A" w:rsidR="004D0D86" w:rsidRPr="004D0D86" w:rsidRDefault="004D0D86">
      <w:pPr>
        <w:pStyle w:val="CommentText"/>
        <w:rPr>
          <w:lang w:val="en-US"/>
        </w:rPr>
      </w:pPr>
      <w:r>
        <w:rPr>
          <w:lang w:val="en-US"/>
        </w:rPr>
        <w:t xml:space="preserve">You are not </w:t>
      </w:r>
      <w:proofErr w:type="gramStart"/>
      <w:r>
        <w:rPr>
          <w:lang w:val="en-US"/>
        </w:rPr>
        <w:t>refer</w:t>
      </w:r>
      <w:proofErr w:type="gramEnd"/>
      <w:r>
        <w:rPr>
          <w:lang w:val="en-US"/>
        </w:rPr>
        <w:t xml:space="preserve"> this figure in the manuscript </w:t>
      </w:r>
    </w:p>
  </w:comment>
  <w:comment w:id="20" w:author="Sh" w:date="2025-12-09T01:49:00Z" w:initials="MF">
    <w:p w14:paraId="1CE786F0" w14:textId="1F3DD0B6" w:rsidR="00E00298" w:rsidRDefault="00E00298">
      <w:pPr>
        <w:pStyle w:val="CommentText"/>
      </w:pPr>
      <w:r>
        <w:rPr>
          <w:rStyle w:val="CommentReference"/>
        </w:rPr>
        <w:annotationRef/>
      </w:r>
      <w:r>
        <w:t>Please, re write the table with more scientific style</w:t>
      </w:r>
      <w:r w:rsidR="00324719">
        <w:t xml:space="preserve"> or write it as paragraph </w:t>
      </w:r>
      <w:r>
        <w:t xml:space="preserve"> </w:t>
      </w:r>
    </w:p>
    <w:p w14:paraId="5277F8E1" w14:textId="77777777" w:rsidR="0058413A" w:rsidRDefault="0058413A">
      <w:pPr>
        <w:pStyle w:val="CommentText"/>
      </w:pPr>
    </w:p>
    <w:p w14:paraId="2153060F" w14:textId="74CFA8F5" w:rsidR="0058413A" w:rsidRDefault="0058413A">
      <w:pPr>
        <w:pStyle w:val="CommentText"/>
      </w:pPr>
      <w:r>
        <w:t xml:space="preserve">And add the reference </w:t>
      </w:r>
    </w:p>
  </w:comment>
  <w:comment w:id="21" w:author="Sh" w:date="2025-12-09T01:50:00Z" w:initials="MF">
    <w:p w14:paraId="4BA11051" w14:textId="77777777" w:rsidR="00E00298" w:rsidRDefault="00E00298">
      <w:pPr>
        <w:pStyle w:val="CommentText"/>
      </w:pPr>
      <w:r>
        <w:rPr>
          <w:rStyle w:val="CommentReference"/>
        </w:rPr>
        <w:annotationRef/>
      </w:r>
      <w:r>
        <w:t xml:space="preserve">Replace it by dot </w:t>
      </w:r>
    </w:p>
    <w:p w14:paraId="6171CD38" w14:textId="77777777" w:rsidR="00E00298" w:rsidRDefault="00E00298">
      <w:pPr>
        <w:pStyle w:val="CommentText"/>
      </w:pPr>
    </w:p>
    <w:p w14:paraId="39612F30" w14:textId="77777777" w:rsidR="00E00298" w:rsidRDefault="00E00298">
      <w:pPr>
        <w:pStyle w:val="CommentText"/>
      </w:pPr>
      <w:r>
        <w:t xml:space="preserve">Table 1. </w:t>
      </w:r>
    </w:p>
    <w:p w14:paraId="49EB30FD" w14:textId="77777777" w:rsidR="00E00298" w:rsidRDefault="00E00298">
      <w:pPr>
        <w:pStyle w:val="CommentText"/>
      </w:pPr>
    </w:p>
    <w:p w14:paraId="034BAB6A" w14:textId="77777777" w:rsidR="00E00298" w:rsidRDefault="00E00298">
      <w:pPr>
        <w:pStyle w:val="CommentText"/>
      </w:pPr>
    </w:p>
    <w:p w14:paraId="330AE183" w14:textId="77777777" w:rsidR="00E00298" w:rsidRDefault="00E00298">
      <w:pPr>
        <w:pStyle w:val="CommentText"/>
      </w:pPr>
      <w:r>
        <w:t xml:space="preserve">Write the title of table in correct position </w:t>
      </w:r>
      <w:r w:rsidR="003D7E95">
        <w:t>above the table</w:t>
      </w:r>
    </w:p>
    <w:p w14:paraId="3F754C6E" w14:textId="77777777" w:rsidR="007E21DE" w:rsidRDefault="007E21DE">
      <w:pPr>
        <w:pStyle w:val="CommentText"/>
      </w:pPr>
    </w:p>
    <w:p w14:paraId="2BE0ED51" w14:textId="79210A79" w:rsidR="007E21DE" w:rsidRDefault="007E21DE">
      <w:pPr>
        <w:pStyle w:val="CommentText"/>
      </w:pPr>
      <w:r>
        <w:t xml:space="preserve">Refer the table in the manuscript </w:t>
      </w:r>
    </w:p>
  </w:comment>
  <w:comment w:id="22" w:author="Sh" w:date="2025-12-09T01:53:00Z" w:initials="MF">
    <w:p w14:paraId="6603556D" w14:textId="77777777" w:rsidR="00B15F3F" w:rsidRDefault="00B15F3F">
      <w:pPr>
        <w:pStyle w:val="CommentText"/>
      </w:pPr>
      <w:r>
        <w:rPr>
          <w:rStyle w:val="CommentReference"/>
        </w:rPr>
        <w:annotationRef/>
      </w:r>
      <w:r>
        <w:t xml:space="preserve">Refer the figure in the manuscript </w:t>
      </w:r>
    </w:p>
    <w:p w14:paraId="480CB0F0" w14:textId="77777777" w:rsidR="00DC5784" w:rsidRDefault="00DC5784">
      <w:pPr>
        <w:pStyle w:val="CommentText"/>
      </w:pPr>
    </w:p>
    <w:p w14:paraId="312A07E7" w14:textId="760F63A1" w:rsidR="00DC5784" w:rsidRDefault="00DC5784">
      <w:pPr>
        <w:pStyle w:val="CommentText"/>
      </w:pPr>
      <w:r>
        <w:t>Add the reference for this figure you are take it from reference number 14</w:t>
      </w:r>
    </w:p>
  </w:comment>
  <w:comment w:id="23" w:author="Sh" w:date="2025-12-09T01:55:00Z" w:initials="MF">
    <w:p w14:paraId="3002A71F" w14:textId="77777777" w:rsidR="0058413A" w:rsidRDefault="0058413A">
      <w:pPr>
        <w:pStyle w:val="CommentText"/>
      </w:pPr>
      <w:r>
        <w:rPr>
          <w:rStyle w:val="CommentReference"/>
        </w:rPr>
        <w:annotationRef/>
      </w:r>
      <w:r>
        <w:t xml:space="preserve">Figure 1 flowchart </w:t>
      </w:r>
    </w:p>
    <w:p w14:paraId="5D91BFF4" w14:textId="164BC9B8" w:rsidR="0058413A" w:rsidRDefault="0058413A">
      <w:pPr>
        <w:pStyle w:val="CommentText"/>
      </w:pPr>
      <w:r>
        <w:t>Please, check it</w:t>
      </w:r>
    </w:p>
  </w:comment>
  <w:comment w:id="24" w:author="Sh" w:date="2025-12-09T01:56:00Z" w:initials="MF">
    <w:p w14:paraId="74864E9D" w14:textId="172484C5" w:rsidR="0058413A" w:rsidRDefault="0058413A">
      <w:pPr>
        <w:pStyle w:val="CommentText"/>
      </w:pPr>
      <w:r>
        <w:rPr>
          <w:rStyle w:val="CommentReference"/>
        </w:rPr>
        <w:annotationRef/>
      </w:r>
      <w:r>
        <w:t xml:space="preserve">Add the meaning of this abbreviation </w:t>
      </w:r>
    </w:p>
  </w:comment>
  <w:comment w:id="25" w:author="Sh" w:date="2025-12-09T01:56:00Z" w:initials="MF">
    <w:p w14:paraId="6F063F52" w14:textId="4824813D" w:rsidR="0058413A" w:rsidRDefault="0058413A">
      <w:pPr>
        <w:pStyle w:val="CommentText"/>
      </w:pPr>
      <w:r>
        <w:rPr>
          <w:rStyle w:val="CommentReference"/>
        </w:rPr>
        <w:annotationRef/>
      </w:r>
      <w:r>
        <w:t xml:space="preserve">Add the reference </w:t>
      </w:r>
    </w:p>
  </w:comment>
  <w:comment w:id="26" w:author="Sh" w:date="2025-12-09T01:57:00Z" w:initials="MF">
    <w:p w14:paraId="3B7EE1E5" w14:textId="33B8D114" w:rsidR="0058413A" w:rsidRDefault="0058413A">
      <w:pPr>
        <w:pStyle w:val="CommentText"/>
      </w:pPr>
      <w:r>
        <w:rPr>
          <w:rStyle w:val="CommentReference"/>
        </w:rPr>
        <w:annotationRef/>
      </w:r>
      <w:r>
        <w:t xml:space="preserve">Use either – </w:t>
      </w:r>
      <w:proofErr w:type="gramStart"/>
      <w:r>
        <w:t>or ,</w:t>
      </w:r>
      <w:proofErr w:type="gramEnd"/>
      <w:r>
        <w:t xml:space="preserve"> according to the instruction of the journal</w:t>
      </w:r>
    </w:p>
  </w:comment>
  <w:comment w:id="27" w:author="Sh" w:date="2025-12-09T01:58:00Z" w:initials="MF">
    <w:p w14:paraId="5439AF8D" w14:textId="707D762E" w:rsidR="0058413A" w:rsidRDefault="0058413A">
      <w:pPr>
        <w:pStyle w:val="CommentText"/>
      </w:pPr>
      <w:r>
        <w:rPr>
          <w:rStyle w:val="CommentReference"/>
        </w:rPr>
        <w:annotationRef/>
      </w:r>
      <w:r>
        <w:t xml:space="preserve">Add the meaning of these </w:t>
      </w:r>
      <w:proofErr w:type="spellStart"/>
      <w:r>
        <w:t>abreviations</w:t>
      </w:r>
      <w:proofErr w:type="spellEnd"/>
      <w:r>
        <w:t xml:space="preserve"> </w:t>
      </w:r>
    </w:p>
  </w:comment>
  <w:comment w:id="28" w:author="Sh" w:date="2025-12-09T01:59:00Z" w:initials="MF">
    <w:p w14:paraId="182BC7C9" w14:textId="4F5F1D8C" w:rsidR="0058413A" w:rsidRDefault="0058413A">
      <w:pPr>
        <w:pStyle w:val="CommentText"/>
      </w:pPr>
      <w:r>
        <w:rPr>
          <w:rStyle w:val="CommentReference"/>
        </w:rPr>
        <w:annotationRef/>
      </w:r>
      <w:r>
        <w:t>The same previous note</w:t>
      </w:r>
    </w:p>
  </w:comment>
  <w:comment w:id="29" w:author="Sh" w:date="2025-12-09T23:16:00Z" w:initials="MF">
    <w:p w14:paraId="459E4F05" w14:textId="0E9A0950" w:rsidR="007006EC" w:rsidRDefault="007006EC">
      <w:pPr>
        <w:pStyle w:val="CommentText"/>
      </w:pPr>
      <w:r>
        <w:rPr>
          <w:rStyle w:val="CommentReference"/>
        </w:rPr>
        <w:annotationRef/>
      </w:r>
      <w:r>
        <w:t>[24].</w:t>
      </w:r>
    </w:p>
  </w:comment>
  <w:comment w:id="30" w:author="Sh" w:date="2025-12-09T23:20:00Z" w:initials="MF">
    <w:p w14:paraId="29937847" w14:textId="1B1213F7" w:rsidR="00357CC7" w:rsidRDefault="00357CC7">
      <w:pPr>
        <w:pStyle w:val="CommentText"/>
      </w:pPr>
      <w:r>
        <w:rPr>
          <w:rStyle w:val="CommentReference"/>
        </w:rPr>
        <w:annotationRef/>
      </w:r>
      <w:r>
        <w:t>Delete repeated word.</w:t>
      </w:r>
    </w:p>
  </w:comment>
  <w:comment w:id="31" w:author="Sh" w:date="2025-12-09T23:20:00Z" w:initials="MF">
    <w:p w14:paraId="5FBE7829" w14:textId="52B40D09" w:rsidR="000B3653" w:rsidRDefault="000B3653">
      <w:pPr>
        <w:pStyle w:val="CommentText"/>
      </w:pPr>
      <w:r>
        <w:rPr>
          <w:rStyle w:val="CommentReference"/>
        </w:rPr>
        <w:annotationRef/>
      </w:r>
      <w:r>
        <w:t>Delete comma or check if there is another reference to add.</w:t>
      </w:r>
    </w:p>
  </w:comment>
  <w:comment w:id="32" w:author="Sh" w:date="2025-12-09T23:21:00Z" w:initials="MF">
    <w:p w14:paraId="6064F89F" w14:textId="3583C43E" w:rsidR="000B3653" w:rsidRDefault="000B3653">
      <w:pPr>
        <w:pStyle w:val="CommentText"/>
      </w:pPr>
      <w:r>
        <w:rPr>
          <w:rStyle w:val="CommentReference"/>
        </w:rPr>
        <w:annotationRef/>
      </w:r>
      <w:r>
        <w:t xml:space="preserve">Delete it </w:t>
      </w:r>
    </w:p>
  </w:comment>
  <w:comment w:id="33" w:author="Sh" w:date="2025-12-09T23:22:00Z" w:initials="MF">
    <w:p w14:paraId="1B0C4722" w14:textId="6400EB11" w:rsidR="000B3653" w:rsidRDefault="000B3653">
      <w:pPr>
        <w:pStyle w:val="CommentText"/>
      </w:pPr>
      <w:r>
        <w:rPr>
          <w:rStyle w:val="CommentReference"/>
        </w:rPr>
        <w:annotationRef/>
      </w:r>
      <w:r>
        <w:t xml:space="preserve">Add reference </w:t>
      </w:r>
    </w:p>
  </w:comment>
  <w:comment w:id="34" w:author="Sh" w:date="2025-12-09T23:22:00Z" w:initials="MF">
    <w:p w14:paraId="1246DE45" w14:textId="5C257E41" w:rsidR="000B3653" w:rsidRDefault="000B3653">
      <w:pPr>
        <w:pStyle w:val="CommentText"/>
      </w:pPr>
      <w:r>
        <w:rPr>
          <w:rStyle w:val="CommentReference"/>
        </w:rPr>
        <w:annotationRef/>
      </w:r>
      <w:r>
        <w:t>Delete it</w:t>
      </w:r>
    </w:p>
  </w:comment>
  <w:comment w:id="35" w:author="Sh" w:date="2025-12-09T23:23:00Z" w:initials="MF">
    <w:p w14:paraId="256966E5" w14:textId="4C0B3C9D" w:rsidR="000B3653" w:rsidRDefault="000B3653">
      <w:pPr>
        <w:pStyle w:val="CommentText"/>
      </w:pPr>
      <w:r>
        <w:rPr>
          <w:rStyle w:val="CommentReference"/>
        </w:rPr>
        <w:annotationRef/>
      </w:r>
      <w:r>
        <w:t xml:space="preserve">Add reference </w:t>
      </w:r>
    </w:p>
  </w:comment>
  <w:comment w:id="36" w:author="Sh" w:date="2025-12-09T23:23:00Z" w:initials="MF">
    <w:p w14:paraId="66211FD6" w14:textId="4EC298B0" w:rsidR="000B3653" w:rsidRDefault="000B3653">
      <w:pPr>
        <w:pStyle w:val="CommentText"/>
      </w:pPr>
      <w:r>
        <w:rPr>
          <w:rStyle w:val="CommentReference"/>
        </w:rPr>
        <w:annotationRef/>
      </w:r>
      <w:r>
        <w:t xml:space="preserve">Delete it </w:t>
      </w:r>
    </w:p>
  </w:comment>
  <w:comment w:id="37" w:author="Sh" w:date="2025-12-09T23:24:00Z" w:initials="MF">
    <w:p w14:paraId="1A687DD8" w14:textId="3E983025" w:rsidR="000B3653" w:rsidRDefault="000B3653">
      <w:pPr>
        <w:pStyle w:val="CommentText"/>
      </w:pPr>
      <w:r>
        <w:rPr>
          <w:rStyle w:val="CommentReference"/>
        </w:rPr>
        <w:annotationRef/>
      </w:r>
      <w:r>
        <w:t xml:space="preserve">Add reference </w:t>
      </w:r>
    </w:p>
  </w:comment>
  <w:comment w:id="38" w:author="Sh" w:date="2025-12-09T23:25:00Z" w:initials="MF">
    <w:p w14:paraId="6F7BCF82" w14:textId="05474D6B" w:rsidR="000B3653" w:rsidRDefault="000B3653">
      <w:pPr>
        <w:pStyle w:val="CommentText"/>
      </w:pPr>
      <w:r>
        <w:rPr>
          <w:rStyle w:val="CommentReference"/>
        </w:rPr>
        <w:annotationRef/>
      </w:r>
      <w:r>
        <w:t xml:space="preserve">Add reference </w:t>
      </w:r>
    </w:p>
  </w:comment>
  <w:comment w:id="39" w:author="Sh" w:date="2025-12-10T01:14:00Z" w:initials="MF">
    <w:p w14:paraId="198DA536" w14:textId="772C4587" w:rsidR="00C31418" w:rsidRDefault="00C31418">
      <w:pPr>
        <w:pStyle w:val="CommentText"/>
      </w:pPr>
      <w:r>
        <w:rPr>
          <w:rStyle w:val="CommentReference"/>
        </w:rPr>
        <w:annotationRef/>
      </w:r>
      <w:r>
        <w:t>Add more studies in this field as table or paragraph</w:t>
      </w:r>
    </w:p>
  </w:comment>
  <w:comment w:id="40" w:author="Sh" w:date="2025-12-09T23:56:00Z" w:initials="MF">
    <w:p w14:paraId="6006407F" w14:textId="31EF8FFF" w:rsidR="00612FFD" w:rsidRDefault="00612FFD">
      <w:pPr>
        <w:pStyle w:val="CommentText"/>
      </w:pPr>
      <w:r>
        <w:rPr>
          <w:rStyle w:val="CommentReference"/>
        </w:rPr>
        <w:annotationRef/>
      </w:r>
      <w:r>
        <w:t xml:space="preserve">Check the link </w:t>
      </w:r>
    </w:p>
  </w:comment>
  <w:comment w:id="41" w:author="Sh" w:date="2025-12-10T01:06:00Z" w:initials="MF">
    <w:p w14:paraId="231E5EEF" w14:textId="21CEC9B2" w:rsidR="00172372" w:rsidRDefault="00172372">
      <w:pPr>
        <w:pStyle w:val="CommentText"/>
      </w:pPr>
      <w:r>
        <w:rPr>
          <w:rStyle w:val="CommentReference"/>
        </w:rPr>
        <w:annotationRef/>
      </w:r>
      <w:r>
        <w:t>of</w:t>
      </w:r>
    </w:p>
  </w:comment>
  <w:comment w:id="42" w:author="Sh" w:date="2025-12-10T00:01:00Z" w:initials="MF">
    <w:p w14:paraId="73C30BA2" w14:textId="34B8DC86" w:rsidR="006661C7" w:rsidRDefault="006661C7">
      <w:pPr>
        <w:pStyle w:val="CommentText"/>
      </w:pPr>
      <w:r>
        <w:rPr>
          <w:rStyle w:val="CommentReference"/>
        </w:rPr>
        <w:annotationRef/>
      </w:r>
      <w:r>
        <w:t>Add the DOI</w:t>
      </w:r>
    </w:p>
  </w:comment>
  <w:comment w:id="43" w:author="Sh" w:date="2025-12-10T00:32:00Z" w:initials="MF">
    <w:p w14:paraId="2D3F3974" w14:textId="7AFBE2D4" w:rsidR="008512BB" w:rsidRDefault="008512BB">
      <w:pPr>
        <w:pStyle w:val="CommentText"/>
      </w:pPr>
      <w:r>
        <w:rPr>
          <w:rStyle w:val="CommentReference"/>
        </w:rPr>
        <w:annotationRef/>
      </w:r>
      <w:r>
        <w:t xml:space="preserve">Check the reference. There </w:t>
      </w:r>
      <w:proofErr w:type="gramStart"/>
      <w:r>
        <w:t>are  two</w:t>
      </w:r>
      <w:proofErr w:type="gramEnd"/>
      <w:r>
        <w:t xml:space="preserve"> references </w:t>
      </w:r>
    </w:p>
  </w:comment>
  <w:comment w:id="44" w:author="Sh" w:date="2025-12-10T00:52:00Z" w:initials="MF">
    <w:p w14:paraId="367BBB61" w14:textId="74AFBA07" w:rsidR="00730E88" w:rsidRDefault="00730E88">
      <w:pPr>
        <w:pStyle w:val="CommentText"/>
      </w:pPr>
      <w:r>
        <w:rPr>
          <w:rStyle w:val="CommentReference"/>
        </w:rPr>
        <w:annotationRef/>
      </w:r>
      <w:r>
        <w:t xml:space="preserve">Add DOI </w:t>
      </w:r>
    </w:p>
  </w:comment>
  <w:comment w:id="45" w:author="Sh" w:date="2025-12-10T01:02:00Z" w:initials="MF">
    <w:p w14:paraId="116DBD70" w14:textId="77777777" w:rsidR="00C0298C" w:rsidRDefault="00C0298C">
      <w:pPr>
        <w:pStyle w:val="CommentText"/>
      </w:pPr>
      <w:r>
        <w:rPr>
          <w:rStyle w:val="CommentReference"/>
        </w:rPr>
        <w:annotationRef/>
      </w:r>
      <w:r>
        <w:t xml:space="preserve">Check the DOI </w:t>
      </w:r>
    </w:p>
    <w:p w14:paraId="5CF7ED28" w14:textId="2D780EB4" w:rsidR="00C0298C" w:rsidRDefault="00C0298C">
      <w:pPr>
        <w:pStyle w:val="CommentText"/>
      </w:pPr>
      <w:r>
        <w:t xml:space="preserve">This DOI not belong to this reference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BFD0E7" w15:done="0"/>
  <w15:commentEx w15:paraId="07BF1EDD" w15:done="0"/>
  <w15:commentEx w15:paraId="567467A0" w15:done="0"/>
  <w15:commentEx w15:paraId="2CD3EB41" w15:done="0"/>
  <w15:commentEx w15:paraId="012DB954" w15:done="0"/>
  <w15:commentEx w15:paraId="1EFE065B" w15:done="0"/>
  <w15:commentEx w15:paraId="10C7E39C" w15:done="0"/>
  <w15:commentEx w15:paraId="4AA03F4C" w15:done="0"/>
  <w15:commentEx w15:paraId="582FA0EE" w15:done="0"/>
  <w15:commentEx w15:paraId="7005DD35" w15:done="0"/>
  <w15:commentEx w15:paraId="57ACABCB" w15:done="0"/>
  <w15:commentEx w15:paraId="2FD7BE8D" w15:done="0"/>
  <w15:commentEx w15:paraId="09004D1C" w15:done="0"/>
  <w15:commentEx w15:paraId="0459FFA6" w15:done="0"/>
  <w15:commentEx w15:paraId="12A91ADD" w15:done="0"/>
  <w15:commentEx w15:paraId="11A45EB4" w15:done="0"/>
  <w15:commentEx w15:paraId="65CA49EC" w15:done="0"/>
  <w15:commentEx w15:paraId="02476890" w15:done="0"/>
  <w15:commentEx w15:paraId="4F7535BA" w15:done="0"/>
  <w15:commentEx w15:paraId="2153060F" w15:done="0"/>
  <w15:commentEx w15:paraId="2BE0ED51" w15:done="0"/>
  <w15:commentEx w15:paraId="312A07E7" w15:done="0"/>
  <w15:commentEx w15:paraId="5D91BFF4" w15:done="0"/>
  <w15:commentEx w15:paraId="74864E9D" w15:done="0"/>
  <w15:commentEx w15:paraId="6F063F52" w15:done="0"/>
  <w15:commentEx w15:paraId="3B7EE1E5" w15:done="0"/>
  <w15:commentEx w15:paraId="5439AF8D" w15:done="0"/>
  <w15:commentEx w15:paraId="182BC7C9" w15:done="0"/>
  <w15:commentEx w15:paraId="459E4F05" w15:done="0"/>
  <w15:commentEx w15:paraId="29937847" w15:done="0"/>
  <w15:commentEx w15:paraId="5FBE7829" w15:done="0"/>
  <w15:commentEx w15:paraId="6064F89F" w15:done="0"/>
  <w15:commentEx w15:paraId="1B0C4722" w15:done="0"/>
  <w15:commentEx w15:paraId="1246DE45" w15:done="0"/>
  <w15:commentEx w15:paraId="256966E5" w15:done="0"/>
  <w15:commentEx w15:paraId="66211FD6" w15:done="0"/>
  <w15:commentEx w15:paraId="1A687DD8" w15:done="0"/>
  <w15:commentEx w15:paraId="6F7BCF82" w15:done="0"/>
  <w15:commentEx w15:paraId="198DA536" w15:done="0"/>
  <w15:commentEx w15:paraId="6006407F" w15:done="0"/>
  <w15:commentEx w15:paraId="231E5EEF" w15:done="0"/>
  <w15:commentEx w15:paraId="73C30BA2" w15:done="0"/>
  <w15:commentEx w15:paraId="2D3F3974" w15:done="0"/>
  <w15:commentEx w15:paraId="367BBB61" w15:done="0"/>
  <w15:commentEx w15:paraId="5CF7ED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88C9AE" w16cex:dateUtc="2025-12-09T22:16:00Z"/>
  <w16cex:commentExtensible w16cex:durableId="47A78034" w16cex:dateUtc="2025-12-09T22:07:00Z"/>
  <w16cex:commentExtensible w16cex:durableId="2ADAA4DF" w16cex:dateUtc="2025-12-08T22:05:00Z"/>
  <w16cex:commentExtensible w16cex:durableId="006E7D00" w16cex:dateUtc="2025-12-08T22:09:00Z"/>
  <w16cex:commentExtensible w16cex:durableId="7600BC47" w16cex:dateUtc="2025-12-09T22:59:00Z"/>
  <w16cex:commentExtensible w16cex:durableId="0DEE0701" w16cex:dateUtc="2025-12-08T22:11:00Z"/>
  <w16cex:commentExtensible w16cex:durableId="46C9FB4E" w16cex:dateUtc="2025-12-08T22:11:00Z"/>
  <w16cex:commentExtensible w16cex:durableId="2407E91A" w16cex:dateUtc="2025-12-08T22:12:00Z"/>
  <w16cex:commentExtensible w16cex:durableId="381846AF" w16cex:dateUtc="2025-12-08T22:13:00Z"/>
  <w16cex:commentExtensible w16cex:durableId="0B297FD2" w16cex:dateUtc="2025-12-08T22:15:00Z"/>
  <w16cex:commentExtensible w16cex:durableId="42D38127" w16cex:dateUtc="2025-12-08T22:15:00Z"/>
  <w16cex:commentExtensible w16cex:durableId="6159B9D1" w16cex:dateUtc="2025-12-08T22:17:00Z"/>
  <w16cex:commentExtensible w16cex:durableId="761C5DC8" w16cex:dateUtc="2025-12-08T22:18:00Z"/>
  <w16cex:commentExtensible w16cex:durableId="04B0CE5D" w16cex:dateUtc="2025-12-08T22:21:00Z"/>
  <w16cex:commentExtensible w16cex:durableId="4B46F0A5" w16cex:dateUtc="2025-12-08T22:22:00Z"/>
  <w16cex:commentExtensible w16cex:durableId="7B54E93F" w16cex:dateUtc="2025-12-08T22:24:00Z"/>
  <w16cex:commentExtensible w16cex:durableId="2E2E5400" w16cex:dateUtc="2025-12-08T22:24:00Z"/>
  <w16cex:commentExtensible w16cex:durableId="43501E4A" w16cex:dateUtc="2025-12-08T22:40:00Z"/>
  <w16cex:commentExtensible w16cex:durableId="0D8328E0" w16cex:dateUtc="2025-12-08T22:42:00Z"/>
  <w16cex:commentExtensible w16cex:durableId="198FC139" w16cex:dateUtc="2025-12-08T22:45:00Z"/>
  <w16cex:commentExtensible w16cex:durableId="489F496E" w16cex:dateUtc="2025-12-08T22:49:00Z"/>
  <w16cex:commentExtensible w16cex:durableId="648B0052" w16cex:dateUtc="2025-12-08T22:50:00Z"/>
  <w16cex:commentExtensible w16cex:durableId="1EA8D613" w16cex:dateUtc="2025-12-08T22:53:00Z"/>
  <w16cex:commentExtensible w16cex:durableId="3F204F60" w16cex:dateUtc="2025-12-08T22:55:00Z"/>
  <w16cex:commentExtensible w16cex:durableId="7D8576C4" w16cex:dateUtc="2025-12-08T22:56:00Z"/>
  <w16cex:commentExtensible w16cex:durableId="01198A02" w16cex:dateUtc="2025-12-08T22:56:00Z"/>
  <w16cex:commentExtensible w16cex:durableId="76CCC1F2" w16cex:dateUtc="2025-12-08T22:57:00Z"/>
  <w16cex:commentExtensible w16cex:durableId="0FE20F6C" w16cex:dateUtc="2025-12-08T22:58:00Z"/>
  <w16cex:commentExtensible w16cex:durableId="2AC6870D" w16cex:dateUtc="2025-12-08T22:59:00Z"/>
  <w16cex:commentExtensible w16cex:durableId="630ABF38" w16cex:dateUtc="2025-12-09T20:16:00Z"/>
  <w16cex:commentExtensible w16cex:durableId="00F04385" w16cex:dateUtc="2025-12-09T20:20:00Z"/>
  <w16cex:commentExtensible w16cex:durableId="6C0C4D7C" w16cex:dateUtc="2025-12-09T20:20:00Z"/>
  <w16cex:commentExtensible w16cex:durableId="344F1D3F" w16cex:dateUtc="2025-12-09T20:21:00Z"/>
  <w16cex:commentExtensible w16cex:durableId="71C00E9B" w16cex:dateUtc="2025-12-09T20:22:00Z"/>
  <w16cex:commentExtensible w16cex:durableId="448654E7" w16cex:dateUtc="2025-12-09T20:22:00Z"/>
  <w16cex:commentExtensible w16cex:durableId="494AE8FC" w16cex:dateUtc="2025-12-09T20:23:00Z"/>
  <w16cex:commentExtensible w16cex:durableId="1117F9AE" w16cex:dateUtc="2025-12-09T20:23:00Z"/>
  <w16cex:commentExtensible w16cex:durableId="318EFE30" w16cex:dateUtc="2025-12-09T20:24:00Z"/>
  <w16cex:commentExtensible w16cex:durableId="5F31AF39" w16cex:dateUtc="2025-12-09T20:25:00Z"/>
  <w16cex:commentExtensible w16cex:durableId="09764BA2" w16cex:dateUtc="2025-12-09T22:14:00Z"/>
  <w16cex:commentExtensible w16cex:durableId="3E4994A9" w16cex:dateUtc="2025-12-09T20:56:00Z"/>
  <w16cex:commentExtensible w16cex:durableId="109B076D" w16cex:dateUtc="2025-12-09T22:06:00Z"/>
  <w16cex:commentExtensible w16cex:durableId="3C83A360" w16cex:dateUtc="2025-12-09T21:01:00Z"/>
  <w16cex:commentExtensible w16cex:durableId="20EC50F2" w16cex:dateUtc="2025-12-09T21:32:00Z"/>
  <w16cex:commentExtensible w16cex:durableId="42EFBC91" w16cex:dateUtc="2025-12-09T21:52:00Z"/>
  <w16cex:commentExtensible w16cex:durableId="7038581C" w16cex:dateUtc="2025-12-09T2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BFD0E7" w16cid:durableId="47A78034"/>
  <w16cid:commentId w16cid:paraId="07BF1EDD" w16cid:durableId="2ADAA4DF"/>
  <w16cid:commentId w16cid:paraId="567467A0" w16cid:durableId="006E7D00"/>
  <w16cid:commentId w16cid:paraId="2CD3EB41" w16cid:durableId="7600BC47"/>
  <w16cid:commentId w16cid:paraId="012DB954" w16cid:durableId="0DEE0701"/>
  <w16cid:commentId w16cid:paraId="1EFE065B" w16cid:durableId="46C9FB4E"/>
  <w16cid:commentId w16cid:paraId="10C7E39C" w16cid:durableId="2407E91A"/>
  <w16cid:commentId w16cid:paraId="4AA03F4C" w16cid:durableId="381846AF"/>
  <w16cid:commentId w16cid:paraId="582FA0EE" w16cid:durableId="0B297FD2"/>
  <w16cid:commentId w16cid:paraId="7005DD35" w16cid:durableId="42D38127"/>
  <w16cid:commentId w16cid:paraId="57ACABCB" w16cid:durableId="6159B9D1"/>
  <w16cid:commentId w16cid:paraId="2FD7BE8D" w16cid:durableId="761C5DC8"/>
  <w16cid:commentId w16cid:paraId="09004D1C" w16cid:durableId="04B0CE5D"/>
  <w16cid:commentId w16cid:paraId="0459FFA6" w16cid:durableId="4B46F0A5"/>
  <w16cid:commentId w16cid:paraId="12A91ADD" w16cid:durableId="7B54E93F"/>
  <w16cid:commentId w16cid:paraId="11A45EB4" w16cid:durableId="2E2E5400"/>
  <w16cid:commentId w16cid:paraId="65CA49EC" w16cid:durableId="43501E4A"/>
  <w16cid:commentId w16cid:paraId="02476890" w16cid:durableId="0D8328E0"/>
  <w16cid:commentId w16cid:paraId="4F7535BA" w16cid:durableId="198FC139"/>
  <w16cid:commentId w16cid:paraId="2153060F" w16cid:durableId="489F496E"/>
  <w16cid:commentId w16cid:paraId="2BE0ED51" w16cid:durableId="648B0052"/>
  <w16cid:commentId w16cid:paraId="312A07E7" w16cid:durableId="1EA8D613"/>
  <w16cid:commentId w16cid:paraId="5D91BFF4" w16cid:durableId="3F204F60"/>
  <w16cid:commentId w16cid:paraId="74864E9D" w16cid:durableId="7D8576C4"/>
  <w16cid:commentId w16cid:paraId="6F063F52" w16cid:durableId="01198A02"/>
  <w16cid:commentId w16cid:paraId="3B7EE1E5" w16cid:durableId="76CCC1F2"/>
  <w16cid:commentId w16cid:paraId="5439AF8D" w16cid:durableId="0FE20F6C"/>
  <w16cid:commentId w16cid:paraId="182BC7C9" w16cid:durableId="2AC6870D"/>
  <w16cid:commentId w16cid:paraId="459E4F05" w16cid:durableId="630ABF38"/>
  <w16cid:commentId w16cid:paraId="29937847" w16cid:durableId="00F04385"/>
  <w16cid:commentId w16cid:paraId="5FBE7829" w16cid:durableId="6C0C4D7C"/>
  <w16cid:commentId w16cid:paraId="6064F89F" w16cid:durableId="344F1D3F"/>
  <w16cid:commentId w16cid:paraId="1B0C4722" w16cid:durableId="71C00E9B"/>
  <w16cid:commentId w16cid:paraId="1246DE45" w16cid:durableId="448654E7"/>
  <w16cid:commentId w16cid:paraId="256966E5" w16cid:durableId="494AE8FC"/>
  <w16cid:commentId w16cid:paraId="66211FD6" w16cid:durableId="1117F9AE"/>
  <w16cid:commentId w16cid:paraId="1A687DD8" w16cid:durableId="318EFE30"/>
  <w16cid:commentId w16cid:paraId="6F7BCF82" w16cid:durableId="5F31AF39"/>
  <w16cid:commentId w16cid:paraId="198DA536" w16cid:durableId="09764BA2"/>
  <w16cid:commentId w16cid:paraId="6006407F" w16cid:durableId="3E4994A9"/>
  <w16cid:commentId w16cid:paraId="231E5EEF" w16cid:durableId="109B076D"/>
  <w16cid:commentId w16cid:paraId="73C30BA2" w16cid:durableId="3C83A360"/>
  <w16cid:commentId w16cid:paraId="2D3F3974" w16cid:durableId="20EC50F2"/>
  <w16cid:commentId w16cid:paraId="367BBB61" w16cid:durableId="42EFBC91"/>
  <w16cid:commentId w16cid:paraId="5CF7ED28" w16cid:durableId="703858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DA626" w14:textId="77777777" w:rsidR="005E7377" w:rsidRDefault="005E7377" w:rsidP="00316126">
      <w:pPr>
        <w:spacing w:after="0" w:line="240" w:lineRule="auto"/>
      </w:pPr>
      <w:r>
        <w:separator/>
      </w:r>
    </w:p>
  </w:endnote>
  <w:endnote w:type="continuationSeparator" w:id="0">
    <w:p w14:paraId="1CC981B9" w14:textId="77777777" w:rsidR="005E7377" w:rsidRDefault="005E7377" w:rsidP="00316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DFB3" w14:textId="77777777" w:rsidR="00316126" w:rsidRDefault="00316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DC51" w14:textId="77777777" w:rsidR="00316126" w:rsidRDefault="00316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EB957" w14:textId="77777777" w:rsidR="00316126" w:rsidRDefault="00316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926EF" w14:textId="77777777" w:rsidR="005E7377" w:rsidRDefault="005E7377" w:rsidP="00316126">
      <w:pPr>
        <w:spacing w:after="0" w:line="240" w:lineRule="auto"/>
      </w:pPr>
      <w:r>
        <w:separator/>
      </w:r>
    </w:p>
  </w:footnote>
  <w:footnote w:type="continuationSeparator" w:id="0">
    <w:p w14:paraId="33378F84" w14:textId="77777777" w:rsidR="005E7377" w:rsidRDefault="005E7377" w:rsidP="00316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5E72" w14:textId="7FCB5764" w:rsidR="00316126" w:rsidRDefault="005E7377">
    <w:pPr>
      <w:pStyle w:val="Header"/>
    </w:pPr>
    <w:r>
      <w:rPr>
        <w:noProof/>
      </w:rPr>
      <w:pict w14:anchorId="4FF4D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A8CAA" w14:textId="4E5C6EE9" w:rsidR="00316126" w:rsidRDefault="005E7377">
    <w:pPr>
      <w:pStyle w:val="Header"/>
    </w:pPr>
    <w:r>
      <w:rPr>
        <w:noProof/>
      </w:rPr>
      <w:pict w14:anchorId="61FD5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1D8C" w14:textId="529CC40D" w:rsidR="00316126" w:rsidRDefault="005E7377">
    <w:pPr>
      <w:pStyle w:val="Header"/>
    </w:pPr>
    <w:r>
      <w:rPr>
        <w:noProof/>
      </w:rPr>
      <w:pict w14:anchorId="55EBD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E2173"/>
    <w:multiLevelType w:val="hybridMultilevel"/>
    <w:tmpl w:val="4420CD9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704093"/>
    <w:multiLevelType w:val="hybridMultilevel"/>
    <w:tmpl w:val="32BEF4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A348D6"/>
    <w:multiLevelType w:val="hybridMultilevel"/>
    <w:tmpl w:val="E19E01D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D932723"/>
    <w:multiLevelType w:val="hybridMultilevel"/>
    <w:tmpl w:val="0C7C58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41848B1"/>
    <w:multiLevelType w:val="hybridMultilevel"/>
    <w:tmpl w:val="C49297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162D45"/>
    <w:multiLevelType w:val="hybridMultilevel"/>
    <w:tmpl w:val="D6C018B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0320164"/>
    <w:multiLevelType w:val="hybridMultilevel"/>
    <w:tmpl w:val="5D5A9C14"/>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306D72"/>
    <w:multiLevelType w:val="hybridMultilevel"/>
    <w:tmpl w:val="5CF235EA"/>
    <w:lvl w:ilvl="0" w:tplc="40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B0819B1"/>
    <w:multiLevelType w:val="hybridMultilevel"/>
    <w:tmpl w:val="8BE2C4A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E25A5F"/>
    <w:multiLevelType w:val="hybridMultilevel"/>
    <w:tmpl w:val="89B2F5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0"/>
  </w:num>
  <w:num w:numId="5">
    <w:abstractNumId w:val="6"/>
  </w:num>
  <w:num w:numId="6">
    <w:abstractNumId w:val="7"/>
  </w:num>
  <w:num w:numId="7">
    <w:abstractNumId w:val="5"/>
  </w:num>
  <w:num w:numId="8">
    <w:abstractNumId w:val="9"/>
  </w:num>
  <w:num w:numId="9">
    <w:abstractNumId w:val="1"/>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
    <w15:presenceInfo w15:providerId="None" w15:userId="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C26"/>
    <w:rsid w:val="00014DD3"/>
    <w:rsid w:val="00050063"/>
    <w:rsid w:val="000724F1"/>
    <w:rsid w:val="00073CA3"/>
    <w:rsid w:val="0007543A"/>
    <w:rsid w:val="00077270"/>
    <w:rsid w:val="000977E9"/>
    <w:rsid w:val="000A631A"/>
    <w:rsid w:val="000B3653"/>
    <w:rsid w:val="000B77BC"/>
    <w:rsid w:val="000D7D27"/>
    <w:rsid w:val="000E3761"/>
    <w:rsid w:val="001074CB"/>
    <w:rsid w:val="00122B0A"/>
    <w:rsid w:val="00172372"/>
    <w:rsid w:val="001723AD"/>
    <w:rsid w:val="00181BC3"/>
    <w:rsid w:val="001931FE"/>
    <w:rsid w:val="001937BB"/>
    <w:rsid w:val="00195602"/>
    <w:rsid w:val="001A20B7"/>
    <w:rsid w:val="001B046E"/>
    <w:rsid w:val="001B486D"/>
    <w:rsid w:val="001C23AE"/>
    <w:rsid w:val="001D2E63"/>
    <w:rsid w:val="001D2EA2"/>
    <w:rsid w:val="001E1166"/>
    <w:rsid w:val="001F6677"/>
    <w:rsid w:val="001F6BC7"/>
    <w:rsid w:val="00213446"/>
    <w:rsid w:val="002232CC"/>
    <w:rsid w:val="00226C63"/>
    <w:rsid w:val="002337EC"/>
    <w:rsid w:val="00261555"/>
    <w:rsid w:val="002928D3"/>
    <w:rsid w:val="002C4519"/>
    <w:rsid w:val="002D373F"/>
    <w:rsid w:val="002E5FEE"/>
    <w:rsid w:val="002F62BB"/>
    <w:rsid w:val="00316126"/>
    <w:rsid w:val="00324719"/>
    <w:rsid w:val="0032559E"/>
    <w:rsid w:val="003322AA"/>
    <w:rsid w:val="003426C3"/>
    <w:rsid w:val="003545C8"/>
    <w:rsid w:val="00357CC7"/>
    <w:rsid w:val="00360FED"/>
    <w:rsid w:val="00367C3F"/>
    <w:rsid w:val="00374A6F"/>
    <w:rsid w:val="003A4F90"/>
    <w:rsid w:val="003A60EA"/>
    <w:rsid w:val="003D4D65"/>
    <w:rsid w:val="003D5078"/>
    <w:rsid w:val="003D53CF"/>
    <w:rsid w:val="003D53F6"/>
    <w:rsid w:val="003D7E95"/>
    <w:rsid w:val="003E1DBF"/>
    <w:rsid w:val="00403E84"/>
    <w:rsid w:val="004224F3"/>
    <w:rsid w:val="004316F2"/>
    <w:rsid w:val="00451107"/>
    <w:rsid w:val="00452E40"/>
    <w:rsid w:val="00461A39"/>
    <w:rsid w:val="00467127"/>
    <w:rsid w:val="0047359B"/>
    <w:rsid w:val="004801CE"/>
    <w:rsid w:val="00482E6D"/>
    <w:rsid w:val="00485BAF"/>
    <w:rsid w:val="00490247"/>
    <w:rsid w:val="004A2EA9"/>
    <w:rsid w:val="004C3D8E"/>
    <w:rsid w:val="004D0D86"/>
    <w:rsid w:val="004D6434"/>
    <w:rsid w:val="004E429F"/>
    <w:rsid w:val="004E481C"/>
    <w:rsid w:val="004F5C03"/>
    <w:rsid w:val="0050664A"/>
    <w:rsid w:val="00522B17"/>
    <w:rsid w:val="00531CA7"/>
    <w:rsid w:val="005422B9"/>
    <w:rsid w:val="00556ED2"/>
    <w:rsid w:val="005606F3"/>
    <w:rsid w:val="00564120"/>
    <w:rsid w:val="00574388"/>
    <w:rsid w:val="0058413A"/>
    <w:rsid w:val="005916BC"/>
    <w:rsid w:val="005A2FE9"/>
    <w:rsid w:val="005A331A"/>
    <w:rsid w:val="005A7064"/>
    <w:rsid w:val="005C2242"/>
    <w:rsid w:val="005D5045"/>
    <w:rsid w:val="005E7377"/>
    <w:rsid w:val="005F2F77"/>
    <w:rsid w:val="005F555F"/>
    <w:rsid w:val="006020E1"/>
    <w:rsid w:val="0061061A"/>
    <w:rsid w:val="00611FE1"/>
    <w:rsid w:val="00612FFD"/>
    <w:rsid w:val="006264F7"/>
    <w:rsid w:val="0065418B"/>
    <w:rsid w:val="00655332"/>
    <w:rsid w:val="00656340"/>
    <w:rsid w:val="006661C7"/>
    <w:rsid w:val="0067420E"/>
    <w:rsid w:val="006925B9"/>
    <w:rsid w:val="00693130"/>
    <w:rsid w:val="0069498C"/>
    <w:rsid w:val="0069576F"/>
    <w:rsid w:val="00695C57"/>
    <w:rsid w:val="006974B0"/>
    <w:rsid w:val="006A1082"/>
    <w:rsid w:val="006A3A8E"/>
    <w:rsid w:val="006F17AC"/>
    <w:rsid w:val="007006EC"/>
    <w:rsid w:val="00710E6C"/>
    <w:rsid w:val="00713F6F"/>
    <w:rsid w:val="00716FF9"/>
    <w:rsid w:val="007206C4"/>
    <w:rsid w:val="00723AD7"/>
    <w:rsid w:val="00730E88"/>
    <w:rsid w:val="007348DB"/>
    <w:rsid w:val="00744EE9"/>
    <w:rsid w:val="0075215B"/>
    <w:rsid w:val="007601F9"/>
    <w:rsid w:val="00760498"/>
    <w:rsid w:val="00762E18"/>
    <w:rsid w:val="00765752"/>
    <w:rsid w:val="0076753B"/>
    <w:rsid w:val="0077336A"/>
    <w:rsid w:val="00773C56"/>
    <w:rsid w:val="007E1E65"/>
    <w:rsid w:val="007E21DE"/>
    <w:rsid w:val="007E43D0"/>
    <w:rsid w:val="007E5561"/>
    <w:rsid w:val="007F0090"/>
    <w:rsid w:val="00804169"/>
    <w:rsid w:val="00815614"/>
    <w:rsid w:val="00825864"/>
    <w:rsid w:val="00832B33"/>
    <w:rsid w:val="008376BB"/>
    <w:rsid w:val="008512BB"/>
    <w:rsid w:val="0085147D"/>
    <w:rsid w:val="00855354"/>
    <w:rsid w:val="00864004"/>
    <w:rsid w:val="00873C25"/>
    <w:rsid w:val="008760E6"/>
    <w:rsid w:val="008807A7"/>
    <w:rsid w:val="008A7150"/>
    <w:rsid w:val="008B09CD"/>
    <w:rsid w:val="008C2029"/>
    <w:rsid w:val="008C2E8B"/>
    <w:rsid w:val="008F2519"/>
    <w:rsid w:val="00903AA2"/>
    <w:rsid w:val="00913DE4"/>
    <w:rsid w:val="009154D4"/>
    <w:rsid w:val="0095345A"/>
    <w:rsid w:val="009608CA"/>
    <w:rsid w:val="0096353C"/>
    <w:rsid w:val="00982935"/>
    <w:rsid w:val="00996882"/>
    <w:rsid w:val="009A0D50"/>
    <w:rsid w:val="009A65F9"/>
    <w:rsid w:val="009B135E"/>
    <w:rsid w:val="009C0B6E"/>
    <w:rsid w:val="009C3D25"/>
    <w:rsid w:val="009C5375"/>
    <w:rsid w:val="009D5AC8"/>
    <w:rsid w:val="009F06C2"/>
    <w:rsid w:val="009F55EC"/>
    <w:rsid w:val="00A04604"/>
    <w:rsid w:val="00A15F0C"/>
    <w:rsid w:val="00A300E3"/>
    <w:rsid w:val="00A30451"/>
    <w:rsid w:val="00A34E47"/>
    <w:rsid w:val="00A534D9"/>
    <w:rsid w:val="00A53837"/>
    <w:rsid w:val="00A55BFC"/>
    <w:rsid w:val="00A56949"/>
    <w:rsid w:val="00A70750"/>
    <w:rsid w:val="00A72645"/>
    <w:rsid w:val="00A811D5"/>
    <w:rsid w:val="00A82539"/>
    <w:rsid w:val="00AB75F8"/>
    <w:rsid w:val="00AB7B72"/>
    <w:rsid w:val="00AD5832"/>
    <w:rsid w:val="00B13FDF"/>
    <w:rsid w:val="00B14747"/>
    <w:rsid w:val="00B15F3F"/>
    <w:rsid w:val="00B54FA3"/>
    <w:rsid w:val="00B644C9"/>
    <w:rsid w:val="00B64754"/>
    <w:rsid w:val="00B679C4"/>
    <w:rsid w:val="00B77660"/>
    <w:rsid w:val="00B913DE"/>
    <w:rsid w:val="00B91B5E"/>
    <w:rsid w:val="00B950CF"/>
    <w:rsid w:val="00BA3A55"/>
    <w:rsid w:val="00BB3DCC"/>
    <w:rsid w:val="00BB4345"/>
    <w:rsid w:val="00BC4FDB"/>
    <w:rsid w:val="00BD5E0A"/>
    <w:rsid w:val="00C0298C"/>
    <w:rsid w:val="00C07043"/>
    <w:rsid w:val="00C13EB9"/>
    <w:rsid w:val="00C274D4"/>
    <w:rsid w:val="00C302BF"/>
    <w:rsid w:val="00C30BA0"/>
    <w:rsid w:val="00C31418"/>
    <w:rsid w:val="00C4546C"/>
    <w:rsid w:val="00C56267"/>
    <w:rsid w:val="00C573FA"/>
    <w:rsid w:val="00C57BB1"/>
    <w:rsid w:val="00C616E0"/>
    <w:rsid w:val="00CA12AA"/>
    <w:rsid w:val="00CC06B5"/>
    <w:rsid w:val="00CE2235"/>
    <w:rsid w:val="00CF4E90"/>
    <w:rsid w:val="00CF75D3"/>
    <w:rsid w:val="00D0395B"/>
    <w:rsid w:val="00D20431"/>
    <w:rsid w:val="00D32951"/>
    <w:rsid w:val="00D34412"/>
    <w:rsid w:val="00D36951"/>
    <w:rsid w:val="00D45E47"/>
    <w:rsid w:val="00D460BF"/>
    <w:rsid w:val="00D471B0"/>
    <w:rsid w:val="00D660A4"/>
    <w:rsid w:val="00D803B1"/>
    <w:rsid w:val="00D81C1A"/>
    <w:rsid w:val="00D82D0A"/>
    <w:rsid w:val="00D84991"/>
    <w:rsid w:val="00D87D69"/>
    <w:rsid w:val="00DC3A1A"/>
    <w:rsid w:val="00DC5784"/>
    <w:rsid w:val="00DE0F17"/>
    <w:rsid w:val="00DE30B4"/>
    <w:rsid w:val="00DF1D06"/>
    <w:rsid w:val="00E00298"/>
    <w:rsid w:val="00E071B3"/>
    <w:rsid w:val="00E1511B"/>
    <w:rsid w:val="00E178C0"/>
    <w:rsid w:val="00E3258F"/>
    <w:rsid w:val="00E42E46"/>
    <w:rsid w:val="00E44EBD"/>
    <w:rsid w:val="00E5107D"/>
    <w:rsid w:val="00E51F43"/>
    <w:rsid w:val="00E5668B"/>
    <w:rsid w:val="00E66379"/>
    <w:rsid w:val="00E71EA7"/>
    <w:rsid w:val="00E754CA"/>
    <w:rsid w:val="00E84544"/>
    <w:rsid w:val="00E84C26"/>
    <w:rsid w:val="00E84E4D"/>
    <w:rsid w:val="00E85C25"/>
    <w:rsid w:val="00EB118E"/>
    <w:rsid w:val="00EB4963"/>
    <w:rsid w:val="00EC0D13"/>
    <w:rsid w:val="00EE1E61"/>
    <w:rsid w:val="00F10FFA"/>
    <w:rsid w:val="00F15141"/>
    <w:rsid w:val="00F6087C"/>
    <w:rsid w:val="00F655B0"/>
    <w:rsid w:val="00F670BB"/>
    <w:rsid w:val="00F710CB"/>
    <w:rsid w:val="00F86C45"/>
    <w:rsid w:val="00F90E88"/>
    <w:rsid w:val="00F97323"/>
    <w:rsid w:val="00FB6FB1"/>
    <w:rsid w:val="00FC5027"/>
    <w:rsid w:val="00FC5613"/>
    <w:rsid w:val="00FD00EC"/>
    <w:rsid w:val="00FD3F54"/>
    <w:rsid w:val="00FD7DF3"/>
    <w:rsid w:val="00FE6254"/>
    <w:rsid w:val="00FF107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23E57"/>
  <w15:chartTrackingRefBased/>
  <w15:docId w15:val="{909ACF60-9D67-4288-9CE3-EF14D518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C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4C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4C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4C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4C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4C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C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C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C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C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4C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4C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4C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4C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4C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C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C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C26"/>
    <w:rPr>
      <w:rFonts w:eastAsiaTheme="majorEastAsia" w:cstheme="majorBidi"/>
      <w:color w:val="272727" w:themeColor="text1" w:themeTint="D8"/>
    </w:rPr>
  </w:style>
  <w:style w:type="paragraph" w:styleId="Title">
    <w:name w:val="Title"/>
    <w:basedOn w:val="Normal"/>
    <w:next w:val="Normal"/>
    <w:link w:val="TitleChar"/>
    <w:uiPriority w:val="10"/>
    <w:qFormat/>
    <w:rsid w:val="00E84C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C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C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C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C26"/>
    <w:pPr>
      <w:spacing w:before="160"/>
      <w:jc w:val="center"/>
    </w:pPr>
    <w:rPr>
      <w:i/>
      <w:iCs/>
      <w:color w:val="404040" w:themeColor="text1" w:themeTint="BF"/>
    </w:rPr>
  </w:style>
  <w:style w:type="character" w:customStyle="1" w:styleId="QuoteChar">
    <w:name w:val="Quote Char"/>
    <w:basedOn w:val="DefaultParagraphFont"/>
    <w:link w:val="Quote"/>
    <w:uiPriority w:val="29"/>
    <w:rsid w:val="00E84C26"/>
    <w:rPr>
      <w:i/>
      <w:iCs/>
      <w:color w:val="404040" w:themeColor="text1" w:themeTint="BF"/>
    </w:rPr>
  </w:style>
  <w:style w:type="paragraph" w:styleId="ListParagraph">
    <w:name w:val="List Paragraph"/>
    <w:basedOn w:val="Normal"/>
    <w:uiPriority w:val="34"/>
    <w:qFormat/>
    <w:rsid w:val="00E84C26"/>
    <w:pPr>
      <w:ind w:left="720"/>
      <w:contextualSpacing/>
    </w:pPr>
  </w:style>
  <w:style w:type="character" w:styleId="IntenseEmphasis">
    <w:name w:val="Intense Emphasis"/>
    <w:basedOn w:val="DefaultParagraphFont"/>
    <w:uiPriority w:val="21"/>
    <w:qFormat/>
    <w:rsid w:val="00E84C26"/>
    <w:rPr>
      <w:i/>
      <w:iCs/>
      <w:color w:val="2F5496" w:themeColor="accent1" w:themeShade="BF"/>
    </w:rPr>
  </w:style>
  <w:style w:type="paragraph" w:styleId="IntenseQuote">
    <w:name w:val="Intense Quote"/>
    <w:basedOn w:val="Normal"/>
    <w:next w:val="Normal"/>
    <w:link w:val="IntenseQuoteChar"/>
    <w:uiPriority w:val="30"/>
    <w:qFormat/>
    <w:rsid w:val="00E84C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4C26"/>
    <w:rPr>
      <w:i/>
      <w:iCs/>
      <w:color w:val="2F5496" w:themeColor="accent1" w:themeShade="BF"/>
    </w:rPr>
  </w:style>
  <w:style w:type="character" w:styleId="IntenseReference">
    <w:name w:val="Intense Reference"/>
    <w:basedOn w:val="DefaultParagraphFont"/>
    <w:uiPriority w:val="32"/>
    <w:qFormat/>
    <w:rsid w:val="00E84C26"/>
    <w:rPr>
      <w:b/>
      <w:bCs/>
      <w:smallCaps/>
      <w:color w:val="2F5496" w:themeColor="accent1" w:themeShade="BF"/>
      <w:spacing w:val="5"/>
    </w:rPr>
  </w:style>
  <w:style w:type="table" w:styleId="TableGrid">
    <w:name w:val="Table Grid"/>
    <w:basedOn w:val="TableNormal"/>
    <w:uiPriority w:val="39"/>
    <w:rsid w:val="009C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6A1082"/>
    <w:pPr>
      <w:keepNext/>
      <w:spacing w:after="240" w:line="240" w:lineRule="auto"/>
    </w:pPr>
    <w:rPr>
      <w:rFonts w:ascii="Helvetica" w:eastAsia="Times New Roman" w:hAnsi="Helvetica" w:cs="Times New Roman"/>
      <w:b/>
      <w:caps/>
      <w:kern w:val="0"/>
      <w:sz w:val="22"/>
      <w:szCs w:val="20"/>
      <w:lang w:val="en-US"/>
      <w14:ligatures w14:val="none"/>
    </w:rPr>
  </w:style>
  <w:style w:type="character" w:styleId="Hyperlink">
    <w:name w:val="Hyperlink"/>
    <w:basedOn w:val="DefaultParagraphFont"/>
    <w:uiPriority w:val="99"/>
    <w:unhideWhenUsed/>
    <w:rsid w:val="005D5045"/>
    <w:rPr>
      <w:color w:val="0563C1" w:themeColor="hyperlink"/>
      <w:u w:val="single"/>
    </w:rPr>
  </w:style>
  <w:style w:type="character" w:styleId="UnresolvedMention">
    <w:name w:val="Unresolved Mention"/>
    <w:basedOn w:val="DefaultParagraphFont"/>
    <w:uiPriority w:val="99"/>
    <w:semiHidden/>
    <w:unhideWhenUsed/>
    <w:rsid w:val="005D5045"/>
    <w:rPr>
      <w:color w:val="605E5C"/>
      <w:shd w:val="clear" w:color="auto" w:fill="E1DFDD"/>
    </w:rPr>
  </w:style>
  <w:style w:type="paragraph" w:styleId="Header">
    <w:name w:val="header"/>
    <w:basedOn w:val="Normal"/>
    <w:link w:val="HeaderChar"/>
    <w:uiPriority w:val="99"/>
    <w:unhideWhenUsed/>
    <w:rsid w:val="00316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126"/>
  </w:style>
  <w:style w:type="paragraph" w:styleId="Footer">
    <w:name w:val="footer"/>
    <w:basedOn w:val="Normal"/>
    <w:link w:val="FooterChar"/>
    <w:uiPriority w:val="99"/>
    <w:unhideWhenUsed/>
    <w:rsid w:val="00316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126"/>
  </w:style>
  <w:style w:type="character" w:styleId="CommentReference">
    <w:name w:val="annotation reference"/>
    <w:basedOn w:val="DefaultParagraphFont"/>
    <w:uiPriority w:val="99"/>
    <w:semiHidden/>
    <w:unhideWhenUsed/>
    <w:rsid w:val="001074CB"/>
    <w:rPr>
      <w:sz w:val="16"/>
      <w:szCs w:val="16"/>
    </w:rPr>
  </w:style>
  <w:style w:type="paragraph" w:styleId="CommentText">
    <w:name w:val="annotation text"/>
    <w:basedOn w:val="Normal"/>
    <w:link w:val="CommentTextChar"/>
    <w:uiPriority w:val="99"/>
    <w:semiHidden/>
    <w:unhideWhenUsed/>
    <w:rsid w:val="001074CB"/>
    <w:pPr>
      <w:spacing w:line="240" w:lineRule="auto"/>
    </w:pPr>
    <w:rPr>
      <w:sz w:val="20"/>
      <w:szCs w:val="20"/>
    </w:rPr>
  </w:style>
  <w:style w:type="character" w:customStyle="1" w:styleId="CommentTextChar">
    <w:name w:val="Comment Text Char"/>
    <w:basedOn w:val="DefaultParagraphFont"/>
    <w:link w:val="CommentText"/>
    <w:uiPriority w:val="99"/>
    <w:semiHidden/>
    <w:rsid w:val="001074CB"/>
    <w:rPr>
      <w:sz w:val="20"/>
      <w:szCs w:val="20"/>
    </w:rPr>
  </w:style>
  <w:style w:type="paragraph" w:styleId="CommentSubject">
    <w:name w:val="annotation subject"/>
    <w:basedOn w:val="CommentText"/>
    <w:next w:val="CommentText"/>
    <w:link w:val="CommentSubjectChar"/>
    <w:uiPriority w:val="99"/>
    <w:semiHidden/>
    <w:unhideWhenUsed/>
    <w:rsid w:val="001074CB"/>
    <w:rPr>
      <w:b/>
      <w:bCs/>
    </w:rPr>
  </w:style>
  <w:style w:type="character" w:customStyle="1" w:styleId="CommentSubjectChar">
    <w:name w:val="Comment Subject Char"/>
    <w:basedOn w:val="CommentTextChar"/>
    <w:link w:val="CommentSubject"/>
    <w:uiPriority w:val="99"/>
    <w:semiHidden/>
    <w:rsid w:val="001074CB"/>
    <w:rPr>
      <w:b/>
      <w:bCs/>
      <w:sz w:val="20"/>
      <w:szCs w:val="20"/>
    </w:rPr>
  </w:style>
  <w:style w:type="paragraph" w:styleId="BalloonText">
    <w:name w:val="Balloon Text"/>
    <w:basedOn w:val="Normal"/>
    <w:link w:val="BalloonTextChar"/>
    <w:uiPriority w:val="99"/>
    <w:semiHidden/>
    <w:unhideWhenUsed/>
    <w:rsid w:val="004801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1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6393">
      <w:bodyDiv w:val="1"/>
      <w:marLeft w:val="0"/>
      <w:marRight w:val="0"/>
      <w:marTop w:val="0"/>
      <w:marBottom w:val="0"/>
      <w:divBdr>
        <w:top w:val="none" w:sz="0" w:space="0" w:color="auto"/>
        <w:left w:val="none" w:sz="0" w:space="0" w:color="auto"/>
        <w:bottom w:val="none" w:sz="0" w:space="0" w:color="auto"/>
        <w:right w:val="none" w:sz="0" w:space="0" w:color="auto"/>
      </w:divBdr>
    </w:div>
    <w:div w:id="12339752">
      <w:bodyDiv w:val="1"/>
      <w:marLeft w:val="0"/>
      <w:marRight w:val="0"/>
      <w:marTop w:val="0"/>
      <w:marBottom w:val="0"/>
      <w:divBdr>
        <w:top w:val="none" w:sz="0" w:space="0" w:color="auto"/>
        <w:left w:val="none" w:sz="0" w:space="0" w:color="auto"/>
        <w:bottom w:val="none" w:sz="0" w:space="0" w:color="auto"/>
        <w:right w:val="none" w:sz="0" w:space="0" w:color="auto"/>
      </w:divBdr>
    </w:div>
    <w:div w:id="117724220">
      <w:bodyDiv w:val="1"/>
      <w:marLeft w:val="0"/>
      <w:marRight w:val="0"/>
      <w:marTop w:val="0"/>
      <w:marBottom w:val="0"/>
      <w:divBdr>
        <w:top w:val="none" w:sz="0" w:space="0" w:color="auto"/>
        <w:left w:val="none" w:sz="0" w:space="0" w:color="auto"/>
        <w:bottom w:val="none" w:sz="0" w:space="0" w:color="auto"/>
        <w:right w:val="none" w:sz="0" w:space="0" w:color="auto"/>
      </w:divBdr>
    </w:div>
    <w:div w:id="134765411">
      <w:bodyDiv w:val="1"/>
      <w:marLeft w:val="0"/>
      <w:marRight w:val="0"/>
      <w:marTop w:val="0"/>
      <w:marBottom w:val="0"/>
      <w:divBdr>
        <w:top w:val="none" w:sz="0" w:space="0" w:color="auto"/>
        <w:left w:val="none" w:sz="0" w:space="0" w:color="auto"/>
        <w:bottom w:val="none" w:sz="0" w:space="0" w:color="auto"/>
        <w:right w:val="none" w:sz="0" w:space="0" w:color="auto"/>
      </w:divBdr>
    </w:div>
    <w:div w:id="159197440">
      <w:bodyDiv w:val="1"/>
      <w:marLeft w:val="0"/>
      <w:marRight w:val="0"/>
      <w:marTop w:val="0"/>
      <w:marBottom w:val="0"/>
      <w:divBdr>
        <w:top w:val="none" w:sz="0" w:space="0" w:color="auto"/>
        <w:left w:val="none" w:sz="0" w:space="0" w:color="auto"/>
        <w:bottom w:val="none" w:sz="0" w:space="0" w:color="auto"/>
        <w:right w:val="none" w:sz="0" w:space="0" w:color="auto"/>
      </w:divBdr>
    </w:div>
    <w:div w:id="165243671">
      <w:bodyDiv w:val="1"/>
      <w:marLeft w:val="0"/>
      <w:marRight w:val="0"/>
      <w:marTop w:val="0"/>
      <w:marBottom w:val="0"/>
      <w:divBdr>
        <w:top w:val="none" w:sz="0" w:space="0" w:color="auto"/>
        <w:left w:val="none" w:sz="0" w:space="0" w:color="auto"/>
        <w:bottom w:val="none" w:sz="0" w:space="0" w:color="auto"/>
        <w:right w:val="none" w:sz="0" w:space="0" w:color="auto"/>
      </w:divBdr>
    </w:div>
    <w:div w:id="175267818">
      <w:bodyDiv w:val="1"/>
      <w:marLeft w:val="0"/>
      <w:marRight w:val="0"/>
      <w:marTop w:val="0"/>
      <w:marBottom w:val="0"/>
      <w:divBdr>
        <w:top w:val="none" w:sz="0" w:space="0" w:color="auto"/>
        <w:left w:val="none" w:sz="0" w:space="0" w:color="auto"/>
        <w:bottom w:val="none" w:sz="0" w:space="0" w:color="auto"/>
        <w:right w:val="none" w:sz="0" w:space="0" w:color="auto"/>
      </w:divBdr>
    </w:div>
    <w:div w:id="232159311">
      <w:bodyDiv w:val="1"/>
      <w:marLeft w:val="0"/>
      <w:marRight w:val="0"/>
      <w:marTop w:val="0"/>
      <w:marBottom w:val="0"/>
      <w:divBdr>
        <w:top w:val="none" w:sz="0" w:space="0" w:color="auto"/>
        <w:left w:val="none" w:sz="0" w:space="0" w:color="auto"/>
        <w:bottom w:val="none" w:sz="0" w:space="0" w:color="auto"/>
        <w:right w:val="none" w:sz="0" w:space="0" w:color="auto"/>
      </w:divBdr>
    </w:div>
    <w:div w:id="269364205">
      <w:bodyDiv w:val="1"/>
      <w:marLeft w:val="0"/>
      <w:marRight w:val="0"/>
      <w:marTop w:val="0"/>
      <w:marBottom w:val="0"/>
      <w:divBdr>
        <w:top w:val="none" w:sz="0" w:space="0" w:color="auto"/>
        <w:left w:val="none" w:sz="0" w:space="0" w:color="auto"/>
        <w:bottom w:val="none" w:sz="0" w:space="0" w:color="auto"/>
        <w:right w:val="none" w:sz="0" w:space="0" w:color="auto"/>
      </w:divBdr>
    </w:div>
    <w:div w:id="320816581">
      <w:bodyDiv w:val="1"/>
      <w:marLeft w:val="0"/>
      <w:marRight w:val="0"/>
      <w:marTop w:val="0"/>
      <w:marBottom w:val="0"/>
      <w:divBdr>
        <w:top w:val="none" w:sz="0" w:space="0" w:color="auto"/>
        <w:left w:val="none" w:sz="0" w:space="0" w:color="auto"/>
        <w:bottom w:val="none" w:sz="0" w:space="0" w:color="auto"/>
        <w:right w:val="none" w:sz="0" w:space="0" w:color="auto"/>
      </w:divBdr>
    </w:div>
    <w:div w:id="340934122">
      <w:bodyDiv w:val="1"/>
      <w:marLeft w:val="0"/>
      <w:marRight w:val="0"/>
      <w:marTop w:val="0"/>
      <w:marBottom w:val="0"/>
      <w:divBdr>
        <w:top w:val="none" w:sz="0" w:space="0" w:color="auto"/>
        <w:left w:val="none" w:sz="0" w:space="0" w:color="auto"/>
        <w:bottom w:val="none" w:sz="0" w:space="0" w:color="auto"/>
        <w:right w:val="none" w:sz="0" w:space="0" w:color="auto"/>
      </w:divBdr>
    </w:div>
    <w:div w:id="391655259">
      <w:bodyDiv w:val="1"/>
      <w:marLeft w:val="0"/>
      <w:marRight w:val="0"/>
      <w:marTop w:val="0"/>
      <w:marBottom w:val="0"/>
      <w:divBdr>
        <w:top w:val="none" w:sz="0" w:space="0" w:color="auto"/>
        <w:left w:val="none" w:sz="0" w:space="0" w:color="auto"/>
        <w:bottom w:val="none" w:sz="0" w:space="0" w:color="auto"/>
        <w:right w:val="none" w:sz="0" w:space="0" w:color="auto"/>
      </w:divBdr>
    </w:div>
    <w:div w:id="412707854">
      <w:bodyDiv w:val="1"/>
      <w:marLeft w:val="0"/>
      <w:marRight w:val="0"/>
      <w:marTop w:val="0"/>
      <w:marBottom w:val="0"/>
      <w:divBdr>
        <w:top w:val="none" w:sz="0" w:space="0" w:color="auto"/>
        <w:left w:val="none" w:sz="0" w:space="0" w:color="auto"/>
        <w:bottom w:val="none" w:sz="0" w:space="0" w:color="auto"/>
        <w:right w:val="none" w:sz="0" w:space="0" w:color="auto"/>
      </w:divBdr>
    </w:div>
    <w:div w:id="494492047">
      <w:bodyDiv w:val="1"/>
      <w:marLeft w:val="0"/>
      <w:marRight w:val="0"/>
      <w:marTop w:val="0"/>
      <w:marBottom w:val="0"/>
      <w:divBdr>
        <w:top w:val="none" w:sz="0" w:space="0" w:color="auto"/>
        <w:left w:val="none" w:sz="0" w:space="0" w:color="auto"/>
        <w:bottom w:val="none" w:sz="0" w:space="0" w:color="auto"/>
        <w:right w:val="none" w:sz="0" w:space="0" w:color="auto"/>
      </w:divBdr>
    </w:div>
    <w:div w:id="525871896">
      <w:bodyDiv w:val="1"/>
      <w:marLeft w:val="0"/>
      <w:marRight w:val="0"/>
      <w:marTop w:val="0"/>
      <w:marBottom w:val="0"/>
      <w:divBdr>
        <w:top w:val="none" w:sz="0" w:space="0" w:color="auto"/>
        <w:left w:val="none" w:sz="0" w:space="0" w:color="auto"/>
        <w:bottom w:val="none" w:sz="0" w:space="0" w:color="auto"/>
        <w:right w:val="none" w:sz="0" w:space="0" w:color="auto"/>
      </w:divBdr>
    </w:div>
    <w:div w:id="553278566">
      <w:bodyDiv w:val="1"/>
      <w:marLeft w:val="0"/>
      <w:marRight w:val="0"/>
      <w:marTop w:val="0"/>
      <w:marBottom w:val="0"/>
      <w:divBdr>
        <w:top w:val="none" w:sz="0" w:space="0" w:color="auto"/>
        <w:left w:val="none" w:sz="0" w:space="0" w:color="auto"/>
        <w:bottom w:val="none" w:sz="0" w:space="0" w:color="auto"/>
        <w:right w:val="none" w:sz="0" w:space="0" w:color="auto"/>
      </w:divBdr>
    </w:div>
    <w:div w:id="626544004">
      <w:bodyDiv w:val="1"/>
      <w:marLeft w:val="0"/>
      <w:marRight w:val="0"/>
      <w:marTop w:val="0"/>
      <w:marBottom w:val="0"/>
      <w:divBdr>
        <w:top w:val="none" w:sz="0" w:space="0" w:color="auto"/>
        <w:left w:val="none" w:sz="0" w:space="0" w:color="auto"/>
        <w:bottom w:val="none" w:sz="0" w:space="0" w:color="auto"/>
        <w:right w:val="none" w:sz="0" w:space="0" w:color="auto"/>
      </w:divBdr>
    </w:div>
    <w:div w:id="627392484">
      <w:bodyDiv w:val="1"/>
      <w:marLeft w:val="0"/>
      <w:marRight w:val="0"/>
      <w:marTop w:val="0"/>
      <w:marBottom w:val="0"/>
      <w:divBdr>
        <w:top w:val="none" w:sz="0" w:space="0" w:color="auto"/>
        <w:left w:val="none" w:sz="0" w:space="0" w:color="auto"/>
        <w:bottom w:val="none" w:sz="0" w:space="0" w:color="auto"/>
        <w:right w:val="none" w:sz="0" w:space="0" w:color="auto"/>
      </w:divBdr>
    </w:div>
    <w:div w:id="636421332">
      <w:bodyDiv w:val="1"/>
      <w:marLeft w:val="0"/>
      <w:marRight w:val="0"/>
      <w:marTop w:val="0"/>
      <w:marBottom w:val="0"/>
      <w:divBdr>
        <w:top w:val="none" w:sz="0" w:space="0" w:color="auto"/>
        <w:left w:val="none" w:sz="0" w:space="0" w:color="auto"/>
        <w:bottom w:val="none" w:sz="0" w:space="0" w:color="auto"/>
        <w:right w:val="none" w:sz="0" w:space="0" w:color="auto"/>
      </w:divBdr>
    </w:div>
    <w:div w:id="688221157">
      <w:bodyDiv w:val="1"/>
      <w:marLeft w:val="0"/>
      <w:marRight w:val="0"/>
      <w:marTop w:val="0"/>
      <w:marBottom w:val="0"/>
      <w:divBdr>
        <w:top w:val="none" w:sz="0" w:space="0" w:color="auto"/>
        <w:left w:val="none" w:sz="0" w:space="0" w:color="auto"/>
        <w:bottom w:val="none" w:sz="0" w:space="0" w:color="auto"/>
        <w:right w:val="none" w:sz="0" w:space="0" w:color="auto"/>
      </w:divBdr>
    </w:div>
    <w:div w:id="828597917">
      <w:bodyDiv w:val="1"/>
      <w:marLeft w:val="0"/>
      <w:marRight w:val="0"/>
      <w:marTop w:val="0"/>
      <w:marBottom w:val="0"/>
      <w:divBdr>
        <w:top w:val="none" w:sz="0" w:space="0" w:color="auto"/>
        <w:left w:val="none" w:sz="0" w:space="0" w:color="auto"/>
        <w:bottom w:val="none" w:sz="0" w:space="0" w:color="auto"/>
        <w:right w:val="none" w:sz="0" w:space="0" w:color="auto"/>
      </w:divBdr>
    </w:div>
    <w:div w:id="835072861">
      <w:bodyDiv w:val="1"/>
      <w:marLeft w:val="0"/>
      <w:marRight w:val="0"/>
      <w:marTop w:val="0"/>
      <w:marBottom w:val="0"/>
      <w:divBdr>
        <w:top w:val="none" w:sz="0" w:space="0" w:color="auto"/>
        <w:left w:val="none" w:sz="0" w:space="0" w:color="auto"/>
        <w:bottom w:val="none" w:sz="0" w:space="0" w:color="auto"/>
        <w:right w:val="none" w:sz="0" w:space="0" w:color="auto"/>
      </w:divBdr>
    </w:div>
    <w:div w:id="843863240">
      <w:bodyDiv w:val="1"/>
      <w:marLeft w:val="0"/>
      <w:marRight w:val="0"/>
      <w:marTop w:val="0"/>
      <w:marBottom w:val="0"/>
      <w:divBdr>
        <w:top w:val="none" w:sz="0" w:space="0" w:color="auto"/>
        <w:left w:val="none" w:sz="0" w:space="0" w:color="auto"/>
        <w:bottom w:val="none" w:sz="0" w:space="0" w:color="auto"/>
        <w:right w:val="none" w:sz="0" w:space="0" w:color="auto"/>
      </w:divBdr>
    </w:div>
    <w:div w:id="880900867">
      <w:bodyDiv w:val="1"/>
      <w:marLeft w:val="0"/>
      <w:marRight w:val="0"/>
      <w:marTop w:val="0"/>
      <w:marBottom w:val="0"/>
      <w:divBdr>
        <w:top w:val="none" w:sz="0" w:space="0" w:color="auto"/>
        <w:left w:val="none" w:sz="0" w:space="0" w:color="auto"/>
        <w:bottom w:val="none" w:sz="0" w:space="0" w:color="auto"/>
        <w:right w:val="none" w:sz="0" w:space="0" w:color="auto"/>
      </w:divBdr>
    </w:div>
    <w:div w:id="882325559">
      <w:bodyDiv w:val="1"/>
      <w:marLeft w:val="0"/>
      <w:marRight w:val="0"/>
      <w:marTop w:val="0"/>
      <w:marBottom w:val="0"/>
      <w:divBdr>
        <w:top w:val="none" w:sz="0" w:space="0" w:color="auto"/>
        <w:left w:val="none" w:sz="0" w:space="0" w:color="auto"/>
        <w:bottom w:val="none" w:sz="0" w:space="0" w:color="auto"/>
        <w:right w:val="none" w:sz="0" w:space="0" w:color="auto"/>
      </w:divBdr>
    </w:div>
    <w:div w:id="885916222">
      <w:bodyDiv w:val="1"/>
      <w:marLeft w:val="0"/>
      <w:marRight w:val="0"/>
      <w:marTop w:val="0"/>
      <w:marBottom w:val="0"/>
      <w:divBdr>
        <w:top w:val="none" w:sz="0" w:space="0" w:color="auto"/>
        <w:left w:val="none" w:sz="0" w:space="0" w:color="auto"/>
        <w:bottom w:val="none" w:sz="0" w:space="0" w:color="auto"/>
        <w:right w:val="none" w:sz="0" w:space="0" w:color="auto"/>
      </w:divBdr>
    </w:div>
    <w:div w:id="978804626">
      <w:bodyDiv w:val="1"/>
      <w:marLeft w:val="0"/>
      <w:marRight w:val="0"/>
      <w:marTop w:val="0"/>
      <w:marBottom w:val="0"/>
      <w:divBdr>
        <w:top w:val="none" w:sz="0" w:space="0" w:color="auto"/>
        <w:left w:val="none" w:sz="0" w:space="0" w:color="auto"/>
        <w:bottom w:val="none" w:sz="0" w:space="0" w:color="auto"/>
        <w:right w:val="none" w:sz="0" w:space="0" w:color="auto"/>
      </w:divBdr>
    </w:div>
    <w:div w:id="993610662">
      <w:bodyDiv w:val="1"/>
      <w:marLeft w:val="0"/>
      <w:marRight w:val="0"/>
      <w:marTop w:val="0"/>
      <w:marBottom w:val="0"/>
      <w:divBdr>
        <w:top w:val="none" w:sz="0" w:space="0" w:color="auto"/>
        <w:left w:val="none" w:sz="0" w:space="0" w:color="auto"/>
        <w:bottom w:val="none" w:sz="0" w:space="0" w:color="auto"/>
        <w:right w:val="none" w:sz="0" w:space="0" w:color="auto"/>
      </w:divBdr>
    </w:div>
    <w:div w:id="1014839058">
      <w:bodyDiv w:val="1"/>
      <w:marLeft w:val="0"/>
      <w:marRight w:val="0"/>
      <w:marTop w:val="0"/>
      <w:marBottom w:val="0"/>
      <w:divBdr>
        <w:top w:val="none" w:sz="0" w:space="0" w:color="auto"/>
        <w:left w:val="none" w:sz="0" w:space="0" w:color="auto"/>
        <w:bottom w:val="none" w:sz="0" w:space="0" w:color="auto"/>
        <w:right w:val="none" w:sz="0" w:space="0" w:color="auto"/>
      </w:divBdr>
    </w:div>
    <w:div w:id="1054743525">
      <w:bodyDiv w:val="1"/>
      <w:marLeft w:val="0"/>
      <w:marRight w:val="0"/>
      <w:marTop w:val="0"/>
      <w:marBottom w:val="0"/>
      <w:divBdr>
        <w:top w:val="none" w:sz="0" w:space="0" w:color="auto"/>
        <w:left w:val="none" w:sz="0" w:space="0" w:color="auto"/>
        <w:bottom w:val="none" w:sz="0" w:space="0" w:color="auto"/>
        <w:right w:val="none" w:sz="0" w:space="0" w:color="auto"/>
      </w:divBdr>
    </w:div>
    <w:div w:id="1080979585">
      <w:bodyDiv w:val="1"/>
      <w:marLeft w:val="0"/>
      <w:marRight w:val="0"/>
      <w:marTop w:val="0"/>
      <w:marBottom w:val="0"/>
      <w:divBdr>
        <w:top w:val="none" w:sz="0" w:space="0" w:color="auto"/>
        <w:left w:val="none" w:sz="0" w:space="0" w:color="auto"/>
        <w:bottom w:val="none" w:sz="0" w:space="0" w:color="auto"/>
        <w:right w:val="none" w:sz="0" w:space="0" w:color="auto"/>
      </w:divBdr>
    </w:div>
    <w:div w:id="1098865439">
      <w:bodyDiv w:val="1"/>
      <w:marLeft w:val="0"/>
      <w:marRight w:val="0"/>
      <w:marTop w:val="0"/>
      <w:marBottom w:val="0"/>
      <w:divBdr>
        <w:top w:val="none" w:sz="0" w:space="0" w:color="auto"/>
        <w:left w:val="none" w:sz="0" w:space="0" w:color="auto"/>
        <w:bottom w:val="none" w:sz="0" w:space="0" w:color="auto"/>
        <w:right w:val="none" w:sz="0" w:space="0" w:color="auto"/>
      </w:divBdr>
    </w:div>
    <w:div w:id="1163400316">
      <w:bodyDiv w:val="1"/>
      <w:marLeft w:val="0"/>
      <w:marRight w:val="0"/>
      <w:marTop w:val="0"/>
      <w:marBottom w:val="0"/>
      <w:divBdr>
        <w:top w:val="none" w:sz="0" w:space="0" w:color="auto"/>
        <w:left w:val="none" w:sz="0" w:space="0" w:color="auto"/>
        <w:bottom w:val="none" w:sz="0" w:space="0" w:color="auto"/>
        <w:right w:val="none" w:sz="0" w:space="0" w:color="auto"/>
      </w:divBdr>
    </w:div>
    <w:div w:id="1236089931">
      <w:bodyDiv w:val="1"/>
      <w:marLeft w:val="0"/>
      <w:marRight w:val="0"/>
      <w:marTop w:val="0"/>
      <w:marBottom w:val="0"/>
      <w:divBdr>
        <w:top w:val="none" w:sz="0" w:space="0" w:color="auto"/>
        <w:left w:val="none" w:sz="0" w:space="0" w:color="auto"/>
        <w:bottom w:val="none" w:sz="0" w:space="0" w:color="auto"/>
        <w:right w:val="none" w:sz="0" w:space="0" w:color="auto"/>
      </w:divBdr>
    </w:div>
    <w:div w:id="1262762847">
      <w:bodyDiv w:val="1"/>
      <w:marLeft w:val="0"/>
      <w:marRight w:val="0"/>
      <w:marTop w:val="0"/>
      <w:marBottom w:val="0"/>
      <w:divBdr>
        <w:top w:val="none" w:sz="0" w:space="0" w:color="auto"/>
        <w:left w:val="none" w:sz="0" w:space="0" w:color="auto"/>
        <w:bottom w:val="none" w:sz="0" w:space="0" w:color="auto"/>
        <w:right w:val="none" w:sz="0" w:space="0" w:color="auto"/>
      </w:divBdr>
    </w:div>
    <w:div w:id="1280068407">
      <w:bodyDiv w:val="1"/>
      <w:marLeft w:val="0"/>
      <w:marRight w:val="0"/>
      <w:marTop w:val="0"/>
      <w:marBottom w:val="0"/>
      <w:divBdr>
        <w:top w:val="none" w:sz="0" w:space="0" w:color="auto"/>
        <w:left w:val="none" w:sz="0" w:space="0" w:color="auto"/>
        <w:bottom w:val="none" w:sz="0" w:space="0" w:color="auto"/>
        <w:right w:val="none" w:sz="0" w:space="0" w:color="auto"/>
      </w:divBdr>
    </w:div>
    <w:div w:id="1299995717">
      <w:bodyDiv w:val="1"/>
      <w:marLeft w:val="0"/>
      <w:marRight w:val="0"/>
      <w:marTop w:val="0"/>
      <w:marBottom w:val="0"/>
      <w:divBdr>
        <w:top w:val="none" w:sz="0" w:space="0" w:color="auto"/>
        <w:left w:val="none" w:sz="0" w:space="0" w:color="auto"/>
        <w:bottom w:val="none" w:sz="0" w:space="0" w:color="auto"/>
        <w:right w:val="none" w:sz="0" w:space="0" w:color="auto"/>
      </w:divBdr>
    </w:div>
    <w:div w:id="1303001323">
      <w:bodyDiv w:val="1"/>
      <w:marLeft w:val="0"/>
      <w:marRight w:val="0"/>
      <w:marTop w:val="0"/>
      <w:marBottom w:val="0"/>
      <w:divBdr>
        <w:top w:val="none" w:sz="0" w:space="0" w:color="auto"/>
        <w:left w:val="none" w:sz="0" w:space="0" w:color="auto"/>
        <w:bottom w:val="none" w:sz="0" w:space="0" w:color="auto"/>
        <w:right w:val="none" w:sz="0" w:space="0" w:color="auto"/>
      </w:divBdr>
    </w:div>
    <w:div w:id="1396007644">
      <w:bodyDiv w:val="1"/>
      <w:marLeft w:val="0"/>
      <w:marRight w:val="0"/>
      <w:marTop w:val="0"/>
      <w:marBottom w:val="0"/>
      <w:divBdr>
        <w:top w:val="none" w:sz="0" w:space="0" w:color="auto"/>
        <w:left w:val="none" w:sz="0" w:space="0" w:color="auto"/>
        <w:bottom w:val="none" w:sz="0" w:space="0" w:color="auto"/>
        <w:right w:val="none" w:sz="0" w:space="0" w:color="auto"/>
      </w:divBdr>
    </w:div>
    <w:div w:id="1410299925">
      <w:bodyDiv w:val="1"/>
      <w:marLeft w:val="0"/>
      <w:marRight w:val="0"/>
      <w:marTop w:val="0"/>
      <w:marBottom w:val="0"/>
      <w:divBdr>
        <w:top w:val="none" w:sz="0" w:space="0" w:color="auto"/>
        <w:left w:val="none" w:sz="0" w:space="0" w:color="auto"/>
        <w:bottom w:val="none" w:sz="0" w:space="0" w:color="auto"/>
        <w:right w:val="none" w:sz="0" w:space="0" w:color="auto"/>
      </w:divBdr>
    </w:div>
    <w:div w:id="1481773070">
      <w:bodyDiv w:val="1"/>
      <w:marLeft w:val="0"/>
      <w:marRight w:val="0"/>
      <w:marTop w:val="0"/>
      <w:marBottom w:val="0"/>
      <w:divBdr>
        <w:top w:val="none" w:sz="0" w:space="0" w:color="auto"/>
        <w:left w:val="none" w:sz="0" w:space="0" w:color="auto"/>
        <w:bottom w:val="none" w:sz="0" w:space="0" w:color="auto"/>
        <w:right w:val="none" w:sz="0" w:space="0" w:color="auto"/>
      </w:divBdr>
    </w:div>
    <w:div w:id="1520239221">
      <w:bodyDiv w:val="1"/>
      <w:marLeft w:val="0"/>
      <w:marRight w:val="0"/>
      <w:marTop w:val="0"/>
      <w:marBottom w:val="0"/>
      <w:divBdr>
        <w:top w:val="none" w:sz="0" w:space="0" w:color="auto"/>
        <w:left w:val="none" w:sz="0" w:space="0" w:color="auto"/>
        <w:bottom w:val="none" w:sz="0" w:space="0" w:color="auto"/>
        <w:right w:val="none" w:sz="0" w:space="0" w:color="auto"/>
      </w:divBdr>
    </w:div>
    <w:div w:id="1597783995">
      <w:bodyDiv w:val="1"/>
      <w:marLeft w:val="0"/>
      <w:marRight w:val="0"/>
      <w:marTop w:val="0"/>
      <w:marBottom w:val="0"/>
      <w:divBdr>
        <w:top w:val="none" w:sz="0" w:space="0" w:color="auto"/>
        <w:left w:val="none" w:sz="0" w:space="0" w:color="auto"/>
        <w:bottom w:val="none" w:sz="0" w:space="0" w:color="auto"/>
        <w:right w:val="none" w:sz="0" w:space="0" w:color="auto"/>
      </w:divBdr>
    </w:div>
    <w:div w:id="1603954902">
      <w:bodyDiv w:val="1"/>
      <w:marLeft w:val="0"/>
      <w:marRight w:val="0"/>
      <w:marTop w:val="0"/>
      <w:marBottom w:val="0"/>
      <w:divBdr>
        <w:top w:val="none" w:sz="0" w:space="0" w:color="auto"/>
        <w:left w:val="none" w:sz="0" w:space="0" w:color="auto"/>
        <w:bottom w:val="none" w:sz="0" w:space="0" w:color="auto"/>
        <w:right w:val="none" w:sz="0" w:space="0" w:color="auto"/>
      </w:divBdr>
    </w:div>
    <w:div w:id="1604219616">
      <w:bodyDiv w:val="1"/>
      <w:marLeft w:val="0"/>
      <w:marRight w:val="0"/>
      <w:marTop w:val="0"/>
      <w:marBottom w:val="0"/>
      <w:divBdr>
        <w:top w:val="none" w:sz="0" w:space="0" w:color="auto"/>
        <w:left w:val="none" w:sz="0" w:space="0" w:color="auto"/>
        <w:bottom w:val="none" w:sz="0" w:space="0" w:color="auto"/>
        <w:right w:val="none" w:sz="0" w:space="0" w:color="auto"/>
      </w:divBdr>
    </w:div>
    <w:div w:id="1606578450">
      <w:bodyDiv w:val="1"/>
      <w:marLeft w:val="0"/>
      <w:marRight w:val="0"/>
      <w:marTop w:val="0"/>
      <w:marBottom w:val="0"/>
      <w:divBdr>
        <w:top w:val="none" w:sz="0" w:space="0" w:color="auto"/>
        <w:left w:val="none" w:sz="0" w:space="0" w:color="auto"/>
        <w:bottom w:val="none" w:sz="0" w:space="0" w:color="auto"/>
        <w:right w:val="none" w:sz="0" w:space="0" w:color="auto"/>
      </w:divBdr>
    </w:div>
    <w:div w:id="1615749154">
      <w:bodyDiv w:val="1"/>
      <w:marLeft w:val="0"/>
      <w:marRight w:val="0"/>
      <w:marTop w:val="0"/>
      <w:marBottom w:val="0"/>
      <w:divBdr>
        <w:top w:val="none" w:sz="0" w:space="0" w:color="auto"/>
        <w:left w:val="none" w:sz="0" w:space="0" w:color="auto"/>
        <w:bottom w:val="none" w:sz="0" w:space="0" w:color="auto"/>
        <w:right w:val="none" w:sz="0" w:space="0" w:color="auto"/>
      </w:divBdr>
    </w:div>
    <w:div w:id="1681005941">
      <w:bodyDiv w:val="1"/>
      <w:marLeft w:val="0"/>
      <w:marRight w:val="0"/>
      <w:marTop w:val="0"/>
      <w:marBottom w:val="0"/>
      <w:divBdr>
        <w:top w:val="none" w:sz="0" w:space="0" w:color="auto"/>
        <w:left w:val="none" w:sz="0" w:space="0" w:color="auto"/>
        <w:bottom w:val="none" w:sz="0" w:space="0" w:color="auto"/>
        <w:right w:val="none" w:sz="0" w:space="0" w:color="auto"/>
      </w:divBdr>
    </w:div>
    <w:div w:id="1683314758">
      <w:bodyDiv w:val="1"/>
      <w:marLeft w:val="0"/>
      <w:marRight w:val="0"/>
      <w:marTop w:val="0"/>
      <w:marBottom w:val="0"/>
      <w:divBdr>
        <w:top w:val="none" w:sz="0" w:space="0" w:color="auto"/>
        <w:left w:val="none" w:sz="0" w:space="0" w:color="auto"/>
        <w:bottom w:val="none" w:sz="0" w:space="0" w:color="auto"/>
        <w:right w:val="none" w:sz="0" w:space="0" w:color="auto"/>
      </w:divBdr>
    </w:div>
    <w:div w:id="1723794611">
      <w:bodyDiv w:val="1"/>
      <w:marLeft w:val="0"/>
      <w:marRight w:val="0"/>
      <w:marTop w:val="0"/>
      <w:marBottom w:val="0"/>
      <w:divBdr>
        <w:top w:val="none" w:sz="0" w:space="0" w:color="auto"/>
        <w:left w:val="none" w:sz="0" w:space="0" w:color="auto"/>
        <w:bottom w:val="none" w:sz="0" w:space="0" w:color="auto"/>
        <w:right w:val="none" w:sz="0" w:space="0" w:color="auto"/>
      </w:divBdr>
    </w:div>
    <w:div w:id="1738167668">
      <w:bodyDiv w:val="1"/>
      <w:marLeft w:val="0"/>
      <w:marRight w:val="0"/>
      <w:marTop w:val="0"/>
      <w:marBottom w:val="0"/>
      <w:divBdr>
        <w:top w:val="none" w:sz="0" w:space="0" w:color="auto"/>
        <w:left w:val="none" w:sz="0" w:space="0" w:color="auto"/>
        <w:bottom w:val="none" w:sz="0" w:space="0" w:color="auto"/>
        <w:right w:val="none" w:sz="0" w:space="0" w:color="auto"/>
      </w:divBdr>
    </w:div>
    <w:div w:id="1778984758">
      <w:bodyDiv w:val="1"/>
      <w:marLeft w:val="0"/>
      <w:marRight w:val="0"/>
      <w:marTop w:val="0"/>
      <w:marBottom w:val="0"/>
      <w:divBdr>
        <w:top w:val="none" w:sz="0" w:space="0" w:color="auto"/>
        <w:left w:val="none" w:sz="0" w:space="0" w:color="auto"/>
        <w:bottom w:val="none" w:sz="0" w:space="0" w:color="auto"/>
        <w:right w:val="none" w:sz="0" w:space="0" w:color="auto"/>
      </w:divBdr>
    </w:div>
    <w:div w:id="1815171420">
      <w:bodyDiv w:val="1"/>
      <w:marLeft w:val="0"/>
      <w:marRight w:val="0"/>
      <w:marTop w:val="0"/>
      <w:marBottom w:val="0"/>
      <w:divBdr>
        <w:top w:val="none" w:sz="0" w:space="0" w:color="auto"/>
        <w:left w:val="none" w:sz="0" w:space="0" w:color="auto"/>
        <w:bottom w:val="none" w:sz="0" w:space="0" w:color="auto"/>
        <w:right w:val="none" w:sz="0" w:space="0" w:color="auto"/>
      </w:divBdr>
    </w:div>
    <w:div w:id="1822234802">
      <w:bodyDiv w:val="1"/>
      <w:marLeft w:val="0"/>
      <w:marRight w:val="0"/>
      <w:marTop w:val="0"/>
      <w:marBottom w:val="0"/>
      <w:divBdr>
        <w:top w:val="none" w:sz="0" w:space="0" w:color="auto"/>
        <w:left w:val="none" w:sz="0" w:space="0" w:color="auto"/>
        <w:bottom w:val="none" w:sz="0" w:space="0" w:color="auto"/>
        <w:right w:val="none" w:sz="0" w:space="0" w:color="auto"/>
      </w:divBdr>
    </w:div>
    <w:div w:id="1824656917">
      <w:bodyDiv w:val="1"/>
      <w:marLeft w:val="0"/>
      <w:marRight w:val="0"/>
      <w:marTop w:val="0"/>
      <w:marBottom w:val="0"/>
      <w:divBdr>
        <w:top w:val="none" w:sz="0" w:space="0" w:color="auto"/>
        <w:left w:val="none" w:sz="0" w:space="0" w:color="auto"/>
        <w:bottom w:val="none" w:sz="0" w:space="0" w:color="auto"/>
        <w:right w:val="none" w:sz="0" w:space="0" w:color="auto"/>
      </w:divBdr>
    </w:div>
    <w:div w:id="1825928871">
      <w:bodyDiv w:val="1"/>
      <w:marLeft w:val="0"/>
      <w:marRight w:val="0"/>
      <w:marTop w:val="0"/>
      <w:marBottom w:val="0"/>
      <w:divBdr>
        <w:top w:val="none" w:sz="0" w:space="0" w:color="auto"/>
        <w:left w:val="none" w:sz="0" w:space="0" w:color="auto"/>
        <w:bottom w:val="none" w:sz="0" w:space="0" w:color="auto"/>
        <w:right w:val="none" w:sz="0" w:space="0" w:color="auto"/>
      </w:divBdr>
    </w:div>
    <w:div w:id="1882554190">
      <w:bodyDiv w:val="1"/>
      <w:marLeft w:val="0"/>
      <w:marRight w:val="0"/>
      <w:marTop w:val="0"/>
      <w:marBottom w:val="0"/>
      <w:divBdr>
        <w:top w:val="none" w:sz="0" w:space="0" w:color="auto"/>
        <w:left w:val="none" w:sz="0" w:space="0" w:color="auto"/>
        <w:bottom w:val="none" w:sz="0" w:space="0" w:color="auto"/>
        <w:right w:val="none" w:sz="0" w:space="0" w:color="auto"/>
      </w:divBdr>
    </w:div>
    <w:div w:id="1948728855">
      <w:bodyDiv w:val="1"/>
      <w:marLeft w:val="0"/>
      <w:marRight w:val="0"/>
      <w:marTop w:val="0"/>
      <w:marBottom w:val="0"/>
      <w:divBdr>
        <w:top w:val="none" w:sz="0" w:space="0" w:color="auto"/>
        <w:left w:val="none" w:sz="0" w:space="0" w:color="auto"/>
        <w:bottom w:val="none" w:sz="0" w:space="0" w:color="auto"/>
        <w:right w:val="none" w:sz="0" w:space="0" w:color="auto"/>
      </w:divBdr>
    </w:div>
    <w:div w:id="1982684618">
      <w:bodyDiv w:val="1"/>
      <w:marLeft w:val="0"/>
      <w:marRight w:val="0"/>
      <w:marTop w:val="0"/>
      <w:marBottom w:val="0"/>
      <w:divBdr>
        <w:top w:val="none" w:sz="0" w:space="0" w:color="auto"/>
        <w:left w:val="none" w:sz="0" w:space="0" w:color="auto"/>
        <w:bottom w:val="none" w:sz="0" w:space="0" w:color="auto"/>
        <w:right w:val="none" w:sz="0" w:space="0" w:color="auto"/>
      </w:divBdr>
    </w:div>
    <w:div w:id="1985117221">
      <w:bodyDiv w:val="1"/>
      <w:marLeft w:val="0"/>
      <w:marRight w:val="0"/>
      <w:marTop w:val="0"/>
      <w:marBottom w:val="0"/>
      <w:divBdr>
        <w:top w:val="none" w:sz="0" w:space="0" w:color="auto"/>
        <w:left w:val="none" w:sz="0" w:space="0" w:color="auto"/>
        <w:bottom w:val="none" w:sz="0" w:space="0" w:color="auto"/>
        <w:right w:val="none" w:sz="0" w:space="0" w:color="auto"/>
      </w:divBdr>
    </w:div>
    <w:div w:id="201576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pharmainfo.net/articles/tissue-engineered-ligament-implant-constructs-tooth-replacement-ligaplants" TargetMode="External"/><Relationship Id="rId26" Type="http://schemas.openxmlformats.org/officeDocument/2006/relationships/hyperlink" Target="https://doi.org/10.5281/zenodo.5112972" TargetMode="External"/><Relationship Id="rId39" Type="http://schemas.openxmlformats.org/officeDocument/2006/relationships/hyperlink" Target="https://doi.org/10.1007/s00441-007-0397-3" TargetMode="External"/><Relationship Id="rId21" Type="http://schemas.openxmlformats.org/officeDocument/2006/relationships/hyperlink" Target="https://doi.org/10.4103/jorr.jorr_1_18" TargetMode="External"/><Relationship Id="rId34" Type="http://schemas.openxmlformats.org/officeDocument/2006/relationships/hyperlink" Target="https://doi.org/10.1007/s00441-013-1630-x" TargetMode="External"/><Relationship Id="rId42" Type="http://schemas.openxmlformats.org/officeDocument/2006/relationships/hyperlink" Target="https://www.ncbi.nlm.nih.gov/pmc/articles/PMC476959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4103/IJDS.IJDS_140_20" TargetMode="External"/><Relationship Id="rId11" Type="http://schemas.openxmlformats.org/officeDocument/2006/relationships/diagramData" Target="diagrams/data1.xml"/><Relationship Id="rId24" Type="http://schemas.openxmlformats.org/officeDocument/2006/relationships/hyperlink" Target="https://doi.org/10.4103/ams.ams_58_19" TargetMode="External"/><Relationship Id="rId32" Type="http://schemas.openxmlformats.org/officeDocument/2006/relationships/hyperlink" Target="https://doi.org/10.1177/2041731417702531" TargetMode="External"/><Relationship Id="rId37" Type="http://schemas.openxmlformats.org/officeDocument/2006/relationships/hyperlink" Target="https://doi.org/10.4317/medoral.19565" TargetMode="External"/><Relationship Id="rId40" Type="http://schemas.openxmlformats.org/officeDocument/2006/relationships/hyperlink" Target="https://doi.org/10.4049/jimmunol.0902318"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hyperlink" Target="https://doi.org/10.4103/IJDS.IJDS_140_20" TargetMode="External"/><Relationship Id="rId31" Type="http://schemas.openxmlformats.org/officeDocument/2006/relationships/hyperlink" Target="https://doi.org/10.1371/journal.pone.0046436" TargetMode="External"/><Relationship Id="rId44" Type="http://schemas.openxmlformats.org/officeDocument/2006/relationships/hyperlink" Target="https://doi.org/10.3390/molecules25245879" TargetMode="External"/><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Colors" Target="diagrams/colors1.xml"/><Relationship Id="rId22" Type="http://schemas.openxmlformats.org/officeDocument/2006/relationships/hyperlink" Target="https://doi.org/10.4103/ijpcdr.ijpcdr_2_24" TargetMode="External"/><Relationship Id="rId27" Type="http://schemas.openxmlformats.org/officeDocument/2006/relationships/hyperlink" Target="https://doi.org/10.9790/0853-1807076164" TargetMode="External"/><Relationship Id="rId30" Type="http://schemas.openxmlformats.org/officeDocument/2006/relationships/hyperlink" Target="https://doi.org/10.1002/adma.201903182" TargetMode="External"/><Relationship Id="rId35" Type="http://schemas.openxmlformats.org/officeDocument/2006/relationships/hyperlink" Target="https://doi.org/10.1111/j.1601-6343.2007.00399.x" TargetMode="External"/><Relationship Id="rId43" Type="http://schemas.openxmlformats.org/officeDocument/2006/relationships/hyperlink" Target="https://doi.org/10.5772/63346" TargetMode="External"/><Relationship Id="rId48"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doi.org/10.4103/ccd.ccd_196_20" TargetMode="External"/><Relationship Id="rId25" Type="http://schemas.openxmlformats.org/officeDocument/2006/relationships/hyperlink" Target="https://doi.org/10.18231/j.ijohd.2021.002" TargetMode="External"/><Relationship Id="rId33" Type="http://schemas.openxmlformats.org/officeDocument/2006/relationships/hyperlink" Target="https://doi.org/10.1517/14712598.8.6.735" TargetMode="External"/><Relationship Id="rId38" Type="http://schemas.openxmlformats.org/officeDocument/2006/relationships/hyperlink" Target="https://doi.org/10.1016/j.matbio.2004.12.004" TargetMode="External"/><Relationship Id="rId46" Type="http://schemas.openxmlformats.org/officeDocument/2006/relationships/header" Target="header2.xml"/><Relationship Id="rId20" Type="http://schemas.openxmlformats.org/officeDocument/2006/relationships/hyperlink" Target="https://doi.org/10.4103/jdrr.jdrr_31_23" TargetMode="External"/><Relationship Id="rId41" Type="http://schemas.openxmlformats.org/officeDocument/2006/relationships/hyperlink" Target="https://doi.org/10.1359/JBMR.041117"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doi.org/10.37841/jidam_2021_V8_I3_02" TargetMode="External"/><Relationship Id="rId28" Type="http://schemas.openxmlformats.org/officeDocument/2006/relationships/hyperlink" Target="https://doi.org/10.7759/cureus.45968" TargetMode="External"/><Relationship Id="rId36" Type="http://schemas.openxmlformats.org/officeDocument/2006/relationships/hyperlink" Target="https://doi.org/10.1073/pnas.0937635100" TargetMode="External"/><Relationship Id="rId49"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FC645-E4F5-4FE6-B9C4-42CC62CE400A}" type="doc">
      <dgm:prSet loTypeId="urn:microsoft.com/office/officeart/2005/8/layout/bProcess3" loCatId="process" qsTypeId="urn:microsoft.com/office/officeart/2005/8/quickstyle/3d2" qsCatId="3D" csTypeId="urn:microsoft.com/office/officeart/2005/8/colors/colorful3" csCatId="colorful" phldr="1"/>
      <dgm:spPr/>
      <dgm:t>
        <a:bodyPr/>
        <a:lstStyle/>
        <a:p>
          <a:endParaRPr lang="en-IN"/>
        </a:p>
      </dgm:t>
    </dgm:pt>
    <dgm:pt modelId="{74A88078-FC34-48EA-B7CF-875E7FC23B2F}">
      <dgm:prSet phldrT="[Text]"/>
      <dgm:spPr/>
      <dgm:t>
        <a:bodyPr/>
        <a:lstStyle/>
        <a:p>
          <a:pPr>
            <a:buNone/>
          </a:pPr>
          <a:r>
            <a:rPr lang="en-IN"/>
            <a:t>Polystyrene culture dishes are treated with N-isopropyl acrylamide monomer and 2-propanol.These are exposed to the Area Beam Electron Processing System (ABEPS) to modify the surface.</a:t>
          </a:r>
        </a:p>
      </dgm:t>
    </dgm:pt>
    <dgm:pt modelId="{29F4F9AA-31CE-499F-869E-8A3E5D514CC4}" type="parTrans" cxnId="{5E1AE080-C7B2-4BEB-8526-96E8262B2782}">
      <dgm:prSet/>
      <dgm:spPr/>
      <dgm:t>
        <a:bodyPr/>
        <a:lstStyle/>
        <a:p>
          <a:endParaRPr lang="en-IN"/>
        </a:p>
      </dgm:t>
    </dgm:pt>
    <dgm:pt modelId="{B77AA127-7ED1-412B-9C93-964576B71851}" type="sibTrans" cxnId="{5E1AE080-C7B2-4BEB-8526-96E8262B2782}">
      <dgm:prSet/>
      <dgm:spPr/>
      <dgm:t>
        <a:bodyPr/>
        <a:lstStyle/>
        <a:p>
          <a:endParaRPr lang="en-IN"/>
        </a:p>
      </dgm:t>
    </dgm:pt>
    <dgm:pt modelId="{54988E9A-50EC-4CD8-977C-1D08CB244FC0}">
      <dgm:prSet/>
      <dgm:spPr/>
      <dgm:t>
        <a:bodyPr/>
        <a:lstStyle/>
        <a:p>
          <a:pPr>
            <a:buNone/>
          </a:pPr>
          <a:r>
            <a:rPr lang="en-IN"/>
            <a:t>These are exposed to the Area Beam Electron Processing System (ABEPS) to modify the surface.</a:t>
          </a:r>
        </a:p>
      </dgm:t>
    </dgm:pt>
    <dgm:pt modelId="{32CDF887-C38D-4389-A7D8-325A144BEDF9}" type="parTrans" cxnId="{05DC5EBD-3095-4372-BA8B-D29557A6D13F}">
      <dgm:prSet/>
      <dgm:spPr/>
      <dgm:t>
        <a:bodyPr/>
        <a:lstStyle/>
        <a:p>
          <a:endParaRPr lang="en-IN"/>
        </a:p>
      </dgm:t>
    </dgm:pt>
    <dgm:pt modelId="{B2AC10D9-41E6-44F4-8A72-9D55A6C218B4}" type="sibTrans" cxnId="{05DC5EBD-3095-4372-BA8B-D29557A6D13F}">
      <dgm:prSet/>
      <dgm:spPr/>
      <dgm:t>
        <a:bodyPr/>
        <a:lstStyle/>
        <a:p>
          <a:endParaRPr lang="en-IN"/>
        </a:p>
      </dgm:t>
    </dgm:pt>
    <dgm:pt modelId="{80AE87AD-541D-413F-A23C-A687F1272715}">
      <dgm:prSet phldrT="[Text]"/>
      <dgm:spPr/>
      <dgm:t>
        <a:bodyPr/>
        <a:lstStyle/>
        <a:p>
          <a:r>
            <a:rPr lang="en-IN"/>
            <a:t>A dental implant positioned within a hallow plastic cylinder,leaving a 3mm apace around the implant.</a:t>
          </a:r>
        </a:p>
      </dgm:t>
    </dgm:pt>
    <dgm:pt modelId="{E67E4176-4077-441F-BB2B-80BCC8AF83FA}" type="parTrans" cxnId="{8237DAC6-8D25-457D-B67E-9F18DDCE6513}">
      <dgm:prSet/>
      <dgm:spPr/>
      <dgm:t>
        <a:bodyPr/>
        <a:lstStyle/>
        <a:p>
          <a:endParaRPr lang="en-IN"/>
        </a:p>
      </dgm:t>
    </dgm:pt>
    <dgm:pt modelId="{C2F213FB-8FAE-4AA6-BF76-6361290DDD0B}" type="sibTrans" cxnId="{8237DAC6-8D25-457D-B67E-9F18DDCE6513}">
      <dgm:prSet/>
      <dgm:spPr/>
      <dgm:t>
        <a:bodyPr/>
        <a:lstStyle/>
        <a:p>
          <a:endParaRPr lang="en-IN"/>
        </a:p>
      </dgm:t>
    </dgm:pt>
    <dgm:pt modelId="{840DA63F-AC30-4C91-95D0-71ABF5CA7056}">
      <dgm:prSet phldrT="[Text]"/>
      <dgm:spPr/>
      <dgm:t>
        <a:bodyPr/>
        <a:lstStyle/>
        <a:p>
          <a:pPr>
            <a:buNone/>
          </a:pPr>
          <a:r>
            <a:rPr lang="en-IN"/>
            <a:t>Plastic vessels containing the implant are seeded with the PDL cell suspension. The setup is maintained under a steady flow of growth medium for 18 days to promote regeneration of periodontal tissue.</a:t>
          </a:r>
        </a:p>
      </dgm:t>
    </dgm:pt>
    <dgm:pt modelId="{05D78A95-BE9E-400C-9C98-4BE632CBACBD}" type="parTrans" cxnId="{E290B102-94B1-4C88-932C-C48837DAD11A}">
      <dgm:prSet/>
      <dgm:spPr/>
      <dgm:t>
        <a:bodyPr/>
        <a:lstStyle/>
        <a:p>
          <a:endParaRPr lang="en-IN"/>
        </a:p>
      </dgm:t>
    </dgm:pt>
    <dgm:pt modelId="{67F9EF72-CBEE-45AC-AA76-36587554BD2B}" type="sibTrans" cxnId="{E290B102-94B1-4C88-932C-C48837DAD11A}">
      <dgm:prSet/>
      <dgm:spPr/>
      <dgm:t>
        <a:bodyPr/>
        <a:lstStyle/>
        <a:p>
          <a:endParaRPr lang="en-IN"/>
        </a:p>
      </dgm:t>
    </dgm:pt>
    <dgm:pt modelId="{9D7C3AE5-7C12-4E34-9A0F-847981FE8B77}">
      <dgm:prSet phldrT="[Text]"/>
      <dgm:spPr/>
      <dgm:t>
        <a:bodyPr/>
        <a:lstStyle/>
        <a:p>
          <a:pPr>
            <a:buNone/>
          </a:pPr>
          <a:r>
            <a:rPr lang="en-IN"/>
            <a:t>The harvested PDL cells are inoculated into culture dishes with Dulbecco’s Modified Eagle’s Medium.Culturing is done under controlled conditions: 5% CO₂ at 37°C for 48 hours to ensure cell attachment.</a:t>
          </a:r>
        </a:p>
      </dgm:t>
    </dgm:pt>
    <dgm:pt modelId="{CBED2306-956A-4733-AD95-AD468040C527}" type="sibTrans" cxnId="{98FDC940-A0B9-4ACD-B0C9-77FE7FE1E9D8}">
      <dgm:prSet/>
      <dgm:spPr/>
      <dgm:t>
        <a:bodyPr/>
        <a:lstStyle/>
        <a:p>
          <a:endParaRPr lang="en-IN"/>
        </a:p>
      </dgm:t>
    </dgm:pt>
    <dgm:pt modelId="{04D8A799-1D44-4ED9-A136-79F6254A39C1}" type="parTrans" cxnId="{98FDC940-A0B9-4ACD-B0C9-77FE7FE1E9D8}">
      <dgm:prSet/>
      <dgm:spPr/>
      <dgm:t>
        <a:bodyPr/>
        <a:lstStyle/>
        <a:p>
          <a:endParaRPr lang="en-IN"/>
        </a:p>
      </dgm:t>
    </dgm:pt>
    <dgm:pt modelId="{1AA7EDFD-B342-454B-98C6-41DAF934584C}" type="pres">
      <dgm:prSet presAssocID="{842FC645-E4F5-4FE6-B9C4-42CC62CE400A}" presName="Name0" presStyleCnt="0">
        <dgm:presLayoutVars>
          <dgm:dir/>
          <dgm:resizeHandles val="exact"/>
        </dgm:presLayoutVars>
      </dgm:prSet>
      <dgm:spPr/>
    </dgm:pt>
    <dgm:pt modelId="{5F9B6190-7474-44C6-AAEB-B4176ADCFC7D}" type="pres">
      <dgm:prSet presAssocID="{74A88078-FC34-48EA-B7CF-875E7FC23B2F}" presName="node" presStyleLbl="node1" presStyleIdx="0" presStyleCnt="5">
        <dgm:presLayoutVars>
          <dgm:bulletEnabled val="1"/>
        </dgm:presLayoutVars>
      </dgm:prSet>
      <dgm:spPr/>
    </dgm:pt>
    <dgm:pt modelId="{0463EC19-2225-42E2-91F3-AA506FE4FD43}" type="pres">
      <dgm:prSet presAssocID="{B77AA127-7ED1-412B-9C93-964576B71851}" presName="sibTrans" presStyleLbl="sibTrans1D1" presStyleIdx="0" presStyleCnt="4"/>
      <dgm:spPr/>
    </dgm:pt>
    <dgm:pt modelId="{6A4943FA-566C-4D2B-89E1-E55367B3E3CA}" type="pres">
      <dgm:prSet presAssocID="{B77AA127-7ED1-412B-9C93-964576B71851}" presName="connectorText" presStyleLbl="sibTrans1D1" presStyleIdx="0" presStyleCnt="4"/>
      <dgm:spPr/>
    </dgm:pt>
    <dgm:pt modelId="{58D669D2-EB5E-4BFC-8C60-2CC7B89FC224}" type="pres">
      <dgm:prSet presAssocID="{54988E9A-50EC-4CD8-977C-1D08CB244FC0}" presName="node" presStyleLbl="node1" presStyleIdx="1" presStyleCnt="5">
        <dgm:presLayoutVars>
          <dgm:bulletEnabled val="1"/>
        </dgm:presLayoutVars>
      </dgm:prSet>
      <dgm:spPr/>
    </dgm:pt>
    <dgm:pt modelId="{AAD8F91F-7414-421E-A6DC-7FD871A5E1B9}" type="pres">
      <dgm:prSet presAssocID="{B2AC10D9-41E6-44F4-8A72-9D55A6C218B4}" presName="sibTrans" presStyleLbl="sibTrans1D1" presStyleIdx="1" presStyleCnt="4"/>
      <dgm:spPr/>
    </dgm:pt>
    <dgm:pt modelId="{0DFB3A23-338B-4CE1-970D-204A56267246}" type="pres">
      <dgm:prSet presAssocID="{B2AC10D9-41E6-44F4-8A72-9D55A6C218B4}" presName="connectorText" presStyleLbl="sibTrans1D1" presStyleIdx="1" presStyleCnt="4"/>
      <dgm:spPr/>
    </dgm:pt>
    <dgm:pt modelId="{C4F9B63D-4F40-4516-ABF1-9F4D9739F58C}" type="pres">
      <dgm:prSet presAssocID="{9D7C3AE5-7C12-4E34-9A0F-847981FE8B77}" presName="node" presStyleLbl="node1" presStyleIdx="2" presStyleCnt="5">
        <dgm:presLayoutVars>
          <dgm:bulletEnabled val="1"/>
        </dgm:presLayoutVars>
      </dgm:prSet>
      <dgm:spPr/>
    </dgm:pt>
    <dgm:pt modelId="{9446A444-B4A9-4036-8FB3-C87CFF0C8F3E}" type="pres">
      <dgm:prSet presAssocID="{CBED2306-956A-4733-AD95-AD468040C527}" presName="sibTrans" presStyleLbl="sibTrans1D1" presStyleIdx="2" presStyleCnt="4"/>
      <dgm:spPr/>
    </dgm:pt>
    <dgm:pt modelId="{A7536934-D43C-423C-AFD7-56B8A1BFDC68}" type="pres">
      <dgm:prSet presAssocID="{CBED2306-956A-4733-AD95-AD468040C527}" presName="connectorText" presStyleLbl="sibTrans1D1" presStyleIdx="2" presStyleCnt="4"/>
      <dgm:spPr/>
    </dgm:pt>
    <dgm:pt modelId="{7EB5B5D1-617D-4266-B673-FFF7F89B03D5}" type="pres">
      <dgm:prSet presAssocID="{80AE87AD-541D-413F-A23C-A687F1272715}" presName="node" presStyleLbl="node1" presStyleIdx="3" presStyleCnt="5">
        <dgm:presLayoutVars>
          <dgm:bulletEnabled val="1"/>
        </dgm:presLayoutVars>
      </dgm:prSet>
      <dgm:spPr/>
    </dgm:pt>
    <dgm:pt modelId="{1A0CEAFF-384F-413B-BEA0-B24F25FF01F1}" type="pres">
      <dgm:prSet presAssocID="{C2F213FB-8FAE-4AA6-BF76-6361290DDD0B}" presName="sibTrans" presStyleLbl="sibTrans1D1" presStyleIdx="3" presStyleCnt="4"/>
      <dgm:spPr/>
    </dgm:pt>
    <dgm:pt modelId="{88C21DB8-2D85-48A4-AD00-1AE08CDE61E1}" type="pres">
      <dgm:prSet presAssocID="{C2F213FB-8FAE-4AA6-BF76-6361290DDD0B}" presName="connectorText" presStyleLbl="sibTrans1D1" presStyleIdx="3" presStyleCnt="4"/>
      <dgm:spPr/>
    </dgm:pt>
    <dgm:pt modelId="{826497BA-A3DC-41C7-AFC4-6178092D9158}" type="pres">
      <dgm:prSet presAssocID="{840DA63F-AC30-4C91-95D0-71ABF5CA7056}" presName="node" presStyleLbl="node1" presStyleIdx="4" presStyleCnt="5" custLinFactNeighborX="-542" custLinFactNeighborY="904">
        <dgm:presLayoutVars>
          <dgm:bulletEnabled val="1"/>
        </dgm:presLayoutVars>
      </dgm:prSet>
      <dgm:spPr/>
    </dgm:pt>
  </dgm:ptLst>
  <dgm:cxnLst>
    <dgm:cxn modelId="{E290B102-94B1-4C88-932C-C48837DAD11A}" srcId="{842FC645-E4F5-4FE6-B9C4-42CC62CE400A}" destId="{840DA63F-AC30-4C91-95D0-71ABF5CA7056}" srcOrd="4" destOrd="0" parTransId="{05D78A95-BE9E-400C-9C98-4BE632CBACBD}" sibTransId="{67F9EF72-CBEE-45AC-AA76-36587554BD2B}"/>
    <dgm:cxn modelId="{A3F2BF09-E421-4FDC-B137-63707DAC24D0}" type="presOf" srcId="{842FC645-E4F5-4FE6-B9C4-42CC62CE400A}" destId="{1AA7EDFD-B342-454B-98C6-41DAF934584C}" srcOrd="0" destOrd="0" presId="urn:microsoft.com/office/officeart/2005/8/layout/bProcess3"/>
    <dgm:cxn modelId="{235E3110-5EB3-403F-80B7-DA706E8FE38E}" type="presOf" srcId="{9D7C3AE5-7C12-4E34-9A0F-847981FE8B77}" destId="{C4F9B63D-4F40-4516-ABF1-9F4D9739F58C}" srcOrd="0" destOrd="0" presId="urn:microsoft.com/office/officeart/2005/8/layout/bProcess3"/>
    <dgm:cxn modelId="{502F0013-3243-456C-A1BA-EC3A97ABDCC0}" type="presOf" srcId="{B77AA127-7ED1-412B-9C93-964576B71851}" destId="{0463EC19-2225-42E2-91F3-AA506FE4FD43}" srcOrd="0" destOrd="0" presId="urn:microsoft.com/office/officeart/2005/8/layout/bProcess3"/>
    <dgm:cxn modelId="{20E1461B-68E3-49A8-AD4E-0A1460FBF5EA}" type="presOf" srcId="{74A88078-FC34-48EA-B7CF-875E7FC23B2F}" destId="{5F9B6190-7474-44C6-AAEB-B4176ADCFC7D}" srcOrd="0" destOrd="0" presId="urn:microsoft.com/office/officeart/2005/8/layout/bProcess3"/>
    <dgm:cxn modelId="{59CC5D1E-0A56-44F0-8370-3D009B6FAD02}" type="presOf" srcId="{CBED2306-956A-4733-AD95-AD468040C527}" destId="{9446A444-B4A9-4036-8FB3-C87CFF0C8F3E}" srcOrd="0" destOrd="0" presId="urn:microsoft.com/office/officeart/2005/8/layout/bProcess3"/>
    <dgm:cxn modelId="{9CE00C2E-7CD5-40EA-944D-473E0FC5C0C3}" type="presOf" srcId="{B2AC10D9-41E6-44F4-8A72-9D55A6C218B4}" destId="{AAD8F91F-7414-421E-A6DC-7FD871A5E1B9}" srcOrd="0" destOrd="0" presId="urn:microsoft.com/office/officeart/2005/8/layout/bProcess3"/>
    <dgm:cxn modelId="{C20D6F34-23BF-4079-B545-26872D9BF16B}" type="presOf" srcId="{B77AA127-7ED1-412B-9C93-964576B71851}" destId="{6A4943FA-566C-4D2B-89E1-E55367B3E3CA}" srcOrd="1" destOrd="0" presId="urn:microsoft.com/office/officeart/2005/8/layout/bProcess3"/>
    <dgm:cxn modelId="{98FDC940-A0B9-4ACD-B0C9-77FE7FE1E9D8}" srcId="{842FC645-E4F5-4FE6-B9C4-42CC62CE400A}" destId="{9D7C3AE5-7C12-4E34-9A0F-847981FE8B77}" srcOrd="2" destOrd="0" parTransId="{04D8A799-1D44-4ED9-A136-79F6254A39C1}" sibTransId="{CBED2306-956A-4733-AD95-AD468040C527}"/>
    <dgm:cxn modelId="{2077DB4A-8749-45F8-AA1F-13E9C7E7DF87}" type="presOf" srcId="{54988E9A-50EC-4CD8-977C-1D08CB244FC0}" destId="{58D669D2-EB5E-4BFC-8C60-2CC7B89FC224}" srcOrd="0" destOrd="0" presId="urn:microsoft.com/office/officeart/2005/8/layout/bProcess3"/>
    <dgm:cxn modelId="{A0122F6B-989B-4964-B232-9EDF339E7FBA}" type="presOf" srcId="{CBED2306-956A-4733-AD95-AD468040C527}" destId="{A7536934-D43C-423C-AFD7-56B8A1BFDC68}" srcOrd="1" destOrd="0" presId="urn:microsoft.com/office/officeart/2005/8/layout/bProcess3"/>
    <dgm:cxn modelId="{5E1AE080-C7B2-4BEB-8526-96E8262B2782}" srcId="{842FC645-E4F5-4FE6-B9C4-42CC62CE400A}" destId="{74A88078-FC34-48EA-B7CF-875E7FC23B2F}" srcOrd="0" destOrd="0" parTransId="{29F4F9AA-31CE-499F-869E-8A3E5D514CC4}" sibTransId="{B77AA127-7ED1-412B-9C93-964576B71851}"/>
    <dgm:cxn modelId="{F71ED6A8-4407-4B17-B85E-E0990DBF6E37}" type="presOf" srcId="{840DA63F-AC30-4C91-95D0-71ABF5CA7056}" destId="{826497BA-A3DC-41C7-AFC4-6178092D9158}" srcOrd="0" destOrd="0" presId="urn:microsoft.com/office/officeart/2005/8/layout/bProcess3"/>
    <dgm:cxn modelId="{4BFF90AE-7535-4C45-AD52-59B19D44D143}" type="presOf" srcId="{B2AC10D9-41E6-44F4-8A72-9D55A6C218B4}" destId="{0DFB3A23-338B-4CE1-970D-204A56267246}" srcOrd="1" destOrd="0" presId="urn:microsoft.com/office/officeart/2005/8/layout/bProcess3"/>
    <dgm:cxn modelId="{05DC5EBD-3095-4372-BA8B-D29557A6D13F}" srcId="{842FC645-E4F5-4FE6-B9C4-42CC62CE400A}" destId="{54988E9A-50EC-4CD8-977C-1D08CB244FC0}" srcOrd="1" destOrd="0" parTransId="{32CDF887-C38D-4389-A7D8-325A144BEDF9}" sibTransId="{B2AC10D9-41E6-44F4-8A72-9D55A6C218B4}"/>
    <dgm:cxn modelId="{F87556C0-2889-4014-B786-D55B9EF1EDD5}" type="presOf" srcId="{C2F213FB-8FAE-4AA6-BF76-6361290DDD0B}" destId="{1A0CEAFF-384F-413B-BEA0-B24F25FF01F1}" srcOrd="0" destOrd="0" presId="urn:microsoft.com/office/officeart/2005/8/layout/bProcess3"/>
    <dgm:cxn modelId="{8237DAC6-8D25-457D-B67E-9F18DDCE6513}" srcId="{842FC645-E4F5-4FE6-B9C4-42CC62CE400A}" destId="{80AE87AD-541D-413F-A23C-A687F1272715}" srcOrd="3" destOrd="0" parTransId="{E67E4176-4077-441F-BB2B-80BCC8AF83FA}" sibTransId="{C2F213FB-8FAE-4AA6-BF76-6361290DDD0B}"/>
    <dgm:cxn modelId="{AB05A9CD-747F-41A8-8EFC-886315356C73}" type="presOf" srcId="{80AE87AD-541D-413F-A23C-A687F1272715}" destId="{7EB5B5D1-617D-4266-B673-FFF7F89B03D5}" srcOrd="0" destOrd="0" presId="urn:microsoft.com/office/officeart/2005/8/layout/bProcess3"/>
    <dgm:cxn modelId="{5B95D4F0-366F-484A-AB94-BF2691269E2E}" type="presOf" srcId="{C2F213FB-8FAE-4AA6-BF76-6361290DDD0B}" destId="{88C21DB8-2D85-48A4-AD00-1AE08CDE61E1}" srcOrd="1" destOrd="0" presId="urn:microsoft.com/office/officeart/2005/8/layout/bProcess3"/>
    <dgm:cxn modelId="{461C1F86-F8FF-4F06-9EA6-19A44487F9FA}" type="presParOf" srcId="{1AA7EDFD-B342-454B-98C6-41DAF934584C}" destId="{5F9B6190-7474-44C6-AAEB-B4176ADCFC7D}" srcOrd="0" destOrd="0" presId="urn:microsoft.com/office/officeart/2005/8/layout/bProcess3"/>
    <dgm:cxn modelId="{5CA35007-2DE4-4CD6-BB79-F03F0FEFAFAB}" type="presParOf" srcId="{1AA7EDFD-B342-454B-98C6-41DAF934584C}" destId="{0463EC19-2225-42E2-91F3-AA506FE4FD43}" srcOrd="1" destOrd="0" presId="urn:microsoft.com/office/officeart/2005/8/layout/bProcess3"/>
    <dgm:cxn modelId="{4E94FBB1-6222-440F-A461-30996A973AD1}" type="presParOf" srcId="{0463EC19-2225-42E2-91F3-AA506FE4FD43}" destId="{6A4943FA-566C-4D2B-89E1-E55367B3E3CA}" srcOrd="0" destOrd="0" presId="urn:microsoft.com/office/officeart/2005/8/layout/bProcess3"/>
    <dgm:cxn modelId="{2FE9DF01-CD93-4076-A8CE-B181C0081E8B}" type="presParOf" srcId="{1AA7EDFD-B342-454B-98C6-41DAF934584C}" destId="{58D669D2-EB5E-4BFC-8C60-2CC7B89FC224}" srcOrd="2" destOrd="0" presId="urn:microsoft.com/office/officeart/2005/8/layout/bProcess3"/>
    <dgm:cxn modelId="{994B240C-AF92-45F8-A87F-72AEC12E1B43}" type="presParOf" srcId="{1AA7EDFD-B342-454B-98C6-41DAF934584C}" destId="{AAD8F91F-7414-421E-A6DC-7FD871A5E1B9}" srcOrd="3" destOrd="0" presId="urn:microsoft.com/office/officeart/2005/8/layout/bProcess3"/>
    <dgm:cxn modelId="{1AEA8A8F-F834-4A91-842F-E2AE544F2751}" type="presParOf" srcId="{AAD8F91F-7414-421E-A6DC-7FD871A5E1B9}" destId="{0DFB3A23-338B-4CE1-970D-204A56267246}" srcOrd="0" destOrd="0" presId="urn:microsoft.com/office/officeart/2005/8/layout/bProcess3"/>
    <dgm:cxn modelId="{9AFABA5A-76B4-4E36-97A9-7F7D3BF1C282}" type="presParOf" srcId="{1AA7EDFD-B342-454B-98C6-41DAF934584C}" destId="{C4F9B63D-4F40-4516-ABF1-9F4D9739F58C}" srcOrd="4" destOrd="0" presId="urn:microsoft.com/office/officeart/2005/8/layout/bProcess3"/>
    <dgm:cxn modelId="{13D8547B-0328-42A6-933E-E62B1A1E365A}" type="presParOf" srcId="{1AA7EDFD-B342-454B-98C6-41DAF934584C}" destId="{9446A444-B4A9-4036-8FB3-C87CFF0C8F3E}" srcOrd="5" destOrd="0" presId="urn:microsoft.com/office/officeart/2005/8/layout/bProcess3"/>
    <dgm:cxn modelId="{A7BA824C-31B1-4B19-AD39-0FBF838EE408}" type="presParOf" srcId="{9446A444-B4A9-4036-8FB3-C87CFF0C8F3E}" destId="{A7536934-D43C-423C-AFD7-56B8A1BFDC68}" srcOrd="0" destOrd="0" presId="urn:microsoft.com/office/officeart/2005/8/layout/bProcess3"/>
    <dgm:cxn modelId="{7F832258-E0CB-4CD4-BF0C-1C7E350D4FCC}" type="presParOf" srcId="{1AA7EDFD-B342-454B-98C6-41DAF934584C}" destId="{7EB5B5D1-617D-4266-B673-FFF7F89B03D5}" srcOrd="6" destOrd="0" presId="urn:microsoft.com/office/officeart/2005/8/layout/bProcess3"/>
    <dgm:cxn modelId="{58C0C942-FB5D-447A-A14D-F058191B2F84}" type="presParOf" srcId="{1AA7EDFD-B342-454B-98C6-41DAF934584C}" destId="{1A0CEAFF-384F-413B-BEA0-B24F25FF01F1}" srcOrd="7" destOrd="0" presId="urn:microsoft.com/office/officeart/2005/8/layout/bProcess3"/>
    <dgm:cxn modelId="{7E9828A8-F201-448B-AA85-D846ADD7C0D1}" type="presParOf" srcId="{1A0CEAFF-384F-413B-BEA0-B24F25FF01F1}" destId="{88C21DB8-2D85-48A4-AD00-1AE08CDE61E1}" srcOrd="0" destOrd="0" presId="urn:microsoft.com/office/officeart/2005/8/layout/bProcess3"/>
    <dgm:cxn modelId="{2F9DF7AF-5FB7-45DE-85FE-156A5623C234}" type="presParOf" srcId="{1AA7EDFD-B342-454B-98C6-41DAF934584C}" destId="{826497BA-A3DC-41C7-AFC4-6178092D9158}" srcOrd="8"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63EC19-2225-42E2-91F3-AA506FE4FD43}">
      <dsp:nvSpPr>
        <dsp:cNvPr id="0" name=""/>
        <dsp:cNvSpPr/>
      </dsp:nvSpPr>
      <dsp:spPr>
        <a:xfrm>
          <a:off x="1758714" y="1203627"/>
          <a:ext cx="373245" cy="91440"/>
        </a:xfrm>
        <a:custGeom>
          <a:avLst/>
          <a:gdLst/>
          <a:ahLst/>
          <a:cxnLst/>
          <a:rect l="0" t="0" r="0" b="0"/>
          <a:pathLst>
            <a:path>
              <a:moveTo>
                <a:pt x="0" y="45720"/>
              </a:moveTo>
              <a:lnTo>
                <a:pt x="373245" y="45720"/>
              </a:lnTo>
            </a:path>
          </a:pathLst>
        </a:custGeom>
        <a:noFill/>
        <a:ln w="6350" cap="flat" cmpd="sng" algn="ctr">
          <a:solidFill>
            <a:schemeClr val="accent3">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935241" y="1247328"/>
        <a:ext cx="20192" cy="4038"/>
      </dsp:txXfrm>
    </dsp:sp>
    <dsp:sp modelId="{5F9B6190-7474-44C6-AAEB-B4176ADCFC7D}">
      <dsp:nvSpPr>
        <dsp:cNvPr id="0" name=""/>
        <dsp:cNvSpPr/>
      </dsp:nvSpPr>
      <dsp:spPr>
        <a:xfrm>
          <a:off x="4664" y="722592"/>
          <a:ext cx="1755850" cy="10535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Polystyrene culture dishes are treated with N-isopropyl acrylamide monomer and 2-propanol.These are exposed to the Area Beam Electron Processing System (ABEPS) to modify the surface.</a:t>
          </a:r>
        </a:p>
      </dsp:txBody>
      <dsp:txXfrm>
        <a:off x="4664" y="722592"/>
        <a:ext cx="1755850" cy="1053510"/>
      </dsp:txXfrm>
    </dsp:sp>
    <dsp:sp modelId="{AAD8F91F-7414-421E-A6DC-7FD871A5E1B9}">
      <dsp:nvSpPr>
        <dsp:cNvPr id="0" name=""/>
        <dsp:cNvSpPr/>
      </dsp:nvSpPr>
      <dsp:spPr>
        <a:xfrm>
          <a:off x="3918410" y="1203627"/>
          <a:ext cx="373245" cy="91440"/>
        </a:xfrm>
        <a:custGeom>
          <a:avLst/>
          <a:gdLst/>
          <a:ahLst/>
          <a:cxnLst/>
          <a:rect l="0" t="0" r="0" b="0"/>
          <a:pathLst>
            <a:path>
              <a:moveTo>
                <a:pt x="0" y="45720"/>
              </a:moveTo>
              <a:lnTo>
                <a:pt x="373245" y="45720"/>
              </a:lnTo>
            </a:path>
          </a:pathLst>
        </a:custGeom>
        <a:noFill/>
        <a:ln w="6350" cap="flat" cmpd="sng" algn="ctr">
          <a:solidFill>
            <a:schemeClr val="accent3">
              <a:hueOff val="903533"/>
              <a:satOff val="33333"/>
              <a:lumOff val="-4902"/>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4094936" y="1247328"/>
        <a:ext cx="20192" cy="4038"/>
      </dsp:txXfrm>
    </dsp:sp>
    <dsp:sp modelId="{58D669D2-EB5E-4BFC-8C60-2CC7B89FC224}">
      <dsp:nvSpPr>
        <dsp:cNvPr id="0" name=""/>
        <dsp:cNvSpPr/>
      </dsp:nvSpPr>
      <dsp:spPr>
        <a:xfrm>
          <a:off x="2164359" y="722592"/>
          <a:ext cx="1755850" cy="1053510"/>
        </a:xfrm>
        <a:prstGeom prst="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These are exposed to the Area Beam Electron Processing System (ABEPS) to modify the surface.</a:t>
          </a:r>
        </a:p>
      </dsp:txBody>
      <dsp:txXfrm>
        <a:off x="2164359" y="722592"/>
        <a:ext cx="1755850" cy="1053510"/>
      </dsp:txXfrm>
    </dsp:sp>
    <dsp:sp modelId="{9446A444-B4A9-4036-8FB3-C87CFF0C8F3E}">
      <dsp:nvSpPr>
        <dsp:cNvPr id="0" name=""/>
        <dsp:cNvSpPr/>
      </dsp:nvSpPr>
      <dsp:spPr>
        <a:xfrm>
          <a:off x="882589" y="1774302"/>
          <a:ext cx="4319391" cy="373245"/>
        </a:xfrm>
        <a:custGeom>
          <a:avLst/>
          <a:gdLst/>
          <a:ahLst/>
          <a:cxnLst/>
          <a:rect l="0" t="0" r="0" b="0"/>
          <a:pathLst>
            <a:path>
              <a:moveTo>
                <a:pt x="4319391" y="0"/>
              </a:moveTo>
              <a:lnTo>
                <a:pt x="4319391" y="203722"/>
              </a:lnTo>
              <a:lnTo>
                <a:pt x="0" y="203722"/>
              </a:lnTo>
              <a:lnTo>
                <a:pt x="0" y="373245"/>
              </a:lnTo>
            </a:path>
          </a:pathLst>
        </a:custGeom>
        <a:noFill/>
        <a:ln w="6350" cap="flat" cmpd="sng" algn="ctr">
          <a:solidFill>
            <a:schemeClr val="accent3">
              <a:hueOff val="1807066"/>
              <a:satOff val="66667"/>
              <a:lumOff val="-9804"/>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933829" y="1958905"/>
        <a:ext cx="216911" cy="4038"/>
      </dsp:txXfrm>
    </dsp:sp>
    <dsp:sp modelId="{C4F9B63D-4F40-4516-ABF1-9F4D9739F58C}">
      <dsp:nvSpPr>
        <dsp:cNvPr id="0" name=""/>
        <dsp:cNvSpPr/>
      </dsp:nvSpPr>
      <dsp:spPr>
        <a:xfrm>
          <a:off x="4324055" y="722592"/>
          <a:ext cx="1755850" cy="1053510"/>
        </a:xfrm>
        <a:prstGeom prst="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The harvested PDL cells are inoculated into culture dishes with Dulbecco’s Modified Eagle’s Medium.Culturing is done under controlled conditions: 5% CO₂ at 37°C for 48 hours to ensure cell attachment.</a:t>
          </a:r>
        </a:p>
      </dsp:txBody>
      <dsp:txXfrm>
        <a:off x="4324055" y="722592"/>
        <a:ext cx="1755850" cy="1053510"/>
      </dsp:txXfrm>
    </dsp:sp>
    <dsp:sp modelId="{1A0CEAFF-384F-413B-BEA0-B24F25FF01F1}">
      <dsp:nvSpPr>
        <dsp:cNvPr id="0" name=""/>
        <dsp:cNvSpPr/>
      </dsp:nvSpPr>
      <dsp:spPr>
        <a:xfrm>
          <a:off x="1758714" y="2660982"/>
          <a:ext cx="363728" cy="91440"/>
        </a:xfrm>
        <a:custGeom>
          <a:avLst/>
          <a:gdLst/>
          <a:ahLst/>
          <a:cxnLst/>
          <a:rect l="0" t="0" r="0" b="0"/>
          <a:pathLst>
            <a:path>
              <a:moveTo>
                <a:pt x="0" y="45720"/>
              </a:moveTo>
              <a:lnTo>
                <a:pt x="198964" y="45720"/>
              </a:lnTo>
              <a:lnTo>
                <a:pt x="198964" y="55243"/>
              </a:lnTo>
              <a:lnTo>
                <a:pt x="363728" y="55243"/>
              </a:lnTo>
            </a:path>
          </a:pathLst>
        </a:custGeom>
        <a:noFill/>
        <a:ln w="6350" cap="flat" cmpd="sng" algn="ctr">
          <a:solidFill>
            <a:schemeClr val="accent3">
              <a:hueOff val="2710599"/>
              <a:satOff val="100000"/>
              <a:lumOff val="-14706"/>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930717" y="2704683"/>
        <a:ext cx="19722" cy="4038"/>
      </dsp:txXfrm>
    </dsp:sp>
    <dsp:sp modelId="{7EB5B5D1-617D-4266-B673-FFF7F89B03D5}">
      <dsp:nvSpPr>
        <dsp:cNvPr id="0" name=""/>
        <dsp:cNvSpPr/>
      </dsp:nvSpPr>
      <dsp:spPr>
        <a:xfrm>
          <a:off x="4664" y="2179947"/>
          <a:ext cx="1755850" cy="1053510"/>
        </a:xfrm>
        <a:prstGeom prst="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A dental implant positioned within a hallow plastic cylinder,leaving a 3mm apace around the implant.</a:t>
          </a:r>
        </a:p>
      </dsp:txBody>
      <dsp:txXfrm>
        <a:off x="4664" y="2179947"/>
        <a:ext cx="1755850" cy="1053510"/>
      </dsp:txXfrm>
    </dsp:sp>
    <dsp:sp modelId="{826497BA-A3DC-41C7-AFC4-6178092D9158}">
      <dsp:nvSpPr>
        <dsp:cNvPr id="0" name=""/>
        <dsp:cNvSpPr/>
      </dsp:nvSpPr>
      <dsp:spPr>
        <a:xfrm>
          <a:off x="2154843" y="2189471"/>
          <a:ext cx="1755850" cy="1053510"/>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Plastic vessels containing the implant are seeded with the PDL cell suspension. The setup is maintained under a steady flow of growth medium for 18 days to promote regeneration of periodontal tissue.</a:t>
          </a:r>
        </a:p>
      </dsp:txBody>
      <dsp:txXfrm>
        <a:off x="2154843" y="2189471"/>
        <a:ext cx="1755850" cy="105351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DC3C4-1CFC-40E1-98E4-17281C2D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11</Pages>
  <Words>4898</Words>
  <Characters>27923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pragathi kumar</dc:creator>
  <cp:keywords/>
  <dc:description/>
  <cp:lastModifiedBy>SDI 1181</cp:lastModifiedBy>
  <cp:revision>32</cp:revision>
  <dcterms:created xsi:type="dcterms:W3CDTF">2025-12-08T12:38:00Z</dcterms:created>
  <dcterms:modified xsi:type="dcterms:W3CDTF">2025-12-10T06:12:00Z</dcterms:modified>
</cp:coreProperties>
</file>