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265F" w14:textId="77777777" w:rsidR="00F10F29" w:rsidRDefault="00C447CF" w:rsidP="00343728">
      <w:pPr>
        <w:spacing w:line="240" w:lineRule="auto"/>
        <w:rPr>
          <w:rFonts w:ascii="Times New Roman" w:hAnsi="Times New Roman" w:cs="Times New Roman"/>
          <w:b/>
          <w:bCs/>
          <w:sz w:val="24"/>
          <w:szCs w:val="24"/>
        </w:rPr>
      </w:pPr>
      <w:r>
        <w:rPr>
          <w:rFonts w:ascii="Times New Roman" w:hAnsi="Times New Roman" w:cs="Times New Roman"/>
          <w:b/>
          <w:bCs/>
          <w:i/>
          <w:iCs/>
          <w:sz w:val="24"/>
          <w:szCs w:val="24"/>
        </w:rPr>
        <w:t>INVITRO</w:t>
      </w:r>
      <w:r>
        <w:rPr>
          <w:rFonts w:ascii="Times New Roman" w:hAnsi="Times New Roman" w:cs="Times New Roman"/>
          <w:b/>
          <w:bCs/>
          <w:sz w:val="24"/>
          <w:szCs w:val="24"/>
        </w:rPr>
        <w:t xml:space="preserve"> ACTIVITIES OF ETHANOLIC EXTRACT </w:t>
      </w:r>
      <w:r>
        <w:rPr>
          <w:rFonts w:ascii="Times New Roman" w:hAnsi="Times New Roman" w:cs="Times New Roman"/>
          <w:b/>
          <w:bCs/>
          <w:i/>
          <w:sz w:val="24"/>
          <w:szCs w:val="24"/>
        </w:rPr>
        <w:t>OF CORIANDRUM SATIVUM</w:t>
      </w:r>
      <w:r>
        <w:rPr>
          <w:rFonts w:ascii="Times New Roman" w:hAnsi="Times New Roman" w:cs="Times New Roman"/>
          <w:b/>
          <w:bCs/>
          <w:sz w:val="24"/>
          <w:szCs w:val="24"/>
        </w:rPr>
        <w:t xml:space="preserve"> (CORIANDER SEED) ON SOME SELECTED UTI ORGANISM</w:t>
      </w:r>
    </w:p>
    <w:p w14:paraId="65AF31DF" w14:textId="77777777" w:rsidR="00534F0D" w:rsidRDefault="00534F0D" w:rsidP="00343728">
      <w:pPr>
        <w:spacing w:line="240" w:lineRule="auto"/>
        <w:rPr>
          <w:rFonts w:ascii="Times New Roman" w:hAnsi="Times New Roman" w:cs="Times New Roman"/>
          <w:b/>
          <w:bCs/>
          <w:sz w:val="24"/>
          <w:szCs w:val="24"/>
        </w:rPr>
      </w:pPr>
    </w:p>
    <w:p w14:paraId="61B1053E" w14:textId="77777777" w:rsidR="00F10F29" w:rsidRDefault="00F10F29">
      <w:pPr>
        <w:spacing w:line="240" w:lineRule="auto"/>
        <w:jc w:val="both"/>
        <w:rPr>
          <w:rFonts w:ascii="Times New Roman" w:hAnsi="Times New Roman" w:cs="Times New Roman"/>
          <w:b/>
          <w:bCs/>
          <w:sz w:val="24"/>
          <w:szCs w:val="24"/>
        </w:rPr>
      </w:pPr>
    </w:p>
    <w:p w14:paraId="7979E6AE" w14:textId="77777777" w:rsidR="00F9273E" w:rsidRPr="00502B94" w:rsidRDefault="00F9273E" w:rsidP="00502B94">
      <w:pPr>
        <w:spacing w:before="240" w:line="360" w:lineRule="auto"/>
        <w:jc w:val="both"/>
        <w:rPr>
          <w:rFonts w:ascii="Times New Roman" w:hAnsi="Times New Roman" w:cs="Times New Roman"/>
          <w:b/>
          <w:sz w:val="24"/>
          <w:szCs w:val="24"/>
        </w:rPr>
      </w:pPr>
    </w:p>
    <w:p w14:paraId="799BDEFD" w14:textId="77777777" w:rsidR="00F10F29" w:rsidRDefault="00C447CF">
      <w:pPr>
        <w:pStyle w:val="NormalWeb"/>
        <w:spacing w:line="276" w:lineRule="auto"/>
        <w:jc w:val="both"/>
        <w:rPr>
          <w:b/>
          <w:bCs/>
        </w:rPr>
      </w:pPr>
      <w:r>
        <w:rPr>
          <w:b/>
          <w:bCs/>
        </w:rPr>
        <w:t xml:space="preserve">Abstract </w:t>
      </w:r>
    </w:p>
    <w:p w14:paraId="6BC67EA7" w14:textId="77777777" w:rsidR="00F10F29" w:rsidRDefault="00C447CF">
      <w:pPr>
        <w:pStyle w:val="NormalWeb"/>
        <w:spacing w:line="276" w:lineRule="auto"/>
        <w:jc w:val="both"/>
        <w:rPr>
          <w:iCs/>
        </w:rPr>
      </w:pPr>
      <w:r>
        <w:t>Urinary tract infection (UTI) is a common bacterial infection (contagion) known to affect the different parts of the urinary tract and the occurrence is found in both males and females. The urinary system includes the kidneys, ureters, bladder and urethra. Despite the fact, that both the genders are susceptible to the infection, UTI is more profound in women due to their anatomy and reproductive physiology. The infection is usually caused as a consequence of bacterial invasion of the urinary tract including the lower and the upper part of the urinary tract. The infection is named after the part that gets infected and is referred to as cystitis (bladder infection) and phylonephritis.</w:t>
      </w:r>
    </w:p>
    <w:p w14:paraId="38F5B87E" w14:textId="77777777" w:rsidR="00F10F29" w:rsidRDefault="00C447CF">
      <w:pPr>
        <w:pStyle w:val="NormalWeb"/>
        <w:spacing w:line="276" w:lineRule="auto"/>
        <w:jc w:val="both"/>
        <w:rPr>
          <w:iCs/>
        </w:rPr>
      </w:pPr>
      <w:r>
        <w:rPr>
          <w:iCs/>
        </w:rPr>
        <w:t xml:space="preserve">This study investigated the </w:t>
      </w:r>
      <w:r>
        <w:rPr>
          <w:rStyle w:val="Emphasis"/>
          <w:iCs w:val="0"/>
        </w:rPr>
        <w:t>in vitro</w:t>
      </w:r>
      <w:r>
        <w:rPr>
          <w:iCs/>
        </w:rPr>
        <w:t xml:space="preserve"> activities of the ethanolic seed extract of </w:t>
      </w:r>
      <w:r>
        <w:rPr>
          <w:rStyle w:val="Emphasis"/>
          <w:i w:val="0"/>
        </w:rPr>
        <w:t>Coriandrum sativum</w:t>
      </w:r>
      <w:r>
        <w:rPr>
          <w:iCs/>
        </w:rPr>
        <w:t xml:space="preserve"> (Coriander) against selected urinary tract infection (UTI) organisms. The quality and quantity of the secondary metabolites present in Coriandrum sativim (Coriander) seed extract, antioxidant potential and antimicrobial activity of the extract was assessed using standard methods. </w:t>
      </w:r>
    </w:p>
    <w:p w14:paraId="45B37BEF" w14:textId="77777777" w:rsidR="00F10F29" w:rsidRDefault="00C447CF">
      <w:pPr>
        <w:pStyle w:val="NormalWeb"/>
        <w:spacing w:line="276" w:lineRule="auto"/>
        <w:jc w:val="both"/>
        <w:rPr>
          <w:iCs/>
        </w:rPr>
      </w:pPr>
      <w:r>
        <w:rPr>
          <w:iCs/>
        </w:rPr>
        <w:t xml:space="preserve">The phytochemical screening revealed the presence of bioactive compounds, including flavonoids, saponins, and alkaloids. The antioxidant potential was evaluated </w:t>
      </w:r>
      <w:commentRangeStart w:id="0"/>
      <w:r>
        <w:rPr>
          <w:iCs/>
        </w:rPr>
        <w:t>using DPPH, FRAP, and TBARS assays</w:t>
      </w:r>
      <w:commentRangeEnd w:id="0"/>
      <w:r w:rsidR="00CA4AE9">
        <w:rPr>
          <w:rStyle w:val="CommentReference"/>
          <w:rFonts w:ascii="Arial" w:eastAsia="Arial" w:hAnsi="Arial" w:cs="Arial"/>
        </w:rPr>
        <w:commentReference w:id="0"/>
      </w:r>
      <w:r>
        <w:rPr>
          <w:iCs/>
        </w:rPr>
        <w:t xml:space="preserve">, showing significant dose-dependent antioxidant activity, though lower than the standard ascorbic acid. The extract demonstrated moderate antimicrobial activity against </w:t>
      </w:r>
      <w:r>
        <w:rPr>
          <w:rStyle w:val="Emphasis"/>
          <w:i w:val="0"/>
        </w:rPr>
        <w:t>Escherichia coli</w:t>
      </w:r>
      <w:r>
        <w:rPr>
          <w:iCs/>
        </w:rPr>
        <w:t xml:space="preserve"> and </w:t>
      </w:r>
      <w:r>
        <w:rPr>
          <w:rStyle w:val="Emphasis"/>
          <w:i w:val="0"/>
        </w:rPr>
        <w:t>Klebsiella pneumoniae</w:t>
      </w:r>
      <w:r>
        <w:rPr>
          <w:iCs/>
        </w:rPr>
        <w:t xml:space="preserve">, with inhibition zones observed at higher concentrations (50 mg/mL for </w:t>
      </w:r>
      <w:r>
        <w:rPr>
          <w:rStyle w:val="Emphasis"/>
          <w:i w:val="0"/>
        </w:rPr>
        <w:t>E. coli</w:t>
      </w:r>
      <w:r>
        <w:rPr>
          <w:iCs/>
        </w:rPr>
        <w:t xml:space="preserve"> and 25 mg/mL for </w:t>
      </w:r>
      <w:r>
        <w:rPr>
          <w:rStyle w:val="Emphasis"/>
          <w:i w:val="0"/>
        </w:rPr>
        <w:t>K. pneumoniae</w:t>
      </w:r>
      <w:r>
        <w:rPr>
          <w:iCs/>
        </w:rPr>
        <w:t>), though it required a higher concentration for bactericidal effects. These results suggest that coriander seed extract holds promise as an antioxidant agent but exhibits limited antimicrobial efficacy.</w:t>
      </w:r>
    </w:p>
    <w:p w14:paraId="11A66894" w14:textId="77777777" w:rsidR="00F10F29" w:rsidRDefault="00C447CF">
      <w:pPr>
        <w:pStyle w:val="NormalWeb"/>
        <w:spacing w:line="276" w:lineRule="auto"/>
        <w:jc w:val="both"/>
        <w:rPr>
          <w:iCs/>
        </w:rPr>
      </w:pPr>
      <w:r>
        <w:rPr>
          <w:b/>
          <w:bCs/>
          <w:iCs/>
        </w:rPr>
        <w:t>KEY WORDS</w:t>
      </w:r>
      <w:r>
        <w:rPr>
          <w:iCs/>
        </w:rPr>
        <w:t xml:space="preserve">: Urinary tract infection, Coriandrum sativum, Phytochemicals, E.coli and </w:t>
      </w:r>
      <w:r>
        <w:rPr>
          <w:rStyle w:val="Emphasis"/>
          <w:i w:val="0"/>
        </w:rPr>
        <w:t>K. pneumoniae</w:t>
      </w:r>
    </w:p>
    <w:p w14:paraId="3806A6B2" w14:textId="77777777" w:rsidR="00F10F29" w:rsidRDefault="00C447CF">
      <w:pPr>
        <w:pStyle w:val="Default"/>
        <w:spacing w:line="360" w:lineRule="auto"/>
        <w:rPr>
          <w:rFonts w:ascii="Times New Roman" w:hAnsi="Times New Roman" w:cs="Times New Roman"/>
          <w:b/>
          <w:bCs/>
        </w:rPr>
      </w:pPr>
      <w:r>
        <w:rPr>
          <w:rFonts w:ascii="Times New Roman" w:hAnsi="Times New Roman" w:cs="Times New Roman"/>
          <w:b/>
          <w:bCs/>
        </w:rPr>
        <w:t>Introduction</w:t>
      </w:r>
    </w:p>
    <w:p w14:paraId="7235C597" w14:textId="77777777" w:rsidR="00F10F29" w:rsidRDefault="00C447CF">
      <w:pPr>
        <w:pStyle w:val="Default"/>
        <w:spacing w:line="360" w:lineRule="auto"/>
        <w:rPr>
          <w:rFonts w:ascii="Times New Roman" w:hAnsi="Times New Roman" w:cs="Times New Roman"/>
        </w:rPr>
      </w:pPr>
      <w:r>
        <w:rPr>
          <w:rFonts w:ascii="Times New Roman" w:hAnsi="Times New Roman" w:cs="Times New Roman"/>
        </w:rPr>
        <w:t xml:space="preserve">Urinary tract infection (UTI) is a common bacterial infection (contagion) known to affect the different parts of the urinary tract and the occurrence is found in both males and females. The urinary system includes the kidneys, ureters, bladder and urethra. Despite the fact, that both the genders are susceptible to the infection, UTI is more profound in women due to their anatomy and reproductive physiology. The infection </w:t>
      </w:r>
      <w:r>
        <w:rPr>
          <w:rFonts w:ascii="Times New Roman" w:hAnsi="Times New Roman" w:cs="Times New Roman"/>
        </w:rPr>
        <w:lastRenderedPageBreak/>
        <w:t xml:space="preserve">is usually caused as a consequence of bacterial invasion of the urinary tract including the lower and the upper part of the urinary tract. The infection is named after the part that gets infected and is referred to as cystitis (bladder infection) and phylonephritis (kidney infection) </w:t>
      </w:r>
      <w:r w:rsidR="0022454D">
        <w:rPr>
          <w:rFonts w:ascii="Times New Roman" w:hAnsi="Times New Roman" w:cs="Times New Roman"/>
        </w:rPr>
        <w:fldChar w:fldCharType="begin"/>
      </w:r>
      <w:r>
        <w:rPr>
          <w:rFonts w:ascii="Times New Roman" w:hAnsi="Times New Roman" w:cs="Times New Roman"/>
        </w:rPr>
        <w:instrText xml:space="preserve"> CITATION Vas14 \l 1033 </w:instrText>
      </w:r>
      <w:r w:rsidR="0022454D">
        <w:rPr>
          <w:rFonts w:ascii="Times New Roman" w:hAnsi="Times New Roman" w:cs="Times New Roman"/>
        </w:rPr>
        <w:fldChar w:fldCharType="separate"/>
      </w:r>
      <w:r>
        <w:rPr>
          <w:rFonts w:ascii="Times New Roman" w:hAnsi="Times New Roman" w:cs="Times New Roman"/>
        </w:rPr>
        <w:t>(Vasudevan, 2014)</w:t>
      </w:r>
      <w:r w:rsidR="0022454D">
        <w:rPr>
          <w:rFonts w:ascii="Times New Roman" w:hAnsi="Times New Roman" w:cs="Times New Roman"/>
        </w:rPr>
        <w:fldChar w:fldCharType="end"/>
      </w:r>
      <w:r>
        <w:rPr>
          <w:rFonts w:ascii="Times New Roman" w:hAnsi="Times New Roman" w:cs="Times New Roman"/>
        </w:rPr>
        <w:t xml:space="preserve">. The term urinary tract infection applies to a heterogeneous group of clinical syndromes. Clinical entities encompassed by “UTI” include asymptomatic bacteriuria, acute uncomplicated cystitis, recurrent cystitis, complicated UTI, catheter-associated asymptomatic bacteriuria, catheter-associated UTI (CAUTI), prostatitis, and pyelonephritis. Appropriate classification of the UTI syndrome is crucial for optimal diagnosis and management </w:t>
      </w:r>
      <w:r w:rsidR="0022454D">
        <w:rPr>
          <w:rFonts w:ascii="Times New Roman" w:hAnsi="Times New Roman" w:cs="Times New Roman"/>
        </w:rPr>
        <w:fldChar w:fldCharType="begin"/>
      </w:r>
      <w:r>
        <w:rPr>
          <w:rFonts w:ascii="Times New Roman" w:hAnsi="Times New Roman" w:cs="Times New Roman"/>
        </w:rPr>
        <w:instrText xml:space="preserve"> CITATION Kal12 \l 1033 </w:instrText>
      </w:r>
      <w:r w:rsidR="0022454D">
        <w:rPr>
          <w:rFonts w:ascii="Times New Roman" w:hAnsi="Times New Roman" w:cs="Times New Roman"/>
        </w:rPr>
        <w:fldChar w:fldCharType="separate"/>
      </w:r>
      <w:r>
        <w:rPr>
          <w:rFonts w:ascii="Times New Roman" w:hAnsi="Times New Roman" w:cs="Times New Roman"/>
        </w:rPr>
        <w:t>(Kalpana Gupta, 2012)</w:t>
      </w:r>
      <w:r w:rsidR="0022454D">
        <w:rPr>
          <w:rFonts w:ascii="Times New Roman" w:hAnsi="Times New Roman" w:cs="Times New Roman"/>
        </w:rPr>
        <w:fldChar w:fldCharType="end"/>
      </w:r>
      <w:r>
        <w:rPr>
          <w:rFonts w:ascii="Times New Roman" w:hAnsi="Times New Roman" w:cs="Times New Roman"/>
        </w:rPr>
        <w:t xml:space="preserve">. Clinically, UTIs are categorized as uncomplicated or complicated. Uncomplicated UTIs typically affect individuals who are otherwise healthy and have no structural or neurological urinary tract abnormalities; these infections are differentiated into lower UTIs (cystitis) and upper UTIs (pyelonephritis) </w:t>
      </w:r>
      <w:r w:rsidR="0022454D">
        <w:rPr>
          <w:rFonts w:ascii="Times New Roman" w:hAnsi="Times New Roman" w:cs="Times New Roman"/>
        </w:rPr>
        <w:fldChar w:fldCharType="begin"/>
      </w:r>
      <w:r>
        <w:rPr>
          <w:rFonts w:ascii="Times New Roman" w:hAnsi="Times New Roman" w:cs="Times New Roman"/>
        </w:rPr>
        <w:instrText xml:space="preserve"> CITATION Ana15 \l 1033 </w:instrText>
      </w:r>
      <w:r w:rsidR="0022454D">
        <w:rPr>
          <w:rFonts w:ascii="Times New Roman" w:hAnsi="Times New Roman" w:cs="Times New Roman"/>
        </w:rPr>
        <w:fldChar w:fldCharType="separate"/>
      </w:r>
      <w:r>
        <w:rPr>
          <w:rFonts w:ascii="Times New Roman" w:hAnsi="Times New Roman" w:cs="Times New Roman"/>
        </w:rPr>
        <w:t>(Ana L. Flores-Mireles, 2015)</w:t>
      </w:r>
      <w:r w:rsidR="0022454D">
        <w:rPr>
          <w:rFonts w:ascii="Times New Roman" w:hAnsi="Times New Roman" w:cs="Times New Roman"/>
        </w:rPr>
        <w:fldChar w:fldCharType="end"/>
      </w:r>
      <w:r>
        <w:rPr>
          <w:rFonts w:ascii="Times New Roman" w:hAnsi="Times New Roman" w:cs="Times New Roman"/>
        </w:rPr>
        <w:t>.</w:t>
      </w:r>
    </w:p>
    <w:p w14:paraId="13EA2446" w14:textId="77777777"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Several risk factors are associated with cystitis, including female gender, a prior UTI, sexual activity, vaginal infection, diabetes, obesity and genetic susceptibility</w:t>
      </w:r>
      <w:r w:rsidR="0022454D">
        <w:rPr>
          <w:rStyle w:val="A1"/>
          <w:rFonts w:ascii="Times New Roman" w:hAnsi="Times New Roman" w:cs="Times New Roman"/>
          <w:sz w:val="24"/>
          <w:szCs w:val="24"/>
        </w:rPr>
        <w:fldChar w:fldCharType="begin"/>
      </w:r>
      <w:r>
        <w:rPr>
          <w:rStyle w:val="A1"/>
          <w:rFonts w:ascii="Times New Roman" w:hAnsi="Times New Roman" w:cs="Times New Roman"/>
          <w:sz w:val="24"/>
          <w:szCs w:val="24"/>
        </w:rPr>
        <w:instrText xml:space="preserve"> CITATION Fox14 \l 1033 </w:instrText>
      </w:r>
      <w:r w:rsidR="0022454D">
        <w:rPr>
          <w:rStyle w:val="A1"/>
          <w:rFonts w:ascii="Times New Roman" w:hAnsi="Times New Roman" w:cs="Times New Roman"/>
          <w:sz w:val="24"/>
          <w:szCs w:val="24"/>
        </w:rPr>
        <w:fldChar w:fldCharType="separate"/>
      </w:r>
      <w:r>
        <w:rPr>
          <w:rFonts w:ascii="Times New Roman" w:hAnsi="Times New Roman" w:cs="Times New Roman"/>
        </w:rPr>
        <w:t>(Foxman, 2014)</w:t>
      </w:r>
      <w:r w:rsidR="0022454D">
        <w:rPr>
          <w:rStyle w:val="A1"/>
          <w:rFonts w:ascii="Times New Roman" w:hAnsi="Times New Roman" w:cs="Times New Roman"/>
          <w:sz w:val="24"/>
          <w:szCs w:val="24"/>
        </w:rPr>
        <w:fldChar w:fldCharType="end"/>
      </w:r>
      <w:r>
        <w:rPr>
          <w:rFonts w:ascii="Times New Roman" w:hAnsi="Times New Roman" w:cs="Times New Roman"/>
        </w:rPr>
        <w:t xml:space="preserve">. Complicated UTIs are defined as UTIs associated with factors that compromise the urinary tract or host defence, including urinary obstruction, urinary retention caused by neurological disease, immunosuppression, renal failure, renal transplantation, pregnancy and the presence of foreign bodies such as calculi, indwelling catheters or other drainage devices </w:t>
      </w:r>
      <w:r w:rsidR="0022454D">
        <w:rPr>
          <w:rFonts w:ascii="Times New Roman" w:hAnsi="Times New Roman" w:cs="Times New Roman"/>
        </w:rPr>
        <w:fldChar w:fldCharType="begin"/>
      </w:r>
      <w:r>
        <w:rPr>
          <w:rFonts w:ascii="Times New Roman" w:hAnsi="Times New Roman" w:cs="Times New Roman"/>
        </w:rPr>
        <w:instrText xml:space="preserve"> CITATION Lev13 \l 1033 </w:instrText>
      </w:r>
      <w:r w:rsidR="0022454D">
        <w:rPr>
          <w:rFonts w:ascii="Times New Roman" w:hAnsi="Times New Roman" w:cs="Times New Roman"/>
        </w:rPr>
        <w:fldChar w:fldCharType="separate"/>
      </w:r>
      <w:r>
        <w:rPr>
          <w:rFonts w:ascii="Times New Roman" w:hAnsi="Times New Roman" w:cs="Times New Roman"/>
        </w:rPr>
        <w:t>(Levison, 2013)</w:t>
      </w:r>
      <w:r w:rsidR="0022454D">
        <w:rPr>
          <w:rFonts w:ascii="Times New Roman" w:hAnsi="Times New Roman" w:cs="Times New Roman"/>
        </w:rPr>
        <w:fldChar w:fldCharType="end"/>
      </w:r>
      <w:r>
        <w:rPr>
          <w:rFonts w:ascii="Times New Roman" w:hAnsi="Times New Roman" w:cs="Times New Roman"/>
        </w:rPr>
        <w:t xml:space="preserve">. Bacteria are the prime perpetrator responsible for conferring the infection among humans but the role of certain fungi and viruses cannot be over looked. However, the incidence of UTI as a result of viral or fungal infection is considered to be rare phenomena. Though the infection seems to be harmless in the initial stages, the patient shows a variety of symptoms as the stage progresses and can lead to death in severe circumstances </w:t>
      </w:r>
      <w:r w:rsidR="0022454D">
        <w:rPr>
          <w:rFonts w:ascii="Times New Roman" w:hAnsi="Times New Roman" w:cs="Times New Roman"/>
        </w:rPr>
        <w:fldChar w:fldCharType="begin"/>
      </w:r>
      <w:r>
        <w:rPr>
          <w:rFonts w:ascii="Times New Roman" w:hAnsi="Times New Roman" w:cs="Times New Roman"/>
        </w:rPr>
        <w:instrText xml:space="preserve"> CITATION Vas14 \l 1033 </w:instrText>
      </w:r>
      <w:r w:rsidR="0022454D">
        <w:rPr>
          <w:rFonts w:ascii="Times New Roman" w:hAnsi="Times New Roman" w:cs="Times New Roman"/>
        </w:rPr>
        <w:fldChar w:fldCharType="separate"/>
      </w:r>
      <w:r>
        <w:rPr>
          <w:rFonts w:ascii="Times New Roman" w:hAnsi="Times New Roman" w:cs="Times New Roman"/>
        </w:rPr>
        <w:t>(Vasudevan, 2014)</w:t>
      </w:r>
      <w:r w:rsidR="0022454D">
        <w:rPr>
          <w:rFonts w:ascii="Times New Roman" w:hAnsi="Times New Roman" w:cs="Times New Roman"/>
        </w:rPr>
        <w:fldChar w:fldCharType="end"/>
      </w:r>
      <w:r>
        <w:rPr>
          <w:rFonts w:ascii="Times New Roman" w:hAnsi="Times New Roman" w:cs="Times New Roman"/>
        </w:rPr>
        <w:t xml:space="preserve">. </w:t>
      </w:r>
    </w:p>
    <w:p w14:paraId="187E52FF" w14:textId="77777777"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 xml:space="preserve">UTIs are caused by both Gram-negative and Gram-positive bacteria, as well as by certain fungi. The most common causative agent for both uncomplicated and complicated UTIs is uropathogenic </w:t>
      </w:r>
      <w:r>
        <w:rPr>
          <w:rFonts w:ascii="Times New Roman" w:hAnsi="Times New Roman" w:cs="Times New Roman"/>
          <w:i/>
          <w:iCs/>
        </w:rPr>
        <w:t xml:space="preserve">Escherichia coli </w:t>
      </w:r>
      <w:r>
        <w:rPr>
          <w:rFonts w:ascii="Times New Roman" w:hAnsi="Times New Roman" w:cs="Times New Roman"/>
        </w:rPr>
        <w:t xml:space="preserve">(UPEC). For the agents involved in uncomplicated UTIs, UPEC is followed in prevalence by </w:t>
      </w:r>
      <w:r>
        <w:rPr>
          <w:rFonts w:ascii="Times New Roman" w:hAnsi="Times New Roman" w:cs="Times New Roman"/>
          <w:i/>
          <w:iCs/>
        </w:rPr>
        <w:t>Klebsiella pneumoniae</w:t>
      </w:r>
      <w:r>
        <w:rPr>
          <w:rFonts w:ascii="Times New Roman" w:hAnsi="Times New Roman" w:cs="Times New Roman"/>
        </w:rPr>
        <w:t xml:space="preserve">, </w:t>
      </w:r>
      <w:r>
        <w:rPr>
          <w:rFonts w:ascii="Times New Roman" w:hAnsi="Times New Roman" w:cs="Times New Roman"/>
          <w:i/>
          <w:iCs/>
        </w:rPr>
        <w:t>Staphylococcus saprophyticus</w:t>
      </w:r>
      <w:r>
        <w:rPr>
          <w:rFonts w:ascii="Times New Roman" w:hAnsi="Times New Roman" w:cs="Times New Roman"/>
        </w:rPr>
        <w:t xml:space="preserve">, </w:t>
      </w:r>
      <w:r>
        <w:rPr>
          <w:rFonts w:ascii="Times New Roman" w:hAnsi="Times New Roman" w:cs="Times New Roman"/>
          <w:i/>
          <w:iCs/>
        </w:rPr>
        <w:t>Enterococcus faecalis</w:t>
      </w:r>
      <w:r>
        <w:rPr>
          <w:rFonts w:ascii="Times New Roman" w:hAnsi="Times New Roman" w:cs="Times New Roman"/>
        </w:rPr>
        <w:t xml:space="preserve">, group B </w:t>
      </w:r>
      <w:r>
        <w:rPr>
          <w:rFonts w:ascii="Times New Roman" w:hAnsi="Times New Roman" w:cs="Times New Roman"/>
          <w:i/>
          <w:iCs/>
        </w:rPr>
        <w:t xml:space="preserve">Streptococcus </w:t>
      </w:r>
      <w:r>
        <w:rPr>
          <w:rFonts w:ascii="Times New Roman" w:hAnsi="Times New Roman" w:cs="Times New Roman"/>
        </w:rPr>
        <w:t xml:space="preserve">(GBS), </w:t>
      </w:r>
      <w:r>
        <w:rPr>
          <w:rFonts w:ascii="Times New Roman" w:hAnsi="Times New Roman" w:cs="Times New Roman"/>
          <w:i/>
          <w:iCs/>
        </w:rPr>
        <w:t>Proteus mirabilis</w:t>
      </w:r>
      <w:r>
        <w:rPr>
          <w:rFonts w:ascii="Times New Roman" w:hAnsi="Times New Roman" w:cs="Times New Roman"/>
        </w:rPr>
        <w:t xml:space="preserve">, </w:t>
      </w:r>
      <w:r>
        <w:rPr>
          <w:rFonts w:ascii="Times New Roman" w:hAnsi="Times New Roman" w:cs="Times New Roman"/>
          <w:i/>
          <w:iCs/>
        </w:rPr>
        <w:t>Pseudomonas aeruginosa</w:t>
      </w:r>
      <w:r>
        <w:rPr>
          <w:rFonts w:ascii="Times New Roman" w:hAnsi="Times New Roman" w:cs="Times New Roman"/>
        </w:rPr>
        <w:t xml:space="preserve">, </w:t>
      </w:r>
      <w:r>
        <w:rPr>
          <w:rFonts w:ascii="Times New Roman" w:hAnsi="Times New Roman" w:cs="Times New Roman"/>
          <w:i/>
          <w:iCs/>
        </w:rPr>
        <w:t xml:space="preserve">Staphylococcus aureus </w:t>
      </w:r>
      <w:r>
        <w:rPr>
          <w:rFonts w:ascii="Times New Roman" w:hAnsi="Times New Roman" w:cs="Times New Roman"/>
        </w:rPr>
        <w:t xml:space="preserve">and </w:t>
      </w:r>
      <w:r>
        <w:rPr>
          <w:rFonts w:ascii="Times New Roman" w:hAnsi="Times New Roman" w:cs="Times New Roman"/>
          <w:i/>
          <w:iCs/>
        </w:rPr>
        <w:t xml:space="preserve">Candida </w:t>
      </w:r>
      <w:r>
        <w:rPr>
          <w:rFonts w:ascii="Times New Roman" w:hAnsi="Times New Roman" w:cs="Times New Roman"/>
        </w:rPr>
        <w:t xml:space="preserve">spp. </w:t>
      </w:r>
      <w:r w:rsidR="0022454D">
        <w:rPr>
          <w:rFonts w:ascii="Times New Roman" w:hAnsi="Times New Roman" w:cs="Times New Roman"/>
        </w:rPr>
        <w:fldChar w:fldCharType="begin"/>
      </w:r>
      <w:r>
        <w:rPr>
          <w:rFonts w:ascii="Times New Roman" w:hAnsi="Times New Roman" w:cs="Times New Roman"/>
        </w:rPr>
        <w:instrText xml:space="preserve"> CITATION Fox14 \l 1033 </w:instrText>
      </w:r>
      <w:r w:rsidR="0022454D">
        <w:rPr>
          <w:rFonts w:ascii="Times New Roman" w:hAnsi="Times New Roman" w:cs="Times New Roman"/>
        </w:rPr>
        <w:fldChar w:fldCharType="separate"/>
      </w:r>
      <w:r>
        <w:rPr>
          <w:rFonts w:ascii="Times New Roman" w:hAnsi="Times New Roman" w:cs="Times New Roman"/>
        </w:rPr>
        <w:t>(Foxman, 2014)</w:t>
      </w:r>
      <w:r w:rsidR="0022454D">
        <w:rPr>
          <w:rFonts w:ascii="Times New Roman" w:hAnsi="Times New Roman" w:cs="Times New Roman"/>
        </w:rPr>
        <w:fldChar w:fldCharType="end"/>
      </w:r>
      <w:r>
        <w:rPr>
          <w:rFonts w:ascii="Times New Roman" w:hAnsi="Times New Roman" w:cs="Times New Roman"/>
        </w:rPr>
        <w:t xml:space="preserve">. For complicated UTIs, the order of prevalence for causative agents, following UPEC as most common, is </w:t>
      </w:r>
      <w:r>
        <w:rPr>
          <w:rFonts w:ascii="Times New Roman" w:hAnsi="Times New Roman" w:cs="Times New Roman"/>
          <w:i/>
          <w:iCs/>
        </w:rPr>
        <w:t xml:space="preserve">Enterococcus </w:t>
      </w:r>
      <w:r>
        <w:rPr>
          <w:rFonts w:ascii="Times New Roman" w:hAnsi="Times New Roman" w:cs="Times New Roman"/>
        </w:rPr>
        <w:t xml:space="preserve">spp., </w:t>
      </w:r>
      <w:r>
        <w:rPr>
          <w:rFonts w:ascii="Times New Roman" w:hAnsi="Times New Roman" w:cs="Times New Roman"/>
          <w:i/>
          <w:iCs/>
        </w:rPr>
        <w:t>K. pneumoniae</w:t>
      </w:r>
      <w:r>
        <w:rPr>
          <w:rFonts w:ascii="Times New Roman" w:hAnsi="Times New Roman" w:cs="Times New Roman"/>
        </w:rPr>
        <w:t xml:space="preserve">, </w:t>
      </w:r>
      <w:r>
        <w:rPr>
          <w:rFonts w:ascii="Times New Roman" w:hAnsi="Times New Roman" w:cs="Times New Roman"/>
          <w:i/>
          <w:iCs/>
        </w:rPr>
        <w:lastRenderedPageBreak/>
        <w:t xml:space="preserve">Candida </w:t>
      </w:r>
      <w:r>
        <w:rPr>
          <w:rFonts w:ascii="Times New Roman" w:hAnsi="Times New Roman" w:cs="Times New Roman"/>
        </w:rPr>
        <w:t xml:space="preserve">spp., </w:t>
      </w:r>
      <w:r>
        <w:rPr>
          <w:rFonts w:ascii="Times New Roman" w:hAnsi="Times New Roman" w:cs="Times New Roman"/>
          <w:i/>
          <w:iCs/>
        </w:rPr>
        <w:t>S. aureus</w:t>
      </w:r>
      <w:r>
        <w:rPr>
          <w:rFonts w:ascii="Times New Roman" w:hAnsi="Times New Roman" w:cs="Times New Roman"/>
        </w:rPr>
        <w:t xml:space="preserve">, </w:t>
      </w:r>
      <w:r>
        <w:rPr>
          <w:rFonts w:ascii="Times New Roman" w:hAnsi="Times New Roman" w:cs="Times New Roman"/>
          <w:i/>
          <w:iCs/>
        </w:rPr>
        <w:t>P. mirabilis</w:t>
      </w:r>
      <w:r>
        <w:rPr>
          <w:rFonts w:ascii="Times New Roman" w:hAnsi="Times New Roman" w:cs="Times New Roman"/>
        </w:rPr>
        <w:t xml:space="preserve">, </w:t>
      </w:r>
      <w:r>
        <w:rPr>
          <w:rFonts w:ascii="Times New Roman" w:hAnsi="Times New Roman" w:cs="Times New Roman"/>
          <w:i/>
          <w:iCs/>
        </w:rPr>
        <w:t xml:space="preserve">P. aeruginosa </w:t>
      </w:r>
      <w:r>
        <w:rPr>
          <w:rFonts w:ascii="Times New Roman" w:hAnsi="Times New Roman" w:cs="Times New Roman"/>
        </w:rPr>
        <w:t>and GBS</w:t>
      </w:r>
      <w:r w:rsidR="0022454D">
        <w:rPr>
          <w:rFonts w:ascii="Times New Roman" w:hAnsi="Times New Roman" w:cs="Times New Roman"/>
        </w:rPr>
        <w:fldChar w:fldCharType="begin"/>
      </w:r>
      <w:r>
        <w:rPr>
          <w:rStyle w:val="A1"/>
          <w:rFonts w:ascii="Times New Roman" w:hAnsi="Times New Roman" w:cs="Times New Roman"/>
          <w:sz w:val="24"/>
          <w:szCs w:val="24"/>
        </w:rPr>
        <w:instrText xml:space="preserve"> CITATION Ana15 \l 1033 </w:instrText>
      </w:r>
      <w:r w:rsidR="0022454D">
        <w:rPr>
          <w:rFonts w:ascii="Times New Roman" w:hAnsi="Times New Roman" w:cs="Times New Roman"/>
        </w:rPr>
        <w:fldChar w:fldCharType="separate"/>
      </w:r>
      <w:r>
        <w:rPr>
          <w:rFonts w:ascii="Times New Roman" w:hAnsi="Times New Roman" w:cs="Times New Roman"/>
        </w:rPr>
        <w:t>(Ana L. Flores-Mireles, 2015)</w:t>
      </w:r>
      <w:r w:rsidR="0022454D">
        <w:rPr>
          <w:rFonts w:ascii="Times New Roman" w:hAnsi="Times New Roman" w:cs="Times New Roman"/>
        </w:rPr>
        <w:fldChar w:fldCharType="end"/>
      </w:r>
      <w:r>
        <w:rPr>
          <w:rFonts w:ascii="Times New Roman" w:hAnsi="Times New Roman" w:cs="Times New Roman"/>
        </w:rPr>
        <w:t xml:space="preserve">. </w:t>
      </w:r>
    </w:p>
    <w:p w14:paraId="4142B1A4" w14:textId="77777777"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 xml:space="preserve">Pathogens associated with UTI are known to exhibit a property called as bio film formation which is responsible for causing the infection. </w:t>
      </w:r>
    </w:p>
    <w:p w14:paraId="36A5B27A"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sz w:val="24"/>
          <w:szCs w:val="24"/>
        </w:rPr>
        <w:t>Coriandrum sativum</w:t>
      </w:r>
      <w:r>
        <w:rPr>
          <w:rFonts w:ascii="Times New Roman" w:hAnsi="Times New Roman" w:cs="Times New Roman"/>
          <w:sz w:val="24"/>
          <w:szCs w:val="24"/>
        </w:rPr>
        <w:t>(coriander) is a widely used culinary spice recognised for its medicinal values and containing bioactive phytochemicals with a range of biological activities, including antioxidant, anticancer and anti-inflammatory properties. It is an upright and short-lived herbaceous plant usually growing 1-2 m. Stems and leaves: The branched stems are hairless (i.e. glabrous), mostly hollow, and have fine lengthwise (i.e. longitudinal) grooves. They are pale green in color but covered in distinctive purplish or pinkish blotches. The alternately arranged leaves are borne on long hollow leaf stalks (i.e. petioles</w:t>
      </w:r>
      <w:r>
        <w:rPr>
          <w:rFonts w:ascii="Times New Roman" w:hAnsi="Times New Roman" w:cs="Times New Roman"/>
        </w:rPr>
        <w:t>)</w:t>
      </w:r>
      <w:r>
        <w:rPr>
          <w:rFonts w:ascii="Times New Roman" w:hAnsi="Times New Roman" w:cs="Times New Roman"/>
          <w:sz w:val="24"/>
          <w:szCs w:val="24"/>
        </w:rPr>
        <w:t xml:space="preserve"> that tend to sheath the stem at their bases. </w:t>
      </w:r>
      <w:r>
        <w:rPr>
          <w:rFonts w:ascii="Times New Roman" w:hAnsi="Times New Roman" w:cs="Times New Roman"/>
          <w:color w:val="000000"/>
          <w:sz w:val="24"/>
          <w:szCs w:val="24"/>
        </w:rPr>
        <w:t xml:space="preserve">The use of coriander dated back to around 1550 BC, and it will be one of the oldest spice crops in the world. Traditionally, it has been used as a stimulant, aromatic and carminative and to disguise the taste of purgatives. The powdered fruit, fluid extract and oil are chiefly used medicinally as flavouring to disguise the taste of active purgatives and correct their griping tendencies. The seeds can be applied locally to alleviate swelling and pains. Paste of green coriander are used for headache. The seeds can be included in many prescriptions as carminative and for the treatment of fever, diarrhoea, vomiting and indigestion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AlS16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(Al-Snafi, 2016)</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green herb is also employed for the preparation of either steam-distilled essential oil or the solvent extracted oleoresin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Nad12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(Nadia G, 2012)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This plant is used to cure digestive tract disorders, respiratory tract disorders, and urinary tract infections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SBh14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(S. Bhat, 2014)</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0DBCBA41" w14:textId="77777777" w:rsidR="00F10F29" w:rsidRDefault="00C447CF">
      <w:pPr>
        <w:pStyle w:val="Heading2"/>
        <w:rPr>
          <w:rFonts w:cs="Times New Roman"/>
        </w:rPr>
      </w:pPr>
      <w:r>
        <w:rPr>
          <w:rFonts w:cs="Times New Roman"/>
        </w:rPr>
        <w:t>SOME SELECTED ORGANISM CAUSING UTI</w:t>
      </w:r>
    </w:p>
    <w:p w14:paraId="1C42117A"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UTI is an inflammatory reaction caused by the invasion of pathogenic microorganisms in the urinary tract, which is a common infection among the inpatients in recent years, and the inappropriate use and abuse of broad-spectrum antibiotics for decolonization not only results in a decrease in the effectiveness of standard treatments, but also leads to the emergence of multidrug resistance. A modelling study showed that about 3 million severe infections will be caused by carbapenem-resistant Escherichia coli (E. coli) and Klebsiella pneumoniae (K. pneumoniae) worldwide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Yan21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(Yanhui Ding, 2021 )</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2DA54233" w14:textId="77777777" w:rsidR="00F10F29" w:rsidRDefault="00C447CF">
      <w:pPr>
        <w:pStyle w:val="Heading3"/>
        <w:spacing w:line="360" w:lineRule="auto"/>
        <w:rPr>
          <w:rFonts w:cs="Times New Roman"/>
        </w:rPr>
      </w:pPr>
      <w:bookmarkStart w:id="1" w:name="_Toc167979820"/>
      <w:r>
        <w:rPr>
          <w:rFonts w:cs="Times New Roman"/>
        </w:rPr>
        <w:lastRenderedPageBreak/>
        <w:t>ESCHERICHIA COLI (E. COLI)</w:t>
      </w:r>
      <w:bookmarkEnd w:id="1"/>
    </w:p>
    <w:p w14:paraId="37E95FF1"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bacteria Escherichia coli was discovered by German pediatrician Theodor Escherich (1857–1911), who isolated it from babies' feces in 1885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a gram-negative, non-sporulating, rod-shaped, facultative anaerobic, and coliform bacterium pertaining to the genus Escherichia that commonly inhabits the environment, foods, and warm-blooded animals' lower gut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the domains of biotechnology and microbiology, it is the most widely studied prokaryotic model organism. It can live for long periods of time in feces, soil, and water, and is frequently used as a water contamination indicator organism. For 2–3 days, the bacterium multiplies rapidly in fresh feces under aerobic circumstances, but its numbers gradually fall after that.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gram-negative, straight, rod-shaped, non-sporing, non-acid fast, and bacilli that exist in single and pairs. Cells are typically rod-shaped, with 1–3 μm × 0.4–0.7 μm (micrometer) in size around 1 μm long, 0.35 μm wide, and 0.6–0.7 μm in volume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Fac15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(Britanica, 2015)</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It is motile due to peritrichous flagellar arrangement, and very few strains are non-motile. The optimal growth of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occurs at 37°C (98°F) but some laboratory strains can multiply at temperatures of up to 49°C (120.2°F). It takes as little as 20 min to reproduce in favorable conditions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Fimbriated strains exist both as motile and non-motile. A polysaccharide capsule has been discovered in some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strains isolated from extraintestinal infections. The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capsules can be clearly seen using negative staining procedures, which produce a bright halo over a dark backdrop. They have a thin cell wall with only one or two layers of peptidoglycan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Köh11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(Köhler CD, 2011)</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0F1269FC" w14:textId="77777777" w:rsidR="00F10F29" w:rsidRDefault="00C447CF">
      <w:pPr>
        <w:pStyle w:val="Heading4"/>
        <w:jc w:val="both"/>
        <w:rPr>
          <w:i w:val="0"/>
          <w:iCs w:val="0"/>
        </w:rPr>
      </w:pPr>
      <w:r>
        <w:rPr>
          <w:i w:val="0"/>
          <w:iCs w:val="0"/>
        </w:rPr>
        <w:t>Antibiotic-resistant E. coli</w:t>
      </w:r>
    </w:p>
    <w:p w14:paraId="50789C52"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Antibiotic resistance genes have been generated in many gram-negative bacteria and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not an exception. These bacteria evolved different mechanisms that confer resistance to anti-biotics.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can produce extended-spectrum beta-lactamase (ESBL) that makes the bacteria resistant to beta lactams (e.g., cephalosporins, monobactams, etc.). Carbapenemase-producing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strains, on the other hand, have genes that confer carbapenem resistance (e.g., imipenem, ertapenem, and meropenem). ESBL producing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are a rapidly evolving group of β-lactamases, produced by certain types of bacteria where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are the major ones. These enzymes can break down the active ingredients by cleaving the beta-lactam ring of penicillins and cephalosporin antibiotics, resulting in the inactivation of these drugs, there are at </w:t>
      </w:r>
      <w:r>
        <w:rPr>
          <w:rFonts w:ascii="Times New Roman" w:hAnsi="Times New Roman" w:cs="Times New Roman"/>
          <w:color w:val="000000"/>
          <w:sz w:val="24"/>
          <w:szCs w:val="24"/>
        </w:rPr>
        <w:lastRenderedPageBreak/>
        <w:t xml:space="preserve">least 200 different types of ESBL enzymes, increasingly isolated as causes of complicated UTIs and remain an important cause of failure of therapy with cephalosporin’s and have serious infection control consequences. ESBL producing Enterobacteriaceae have been responsible for numerous outbreaks of infection throughout the globe and pose challenging infection control issues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These organisms are associated with multidrug resistance causing a high rate of mortality and treatment failure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Gan19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(Gandra S, 2019)</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3E11E356" w14:textId="77777777" w:rsidR="00F10F29" w:rsidRDefault="00C447CF">
      <w:pPr>
        <w:pStyle w:val="Heading3"/>
        <w:spacing w:line="360" w:lineRule="auto"/>
      </w:pPr>
      <w:r>
        <w:t>KLEBSIELLA PNEUMONIAE (K. PNEUMONIAE)</w:t>
      </w:r>
    </w:p>
    <w:p w14:paraId="4F4B2326"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gram-negative, non-motile, encapsulation-fermenting, optional anaerobic bacteria that are rod-shaped, established in normal mouth, skin, and intestines flora and feces of about 5% of people. It triggers tiny bacterial pneumonias. It may cause substantial hemorrhagic necrotizing lung consolidation. Occasionally, it induces urinary tract infection and focal lesion bacteremia in compromised patients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often linked to hospital infection. Some underlying diseases including malignantness, cirrhosis, biliary diseases, urinary and Infections of biliary tract, diabetes mellitus osteomas and bacteremia and alcoholism can impair the defenses of the person and increase the risk of K.  pneumoniae infection. </w:t>
      </w:r>
    </w:p>
    <w:p w14:paraId="10903888"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species is a second most common cause of GNB after Escherichia coli.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bacteremia in general populations are responsible for significant morbidity and mortality. The most important features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infections are metastatic infections – for example, pyogenic brain abcess, meningitis, and endophthalmitis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Vuo14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(Vuotto, 2014)</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07D57713"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K.  pneumoniae</w:t>
      </w:r>
      <w:r>
        <w:rPr>
          <w:rFonts w:ascii="Times New Roman" w:hAnsi="Times New Roman" w:cs="Times New Roman"/>
          <w:color w:val="000000"/>
          <w:sz w:val="24"/>
          <w:szCs w:val="24"/>
        </w:rPr>
        <w:t xml:space="preserve"> has been shown to develop in vitro as a biofilm since the late 1981s, but only in 1992 did Reid and his colleagues scan the bladder epithelial cells of a patient with spinal cord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infection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vitro studies subsequently showed that approximately 41%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will be capable of developing biofilms not only from urine but also from sputum, blood and wound swabs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2345DA30"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was first isolated from the lungs of pneumonia patients by Friedlander in 1882. In 1886, this encapsulated bacterium, originally known as the bacillus of Friedlander, will be renamed Klebsiella. It will be later identified as a microorganism saprophyte that colonizes not only human gastrointestinal, skin and nasopharynx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Vuo14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(Vuotto, 2014)</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49D02573"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In respiratory tract and feces of approximately 5% of normal people,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found. It causes a small proportion of bacterial pneumonia (approximately 1%).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can achieve extensive lung consolidation by hemorrhagic necrotizing. It sometimes triggers urinary tract infection and bacteremia with focal lesions in compromised patients. Some enterics can also cause pneumonia. </w:t>
      </w:r>
      <w:r>
        <w:rPr>
          <w:rFonts w:ascii="Times New Roman" w:hAnsi="Times New Roman" w:cs="Times New Roman"/>
          <w:i/>
          <w:color w:val="000000"/>
          <w:sz w:val="24"/>
          <w:szCs w:val="24"/>
        </w:rPr>
        <w:t>K. pneumonia</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K. oxytoca</w:t>
      </w:r>
      <w:r>
        <w:rPr>
          <w:rFonts w:ascii="Times New Roman" w:hAnsi="Times New Roman" w:cs="Times New Roman"/>
          <w:color w:val="000000"/>
          <w:sz w:val="24"/>
          <w:szCs w:val="24"/>
        </w:rPr>
        <w:t xml:space="preserve"> cause infections from hospitals. </w:t>
      </w:r>
    </w:p>
    <w:p w14:paraId="51398797"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K. pneummiae</w:t>
      </w:r>
      <w:r>
        <w:rPr>
          <w:rFonts w:ascii="Times New Roman" w:hAnsi="Times New Roman" w:cs="Times New Roman"/>
          <w:color w:val="000000"/>
          <w:sz w:val="24"/>
          <w:szCs w:val="24"/>
        </w:rPr>
        <w:t xml:space="preserve"> an individual from the human digestive system verdure is every now and again related with clinic obtained contamination. Certain hidden sicknesses, for example, danger, cirrhosis, biliary lot issues, urinary and biliary plot diseases, osteomyelitis and bacteremia diabetes mellitus, and liquor abuse may hinder a person's guards and increment the danger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contamination.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the second greatest regular reason for gram-negative bacteremia after Escherichia coli.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bacteremia causes noteworthy bleakness and mortality all in all populaces. Metastatic diseases, for example, pyogenic cerebrum boil, meningitis, and endophthalmitis–are the best significant attributes of K. pneumonia diseases.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Tsa10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(Tsai, 2010)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27138B64"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could be divided into three sequence clusters;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pneumoniae,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ozaenae and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Rhinoscleromatis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3618EC55" w14:textId="77777777" w:rsidR="002B22DF" w:rsidRDefault="002B22DF">
      <w:pPr>
        <w:spacing w:line="360" w:lineRule="auto"/>
        <w:jc w:val="both"/>
        <w:rPr>
          <w:rFonts w:ascii="Times New Roman" w:hAnsi="Times New Roman" w:cs="Times New Roman"/>
          <w:color w:val="000000"/>
          <w:sz w:val="24"/>
          <w:szCs w:val="24"/>
        </w:rPr>
      </w:pPr>
    </w:p>
    <w:p w14:paraId="33D74582" w14:textId="77777777" w:rsidR="00F10F29" w:rsidRDefault="00C447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4925F52"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b/>
          <w:sz w:val="24"/>
          <w:szCs w:val="24"/>
        </w:rPr>
        <w:t>Reagents and plantmaterials</w:t>
      </w:r>
    </w:p>
    <w:p w14:paraId="5E5FB77C" w14:textId="27A88A36" w:rsidR="00F10F29" w:rsidRDefault="00C447CF">
      <w:pPr>
        <w:spacing w:line="360" w:lineRule="auto"/>
        <w:ind w:right="78"/>
        <w:jc w:val="both"/>
        <w:rPr>
          <w:rFonts w:ascii="Times New Roman" w:hAnsi="Times New Roman" w:cs="Times New Roman"/>
          <w:sz w:val="24"/>
          <w:szCs w:val="24"/>
        </w:rPr>
      </w:pPr>
      <w:r>
        <w:rPr>
          <w:rFonts w:ascii="Times New Roman" w:hAnsi="Times New Roman" w:cs="Times New Roman"/>
          <w:spacing w:val="-1"/>
          <w:sz w:val="24"/>
          <w:szCs w:val="24"/>
        </w:rPr>
        <w:t xml:space="preserve">Solvents and chemicals used in the experiment were analytical grade and purchased from yola, nigeria. Distilled water was used throughout the experiment. </w:t>
      </w:r>
      <w:r>
        <w:rPr>
          <w:rFonts w:ascii="Times New Roman" w:hAnsi="Times New Roman" w:cs="Times New Roman"/>
          <w:i/>
          <w:iCs/>
          <w:spacing w:val="-1"/>
          <w:sz w:val="24"/>
          <w:szCs w:val="24"/>
        </w:rPr>
        <w:t>Coriander</w:t>
      </w:r>
      <w:r>
        <w:rPr>
          <w:rFonts w:ascii="Times New Roman" w:hAnsi="Times New Roman" w:cs="Times New Roman"/>
          <w:spacing w:val="-1"/>
          <w:sz w:val="24"/>
          <w:szCs w:val="24"/>
        </w:rPr>
        <w:t xml:space="preserve"> seed</w:t>
      </w:r>
      <w:r w:rsidR="002B22DF">
        <w:rPr>
          <w:rFonts w:ascii="Times New Roman" w:hAnsi="Times New Roman" w:cs="Times New Roman"/>
          <w:spacing w:val="-1"/>
          <w:sz w:val="24"/>
          <w:szCs w:val="24"/>
        </w:rPr>
        <w:t xml:space="preserve"> </w:t>
      </w:r>
      <w:r>
        <w:rPr>
          <w:rFonts w:ascii="Times New Roman" w:hAnsi="Times New Roman" w:cs="Times New Roman"/>
          <w:sz w:val="24"/>
          <w:szCs w:val="24"/>
        </w:rPr>
        <w:t>was</w:t>
      </w:r>
      <w:r w:rsidR="002B22DF">
        <w:rPr>
          <w:rFonts w:ascii="Times New Roman" w:hAnsi="Times New Roman" w:cs="Times New Roman"/>
          <w:sz w:val="24"/>
          <w:szCs w:val="24"/>
        </w:rPr>
        <w:t xml:space="preserve"> </w:t>
      </w:r>
      <w:r>
        <w:rPr>
          <w:rFonts w:ascii="Times New Roman" w:hAnsi="Times New Roman" w:cs="Times New Roman"/>
          <w:sz w:val="24"/>
          <w:szCs w:val="24"/>
        </w:rPr>
        <w:t>purch</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d</w:t>
      </w:r>
      <w:r w:rsidR="002B22DF">
        <w:rPr>
          <w:rFonts w:ascii="Times New Roman" w:hAnsi="Times New Roman" w:cs="Times New Roman"/>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r</w:t>
      </w:r>
      <w:r>
        <w:rPr>
          <w:rFonts w:ascii="Times New Roman" w:hAnsi="Times New Roman" w:cs="Times New Roman"/>
          <w:sz w:val="24"/>
          <w:szCs w:val="24"/>
        </w:rPr>
        <w:t>om</w:t>
      </w:r>
      <w:r w:rsidR="002B22DF">
        <w:rPr>
          <w:rFonts w:ascii="Times New Roman" w:hAnsi="Times New Roman" w:cs="Times New Roman"/>
          <w:sz w:val="24"/>
          <w:szCs w:val="24"/>
        </w:rPr>
        <w:t xml:space="preserve"> </w:t>
      </w:r>
      <w:r>
        <w:rPr>
          <w:rFonts w:ascii="Times New Roman" w:hAnsi="Times New Roman" w:cs="Times New Roman"/>
          <w:sz w:val="24"/>
          <w:szCs w:val="24"/>
        </w:rPr>
        <w:t>Jimeta</w:t>
      </w:r>
      <w:r w:rsidR="002B22DF">
        <w:rPr>
          <w:rFonts w:ascii="Times New Roman" w:hAnsi="Times New Roman" w:cs="Times New Roman"/>
          <w:sz w:val="24"/>
          <w:szCs w:val="24"/>
        </w:rPr>
        <w:t xml:space="preserve"> </w:t>
      </w:r>
      <w:r>
        <w:rPr>
          <w:rFonts w:ascii="Times New Roman" w:hAnsi="Times New Roman" w:cs="Times New Roman"/>
          <w:sz w:val="24"/>
          <w:szCs w:val="24"/>
        </w:rPr>
        <w:t>ma</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t</w:t>
      </w:r>
      <w:r w:rsidR="002B22DF">
        <w:rPr>
          <w:rFonts w:ascii="Times New Roman" w:hAnsi="Times New Roman" w:cs="Times New Roman"/>
          <w:sz w:val="24"/>
          <w:szCs w:val="24"/>
        </w:rPr>
        <w:t xml:space="preserve"> </w:t>
      </w:r>
      <w:r>
        <w:rPr>
          <w:rFonts w:ascii="Times New Roman" w:hAnsi="Times New Roman" w:cs="Times New Roman"/>
          <w:sz w:val="24"/>
          <w:szCs w:val="24"/>
        </w:rPr>
        <w:t>in</w:t>
      </w:r>
      <w:r w:rsidR="002B22DF">
        <w:rPr>
          <w:rFonts w:ascii="Times New Roman" w:hAnsi="Times New Roman" w:cs="Times New Roman"/>
          <w:sz w:val="24"/>
          <w:szCs w:val="24"/>
        </w:rPr>
        <w:t xml:space="preserve"> </w:t>
      </w:r>
      <w:r>
        <w:rPr>
          <w:rFonts w:ascii="Times New Roman" w:hAnsi="Times New Roman" w:cs="Times New Roman"/>
          <w:sz w:val="24"/>
          <w:szCs w:val="24"/>
        </w:rPr>
        <w:t>Ad</w:t>
      </w:r>
      <w:r>
        <w:rPr>
          <w:rFonts w:ascii="Times New Roman" w:hAnsi="Times New Roman" w:cs="Times New Roman"/>
          <w:spacing w:val="-1"/>
          <w:sz w:val="24"/>
          <w:szCs w:val="24"/>
        </w:rPr>
        <w:t>a</w:t>
      </w:r>
      <w:r>
        <w:rPr>
          <w:rFonts w:ascii="Times New Roman" w:hAnsi="Times New Roman" w:cs="Times New Roman"/>
          <w:sz w:val="24"/>
          <w:szCs w:val="24"/>
        </w:rPr>
        <w:t>ma</w:t>
      </w:r>
      <w:r>
        <w:rPr>
          <w:rFonts w:ascii="Times New Roman" w:hAnsi="Times New Roman" w:cs="Times New Roman"/>
          <w:spacing w:val="-1"/>
          <w:sz w:val="24"/>
          <w:szCs w:val="24"/>
        </w:rPr>
        <w:t>w</w:t>
      </w:r>
      <w:r>
        <w:rPr>
          <w:rFonts w:ascii="Times New Roman" w:hAnsi="Times New Roman" w:cs="Times New Roman"/>
          <w:sz w:val="24"/>
          <w:szCs w:val="24"/>
        </w:rPr>
        <w:t>a</w:t>
      </w:r>
      <w:r w:rsidR="002B22DF">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tat</w:t>
      </w:r>
      <w:r>
        <w:rPr>
          <w:rFonts w:ascii="Times New Roman" w:hAnsi="Times New Roman" w:cs="Times New Roman"/>
          <w:spacing w:val="-1"/>
          <w:sz w:val="24"/>
          <w:szCs w:val="24"/>
        </w:rPr>
        <w:t>e</w:t>
      </w:r>
      <w:r>
        <w:rPr>
          <w:rFonts w:ascii="Times New Roman" w:hAnsi="Times New Roman" w:cs="Times New Roman"/>
          <w:sz w:val="24"/>
          <w:szCs w:val="24"/>
        </w:rPr>
        <w:t>,</w:t>
      </w:r>
      <w:r w:rsidR="002B22DF">
        <w:rPr>
          <w:rFonts w:ascii="Times New Roman" w:hAnsi="Times New Roman" w:cs="Times New Roman"/>
          <w:sz w:val="24"/>
          <w:szCs w:val="24"/>
        </w:rPr>
        <w:t xml:space="preserve"> </w:t>
      </w:r>
      <w:r>
        <w:rPr>
          <w:rFonts w:ascii="Times New Roman" w:hAnsi="Times New Roman" w:cs="Times New Roman"/>
          <w:sz w:val="24"/>
          <w:szCs w:val="24"/>
        </w:rPr>
        <w:t>Ni</w:t>
      </w:r>
      <w:r>
        <w:rPr>
          <w:rFonts w:ascii="Times New Roman" w:hAnsi="Times New Roman" w:cs="Times New Roman"/>
          <w:spacing w:val="-1"/>
          <w:sz w:val="24"/>
          <w:szCs w:val="24"/>
        </w:rPr>
        <w:t>ge</w:t>
      </w:r>
      <w:r>
        <w:rPr>
          <w:rFonts w:ascii="Times New Roman" w:hAnsi="Times New Roman" w:cs="Times New Roman"/>
          <w:sz w:val="24"/>
          <w:szCs w:val="24"/>
        </w:rPr>
        <w:t>ri</w:t>
      </w:r>
      <w:r>
        <w:rPr>
          <w:rFonts w:ascii="Times New Roman" w:hAnsi="Times New Roman" w:cs="Times New Roman"/>
          <w:spacing w:val="-1"/>
          <w:sz w:val="24"/>
          <w:szCs w:val="24"/>
        </w:rPr>
        <w:t>a</w:t>
      </w:r>
      <w:r>
        <w:rPr>
          <w:rFonts w:ascii="Times New Roman" w:hAnsi="Times New Roman" w:cs="Times New Roman"/>
          <w:sz w:val="24"/>
          <w:szCs w:val="24"/>
        </w:rPr>
        <w:t>.</w:t>
      </w:r>
      <w:r w:rsidR="002B22DF">
        <w:rPr>
          <w:rFonts w:ascii="Times New Roman" w:hAnsi="Times New Roman" w:cs="Times New Roman"/>
          <w:sz w:val="24"/>
          <w:szCs w:val="24"/>
        </w:rPr>
        <w:t xml:space="preserve"> </w:t>
      </w:r>
      <w:r>
        <w:rPr>
          <w:rFonts w:ascii="Times New Roman" w:hAnsi="Times New Roman" w:cs="Times New Roman"/>
          <w:spacing w:val="-2"/>
          <w:sz w:val="24"/>
          <w:szCs w:val="24"/>
        </w:rPr>
        <w:t>It was</w:t>
      </w:r>
      <w:r>
        <w:rPr>
          <w:rFonts w:ascii="Times New Roman" w:hAnsi="Times New Roman" w:cs="Times New Roman"/>
          <w:sz w:val="24"/>
          <w:szCs w:val="24"/>
        </w:rPr>
        <w:t xml:space="preserve"> i</w:t>
      </w:r>
      <w:r>
        <w:rPr>
          <w:rFonts w:ascii="Times New Roman" w:hAnsi="Times New Roman" w:cs="Times New Roman"/>
          <w:spacing w:val="3"/>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fi</w:t>
      </w:r>
      <w:r>
        <w:rPr>
          <w:rFonts w:ascii="Times New Roman" w:hAnsi="Times New Roman" w:cs="Times New Roman"/>
          <w:spacing w:val="-1"/>
          <w:sz w:val="24"/>
          <w:szCs w:val="24"/>
        </w:rPr>
        <w:t>e</w:t>
      </w:r>
      <w:r>
        <w:rPr>
          <w:rFonts w:ascii="Times New Roman" w:hAnsi="Times New Roman" w:cs="Times New Roman"/>
          <w:sz w:val="24"/>
          <w:szCs w:val="24"/>
        </w:rPr>
        <w:t>d</w:t>
      </w:r>
      <w:r w:rsidR="00540536">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sidR="00540536">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ut</w:t>
      </w:r>
      <w:r>
        <w:rPr>
          <w:rFonts w:ascii="Times New Roman" w:hAnsi="Times New Roman" w:cs="Times New Roman"/>
          <w:spacing w:val="3"/>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pacing w:val="-1"/>
          <w:sz w:val="24"/>
          <w:szCs w:val="24"/>
        </w:rPr>
        <w:t>ca</w:t>
      </w:r>
      <w:r>
        <w:rPr>
          <w:rFonts w:ascii="Times New Roman" w:hAnsi="Times New Roman" w:cs="Times New Roman"/>
          <w:sz w:val="24"/>
          <w:szCs w:val="24"/>
        </w:rPr>
        <w:t>ted</w:t>
      </w:r>
      <w:r w:rsidR="00540536">
        <w:rPr>
          <w:rFonts w:ascii="Times New Roman" w:hAnsi="Times New Roman" w:cs="Times New Roman"/>
          <w:sz w:val="24"/>
          <w:szCs w:val="24"/>
        </w:rPr>
        <w:t xml:space="preserve"> </w:t>
      </w:r>
      <w:r>
        <w:rPr>
          <w:rFonts w:ascii="Times New Roman" w:hAnsi="Times New Roman" w:cs="Times New Roman"/>
          <w:sz w:val="24"/>
          <w:szCs w:val="24"/>
        </w:rPr>
        <w:t>in</w:t>
      </w:r>
      <w:r w:rsidR="00540536">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lant</w:t>
      </w:r>
      <w:r w:rsidR="00540536">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ien</w:t>
      </w: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s</w:t>
      </w:r>
      <w:r w:rsidR="00540536">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rtm</w:t>
      </w:r>
      <w:r>
        <w:rPr>
          <w:rFonts w:ascii="Times New Roman" w:hAnsi="Times New Roman" w:cs="Times New Roman"/>
          <w:spacing w:val="-1"/>
          <w:sz w:val="24"/>
          <w:szCs w:val="24"/>
        </w:rPr>
        <w:t>e</w:t>
      </w:r>
      <w:r>
        <w:rPr>
          <w:rFonts w:ascii="Times New Roman" w:hAnsi="Times New Roman" w:cs="Times New Roman"/>
          <w:sz w:val="24"/>
          <w:szCs w:val="24"/>
        </w:rPr>
        <w:t>nt</w:t>
      </w:r>
      <w:r w:rsidR="00540536">
        <w:rPr>
          <w:rFonts w:ascii="Times New Roman" w:hAnsi="Times New Roman" w:cs="Times New Roman"/>
          <w:sz w:val="24"/>
          <w:szCs w:val="24"/>
        </w:rPr>
        <w:t xml:space="preserve"> </w:t>
      </w:r>
      <w:r>
        <w:rPr>
          <w:rFonts w:ascii="Times New Roman" w:hAnsi="Times New Roman" w:cs="Times New Roman"/>
          <w:sz w:val="24"/>
          <w:szCs w:val="24"/>
        </w:rPr>
        <w:t>of</w:t>
      </w:r>
      <w:r w:rsidR="00540536">
        <w:rPr>
          <w:rFonts w:ascii="Times New Roman" w:hAnsi="Times New Roman" w:cs="Times New Roman"/>
          <w:sz w:val="24"/>
          <w:szCs w:val="24"/>
        </w:rPr>
        <w:t xml:space="preserve"> </w:t>
      </w:r>
      <w:r>
        <w:rPr>
          <w:rFonts w:ascii="Times New Roman" w:hAnsi="Times New Roman" w:cs="Times New Roman"/>
          <w:sz w:val="24"/>
          <w:szCs w:val="24"/>
        </w:rPr>
        <w:t>Modi</w:t>
      </w:r>
      <w:r>
        <w:rPr>
          <w:rFonts w:ascii="Times New Roman" w:hAnsi="Times New Roman" w:cs="Times New Roman"/>
          <w:spacing w:val="2"/>
          <w:sz w:val="24"/>
          <w:szCs w:val="24"/>
        </w:rPr>
        <w:t>b</w:t>
      </w:r>
      <w:r>
        <w:rPr>
          <w:rFonts w:ascii="Times New Roman" w:hAnsi="Times New Roman" w:cs="Times New Roman"/>
          <w:sz w:val="24"/>
          <w:szCs w:val="24"/>
        </w:rPr>
        <w:t>bo</w:t>
      </w:r>
      <w:r w:rsidR="00540536">
        <w:rPr>
          <w:rFonts w:ascii="Times New Roman" w:hAnsi="Times New Roman" w:cs="Times New Roman"/>
          <w:sz w:val="24"/>
          <w:szCs w:val="24"/>
        </w:rPr>
        <w:t xml:space="preserve"> </w:t>
      </w:r>
      <w:r>
        <w:rPr>
          <w:rFonts w:ascii="Times New Roman" w:hAnsi="Times New Roman" w:cs="Times New Roman"/>
          <w:sz w:val="24"/>
          <w:szCs w:val="24"/>
        </w:rPr>
        <w:t>Ad</w:t>
      </w:r>
      <w:r>
        <w:rPr>
          <w:rFonts w:ascii="Times New Roman" w:hAnsi="Times New Roman" w:cs="Times New Roman"/>
          <w:spacing w:val="-1"/>
          <w:sz w:val="24"/>
          <w:szCs w:val="24"/>
        </w:rPr>
        <w:t>a</w:t>
      </w:r>
      <w:r>
        <w:rPr>
          <w:rFonts w:ascii="Times New Roman" w:hAnsi="Times New Roman" w:cs="Times New Roman"/>
          <w:sz w:val="24"/>
          <w:szCs w:val="24"/>
        </w:rPr>
        <w:t>ma</w:t>
      </w:r>
      <w:r w:rsidR="00540536">
        <w:rPr>
          <w:rFonts w:ascii="Times New Roman" w:hAnsi="Times New Roman" w:cs="Times New Roman"/>
          <w:sz w:val="24"/>
          <w:szCs w:val="24"/>
        </w:rPr>
        <w:t xml:space="preserve"> </w:t>
      </w:r>
      <w:r>
        <w:rPr>
          <w:rFonts w:ascii="Times New Roman" w:hAnsi="Times New Roman" w:cs="Times New Roman"/>
          <w:sz w:val="24"/>
          <w:szCs w:val="24"/>
        </w:rPr>
        <w:t>Uni</w:t>
      </w:r>
      <w:r>
        <w:rPr>
          <w:rFonts w:ascii="Times New Roman" w:hAnsi="Times New Roman" w:cs="Times New Roman"/>
          <w:spacing w:val="2"/>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rsi</w:t>
      </w:r>
      <w:r>
        <w:rPr>
          <w:rFonts w:ascii="Times New Roman" w:hAnsi="Times New Roman" w:cs="Times New Roman"/>
          <w:spacing w:val="3"/>
          <w:sz w:val="24"/>
          <w:szCs w:val="24"/>
        </w:rPr>
        <w:t>t</w:t>
      </w:r>
      <w:r>
        <w:rPr>
          <w:rFonts w:ascii="Times New Roman" w:hAnsi="Times New Roman" w:cs="Times New Roman"/>
          <w:spacing w:val="-5"/>
          <w:sz w:val="24"/>
          <w:szCs w:val="24"/>
        </w:rPr>
        <w:t>y</w:t>
      </w:r>
      <w:r>
        <w:rPr>
          <w:rFonts w:ascii="Times New Roman" w:hAnsi="Times New Roman" w:cs="Times New Roman"/>
          <w:sz w:val="24"/>
          <w:szCs w:val="24"/>
        </w:rPr>
        <w:t>, Yol</w:t>
      </w:r>
      <w:r>
        <w:rPr>
          <w:rFonts w:ascii="Times New Roman" w:hAnsi="Times New Roman" w:cs="Times New Roman"/>
          <w:spacing w:val="-1"/>
          <w:sz w:val="24"/>
          <w:szCs w:val="24"/>
        </w:rPr>
        <w:t>a</w:t>
      </w:r>
      <w:r>
        <w:rPr>
          <w:rFonts w:ascii="Times New Roman" w:hAnsi="Times New Roman" w:cs="Times New Roman"/>
          <w:sz w:val="24"/>
          <w:szCs w:val="24"/>
        </w:rPr>
        <w:t>.</w:t>
      </w:r>
    </w:p>
    <w:p w14:paraId="190F0311" w14:textId="77777777" w:rsidR="00F10F29" w:rsidRDefault="00C447CF">
      <w:pPr>
        <w:pStyle w:val="Heading3"/>
        <w:rPr>
          <w:i w:val="0"/>
          <w:iCs/>
        </w:rPr>
      </w:pPr>
      <w:bookmarkStart w:id="2" w:name="_Toc167979826"/>
      <w:r>
        <w:rPr>
          <w:i w:val="0"/>
          <w:iCs/>
        </w:rPr>
        <w:t>Collection of test organism</w:t>
      </w:r>
      <w:bookmarkEnd w:id="2"/>
    </w:p>
    <w:p w14:paraId="6FF54FAE" w14:textId="77777777" w:rsidR="00F10F29" w:rsidRDefault="00C447CF">
      <w:pPr>
        <w:autoSpaceDE w:val="0"/>
        <w:autoSpaceDN w:val="0"/>
        <w:adjustRightInd w:val="0"/>
        <w:spacing w:line="360" w:lineRule="auto"/>
        <w:jc w:val="both"/>
        <w:rPr>
          <w:rFonts w:ascii="Times New Roman" w:eastAsia="MinionPro-Regular" w:hAnsi="Times New Roman" w:cs="Times New Roman"/>
          <w:color w:val="000000"/>
          <w:sz w:val="24"/>
          <w:szCs w:val="24"/>
        </w:rPr>
      </w:pPr>
      <w:r>
        <w:rPr>
          <w:rFonts w:ascii="Times New Roman" w:hAnsi="Times New Roman" w:cs="Times New Roman"/>
          <w:color w:val="000000"/>
          <w:sz w:val="24"/>
          <w:szCs w:val="24"/>
        </w:rPr>
        <w:t xml:space="preserve">Clinical Isolates of </w:t>
      </w:r>
      <w:r>
        <w:rPr>
          <w:rFonts w:ascii="Times New Roman" w:hAnsi="Times New Roman" w:cs="Times New Roman"/>
          <w:i/>
          <w:color w:val="000000"/>
          <w:sz w:val="24"/>
          <w:szCs w:val="24"/>
        </w:rPr>
        <w:t>Escherichia coliand Klebsiella pneumoniae</w:t>
      </w:r>
      <w:r>
        <w:rPr>
          <w:rFonts w:ascii="Times New Roman" w:hAnsi="Times New Roman" w:cs="Times New Roman"/>
          <w:color w:val="000000"/>
          <w:sz w:val="24"/>
          <w:szCs w:val="24"/>
        </w:rPr>
        <w:t xml:space="preserve"> obtained from the Specialist Hospital Jimeta Yola North, was used for the determination of the antimicrobial effectiveness of the Coriander seed. The</w:t>
      </w:r>
      <w:r>
        <w:rPr>
          <w:rFonts w:ascii="Times New Roman" w:eastAsia="MinionPro-Regular" w:hAnsi="Times New Roman" w:cs="Times New Roman"/>
          <w:color w:val="000000"/>
          <w:sz w:val="24"/>
          <w:szCs w:val="24"/>
        </w:rPr>
        <w:t xml:space="preserve"> bacteria </w:t>
      </w:r>
      <w:r>
        <w:rPr>
          <w:rFonts w:ascii="Times New Roman" w:hAnsi="Times New Roman" w:cs="Times New Roman"/>
          <w:color w:val="000000"/>
          <w:sz w:val="24"/>
          <w:szCs w:val="24"/>
        </w:rPr>
        <w:t>were</w:t>
      </w:r>
      <w:r>
        <w:rPr>
          <w:rFonts w:ascii="Times New Roman" w:eastAsia="MinionPro-Regular" w:hAnsi="Times New Roman" w:cs="Times New Roman"/>
          <w:color w:val="000000"/>
          <w:sz w:val="24"/>
          <w:szCs w:val="24"/>
        </w:rPr>
        <w:t xml:space="preserve"> pre-cultured in Nutrient broth (NB) overnight in an incubator at 37</w:t>
      </w:r>
      <w:r>
        <w:rPr>
          <w:rFonts w:ascii="Times New Roman" w:eastAsia="MinionPro-Regular" w:hAnsi="Times New Roman" w:cs="Times New Roman"/>
          <w:color w:val="000000"/>
          <w:sz w:val="24"/>
          <w:szCs w:val="24"/>
          <w:vertAlign w:val="superscript"/>
        </w:rPr>
        <w:t>0</w:t>
      </w:r>
      <w:r>
        <w:rPr>
          <w:rFonts w:ascii="Times New Roman" w:eastAsia="MinionPro-Regular" w:hAnsi="Times New Roman" w:cs="Times New Roman"/>
          <w:color w:val="000000"/>
          <w:sz w:val="24"/>
          <w:szCs w:val="24"/>
        </w:rPr>
        <w:t xml:space="preserve">C. Afterward, each strain was </w:t>
      </w:r>
      <w:r>
        <w:rPr>
          <w:rFonts w:ascii="Times New Roman" w:eastAsia="MinionPro-Regular" w:hAnsi="Times New Roman" w:cs="Times New Roman"/>
          <w:color w:val="000000"/>
          <w:sz w:val="24"/>
          <w:szCs w:val="24"/>
        </w:rPr>
        <w:lastRenderedPageBreak/>
        <w:t>adjusted at a concentration of 10</w:t>
      </w:r>
      <w:r>
        <w:rPr>
          <w:rFonts w:ascii="Times New Roman" w:eastAsia="MinionPro-Regular" w:hAnsi="Times New Roman" w:cs="Times New Roman"/>
          <w:color w:val="000000"/>
          <w:sz w:val="24"/>
          <w:szCs w:val="24"/>
          <w:vertAlign w:val="superscript"/>
        </w:rPr>
        <w:t>8</w:t>
      </w:r>
      <w:r>
        <w:rPr>
          <w:rFonts w:ascii="Times New Roman" w:eastAsia="MinionPro-Regular" w:hAnsi="Times New Roman" w:cs="Times New Roman"/>
          <w:color w:val="000000"/>
          <w:sz w:val="24"/>
          <w:szCs w:val="24"/>
        </w:rPr>
        <w:t xml:space="preserve"> cells/ml using 0.5 McFarland standard (Bhalodia and Shukla, 2011; </w:t>
      </w:r>
      <w:r>
        <w:rPr>
          <w:rFonts w:ascii="Times New Roman" w:hAnsi="Times New Roman" w:cs="Times New Roman"/>
          <w:color w:val="000000"/>
          <w:sz w:val="24"/>
          <w:szCs w:val="24"/>
        </w:rPr>
        <w:t xml:space="preserve">Gonelimali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2018</w:t>
      </w:r>
      <w:r>
        <w:rPr>
          <w:rFonts w:ascii="Times New Roman" w:eastAsia="MinionPro-Regular" w:hAnsi="Times New Roman" w:cs="Times New Roman"/>
          <w:color w:val="000000"/>
          <w:sz w:val="24"/>
          <w:szCs w:val="24"/>
        </w:rPr>
        <w:t>).</w:t>
      </w:r>
    </w:p>
    <w:p w14:paraId="30FEC25E" w14:textId="77777777" w:rsidR="00F10F29" w:rsidRDefault="00C447CF">
      <w:pPr>
        <w:pStyle w:val="Heading3"/>
        <w:rPr>
          <w:rFonts w:eastAsia="TimesNewRoman"/>
          <w:i w:val="0"/>
          <w:iCs/>
        </w:rPr>
      </w:pPr>
      <w:r>
        <w:rPr>
          <w:rFonts w:eastAsia="TimesNewRoman"/>
          <w:i w:val="0"/>
          <w:iCs/>
        </w:rPr>
        <w:t>Processing of Sample</w:t>
      </w:r>
    </w:p>
    <w:p w14:paraId="3873693D" w14:textId="77777777" w:rsidR="00F10F29" w:rsidRDefault="00C447CF">
      <w:pPr>
        <w:spacing w:line="360"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The </w:t>
      </w:r>
      <w:r>
        <w:rPr>
          <w:rFonts w:ascii="Times New Roman" w:hAnsi="Times New Roman" w:cs="Times New Roman"/>
          <w:i/>
          <w:color w:val="000000"/>
          <w:sz w:val="24"/>
          <w:szCs w:val="24"/>
        </w:rPr>
        <w:t xml:space="preserve">Coriander seed </w:t>
      </w:r>
      <w:r>
        <w:rPr>
          <w:rFonts w:ascii="Times New Roman" w:hAnsi="Times New Roman" w:cs="Times New Roman"/>
          <w:color w:val="000000"/>
          <w:sz w:val="24"/>
          <w:szCs w:val="24"/>
        </w:rPr>
        <w:t xml:space="preserve">was </w:t>
      </w:r>
      <w:r>
        <w:rPr>
          <w:rFonts w:ascii="Times New Roman" w:eastAsia="TimesNewRoman" w:hAnsi="Times New Roman" w:cs="Times New Roman"/>
          <w:color w:val="000000"/>
          <w:sz w:val="24"/>
          <w:szCs w:val="24"/>
        </w:rPr>
        <w:t xml:space="preserve">rinsed, kept under shade at room temperature to exclude direct sunlight in order to prevent the active constituents of the seed from being degraded due to photochemical reactions. They were air dried for eight days after which, they were  observed to dry. The dried seed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gathered, and crushed with grinder (mortar and pestle). The powder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weighed using an electric weighing balance and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stored in air tight bags at room temperature and used for further extraction. (Unaeze </w:t>
      </w:r>
      <w:r>
        <w:rPr>
          <w:rFonts w:ascii="Times New Roman" w:eastAsia="TimesNewRoman" w:hAnsi="Times New Roman" w:cs="Times New Roman"/>
          <w:i/>
          <w:color w:val="000000"/>
          <w:sz w:val="24"/>
          <w:szCs w:val="24"/>
        </w:rPr>
        <w:t>et al</w:t>
      </w:r>
      <w:r>
        <w:rPr>
          <w:rFonts w:ascii="Times New Roman" w:eastAsia="TimesNewRoman" w:hAnsi="Times New Roman" w:cs="Times New Roman"/>
          <w:color w:val="000000"/>
          <w:sz w:val="24"/>
          <w:szCs w:val="24"/>
        </w:rPr>
        <w:t>., 2017).</w:t>
      </w:r>
    </w:p>
    <w:p w14:paraId="3E9921E0" w14:textId="77777777" w:rsidR="00F10F29" w:rsidRDefault="00C447CF">
      <w:pPr>
        <w:pStyle w:val="Heading3"/>
        <w:rPr>
          <w:rFonts w:eastAsia="TimesNewRoman"/>
          <w:bCs/>
          <w:i w:val="0"/>
          <w:iCs/>
        </w:rPr>
      </w:pPr>
      <w:bookmarkStart w:id="3" w:name="_Toc167979829"/>
      <w:r>
        <w:rPr>
          <w:rFonts w:eastAsia="TimesNewRoman"/>
          <w:i w:val="0"/>
          <w:iCs/>
        </w:rPr>
        <w:t xml:space="preserve">Extraction of </w:t>
      </w:r>
      <w:r>
        <w:rPr>
          <w:rFonts w:eastAsia="TimesNewRoman"/>
        </w:rPr>
        <w:t>Coriander</w:t>
      </w:r>
      <w:r>
        <w:rPr>
          <w:rFonts w:eastAsia="TimesNewRoman"/>
          <w:i w:val="0"/>
          <w:iCs/>
        </w:rPr>
        <w:t xml:space="preserve"> seed</w:t>
      </w:r>
      <w:bookmarkEnd w:id="3"/>
    </w:p>
    <w:p w14:paraId="13B56A9D"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Two types of extracts were prepared for each studied plant: ethanolic extracts (ethanol) and aqueous extract (distilled water) (Lawaly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 Unaeze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14:paraId="31C7D384" w14:textId="77777777" w:rsidR="00F10F29" w:rsidRDefault="00C447CF">
      <w:pPr>
        <w:spacing w:line="360" w:lineRule="auto"/>
        <w:jc w:val="both"/>
        <w:rPr>
          <w:rFonts w:ascii="Times New Roman" w:hAnsi="Times New Roman" w:cs="Times New Roman"/>
          <w:color w:val="000000"/>
          <w:sz w:val="24"/>
          <w:szCs w:val="24"/>
        </w:rPr>
      </w:pPr>
      <w:r>
        <w:rPr>
          <w:rStyle w:val="Heading4Char"/>
          <w:i w:val="0"/>
          <w:iCs w:val="0"/>
        </w:rPr>
        <w:t>Ethanolic Extraction</w:t>
      </w:r>
      <w:r>
        <w:rPr>
          <w:rStyle w:val="Heading4Char"/>
        </w:rPr>
        <w:cr/>
      </w:r>
      <w:r>
        <w:rPr>
          <w:rFonts w:ascii="Times New Roman" w:hAnsi="Times New Roman" w:cs="Times New Roman"/>
          <w:color w:val="000000"/>
          <w:sz w:val="24"/>
          <w:szCs w:val="24"/>
        </w:rPr>
        <w:t xml:space="preserve">Firstly, 50 grams of grounded air-dried plant material was shaken (120 cycles /min) in 400 ml of the solvent (ethanol), at room temperature for 48 hours. The insoluble material was filtered using filter paper (Whatman No.4) and evaporated to dryness in a water bath at 60 </w:t>
      </w:r>
      <w:r>
        <w:rPr>
          <w:rFonts w:cs="Times New Roman"/>
          <w:color w:val="000000"/>
          <w:sz w:val="24"/>
          <w:szCs w:val="24"/>
        </w:rPr>
        <w:t>⁰</w:t>
      </w:r>
      <w:r>
        <w:rPr>
          <w:rFonts w:ascii="Times New Roman" w:hAnsi="Times New Roman" w:cs="Times New Roman"/>
          <w:color w:val="000000"/>
          <w:sz w:val="24"/>
          <w:szCs w:val="24"/>
        </w:rPr>
        <w:t xml:space="preserve">C. The extracts were weighed and placed in a refrigerator at -4 °C in sealed glass bottles until use (Lawaly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14:paraId="5A0A378F" w14:textId="77777777" w:rsidR="00F10F29" w:rsidRDefault="00C447CF">
      <w:pPr>
        <w:pStyle w:val="Heading4"/>
        <w:rPr>
          <w:i w:val="0"/>
          <w:iCs w:val="0"/>
        </w:rPr>
      </w:pPr>
      <w:r>
        <w:rPr>
          <w:i w:val="0"/>
          <w:iCs w:val="0"/>
        </w:rPr>
        <w:t>Aqueous maceration</w:t>
      </w:r>
    </w:p>
    <w:p w14:paraId="55024329" w14:textId="77777777" w:rsidR="00F10F29" w:rsidRDefault="00C447CF">
      <w:pPr>
        <w:tabs>
          <w:tab w:val="left" w:pos="3960"/>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50 grams of grounded air-dried plant material was macerated in 250 ml of distilled water, at room temperature, under shaken, for 48 hours. The macerate was filtered using filter paper (Whatman No.4) and the filtrate was concentrated to dryness in a water bath at 60⁰C. The extracts weighed and placed in a refrigerator at -4 °C in sealed glass bottles until use (Lawaly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14:paraId="52D77068" w14:textId="77777777" w:rsidR="00F10F29" w:rsidRDefault="00C447CF">
      <w:pPr>
        <w:pStyle w:val="Heading2"/>
      </w:pPr>
      <w:r>
        <w:t xml:space="preserve">Phytochemical Screening  </w:t>
      </w:r>
    </w:p>
    <w:p w14:paraId="2E0030EE" w14:textId="77777777" w:rsidR="00F10F29" w:rsidRDefault="00C447CF">
      <w:pPr>
        <w:autoSpaceDE w:val="0"/>
        <w:autoSpaceDN w:val="0"/>
        <w:adjustRightInd w:val="0"/>
        <w:spacing w:line="360"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Standard methods </w:t>
      </w:r>
      <w:r>
        <w:rPr>
          <w:rFonts w:ascii="Times New Roman" w:hAnsi="Times New Roman" w:cs="Times New Roman"/>
          <w:color w:val="000000"/>
          <w:sz w:val="24"/>
          <w:szCs w:val="24"/>
        </w:rPr>
        <w:t>were</w:t>
      </w:r>
      <w:r>
        <w:rPr>
          <w:rFonts w:ascii="Times New Roman" w:eastAsia="TimesNewRoman" w:hAnsi="Times New Roman" w:cs="Times New Roman"/>
          <w:color w:val="000000"/>
          <w:sz w:val="24"/>
          <w:szCs w:val="24"/>
        </w:rPr>
        <w:t xml:space="preserve"> used for the screening of the selected medicinal plants for various phytochemical constituents (Sofowora, 1993). The</w:t>
      </w:r>
      <w:r>
        <w:rPr>
          <w:rFonts w:ascii="Times New Roman" w:hAnsi="Times New Roman" w:cs="Times New Roman"/>
          <w:color w:val="000000"/>
          <w:sz w:val="24"/>
          <w:szCs w:val="24"/>
        </w:rPr>
        <w:t xml:space="preserve"> extract were tested for the presence of tannins, saponins, flavonoids, alkaloids, terpenoids, steroids, </w:t>
      </w:r>
      <w:r>
        <w:rPr>
          <w:rFonts w:ascii="Times New Roman" w:eastAsia="TimesNewRoman" w:hAnsi="Times New Roman" w:cs="Times New Roman"/>
          <w:color w:val="000000"/>
          <w:sz w:val="24"/>
          <w:szCs w:val="24"/>
        </w:rPr>
        <w:t xml:space="preserve">phenols and quinones. The reading of the results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carried out by direct visual observation of the </w:t>
      </w:r>
      <w:r>
        <w:rPr>
          <w:rFonts w:ascii="Times New Roman" w:eastAsia="TimesNewRoman" w:hAnsi="Times New Roman" w:cs="Times New Roman"/>
          <w:color w:val="000000"/>
          <w:sz w:val="24"/>
          <w:szCs w:val="24"/>
        </w:rPr>
        <w:lastRenderedPageBreak/>
        <w:t xml:space="preserve">coloration profile of the reactions and or the formation of precipitates (Lawaly </w:t>
      </w:r>
      <w:r>
        <w:rPr>
          <w:rFonts w:ascii="Times New Roman" w:eastAsia="TimesNewRoman" w:hAnsi="Times New Roman" w:cs="Times New Roman"/>
          <w:i/>
          <w:color w:val="000000"/>
          <w:sz w:val="24"/>
          <w:szCs w:val="24"/>
        </w:rPr>
        <w:t>et al.,</w:t>
      </w:r>
      <w:r>
        <w:rPr>
          <w:rFonts w:ascii="Times New Roman" w:eastAsia="TimesNewRoman" w:hAnsi="Times New Roman" w:cs="Times New Roman"/>
          <w:color w:val="000000"/>
          <w:sz w:val="24"/>
          <w:szCs w:val="24"/>
        </w:rPr>
        <w:t xml:space="preserve"> 2017).</w:t>
      </w:r>
    </w:p>
    <w:p w14:paraId="5861EA8F" w14:textId="77777777" w:rsidR="00F10F29" w:rsidRDefault="00C447CF">
      <w:pPr>
        <w:spacing w:line="360" w:lineRule="auto"/>
        <w:ind w:right="79"/>
        <w:jc w:val="both"/>
        <w:rPr>
          <w:rFonts w:ascii="Times New Roman" w:hAnsi="Times New Roman" w:cs="Times New Roman"/>
          <w:b/>
          <w:bCs/>
          <w:sz w:val="24"/>
          <w:szCs w:val="24"/>
        </w:rPr>
      </w:pPr>
      <w:r>
        <w:rPr>
          <w:rFonts w:ascii="Times New Roman" w:hAnsi="Times New Roman" w:cs="Times New Roman"/>
          <w:b/>
          <w:bCs/>
          <w:sz w:val="24"/>
          <w:szCs w:val="24"/>
        </w:rPr>
        <w:t xml:space="preserve">Determination of </w:t>
      </w:r>
      <w:r>
        <w:rPr>
          <w:rFonts w:ascii="Times New Roman" w:hAnsi="Times New Roman" w:cs="Times New Roman"/>
          <w:b/>
          <w:bCs/>
          <w:i/>
          <w:iCs/>
          <w:sz w:val="24"/>
          <w:szCs w:val="24"/>
        </w:rPr>
        <w:t>In Vitro</w:t>
      </w:r>
      <w:r>
        <w:rPr>
          <w:rFonts w:ascii="Times New Roman" w:hAnsi="Times New Roman" w:cs="Times New Roman"/>
          <w:b/>
          <w:bCs/>
          <w:sz w:val="24"/>
          <w:szCs w:val="24"/>
        </w:rPr>
        <w:t xml:space="preserve"> antioxidant assay</w:t>
      </w:r>
    </w:p>
    <w:p w14:paraId="3F705075" w14:textId="68AB4B72" w:rsidR="00F10F29" w:rsidRDefault="00C447CF">
      <w:pPr>
        <w:spacing w:line="360" w:lineRule="auto"/>
        <w:ind w:right="79"/>
        <w:jc w:val="both"/>
        <w:rPr>
          <w:rFonts w:ascii="Times New Roman" w:eastAsia="TimesNewRoman" w:hAnsi="Times New Roman" w:cs="Times New Roman"/>
          <w:color w:val="000000"/>
          <w:sz w:val="24"/>
          <w:szCs w:val="24"/>
        </w:rPr>
      </w:pPr>
      <w:r>
        <w:rPr>
          <w:rFonts w:ascii="Times New Roman" w:hAnsi="Times New Roman" w:cs="Times New Roman"/>
          <w:sz w:val="24"/>
          <w:szCs w:val="24"/>
        </w:rPr>
        <w:t>The</w:t>
      </w:r>
      <w:r w:rsidR="006655D4">
        <w:rPr>
          <w:rFonts w:ascii="Times New Roman" w:hAnsi="Times New Roman" w:cs="Times New Roman"/>
          <w:sz w:val="24"/>
          <w:szCs w:val="24"/>
        </w:rPr>
        <w:t xml:space="preserve"> </w:t>
      </w:r>
      <w:r>
        <w:rPr>
          <w:rFonts w:ascii="Times New Roman" w:hAnsi="Times New Roman" w:cs="Times New Roman"/>
          <w:sz w:val="24"/>
          <w:szCs w:val="24"/>
        </w:rPr>
        <w:t>qu</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tative</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o</w:t>
      </w:r>
      <w:r>
        <w:rPr>
          <w:rFonts w:ascii="Times New Roman" w:hAnsi="Times New Roman" w:cs="Times New Roman"/>
          <w:spacing w:val="2"/>
          <w:sz w:val="24"/>
          <w:szCs w:val="24"/>
        </w:rPr>
        <w:t>x</w:t>
      </w:r>
      <w:r>
        <w:rPr>
          <w:rFonts w:ascii="Times New Roman" w:hAnsi="Times New Roman" w:cs="Times New Roman"/>
          <w:sz w:val="24"/>
          <w:szCs w:val="24"/>
        </w:rPr>
        <w:t>i</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nt</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ac</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vi</w:t>
      </w:r>
      <w:r>
        <w:rPr>
          <w:rFonts w:ascii="Times New Roman" w:hAnsi="Times New Roman" w:cs="Times New Roman"/>
          <w:spacing w:val="3"/>
          <w:sz w:val="24"/>
          <w:szCs w:val="24"/>
        </w:rPr>
        <w:t>t</w:t>
      </w:r>
      <w:r>
        <w:rPr>
          <w:rFonts w:ascii="Times New Roman" w:hAnsi="Times New Roman" w:cs="Times New Roman"/>
          <w:sz w:val="24"/>
          <w:szCs w:val="24"/>
        </w:rPr>
        <w:t>y of</w:t>
      </w:r>
      <w:r w:rsidR="006655D4">
        <w:rPr>
          <w:rFonts w:ascii="Times New Roman" w:hAnsi="Times New Roman" w:cs="Times New Roman"/>
          <w:sz w:val="24"/>
          <w:szCs w:val="24"/>
        </w:rPr>
        <w:t xml:space="preserve"> </w:t>
      </w:r>
      <w:r>
        <w:rPr>
          <w:rFonts w:ascii="Times New Roman" w:hAnsi="Times New Roman" w:cs="Times New Roman"/>
          <w:sz w:val="24"/>
          <w:szCs w:val="24"/>
        </w:rPr>
        <w:t>the</w:t>
      </w:r>
      <w:r w:rsidR="006655D4">
        <w:rPr>
          <w:rFonts w:ascii="Times New Roman" w:hAnsi="Times New Roman" w:cs="Times New Roman"/>
          <w:sz w:val="24"/>
          <w:szCs w:val="24"/>
        </w:rPr>
        <w:t xml:space="preserve"> </w:t>
      </w:r>
      <w:r>
        <w:rPr>
          <w:rFonts w:ascii="Times New Roman" w:hAnsi="Times New Roman" w:cs="Times New Roman"/>
          <w:sz w:val="24"/>
          <w:szCs w:val="24"/>
        </w:rPr>
        <w:t>meth</w:t>
      </w:r>
      <w:r>
        <w:rPr>
          <w:rFonts w:ascii="Times New Roman" w:hAnsi="Times New Roman" w:cs="Times New Roman"/>
          <w:spacing w:val="1"/>
          <w:sz w:val="24"/>
          <w:szCs w:val="24"/>
        </w:rPr>
        <w:t>a</w:t>
      </w:r>
      <w:r>
        <w:rPr>
          <w:rFonts w:ascii="Times New Roman" w:hAnsi="Times New Roman" w:cs="Times New Roman"/>
          <w:sz w:val="24"/>
          <w:szCs w:val="24"/>
        </w:rPr>
        <w:t>nol</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e</w:t>
      </w:r>
      <w:r>
        <w:rPr>
          <w:rFonts w:ascii="Times New Roman" w:hAnsi="Times New Roman" w:cs="Times New Roman"/>
          <w:spacing w:val="2"/>
          <w:sz w:val="24"/>
          <w:szCs w:val="24"/>
        </w:rPr>
        <w:t>x</w:t>
      </w:r>
      <w:r>
        <w:rPr>
          <w:rFonts w:ascii="Times New Roman" w:hAnsi="Times New Roman" w:cs="Times New Roman"/>
          <w:sz w:val="24"/>
          <w:szCs w:val="24"/>
        </w:rPr>
        <w:t>tr</w:t>
      </w:r>
      <w:r>
        <w:rPr>
          <w:rFonts w:ascii="Times New Roman" w:hAnsi="Times New Roman" w:cs="Times New Roman"/>
          <w:spacing w:val="-1"/>
          <w:sz w:val="24"/>
          <w:szCs w:val="24"/>
        </w:rPr>
        <w:t>ac</w:t>
      </w:r>
      <w:r>
        <w:rPr>
          <w:rFonts w:ascii="Times New Roman" w:hAnsi="Times New Roman" w:cs="Times New Roman"/>
          <w:sz w:val="24"/>
          <w:szCs w:val="24"/>
        </w:rPr>
        <w:t>ts</w:t>
      </w:r>
      <w:r w:rsidR="006655D4">
        <w:rPr>
          <w:rFonts w:ascii="Times New Roman" w:hAnsi="Times New Roman" w:cs="Times New Roman"/>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sidR="006655D4">
        <w:rPr>
          <w:rFonts w:ascii="Times New Roman" w:hAnsi="Times New Roman" w:cs="Times New Roman"/>
          <w:sz w:val="24"/>
          <w:szCs w:val="24"/>
        </w:rPr>
        <w:t xml:space="preserve"> </w:t>
      </w:r>
      <w:r>
        <w:rPr>
          <w:rFonts w:ascii="Times New Roman" w:hAnsi="Times New Roman" w:cs="Times New Roman"/>
          <w:sz w:val="24"/>
          <w:szCs w:val="24"/>
        </w:rPr>
        <w:t>dete</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ne</w:t>
      </w:r>
      <w:r w:rsidR="006655D4">
        <w:rPr>
          <w:rFonts w:ascii="Times New Roman" w:hAnsi="Times New Roman" w:cs="Times New Roman"/>
          <w:sz w:val="24"/>
          <w:szCs w:val="24"/>
        </w:rPr>
        <w:t xml:space="preserve"> </w:t>
      </w:r>
      <w:r>
        <w:rPr>
          <w:rFonts w:ascii="Times New Roman" w:hAnsi="Times New Roman" w:cs="Times New Roman"/>
          <w:sz w:val="24"/>
          <w:szCs w:val="24"/>
        </w:rPr>
        <w:t>using</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RAP</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ss</w:t>
      </w:r>
      <w:r>
        <w:rPr>
          <w:rFonts w:ascii="Times New Roman" w:hAnsi="Times New Roman" w:cs="Times New Roman"/>
          <w:spacing w:val="4"/>
          <w:sz w:val="24"/>
          <w:szCs w:val="24"/>
        </w:rPr>
        <w:t>a</w:t>
      </w:r>
      <w:r>
        <w:rPr>
          <w:rFonts w:ascii="Times New Roman" w:hAnsi="Times New Roman" w:cs="Times New Roman"/>
          <w:sz w:val="24"/>
          <w:szCs w:val="24"/>
        </w:rPr>
        <w:t>y, DP</w:t>
      </w:r>
      <w:r>
        <w:rPr>
          <w:rFonts w:ascii="Times New Roman" w:hAnsi="Times New Roman" w:cs="Times New Roman"/>
          <w:spacing w:val="1"/>
          <w:sz w:val="24"/>
          <w:szCs w:val="24"/>
        </w:rPr>
        <w:t>P</w:t>
      </w:r>
      <w:r>
        <w:rPr>
          <w:rFonts w:ascii="Times New Roman" w:hAnsi="Times New Roman" w:cs="Times New Roman"/>
          <w:sz w:val="24"/>
          <w:szCs w:val="24"/>
        </w:rPr>
        <w:t xml:space="preserve">H </w:t>
      </w:r>
      <w:r>
        <w:rPr>
          <w:rFonts w:ascii="Times New Roman" w:hAnsi="Times New Roman" w:cs="Times New Roman"/>
          <w:spacing w:val="-1"/>
          <w:sz w:val="24"/>
          <w:szCs w:val="24"/>
        </w:rPr>
        <w:t>a</w:t>
      </w:r>
      <w:r>
        <w:rPr>
          <w:rFonts w:ascii="Times New Roman" w:hAnsi="Times New Roman" w:cs="Times New Roman"/>
          <w:sz w:val="24"/>
          <w:szCs w:val="24"/>
        </w:rPr>
        <w:t>ss</w:t>
      </w:r>
      <w:r>
        <w:rPr>
          <w:rFonts w:ascii="Times New Roman" w:hAnsi="Times New Roman" w:cs="Times New Roman"/>
          <w:spacing w:val="2"/>
          <w:sz w:val="24"/>
          <w:szCs w:val="24"/>
        </w:rPr>
        <w:t>a</w:t>
      </w:r>
      <w:r>
        <w:rPr>
          <w:rFonts w:ascii="Times New Roman" w:hAnsi="Times New Roman" w:cs="Times New Roman"/>
          <w:sz w:val="24"/>
          <w:szCs w:val="24"/>
        </w:rPr>
        <w:t>y</w:t>
      </w:r>
      <w:r w:rsidR="006512CD">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 xml:space="preserve">nd TBARS, </w:t>
      </w:r>
      <w:r>
        <w:rPr>
          <w:rFonts w:ascii="Times New Roman" w:hAnsi="Times New Roman" w:cs="Times New Roman"/>
          <w:spacing w:val="1"/>
          <w:sz w:val="24"/>
          <w:szCs w:val="24"/>
        </w:rPr>
        <w:t>c</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ri</w:t>
      </w:r>
      <w:r>
        <w:rPr>
          <w:rFonts w:ascii="Times New Roman" w:hAnsi="Times New Roman" w:cs="Times New Roman"/>
          <w:spacing w:val="-1"/>
          <w:sz w:val="24"/>
          <w:szCs w:val="24"/>
        </w:rPr>
        <w:t>e</w:t>
      </w:r>
      <w:r>
        <w:rPr>
          <w:rFonts w:ascii="Times New Roman" w:hAnsi="Times New Roman" w:cs="Times New Roman"/>
          <w:sz w:val="24"/>
          <w:szCs w:val="24"/>
        </w:rPr>
        <w:t>d out a</w:t>
      </w:r>
      <w:r>
        <w:rPr>
          <w:rFonts w:ascii="Times New Roman" w:hAnsi="Times New Roman" w:cs="Times New Roman"/>
          <w:spacing w:val="-1"/>
          <w:sz w:val="24"/>
          <w:szCs w:val="24"/>
        </w:rPr>
        <w:t>cc</w:t>
      </w:r>
      <w:r>
        <w:rPr>
          <w:rFonts w:ascii="Times New Roman" w:hAnsi="Times New Roman" w:cs="Times New Roman"/>
          <w:spacing w:val="2"/>
          <w:sz w:val="24"/>
          <w:szCs w:val="24"/>
        </w:rPr>
        <w:t>o</w:t>
      </w:r>
      <w:r>
        <w:rPr>
          <w:rFonts w:ascii="Times New Roman" w:hAnsi="Times New Roman" w:cs="Times New Roman"/>
          <w:sz w:val="24"/>
          <w:szCs w:val="24"/>
        </w:rPr>
        <w:t>rdi</w:t>
      </w:r>
      <w:r>
        <w:rPr>
          <w:rFonts w:ascii="Times New Roman" w:hAnsi="Times New Roman" w:cs="Times New Roman"/>
          <w:spacing w:val="2"/>
          <w:sz w:val="24"/>
          <w:szCs w:val="24"/>
        </w:rPr>
        <w:t>n</w:t>
      </w:r>
      <w:r>
        <w:rPr>
          <w:rFonts w:ascii="Times New Roman" w:hAnsi="Times New Roman" w:cs="Times New Roman"/>
          <w:sz w:val="24"/>
          <w:szCs w:val="24"/>
        </w:rPr>
        <w:t>g</w:t>
      </w:r>
      <w:r w:rsidR="006655D4">
        <w:rPr>
          <w:rFonts w:ascii="Times New Roman" w:hAnsi="Times New Roman" w:cs="Times New Roman"/>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t</w:t>
      </w:r>
      <w:r>
        <w:rPr>
          <w:rFonts w:ascii="Times New Roman" w:hAnsi="Times New Roman" w:cs="Times New Roman"/>
          <w:sz w:val="24"/>
          <w:szCs w:val="24"/>
        </w:rPr>
        <w:t>he</w:t>
      </w:r>
      <w:r w:rsidR="006655D4">
        <w:rPr>
          <w:rFonts w:ascii="Times New Roman" w:hAnsi="Times New Roman" w:cs="Times New Roman"/>
          <w:sz w:val="24"/>
          <w:szCs w:val="24"/>
        </w:rPr>
        <w:t xml:space="preserve"> </w:t>
      </w:r>
      <w:r>
        <w:rPr>
          <w:rFonts w:ascii="Times New Roman" w:hAnsi="Times New Roman" w:cs="Times New Roman"/>
          <w:sz w:val="24"/>
          <w:szCs w:val="24"/>
        </w:rPr>
        <w:t>method</w:t>
      </w:r>
      <w:r w:rsidR="006655D4">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rib</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5"/>
          <w:sz w:val="24"/>
          <w:szCs w:val="24"/>
        </w:rPr>
        <w:t>b</w:t>
      </w:r>
      <w:r>
        <w:rPr>
          <w:rFonts w:ascii="Times New Roman" w:hAnsi="Times New Roman" w:cs="Times New Roman"/>
          <w:sz w:val="24"/>
          <w:szCs w:val="24"/>
        </w:rPr>
        <w:t>y</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u</w:t>
      </w:r>
      <w:r>
        <w:rPr>
          <w:rFonts w:ascii="Times New Roman" w:hAnsi="Times New Roman" w:cs="Times New Roman"/>
          <w:spacing w:val="3"/>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r</w:t>
      </w:r>
      <w:r w:rsidR="006655D4">
        <w:rPr>
          <w:rFonts w:ascii="Times New Roman" w:hAnsi="Times New Roman" w:cs="Times New Roman"/>
          <w:sz w:val="24"/>
          <w:szCs w:val="24"/>
        </w:rPr>
        <w:t xml:space="preserve"> </w:t>
      </w:r>
      <w:r>
        <w:rPr>
          <w:rFonts w:ascii="Times New Roman" w:hAnsi="Times New Roman" w:cs="Times New Roman"/>
          <w:sz w:val="24"/>
          <w:szCs w:val="24"/>
        </w:rPr>
        <w:t>sin</w:t>
      </w:r>
      <w:r>
        <w:rPr>
          <w:rFonts w:ascii="Times New Roman" w:hAnsi="Times New Roman" w:cs="Times New Roman"/>
          <w:spacing w:val="-2"/>
          <w:sz w:val="24"/>
          <w:szCs w:val="24"/>
        </w:rPr>
        <w:t>g</w:t>
      </w:r>
      <w:r>
        <w:rPr>
          <w:rFonts w:ascii="Times New Roman" w:hAnsi="Times New Roman" w:cs="Times New Roman"/>
          <w:sz w:val="24"/>
          <w:szCs w:val="24"/>
        </w:rPr>
        <w:t>h</w:t>
      </w:r>
      <w:r w:rsidR="006655D4">
        <w:rPr>
          <w:rFonts w:ascii="Times New Roman" w:hAnsi="Times New Roman" w:cs="Times New Roman"/>
          <w:sz w:val="24"/>
          <w:szCs w:val="24"/>
        </w:rPr>
        <w:t xml:space="preserve"> </w:t>
      </w:r>
      <w:r>
        <w:rPr>
          <w:rFonts w:ascii="Times New Roman" w:hAnsi="Times New Roman" w:cs="Times New Roman"/>
          <w:i/>
          <w:spacing w:val="-1"/>
          <w:sz w:val="24"/>
          <w:szCs w:val="24"/>
        </w:rPr>
        <w:t>e</w:t>
      </w:r>
      <w:r>
        <w:rPr>
          <w:rFonts w:ascii="Times New Roman" w:hAnsi="Times New Roman" w:cs="Times New Roman"/>
          <w:i/>
          <w:sz w:val="24"/>
          <w:szCs w:val="24"/>
        </w:rPr>
        <w:t>t a</w:t>
      </w:r>
      <w:r>
        <w:rPr>
          <w:rFonts w:ascii="Times New Roman" w:hAnsi="Times New Roman" w:cs="Times New Roman"/>
          <w:i/>
          <w:spacing w:val="1"/>
          <w:sz w:val="24"/>
          <w:szCs w:val="24"/>
        </w:rPr>
        <w:t>l</w:t>
      </w:r>
      <w:r>
        <w:rPr>
          <w:rFonts w:ascii="Times New Roman" w:hAnsi="Times New Roman" w:cs="Times New Roman"/>
          <w:i/>
          <w:sz w:val="24"/>
          <w:szCs w:val="24"/>
        </w:rPr>
        <w:t>.</w:t>
      </w:r>
      <w:r>
        <w:rPr>
          <w:rFonts w:ascii="Times New Roman" w:hAnsi="Times New Roman" w:cs="Times New Roman"/>
          <w:sz w:val="24"/>
          <w:szCs w:val="24"/>
        </w:rPr>
        <w:t>, (20</w:t>
      </w:r>
      <w:r>
        <w:rPr>
          <w:rFonts w:ascii="Times New Roman" w:hAnsi="Times New Roman" w:cs="Times New Roman"/>
          <w:spacing w:val="-1"/>
          <w:sz w:val="24"/>
          <w:szCs w:val="24"/>
        </w:rPr>
        <w:t>1</w:t>
      </w:r>
      <w:r>
        <w:rPr>
          <w:rFonts w:ascii="Times New Roman" w:hAnsi="Times New Roman" w:cs="Times New Roman"/>
          <w:sz w:val="24"/>
          <w:szCs w:val="24"/>
        </w:rPr>
        <w:t>1).</w:t>
      </w:r>
    </w:p>
    <w:p w14:paraId="52CB708B" w14:textId="77777777" w:rsidR="00F10F29" w:rsidRDefault="00C447CF">
      <w:pPr>
        <w:pStyle w:val="Heading2"/>
      </w:pPr>
      <w:r>
        <w:t xml:space="preserve">Preparation of Media </w:t>
      </w:r>
    </w:p>
    <w:p w14:paraId="61A96EBE" w14:textId="77777777" w:rsidR="00F10F29" w:rsidRDefault="00C447CF">
      <w:pPr>
        <w:spacing w:line="360" w:lineRule="auto"/>
        <w:jc w:val="both"/>
        <w:rPr>
          <w:rFonts w:ascii="Times New Roman" w:hAnsi="Times New Roman" w:cs="Times New Roman"/>
          <w:b/>
          <w:iCs/>
          <w:color w:val="000000"/>
          <w:sz w:val="24"/>
          <w:szCs w:val="24"/>
        </w:rPr>
      </w:pPr>
      <w:r>
        <w:rPr>
          <w:rFonts w:ascii="Times New Roman" w:hAnsi="Times New Roman" w:cs="Times New Roman"/>
          <w:iCs/>
          <w:color w:val="000000"/>
          <w:sz w:val="24"/>
          <w:szCs w:val="24"/>
        </w:rPr>
        <w:t xml:space="preserve">All the media used (MacConkey agar, Mueller-Hinton agar, Nutrient agar, Nutrient broth, Triple sugar iron (TSI), and Simon citrate agar), </w:t>
      </w:r>
      <w:r>
        <w:rPr>
          <w:rFonts w:ascii="Times New Roman" w:hAnsi="Times New Roman" w:cs="Times New Roman"/>
          <w:color w:val="000000"/>
          <w:sz w:val="24"/>
          <w:szCs w:val="24"/>
        </w:rPr>
        <w:t>was</w:t>
      </w:r>
      <w:r>
        <w:rPr>
          <w:rFonts w:ascii="Times New Roman" w:hAnsi="Times New Roman" w:cs="Times New Roman"/>
          <w:iCs/>
          <w:color w:val="000000"/>
          <w:sz w:val="24"/>
          <w:szCs w:val="24"/>
        </w:rPr>
        <w:t xml:space="preserve"> prepared according to the producer’s manuscript and was used for the microbial culture. Prior to culturing, test for sterility was carried out by incubating the plate at 37 </w:t>
      </w:r>
      <w:r>
        <w:rPr>
          <w:rFonts w:ascii="Times New Roman" w:hAnsi="Times New Roman" w:cs="Times New Roman"/>
          <w:iCs/>
          <w:color w:val="000000"/>
          <w:sz w:val="24"/>
          <w:szCs w:val="24"/>
          <w:vertAlign w:val="superscript"/>
        </w:rPr>
        <w:t>0</w:t>
      </w:r>
      <w:r>
        <w:rPr>
          <w:rFonts w:ascii="Times New Roman" w:hAnsi="Times New Roman" w:cs="Times New Roman"/>
          <w:iCs/>
          <w:color w:val="000000"/>
          <w:sz w:val="24"/>
          <w:szCs w:val="24"/>
        </w:rPr>
        <w:t xml:space="preserve">C for 24 hours in order to confirm the sterility of the media (i.e. to check for presence or absence of contaminants (Cheesbrough, 2009). </w:t>
      </w:r>
    </w:p>
    <w:p w14:paraId="3C0A5E98" w14:textId="77777777" w:rsidR="00F10F29" w:rsidRDefault="00C447CF">
      <w:pPr>
        <w:pStyle w:val="Heading2"/>
      </w:pPr>
      <w:r>
        <w:t>Identification of Bacteria</w:t>
      </w:r>
    </w:p>
    <w:p w14:paraId="74DBB273" w14:textId="77777777" w:rsidR="00F10F29" w:rsidRDefault="00C447CF">
      <w:pPr>
        <w:spacing w:line="360" w:lineRule="auto"/>
        <w:jc w:val="both"/>
        <w:rPr>
          <w:rFonts w:ascii="Times New Roman" w:hAnsi="Times New Roman" w:cs="Times New Roman"/>
          <w:color w:val="000000"/>
        </w:rPr>
      </w:pPr>
      <w:r>
        <w:rPr>
          <w:rFonts w:ascii="Times New Roman" w:hAnsi="Times New Roman" w:cs="Times New Roman"/>
          <w:color w:val="000000"/>
          <w:sz w:val="24"/>
          <w:szCs w:val="24"/>
        </w:rPr>
        <w:t>The pre-cultured strains were sub-cultured on freshly prepared MacConkey agar using streak plate method. All the isolates were further subjected to Gram Staining and a series of biochemical tests for identification.</w:t>
      </w:r>
    </w:p>
    <w:p w14:paraId="2B59DFB0" w14:textId="77777777" w:rsidR="00F10F29" w:rsidRDefault="00C447CF">
      <w:pPr>
        <w:pStyle w:val="Heading3"/>
      </w:pPr>
      <w:bookmarkStart w:id="4" w:name="_Toc167979840"/>
      <w:r>
        <w:rPr>
          <w:i w:val="0"/>
          <w:iCs/>
        </w:rPr>
        <w:t>Gram Staining</w:t>
      </w:r>
      <w:bookmarkEnd w:id="4"/>
    </w:p>
    <w:p w14:paraId="31E72ACB"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drop of distilled water was placed on a clean </w:t>
      </w:r>
      <w:r>
        <w:rPr>
          <w:rFonts w:ascii="Times New Roman" w:eastAsia="Times New Roman" w:hAnsi="Times New Roman" w:cs="Times New Roman"/>
          <w:color w:val="000000"/>
          <w:sz w:val="24"/>
          <w:szCs w:val="24"/>
        </w:rPr>
        <w:t xml:space="preserve">grease-free </w:t>
      </w:r>
      <w:r>
        <w:rPr>
          <w:rFonts w:ascii="Times New Roman" w:hAnsi="Times New Roman" w:cs="Times New Roman"/>
          <w:color w:val="000000"/>
          <w:sz w:val="24"/>
          <w:szCs w:val="24"/>
        </w:rPr>
        <w:t xml:space="preserve">glass slide </w:t>
      </w:r>
      <w:r>
        <w:rPr>
          <w:rFonts w:ascii="Times New Roman" w:eastAsia="Times New Roman" w:hAnsi="Times New Roman" w:cs="Times New Roman"/>
          <w:color w:val="000000"/>
          <w:sz w:val="24"/>
          <w:szCs w:val="24"/>
        </w:rPr>
        <w:t xml:space="preserve">using a sterile wire loop, and then </w:t>
      </w:r>
      <w:r>
        <w:rPr>
          <w:rFonts w:ascii="Times New Roman" w:hAnsi="Times New Roman" w:cs="Times New Roman"/>
          <w:color w:val="000000"/>
          <w:sz w:val="24"/>
          <w:szCs w:val="24"/>
        </w:rPr>
        <w:t>a loop of the bacterial isolate was smeared on the water which will be then allowed to air dry. It was then passed through a flame twice in order to heat fix it. One to two drops of crystal violet were added and left for 60 seconds before will behing it with distilled water. Grams iodine (mordant) was added and will behed away with distilled water after 1 minute. It was then decolorized by flooding with 95</w:t>
      </w:r>
      <w:r>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acetone and will behed with distilled water after 15 seconds and then finally adding safranin which was also will behed with distilled water after 2 minutes. The glass slide was left to air dry and examined under the microscope </w:t>
      </w:r>
      <w:r>
        <w:rPr>
          <w:rFonts w:ascii="Times New Roman" w:eastAsia="Times New Roman" w:hAnsi="Times New Roman" w:cs="Times New Roman"/>
          <w:color w:val="000000"/>
          <w:sz w:val="24"/>
          <w:szCs w:val="24"/>
        </w:rPr>
        <w:t xml:space="preserve">using the x100 (oil immersion lens)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Cowan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2002</w:t>
      </w:r>
      <w:r>
        <w:rPr>
          <w:rFonts w:ascii="Times New Roman" w:hAnsi="Times New Roman" w:cs="Times New Roman"/>
          <w:color w:val="000000"/>
          <w:sz w:val="24"/>
          <w:szCs w:val="24"/>
        </w:rPr>
        <w:t xml:space="preserve">; Emmanuel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2017).</w:t>
      </w:r>
    </w:p>
    <w:p w14:paraId="0C618F02" w14:textId="77777777" w:rsidR="00F10F29" w:rsidRDefault="00C447CF">
      <w:pPr>
        <w:pStyle w:val="Heading3"/>
        <w:rPr>
          <w:i w:val="0"/>
          <w:iCs/>
        </w:rPr>
      </w:pPr>
      <w:bookmarkStart w:id="5" w:name="_Toc167979841"/>
      <w:r>
        <w:rPr>
          <w:i w:val="0"/>
          <w:iCs/>
        </w:rPr>
        <w:t>Biochemical Tests</w:t>
      </w:r>
      <w:bookmarkEnd w:id="5"/>
    </w:p>
    <w:p w14:paraId="15B7EA5D" w14:textId="77777777"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following biochemical tests; Methyl red - Voges-Proskauer, catalase, Indole, citrate, and Triple sugar iron (TSI) test </w:t>
      </w:r>
      <w:r>
        <w:rPr>
          <w:rFonts w:ascii="Times New Roman" w:hAnsi="Times New Roman" w:cs="Times New Roman"/>
          <w:color w:val="000000"/>
          <w:sz w:val="24"/>
          <w:szCs w:val="24"/>
        </w:rPr>
        <w:t>was</w:t>
      </w:r>
      <w:r>
        <w:rPr>
          <w:rFonts w:ascii="Times New Roman" w:hAnsi="Times New Roman"/>
          <w:color w:val="000000"/>
          <w:sz w:val="24"/>
          <w:szCs w:val="24"/>
        </w:rPr>
        <w:t xml:space="preserve"> carried out according to standard laboratory district practice described by Cheesbrough, (2012).</w:t>
      </w:r>
    </w:p>
    <w:p w14:paraId="4BA6B2D3" w14:textId="77777777" w:rsidR="00F10F29" w:rsidRDefault="00C447CF">
      <w:pPr>
        <w:pStyle w:val="Heading4"/>
        <w:rPr>
          <w:i w:val="0"/>
          <w:iCs w:val="0"/>
        </w:rPr>
      </w:pPr>
      <w:r>
        <w:rPr>
          <w:i w:val="0"/>
          <w:iCs w:val="0"/>
        </w:rPr>
        <w:lastRenderedPageBreak/>
        <w:t>Methyl Red – Vorges-Proskauer (MR-VP)</w:t>
      </w:r>
    </w:p>
    <w:p w14:paraId="5527159A" w14:textId="77777777" w:rsidR="00F10F29" w:rsidRDefault="00C447CF">
      <w:pPr>
        <w:spacing w:line="360" w:lineRule="auto"/>
        <w:jc w:val="both"/>
        <w:rPr>
          <w:color w:val="000000"/>
        </w:rPr>
      </w:pPr>
      <w:r>
        <w:rPr>
          <w:rFonts w:ascii="Times New Roman" w:hAnsi="Times New Roman"/>
          <w:color w:val="000000"/>
          <w:sz w:val="24"/>
          <w:szCs w:val="24"/>
        </w:rPr>
        <w:t xml:space="preserve">Colonies from each stock culture </w:t>
      </w:r>
      <w:r>
        <w:rPr>
          <w:rFonts w:ascii="Times New Roman" w:hAnsi="Times New Roman" w:cs="Times New Roman"/>
          <w:color w:val="000000"/>
          <w:sz w:val="24"/>
          <w:szCs w:val="24"/>
        </w:rPr>
        <w:t>was</w:t>
      </w:r>
      <w:r>
        <w:rPr>
          <w:rFonts w:ascii="Times New Roman" w:hAnsi="Times New Roman"/>
          <w:color w:val="000000"/>
          <w:sz w:val="24"/>
          <w:szCs w:val="24"/>
        </w:rPr>
        <w:t xml:space="preserve"> inoculated into a MR-VP broth and incubated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for 24 hours. Each broth showing growth </w:t>
      </w:r>
      <w:r>
        <w:rPr>
          <w:rFonts w:ascii="Times New Roman" w:hAnsi="Times New Roman" w:cs="Times New Roman"/>
          <w:color w:val="000000"/>
          <w:sz w:val="24"/>
          <w:szCs w:val="24"/>
        </w:rPr>
        <w:t>was</w:t>
      </w:r>
      <w:r>
        <w:rPr>
          <w:rFonts w:ascii="Times New Roman" w:hAnsi="Times New Roman"/>
          <w:color w:val="000000"/>
          <w:sz w:val="24"/>
          <w:szCs w:val="24"/>
        </w:rPr>
        <w:t xml:space="preserve"> divided into two, 5 drops of methyl red indicator </w:t>
      </w:r>
      <w:r>
        <w:rPr>
          <w:rFonts w:ascii="Times New Roman" w:hAnsi="Times New Roman" w:cs="Times New Roman"/>
          <w:color w:val="000000"/>
          <w:sz w:val="24"/>
          <w:szCs w:val="24"/>
        </w:rPr>
        <w:t>was</w:t>
      </w:r>
      <w:r>
        <w:rPr>
          <w:rFonts w:ascii="Times New Roman" w:hAnsi="Times New Roman"/>
          <w:color w:val="000000"/>
          <w:sz w:val="24"/>
          <w:szCs w:val="24"/>
        </w:rPr>
        <w:t xml:space="preserve"> added to the first broth, and the presence of red color on the surface of the medium suggested a positive test.While the other half </w:t>
      </w:r>
      <w:r>
        <w:rPr>
          <w:rFonts w:ascii="Times New Roman" w:hAnsi="Times New Roman" w:cs="Times New Roman"/>
          <w:color w:val="000000"/>
          <w:sz w:val="24"/>
          <w:szCs w:val="24"/>
        </w:rPr>
        <w:t>was</w:t>
      </w:r>
      <w:r>
        <w:rPr>
          <w:rFonts w:ascii="Times New Roman" w:hAnsi="Times New Roman"/>
          <w:color w:val="000000"/>
          <w:sz w:val="24"/>
          <w:szCs w:val="24"/>
        </w:rPr>
        <w:t xml:space="preserve"> added upon by the first reagent for V.P test (0.6ml of 5% alpha naphthol) followed by second V.P reagent (0.2ml 40% potassium hydroxide: KOH). Appearance of red colour within 15 minutes indicates a positive result (Cheesbrough, 2012).</w:t>
      </w:r>
    </w:p>
    <w:p w14:paraId="5774A3B0" w14:textId="77777777" w:rsidR="00F10F29" w:rsidRDefault="00C447CF">
      <w:pPr>
        <w:pStyle w:val="Heading4"/>
        <w:rPr>
          <w:i w:val="0"/>
          <w:iCs w:val="0"/>
        </w:rPr>
      </w:pPr>
      <w:r>
        <w:rPr>
          <w:rFonts w:cs="Times New Roman"/>
          <w:i w:val="0"/>
          <w:iCs w:val="0"/>
        </w:rPr>
        <w:t>Indole</w:t>
      </w:r>
    </w:p>
    <w:p w14:paraId="30B8829C" w14:textId="77777777" w:rsidR="00F10F29" w:rsidRDefault="00C447CF">
      <w:pPr>
        <w:spacing w:line="360" w:lineRule="auto"/>
        <w:jc w:val="both"/>
        <w:rPr>
          <w:color w:val="000000"/>
        </w:rPr>
      </w:pPr>
      <w:r>
        <w:rPr>
          <w:rFonts w:ascii="Times New Roman" w:hAnsi="Times New Roman"/>
          <w:color w:val="000000"/>
          <w:sz w:val="24"/>
          <w:szCs w:val="24"/>
        </w:rPr>
        <w:t xml:space="preserve">Each of the isolates </w:t>
      </w:r>
      <w:r>
        <w:rPr>
          <w:rFonts w:ascii="Times New Roman" w:hAnsi="Times New Roman" w:cs="Times New Roman"/>
          <w:color w:val="000000"/>
          <w:sz w:val="24"/>
          <w:szCs w:val="24"/>
        </w:rPr>
        <w:t>was</w:t>
      </w:r>
      <w:r>
        <w:rPr>
          <w:rFonts w:ascii="Times New Roman" w:hAnsi="Times New Roman"/>
          <w:color w:val="000000"/>
          <w:sz w:val="24"/>
          <w:szCs w:val="24"/>
        </w:rPr>
        <w:t xml:space="preserve"> inoculated into 5ml of peptone water and was incubated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for 24hours. Five drops of Kovacs reagent </w:t>
      </w:r>
      <w:r>
        <w:rPr>
          <w:rFonts w:ascii="Times New Roman" w:hAnsi="Times New Roman" w:cs="Times New Roman"/>
          <w:color w:val="000000"/>
          <w:sz w:val="24"/>
          <w:szCs w:val="24"/>
        </w:rPr>
        <w:t>were</w:t>
      </w:r>
      <w:r>
        <w:rPr>
          <w:rFonts w:ascii="Times New Roman" w:hAnsi="Times New Roman"/>
          <w:color w:val="000000"/>
          <w:sz w:val="24"/>
          <w:szCs w:val="24"/>
        </w:rPr>
        <w:t xml:space="preserve"> added to each and the presence of pink color indicates a positive result (Cheesbrough, 2012).</w:t>
      </w:r>
    </w:p>
    <w:p w14:paraId="31777530" w14:textId="77777777" w:rsidR="00F10F29" w:rsidRDefault="00C447CF">
      <w:pPr>
        <w:pStyle w:val="Heading4"/>
        <w:rPr>
          <w:i w:val="0"/>
          <w:iCs w:val="0"/>
        </w:rPr>
      </w:pPr>
      <w:r>
        <w:rPr>
          <w:i w:val="0"/>
          <w:iCs w:val="0"/>
        </w:rPr>
        <w:t>Citrate Test</w:t>
      </w:r>
    </w:p>
    <w:p w14:paraId="4ED77619" w14:textId="77777777"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 colony from each of the isolates </w:t>
      </w:r>
      <w:r>
        <w:rPr>
          <w:rFonts w:ascii="Times New Roman" w:hAnsi="Times New Roman" w:cs="Times New Roman"/>
          <w:color w:val="000000"/>
          <w:sz w:val="24"/>
          <w:szCs w:val="24"/>
        </w:rPr>
        <w:t>was</w:t>
      </w:r>
      <w:r>
        <w:rPr>
          <w:rFonts w:ascii="Times New Roman" w:hAnsi="Times New Roman"/>
          <w:color w:val="000000"/>
          <w:sz w:val="24"/>
          <w:szCs w:val="24"/>
        </w:rPr>
        <w:t xml:space="preserve"> stabbed into Simmon’s citrate agar medium in a straight direction and the surface streaked. The tubes </w:t>
      </w:r>
      <w:r>
        <w:rPr>
          <w:rFonts w:ascii="Times New Roman" w:hAnsi="Times New Roman" w:cs="Times New Roman"/>
          <w:color w:val="000000"/>
          <w:sz w:val="24"/>
          <w:szCs w:val="24"/>
        </w:rPr>
        <w:t>was</w:t>
      </w:r>
      <w:r>
        <w:rPr>
          <w:rFonts w:ascii="Times New Roman" w:hAnsi="Times New Roman"/>
          <w:color w:val="000000"/>
          <w:sz w:val="24"/>
          <w:szCs w:val="24"/>
        </w:rPr>
        <w:t xml:space="preserve"> incubated over night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The medium </w:t>
      </w:r>
      <w:r>
        <w:rPr>
          <w:rFonts w:ascii="Times New Roman" w:hAnsi="Times New Roman" w:cs="Times New Roman"/>
          <w:color w:val="000000"/>
          <w:sz w:val="24"/>
          <w:szCs w:val="24"/>
        </w:rPr>
        <w:t>was</w:t>
      </w:r>
      <w:r>
        <w:rPr>
          <w:rFonts w:ascii="Times New Roman" w:hAnsi="Times New Roman"/>
          <w:color w:val="000000"/>
          <w:sz w:val="24"/>
          <w:szCs w:val="24"/>
        </w:rPr>
        <w:t xml:space="preserve"> observed for colour change from green to blue which indicated a positive test (Cheesbrough, 2012).</w:t>
      </w:r>
    </w:p>
    <w:p w14:paraId="3ADA77BF" w14:textId="77777777" w:rsidR="00F10F29" w:rsidRDefault="00C447CF">
      <w:pPr>
        <w:pStyle w:val="Heading4"/>
        <w:rPr>
          <w:i w:val="0"/>
          <w:iCs w:val="0"/>
        </w:rPr>
      </w:pPr>
      <w:r>
        <w:rPr>
          <w:i w:val="0"/>
          <w:iCs w:val="0"/>
        </w:rPr>
        <w:t>Catalase test</w:t>
      </w:r>
    </w:p>
    <w:p w14:paraId="6A30ABFB" w14:textId="77777777"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A drop of 10% Hydrogen peroxide (H </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 xml:space="preserve">) </w:t>
      </w:r>
      <w:r>
        <w:rPr>
          <w:rFonts w:ascii="Times New Roman" w:hAnsi="Times New Roman" w:cs="Times New Roman"/>
          <w:color w:val="000000"/>
          <w:sz w:val="24"/>
          <w:szCs w:val="24"/>
        </w:rPr>
        <w:t>was</w:t>
      </w:r>
      <w:r>
        <w:rPr>
          <w:rFonts w:ascii="Times New Roman" w:hAnsi="Times New Roman"/>
          <w:color w:val="000000"/>
          <w:sz w:val="24"/>
          <w:szCs w:val="24"/>
        </w:rPr>
        <w:t xml:space="preserve"> placed on each side of the slide, and then the colony of the test organism </w:t>
      </w:r>
      <w:r>
        <w:rPr>
          <w:rFonts w:ascii="Times New Roman" w:hAnsi="Times New Roman" w:cs="Times New Roman"/>
          <w:color w:val="000000"/>
          <w:sz w:val="24"/>
          <w:szCs w:val="24"/>
        </w:rPr>
        <w:t>was</w:t>
      </w:r>
      <w:r>
        <w:rPr>
          <w:rFonts w:ascii="Times New Roman" w:hAnsi="Times New Roman"/>
          <w:color w:val="000000"/>
          <w:sz w:val="24"/>
          <w:szCs w:val="24"/>
        </w:rPr>
        <w:t xml:space="preserve"> emulsified on the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 xml:space="preserve">2 </w:t>
      </w:r>
      <w:r>
        <w:rPr>
          <w:rFonts w:ascii="Times New Roman" w:hAnsi="Times New Roman"/>
          <w:color w:val="000000"/>
          <w:sz w:val="24"/>
          <w:szCs w:val="24"/>
        </w:rPr>
        <w:t>on one side of the slide to observe the presence of bubbles which indicated a positive test (Cheesbrough, 2012).</w:t>
      </w:r>
    </w:p>
    <w:p w14:paraId="6842B4F7" w14:textId="77777777" w:rsidR="00F10F29" w:rsidRDefault="00C447CF">
      <w:pPr>
        <w:pStyle w:val="Heading4"/>
        <w:rPr>
          <w:i w:val="0"/>
          <w:iCs w:val="0"/>
        </w:rPr>
      </w:pPr>
      <w:r>
        <w:rPr>
          <w:i w:val="0"/>
          <w:iCs w:val="0"/>
        </w:rPr>
        <w:t>Triple Sugar Iron Test (TSI)</w:t>
      </w:r>
    </w:p>
    <w:p w14:paraId="62256070"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olor w:val="000000"/>
          <w:sz w:val="24"/>
          <w:szCs w:val="24"/>
        </w:rPr>
        <w:t xml:space="preserve">Colony from each isolate </w:t>
      </w:r>
      <w:r>
        <w:rPr>
          <w:rFonts w:ascii="Times New Roman" w:hAnsi="Times New Roman" w:cs="Times New Roman"/>
          <w:color w:val="000000"/>
          <w:sz w:val="24"/>
          <w:szCs w:val="24"/>
        </w:rPr>
        <w:t>was</w:t>
      </w:r>
      <w:r>
        <w:rPr>
          <w:rFonts w:ascii="Times New Roman" w:hAnsi="Times New Roman"/>
          <w:color w:val="000000"/>
          <w:sz w:val="24"/>
          <w:szCs w:val="24"/>
        </w:rPr>
        <w:t xml:space="preserve"> stabbed into TSI medium in straight direction and the slant streaked. The tubes </w:t>
      </w:r>
      <w:r>
        <w:rPr>
          <w:rFonts w:ascii="Times New Roman" w:hAnsi="Times New Roman" w:cs="Times New Roman"/>
          <w:color w:val="000000"/>
          <w:sz w:val="24"/>
          <w:szCs w:val="24"/>
        </w:rPr>
        <w:t>were</w:t>
      </w:r>
      <w:r>
        <w:rPr>
          <w:rFonts w:ascii="Times New Roman" w:hAnsi="Times New Roman"/>
          <w:color w:val="000000"/>
          <w:sz w:val="24"/>
          <w:szCs w:val="24"/>
        </w:rPr>
        <w:t xml:space="preserve"> incubated over the night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C.The medium </w:t>
      </w:r>
      <w:r>
        <w:rPr>
          <w:rFonts w:ascii="Times New Roman" w:hAnsi="Times New Roman" w:cs="Times New Roman"/>
          <w:color w:val="000000"/>
          <w:sz w:val="24"/>
          <w:szCs w:val="24"/>
        </w:rPr>
        <w:t>was</w:t>
      </w:r>
      <w:r>
        <w:rPr>
          <w:rFonts w:ascii="Times New Roman" w:hAnsi="Times New Roman"/>
          <w:color w:val="000000"/>
          <w:sz w:val="24"/>
          <w:szCs w:val="24"/>
        </w:rPr>
        <w:t xml:space="preserve"> observed for colour change at the slant and butt (Cheesbrough, 2012).</w:t>
      </w:r>
    </w:p>
    <w:p w14:paraId="4EF19A6E" w14:textId="77777777" w:rsidR="00F10F29" w:rsidRDefault="00C447CF">
      <w:pPr>
        <w:pStyle w:val="Heading2"/>
      </w:pPr>
      <w:r>
        <w:t>Antimicrobial Assay</w:t>
      </w:r>
    </w:p>
    <w:p w14:paraId="25BE3D76" w14:textId="77777777" w:rsidR="00F10F29" w:rsidRDefault="00C447CF">
      <w:pPr>
        <w:pStyle w:val="Heading3"/>
      </w:pPr>
      <w:bookmarkStart w:id="6" w:name="_Toc167979843"/>
      <w:r>
        <w:rPr>
          <w:i w:val="0"/>
          <w:iCs/>
        </w:rPr>
        <w:t>Standardization of Inoculum</w:t>
      </w:r>
      <w:bookmarkEnd w:id="6"/>
    </w:p>
    <w:p w14:paraId="0E48A6FF" w14:textId="77777777" w:rsidR="00F10F29" w:rsidRDefault="00C447CF">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Suspension of each of the test organism was made by collecting a loop full of colony from each plate and was incubated at 37</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 for 18 hours in 5ml of nutrient broth. The broth culture of the test organisms grown 24 hours, was diluted using distilled water to inoculums load of approximately 1x10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cfu/ml (Lalitha, 2004). The active growing culture was adjusted or standardized by the gradual addition of a sterile distilled water </w:t>
      </w:r>
      <w:r>
        <w:rPr>
          <w:rFonts w:ascii="Times New Roman" w:hAnsi="Times New Roman" w:cs="Times New Roman"/>
          <w:color w:val="000000"/>
          <w:sz w:val="24"/>
          <w:szCs w:val="24"/>
        </w:rPr>
        <w:lastRenderedPageBreak/>
        <w:t>to achieve an optimally comparable turbidity with that of 0.5 McFarland standards which is approximately 1.0x10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cfu/ml as described by Lalitha (2004).</w:t>
      </w:r>
    </w:p>
    <w:p w14:paraId="143B30EC" w14:textId="77777777" w:rsidR="00F10F29" w:rsidRDefault="00C447CF">
      <w:pPr>
        <w:pStyle w:val="Heading3"/>
        <w:rPr>
          <w:i w:val="0"/>
          <w:iCs/>
        </w:rPr>
      </w:pPr>
      <w:bookmarkStart w:id="7" w:name="_Toc167979844"/>
      <w:r>
        <w:rPr>
          <w:i w:val="0"/>
          <w:iCs/>
        </w:rPr>
        <w:t>Antimicrobial Screening</w:t>
      </w:r>
      <w:bookmarkEnd w:id="7"/>
    </w:p>
    <w:p w14:paraId="3DD08E9F" w14:textId="77777777" w:rsidR="00F10F29" w:rsidRDefault="00C447CF">
      <w:pPr>
        <w:autoSpaceDE w:val="0"/>
        <w:autoSpaceDN w:val="0"/>
        <w:adjustRightInd w:val="0"/>
        <w:spacing w:line="360" w:lineRule="auto"/>
        <w:jc w:val="both"/>
        <w:rPr>
          <w:rFonts w:ascii="Times New Roman" w:eastAsia="MinionPro-Regular" w:hAnsi="Times New Roman" w:cs="Times New Roman"/>
          <w:color w:val="000000"/>
          <w:sz w:val="24"/>
          <w:szCs w:val="24"/>
        </w:rPr>
      </w:pPr>
      <w:r>
        <w:rPr>
          <w:rFonts w:ascii="Times New Roman" w:hAnsi="Times New Roman" w:cs="Times New Roman"/>
          <w:color w:val="000000"/>
          <w:sz w:val="24"/>
          <w:szCs w:val="24"/>
        </w:rPr>
        <w:t xml:space="preserve">Agar well diffusion method was used to screen the antibacterial activities of different solvent extracts as displayed by (Daoud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2015). One ml of fresh bacterial culture was spread (lawn culture) using a spreader on a freshly prepared </w:t>
      </w:r>
      <w:r>
        <w:rPr>
          <w:rFonts w:ascii="Times New Roman" w:eastAsia="MinionPro-Regular" w:hAnsi="Times New Roman" w:cs="Times New Roman"/>
          <w:color w:val="000000"/>
          <w:sz w:val="24"/>
          <w:szCs w:val="24"/>
        </w:rPr>
        <w:t>Muller Hinton agar (MHA)</w:t>
      </w:r>
      <w:r>
        <w:rPr>
          <w:rFonts w:ascii="Times New Roman" w:hAnsi="Times New Roman" w:cs="Times New Roman"/>
          <w:color w:val="000000"/>
          <w:sz w:val="24"/>
          <w:szCs w:val="24"/>
        </w:rPr>
        <w:t xml:space="preserve"> in a sterile Petri dish an allowed to be absorbed.</w:t>
      </w:r>
      <w:r>
        <w:rPr>
          <w:rFonts w:ascii="Times New Roman" w:eastAsia="MinionPro-Regular" w:hAnsi="Times New Roman" w:cs="Times New Roman"/>
          <w:color w:val="000000"/>
          <w:sz w:val="24"/>
          <w:szCs w:val="24"/>
        </w:rPr>
        <w:t xml:space="preserve"> Upon absorption, wells </w:t>
      </w:r>
      <w:r>
        <w:rPr>
          <w:rFonts w:ascii="Times New Roman" w:hAnsi="Times New Roman" w:cs="Times New Roman"/>
          <w:color w:val="000000"/>
          <w:sz w:val="24"/>
          <w:szCs w:val="24"/>
        </w:rPr>
        <w:t>were</w:t>
      </w:r>
      <w:r>
        <w:rPr>
          <w:rFonts w:ascii="Times New Roman" w:eastAsia="MinionPro-Regular" w:hAnsi="Times New Roman" w:cs="Times New Roman"/>
          <w:color w:val="000000"/>
          <w:sz w:val="24"/>
          <w:szCs w:val="24"/>
        </w:rPr>
        <w:t xml:space="preserve"> made using a sterile cork borer (6 mm in diameter) into agar plates containing inoculums. Then, 100 </w:t>
      </w:r>
      <w:r>
        <w:rPr>
          <w:rFonts w:ascii="MTGU" w:hAnsi="MTGU" w:cs="MTGU"/>
          <w:color w:val="000000"/>
          <w:sz w:val="19"/>
          <w:szCs w:val="19"/>
        </w:rPr>
        <w:t>µ</w:t>
      </w:r>
      <w:r>
        <w:rPr>
          <w:rFonts w:ascii="Times New Roman" w:eastAsia="MinionPro-Regular" w:hAnsi="Times New Roman" w:cs="Times New Roman"/>
          <w:color w:val="000000"/>
          <w:sz w:val="24"/>
          <w:szCs w:val="24"/>
        </w:rPr>
        <w:t xml:space="preserve">l of each extract (20% w/v)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added to the respective wells. The plates were then placed in the refrigerator for 30 min to let the extracts diffuse well into the agar. Then, the plates was incubated at 37</w:t>
      </w:r>
      <w:r>
        <w:rPr>
          <w:rFonts w:ascii="Times New Roman" w:eastAsia="MinionPro-Regular" w:hAnsi="Times New Roman" w:cs="Times New Roman"/>
          <w:color w:val="000000"/>
          <w:sz w:val="24"/>
          <w:szCs w:val="24"/>
          <w:vertAlign w:val="superscript"/>
        </w:rPr>
        <w:t>0</w:t>
      </w:r>
      <w:r>
        <w:rPr>
          <w:rFonts w:ascii="Times New Roman" w:eastAsia="MinionPro-Regular" w:hAnsi="Times New Roman" w:cs="Times New Roman"/>
          <w:color w:val="000000"/>
          <w:sz w:val="24"/>
          <w:szCs w:val="24"/>
        </w:rPr>
        <w:t xml:space="preserve">C for 18 hours. Antimicrobial activity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recorded by measuring the zone of inhibition (including the wells diameter) appeared after the incubation period. Distilled water at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employed as a negative control (</w:t>
      </w:r>
      <w:r>
        <w:rPr>
          <w:rFonts w:ascii="Times New Roman" w:hAnsi="Times New Roman" w:cs="Times New Roman"/>
          <w:color w:val="000000"/>
          <w:sz w:val="24"/>
          <w:szCs w:val="24"/>
        </w:rPr>
        <w:t xml:space="preserve">Gonelimali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2018</w:t>
      </w:r>
      <w:r>
        <w:rPr>
          <w:rFonts w:ascii="Times New Roman" w:eastAsia="MinionPro-Regular" w:hAnsi="Times New Roman" w:cs="Times New Roman"/>
          <w:color w:val="000000"/>
          <w:sz w:val="24"/>
          <w:szCs w:val="24"/>
        </w:rPr>
        <w:t>).</w:t>
      </w:r>
    </w:p>
    <w:p w14:paraId="04FC4F25" w14:textId="77777777" w:rsidR="00F10F29" w:rsidRDefault="00C447CF">
      <w:pPr>
        <w:pStyle w:val="Heading2"/>
        <w:rPr>
          <w:bCs/>
        </w:rPr>
      </w:pPr>
      <w:bookmarkStart w:id="8" w:name="_Toc167979845"/>
      <w:r>
        <w:t xml:space="preserve">Determination of </w:t>
      </w:r>
      <w:r>
        <w:rPr>
          <w:bCs/>
        </w:rPr>
        <w:t>Zone Inhibition</w:t>
      </w:r>
      <w:bookmarkEnd w:id="8"/>
    </w:p>
    <w:p w14:paraId="5E74E8B3"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Nutrient agar medium was prepared and autoclaved at standard temperature of 1210 C, pressure of 15 psi (pounds per square inch) for a time period of 15 minutes. The autoclaved medium was aseptically transferred into pre sterilized Petri plates which are allowed to cool for solidification of medium. Now in aseptic conditions, on the solid agar surface, culture of Escherichia coli, Klebsiella pneumoniae, was inoculated by spread plate method in different Petri plates respectively. Thereafter, under aseptic conditions, saturated filter paper discs were placed on the inoculated solid agar surface. Similarly, commercially available streptomycin (10mcg) antibiotic discs was placed aseptically on the inoculated solid agar surface. The Petri plates was finally marked accordingly and incubated at 370 C for 48 hours. </w:t>
      </w:r>
      <w:r w:rsidR="0022454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AOT10 \l 1033 </w:instrText>
      </w:r>
      <w:r w:rsidR="0022454D">
        <w:rPr>
          <w:rFonts w:ascii="Times New Roman" w:hAnsi="Times New Roman" w:cs="Times New Roman"/>
          <w:sz w:val="24"/>
          <w:szCs w:val="24"/>
        </w:rPr>
        <w:fldChar w:fldCharType="separate"/>
      </w:r>
      <w:r>
        <w:rPr>
          <w:rFonts w:ascii="Times New Roman" w:hAnsi="Times New Roman" w:cs="Times New Roman"/>
          <w:sz w:val="24"/>
          <w:szCs w:val="24"/>
        </w:rPr>
        <w:t>(A. O. T. Ashafa, 2010)</w:t>
      </w:r>
      <w:r w:rsidR="0022454D">
        <w:rPr>
          <w:rFonts w:ascii="Times New Roman" w:hAnsi="Times New Roman" w:cs="Times New Roman"/>
          <w:sz w:val="24"/>
          <w:szCs w:val="24"/>
        </w:rPr>
        <w:fldChar w:fldCharType="end"/>
      </w:r>
    </w:p>
    <w:p w14:paraId="461005F3" w14:textId="77777777" w:rsidR="00F10F29" w:rsidRDefault="00C447CF">
      <w:pPr>
        <w:pStyle w:val="Heading2"/>
      </w:pPr>
      <w:bookmarkStart w:id="9" w:name="_Toc167979846"/>
      <w:r>
        <w:rPr>
          <w:color w:val="000000"/>
        </w:rPr>
        <w:t>Invitro</w:t>
      </w:r>
      <w:r>
        <w:t xml:space="preserve"> Determination Using ABTS Radical Scavenging Assay</w:t>
      </w:r>
      <w:bookmarkEnd w:id="9"/>
    </w:p>
    <w:p w14:paraId="6FC11CD5"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Re et al. (1999), was adopted for this experiment. The stock solutions included 7 mM ABTS. + solution and 2.4 mM potassium persulfate solution. Varying concentrations of the plant extracts (1.0 ml) was allowed to react with 1 ml of the ABTS. + solution and the absorbance taken at 734 nm after 7 min using the spectrophotometer (Beckman, DU 7400, USA). The ABTS. + scavenging capacity of the extract was compared with that of standard (BHT) antioxidant and percentage inhibition was calculated thus. ABTS radical scavenging activity (%) = [(Abscontrol - </w:t>
      </w:r>
      <w:r>
        <w:rPr>
          <w:rFonts w:ascii="Times New Roman" w:hAnsi="Times New Roman" w:cs="Times New Roman"/>
          <w:sz w:val="24"/>
          <w:szCs w:val="24"/>
        </w:rPr>
        <w:lastRenderedPageBreak/>
        <w:t xml:space="preserve">Abssample)]/(Abscontrol)] x 100 where Abscontrol is the absorbance of ABTS radical + methanol; Abssample is the absorbance of ABTS radical + sample extract /standard. </w:t>
      </w:r>
      <w:r w:rsidR="0022454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Nay12 \l 1033 </w:instrText>
      </w:r>
      <w:r w:rsidR="0022454D">
        <w:rPr>
          <w:rFonts w:ascii="Times New Roman" w:hAnsi="Times New Roman" w:cs="Times New Roman"/>
          <w:sz w:val="24"/>
          <w:szCs w:val="24"/>
        </w:rPr>
        <w:fldChar w:fldCharType="separate"/>
      </w:r>
      <w:r>
        <w:rPr>
          <w:rFonts w:ascii="Times New Roman" w:hAnsi="Times New Roman" w:cs="Times New Roman"/>
          <w:sz w:val="24"/>
          <w:szCs w:val="24"/>
        </w:rPr>
        <w:t>(Nayan R. Bhalodia, 2012)</w:t>
      </w:r>
      <w:r w:rsidR="0022454D">
        <w:rPr>
          <w:rFonts w:ascii="Times New Roman" w:hAnsi="Times New Roman" w:cs="Times New Roman"/>
          <w:sz w:val="24"/>
          <w:szCs w:val="24"/>
        </w:rPr>
        <w:fldChar w:fldCharType="end"/>
      </w:r>
      <w:r>
        <w:rPr>
          <w:rFonts w:ascii="Times New Roman" w:hAnsi="Times New Roman" w:cs="Times New Roman"/>
          <w:sz w:val="24"/>
          <w:szCs w:val="24"/>
        </w:rPr>
        <w:t>.</w:t>
      </w:r>
    </w:p>
    <w:p w14:paraId="6A8C47A3" w14:textId="77777777" w:rsidR="00830526" w:rsidRDefault="00830526">
      <w:pPr>
        <w:spacing w:line="360" w:lineRule="auto"/>
        <w:jc w:val="both"/>
        <w:rPr>
          <w:rFonts w:ascii="Times New Roman" w:hAnsi="Times New Roman" w:cs="Times New Roman"/>
          <w:sz w:val="24"/>
          <w:szCs w:val="24"/>
        </w:rPr>
      </w:pPr>
    </w:p>
    <w:p w14:paraId="532810B3" w14:textId="0987E2C2" w:rsidR="00830526" w:rsidRPr="00830526" w:rsidRDefault="00830526">
      <w:pPr>
        <w:spacing w:line="360" w:lineRule="auto"/>
        <w:jc w:val="both"/>
        <w:rPr>
          <w:rFonts w:ascii="Times New Roman" w:hAnsi="Times New Roman" w:cs="Times New Roman"/>
          <w:b/>
          <w:bCs/>
          <w:sz w:val="28"/>
          <w:szCs w:val="28"/>
        </w:rPr>
      </w:pPr>
      <w:r w:rsidRPr="00830526">
        <w:rPr>
          <w:rFonts w:ascii="Times New Roman" w:hAnsi="Times New Roman" w:cs="Times New Roman"/>
          <w:b/>
          <w:bCs/>
          <w:sz w:val="28"/>
          <w:szCs w:val="28"/>
        </w:rPr>
        <w:t>Results &amp; Discussion</w:t>
      </w:r>
    </w:p>
    <w:p w14:paraId="5E7C0440" w14:textId="77777777" w:rsidR="00F10F29" w:rsidRDefault="00C447CF">
      <w:pPr>
        <w:pStyle w:val="Heading2"/>
      </w:pPr>
      <w:r>
        <w:t>STATISTICAL ANALYSIS</w:t>
      </w:r>
    </w:p>
    <w:p w14:paraId="56BBE23E"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results were expressed as mean ± standard deviation (SD) of three replicates. EC50 values (concentration at which 50% inhibition will be achieve) was obtain from the regression plots. Where applicable, the results were treated to a one-way analysis of variance (ANOVA) and the significant difference (P &lt; 0.05) between means was determine by LSD using SPSS version 15.0 for Windows.</w:t>
      </w:r>
    </w:p>
    <w:p w14:paraId="00E339F2" w14:textId="53FC7840" w:rsidR="00F10F29" w:rsidRDefault="00C447C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qualitative phytochemical screening for secondary metabolites of the seed ethanolic extract of </w:t>
      </w:r>
      <w:r>
        <w:rPr>
          <w:rFonts w:ascii="Times New Roman" w:hAnsi="Times New Roman" w:cs="Times New Roman"/>
          <w:bCs/>
          <w:i/>
          <w:sz w:val="24"/>
          <w:szCs w:val="24"/>
        </w:rPr>
        <w:t>Coriandrum sativum</w:t>
      </w:r>
      <w:r>
        <w:rPr>
          <w:rFonts w:ascii="Times New Roman" w:hAnsi="Times New Roman" w:cs="Times New Roman"/>
          <w:sz w:val="24"/>
          <w:szCs w:val="24"/>
        </w:rPr>
        <w:t>is presented in Table 1. Antioxidant activity of the extract using 1,1-diphenyl-2-picryhydrazyl (DPPH), ferric reducing antioxidant potential (FRAP) and thiobarbituric acid reactive substances (TBARS) were presented in Table1,2,3,4 respectively.</w:t>
      </w:r>
    </w:p>
    <w:p w14:paraId="2832AF17" w14:textId="77777777" w:rsidR="00F10F29" w:rsidRDefault="00F10F29">
      <w:pPr>
        <w:spacing w:line="360" w:lineRule="auto"/>
        <w:rPr>
          <w:rFonts w:ascii="Times New Roman" w:eastAsia="Times New Roman" w:hAnsi="Times New Roman" w:cs="Times New Roman"/>
          <w:sz w:val="28"/>
          <w:szCs w:val="28"/>
        </w:rPr>
      </w:pPr>
    </w:p>
    <w:p w14:paraId="3B73C559" w14:textId="77777777" w:rsidR="00F10F29" w:rsidRDefault="00C447C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8"/>
        </w:rPr>
        <w:t xml:space="preserve">Table 1: Qualitative Phytochemicals Screening of the Ethanolic Seed Extract of </w:t>
      </w:r>
      <w:r>
        <w:rPr>
          <w:rFonts w:ascii="Times New Roman" w:eastAsia="Times New Roman" w:hAnsi="Times New Roman" w:cs="Times New Roman"/>
          <w:b/>
          <w:i/>
          <w:sz w:val="24"/>
          <w:szCs w:val="28"/>
        </w:rPr>
        <w:t xml:space="preserve">Coriandrum sativum </w:t>
      </w:r>
      <w:r>
        <w:rPr>
          <w:rFonts w:ascii="Times New Roman" w:eastAsia="Times New Roman" w:hAnsi="Times New Roman" w:cs="Times New Roman"/>
          <w:b/>
          <w:sz w:val="24"/>
          <w:szCs w:val="28"/>
        </w:rPr>
        <w:t>(Coriander)</w:t>
      </w:r>
    </w:p>
    <w:tbl>
      <w:tblPr>
        <w:tblStyle w:val="LightShading"/>
        <w:tblW w:w="5865" w:type="dxa"/>
        <w:tblLook w:val="04A0" w:firstRow="1" w:lastRow="0" w:firstColumn="1" w:lastColumn="0" w:noHBand="0" w:noVBand="1"/>
      </w:tblPr>
      <w:tblGrid>
        <w:gridCol w:w="3165"/>
        <w:gridCol w:w="2700"/>
      </w:tblGrid>
      <w:tr w:rsidR="00F10F29" w14:paraId="01677FC7" w14:textId="77777777" w:rsidTr="00F10F29">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165" w:type="dxa"/>
            <w:noWrap/>
          </w:tcPr>
          <w:p w14:paraId="6366AAF4"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 Chemical constituents  </w:t>
            </w:r>
          </w:p>
        </w:tc>
        <w:tc>
          <w:tcPr>
            <w:tcW w:w="2700" w:type="dxa"/>
            <w:noWrap/>
          </w:tcPr>
          <w:p w14:paraId="74B93D09" w14:textId="77777777" w:rsidR="00F10F29" w:rsidRDefault="00C447C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i/>
                <w:sz w:val="24"/>
                <w:szCs w:val="28"/>
              </w:rPr>
              <w:t>Coriandrum sativum</w:t>
            </w:r>
          </w:p>
        </w:tc>
      </w:tr>
      <w:tr w:rsidR="00F10F29" w14:paraId="68677E17"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7A9DB25B"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Phenols</w:t>
            </w:r>
          </w:p>
        </w:tc>
        <w:tc>
          <w:tcPr>
            <w:tcW w:w="2700" w:type="dxa"/>
            <w:noWrap/>
          </w:tcPr>
          <w:p w14:paraId="0ED04EB0"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133192A3"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655D357C" w14:textId="77777777" w:rsidR="00F10F29" w:rsidRDefault="00C447CF">
            <w:pPr>
              <w:spacing w:line="36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Flavonoids</w:t>
            </w:r>
          </w:p>
        </w:tc>
        <w:tc>
          <w:tcPr>
            <w:tcW w:w="2700" w:type="dxa"/>
            <w:noWrap/>
          </w:tcPr>
          <w:p w14:paraId="43D9BCEC"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52039E60"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6FD33614"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Saponins</w:t>
            </w:r>
          </w:p>
        </w:tc>
        <w:tc>
          <w:tcPr>
            <w:tcW w:w="2700" w:type="dxa"/>
            <w:noWrap/>
          </w:tcPr>
          <w:p w14:paraId="14CE8651"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6FD2D120"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6FDFB79E"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Alkaloids</w:t>
            </w:r>
          </w:p>
        </w:tc>
        <w:tc>
          <w:tcPr>
            <w:tcW w:w="2700" w:type="dxa"/>
            <w:noWrap/>
          </w:tcPr>
          <w:p w14:paraId="74941411"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134E8149"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05ADA9B2"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Tannins</w:t>
            </w:r>
          </w:p>
        </w:tc>
        <w:tc>
          <w:tcPr>
            <w:tcW w:w="2700" w:type="dxa"/>
            <w:noWrap/>
          </w:tcPr>
          <w:p w14:paraId="7253C8E2"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0CF3CD8B"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45C298AC"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Steroids</w:t>
            </w:r>
          </w:p>
        </w:tc>
        <w:tc>
          <w:tcPr>
            <w:tcW w:w="2700" w:type="dxa"/>
            <w:noWrap/>
          </w:tcPr>
          <w:p w14:paraId="5567DF71"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13B53B85"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0020F8A9"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Cardiac glycosides </w:t>
            </w:r>
          </w:p>
        </w:tc>
        <w:tc>
          <w:tcPr>
            <w:tcW w:w="2700" w:type="dxa"/>
            <w:noWrap/>
          </w:tcPr>
          <w:p w14:paraId="0BF0107D"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2AB91056" w14:textId="77777777" w:rsidR="00F10F29" w:rsidRDefault="00F10F29">
      <w:pPr>
        <w:spacing w:line="360" w:lineRule="auto"/>
        <w:rPr>
          <w:rFonts w:ascii="Times New Roman" w:eastAsia="Times New Roman" w:hAnsi="Times New Roman" w:cs="Times New Roman"/>
          <w:sz w:val="28"/>
          <w:szCs w:val="28"/>
        </w:rPr>
      </w:pPr>
    </w:p>
    <w:p w14:paraId="18B47239" w14:textId="77777777" w:rsidR="00F10F29" w:rsidRDefault="00C447CF">
      <w:pPr>
        <w:spacing w:line="360" w:lineRule="auto"/>
        <w:rPr>
          <w:rFonts w:ascii="Times New Roman" w:eastAsia="Times New Roman" w:hAnsi="Times New Roman" w:cs="Times New Roman"/>
        </w:rPr>
      </w:pPr>
      <w:r>
        <w:rPr>
          <w:rFonts w:ascii="Times New Roman" w:eastAsia="Times New Roman" w:hAnsi="Times New Roman" w:cs="Times New Roman"/>
        </w:rPr>
        <w:t>Keys:   ‘+’ presence of compound;    ‘-’ absence of compound.</w:t>
      </w:r>
    </w:p>
    <w:p w14:paraId="5D8EAEAA" w14:textId="77777777" w:rsidR="00F10F29" w:rsidRDefault="00C447CF">
      <w:pPr>
        <w:rPr>
          <w:rFonts w:ascii="Times New Roman" w:hAnsi="Times New Roman" w:cs="Times New Roman"/>
          <w:b/>
          <w:bCs/>
        </w:rPr>
      </w:pPr>
      <w:r>
        <w:rPr>
          <w:rFonts w:ascii="Times New Roman" w:hAnsi="Times New Roman" w:cs="Times New Roman"/>
          <w:b/>
          <w:bCs/>
        </w:rPr>
        <w:br w:type="page"/>
      </w:r>
    </w:p>
    <w:p w14:paraId="45CF898F" w14:textId="77777777" w:rsidR="00F10F29" w:rsidRDefault="00F10F29">
      <w:pPr>
        <w:rPr>
          <w:rFonts w:ascii="Times New Roman" w:hAnsi="Times New Roman" w:cs="Times New Roman"/>
          <w:b/>
          <w:bCs/>
          <w:color w:val="000000"/>
          <w:sz w:val="24"/>
          <w:szCs w:val="24"/>
        </w:rPr>
      </w:pPr>
    </w:p>
    <w:p w14:paraId="45DD145B" w14:textId="77777777" w:rsidR="00F10F29" w:rsidRDefault="00C447C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Table2: Antioxidant Potential of Ethanolic Seed Extract of </w:t>
      </w:r>
      <w:r>
        <w:rPr>
          <w:rFonts w:ascii="Times New Roman" w:eastAsia="Times New Roman" w:hAnsi="Times New Roman" w:cs="Times New Roman"/>
          <w:b/>
          <w:i/>
          <w:sz w:val="24"/>
          <w:szCs w:val="24"/>
        </w:rPr>
        <w:t>Coriander sativum</w:t>
      </w:r>
      <w:r>
        <w:rPr>
          <w:rFonts w:ascii="Times New Roman" w:eastAsia="Times New Roman" w:hAnsi="Times New Roman" w:cs="Times New Roman"/>
          <w:b/>
          <w:sz w:val="24"/>
          <w:szCs w:val="24"/>
        </w:rPr>
        <w:t xml:space="preserve"> using 1,1-diphenyl-2-picryhydrazyl (DPPH)</w:t>
      </w:r>
    </w:p>
    <w:tbl>
      <w:tblPr>
        <w:tblW w:w="7966" w:type="dxa"/>
        <w:tblBorders>
          <w:top w:val="single" w:sz="4" w:space="0" w:color="7F7F7F"/>
          <w:bottom w:val="single" w:sz="4" w:space="0" w:color="7F7F7F"/>
        </w:tblBorders>
        <w:tblLayout w:type="fixed"/>
        <w:tblLook w:val="04A0" w:firstRow="1" w:lastRow="0" w:firstColumn="1" w:lastColumn="0" w:noHBand="0" w:noVBand="1"/>
      </w:tblPr>
      <w:tblGrid>
        <w:gridCol w:w="2835"/>
        <w:gridCol w:w="2296"/>
        <w:gridCol w:w="2835"/>
      </w:tblGrid>
      <w:tr w:rsidR="00F10F29" w14:paraId="3515F007" w14:textId="77777777">
        <w:trPr>
          <w:trHeight w:val="315"/>
        </w:trPr>
        <w:tc>
          <w:tcPr>
            <w:tcW w:w="2835" w:type="dxa"/>
            <w:vMerge w:val="restart"/>
          </w:tcPr>
          <w:p w14:paraId="4D62C5FE"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(mg/ml)</w:t>
            </w:r>
          </w:p>
        </w:tc>
        <w:tc>
          <w:tcPr>
            <w:tcW w:w="5131" w:type="dxa"/>
            <w:gridSpan w:val="2"/>
          </w:tcPr>
          <w:p w14:paraId="6152806E"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Inhibition (%)</w:t>
            </w:r>
          </w:p>
        </w:tc>
      </w:tr>
      <w:tr w:rsidR="00F10F29" w14:paraId="2833C95C" w14:textId="77777777">
        <w:trPr>
          <w:trHeight w:val="315"/>
        </w:trPr>
        <w:tc>
          <w:tcPr>
            <w:tcW w:w="2835" w:type="dxa"/>
            <w:vMerge/>
          </w:tcPr>
          <w:p w14:paraId="25A5FDE2" w14:textId="77777777" w:rsidR="00F10F29" w:rsidRDefault="00F10F29">
            <w:pPr>
              <w:widowControl w:val="0"/>
              <w:rPr>
                <w:rFonts w:ascii="Times New Roman" w:eastAsia="Times New Roman" w:hAnsi="Times New Roman" w:cs="Times New Roman"/>
                <w:sz w:val="24"/>
                <w:szCs w:val="24"/>
              </w:rPr>
            </w:pPr>
          </w:p>
        </w:tc>
        <w:tc>
          <w:tcPr>
            <w:tcW w:w="2296" w:type="dxa"/>
          </w:tcPr>
          <w:p w14:paraId="6C098990"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835" w:type="dxa"/>
          </w:tcPr>
          <w:p w14:paraId="44EF3793"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40B40E54" w14:textId="77777777">
        <w:trPr>
          <w:trHeight w:val="315"/>
        </w:trPr>
        <w:tc>
          <w:tcPr>
            <w:tcW w:w="2835" w:type="dxa"/>
          </w:tcPr>
          <w:p w14:paraId="65C0A8C9"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96" w:type="dxa"/>
          </w:tcPr>
          <w:p w14:paraId="2B18031C"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60.19 ± 0.54</w:t>
            </w:r>
          </w:p>
        </w:tc>
        <w:tc>
          <w:tcPr>
            <w:tcW w:w="2835" w:type="dxa"/>
          </w:tcPr>
          <w:p w14:paraId="533C05B7"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41.47 ± 0.53</w:t>
            </w:r>
          </w:p>
        </w:tc>
      </w:tr>
      <w:tr w:rsidR="00F10F29" w14:paraId="1098625E" w14:textId="77777777">
        <w:trPr>
          <w:trHeight w:val="315"/>
        </w:trPr>
        <w:tc>
          <w:tcPr>
            <w:tcW w:w="2835" w:type="dxa"/>
          </w:tcPr>
          <w:p w14:paraId="569685FB"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96" w:type="dxa"/>
          </w:tcPr>
          <w:p w14:paraId="679EC360"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74.30 ± 0.71</w:t>
            </w:r>
          </w:p>
        </w:tc>
        <w:tc>
          <w:tcPr>
            <w:tcW w:w="2835" w:type="dxa"/>
          </w:tcPr>
          <w:p w14:paraId="50BA27DE"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45.64 ± 0.10</w:t>
            </w:r>
          </w:p>
        </w:tc>
      </w:tr>
      <w:tr w:rsidR="00F10F29" w14:paraId="30F0E742" w14:textId="77777777">
        <w:trPr>
          <w:trHeight w:val="315"/>
        </w:trPr>
        <w:tc>
          <w:tcPr>
            <w:tcW w:w="2835" w:type="dxa"/>
          </w:tcPr>
          <w:p w14:paraId="41026725"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96" w:type="dxa"/>
          </w:tcPr>
          <w:p w14:paraId="143BDCB9"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77.32 ± 0.47</w:t>
            </w:r>
          </w:p>
        </w:tc>
        <w:tc>
          <w:tcPr>
            <w:tcW w:w="2835" w:type="dxa"/>
          </w:tcPr>
          <w:p w14:paraId="578F565C"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57.74 ± 0.80 </w:t>
            </w:r>
          </w:p>
        </w:tc>
      </w:tr>
      <w:tr w:rsidR="00F10F29" w14:paraId="23C178EB" w14:textId="77777777">
        <w:trPr>
          <w:trHeight w:val="315"/>
        </w:trPr>
        <w:tc>
          <w:tcPr>
            <w:tcW w:w="2835" w:type="dxa"/>
          </w:tcPr>
          <w:p w14:paraId="24E48EAB"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296" w:type="dxa"/>
          </w:tcPr>
          <w:p w14:paraId="6F41F8BB"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84.59 ± 0.62</w:t>
            </w:r>
          </w:p>
        </w:tc>
        <w:tc>
          <w:tcPr>
            <w:tcW w:w="2835" w:type="dxa"/>
          </w:tcPr>
          <w:p w14:paraId="50F00A21"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61.27 ± 1.28</w:t>
            </w:r>
          </w:p>
        </w:tc>
      </w:tr>
      <w:tr w:rsidR="00F10F29" w14:paraId="7DEBC762" w14:textId="77777777">
        <w:trPr>
          <w:trHeight w:val="315"/>
        </w:trPr>
        <w:tc>
          <w:tcPr>
            <w:tcW w:w="2835" w:type="dxa"/>
          </w:tcPr>
          <w:p w14:paraId="50489C8C"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296" w:type="dxa"/>
          </w:tcPr>
          <w:p w14:paraId="0CAA8426"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93.95 ± 0.53</w:t>
            </w:r>
          </w:p>
        </w:tc>
        <w:tc>
          <w:tcPr>
            <w:tcW w:w="2835" w:type="dxa"/>
          </w:tcPr>
          <w:p w14:paraId="049C5EC1"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62.92 ± 0.97</w:t>
            </w:r>
          </w:p>
        </w:tc>
      </w:tr>
    </w:tbl>
    <w:p w14:paraId="594D006C" w14:textId="77777777" w:rsidR="00F10F29" w:rsidRDefault="00C447CF">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IC</w:t>
      </w:r>
      <w:r>
        <w:rPr>
          <w:rFonts w:ascii="Times New Roman" w:eastAsia="Times New Roman" w:hAnsi="Times New Roman" w:cs="Times New Roman"/>
          <w:sz w:val="32"/>
          <w:szCs w:val="36"/>
          <w:vertAlign w:val="subscript"/>
        </w:rPr>
        <w:t>50</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51.85</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50.20</w:t>
      </w:r>
    </w:p>
    <w:p w14:paraId="7A1618F4" w14:textId="77777777" w:rsidR="00F10F29" w:rsidRDefault="00000000">
      <w:pPr>
        <w:spacing w:line="360" w:lineRule="auto"/>
        <w:rPr>
          <w:rFonts w:ascii="Times New Roman" w:eastAsia="Times New Roman" w:hAnsi="Times New Roman" w:cs="Times New Roman"/>
          <w:sz w:val="24"/>
          <w:szCs w:val="24"/>
        </w:rPr>
      </w:pPr>
      <w:r>
        <w:pict w14:anchorId="55D17B05">
          <v:rect id="_x0000_i1025" style="width:0;height:1.5pt" o:hralign="center" o:hrstd="t" o:hr="t" fillcolor="#a0a0a0" stroked="f"/>
        </w:pict>
      </w:r>
    </w:p>
    <w:p w14:paraId="3CC85428" w14:textId="77777777" w:rsidR="00F10F29" w:rsidRDefault="00C447CF">
      <w:pPr>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deviation of triplicate measurements (n = 3)</w:t>
      </w:r>
    </w:p>
    <w:p w14:paraId="6C5164C3" w14:textId="58F6A923" w:rsidR="00F10F29" w:rsidRDefault="003D2338" w:rsidP="003748C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w:t>
      </w:r>
      <w:r w:rsidR="003748CD">
        <w:rPr>
          <w:rFonts w:ascii="Times New Roman" w:eastAsia="Times New Roman" w:hAnsi="Times New Roman" w:cs="Times New Roman"/>
          <w:sz w:val="28"/>
          <w:szCs w:val="28"/>
        </w:rPr>
        <w:t>1.</w:t>
      </w:r>
    </w:p>
    <w:p w14:paraId="09936BB4" w14:textId="77777777" w:rsidR="00F10F29" w:rsidRDefault="00C447CF">
      <w:pPr>
        <w:rPr>
          <w:rFonts w:ascii="Times New Roman" w:eastAsia="Times New Roman" w:hAnsi="Times New Roman" w:cs="Times New Roman"/>
          <w:sz w:val="28"/>
          <w:szCs w:val="28"/>
        </w:rPr>
      </w:pPr>
      <w:r>
        <w:rPr>
          <w:rFonts w:cs="Calibri"/>
          <w:noProof/>
        </w:rPr>
        <w:drawing>
          <wp:inline distT="0" distB="0" distL="0" distR="0" wp14:anchorId="60694E80" wp14:editId="42F55C9E">
            <wp:extent cx="5501005" cy="2743200"/>
            <wp:effectExtent l="0" t="0" r="4445"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2"/>
                    <a:srcRect/>
                    <a:stretch>
                      <a:fillRect/>
                    </a:stretch>
                  </pic:blipFill>
                  <pic:spPr>
                    <a:xfrm>
                      <a:off x="0" y="0"/>
                      <a:ext cx="5501030" cy="2743200"/>
                    </a:xfrm>
                    <a:prstGeom prst="rect">
                      <a:avLst/>
                    </a:prstGeom>
                  </pic:spPr>
                </pic:pic>
              </a:graphicData>
            </a:graphic>
          </wp:inline>
        </w:drawing>
      </w:r>
    </w:p>
    <w:p w14:paraId="77978A5D" w14:textId="77777777" w:rsidR="00F10F29" w:rsidRDefault="00C447CF">
      <w:pPr>
        <w:spacing w:line="360" w:lineRule="auto"/>
        <w:rPr>
          <w:rFonts w:ascii="Times New Roman" w:eastAsia="Times New Roman" w:hAnsi="Times New Roman" w:cs="Times New Roman"/>
          <w:b/>
          <w:sz w:val="28"/>
          <w:szCs w:val="28"/>
        </w:rPr>
      </w:pPr>
      <w:r>
        <w:br w:type="page"/>
      </w:r>
    </w:p>
    <w:p w14:paraId="0BA417E9" w14:textId="77777777" w:rsidR="00F10F29" w:rsidRDefault="00F10F29">
      <w:pPr>
        <w:rPr>
          <w:rFonts w:ascii="Times New Roman" w:hAnsi="Times New Roman" w:cs="Times New Roman"/>
          <w:b/>
          <w:bCs/>
          <w:color w:val="000000"/>
          <w:sz w:val="24"/>
          <w:szCs w:val="24"/>
        </w:rPr>
      </w:pPr>
    </w:p>
    <w:p w14:paraId="3135FE84" w14:textId="77777777" w:rsidR="00F10F29" w:rsidRDefault="00C447CF">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Antioxidant Potentialof Ethanolic Seed Extract of </w:t>
      </w:r>
      <w:r>
        <w:rPr>
          <w:rFonts w:ascii="Times New Roman" w:eastAsia="Times New Roman" w:hAnsi="Times New Roman" w:cs="Times New Roman"/>
          <w:b/>
          <w:i/>
          <w:sz w:val="24"/>
          <w:szCs w:val="24"/>
        </w:rPr>
        <w:t xml:space="preserve">Coriander sativum </w:t>
      </w:r>
      <w:r>
        <w:rPr>
          <w:rFonts w:ascii="Times New Roman" w:eastAsia="Times New Roman" w:hAnsi="Times New Roman" w:cs="Times New Roman"/>
          <w:b/>
          <w:sz w:val="24"/>
          <w:szCs w:val="24"/>
        </w:rPr>
        <w:t>using Ferric Reducing Antioxidant Power (FRAP)</w:t>
      </w:r>
    </w:p>
    <w:tbl>
      <w:tblPr>
        <w:tblW w:w="8363" w:type="dxa"/>
        <w:tblBorders>
          <w:top w:val="single" w:sz="4" w:space="0" w:color="7F7F7F"/>
          <w:bottom w:val="single" w:sz="4" w:space="0" w:color="7F7F7F"/>
        </w:tblBorders>
        <w:tblLayout w:type="fixed"/>
        <w:tblLook w:val="04A0" w:firstRow="1" w:lastRow="0" w:firstColumn="1" w:lastColumn="0" w:noHBand="0" w:noVBand="1"/>
      </w:tblPr>
      <w:tblGrid>
        <w:gridCol w:w="2977"/>
        <w:gridCol w:w="2693"/>
        <w:gridCol w:w="2693"/>
      </w:tblGrid>
      <w:tr w:rsidR="00F10F29" w14:paraId="2CDEDFE2" w14:textId="77777777">
        <w:trPr>
          <w:trHeight w:val="315"/>
        </w:trPr>
        <w:tc>
          <w:tcPr>
            <w:tcW w:w="2977" w:type="dxa"/>
            <w:vMerge w:val="restart"/>
          </w:tcPr>
          <w:p w14:paraId="7F71E29E"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(mg/ml)</w:t>
            </w:r>
          </w:p>
        </w:tc>
        <w:tc>
          <w:tcPr>
            <w:tcW w:w="5386" w:type="dxa"/>
            <w:gridSpan w:val="2"/>
          </w:tcPr>
          <w:p w14:paraId="4F0FD157"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Inhibition (%)</w:t>
            </w:r>
          </w:p>
        </w:tc>
      </w:tr>
      <w:tr w:rsidR="00F10F29" w14:paraId="34CA87A7" w14:textId="77777777">
        <w:trPr>
          <w:trHeight w:val="315"/>
        </w:trPr>
        <w:tc>
          <w:tcPr>
            <w:tcW w:w="2977" w:type="dxa"/>
            <w:vMerge/>
          </w:tcPr>
          <w:p w14:paraId="7D3F9C71" w14:textId="77777777" w:rsidR="00F10F29" w:rsidRDefault="00F10F29">
            <w:pPr>
              <w:widowControl w:val="0"/>
              <w:rPr>
                <w:rFonts w:ascii="Times New Roman" w:eastAsia="Times New Roman" w:hAnsi="Times New Roman" w:cs="Times New Roman"/>
                <w:sz w:val="24"/>
                <w:szCs w:val="24"/>
              </w:rPr>
            </w:pPr>
          </w:p>
        </w:tc>
        <w:tc>
          <w:tcPr>
            <w:tcW w:w="2693" w:type="dxa"/>
          </w:tcPr>
          <w:p w14:paraId="0C6195DD"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693" w:type="dxa"/>
          </w:tcPr>
          <w:p w14:paraId="16BEE7AD"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4ED53961" w14:textId="77777777">
        <w:trPr>
          <w:trHeight w:val="315"/>
        </w:trPr>
        <w:tc>
          <w:tcPr>
            <w:tcW w:w="2977" w:type="dxa"/>
          </w:tcPr>
          <w:p w14:paraId="58C2E729"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3" w:type="dxa"/>
          </w:tcPr>
          <w:p w14:paraId="482AF366"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75.49 ± 0.30</w:t>
            </w:r>
          </w:p>
        </w:tc>
        <w:tc>
          <w:tcPr>
            <w:tcW w:w="2693" w:type="dxa"/>
          </w:tcPr>
          <w:p w14:paraId="32C87249"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73.03 ± 0.11</w:t>
            </w:r>
          </w:p>
        </w:tc>
      </w:tr>
      <w:tr w:rsidR="00F10F29" w14:paraId="5A0D6F87" w14:textId="77777777">
        <w:trPr>
          <w:trHeight w:val="315"/>
        </w:trPr>
        <w:tc>
          <w:tcPr>
            <w:tcW w:w="2977" w:type="dxa"/>
          </w:tcPr>
          <w:p w14:paraId="6507166D"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93" w:type="dxa"/>
          </w:tcPr>
          <w:p w14:paraId="5BF44BC8"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79.30 ± 0.47</w:t>
            </w:r>
          </w:p>
        </w:tc>
        <w:tc>
          <w:tcPr>
            <w:tcW w:w="2693" w:type="dxa"/>
          </w:tcPr>
          <w:p w14:paraId="460C1EFB"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77.74 ± 0.03</w:t>
            </w:r>
          </w:p>
        </w:tc>
      </w:tr>
      <w:tr w:rsidR="00F10F29" w14:paraId="1E9A76BE" w14:textId="77777777">
        <w:trPr>
          <w:trHeight w:val="315"/>
        </w:trPr>
        <w:tc>
          <w:tcPr>
            <w:tcW w:w="2977" w:type="dxa"/>
          </w:tcPr>
          <w:p w14:paraId="507C80E8"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93" w:type="dxa"/>
          </w:tcPr>
          <w:p w14:paraId="536A2F94"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86.67 ± 0.20</w:t>
            </w:r>
          </w:p>
        </w:tc>
        <w:tc>
          <w:tcPr>
            <w:tcW w:w="2693" w:type="dxa"/>
          </w:tcPr>
          <w:p w14:paraId="2BB01ECD"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84.61 ± 0.06</w:t>
            </w:r>
          </w:p>
        </w:tc>
      </w:tr>
      <w:tr w:rsidR="00F10F29" w14:paraId="69A70D42" w14:textId="77777777">
        <w:trPr>
          <w:trHeight w:val="315"/>
        </w:trPr>
        <w:tc>
          <w:tcPr>
            <w:tcW w:w="2977" w:type="dxa"/>
          </w:tcPr>
          <w:p w14:paraId="26CA0974"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693" w:type="dxa"/>
          </w:tcPr>
          <w:p w14:paraId="2FD963FC"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91.48 ± 0.10</w:t>
            </w:r>
          </w:p>
        </w:tc>
        <w:tc>
          <w:tcPr>
            <w:tcW w:w="2693" w:type="dxa"/>
          </w:tcPr>
          <w:p w14:paraId="41DD80E8"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84.43 ± 0.19</w:t>
            </w:r>
          </w:p>
        </w:tc>
      </w:tr>
      <w:tr w:rsidR="00F10F29" w14:paraId="06E514FC" w14:textId="77777777">
        <w:trPr>
          <w:trHeight w:val="315"/>
        </w:trPr>
        <w:tc>
          <w:tcPr>
            <w:tcW w:w="2977" w:type="dxa"/>
          </w:tcPr>
          <w:p w14:paraId="48B49A08"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93" w:type="dxa"/>
          </w:tcPr>
          <w:p w14:paraId="538604D0"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92.43 ± 0.03</w:t>
            </w:r>
          </w:p>
        </w:tc>
        <w:tc>
          <w:tcPr>
            <w:tcW w:w="2693" w:type="dxa"/>
          </w:tcPr>
          <w:p w14:paraId="57738C95"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89.06 ± 0.35</w:t>
            </w:r>
          </w:p>
        </w:tc>
      </w:tr>
    </w:tbl>
    <w:p w14:paraId="1D62CDC2" w14:textId="77777777" w:rsidR="00F10F29" w:rsidRDefault="00C447CF">
      <w:pPr>
        <w:spacing w:line="360" w:lineRule="auto"/>
        <w:rPr>
          <w:rFonts w:ascii="Times New Roman" w:eastAsia="Times New Roman" w:hAnsi="Times New Roman" w:cs="Times New Roman"/>
          <w:b/>
          <w:szCs w:val="24"/>
        </w:rPr>
      </w:pPr>
      <w:r>
        <w:rPr>
          <w:rFonts w:ascii="Times New Roman" w:eastAsia="Times New Roman" w:hAnsi="Times New Roman" w:cs="Times New Roman"/>
          <w:sz w:val="24"/>
          <w:szCs w:val="28"/>
        </w:rPr>
        <w:t>IC</w:t>
      </w:r>
      <w:r>
        <w:rPr>
          <w:rFonts w:ascii="Times New Roman" w:eastAsia="Times New Roman" w:hAnsi="Times New Roman" w:cs="Times New Roman"/>
          <w:sz w:val="32"/>
          <w:szCs w:val="36"/>
          <w:vertAlign w:val="subscript"/>
        </w:rPr>
        <w:t>50</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51.58</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50.28</w:t>
      </w:r>
      <w:r>
        <w:rPr>
          <w:rFonts w:ascii="Times New Roman" w:eastAsia="Times New Roman" w:hAnsi="Times New Roman" w:cs="Times New Roman"/>
          <w:sz w:val="24"/>
          <w:szCs w:val="28"/>
        </w:rPr>
        <w:tab/>
      </w:r>
    </w:p>
    <w:p w14:paraId="727C4684" w14:textId="77777777" w:rsidR="00F10F29" w:rsidRDefault="00000000">
      <w:pPr>
        <w:rPr>
          <w:rFonts w:ascii="Times New Roman" w:eastAsia="Times New Roman" w:hAnsi="Times New Roman" w:cs="Times New Roman"/>
          <w:sz w:val="24"/>
          <w:szCs w:val="24"/>
        </w:rPr>
      </w:pPr>
      <w:r>
        <w:pict w14:anchorId="59EEE440">
          <v:rect id="_x0000_i1026" style="width:0;height:1.5pt" o:hralign="center" o:hrstd="t" o:hr="t" fillcolor="#a0a0a0" stroked="f"/>
        </w:pict>
      </w:r>
    </w:p>
    <w:p w14:paraId="24AA3B41" w14:textId="77777777" w:rsidR="00F10F29" w:rsidRDefault="00C447CF">
      <w:pPr>
        <w:rPr>
          <w:rFonts w:ascii="Times New Roman" w:eastAsia="Times New Roman" w:hAnsi="Times New Roman" w:cs="Times New Roman"/>
          <w:b/>
          <w:sz w:val="28"/>
          <w:szCs w:val="28"/>
        </w:rPr>
      </w:pPr>
      <w:r>
        <w:rPr>
          <w:rFonts w:ascii="Times New Roman" w:eastAsia="Times New Roman" w:hAnsi="Times New Roman" w:cs="Times New Roman"/>
          <w:sz w:val="24"/>
          <w:szCs w:val="24"/>
        </w:rPr>
        <w:t>Values are expressed as mean ± standard deviation of triplicate measurements (n = 3)</w:t>
      </w:r>
    </w:p>
    <w:p w14:paraId="31AFE57C" w14:textId="79BF6133" w:rsidR="00F10F29" w:rsidRDefault="003D2338" w:rsidP="003748C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w:t>
      </w:r>
      <w:r w:rsidR="003748CD">
        <w:rPr>
          <w:rFonts w:ascii="Times New Roman" w:eastAsia="Times New Roman" w:hAnsi="Times New Roman" w:cs="Times New Roman"/>
          <w:b/>
          <w:sz w:val="28"/>
          <w:szCs w:val="28"/>
        </w:rPr>
        <w:t xml:space="preserve"> 2.</w:t>
      </w:r>
    </w:p>
    <w:p w14:paraId="44039AB7" w14:textId="77777777" w:rsidR="00F10F29" w:rsidRDefault="00C447CF">
      <w:pPr>
        <w:rPr>
          <w:rFonts w:ascii="Times New Roman" w:hAnsi="Times New Roman" w:cs="Times New Roman"/>
          <w:b/>
          <w:bCs/>
          <w:color w:val="000000"/>
          <w:sz w:val="24"/>
          <w:szCs w:val="24"/>
        </w:rPr>
      </w:pPr>
      <w:r>
        <w:rPr>
          <w:rFonts w:cs="Calibri"/>
          <w:noProof/>
        </w:rPr>
        <w:drawing>
          <wp:inline distT="0" distB="0" distL="0" distR="0" wp14:anchorId="3CB756B3" wp14:editId="6085D6A2">
            <wp:extent cx="5756910" cy="2743200"/>
            <wp:effectExtent l="0" t="0" r="1524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3"/>
                    <a:srcRect/>
                    <a:stretch>
                      <a:fillRect/>
                    </a:stretch>
                  </pic:blipFill>
                  <pic:spPr>
                    <a:xfrm>
                      <a:off x="0" y="0"/>
                      <a:ext cx="5757062" cy="2743200"/>
                    </a:xfrm>
                    <a:prstGeom prst="rect">
                      <a:avLst/>
                    </a:prstGeom>
                  </pic:spPr>
                </pic:pic>
              </a:graphicData>
            </a:graphic>
          </wp:inline>
        </w:drawing>
      </w:r>
      <w:r>
        <w:rPr>
          <w:rFonts w:ascii="Times New Roman" w:hAnsi="Times New Roman" w:cs="Times New Roman"/>
          <w:b/>
          <w:bCs/>
          <w:color w:val="000000"/>
          <w:sz w:val="24"/>
          <w:szCs w:val="24"/>
        </w:rPr>
        <w:br w:type="page"/>
      </w:r>
    </w:p>
    <w:p w14:paraId="5953420F" w14:textId="77777777" w:rsidR="00F10F29" w:rsidRDefault="00F10F29">
      <w:pPr>
        <w:rPr>
          <w:rFonts w:ascii="Times New Roman" w:hAnsi="Times New Roman" w:cs="Times New Roman"/>
          <w:b/>
          <w:bCs/>
          <w:color w:val="000000"/>
          <w:sz w:val="24"/>
          <w:szCs w:val="24"/>
        </w:rPr>
      </w:pPr>
    </w:p>
    <w:p w14:paraId="6A1A22A5" w14:textId="77777777" w:rsidR="00F10F29" w:rsidRDefault="00C447CF">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Antioxidant Potential of Ethanolic Seed Extracts of </w:t>
      </w:r>
      <w:r>
        <w:rPr>
          <w:rFonts w:ascii="Times New Roman" w:eastAsia="Times New Roman" w:hAnsi="Times New Roman" w:cs="Times New Roman"/>
          <w:b/>
          <w:i/>
          <w:sz w:val="24"/>
          <w:szCs w:val="24"/>
        </w:rPr>
        <w:t>Coriander sativum</w:t>
      </w:r>
      <w:r>
        <w:rPr>
          <w:rFonts w:ascii="Times New Roman" w:eastAsia="Times New Roman" w:hAnsi="Times New Roman" w:cs="Times New Roman"/>
          <w:b/>
          <w:sz w:val="24"/>
          <w:szCs w:val="24"/>
        </w:rPr>
        <w:t xml:space="preserve"> using Thiobarbituric Acid Reactive Substances (TBARS)</w:t>
      </w:r>
    </w:p>
    <w:tbl>
      <w:tblPr>
        <w:tblStyle w:val="LightShading"/>
        <w:tblW w:w="7961" w:type="dxa"/>
        <w:tblLayout w:type="fixed"/>
        <w:tblLook w:val="04A0" w:firstRow="1" w:lastRow="0" w:firstColumn="1" w:lastColumn="0" w:noHBand="0" w:noVBand="1"/>
      </w:tblPr>
      <w:tblGrid>
        <w:gridCol w:w="2830"/>
        <w:gridCol w:w="2437"/>
        <w:gridCol w:w="2694"/>
      </w:tblGrid>
      <w:tr w:rsidR="00F10F29" w14:paraId="49DBA59D" w14:textId="77777777" w:rsidTr="00F10F2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7B0150C"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Concentrations (mg/ml)</w:t>
            </w:r>
          </w:p>
        </w:tc>
        <w:tc>
          <w:tcPr>
            <w:tcW w:w="5131" w:type="dxa"/>
            <w:gridSpan w:val="2"/>
          </w:tcPr>
          <w:p w14:paraId="09241F91" w14:textId="77777777" w:rsidR="00F10F29" w:rsidRDefault="00C447C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Percentage Inhibition (%)</w:t>
            </w:r>
          </w:p>
        </w:tc>
      </w:tr>
      <w:tr w:rsidR="00F10F29" w14:paraId="349511B7"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vMerge/>
          </w:tcPr>
          <w:p w14:paraId="0A6D4AC2" w14:textId="77777777" w:rsidR="00F10F29" w:rsidRDefault="00F10F29">
            <w:pPr>
              <w:widowControl w:val="0"/>
              <w:spacing w:line="360" w:lineRule="auto"/>
              <w:rPr>
                <w:rFonts w:ascii="Times New Roman" w:eastAsia="Times New Roman" w:hAnsi="Times New Roman" w:cs="Times New Roman"/>
                <w:b w:val="0"/>
                <w:bCs w:val="0"/>
                <w:sz w:val="24"/>
                <w:szCs w:val="24"/>
              </w:rPr>
            </w:pPr>
          </w:p>
        </w:tc>
        <w:tc>
          <w:tcPr>
            <w:tcW w:w="2437" w:type="dxa"/>
          </w:tcPr>
          <w:p w14:paraId="1DD9BC56"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694" w:type="dxa"/>
          </w:tcPr>
          <w:p w14:paraId="451AEA23"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665AD93C"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55D55A84"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20</w:t>
            </w:r>
          </w:p>
        </w:tc>
        <w:tc>
          <w:tcPr>
            <w:tcW w:w="2437" w:type="dxa"/>
          </w:tcPr>
          <w:p w14:paraId="74FE6D44"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55.53 ± 0.49</w:t>
            </w:r>
          </w:p>
        </w:tc>
        <w:tc>
          <w:tcPr>
            <w:tcW w:w="2694" w:type="dxa"/>
          </w:tcPr>
          <w:p w14:paraId="5FB2B872"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49.14 ± 0.12</w:t>
            </w:r>
          </w:p>
        </w:tc>
      </w:tr>
      <w:tr w:rsidR="00F10F29" w14:paraId="0E060A54"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464CBB3F"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40</w:t>
            </w:r>
          </w:p>
        </w:tc>
        <w:tc>
          <w:tcPr>
            <w:tcW w:w="2437" w:type="dxa"/>
          </w:tcPr>
          <w:p w14:paraId="08B841AC"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61.40 ± 0.37</w:t>
            </w:r>
          </w:p>
        </w:tc>
        <w:tc>
          <w:tcPr>
            <w:tcW w:w="2694" w:type="dxa"/>
          </w:tcPr>
          <w:p w14:paraId="1FBC1889"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55.87 ± 0.32</w:t>
            </w:r>
          </w:p>
        </w:tc>
      </w:tr>
      <w:tr w:rsidR="00F10F29" w14:paraId="60F15BC8"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18C6E1BB"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60</w:t>
            </w:r>
          </w:p>
        </w:tc>
        <w:tc>
          <w:tcPr>
            <w:tcW w:w="2437" w:type="dxa"/>
          </w:tcPr>
          <w:p w14:paraId="20CE72AA"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68.22 ± 0.44</w:t>
            </w:r>
          </w:p>
        </w:tc>
        <w:tc>
          <w:tcPr>
            <w:tcW w:w="2694" w:type="dxa"/>
          </w:tcPr>
          <w:p w14:paraId="2B11B249"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64.16 ± 0.24</w:t>
            </w:r>
          </w:p>
        </w:tc>
      </w:tr>
      <w:tr w:rsidR="00F10F29" w14:paraId="46B160C7"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265AE984"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80</w:t>
            </w:r>
          </w:p>
        </w:tc>
        <w:tc>
          <w:tcPr>
            <w:tcW w:w="2437" w:type="dxa"/>
          </w:tcPr>
          <w:p w14:paraId="08BD28F9"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79.45 ± 0.32</w:t>
            </w:r>
          </w:p>
        </w:tc>
        <w:tc>
          <w:tcPr>
            <w:tcW w:w="2694" w:type="dxa"/>
          </w:tcPr>
          <w:p w14:paraId="5BD99EE3"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69.43 ± 0.42</w:t>
            </w:r>
          </w:p>
        </w:tc>
      </w:tr>
      <w:tr w:rsidR="00F10F29" w14:paraId="0108249A"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1DDA84DE"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100</w:t>
            </w:r>
          </w:p>
        </w:tc>
        <w:tc>
          <w:tcPr>
            <w:tcW w:w="2437" w:type="dxa"/>
          </w:tcPr>
          <w:p w14:paraId="6327F291"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90.59 ± 0.44</w:t>
            </w:r>
          </w:p>
        </w:tc>
        <w:tc>
          <w:tcPr>
            <w:tcW w:w="2694" w:type="dxa"/>
          </w:tcPr>
          <w:p w14:paraId="0E918E2E"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76.08 ± 0.24</w:t>
            </w:r>
          </w:p>
        </w:tc>
      </w:tr>
      <w:tr w:rsidR="00F10F29" w14:paraId="51E4E0D7"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3070C9AA"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IC</w:t>
            </w:r>
            <w:r>
              <w:rPr>
                <w:rFonts w:ascii="Times New Roman" w:eastAsia="Times New Roman" w:hAnsi="Times New Roman" w:cs="Times New Roman"/>
                <w:sz w:val="24"/>
                <w:szCs w:val="24"/>
                <w:vertAlign w:val="subscript"/>
              </w:rPr>
              <w:t>50</w:t>
            </w:r>
          </w:p>
        </w:tc>
        <w:tc>
          <w:tcPr>
            <w:tcW w:w="2437" w:type="dxa"/>
          </w:tcPr>
          <w:p w14:paraId="71F54E8E"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65.48</w:t>
            </w:r>
          </w:p>
        </w:tc>
        <w:tc>
          <w:tcPr>
            <w:tcW w:w="2694" w:type="dxa"/>
          </w:tcPr>
          <w:p w14:paraId="6AD39415"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55.44</w:t>
            </w:r>
          </w:p>
        </w:tc>
      </w:tr>
    </w:tbl>
    <w:p w14:paraId="549271A5" w14:textId="77777777" w:rsidR="00F10F29" w:rsidRDefault="00C447CF">
      <w:pPr>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deviation of triplicate measurements (n = 3)</w:t>
      </w:r>
    </w:p>
    <w:p w14:paraId="111EA31B" w14:textId="5C5A1BA9" w:rsidR="00F10F29" w:rsidRDefault="003D2338" w:rsidP="003748C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w:t>
      </w:r>
      <w:r w:rsidR="003748CD">
        <w:rPr>
          <w:rFonts w:ascii="Times New Roman" w:eastAsia="Times New Roman" w:hAnsi="Times New Roman" w:cs="Times New Roman"/>
          <w:sz w:val="28"/>
          <w:szCs w:val="28"/>
        </w:rPr>
        <w:t xml:space="preserve"> 3.</w:t>
      </w:r>
    </w:p>
    <w:p w14:paraId="5F640651" w14:textId="77777777" w:rsidR="00F10F29" w:rsidRDefault="00C447CF">
      <w:pPr>
        <w:rPr>
          <w:rFonts w:ascii="Times New Roman" w:eastAsia="Times New Roman" w:hAnsi="Times New Roman" w:cs="Times New Roman"/>
          <w:sz w:val="28"/>
          <w:szCs w:val="28"/>
        </w:rPr>
      </w:pPr>
      <w:r>
        <w:rPr>
          <w:rFonts w:cs="Calibri"/>
          <w:noProof/>
        </w:rPr>
        <w:drawing>
          <wp:inline distT="0" distB="0" distL="0" distR="0" wp14:anchorId="0987FB3E" wp14:editId="40BE2CB3">
            <wp:extent cx="5057775" cy="2743200"/>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4"/>
                    <a:srcRect/>
                    <a:stretch>
                      <a:fillRect/>
                    </a:stretch>
                  </pic:blipFill>
                  <pic:spPr>
                    <a:xfrm>
                      <a:off x="0" y="0"/>
                      <a:ext cx="5057775" cy="2743200"/>
                    </a:xfrm>
                    <a:prstGeom prst="rect">
                      <a:avLst/>
                    </a:prstGeom>
                  </pic:spPr>
                </pic:pic>
              </a:graphicData>
            </a:graphic>
          </wp:inline>
        </w:drawing>
      </w:r>
    </w:p>
    <w:p w14:paraId="1B534485" w14:textId="77777777"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647855CA" w14:textId="77777777" w:rsidR="00F10F29" w:rsidRDefault="00F10F29">
      <w:pPr>
        <w:rPr>
          <w:rFonts w:ascii="Times New Roman" w:hAnsi="Times New Roman" w:cs="Times New Roman"/>
          <w:b/>
          <w:bCs/>
          <w:color w:val="000000"/>
          <w:sz w:val="24"/>
          <w:szCs w:val="24"/>
        </w:rPr>
      </w:pPr>
    </w:p>
    <w:p w14:paraId="77801E6A" w14:textId="77777777" w:rsidR="00F10F29" w:rsidRDefault="00C447CF">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5: Antimicrobial Activity (MIC and MBC) of Ethanolic Seed Extract of </w:t>
      </w:r>
      <w:r>
        <w:rPr>
          <w:rFonts w:ascii="Times New Roman" w:eastAsia="Times New Roman" w:hAnsi="Times New Roman" w:cs="Times New Roman"/>
          <w:b/>
          <w:i/>
          <w:sz w:val="24"/>
          <w:szCs w:val="24"/>
        </w:rPr>
        <w:t xml:space="preserve">Coriander sativum </w:t>
      </w:r>
      <w:r>
        <w:rPr>
          <w:rFonts w:ascii="Times New Roman" w:eastAsia="Times New Roman" w:hAnsi="Times New Roman" w:cs="Times New Roman"/>
          <w:b/>
          <w:sz w:val="24"/>
          <w:szCs w:val="24"/>
        </w:rPr>
        <w:t>on Selected Microorganisms</w:t>
      </w:r>
    </w:p>
    <w:tbl>
      <w:tblPr>
        <w:tblStyle w:val="LightShading"/>
        <w:tblW w:w="7780" w:type="dxa"/>
        <w:tblLayout w:type="fixed"/>
        <w:tblLook w:val="04A0" w:firstRow="1" w:lastRow="0" w:firstColumn="1" w:lastColumn="0" w:noHBand="0" w:noVBand="1"/>
      </w:tblPr>
      <w:tblGrid>
        <w:gridCol w:w="1863"/>
        <w:gridCol w:w="775"/>
        <w:gridCol w:w="896"/>
        <w:gridCol w:w="928"/>
        <w:gridCol w:w="929"/>
        <w:gridCol w:w="973"/>
        <w:gridCol w:w="44"/>
        <w:gridCol w:w="1350"/>
        <w:gridCol w:w="22"/>
      </w:tblGrid>
      <w:tr w:rsidR="00F10F29" w14:paraId="0904DFD5" w14:textId="77777777" w:rsidTr="00F10F29">
        <w:trPr>
          <w:gridAfter w:val="1"/>
          <w:cnfStyle w:val="100000000000" w:firstRow="1" w:lastRow="0" w:firstColumn="0" w:lastColumn="0" w:oddVBand="0" w:evenVBand="0" w:oddHBand="0" w:evenHBand="0" w:firstRowFirstColumn="0" w:firstRowLastColumn="0" w:lastRowFirstColumn="0" w:lastRowLastColumn="0"/>
          <w:wAfter w:w="22" w:type="dxa"/>
        </w:trPr>
        <w:tc>
          <w:tcPr>
            <w:cnfStyle w:val="001000000000" w:firstRow="0" w:lastRow="0" w:firstColumn="1" w:lastColumn="0" w:oddVBand="0" w:evenVBand="0" w:oddHBand="0" w:evenHBand="0" w:firstRowFirstColumn="0" w:firstRowLastColumn="0" w:lastRowFirstColumn="0" w:lastRowLastColumn="0"/>
            <w:tcW w:w="1863" w:type="dxa"/>
            <w:vMerge w:val="restart"/>
          </w:tcPr>
          <w:p w14:paraId="091BC844" w14:textId="77777777" w:rsidR="00F10F29" w:rsidRDefault="00C447CF">
            <w:pPr>
              <w:spacing w:line="360" w:lineRule="auto"/>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Isolates</w:t>
            </w:r>
          </w:p>
        </w:tc>
        <w:tc>
          <w:tcPr>
            <w:tcW w:w="4545" w:type="dxa"/>
            <w:gridSpan w:val="6"/>
          </w:tcPr>
          <w:p w14:paraId="09DE80A5" w14:textId="77777777" w:rsidR="00F10F29" w:rsidRDefault="00C447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MIC Zone of Inhibition (mm)</w:t>
            </w:r>
          </w:p>
        </w:tc>
        <w:tc>
          <w:tcPr>
            <w:tcW w:w="1350" w:type="dxa"/>
          </w:tcPr>
          <w:p w14:paraId="37F9E64D" w14:textId="77777777" w:rsidR="00F10F29" w:rsidRDefault="00C447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MBC</w:t>
            </w:r>
          </w:p>
        </w:tc>
      </w:tr>
      <w:tr w:rsidR="00F10F29" w14:paraId="3066E8C2" w14:textId="77777777" w:rsidTr="00F10F29">
        <w:tc>
          <w:tcPr>
            <w:cnfStyle w:val="001000000000" w:firstRow="0" w:lastRow="0" w:firstColumn="1" w:lastColumn="0" w:oddVBand="0" w:evenVBand="0" w:oddHBand="0" w:evenHBand="0" w:firstRowFirstColumn="0" w:firstRowLastColumn="0" w:lastRowFirstColumn="0" w:lastRowLastColumn="0"/>
            <w:tcW w:w="1863" w:type="dxa"/>
            <w:vMerge/>
          </w:tcPr>
          <w:p w14:paraId="1B0BA946" w14:textId="77777777" w:rsidR="00F10F29" w:rsidRDefault="00F10F29">
            <w:pPr>
              <w:widowControl w:val="0"/>
              <w:spacing w:line="360" w:lineRule="auto"/>
              <w:rPr>
                <w:rFonts w:ascii="Times New Roman" w:eastAsiaTheme="minorEastAsia" w:hAnsi="Times New Roman" w:cs="Times New Roman"/>
                <w:sz w:val="24"/>
                <w:szCs w:val="24"/>
              </w:rPr>
            </w:pPr>
          </w:p>
        </w:tc>
        <w:tc>
          <w:tcPr>
            <w:tcW w:w="775" w:type="dxa"/>
          </w:tcPr>
          <w:p w14:paraId="2969B36E"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896" w:type="dxa"/>
          </w:tcPr>
          <w:p w14:paraId="571543FF"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928" w:type="dxa"/>
          </w:tcPr>
          <w:p w14:paraId="65DE80F3"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w:t>
            </w:r>
          </w:p>
        </w:tc>
        <w:tc>
          <w:tcPr>
            <w:tcW w:w="929" w:type="dxa"/>
          </w:tcPr>
          <w:p w14:paraId="2405D906"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6.25</w:t>
            </w:r>
          </w:p>
        </w:tc>
        <w:tc>
          <w:tcPr>
            <w:tcW w:w="973" w:type="dxa"/>
          </w:tcPr>
          <w:p w14:paraId="0F63807E"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3.125</w:t>
            </w:r>
          </w:p>
        </w:tc>
        <w:tc>
          <w:tcPr>
            <w:tcW w:w="1416" w:type="dxa"/>
            <w:gridSpan w:val="3"/>
          </w:tcPr>
          <w:p w14:paraId="774515EC" w14:textId="77777777" w:rsidR="00F10F29" w:rsidRDefault="00F10F29">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F10F29" w14:paraId="27CE17F1" w14:textId="77777777" w:rsidTr="00F10F29">
        <w:tc>
          <w:tcPr>
            <w:cnfStyle w:val="001000000000" w:firstRow="0" w:lastRow="0" w:firstColumn="1" w:lastColumn="0" w:oddVBand="0" w:evenVBand="0" w:oddHBand="0" w:evenHBand="0" w:firstRowFirstColumn="0" w:firstRowLastColumn="0" w:lastRowFirstColumn="0" w:lastRowLastColumn="0"/>
            <w:tcW w:w="1863" w:type="dxa"/>
          </w:tcPr>
          <w:p w14:paraId="76FC3536" w14:textId="77777777" w:rsidR="00F10F29" w:rsidRDefault="00C447CF">
            <w:pPr>
              <w:spacing w:line="36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Escherichia coli</w:t>
            </w:r>
          </w:p>
        </w:tc>
        <w:tc>
          <w:tcPr>
            <w:tcW w:w="775" w:type="dxa"/>
          </w:tcPr>
          <w:p w14:paraId="4492578C"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96" w:type="dxa"/>
          </w:tcPr>
          <w:p w14:paraId="3D35644F"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8" w:type="dxa"/>
          </w:tcPr>
          <w:p w14:paraId="44560B5B"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9" w:type="dxa"/>
          </w:tcPr>
          <w:p w14:paraId="33FE8809"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73" w:type="dxa"/>
          </w:tcPr>
          <w:p w14:paraId="46B5A347"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6" w:type="dxa"/>
            <w:gridSpan w:val="3"/>
          </w:tcPr>
          <w:p w14:paraId="4145A4BF"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r w:rsidR="00F10F29" w14:paraId="7B1ECCE1" w14:textId="77777777" w:rsidTr="00F10F29">
        <w:trPr>
          <w:trHeight w:val="536"/>
        </w:trPr>
        <w:tc>
          <w:tcPr>
            <w:cnfStyle w:val="001000000000" w:firstRow="0" w:lastRow="0" w:firstColumn="1" w:lastColumn="0" w:oddVBand="0" w:evenVBand="0" w:oddHBand="0" w:evenHBand="0" w:firstRowFirstColumn="0" w:firstRowLastColumn="0" w:lastRowFirstColumn="0" w:lastRowLastColumn="0"/>
            <w:tcW w:w="1863" w:type="dxa"/>
          </w:tcPr>
          <w:p w14:paraId="28794940" w14:textId="77777777" w:rsidR="00F10F29" w:rsidRDefault="00C447CF">
            <w:pPr>
              <w:spacing w:line="36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K. pneumoniae </w:t>
            </w:r>
          </w:p>
        </w:tc>
        <w:tc>
          <w:tcPr>
            <w:tcW w:w="775" w:type="dxa"/>
          </w:tcPr>
          <w:p w14:paraId="4FFBE7C7"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96" w:type="dxa"/>
          </w:tcPr>
          <w:p w14:paraId="0DF79ABB"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8" w:type="dxa"/>
          </w:tcPr>
          <w:p w14:paraId="6EF7BED0"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9" w:type="dxa"/>
          </w:tcPr>
          <w:p w14:paraId="31602B52"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73" w:type="dxa"/>
          </w:tcPr>
          <w:p w14:paraId="516AC912"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6" w:type="dxa"/>
            <w:gridSpan w:val="3"/>
          </w:tcPr>
          <w:p w14:paraId="08B0A10B"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bl>
    <w:p w14:paraId="67A6C22E" w14:textId="77777777" w:rsidR="00F10F29" w:rsidRDefault="00F10F29">
      <w:pPr>
        <w:rPr>
          <w:rFonts w:ascii="Times New Roman" w:eastAsia="Times New Roman" w:hAnsi="Times New Roman" w:cs="Times New Roman"/>
          <w:sz w:val="24"/>
          <w:szCs w:val="24"/>
        </w:rPr>
      </w:pPr>
    </w:p>
    <w:p w14:paraId="03745507" w14:textId="77777777" w:rsidR="00F10F29" w:rsidRDefault="00C447CF">
      <w:pPr>
        <w:spacing w:line="360" w:lineRule="auto"/>
        <w:rPr>
          <w:rFonts w:ascii="Times New Roman" w:eastAsia="Times New Roman" w:hAnsi="Times New Roman" w:cs="Times New Roman"/>
          <w:sz w:val="24"/>
          <w:szCs w:val="24"/>
        </w:rPr>
      </w:pPr>
      <w:bookmarkStart w:id="10" w:name="_gjdgxs" w:colFirst="0" w:colLast="0"/>
      <w:bookmarkEnd w:id="10"/>
      <w:r>
        <w:rPr>
          <w:rFonts w:ascii="Times New Roman" w:eastAsia="Times New Roman" w:hAnsi="Times New Roman" w:cs="Times New Roman"/>
          <w:sz w:val="24"/>
          <w:szCs w:val="24"/>
        </w:rPr>
        <w:t xml:space="preserve">Keys: </w:t>
      </w:r>
      <w:r>
        <w:rPr>
          <w:rFonts w:ascii="Times New Roman" w:eastAsia="Times New Roman" w:hAnsi="Times New Roman" w:cs="Times New Roman"/>
          <w:sz w:val="24"/>
          <w:szCs w:val="24"/>
        </w:rPr>
        <w:tab/>
        <w:t>mm = millimeter</w:t>
      </w:r>
    </w:p>
    <w:p w14:paraId="20EE99C1"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Activity</w:t>
      </w:r>
    </w:p>
    <w:p w14:paraId="7C8D3B08" w14:textId="77777777" w:rsidR="00F10F29" w:rsidRDefault="00C447CF">
      <w:pPr>
        <w:numPr>
          <w:ilvl w:val="2"/>
          <w:numId w:val="1"/>
        </w:numPr>
        <w:spacing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activity (no zones of inhibition)</w:t>
      </w:r>
    </w:p>
    <w:p w14:paraId="511E8B68" w14:textId="77777777" w:rsidR="00F10F29" w:rsidRDefault="00C447CF">
      <w:pPr>
        <w:spacing w:line="360" w:lineRule="auto"/>
        <w:ind w:left="774"/>
        <w:rPr>
          <w:rFonts w:ascii="Times New Roman" w:eastAsia="Times New Roman" w:hAnsi="Times New Roman" w:cs="Times New Roman"/>
          <w:sz w:val="28"/>
          <w:szCs w:val="28"/>
        </w:rPr>
      </w:pPr>
      <w:r>
        <w:rPr>
          <w:rFonts w:ascii="Times New Roman" w:eastAsia="Times New Roman" w:hAnsi="Times New Roman" w:cs="Times New Roman"/>
          <w:sz w:val="24"/>
          <w:szCs w:val="24"/>
        </w:rPr>
        <w:t>Standard Control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Chloramphenicol</w:t>
      </w:r>
    </w:p>
    <w:p w14:paraId="1BD6E508" w14:textId="77777777"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1E1D2BFD" w14:textId="77777777" w:rsidR="00F10F29" w:rsidRDefault="00C447CF">
      <w:pPr>
        <w:pStyle w:val="NormalWeb"/>
        <w:spacing w:before="0" w:beforeAutospacing="0" w:line="360" w:lineRule="auto"/>
        <w:rPr>
          <w:b/>
        </w:rPr>
      </w:pPr>
      <w:r>
        <w:rPr>
          <w:b/>
        </w:rPr>
        <w:lastRenderedPageBreak/>
        <w:t xml:space="preserve">Antimicrobial Activity (MIC and MBC) of Ethanolic Seed Extract of </w:t>
      </w:r>
      <w:r>
        <w:rPr>
          <w:b/>
          <w:i/>
        </w:rPr>
        <w:t>Coriander sativum</w:t>
      </w:r>
      <w:r>
        <w:rPr>
          <w:b/>
        </w:rPr>
        <w:t xml:space="preserve"> on Selected Microorganisms</w:t>
      </w:r>
    </w:p>
    <w:p w14:paraId="602D58B5" w14:textId="77777777" w:rsidR="00F10F29" w:rsidRDefault="00C447CF">
      <w:pPr>
        <w:pStyle w:val="NormalWeb"/>
        <w:spacing w:before="0" w:beforeAutospacing="0" w:line="360" w:lineRule="auto"/>
      </w:pPr>
      <w:r>
        <w:t xml:space="preserve">The antimicrobial activity of the ethanolic seed extract of </w:t>
      </w:r>
      <w:r>
        <w:rPr>
          <w:i/>
        </w:rPr>
        <w:t>Coriandrum sativum</w:t>
      </w:r>
      <w:r>
        <w:t xml:space="preserve"> was assessed against </w:t>
      </w:r>
      <w:r>
        <w:rPr>
          <w:i/>
        </w:rPr>
        <w:t>Escherichia coli</w:t>
      </w:r>
      <w:r>
        <w:t xml:space="preserve"> and </w:t>
      </w:r>
      <w:r>
        <w:rPr>
          <w:i/>
        </w:rPr>
        <w:t>Klebsiella pneumoniae</w:t>
      </w:r>
      <w:r>
        <w:t xml:space="preserve"> using minimum inhibitory concentration (MIC) and minimum bactericidal concentration (MBC) tests. The results indicate that the extract exhibits selective antimicrobial activity at higher concentrations.</w:t>
      </w:r>
    </w:p>
    <w:p w14:paraId="46B102C0" w14:textId="77777777" w:rsidR="00F10F29" w:rsidRDefault="00C447CF">
      <w:pPr>
        <w:pStyle w:val="NormalWeb"/>
        <w:spacing w:before="0" w:beforeAutospacing="0" w:line="360" w:lineRule="auto"/>
      </w:pPr>
      <w:r>
        <w:t xml:space="preserve">For </w:t>
      </w:r>
      <w:r>
        <w:rPr>
          <w:i/>
        </w:rPr>
        <w:t>Escherichia coli</w:t>
      </w:r>
      <w:r>
        <w:t xml:space="preserve">, inhibition was observed at the highest concentration of 50 mg/mL, while no activity was detected at lower concentrations (25 mg/mL and below). The minimum bactericidal concentration (MBC) for </w:t>
      </w:r>
      <w:r>
        <w:rPr>
          <w:i/>
        </w:rPr>
        <w:t>E. coli</w:t>
      </w:r>
      <w:r>
        <w:t xml:space="preserve"> was determined to be 50 mg/mL, indicating that the extract can inhibit growth but requires this concentration to have a bactericidal effect.</w:t>
      </w:r>
    </w:p>
    <w:p w14:paraId="0FC36847" w14:textId="77777777" w:rsidR="00F10F29" w:rsidRDefault="00C447CF">
      <w:pPr>
        <w:pStyle w:val="NormalWeb"/>
        <w:spacing w:before="0" w:beforeAutospacing="0" w:line="360" w:lineRule="auto"/>
      </w:pPr>
      <w:r>
        <w:t xml:space="preserve">For </w:t>
      </w:r>
      <w:bookmarkStart w:id="11" w:name="_Hlk179095785"/>
      <w:r>
        <w:rPr>
          <w:i/>
        </w:rPr>
        <w:t>Klebsiella pneumoniae</w:t>
      </w:r>
      <w:r>
        <w:t>, inhibition was detected at 25 mg/mL, with no activity at other concentrations</w:t>
      </w:r>
      <w:bookmarkEnd w:id="11"/>
      <w:r>
        <w:t xml:space="preserve">. The MBC for </w:t>
      </w:r>
      <w:r>
        <w:rPr>
          <w:i/>
        </w:rPr>
        <w:t>K. pneumoniae</w:t>
      </w:r>
      <w:r>
        <w:t xml:space="preserve"> was also 50 mg/mL, </w:t>
      </w:r>
      <w:bookmarkStart w:id="12" w:name="_Hlk179063708"/>
      <w:r>
        <w:t>indicating that a higher concentration is required to effectively kill the bacteria.</w:t>
      </w:r>
    </w:p>
    <w:bookmarkEnd w:id="12"/>
    <w:p w14:paraId="56842E2E" w14:textId="77777777" w:rsidR="00F10F29" w:rsidRDefault="00C447CF">
      <w:pPr>
        <w:pStyle w:val="NormalWeb"/>
        <w:spacing w:before="0" w:beforeAutospacing="0" w:line="360" w:lineRule="auto"/>
      </w:pPr>
      <w:r>
        <w:t xml:space="preserve">The findings of this study showed that the ethanolic seed extract of coriander demonstrated moderate antimicrobial activity, with inhibition at higher concentrations (50 mg/mL for </w:t>
      </w:r>
      <w:r>
        <w:rPr>
          <w:i/>
        </w:rPr>
        <w:t>E. coli</w:t>
      </w:r>
      <w:r>
        <w:t xml:space="preserve"> and 25 mg/mL for </w:t>
      </w:r>
      <w:r>
        <w:rPr>
          <w:i/>
        </w:rPr>
        <w:t>K. pneumoniae</w:t>
      </w:r>
      <w:r>
        <w:t>). However, the extract's bactericidal effectiveness is limited, as it requires concentrations of 50 mg/mL to achieve bacterial death for both microorganisms.</w:t>
      </w:r>
    </w:p>
    <w:p w14:paraId="27EC7201" w14:textId="77777777"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t>DISCUSSION</w:t>
      </w:r>
    </w:p>
    <w:p w14:paraId="34DE5B4B"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Coriandum sativum (coriander seed) has an effective antimicrobial and antioxidant activity  as agreed with the work of Pandey et al. (2020).</w:t>
      </w:r>
    </w:p>
    <w:p w14:paraId="5161184C"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the presence of secondary metabolites (flavonoids,saponins,alkaloids), it is reported that coriandum sativum (coriander seed) can inhibit the growth of Escherichia coli as seen in table 5 of our result and this agrees with the work of Maan, M. A., &amp; Bhadouria, R. (2013). It shows a dependent dependent activity, the higher the dose the higher the inhibition of the organism.  Coriandum Sativum is also reported to inhibit the growth of k.pnuemoniea at low concentration indicating that a higher concentration is required to effectively kill the bacteria as agreed by Zohra M </w:t>
      </w:r>
      <w:r>
        <w:rPr>
          <w:rFonts w:ascii="Times New Roman" w:hAnsi="Times New Roman" w:cs="Times New Roman"/>
          <w:color w:val="000000"/>
          <w:sz w:val="24"/>
          <w:szCs w:val="24"/>
        </w:rPr>
        <w:lastRenderedPageBreak/>
        <w:t xml:space="preserve">et al., (2016). Klebsiella pneumoniae, inhibition was detected at 25 mg/mL, with no activity at other concentrations. </w:t>
      </w:r>
    </w:p>
    <w:p w14:paraId="14EE0377"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 can therefore say, that coriander seed is able to solve problems associated with urinary tract infection by its ability of effectively inhibite the growth of E.coli and K.pnuemoniea at the right concentrations. </w:t>
      </w:r>
    </w:p>
    <w:p w14:paraId="0A079645" w14:textId="77777777" w:rsidR="00F10F29" w:rsidRDefault="00C447CF">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This study showed that the ethanolic seed extract of coriander demonstrated moderate antimicrobial activity, with inhibition at higher concentrations (50 mg/mL for E. coli and 25 mg/mL for K. pneumoniae). However, bactericidal activity is limited, as it requires concentrations of 50 mg/mL to achieve bacterial death for both microorganisms.</w:t>
      </w:r>
    </w:p>
    <w:p w14:paraId="601C84B8" w14:textId="77777777" w:rsidR="00F10F29" w:rsidRDefault="00C447CF">
      <w:pPr>
        <w:spacing w:after="200" w:line="360" w:lineRule="auto"/>
        <w:rPr>
          <w:rFonts w:ascii="Times New Roman" w:hAnsi="Times New Roman" w:cs="Times New Roman"/>
          <w:b/>
          <w:bCs/>
          <w:sz w:val="24"/>
        </w:rPr>
      </w:pPr>
      <w:r>
        <w:rPr>
          <w:rFonts w:ascii="Times New Roman" w:hAnsi="Times New Roman" w:cs="Times New Roman"/>
          <w:b/>
          <w:bCs/>
          <w:sz w:val="24"/>
        </w:rPr>
        <w:t xml:space="preserve"> CONCLUSION</w:t>
      </w:r>
    </w:p>
    <w:p w14:paraId="411C74C4" w14:textId="77777777" w:rsidR="00F10F29" w:rsidRDefault="00C447CF">
      <w:pPr>
        <w:spacing w:after="200" w:line="360" w:lineRule="auto"/>
        <w:jc w:val="both"/>
        <w:rPr>
          <w:rFonts w:ascii="Times New Roman" w:hAnsi="Times New Roman" w:cs="Times New Roman"/>
          <w:sz w:val="24"/>
        </w:rPr>
      </w:pPr>
      <w:r>
        <w:rPr>
          <w:rFonts w:ascii="Times New Roman" w:hAnsi="Times New Roman" w:cs="Times New Roman"/>
          <w:sz w:val="24"/>
        </w:rPr>
        <w:t xml:space="preserve">This study highlights the potential of </w:t>
      </w:r>
      <w:r>
        <w:rPr>
          <w:rFonts w:ascii="Times New Roman" w:hAnsi="Times New Roman" w:cs="Times New Roman"/>
          <w:i/>
          <w:iCs/>
          <w:sz w:val="24"/>
        </w:rPr>
        <w:t>Coriandrum sativum</w:t>
      </w:r>
      <w:r>
        <w:rPr>
          <w:rFonts w:ascii="Times New Roman" w:hAnsi="Times New Roman" w:cs="Times New Roman"/>
          <w:sz w:val="24"/>
        </w:rPr>
        <w:t xml:space="preserve"> seed extract as a natural antioxidant due to the presence of several secondary metabolites such as flavonoids, saponins, and alkaloids, which are known for their antioxidant properties. Although the extract exhibited moderate antimicrobial activity against </w:t>
      </w:r>
      <w:r>
        <w:rPr>
          <w:rFonts w:ascii="Times New Roman" w:hAnsi="Times New Roman" w:cs="Times New Roman"/>
          <w:i/>
          <w:iCs/>
          <w:sz w:val="24"/>
        </w:rPr>
        <w:t>Escherichia coli</w:t>
      </w:r>
      <w:r>
        <w:rPr>
          <w:rFonts w:ascii="Times New Roman" w:hAnsi="Times New Roman" w:cs="Times New Roman"/>
          <w:sz w:val="24"/>
        </w:rPr>
        <w:t xml:space="preserve"> and </w:t>
      </w:r>
      <w:r>
        <w:rPr>
          <w:rFonts w:ascii="Times New Roman" w:hAnsi="Times New Roman" w:cs="Times New Roman"/>
          <w:i/>
          <w:iCs/>
          <w:sz w:val="24"/>
        </w:rPr>
        <w:t>Klebsiella pneumoniae</w:t>
      </w:r>
      <w:r>
        <w:rPr>
          <w:rFonts w:ascii="Times New Roman" w:hAnsi="Times New Roman" w:cs="Times New Roman"/>
          <w:sz w:val="24"/>
        </w:rPr>
        <w:t>, it was not highly effective at lower concentrations. The findings suggest that while coriander seed extract may serve as a good antioxidant, its use as an antimicrobial agent may be limited unless applied at higher concentrations.</w:t>
      </w:r>
    </w:p>
    <w:p w14:paraId="4EC27A6E" w14:textId="77777777" w:rsidR="003D2338" w:rsidRDefault="003D2338">
      <w:pPr>
        <w:spacing w:after="200" w:line="360" w:lineRule="auto"/>
        <w:jc w:val="both"/>
        <w:rPr>
          <w:rFonts w:ascii="Times New Roman" w:hAnsi="Times New Roman" w:cs="Times New Roman"/>
          <w:sz w:val="24"/>
        </w:rPr>
      </w:pPr>
    </w:p>
    <w:p w14:paraId="45444206" w14:textId="77777777" w:rsidR="003D2338" w:rsidRPr="003D2338" w:rsidRDefault="003D2338" w:rsidP="003D2338">
      <w:pPr>
        <w:spacing w:after="200"/>
        <w:jc w:val="both"/>
        <w:outlineLvl w:val="0"/>
        <w:rPr>
          <w:rFonts w:eastAsia="Times New Roman"/>
          <w:lang w:val="en-GB" w:eastAsia="en-GB"/>
        </w:rPr>
      </w:pPr>
      <w:r w:rsidRPr="003D2338">
        <w:rPr>
          <w:rFonts w:eastAsia="Times New Roman"/>
          <w:b/>
          <w:bCs/>
          <w:lang w:val="en-GB" w:eastAsia="en-GB"/>
        </w:rPr>
        <w:t>COMPETING INTERESTS DISCLAIMER:</w:t>
      </w:r>
    </w:p>
    <w:p w14:paraId="66A5BC44" w14:textId="77777777" w:rsidR="003D2338" w:rsidRPr="003D2338" w:rsidRDefault="003D2338" w:rsidP="003D2338">
      <w:pPr>
        <w:spacing w:after="200"/>
        <w:rPr>
          <w:rFonts w:ascii="Calibri" w:eastAsia="Times New Roman" w:hAnsi="Calibri" w:cs="Times New Roman"/>
          <w:lang w:val="en-GB" w:eastAsia="en-GB"/>
        </w:rPr>
      </w:pPr>
      <w:r w:rsidRPr="003D233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0913102" w14:textId="77777777" w:rsidR="003D2338" w:rsidRDefault="003D2338">
      <w:pPr>
        <w:spacing w:after="200" w:line="360" w:lineRule="auto"/>
        <w:jc w:val="both"/>
        <w:rPr>
          <w:rFonts w:ascii="Times New Roman" w:hAnsi="Times New Roman" w:cs="Times New Roman"/>
          <w:sz w:val="24"/>
        </w:rPr>
      </w:pPr>
    </w:p>
    <w:p w14:paraId="57FD8AFC" w14:textId="77777777" w:rsidR="003D2338" w:rsidRDefault="003D2338">
      <w:pPr>
        <w:spacing w:after="200" w:line="360" w:lineRule="auto"/>
        <w:jc w:val="both"/>
        <w:rPr>
          <w:rFonts w:ascii="Times New Roman" w:hAnsi="Times New Roman" w:cs="Times New Roman"/>
          <w:sz w:val="24"/>
        </w:rPr>
      </w:pPr>
    </w:p>
    <w:p w14:paraId="7BB84895" w14:textId="77777777" w:rsidR="00F10F29" w:rsidRDefault="00C447CF">
      <w:pPr>
        <w:pStyle w:val="Heading1"/>
        <w:jc w:val="both"/>
        <w:rPr>
          <w:rFonts w:cs="Times New Roman"/>
          <w:szCs w:val="24"/>
        </w:rPr>
      </w:pPr>
      <w:bookmarkStart w:id="13" w:name="_Toc167979849"/>
      <w:r>
        <w:rPr>
          <w:rFonts w:cs="Times New Roman"/>
          <w:szCs w:val="24"/>
        </w:rPr>
        <w:t>REFERENCES</w:t>
      </w:r>
      <w:bookmarkEnd w:id="13"/>
    </w:p>
    <w:p w14:paraId="67C583F9" w14:textId="77777777" w:rsidR="00F10F29" w:rsidRDefault="0022454D">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fldChar w:fldCharType="begin"/>
      </w:r>
      <w:r w:rsidR="00C447CF">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sidR="00C447CF">
        <w:rPr>
          <w:rFonts w:ascii="Times New Roman" w:hAnsi="Times New Roman" w:cs="Times New Roman"/>
          <w:sz w:val="24"/>
          <w:szCs w:val="24"/>
        </w:rPr>
        <w:t xml:space="preserve">Abderrahmane A, S. Z. (2012). Hypoglycemic and hypolipidemic effects of Coriandrum sativum L. in Meriones shawi rats. . </w:t>
      </w:r>
      <w:r w:rsidR="00C447CF">
        <w:rPr>
          <w:rFonts w:ascii="Times New Roman" w:hAnsi="Times New Roman" w:cs="Times New Roman"/>
          <w:i/>
          <w:iCs/>
          <w:sz w:val="24"/>
          <w:szCs w:val="24"/>
        </w:rPr>
        <w:t>J Ethnopharmacol</w:t>
      </w:r>
      <w:r w:rsidR="00C447CF">
        <w:rPr>
          <w:rFonts w:ascii="Times New Roman" w:hAnsi="Times New Roman" w:cs="Times New Roman"/>
          <w:sz w:val="24"/>
          <w:szCs w:val="24"/>
        </w:rPr>
        <w:t>, 137:652– 61.</w:t>
      </w:r>
    </w:p>
    <w:p w14:paraId="1F64CD70"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Abidhusen H. Momin, S. S. (2012). CORIANDRUM SATIVUM- REVIEW OF ADVANCES IN PHYTOPHARMACOLOGY. </w:t>
      </w:r>
      <w:r>
        <w:rPr>
          <w:rFonts w:ascii="Times New Roman" w:hAnsi="Times New Roman" w:cs="Times New Roman"/>
          <w:i/>
          <w:iCs/>
          <w:sz w:val="24"/>
          <w:szCs w:val="24"/>
        </w:rPr>
        <w:t xml:space="preserve">IJPSR, Vol. 3(5): </w:t>
      </w:r>
      <w:r>
        <w:rPr>
          <w:rFonts w:ascii="Times New Roman" w:hAnsi="Times New Roman" w:cs="Times New Roman"/>
          <w:sz w:val="24"/>
          <w:szCs w:val="24"/>
        </w:rPr>
        <w:t>, 1233-1239.</w:t>
      </w:r>
    </w:p>
    <w:p w14:paraId="7929FD54" w14:textId="77777777" w:rsidR="00F10F29" w:rsidRDefault="00F10F29"/>
    <w:p w14:paraId="5AE86FD5"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Al-Snafi, P. D. (2016). A review on chemical constituents and pharmacological activities of Coriandrum sativum. </w:t>
      </w:r>
      <w:r>
        <w:rPr>
          <w:rFonts w:ascii="Times New Roman" w:hAnsi="Times New Roman" w:cs="Times New Roman"/>
          <w:i/>
          <w:iCs/>
          <w:sz w:val="24"/>
          <w:szCs w:val="24"/>
        </w:rPr>
        <w:t>IOSR Journal Of Pharmacy, volume 6</w:t>
      </w:r>
      <w:r>
        <w:rPr>
          <w:rFonts w:ascii="Times New Roman" w:hAnsi="Times New Roman" w:cs="Times New Roman"/>
          <w:sz w:val="24"/>
          <w:szCs w:val="24"/>
        </w:rPr>
        <w:t>, PP. 17-42 .</w:t>
      </w:r>
    </w:p>
    <w:p w14:paraId="22172302"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Ana L. Flores-Mireles, J. N. (2015). Urinary tract infections: epidemiology, mechanisms of infection and treatment options. </w:t>
      </w:r>
      <w:r>
        <w:rPr>
          <w:rFonts w:ascii="Times New Roman" w:hAnsi="Times New Roman" w:cs="Times New Roman"/>
          <w:i/>
          <w:iCs/>
          <w:sz w:val="24"/>
          <w:szCs w:val="24"/>
        </w:rPr>
        <w:t>NATURE REVIEWS MICROBIOLOGY</w:t>
      </w:r>
      <w:r>
        <w:rPr>
          <w:rFonts w:ascii="Times New Roman" w:hAnsi="Times New Roman" w:cs="Times New Roman"/>
          <w:sz w:val="24"/>
          <w:szCs w:val="24"/>
        </w:rPr>
        <w:t>, 1. doi:10.1038/nrmicro3432</w:t>
      </w:r>
    </w:p>
    <w:p w14:paraId="6CA6DB64" w14:textId="77777777" w:rsidR="00F10F29" w:rsidRDefault="00F10F29"/>
    <w:p w14:paraId="583B7919"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B.S. Gunashree, M. B. (2022). Escherichia coli: An Overview of Main Characteristics. </w:t>
      </w:r>
      <w:r>
        <w:rPr>
          <w:rFonts w:ascii="Times New Roman" w:hAnsi="Times New Roman" w:cs="Times New Roman"/>
          <w:i/>
          <w:iCs/>
          <w:sz w:val="24"/>
          <w:szCs w:val="24"/>
        </w:rPr>
        <w:t>intechopen</w:t>
      </w:r>
      <w:r>
        <w:rPr>
          <w:rFonts w:ascii="Times New Roman" w:hAnsi="Times New Roman" w:cs="Times New Roman"/>
          <w:sz w:val="24"/>
          <w:szCs w:val="24"/>
        </w:rPr>
        <w:t xml:space="preserve">. doi:https://www.researchgate.net/publication/365485621 </w:t>
      </w:r>
    </w:p>
    <w:p w14:paraId="7CA191F7"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Brisse, S. a. (2016). The Genus Klebsiella. Prokaryotes. </w:t>
      </w:r>
      <w:r>
        <w:rPr>
          <w:rFonts w:ascii="Times New Roman" w:hAnsi="Times New Roman" w:cs="Times New Roman"/>
          <w:i/>
          <w:iCs/>
          <w:sz w:val="24"/>
          <w:szCs w:val="24"/>
        </w:rPr>
        <w:t>P.A.D</w:t>
      </w:r>
      <w:r>
        <w:rPr>
          <w:rFonts w:ascii="Times New Roman" w:hAnsi="Times New Roman" w:cs="Times New Roman"/>
          <w:sz w:val="24"/>
          <w:szCs w:val="24"/>
        </w:rPr>
        <w:t>, 6:159–196.</w:t>
      </w:r>
    </w:p>
    <w:p w14:paraId="5D69A16C"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Britanica. (2015). Facts about E. coli: Dimensions as discussed in bacteria: Diversity of structure of bacteria. Britannica. 06-25. Retrieved from https:// www.britannica.com/science/ bacteria/ The-cell-envelope</w:t>
      </w:r>
    </w:p>
    <w:p w14:paraId="38628D44"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Cioanca O, H. L. (2013). Cognitive-enhancing and antioxidant activities of inhaled coriander volatile oil in amyloid β(1-42) rat model of Alzheimer's disease. </w:t>
      </w:r>
      <w:r>
        <w:rPr>
          <w:rFonts w:ascii="Times New Roman" w:hAnsi="Times New Roman" w:cs="Times New Roman"/>
          <w:i/>
          <w:iCs/>
          <w:sz w:val="24"/>
          <w:szCs w:val="24"/>
        </w:rPr>
        <w:t>Physiol Behav</w:t>
      </w:r>
      <w:r>
        <w:rPr>
          <w:rFonts w:ascii="Times New Roman" w:hAnsi="Times New Roman" w:cs="Times New Roman"/>
          <w:sz w:val="24"/>
          <w:szCs w:val="24"/>
        </w:rPr>
        <w:t>, 120:193-202.</w:t>
      </w:r>
    </w:p>
    <w:p w14:paraId="37D24C29"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Cortes-Eslava J, G.-A. S.-P. (2014). Antimutagenicity of coriander (Coriandrum sativum) juice on the mutagenesis produced by plant metabolites of aromatic amines. </w:t>
      </w:r>
      <w:r>
        <w:rPr>
          <w:rFonts w:ascii="Times New Roman" w:hAnsi="Times New Roman" w:cs="Times New Roman"/>
          <w:i/>
          <w:iCs/>
          <w:sz w:val="24"/>
          <w:szCs w:val="24"/>
        </w:rPr>
        <w:t>Toxicol Lett.</w:t>
      </w:r>
      <w:r>
        <w:rPr>
          <w:rFonts w:ascii="Times New Roman" w:hAnsi="Times New Roman" w:cs="Times New Roman"/>
          <w:sz w:val="24"/>
          <w:szCs w:val="24"/>
        </w:rPr>
        <w:t>, 153:283– 92.</w:t>
      </w:r>
    </w:p>
    <w:p w14:paraId="19C08E4C"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Eguale T, T. G. (2017). In vitro and in vivo anthelmintic activity of crude extracts of Coriandrum sativum against Haemonchus contortus. . </w:t>
      </w:r>
      <w:r>
        <w:rPr>
          <w:rFonts w:ascii="Times New Roman" w:hAnsi="Times New Roman" w:cs="Times New Roman"/>
          <w:i/>
          <w:iCs/>
          <w:sz w:val="24"/>
          <w:szCs w:val="24"/>
        </w:rPr>
        <w:t>J Ethnopharmacol</w:t>
      </w:r>
      <w:r>
        <w:rPr>
          <w:rFonts w:ascii="Times New Roman" w:hAnsi="Times New Roman" w:cs="Times New Roman"/>
          <w:sz w:val="24"/>
          <w:szCs w:val="24"/>
        </w:rPr>
        <w:t>, 110:428–33.</w:t>
      </w:r>
    </w:p>
    <w:p w14:paraId="0B1FC571"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Farhan, S. T. (2020). Article Review :Klebsiella Pneumonia: Epidemiology, Virulence Factors and Treatment . </w:t>
      </w:r>
      <w:r>
        <w:rPr>
          <w:rFonts w:ascii="Times New Roman" w:hAnsi="Times New Roman" w:cs="Times New Roman"/>
          <w:i/>
          <w:iCs/>
          <w:sz w:val="24"/>
          <w:szCs w:val="24"/>
        </w:rPr>
        <w:t xml:space="preserve">Journal of University of Anbar for Pure Science (JUAPS) </w:t>
      </w:r>
      <w:r>
        <w:rPr>
          <w:rFonts w:ascii="Times New Roman" w:hAnsi="Times New Roman" w:cs="Times New Roman"/>
          <w:sz w:val="24"/>
          <w:szCs w:val="24"/>
        </w:rPr>
        <w:t>, 14 (2) :5 – 10 .</w:t>
      </w:r>
    </w:p>
    <w:p w14:paraId="5CE62CA2"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Foxman, B. (2014). Urinary tract infection syndromes:occurrence, recurrence, bacteriology, risk factors, and disease burden. </w:t>
      </w:r>
      <w:r>
        <w:rPr>
          <w:rFonts w:ascii="Times New Roman" w:hAnsi="Times New Roman" w:cs="Times New Roman"/>
          <w:i/>
          <w:iCs/>
          <w:sz w:val="24"/>
          <w:szCs w:val="24"/>
        </w:rPr>
        <w:t>Infect. Dis. Clin. North Am.</w:t>
      </w:r>
      <w:r>
        <w:rPr>
          <w:rFonts w:ascii="Times New Roman" w:hAnsi="Times New Roman" w:cs="Times New Roman"/>
          <w:sz w:val="24"/>
          <w:szCs w:val="24"/>
        </w:rPr>
        <w:t>, 1-13.</w:t>
      </w:r>
    </w:p>
    <w:p w14:paraId="054B1F9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Gandra S, T. K. (2019). The mortality burden of multidrugresistant pathogens in India: A retrospective, observational study. </w:t>
      </w:r>
      <w:r>
        <w:rPr>
          <w:rFonts w:ascii="Times New Roman" w:hAnsi="Times New Roman" w:cs="Times New Roman"/>
          <w:i/>
          <w:iCs/>
          <w:sz w:val="24"/>
          <w:szCs w:val="24"/>
        </w:rPr>
        <w:t>Clinical Infectious Diseases.</w:t>
      </w:r>
      <w:r>
        <w:rPr>
          <w:rFonts w:ascii="Times New Roman" w:hAnsi="Times New Roman" w:cs="Times New Roman"/>
          <w:sz w:val="24"/>
          <w:szCs w:val="24"/>
        </w:rPr>
        <w:t>, 69(4): 563-570. doi:DOI: 10.1093/cid/ciy955</w:t>
      </w:r>
    </w:p>
    <w:p w14:paraId="2E089EE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Hemm MR, W. J. (2020). Escherichia coli small proteome. </w:t>
      </w:r>
      <w:r>
        <w:rPr>
          <w:rFonts w:ascii="Times New Roman" w:hAnsi="Times New Roman" w:cs="Times New Roman"/>
          <w:i/>
          <w:iCs/>
          <w:sz w:val="24"/>
          <w:szCs w:val="24"/>
        </w:rPr>
        <w:t xml:space="preserve">EcoSal Plus. </w:t>
      </w:r>
      <w:r>
        <w:rPr>
          <w:rFonts w:ascii="Times New Roman" w:hAnsi="Times New Roman" w:cs="Times New Roman"/>
          <w:sz w:val="24"/>
          <w:szCs w:val="24"/>
        </w:rPr>
        <w:t>, 9(1):10.</w:t>
      </w:r>
    </w:p>
    <w:p w14:paraId="1BC5E296"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HMM A, M. L. (2012). Clinical implications of enteroadherent Escherichia coli. </w:t>
      </w:r>
      <w:r>
        <w:rPr>
          <w:rFonts w:ascii="Times New Roman" w:hAnsi="Times New Roman" w:cs="Times New Roman"/>
          <w:i/>
          <w:iCs/>
          <w:sz w:val="24"/>
          <w:szCs w:val="24"/>
        </w:rPr>
        <w:t>Current Gastroenterology Reports.</w:t>
      </w:r>
      <w:r>
        <w:rPr>
          <w:rFonts w:ascii="Times New Roman" w:hAnsi="Times New Roman" w:cs="Times New Roman"/>
          <w:sz w:val="24"/>
          <w:szCs w:val="24"/>
        </w:rPr>
        <w:t>, 14(5):386-394. doi: DOI: 10.1007/s11894-012-0277-1</w:t>
      </w:r>
    </w:p>
    <w:p w14:paraId="11924AF8"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Idalia VN, B. F. (2017). Escherichia coli as a model organism and its application in biotechnology. In: Samie A, editor. Escherichia coli. Recent advances on physiology, pathogenesis and biotechnological applications. </w:t>
      </w:r>
      <w:r>
        <w:rPr>
          <w:rFonts w:ascii="Times New Roman" w:hAnsi="Times New Roman" w:cs="Times New Roman"/>
          <w:i/>
          <w:iCs/>
          <w:sz w:val="24"/>
          <w:szCs w:val="24"/>
        </w:rPr>
        <w:t>London: Intech Open</w:t>
      </w:r>
      <w:r>
        <w:rPr>
          <w:rFonts w:ascii="Times New Roman" w:hAnsi="Times New Roman" w:cs="Times New Roman"/>
          <w:sz w:val="24"/>
          <w:szCs w:val="24"/>
        </w:rPr>
        <w:t>. doi:DOI: 10.5772/67306</w:t>
      </w:r>
    </w:p>
    <w:p w14:paraId="3452C198"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Indian Journal of Pharmaceutical Sciences, Vol. 75, No. 4, pp. 417-422.DOI: </w:t>
      </w:r>
      <w:r>
        <w:rPr>
          <w:rFonts w:ascii="Times New Roman" w:hAnsi="Times New Roman" w:cs="Times New Roman"/>
          <w:sz w:val="24"/>
          <w:szCs w:val="24"/>
        </w:rPr>
        <w:tab/>
        <w:t>10.4103/0250-474X.116715</w:t>
      </w:r>
    </w:p>
    <w:p w14:paraId="65D9B238" w14:textId="77777777" w:rsidR="00F10F29" w:rsidRDefault="00F10F29">
      <w:pPr>
        <w:spacing w:line="360" w:lineRule="auto"/>
        <w:jc w:val="both"/>
        <w:rPr>
          <w:rFonts w:ascii="Times New Roman" w:hAnsi="Times New Roman" w:cs="Times New Roman"/>
          <w:sz w:val="24"/>
          <w:szCs w:val="24"/>
        </w:rPr>
      </w:pPr>
    </w:p>
    <w:p w14:paraId="6B96EB8D" w14:textId="77777777" w:rsidR="00F10F29" w:rsidRDefault="00F10F29">
      <w:pPr>
        <w:spacing w:line="360" w:lineRule="auto"/>
        <w:jc w:val="both"/>
        <w:rPr>
          <w:rFonts w:ascii="Times New Roman" w:hAnsi="Times New Roman" w:cs="Times New Roman"/>
          <w:sz w:val="24"/>
          <w:szCs w:val="24"/>
        </w:rPr>
      </w:pPr>
    </w:p>
    <w:p w14:paraId="17D77EEE"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Journal of Pharmacy and Pharmacology, Vol. 67, No. 8, pp. 1088-1095.DOI: </w:t>
      </w:r>
      <w:r>
        <w:rPr>
          <w:rFonts w:ascii="Times New Roman" w:hAnsi="Times New Roman" w:cs="Times New Roman"/>
          <w:sz w:val="24"/>
          <w:szCs w:val="24"/>
        </w:rPr>
        <w:tab/>
        <w:t xml:space="preserve">10.1111/jphp.12434"Antibacterial activity of Coriandrum sativum L. seed </w:t>
      </w:r>
      <w:r>
        <w:rPr>
          <w:rFonts w:ascii="Times New Roman" w:hAnsi="Times New Roman" w:cs="Times New Roman"/>
          <w:sz w:val="24"/>
          <w:szCs w:val="24"/>
        </w:rPr>
        <w:tab/>
        <w:t>extract against Klebsiella pneumoniae" (2013)</w:t>
      </w:r>
    </w:p>
    <w:p w14:paraId="412D29EE" w14:textId="77777777" w:rsidR="00F10F29" w:rsidRDefault="00F10F29">
      <w:pPr>
        <w:spacing w:line="360" w:lineRule="auto"/>
        <w:jc w:val="both"/>
        <w:rPr>
          <w:rFonts w:ascii="Times New Roman" w:hAnsi="Times New Roman" w:cs="Times New Roman"/>
          <w:sz w:val="24"/>
          <w:szCs w:val="24"/>
        </w:rPr>
      </w:pPr>
    </w:p>
    <w:p w14:paraId="7CAE7583"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Kalpana Gupta, M. M. (2012). In the Clinic urinary tract infecions. </w:t>
      </w:r>
      <w:r>
        <w:rPr>
          <w:rFonts w:ascii="Times New Roman" w:hAnsi="Times New Roman" w:cs="Times New Roman"/>
          <w:i/>
          <w:iCs/>
          <w:sz w:val="24"/>
          <w:szCs w:val="24"/>
        </w:rPr>
        <w:t>American College of Physicians</w:t>
      </w:r>
      <w:r>
        <w:rPr>
          <w:rFonts w:ascii="Times New Roman" w:hAnsi="Times New Roman" w:cs="Times New Roman"/>
          <w:sz w:val="24"/>
          <w:szCs w:val="24"/>
        </w:rPr>
        <w:t>.</w:t>
      </w:r>
    </w:p>
    <w:p w14:paraId="4BDF0B90"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Kansal L, S. V. (2012). Protective role of Coriandrum sativum (coriander) extracts against lead nitrate induced oxidative stress and tissue damage in the liver and kidney in male mice. </w:t>
      </w:r>
      <w:r>
        <w:rPr>
          <w:rFonts w:ascii="Times New Roman" w:hAnsi="Times New Roman" w:cs="Times New Roman"/>
          <w:i/>
          <w:iCs/>
          <w:sz w:val="24"/>
          <w:szCs w:val="24"/>
        </w:rPr>
        <w:t xml:space="preserve">Int. J. Appl. Pharmaceut. Technol. </w:t>
      </w:r>
      <w:r>
        <w:rPr>
          <w:rFonts w:ascii="Times New Roman" w:hAnsi="Times New Roman" w:cs="Times New Roman"/>
          <w:sz w:val="24"/>
          <w:szCs w:val="24"/>
        </w:rPr>
        <w:t>, 2(3):65-83.</w:t>
      </w:r>
    </w:p>
    <w:p w14:paraId="46CB7F95"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Köhler CD, D. U. (2011). What defines extra intestinal pathogenic Escherichia coli? . </w:t>
      </w:r>
      <w:r>
        <w:rPr>
          <w:rFonts w:ascii="Times New Roman" w:hAnsi="Times New Roman" w:cs="Times New Roman"/>
          <w:i/>
          <w:iCs/>
          <w:sz w:val="24"/>
          <w:szCs w:val="24"/>
        </w:rPr>
        <w:t>International Journal of Medical Microbiology</w:t>
      </w:r>
      <w:r>
        <w:rPr>
          <w:rFonts w:ascii="Times New Roman" w:hAnsi="Times New Roman" w:cs="Times New Roman"/>
          <w:sz w:val="24"/>
          <w:szCs w:val="24"/>
        </w:rPr>
        <w:t>, 301:642-664.</w:t>
      </w:r>
    </w:p>
    <w:p w14:paraId="07EA6308"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 MS, W. V. (2013). The epidemiology of ventilator-associated pneumonia in a network of community hospitals: a prospective multicenter study. </w:t>
      </w:r>
      <w:r>
        <w:rPr>
          <w:rFonts w:ascii="Times New Roman" w:hAnsi="Times New Roman" w:cs="Times New Roman"/>
          <w:i/>
          <w:iCs/>
          <w:sz w:val="24"/>
          <w:szCs w:val="24"/>
        </w:rPr>
        <w:t>Infect Control Hosp Epidemiol</w:t>
      </w:r>
      <w:r>
        <w:rPr>
          <w:rFonts w:ascii="Times New Roman" w:hAnsi="Times New Roman" w:cs="Times New Roman"/>
          <w:sz w:val="24"/>
          <w:szCs w:val="24"/>
        </w:rPr>
        <w:t>, 34:657–662. Retrieved from http://dx.doi.org/10.1086/670991</w:t>
      </w:r>
    </w:p>
    <w:p w14:paraId="45E5CC99"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Levison, M. E. (2013). Treatment of complicated urinary tract infections with an emphasis on drug resistant Gram-negative uropathogens. </w:t>
      </w:r>
      <w:r>
        <w:rPr>
          <w:rFonts w:ascii="Times New Roman" w:hAnsi="Times New Roman" w:cs="Times New Roman"/>
          <w:i/>
          <w:iCs/>
          <w:sz w:val="24"/>
          <w:szCs w:val="24"/>
        </w:rPr>
        <w:t>Curr. Infect. Dis. Rep.</w:t>
      </w:r>
      <w:r>
        <w:rPr>
          <w:rFonts w:ascii="Times New Roman" w:hAnsi="Times New Roman" w:cs="Times New Roman"/>
          <w:sz w:val="24"/>
          <w:szCs w:val="24"/>
        </w:rPr>
        <w:t>, 109-115.</w:t>
      </w:r>
    </w:p>
    <w:p w14:paraId="1BE6E73F"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 H, G. M. (2016). Some like it hot: Heat resistance of Escherichia coli in food. . </w:t>
      </w:r>
      <w:r>
        <w:rPr>
          <w:rFonts w:ascii="Times New Roman" w:hAnsi="Times New Roman" w:cs="Times New Roman"/>
          <w:i/>
          <w:iCs/>
          <w:sz w:val="24"/>
          <w:szCs w:val="24"/>
        </w:rPr>
        <w:t xml:space="preserve">Frontiers in Microbiology. </w:t>
      </w:r>
      <w:r>
        <w:rPr>
          <w:rFonts w:ascii="Times New Roman" w:hAnsi="Times New Roman" w:cs="Times New Roman"/>
          <w:sz w:val="24"/>
          <w:szCs w:val="24"/>
        </w:rPr>
        <w:t>, 7:1763.</w:t>
      </w:r>
    </w:p>
    <w:p w14:paraId="04421151"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Magill SS, E. J.-H. (2014). Multistate pointprevalence survey of health care-associated infections. </w:t>
      </w:r>
      <w:r>
        <w:rPr>
          <w:rFonts w:ascii="Times New Roman" w:hAnsi="Times New Roman" w:cs="Times New Roman"/>
          <w:i/>
          <w:iCs/>
          <w:sz w:val="24"/>
          <w:szCs w:val="24"/>
        </w:rPr>
        <w:t>N Engl J Med</w:t>
      </w:r>
      <w:r>
        <w:rPr>
          <w:rFonts w:ascii="Times New Roman" w:hAnsi="Times New Roman" w:cs="Times New Roman"/>
          <w:sz w:val="24"/>
          <w:szCs w:val="24"/>
        </w:rPr>
        <w:t>, 370:1198–1208. Retrieved from http://dx.doi.org/10.1056/NEJMoa1306801</w:t>
      </w:r>
    </w:p>
    <w:p w14:paraId="759EF117"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Michelle K. Paczosa, J. M. (2016). Klebsiella pneumoniae: Going on the Offense with a Strong Defense. </w:t>
      </w:r>
      <w:r>
        <w:rPr>
          <w:rFonts w:ascii="Times New Roman" w:hAnsi="Times New Roman" w:cs="Times New Roman"/>
          <w:i/>
          <w:iCs/>
          <w:sz w:val="24"/>
          <w:szCs w:val="24"/>
        </w:rPr>
        <w:t>Microbiology and Molecular Biology reviews, 80</w:t>
      </w:r>
      <w:r>
        <w:rPr>
          <w:rFonts w:ascii="Times New Roman" w:hAnsi="Times New Roman" w:cs="Times New Roman"/>
          <w:sz w:val="24"/>
          <w:szCs w:val="24"/>
        </w:rPr>
        <w:t>, 632.</w:t>
      </w:r>
    </w:p>
    <w:p w14:paraId="6D94070C"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Mohan M, Y. S. (2015). Effect of ethanolic extract of Coriandrum sativum L on tacrine induced orofacial dyskinesia. . </w:t>
      </w:r>
      <w:r>
        <w:rPr>
          <w:rFonts w:ascii="Times New Roman" w:hAnsi="Times New Roman" w:cs="Times New Roman"/>
          <w:i/>
          <w:iCs/>
          <w:sz w:val="24"/>
          <w:szCs w:val="24"/>
        </w:rPr>
        <w:t>Indian J Exp Biol</w:t>
      </w:r>
      <w:r>
        <w:rPr>
          <w:rFonts w:ascii="Times New Roman" w:hAnsi="Times New Roman" w:cs="Times New Roman"/>
          <w:sz w:val="24"/>
          <w:szCs w:val="24"/>
        </w:rPr>
        <w:t>, 53(5):292-296.</w:t>
      </w:r>
    </w:p>
    <w:p w14:paraId="62DF55C3"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Mueller M, T. C. (2021). Escherichia coli. . </w:t>
      </w:r>
      <w:r>
        <w:rPr>
          <w:rFonts w:ascii="Times New Roman" w:hAnsi="Times New Roman" w:cs="Times New Roman"/>
          <w:i/>
          <w:iCs/>
          <w:sz w:val="24"/>
          <w:szCs w:val="24"/>
        </w:rPr>
        <w:t>In: StatPearls [Internet]. Treasure Island (FL): Stat Pearls Publishing;</w:t>
      </w:r>
      <w:r>
        <w:rPr>
          <w:rFonts w:ascii="Times New Roman" w:hAnsi="Times New Roman" w:cs="Times New Roman"/>
          <w:sz w:val="24"/>
          <w:szCs w:val="24"/>
        </w:rPr>
        <w:t>.</w:t>
      </w:r>
    </w:p>
    <w:p w14:paraId="2CEA042A"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Nadia G, H. K. (2012). Influence of cobalt nutrition on coriander (Cariandrum sativum L.) Herbs yield quantity and quality. </w:t>
      </w:r>
      <w:r>
        <w:rPr>
          <w:rFonts w:ascii="Times New Roman" w:hAnsi="Times New Roman" w:cs="Times New Roman"/>
          <w:i/>
          <w:iCs/>
          <w:sz w:val="24"/>
          <w:szCs w:val="24"/>
        </w:rPr>
        <w:t>J Appl. Sci Res.</w:t>
      </w:r>
      <w:r>
        <w:rPr>
          <w:rFonts w:ascii="Times New Roman" w:hAnsi="Times New Roman" w:cs="Times New Roman"/>
          <w:sz w:val="24"/>
          <w:szCs w:val="24"/>
        </w:rPr>
        <w:t>, 8(10):5184-5189. .</w:t>
      </w:r>
    </w:p>
    <w:p w14:paraId="28AE8F6F"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Nanda Kafle G, S. T. (2017). Distribution of diverse Escherichia coli between cattle and pasture. </w:t>
      </w:r>
      <w:r>
        <w:rPr>
          <w:rFonts w:ascii="Times New Roman" w:hAnsi="Times New Roman" w:cs="Times New Roman"/>
          <w:i/>
          <w:iCs/>
          <w:sz w:val="24"/>
          <w:szCs w:val="24"/>
        </w:rPr>
        <w:t xml:space="preserve">Microbes and Environments. </w:t>
      </w:r>
      <w:r>
        <w:rPr>
          <w:rFonts w:ascii="Times New Roman" w:hAnsi="Times New Roman" w:cs="Times New Roman"/>
          <w:sz w:val="24"/>
          <w:szCs w:val="24"/>
        </w:rPr>
        <w:t>, 32:226-233.</w:t>
      </w:r>
    </w:p>
    <w:p w14:paraId="4BC15670" w14:textId="77777777" w:rsidR="00F10F29" w:rsidRDefault="00C447C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Pandey et al. (2020). Antibacterial activity of Coriandrum sativum seed extract </w:t>
      </w:r>
      <w:r>
        <w:rPr>
          <w:rFonts w:ascii="Times New Roman" w:hAnsi="Times New Roman" w:cs="Times New Roman"/>
          <w:sz w:val="24"/>
          <w:szCs w:val="24"/>
        </w:rPr>
        <w:tab/>
        <w:t>against bacterial pathogens. Journal of Pharmacy Research, 13(2), 1-8</w:t>
      </w:r>
      <w:r>
        <w:rPr>
          <w:rFonts w:ascii="Times New Roman" w:hAnsi="Times New Roman" w:cs="Times New Roman"/>
          <w:b/>
          <w:bCs/>
          <w:sz w:val="24"/>
          <w:szCs w:val="24"/>
        </w:rPr>
        <w:t>.</w:t>
      </w:r>
    </w:p>
    <w:p w14:paraId="531DDA9B" w14:textId="77777777" w:rsidR="00F10F29" w:rsidRDefault="00C447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vitro antimicrobial activity of coriander seeds against clinical isolates of </w:t>
      </w:r>
      <w:r>
        <w:rPr>
          <w:rFonts w:ascii="Times New Roman" w:hAnsi="Times New Roman" w:cs="Times New Roman"/>
          <w:sz w:val="24"/>
          <w:szCs w:val="24"/>
        </w:rPr>
        <w:tab/>
        <w:t>Klebsiella pneumoniae" (2015)</w:t>
      </w:r>
    </w:p>
    <w:p w14:paraId="3B5856EF"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Qureshi ZA, P. D.-H. (2012). Treatment outcome of bacteremia due to KPC-producing Klebsiella pneumoniae: superiority of combination antimicrobial regimens. Antimicrob Agents. </w:t>
      </w:r>
      <w:r>
        <w:rPr>
          <w:rFonts w:ascii="Times New Roman" w:hAnsi="Times New Roman" w:cs="Times New Roman"/>
          <w:i/>
          <w:iCs/>
          <w:sz w:val="24"/>
          <w:szCs w:val="24"/>
        </w:rPr>
        <w:t>Chemother</w:t>
      </w:r>
      <w:r>
        <w:rPr>
          <w:rFonts w:ascii="Times New Roman" w:hAnsi="Times New Roman" w:cs="Times New Roman"/>
          <w:sz w:val="24"/>
          <w:szCs w:val="24"/>
        </w:rPr>
        <w:t>, 56:2108–2113. Retrieved from http://dx.doi.org/10.1128/AAC.06268-11.</w:t>
      </w:r>
    </w:p>
    <w:p w14:paraId="470BD482"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Restrepo MI, P. J. (2013). Comparison of the bacterial etiology of early-onset and lateonset ventilator-associated pneumonia in subjects enrolled in 2 large clinical studies. </w:t>
      </w:r>
      <w:r>
        <w:rPr>
          <w:rFonts w:ascii="Times New Roman" w:hAnsi="Times New Roman" w:cs="Times New Roman"/>
          <w:i/>
          <w:iCs/>
          <w:sz w:val="24"/>
          <w:szCs w:val="24"/>
        </w:rPr>
        <w:t>Respir Care</w:t>
      </w:r>
      <w:r>
        <w:rPr>
          <w:rFonts w:ascii="Times New Roman" w:hAnsi="Times New Roman" w:cs="Times New Roman"/>
          <w:sz w:val="24"/>
          <w:szCs w:val="24"/>
        </w:rPr>
        <w:t>, 58:1220–1225. Retrieved from http://dx.doi.org/10.4187 /respcare.02173.</w:t>
      </w:r>
    </w:p>
    <w:p w14:paraId="2BE45638"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Robins-Browne RM, H. K. ( 2016). Are Escherichia coli pathotypes still relevant in the era of whole-genome sequencing. Frontiers in Cellular and Infection Microbiology. ;6:141.</w:t>
      </w:r>
    </w:p>
    <w:p w14:paraId="71CC77C2"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RP., R. (2012). </w:t>
      </w:r>
      <w:r>
        <w:rPr>
          <w:rFonts w:ascii="Times New Roman" w:hAnsi="Times New Roman" w:cs="Times New Roman"/>
          <w:i/>
          <w:iCs/>
          <w:sz w:val="24"/>
          <w:szCs w:val="24"/>
        </w:rPr>
        <w:t>A global compendium of weeds. Second edition.</w:t>
      </w:r>
      <w:r>
        <w:rPr>
          <w:rFonts w:ascii="Times New Roman" w:hAnsi="Times New Roman" w:cs="Times New Roman"/>
          <w:sz w:val="24"/>
          <w:szCs w:val="24"/>
        </w:rPr>
        <w:t xml:space="preserve"> Western Australia: Department of Agriculture and Food,.</w:t>
      </w:r>
    </w:p>
    <w:p w14:paraId="4C1B5060"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Russo TA, O. R. (2014). Aerobactin mediates virulence and accounts for increased siderophore production under iron-limiting conditions by hypervirulent (hypermucoviscous) Klebsiella pneumoniae. </w:t>
      </w:r>
      <w:r>
        <w:rPr>
          <w:rFonts w:ascii="Times New Roman" w:hAnsi="Times New Roman" w:cs="Times New Roman"/>
          <w:i/>
          <w:iCs/>
          <w:sz w:val="24"/>
          <w:szCs w:val="24"/>
        </w:rPr>
        <w:t>Infect Immun</w:t>
      </w:r>
      <w:r>
        <w:rPr>
          <w:rFonts w:ascii="Times New Roman" w:hAnsi="Times New Roman" w:cs="Times New Roman"/>
          <w:sz w:val="24"/>
          <w:szCs w:val="24"/>
        </w:rPr>
        <w:t xml:space="preserve">, 82:2356–2367. Retrieved from http://dx.doi.org/10.1128/IAI.01667-13. </w:t>
      </w:r>
    </w:p>
    <w:p w14:paraId="4EE7594D"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 Bhat, P. K. (2014). Coriander (Coriandrum sativum L.): Processing, nutritional and functional aspects. </w:t>
      </w:r>
      <w:r>
        <w:rPr>
          <w:rFonts w:ascii="Times New Roman" w:hAnsi="Times New Roman" w:cs="Times New Roman"/>
          <w:i/>
          <w:iCs/>
          <w:sz w:val="24"/>
          <w:szCs w:val="24"/>
        </w:rPr>
        <w:t>African Journal of Plant Science, Vol. 8(1)</w:t>
      </w:r>
      <w:r>
        <w:rPr>
          <w:rFonts w:ascii="Times New Roman" w:hAnsi="Times New Roman" w:cs="Times New Roman"/>
          <w:sz w:val="24"/>
          <w:szCs w:val="24"/>
        </w:rPr>
        <w:t>(ISSN 1996-</w:t>
      </w:r>
      <w:r>
        <w:rPr>
          <w:rFonts w:ascii="Times New Roman" w:hAnsi="Times New Roman" w:cs="Times New Roman"/>
          <w:sz w:val="24"/>
          <w:szCs w:val="24"/>
        </w:rPr>
        <w:lastRenderedPageBreak/>
        <w:t xml:space="preserve">0824 ©2014 Academic Journals ), pp. 25-33. doi:DOI: 10.5897/AJPS2013.1118 </w:t>
      </w:r>
    </w:p>
    <w:p w14:paraId="1C59C46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Sarowska J, F.-K. B.-K. (2019). Virulence factors, prevalence and potential transmission of extra intestinal pathogenic Escherichia coli isolated from different. Gut Pathogens. . ;11:10.</w:t>
      </w:r>
    </w:p>
    <w:p w14:paraId="3AD16131"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Tsai, S. H. (2010). Characteristics of Klebsiella pneumoniae Bacteremia in Community-acquired and Nosocomial Infections in Diabetic Patients. </w:t>
      </w:r>
      <w:r>
        <w:rPr>
          <w:rFonts w:ascii="Times New Roman" w:hAnsi="Times New Roman" w:cs="Times New Roman"/>
          <w:i/>
          <w:iCs/>
          <w:sz w:val="24"/>
          <w:szCs w:val="24"/>
        </w:rPr>
        <w:t>Chang Gung Med J.</w:t>
      </w:r>
      <w:r>
        <w:rPr>
          <w:rFonts w:ascii="Times New Roman" w:hAnsi="Times New Roman" w:cs="Times New Roman"/>
          <w:sz w:val="24"/>
          <w:szCs w:val="24"/>
        </w:rPr>
        <w:t>, 33(5): 532-539.</w:t>
      </w:r>
    </w:p>
    <w:p w14:paraId="0D8A553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Vasudevan, R. (2014). Urinary tract infection: an overview of the infection and the associated risk factors. </w:t>
      </w:r>
      <w:r>
        <w:rPr>
          <w:rFonts w:ascii="Times New Roman" w:hAnsi="Times New Roman" w:cs="Times New Roman"/>
          <w:i/>
          <w:iCs/>
          <w:sz w:val="24"/>
          <w:szCs w:val="24"/>
        </w:rPr>
        <w:t>Journal of Microbiology &amp; Experimentation</w:t>
      </w:r>
      <w:r>
        <w:rPr>
          <w:rFonts w:ascii="Times New Roman" w:hAnsi="Times New Roman" w:cs="Times New Roman"/>
          <w:sz w:val="24"/>
          <w:szCs w:val="24"/>
        </w:rPr>
        <w:t>. doi:10.15406/jmen.2014.01.00008</w:t>
      </w:r>
    </w:p>
    <w:p w14:paraId="0EF4E718"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Vuotto, C. L. (2014). Antibiotic Resistance Related to Biofilm Formation in Klebsiella pneumonia. Pathogens. </w:t>
      </w:r>
      <w:r>
        <w:rPr>
          <w:rFonts w:ascii="Times New Roman" w:hAnsi="Times New Roman" w:cs="Times New Roman"/>
          <w:i/>
          <w:iCs/>
          <w:sz w:val="24"/>
          <w:szCs w:val="24"/>
        </w:rPr>
        <w:t>MDPI</w:t>
      </w:r>
      <w:r>
        <w:rPr>
          <w:rFonts w:ascii="Times New Roman" w:hAnsi="Times New Roman" w:cs="Times New Roman"/>
          <w:sz w:val="24"/>
          <w:szCs w:val="24"/>
        </w:rPr>
        <w:t>, 3: 743-758.</w:t>
      </w:r>
    </w:p>
    <w:p w14:paraId="645246B4"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Walter, J. H. (2018). Ecdc Pps Study Group Healthcare-associated pneumonia in acute care hospitals in European Union/European Economic Area countries: an analysis of data from a point prevalence survey. </w:t>
      </w:r>
      <w:r>
        <w:rPr>
          <w:rFonts w:ascii="Times New Roman" w:hAnsi="Times New Roman" w:cs="Times New Roman"/>
          <w:i/>
          <w:iCs/>
          <w:sz w:val="24"/>
          <w:szCs w:val="24"/>
        </w:rPr>
        <w:t>Med J.</w:t>
      </w:r>
      <w:r>
        <w:rPr>
          <w:rFonts w:ascii="Times New Roman" w:hAnsi="Times New Roman" w:cs="Times New Roman"/>
          <w:sz w:val="24"/>
          <w:szCs w:val="24"/>
        </w:rPr>
        <w:t>, 2(6): 1022-1027.</w:t>
      </w:r>
    </w:p>
    <w:p w14:paraId="436F5011"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Weiner JH, L. (2018). Proteome of the Escherichia coli envelope and technological challenges in membrane proteome analysis. </w:t>
      </w:r>
      <w:r>
        <w:rPr>
          <w:rFonts w:ascii="Times New Roman" w:hAnsi="Times New Roman" w:cs="Times New Roman"/>
          <w:i/>
          <w:iCs/>
          <w:sz w:val="24"/>
          <w:szCs w:val="24"/>
        </w:rPr>
        <w:t>Biochimica et Biophysica Acta (BBA)—Biomembranes.</w:t>
      </w:r>
      <w:r>
        <w:rPr>
          <w:rFonts w:ascii="Times New Roman" w:hAnsi="Times New Roman" w:cs="Times New Roman"/>
          <w:sz w:val="24"/>
          <w:szCs w:val="24"/>
        </w:rPr>
        <w:t>, 1778-9:1698-1713.</w:t>
      </w:r>
    </w:p>
    <w:p w14:paraId="205F6C80"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Yanhui Ding, H. W. (2021 ). Resistance Trends of Klebsiella pneumoniae Causing Urinary Tract Infections in Chongqing. </w:t>
      </w:r>
      <w:r>
        <w:rPr>
          <w:rFonts w:ascii="Times New Roman" w:hAnsi="Times New Roman" w:cs="Times New Roman"/>
          <w:i/>
          <w:iCs/>
          <w:sz w:val="24"/>
          <w:szCs w:val="24"/>
        </w:rPr>
        <w:t xml:space="preserve">Dove Press journal: Infection and Drug Resistance </w:t>
      </w:r>
      <w:r>
        <w:rPr>
          <w:rFonts w:ascii="Times New Roman" w:hAnsi="Times New Roman" w:cs="Times New Roman"/>
          <w:sz w:val="24"/>
          <w:szCs w:val="24"/>
        </w:rPr>
        <w:t>, 14 475–481.</w:t>
      </w:r>
    </w:p>
    <w:p w14:paraId="07D2398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ZD, B. (2015). The unexhausted potential of E. coli. </w:t>
      </w:r>
      <w:r>
        <w:rPr>
          <w:rFonts w:ascii="Times New Roman" w:hAnsi="Times New Roman" w:cs="Times New Roman"/>
          <w:i/>
          <w:iCs/>
          <w:sz w:val="24"/>
          <w:szCs w:val="24"/>
        </w:rPr>
        <w:t>eLife</w:t>
      </w:r>
      <w:r>
        <w:rPr>
          <w:rFonts w:ascii="Times New Roman" w:hAnsi="Times New Roman" w:cs="Times New Roman"/>
          <w:sz w:val="24"/>
          <w:szCs w:val="24"/>
        </w:rPr>
        <w:t>, 25(4):e05826. doi:DOI: 10.7554/eLife.05826</w:t>
      </w:r>
    </w:p>
    <w:p w14:paraId="26F6A1E7" w14:textId="77777777" w:rsidR="00F10F29" w:rsidRDefault="0022454D">
      <w:pPr>
        <w:spacing w:line="360" w:lineRule="auto"/>
        <w:jc w:val="both"/>
        <w:rPr>
          <w:rFonts w:ascii="Times New Roman" w:hAnsi="Times New Roman" w:cs="Times New Roman"/>
          <w:sz w:val="24"/>
          <w:szCs w:val="24"/>
        </w:rPr>
      </w:pPr>
      <w:r>
        <w:rPr>
          <w:rFonts w:ascii="Times New Roman" w:hAnsi="Times New Roman" w:cs="Times New Roman"/>
          <w:b/>
          <w:bCs/>
          <w:sz w:val="24"/>
          <w:szCs w:val="24"/>
        </w:rPr>
        <w:fldChar w:fldCharType="end"/>
      </w:r>
    </w:p>
    <w:p w14:paraId="5EADDFED" w14:textId="77777777" w:rsidR="00F10F29" w:rsidRDefault="00F10F29">
      <w:pPr>
        <w:spacing w:line="360" w:lineRule="auto"/>
        <w:jc w:val="both"/>
        <w:rPr>
          <w:rFonts w:ascii="Times New Roman" w:eastAsia="TimesNewRoman" w:hAnsi="Times New Roman" w:cs="Times New Roman"/>
          <w:color w:val="000000"/>
          <w:sz w:val="24"/>
          <w:szCs w:val="24"/>
        </w:rPr>
      </w:pPr>
    </w:p>
    <w:p w14:paraId="4F746C1A" w14:textId="77777777" w:rsidR="00F10F29" w:rsidRDefault="00F10F29">
      <w:pPr>
        <w:spacing w:line="360" w:lineRule="auto"/>
        <w:ind w:right="78"/>
        <w:jc w:val="both"/>
        <w:rPr>
          <w:rFonts w:ascii="Times New Roman" w:hAnsi="Times New Roman" w:cs="Times New Roman"/>
          <w:sz w:val="24"/>
          <w:szCs w:val="24"/>
        </w:rPr>
      </w:pPr>
    </w:p>
    <w:p w14:paraId="4063F597" w14:textId="77777777" w:rsidR="00F10F29" w:rsidRDefault="00F10F29">
      <w:pPr>
        <w:rPr>
          <w:rFonts w:ascii="Times New Roman" w:hAnsi="Times New Roman" w:cs="Times New Roman"/>
          <w:b/>
          <w:bCs/>
          <w:sz w:val="24"/>
          <w:szCs w:val="24"/>
        </w:rPr>
      </w:pPr>
    </w:p>
    <w:sectPr w:rsidR="00F10F29" w:rsidSect="00F10F2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se" w:date="2025-10-18T18:41:00Z" w:initials="D">
    <w:p w14:paraId="6BA3C538" w14:textId="77777777" w:rsidR="00CA4AE9" w:rsidRDefault="00CA4AE9" w:rsidP="00CA4AE9">
      <w:pPr>
        <w:pStyle w:val="CommentText"/>
      </w:pPr>
      <w:r>
        <w:rPr>
          <w:rStyle w:val="CommentReference"/>
        </w:rPr>
        <w:annotationRef/>
      </w:r>
      <w:r>
        <w:t>Full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A3C5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5A2E62" w16cex:dateUtc="2025-10-1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A3C538" w16cid:durableId="115A2E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CA97" w14:textId="77777777" w:rsidR="00331BCF" w:rsidRDefault="00331BCF">
      <w:pPr>
        <w:spacing w:line="240" w:lineRule="auto"/>
      </w:pPr>
      <w:r>
        <w:separator/>
      </w:r>
    </w:p>
  </w:endnote>
  <w:endnote w:type="continuationSeparator" w:id="0">
    <w:p w14:paraId="7C884D24" w14:textId="77777777" w:rsidR="00331BCF" w:rsidRDefault="00331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Yu Gothic"/>
    <w:charset w:val="80"/>
    <w:family w:val="auto"/>
    <w:pitch w:val="default"/>
    <w:sig w:usb0="00000000" w:usb1="00000000" w:usb2="00000010" w:usb3="00000000" w:csb0="00020001" w:csb1="00000000"/>
  </w:font>
  <w:font w:name="TimesNewRoman">
    <w:altName w:val="Times New Roman"/>
    <w:charset w:val="80"/>
    <w:family w:val="auto"/>
    <w:pitch w:val="default"/>
    <w:sig w:usb0="00000000" w:usb1="00000000" w:usb2="00000010" w:usb3="00000000" w:csb0="00020000" w:csb1="00000000"/>
  </w:font>
  <w:font w:name="MTGU">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8884" w14:textId="77777777" w:rsidR="005E7CA6" w:rsidRDefault="005E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53BF" w14:textId="77777777" w:rsidR="005E7CA6" w:rsidRDefault="005E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47A" w14:textId="77777777" w:rsidR="005E7CA6" w:rsidRDefault="005E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9A54" w14:textId="77777777" w:rsidR="00331BCF" w:rsidRDefault="00331BCF">
      <w:r>
        <w:separator/>
      </w:r>
    </w:p>
  </w:footnote>
  <w:footnote w:type="continuationSeparator" w:id="0">
    <w:p w14:paraId="25B55939" w14:textId="77777777" w:rsidR="00331BCF" w:rsidRDefault="0033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0698" w14:textId="5D4B3E82" w:rsidR="005E7CA6" w:rsidRDefault="00000000">
    <w:pPr>
      <w:pStyle w:val="Header"/>
    </w:pPr>
    <w:r>
      <w:rPr>
        <w:noProof/>
      </w:rPr>
      <w:pict w14:anchorId="51F91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2"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BB37" w14:textId="3EF0DC9A" w:rsidR="005E7CA6" w:rsidRDefault="00000000">
    <w:pPr>
      <w:pStyle w:val="Header"/>
    </w:pPr>
    <w:r>
      <w:rPr>
        <w:noProof/>
      </w:rPr>
      <w:pict w14:anchorId="6B0BC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3"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0964" w14:textId="109671BC" w:rsidR="005E7CA6" w:rsidRDefault="00000000">
    <w:pPr>
      <w:pStyle w:val="Header"/>
    </w:pPr>
    <w:r>
      <w:rPr>
        <w:noProof/>
      </w:rPr>
      <w:pict w14:anchorId="39DDE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1"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F7A18"/>
    <w:multiLevelType w:val="multilevel"/>
    <w:tmpl w:val="6D2F7A18"/>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4"/>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04357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se">
    <w15:presenceInfo w15:providerId="None" w15:userId="Dell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7FC51AF"/>
    <w:rsid w:val="000248EB"/>
    <w:rsid w:val="00060E3F"/>
    <w:rsid w:val="000F6F1C"/>
    <w:rsid w:val="00110DD6"/>
    <w:rsid w:val="0012122E"/>
    <w:rsid w:val="001B2D93"/>
    <w:rsid w:val="00221E4E"/>
    <w:rsid w:val="0022454D"/>
    <w:rsid w:val="002316F4"/>
    <w:rsid w:val="002B22DF"/>
    <w:rsid w:val="002F2CCB"/>
    <w:rsid w:val="002F688E"/>
    <w:rsid w:val="003160D0"/>
    <w:rsid w:val="00331BCF"/>
    <w:rsid w:val="00343728"/>
    <w:rsid w:val="003744A3"/>
    <w:rsid w:val="003748CD"/>
    <w:rsid w:val="003D2338"/>
    <w:rsid w:val="0040460F"/>
    <w:rsid w:val="004208D4"/>
    <w:rsid w:val="00424F55"/>
    <w:rsid w:val="00444F5E"/>
    <w:rsid w:val="00465A7E"/>
    <w:rsid w:val="00471682"/>
    <w:rsid w:val="004B40BD"/>
    <w:rsid w:val="00502B94"/>
    <w:rsid w:val="00534F0D"/>
    <w:rsid w:val="00535610"/>
    <w:rsid w:val="00540536"/>
    <w:rsid w:val="00570996"/>
    <w:rsid w:val="00591D64"/>
    <w:rsid w:val="005C4152"/>
    <w:rsid w:val="005E7CA6"/>
    <w:rsid w:val="006512CD"/>
    <w:rsid w:val="006655D4"/>
    <w:rsid w:val="00667A29"/>
    <w:rsid w:val="006A47A1"/>
    <w:rsid w:val="006D3FE5"/>
    <w:rsid w:val="00702876"/>
    <w:rsid w:val="00742A48"/>
    <w:rsid w:val="007B2AA3"/>
    <w:rsid w:val="007B5C02"/>
    <w:rsid w:val="007E5DB5"/>
    <w:rsid w:val="00830526"/>
    <w:rsid w:val="008600DB"/>
    <w:rsid w:val="008A1680"/>
    <w:rsid w:val="008B4726"/>
    <w:rsid w:val="008C470F"/>
    <w:rsid w:val="008F4E8A"/>
    <w:rsid w:val="009E7CC4"/>
    <w:rsid w:val="009F37C5"/>
    <w:rsid w:val="009F6D00"/>
    <w:rsid w:val="009F74D1"/>
    <w:rsid w:val="00A25E2E"/>
    <w:rsid w:val="00AB40CF"/>
    <w:rsid w:val="00AD2082"/>
    <w:rsid w:val="00B674A3"/>
    <w:rsid w:val="00BE1BB0"/>
    <w:rsid w:val="00C240BD"/>
    <w:rsid w:val="00C312A1"/>
    <w:rsid w:val="00C447CF"/>
    <w:rsid w:val="00CA4AE9"/>
    <w:rsid w:val="00CA71D3"/>
    <w:rsid w:val="00CD2517"/>
    <w:rsid w:val="00CE21D8"/>
    <w:rsid w:val="00D01A44"/>
    <w:rsid w:val="00D173A0"/>
    <w:rsid w:val="00D47B17"/>
    <w:rsid w:val="00E863AA"/>
    <w:rsid w:val="00F10F29"/>
    <w:rsid w:val="00F303B3"/>
    <w:rsid w:val="00F3677A"/>
    <w:rsid w:val="00F8309B"/>
    <w:rsid w:val="00F85304"/>
    <w:rsid w:val="00F9273E"/>
    <w:rsid w:val="04404DEC"/>
    <w:rsid w:val="05215177"/>
    <w:rsid w:val="077B78D4"/>
    <w:rsid w:val="0EE96807"/>
    <w:rsid w:val="12722550"/>
    <w:rsid w:val="13023ADE"/>
    <w:rsid w:val="15655DA6"/>
    <w:rsid w:val="170738B3"/>
    <w:rsid w:val="178847A7"/>
    <w:rsid w:val="17FC51AF"/>
    <w:rsid w:val="1B196C01"/>
    <w:rsid w:val="1C8F32EB"/>
    <w:rsid w:val="1FBA6C9A"/>
    <w:rsid w:val="21B07155"/>
    <w:rsid w:val="22660CFD"/>
    <w:rsid w:val="22E948D4"/>
    <w:rsid w:val="238060CC"/>
    <w:rsid w:val="314A536E"/>
    <w:rsid w:val="34563CEC"/>
    <w:rsid w:val="36BA0F57"/>
    <w:rsid w:val="39BB7346"/>
    <w:rsid w:val="407F5DE0"/>
    <w:rsid w:val="4364101B"/>
    <w:rsid w:val="49303126"/>
    <w:rsid w:val="49BC6207"/>
    <w:rsid w:val="4A061AFF"/>
    <w:rsid w:val="4F400A92"/>
    <w:rsid w:val="57163EF1"/>
    <w:rsid w:val="580C7901"/>
    <w:rsid w:val="5C3744D8"/>
    <w:rsid w:val="5E747306"/>
    <w:rsid w:val="67BA07B7"/>
    <w:rsid w:val="6D4270CF"/>
    <w:rsid w:val="6DE92D60"/>
    <w:rsid w:val="6F0B1F3E"/>
    <w:rsid w:val="6F31437C"/>
    <w:rsid w:val="78B33C13"/>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E88B2"/>
  <w15:docId w15:val="{40496176-DCC6-40E0-BD96-F680B73A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0F29"/>
    <w:pPr>
      <w:spacing w:line="276" w:lineRule="auto"/>
    </w:pPr>
    <w:rPr>
      <w:rFonts w:ascii="Arial" w:eastAsia="Arial" w:hAnsi="Arial" w:cs="Arial"/>
      <w:sz w:val="22"/>
      <w:szCs w:val="22"/>
    </w:rPr>
  </w:style>
  <w:style w:type="paragraph" w:styleId="Heading1">
    <w:name w:val="heading 1"/>
    <w:basedOn w:val="Normal"/>
    <w:next w:val="Normal"/>
    <w:uiPriority w:val="9"/>
    <w:qFormat/>
    <w:rsid w:val="00F10F29"/>
    <w:pPr>
      <w:keepNext/>
      <w:keepLines/>
      <w:spacing w:before="240" w:line="360" w:lineRule="auto"/>
      <w:jc w:val="center"/>
      <w:outlineLvl w:val="0"/>
    </w:pPr>
    <w:rPr>
      <w:rFonts w:ascii="Times New Roman" w:eastAsia="SimSun" w:hAnsi="Times New Roman"/>
      <w:b/>
      <w:sz w:val="24"/>
      <w:szCs w:val="32"/>
    </w:rPr>
  </w:style>
  <w:style w:type="paragraph" w:styleId="Heading2">
    <w:name w:val="heading 2"/>
    <w:basedOn w:val="Normal"/>
    <w:next w:val="Normal"/>
    <w:uiPriority w:val="9"/>
    <w:unhideWhenUsed/>
    <w:qFormat/>
    <w:rsid w:val="00F10F29"/>
    <w:pPr>
      <w:keepNext/>
      <w:keepLines/>
      <w:spacing w:before="40" w:line="360" w:lineRule="auto"/>
      <w:outlineLvl w:val="1"/>
    </w:pPr>
    <w:rPr>
      <w:rFonts w:ascii="Times New Roman" w:eastAsia="SimSun" w:hAnsi="Times New Roman"/>
      <w:b/>
      <w:sz w:val="24"/>
      <w:szCs w:val="26"/>
    </w:rPr>
  </w:style>
  <w:style w:type="paragraph" w:styleId="Heading3">
    <w:name w:val="heading 3"/>
    <w:basedOn w:val="Normal"/>
    <w:next w:val="Normal"/>
    <w:uiPriority w:val="9"/>
    <w:unhideWhenUsed/>
    <w:qFormat/>
    <w:rsid w:val="00F10F29"/>
    <w:pPr>
      <w:keepNext/>
      <w:keepLines/>
      <w:spacing w:before="40" w:line="480" w:lineRule="auto"/>
      <w:outlineLvl w:val="2"/>
    </w:pPr>
    <w:rPr>
      <w:rFonts w:ascii="Times New Roman" w:eastAsia="SimSun" w:hAnsi="Times New Roman"/>
      <w:b/>
      <w:i/>
      <w:sz w:val="24"/>
      <w:szCs w:val="24"/>
    </w:rPr>
  </w:style>
  <w:style w:type="paragraph" w:styleId="Heading4">
    <w:name w:val="heading 4"/>
    <w:basedOn w:val="Normal"/>
    <w:next w:val="Normal"/>
    <w:link w:val="Heading4Char"/>
    <w:uiPriority w:val="9"/>
    <w:unhideWhenUsed/>
    <w:qFormat/>
    <w:rsid w:val="00F10F29"/>
    <w:pPr>
      <w:keepNext/>
      <w:keepLines/>
      <w:spacing w:before="40" w:line="360" w:lineRule="auto"/>
      <w:outlineLvl w:val="3"/>
    </w:pPr>
    <w:rPr>
      <w:rFonts w:ascii="Times New Roman" w:eastAsia="SimSun" w:hAnsi="Times New Roman"/>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10F29"/>
    <w:rPr>
      <w:i/>
      <w:iCs/>
    </w:rPr>
  </w:style>
  <w:style w:type="paragraph" w:styleId="NormalWeb">
    <w:name w:val="Normal (Web)"/>
    <w:basedOn w:val="Normal"/>
    <w:uiPriority w:val="99"/>
    <w:unhideWhenUsed/>
    <w:rsid w:val="00F10F29"/>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F10F29"/>
    <w:pPr>
      <w:jc w:val="both"/>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10F29"/>
    <w:pPr>
      <w:autoSpaceDE w:val="0"/>
      <w:autoSpaceDN w:val="0"/>
      <w:adjustRightInd w:val="0"/>
    </w:pPr>
    <w:rPr>
      <w:rFonts w:ascii="Minion Pro" w:eastAsia="Calibri" w:hAnsi="Minion Pro" w:cs="Minion Pro"/>
      <w:color w:val="000000"/>
      <w:sz w:val="24"/>
      <w:szCs w:val="24"/>
    </w:rPr>
  </w:style>
  <w:style w:type="character" w:customStyle="1" w:styleId="A1">
    <w:name w:val="A1"/>
    <w:uiPriority w:val="99"/>
    <w:qFormat/>
    <w:rsid w:val="00F10F29"/>
    <w:rPr>
      <w:rFonts w:cs="Minion Pro"/>
      <w:color w:val="000000"/>
      <w:sz w:val="10"/>
      <w:szCs w:val="10"/>
    </w:rPr>
  </w:style>
  <w:style w:type="character" w:customStyle="1" w:styleId="Heading4Char">
    <w:name w:val="Heading 4 Char"/>
    <w:basedOn w:val="DefaultParagraphFont"/>
    <w:link w:val="Heading4"/>
    <w:uiPriority w:val="9"/>
    <w:qFormat/>
    <w:rsid w:val="00F10F29"/>
    <w:rPr>
      <w:rFonts w:ascii="Times New Roman" w:eastAsia="SimSun" w:hAnsi="Times New Roman"/>
      <w:b/>
      <w:i/>
      <w:iCs/>
      <w:sz w:val="24"/>
    </w:rPr>
  </w:style>
  <w:style w:type="paragraph" w:customStyle="1" w:styleId="Bibliography1">
    <w:name w:val="Bibliography1"/>
    <w:basedOn w:val="Normal"/>
    <w:next w:val="Normal"/>
    <w:uiPriority w:val="37"/>
    <w:rsid w:val="00F10F29"/>
  </w:style>
  <w:style w:type="paragraph" w:styleId="BalloonText">
    <w:name w:val="Balloon Text"/>
    <w:basedOn w:val="Normal"/>
    <w:link w:val="BalloonTextChar"/>
    <w:rsid w:val="00C312A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312A1"/>
    <w:rPr>
      <w:rFonts w:ascii="Tahoma" w:eastAsia="Arial" w:hAnsi="Tahoma" w:cs="Tahoma"/>
      <w:sz w:val="16"/>
      <w:szCs w:val="16"/>
    </w:rPr>
  </w:style>
  <w:style w:type="character" w:styleId="Hyperlink">
    <w:name w:val="Hyperlink"/>
    <w:basedOn w:val="DefaultParagraphFont"/>
    <w:rsid w:val="00343728"/>
    <w:rPr>
      <w:color w:val="0563C1" w:themeColor="hyperlink"/>
      <w:u w:val="single"/>
    </w:rPr>
  </w:style>
  <w:style w:type="character" w:styleId="UnresolvedMention">
    <w:name w:val="Unresolved Mention"/>
    <w:basedOn w:val="DefaultParagraphFont"/>
    <w:uiPriority w:val="99"/>
    <w:semiHidden/>
    <w:unhideWhenUsed/>
    <w:rsid w:val="00343728"/>
    <w:rPr>
      <w:color w:val="605E5C"/>
      <w:shd w:val="clear" w:color="auto" w:fill="E1DFDD"/>
    </w:rPr>
  </w:style>
  <w:style w:type="paragraph" w:styleId="ListParagraph">
    <w:name w:val="List Paragraph"/>
    <w:basedOn w:val="Normal"/>
    <w:uiPriority w:val="99"/>
    <w:unhideWhenUsed/>
    <w:rsid w:val="003D2338"/>
    <w:pPr>
      <w:ind w:left="720"/>
      <w:contextualSpacing/>
    </w:pPr>
  </w:style>
  <w:style w:type="paragraph" w:styleId="Header">
    <w:name w:val="header"/>
    <w:basedOn w:val="Normal"/>
    <w:link w:val="HeaderChar"/>
    <w:rsid w:val="005E7CA6"/>
    <w:pPr>
      <w:tabs>
        <w:tab w:val="center" w:pos="4680"/>
        <w:tab w:val="right" w:pos="9360"/>
      </w:tabs>
      <w:spacing w:line="240" w:lineRule="auto"/>
    </w:pPr>
  </w:style>
  <w:style w:type="character" w:customStyle="1" w:styleId="HeaderChar">
    <w:name w:val="Header Char"/>
    <w:basedOn w:val="DefaultParagraphFont"/>
    <w:link w:val="Header"/>
    <w:rsid w:val="005E7CA6"/>
    <w:rPr>
      <w:rFonts w:ascii="Arial" w:eastAsia="Arial" w:hAnsi="Arial" w:cs="Arial"/>
      <w:sz w:val="22"/>
      <w:szCs w:val="22"/>
    </w:rPr>
  </w:style>
  <w:style w:type="paragraph" w:styleId="Footer">
    <w:name w:val="footer"/>
    <w:basedOn w:val="Normal"/>
    <w:link w:val="FooterChar"/>
    <w:rsid w:val="005E7CA6"/>
    <w:pPr>
      <w:tabs>
        <w:tab w:val="center" w:pos="4680"/>
        <w:tab w:val="right" w:pos="9360"/>
      </w:tabs>
      <w:spacing w:line="240" w:lineRule="auto"/>
    </w:pPr>
  </w:style>
  <w:style w:type="character" w:customStyle="1" w:styleId="FooterChar">
    <w:name w:val="Footer Char"/>
    <w:basedOn w:val="DefaultParagraphFont"/>
    <w:link w:val="Footer"/>
    <w:rsid w:val="005E7CA6"/>
    <w:rPr>
      <w:rFonts w:ascii="Arial" w:eastAsia="Arial" w:hAnsi="Arial" w:cs="Arial"/>
      <w:sz w:val="22"/>
      <w:szCs w:val="22"/>
    </w:rPr>
  </w:style>
  <w:style w:type="character" w:styleId="CommentReference">
    <w:name w:val="annotation reference"/>
    <w:basedOn w:val="DefaultParagraphFont"/>
    <w:rsid w:val="00CA4AE9"/>
    <w:rPr>
      <w:sz w:val="16"/>
      <w:szCs w:val="16"/>
    </w:rPr>
  </w:style>
  <w:style w:type="paragraph" w:styleId="CommentText">
    <w:name w:val="annotation text"/>
    <w:basedOn w:val="Normal"/>
    <w:link w:val="CommentTextChar"/>
    <w:rsid w:val="00CA4AE9"/>
    <w:pPr>
      <w:spacing w:line="240" w:lineRule="auto"/>
    </w:pPr>
    <w:rPr>
      <w:sz w:val="20"/>
      <w:szCs w:val="20"/>
    </w:rPr>
  </w:style>
  <w:style w:type="character" w:customStyle="1" w:styleId="CommentTextChar">
    <w:name w:val="Comment Text Char"/>
    <w:basedOn w:val="DefaultParagraphFont"/>
    <w:link w:val="CommentText"/>
    <w:rsid w:val="00CA4AE9"/>
    <w:rPr>
      <w:rFonts w:ascii="Arial" w:eastAsia="Arial" w:hAnsi="Arial" w:cs="Arial"/>
    </w:rPr>
  </w:style>
  <w:style w:type="paragraph" w:styleId="CommentSubject">
    <w:name w:val="annotation subject"/>
    <w:basedOn w:val="CommentText"/>
    <w:next w:val="CommentText"/>
    <w:link w:val="CommentSubjectChar"/>
    <w:rsid w:val="00CA4AE9"/>
    <w:rPr>
      <w:b/>
      <w:bCs/>
    </w:rPr>
  </w:style>
  <w:style w:type="character" w:customStyle="1" w:styleId="CommentSubjectChar">
    <w:name w:val="Comment Subject Char"/>
    <w:basedOn w:val="CommentTextChar"/>
    <w:link w:val="CommentSubject"/>
    <w:rsid w:val="00CA4AE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71E9-66A7-4F34-ABB7-9EDEA8D8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5857</Words>
  <Characters>33390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Dellse</cp:lastModifiedBy>
  <cp:revision>70</cp:revision>
  <dcterms:created xsi:type="dcterms:W3CDTF">2025-07-21T10:40:00Z</dcterms:created>
  <dcterms:modified xsi:type="dcterms:W3CDTF">2025-10-18T12:56:00Z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E1071B2C119C49B187103FB175303A8C_11</vt:lpwstr>
  </property>
</Properties>
</file>