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66C" w:rsidRPr="002163E4" w:rsidRDefault="0027166C">
      <w:pPr>
        <w:rPr>
          <w:rFonts w:ascii="Arial" w:hAnsi="Arial" w:cs="Arial"/>
          <w:sz w:val="20"/>
          <w:szCs w:val="20"/>
          <w:lang w:val="en-IN"/>
        </w:rPr>
      </w:pPr>
    </w:p>
    <w:p w:rsidR="000D6B69" w:rsidRPr="006D5977" w:rsidRDefault="00517C41" w:rsidP="005D29FE">
      <w:pPr>
        <w:spacing w:after="0" w:line="240" w:lineRule="auto"/>
        <w:jc w:val="both"/>
        <w:rPr>
          <w:rFonts w:ascii="Arial" w:hAnsi="Arial" w:cs="Arial"/>
          <w:b/>
          <w:bCs/>
          <w:sz w:val="36"/>
          <w:szCs w:val="36"/>
          <w:shd w:val="clear" w:color="auto" w:fill="FFFFFF"/>
          <w:lang w:val="en-US"/>
        </w:rPr>
      </w:pPr>
      <w:bookmarkStart w:id="0" w:name="_Toc208777003"/>
      <w:r w:rsidRPr="006D5977">
        <w:rPr>
          <w:rFonts w:ascii="Arial" w:hAnsi="Arial" w:cs="Arial"/>
          <w:b/>
          <w:bCs/>
          <w:sz w:val="36"/>
          <w:szCs w:val="36"/>
          <w:shd w:val="clear" w:color="auto" w:fill="FFFFFF"/>
          <w:lang w:val="en-US"/>
        </w:rPr>
        <w:t xml:space="preserve">Evaluation of the physicochemical properties of </w:t>
      </w:r>
      <w:bookmarkStart w:id="1" w:name="_Hlk216104313"/>
      <w:r w:rsidR="00DD0456" w:rsidRPr="006D5977">
        <w:rPr>
          <w:rFonts w:ascii="Arial" w:hAnsi="Arial" w:cs="Arial"/>
          <w:b/>
          <w:bCs/>
          <w:sz w:val="36"/>
          <w:szCs w:val="36"/>
          <w:shd w:val="clear" w:color="auto" w:fill="FFFFFF"/>
          <w:lang w:val="en-US"/>
        </w:rPr>
        <w:t>growing media</w:t>
      </w:r>
      <w:r w:rsidRPr="006D5977">
        <w:rPr>
          <w:rFonts w:ascii="Arial" w:hAnsi="Arial" w:cs="Arial"/>
          <w:b/>
          <w:bCs/>
          <w:sz w:val="36"/>
          <w:szCs w:val="36"/>
          <w:shd w:val="clear" w:color="auto" w:fill="FFFFFF"/>
          <w:lang w:val="en-US"/>
        </w:rPr>
        <w:t xml:space="preserve">s based on mixtures of rice </w:t>
      </w:r>
      <w:bookmarkEnd w:id="1"/>
      <w:r w:rsidRPr="006D5977">
        <w:rPr>
          <w:rFonts w:ascii="Arial" w:hAnsi="Arial" w:cs="Arial"/>
          <w:b/>
          <w:bCs/>
          <w:sz w:val="36"/>
          <w:szCs w:val="36"/>
          <w:shd w:val="clear" w:color="auto" w:fill="FFFFFF"/>
          <w:lang w:val="en-US"/>
        </w:rPr>
        <w:t>hu</w:t>
      </w:r>
      <w:r w:rsidR="00FF303F" w:rsidRPr="006D5977">
        <w:rPr>
          <w:rFonts w:ascii="Arial" w:hAnsi="Arial" w:cs="Arial"/>
          <w:b/>
          <w:bCs/>
          <w:sz w:val="36"/>
          <w:szCs w:val="36"/>
          <w:shd w:val="clear" w:color="auto" w:fill="FFFFFF"/>
          <w:lang w:val="en-US"/>
        </w:rPr>
        <w:t>sk</w:t>
      </w:r>
      <w:r w:rsidRPr="006D5977">
        <w:rPr>
          <w:rFonts w:ascii="Arial" w:hAnsi="Arial" w:cs="Arial"/>
          <w:b/>
          <w:bCs/>
          <w:sz w:val="36"/>
          <w:szCs w:val="36"/>
          <w:shd w:val="clear" w:color="auto" w:fill="FFFFFF"/>
          <w:lang w:val="en-US"/>
        </w:rPr>
        <w:t xml:space="preserve"> biochar and compost inoculated with strains of </w:t>
      </w:r>
      <w:r w:rsidRPr="006D5977">
        <w:rPr>
          <w:rFonts w:ascii="Arial" w:hAnsi="Arial" w:cs="Arial"/>
          <w:b/>
          <w:bCs/>
          <w:i/>
          <w:iCs/>
          <w:sz w:val="36"/>
          <w:szCs w:val="36"/>
          <w:shd w:val="clear" w:color="auto" w:fill="FFFFFF"/>
          <w:lang w:val="en-US"/>
        </w:rPr>
        <w:t>Trichoderma asperellum</w:t>
      </w:r>
      <w:r w:rsidRPr="006D5977">
        <w:rPr>
          <w:rFonts w:ascii="Arial" w:hAnsi="Arial" w:cs="Arial"/>
          <w:b/>
          <w:bCs/>
          <w:sz w:val="36"/>
          <w:szCs w:val="36"/>
          <w:shd w:val="clear" w:color="auto" w:fill="FFFFFF"/>
          <w:lang w:val="en-US"/>
        </w:rPr>
        <w:t xml:space="preserve"> and </w:t>
      </w:r>
      <w:r w:rsidRPr="006D5977">
        <w:rPr>
          <w:rFonts w:ascii="Arial" w:hAnsi="Arial" w:cs="Arial"/>
          <w:b/>
          <w:bCs/>
          <w:i/>
          <w:iCs/>
          <w:sz w:val="36"/>
          <w:szCs w:val="36"/>
          <w:shd w:val="clear" w:color="auto" w:fill="FFFFFF"/>
          <w:lang w:val="en-US"/>
        </w:rPr>
        <w:t>Trichoderma virens</w:t>
      </w:r>
      <w:r w:rsidRPr="006D5977">
        <w:rPr>
          <w:rFonts w:ascii="Arial" w:hAnsi="Arial" w:cs="Arial"/>
          <w:b/>
          <w:bCs/>
          <w:sz w:val="36"/>
          <w:szCs w:val="36"/>
          <w:shd w:val="clear" w:color="auto" w:fill="FFFFFF"/>
          <w:lang w:val="en-US"/>
        </w:rPr>
        <w:t xml:space="preserve"> for soilless horticulture</w:t>
      </w:r>
    </w:p>
    <w:p w:rsidR="000D6B69" w:rsidRPr="006D5977" w:rsidRDefault="000D6B69" w:rsidP="005D29FE">
      <w:pPr>
        <w:spacing w:after="0" w:line="240" w:lineRule="auto"/>
        <w:jc w:val="both"/>
        <w:rPr>
          <w:rFonts w:ascii="Arial" w:hAnsi="Arial" w:cs="Arial"/>
          <w:b/>
          <w:bCs/>
          <w:sz w:val="20"/>
          <w:szCs w:val="20"/>
          <w:shd w:val="clear" w:color="auto" w:fill="FFFFFF"/>
          <w:lang w:val="en-US"/>
        </w:rPr>
      </w:pPr>
    </w:p>
    <w:p w:rsidR="00157B5D" w:rsidRPr="006D5977" w:rsidRDefault="00157B5D" w:rsidP="00FB1225">
      <w:pPr>
        <w:spacing w:line="240" w:lineRule="auto"/>
        <w:jc w:val="right"/>
        <w:rPr>
          <w:rFonts w:ascii="Arial" w:hAnsi="Arial" w:cs="Arial"/>
          <w:sz w:val="20"/>
          <w:szCs w:val="20"/>
          <w:lang w:val="en-US"/>
        </w:rPr>
      </w:pPr>
      <w:bookmarkStart w:id="2" w:name="_GoBack"/>
      <w:bookmarkEnd w:id="2"/>
    </w:p>
    <w:p w:rsidR="00955B7C" w:rsidRPr="006D5977" w:rsidRDefault="00955B7C" w:rsidP="005D29FE">
      <w:pPr>
        <w:spacing w:line="240" w:lineRule="auto"/>
        <w:jc w:val="both"/>
        <w:rPr>
          <w:rFonts w:ascii="Arial" w:hAnsi="Arial" w:cs="Arial"/>
          <w:sz w:val="20"/>
          <w:szCs w:val="20"/>
          <w:lang w:val="en-US"/>
        </w:rPr>
      </w:pPr>
    </w:p>
    <w:p w:rsidR="006B5B1C" w:rsidRPr="006D5977" w:rsidRDefault="006B5B1C" w:rsidP="005D29FE">
      <w:pPr>
        <w:spacing w:line="240" w:lineRule="auto"/>
        <w:rPr>
          <w:rFonts w:ascii="Arial" w:hAnsi="Arial" w:cs="Arial"/>
          <w:b/>
          <w:sz w:val="20"/>
          <w:szCs w:val="20"/>
          <w:lang w:val="en-US"/>
        </w:rPr>
      </w:pPr>
      <w:r w:rsidRPr="006D5977">
        <w:rPr>
          <w:rFonts w:ascii="Arial" w:hAnsi="Arial" w:cs="Arial"/>
          <w:b/>
          <w:sz w:val="20"/>
          <w:szCs w:val="20"/>
          <w:lang w:val="en-US"/>
        </w:rPr>
        <w:t>Abstract</w:t>
      </w:r>
    </w:p>
    <w:p w:rsidR="000C665C" w:rsidRPr="006D5977" w:rsidRDefault="000C665C" w:rsidP="000C665C">
      <w:pPr>
        <w:spacing w:line="240" w:lineRule="auto"/>
        <w:jc w:val="both"/>
        <w:rPr>
          <w:rFonts w:ascii="Arial" w:hAnsi="Arial" w:cs="Arial"/>
          <w:bCs/>
          <w:sz w:val="20"/>
          <w:szCs w:val="20"/>
          <w:lang w:val="en-US"/>
        </w:rPr>
      </w:pPr>
      <w:r w:rsidRPr="006D5977">
        <w:rPr>
          <w:rFonts w:ascii="Arial" w:hAnsi="Arial" w:cs="Arial"/>
          <w:bCs/>
          <w:sz w:val="20"/>
          <w:szCs w:val="20"/>
          <w:lang w:val="en-US"/>
        </w:rPr>
        <w:t xml:space="preserve">This study aims to develop a culture </w:t>
      </w:r>
      <w:r w:rsidR="00DD0456" w:rsidRPr="006D5977">
        <w:rPr>
          <w:rFonts w:ascii="Arial" w:hAnsi="Arial" w:cs="Arial"/>
          <w:bCs/>
          <w:sz w:val="20"/>
          <w:szCs w:val="20"/>
          <w:lang w:val="en-US"/>
        </w:rPr>
        <w:t>growing media</w:t>
      </w:r>
      <w:r w:rsidRPr="006D5977">
        <w:rPr>
          <w:rFonts w:ascii="Arial" w:hAnsi="Arial" w:cs="Arial"/>
          <w:bCs/>
          <w:sz w:val="20"/>
          <w:szCs w:val="20"/>
          <w:lang w:val="en-US"/>
        </w:rPr>
        <w:t xml:space="preserve"> with physico-chemical qualities compliant. Five </w:t>
      </w:r>
      <w:r w:rsidR="00DD0456" w:rsidRPr="006D5977">
        <w:rPr>
          <w:rFonts w:ascii="Arial" w:hAnsi="Arial" w:cs="Arial"/>
          <w:bCs/>
          <w:sz w:val="20"/>
          <w:szCs w:val="20"/>
          <w:lang w:val="en-US"/>
        </w:rPr>
        <w:t>growing media</w:t>
      </w:r>
      <w:r w:rsidRPr="006D5977">
        <w:rPr>
          <w:rFonts w:ascii="Arial" w:hAnsi="Arial" w:cs="Arial"/>
          <w:bCs/>
          <w:sz w:val="20"/>
          <w:szCs w:val="20"/>
          <w:lang w:val="en-US"/>
        </w:rPr>
        <w:t>s based on Tricho-compost and rice hu</w:t>
      </w:r>
      <w:r w:rsidR="008D0367" w:rsidRPr="006D5977">
        <w:rPr>
          <w:rFonts w:ascii="Arial" w:hAnsi="Arial" w:cs="Arial"/>
          <w:bCs/>
          <w:sz w:val="20"/>
          <w:szCs w:val="20"/>
          <w:lang w:val="en-US"/>
        </w:rPr>
        <w:t>sk</w:t>
      </w:r>
      <w:r w:rsidRPr="006D5977">
        <w:rPr>
          <w:rFonts w:ascii="Arial" w:hAnsi="Arial" w:cs="Arial"/>
          <w:bCs/>
          <w:sz w:val="20"/>
          <w:szCs w:val="20"/>
          <w:lang w:val="en-US"/>
        </w:rPr>
        <w:t xml:space="preserve"> biochar were formulated in varying proportions. The following formulations were used: 100% Tricho-compost (SA), 25% Tricho-compost and 75% biochar rice hull (SB), 50% Tricho-compost and 50% </w:t>
      </w:r>
      <w:r w:rsidR="008D0367" w:rsidRPr="006D5977">
        <w:rPr>
          <w:rFonts w:ascii="Arial" w:hAnsi="Arial" w:cs="Arial"/>
          <w:bCs/>
          <w:sz w:val="20"/>
          <w:szCs w:val="20"/>
          <w:lang w:val="en-US"/>
        </w:rPr>
        <w:t>rice husk biochar</w:t>
      </w:r>
      <w:r w:rsidRPr="006D5977">
        <w:rPr>
          <w:rFonts w:ascii="Arial" w:hAnsi="Arial" w:cs="Arial"/>
          <w:bCs/>
          <w:sz w:val="20"/>
          <w:szCs w:val="20"/>
          <w:lang w:val="en-US"/>
        </w:rPr>
        <w:t xml:space="preserve"> (SC), 75% Tricho-compost and 25% </w:t>
      </w:r>
      <w:r w:rsidR="008D0367" w:rsidRPr="006D5977">
        <w:rPr>
          <w:rFonts w:ascii="Arial" w:hAnsi="Arial" w:cs="Arial"/>
          <w:bCs/>
          <w:sz w:val="20"/>
          <w:szCs w:val="20"/>
          <w:lang w:val="en-US"/>
        </w:rPr>
        <w:t>rice husk biochar</w:t>
      </w:r>
      <w:r w:rsidRPr="006D5977">
        <w:rPr>
          <w:rFonts w:ascii="Arial" w:hAnsi="Arial" w:cs="Arial"/>
          <w:bCs/>
          <w:sz w:val="20"/>
          <w:szCs w:val="20"/>
          <w:lang w:val="en-US"/>
        </w:rPr>
        <w:t xml:space="preserve"> (SD), and 100% </w:t>
      </w:r>
      <w:r w:rsidR="008D0367" w:rsidRPr="006D5977">
        <w:rPr>
          <w:rFonts w:ascii="Arial" w:hAnsi="Arial" w:cs="Arial"/>
          <w:bCs/>
          <w:sz w:val="20"/>
          <w:szCs w:val="20"/>
          <w:lang w:val="en-US"/>
        </w:rPr>
        <w:t>rice husk biochar</w:t>
      </w:r>
      <w:r w:rsidRPr="006D5977">
        <w:rPr>
          <w:rFonts w:ascii="Arial" w:hAnsi="Arial" w:cs="Arial"/>
          <w:bCs/>
          <w:sz w:val="20"/>
          <w:szCs w:val="20"/>
          <w:lang w:val="en-US"/>
        </w:rPr>
        <w:t xml:space="preserve"> (BC).</w:t>
      </w:r>
    </w:p>
    <w:p w:rsidR="00955B7C" w:rsidRPr="006D5977" w:rsidRDefault="000C665C" w:rsidP="000C665C">
      <w:pPr>
        <w:spacing w:line="240" w:lineRule="auto"/>
        <w:jc w:val="both"/>
        <w:rPr>
          <w:rFonts w:ascii="Arial" w:hAnsi="Arial" w:cs="Arial"/>
          <w:bCs/>
          <w:sz w:val="20"/>
          <w:szCs w:val="20"/>
          <w:lang w:val="en-US"/>
        </w:rPr>
      </w:pPr>
      <w:r w:rsidRPr="006D5977">
        <w:rPr>
          <w:rFonts w:ascii="Arial" w:hAnsi="Arial" w:cs="Arial"/>
          <w:bCs/>
          <w:sz w:val="20"/>
          <w:szCs w:val="20"/>
          <w:lang w:val="en-US"/>
        </w:rPr>
        <w:t>Physical parameters such as bulk density (BD), water holding capacity (WHC), total porosity (TP), air filled porosity (AFP), and chemical parameters including pH, electrical conductivity (EC), organic matter (OM), total nitrogen (N), P</w:t>
      </w:r>
      <w:r w:rsidRPr="006D5977">
        <w:rPr>
          <w:rFonts w:ascii="Arial" w:hAnsi="Arial" w:cs="Arial"/>
          <w:bCs/>
          <w:sz w:val="20"/>
          <w:szCs w:val="20"/>
          <w:vertAlign w:val="subscript"/>
          <w:lang w:val="en-US"/>
        </w:rPr>
        <w:t>2</w:t>
      </w:r>
      <w:r w:rsidRPr="006D5977">
        <w:rPr>
          <w:rFonts w:ascii="Arial" w:hAnsi="Arial" w:cs="Arial"/>
          <w:bCs/>
          <w:sz w:val="20"/>
          <w:szCs w:val="20"/>
          <w:lang w:val="en-US"/>
        </w:rPr>
        <w:t>O</w:t>
      </w:r>
      <w:r w:rsidRPr="006D5977">
        <w:rPr>
          <w:rFonts w:ascii="Arial" w:hAnsi="Arial" w:cs="Arial"/>
          <w:bCs/>
          <w:sz w:val="20"/>
          <w:szCs w:val="20"/>
          <w:vertAlign w:val="subscript"/>
          <w:lang w:val="en-US"/>
        </w:rPr>
        <w:t>5</w:t>
      </w:r>
      <w:r w:rsidRPr="006D5977">
        <w:rPr>
          <w:rFonts w:ascii="Arial" w:hAnsi="Arial" w:cs="Arial"/>
          <w:bCs/>
          <w:sz w:val="20"/>
          <w:szCs w:val="20"/>
          <w:lang w:val="en-US"/>
        </w:rPr>
        <w:t xml:space="preserve">, K2O have been analyzed. The results show that biochar-rich </w:t>
      </w:r>
      <w:r w:rsidR="00DD0456" w:rsidRPr="006D5977">
        <w:rPr>
          <w:rFonts w:ascii="Arial" w:hAnsi="Arial" w:cs="Arial"/>
          <w:bCs/>
          <w:sz w:val="20"/>
          <w:szCs w:val="20"/>
          <w:lang w:val="en-US"/>
        </w:rPr>
        <w:t>growing media</w:t>
      </w:r>
      <w:r w:rsidRPr="006D5977">
        <w:rPr>
          <w:rFonts w:ascii="Arial" w:hAnsi="Arial" w:cs="Arial"/>
          <w:bCs/>
          <w:sz w:val="20"/>
          <w:szCs w:val="20"/>
          <w:lang w:val="en-US"/>
        </w:rPr>
        <w:t>s (SB, SC, BC) exhibit low BD (between 0</w:t>
      </w:r>
      <w:r w:rsidR="008D0367" w:rsidRPr="006D5977">
        <w:rPr>
          <w:rFonts w:ascii="Arial" w:hAnsi="Arial" w:cs="Arial"/>
          <w:bCs/>
          <w:sz w:val="20"/>
          <w:szCs w:val="20"/>
          <w:lang w:val="en-US"/>
        </w:rPr>
        <w:t>,</w:t>
      </w:r>
      <w:r w:rsidRPr="006D5977">
        <w:rPr>
          <w:rFonts w:ascii="Arial" w:hAnsi="Arial" w:cs="Arial"/>
          <w:bCs/>
          <w:sz w:val="20"/>
          <w:szCs w:val="20"/>
          <w:lang w:val="en-US"/>
        </w:rPr>
        <w:t>219 to 0</w:t>
      </w:r>
      <w:r w:rsidR="008D0367" w:rsidRPr="006D5977">
        <w:rPr>
          <w:rFonts w:ascii="Arial" w:hAnsi="Arial" w:cs="Arial"/>
          <w:bCs/>
          <w:sz w:val="20"/>
          <w:szCs w:val="20"/>
          <w:lang w:val="en-US"/>
        </w:rPr>
        <w:t>,</w:t>
      </w:r>
      <w:r w:rsidRPr="006D5977">
        <w:rPr>
          <w:rFonts w:ascii="Arial" w:hAnsi="Arial" w:cs="Arial"/>
          <w:bCs/>
          <w:sz w:val="20"/>
          <w:szCs w:val="20"/>
          <w:lang w:val="en-US"/>
        </w:rPr>
        <w:t>394 g/cm3), adequate TP (73</w:t>
      </w:r>
      <w:r w:rsidR="008D0367" w:rsidRPr="006D5977">
        <w:rPr>
          <w:rFonts w:ascii="Arial" w:hAnsi="Arial" w:cs="Arial"/>
          <w:bCs/>
          <w:sz w:val="20"/>
          <w:szCs w:val="20"/>
          <w:lang w:val="en-US"/>
        </w:rPr>
        <w:t>,</w:t>
      </w:r>
      <w:r w:rsidRPr="006D5977">
        <w:rPr>
          <w:rFonts w:ascii="Arial" w:hAnsi="Arial" w:cs="Arial"/>
          <w:bCs/>
          <w:sz w:val="20"/>
          <w:szCs w:val="20"/>
          <w:lang w:val="en-US"/>
        </w:rPr>
        <w:t>5% to 85</w:t>
      </w:r>
      <w:r w:rsidR="008D0367" w:rsidRPr="006D5977">
        <w:rPr>
          <w:rFonts w:ascii="Arial" w:hAnsi="Arial" w:cs="Arial"/>
          <w:bCs/>
          <w:sz w:val="20"/>
          <w:szCs w:val="20"/>
          <w:lang w:val="en-US"/>
        </w:rPr>
        <w:t>,</w:t>
      </w:r>
      <w:r w:rsidRPr="006D5977">
        <w:rPr>
          <w:rFonts w:ascii="Arial" w:hAnsi="Arial" w:cs="Arial"/>
          <w:bCs/>
          <w:sz w:val="20"/>
          <w:szCs w:val="20"/>
          <w:lang w:val="en-US"/>
        </w:rPr>
        <w:t>2%) and high AFP (20</w:t>
      </w:r>
      <w:r w:rsidR="008D0367" w:rsidRPr="006D5977">
        <w:rPr>
          <w:rFonts w:ascii="Arial" w:hAnsi="Arial" w:cs="Arial"/>
          <w:bCs/>
          <w:sz w:val="20"/>
          <w:szCs w:val="20"/>
          <w:lang w:val="en-US"/>
        </w:rPr>
        <w:t>,</w:t>
      </w:r>
      <w:r w:rsidRPr="006D5977">
        <w:rPr>
          <w:rFonts w:ascii="Arial" w:hAnsi="Arial" w:cs="Arial"/>
          <w:bCs/>
          <w:sz w:val="20"/>
          <w:szCs w:val="20"/>
          <w:lang w:val="en-US"/>
        </w:rPr>
        <w:t>73 to 29%), as well as good WHC (52</w:t>
      </w:r>
      <w:r w:rsidR="008D0367" w:rsidRPr="006D5977">
        <w:rPr>
          <w:rFonts w:ascii="Arial" w:hAnsi="Arial" w:cs="Arial"/>
          <w:bCs/>
          <w:sz w:val="20"/>
          <w:szCs w:val="20"/>
          <w:lang w:val="en-US"/>
        </w:rPr>
        <w:t>,</w:t>
      </w:r>
      <w:r w:rsidRPr="006D5977">
        <w:rPr>
          <w:rFonts w:ascii="Arial" w:hAnsi="Arial" w:cs="Arial"/>
          <w:bCs/>
          <w:sz w:val="20"/>
          <w:szCs w:val="20"/>
          <w:lang w:val="en-US"/>
        </w:rPr>
        <w:t>27 to 56</w:t>
      </w:r>
      <w:r w:rsidR="008D0367" w:rsidRPr="006D5977">
        <w:rPr>
          <w:rFonts w:ascii="Arial" w:hAnsi="Arial" w:cs="Arial"/>
          <w:bCs/>
          <w:sz w:val="20"/>
          <w:szCs w:val="20"/>
          <w:lang w:val="en-US"/>
        </w:rPr>
        <w:t>,</w:t>
      </w:r>
      <w:r w:rsidRPr="006D5977">
        <w:rPr>
          <w:rFonts w:ascii="Arial" w:hAnsi="Arial" w:cs="Arial"/>
          <w:bCs/>
          <w:sz w:val="20"/>
          <w:szCs w:val="20"/>
          <w:lang w:val="en-US"/>
        </w:rPr>
        <w:t>33%). Similarly, they have a higher K</w:t>
      </w:r>
      <w:r w:rsidRPr="006D5977">
        <w:rPr>
          <w:rFonts w:ascii="Arial" w:hAnsi="Arial" w:cs="Arial"/>
          <w:bCs/>
          <w:sz w:val="20"/>
          <w:szCs w:val="20"/>
          <w:vertAlign w:val="subscript"/>
          <w:lang w:val="en-US"/>
        </w:rPr>
        <w:t>2</w:t>
      </w:r>
      <w:r w:rsidRPr="006D5977">
        <w:rPr>
          <w:rFonts w:ascii="Arial" w:hAnsi="Arial" w:cs="Arial"/>
          <w:bCs/>
          <w:sz w:val="20"/>
          <w:szCs w:val="20"/>
          <w:lang w:val="en-US"/>
        </w:rPr>
        <w:t>O content (1</w:t>
      </w:r>
      <w:r w:rsidR="008D0367" w:rsidRPr="006D5977">
        <w:rPr>
          <w:rFonts w:ascii="Arial" w:hAnsi="Arial" w:cs="Arial"/>
          <w:bCs/>
          <w:sz w:val="20"/>
          <w:szCs w:val="20"/>
          <w:lang w:val="en-US"/>
        </w:rPr>
        <w:t>,</w:t>
      </w:r>
      <w:r w:rsidRPr="006D5977">
        <w:rPr>
          <w:rFonts w:ascii="Arial" w:hAnsi="Arial" w:cs="Arial"/>
          <w:bCs/>
          <w:sz w:val="20"/>
          <w:szCs w:val="20"/>
          <w:lang w:val="en-US"/>
        </w:rPr>
        <w:t>6 – 2</w:t>
      </w:r>
      <w:r w:rsidR="008D0367" w:rsidRPr="006D5977">
        <w:rPr>
          <w:rFonts w:ascii="Arial" w:hAnsi="Arial" w:cs="Arial"/>
          <w:bCs/>
          <w:sz w:val="20"/>
          <w:szCs w:val="20"/>
          <w:lang w:val="en-US"/>
        </w:rPr>
        <w:t>,</w:t>
      </w:r>
      <w:r w:rsidRPr="006D5977">
        <w:rPr>
          <w:rFonts w:ascii="Arial" w:hAnsi="Arial" w:cs="Arial"/>
          <w:bCs/>
          <w:sz w:val="20"/>
          <w:szCs w:val="20"/>
          <w:lang w:val="en-US"/>
        </w:rPr>
        <w:t>18%) and a higher pH (7</w:t>
      </w:r>
      <w:r w:rsidR="008D0367" w:rsidRPr="006D5977">
        <w:rPr>
          <w:rFonts w:ascii="Arial" w:hAnsi="Arial" w:cs="Arial"/>
          <w:bCs/>
          <w:sz w:val="20"/>
          <w:szCs w:val="20"/>
          <w:lang w:val="en-US"/>
        </w:rPr>
        <w:t>,</w:t>
      </w:r>
      <w:r w:rsidRPr="006D5977">
        <w:rPr>
          <w:rFonts w:ascii="Arial" w:hAnsi="Arial" w:cs="Arial"/>
          <w:bCs/>
          <w:sz w:val="20"/>
          <w:szCs w:val="20"/>
          <w:lang w:val="en-US"/>
        </w:rPr>
        <w:t xml:space="preserve">9 -8,67). On the other hand, </w:t>
      </w:r>
      <w:r w:rsidR="00DD0456" w:rsidRPr="006D5977">
        <w:rPr>
          <w:rFonts w:ascii="Arial" w:hAnsi="Arial" w:cs="Arial"/>
          <w:bCs/>
          <w:sz w:val="20"/>
          <w:szCs w:val="20"/>
          <w:lang w:val="en-US"/>
        </w:rPr>
        <w:t>growing media</w:t>
      </w:r>
      <w:r w:rsidRPr="006D5977">
        <w:rPr>
          <w:rFonts w:ascii="Arial" w:hAnsi="Arial" w:cs="Arial"/>
          <w:bCs/>
          <w:sz w:val="20"/>
          <w:szCs w:val="20"/>
          <w:lang w:val="en-US"/>
        </w:rPr>
        <w:t>s rich in Tricho-compost (SA, SD) are denser (BD between 0</w:t>
      </w:r>
      <w:r w:rsidR="008D0367" w:rsidRPr="006D5977">
        <w:rPr>
          <w:rFonts w:ascii="Arial" w:hAnsi="Arial" w:cs="Arial"/>
          <w:bCs/>
          <w:sz w:val="20"/>
          <w:szCs w:val="20"/>
          <w:lang w:val="en-US"/>
        </w:rPr>
        <w:t>,</w:t>
      </w:r>
      <w:r w:rsidRPr="006D5977">
        <w:rPr>
          <w:rFonts w:ascii="Arial" w:hAnsi="Arial" w:cs="Arial"/>
          <w:bCs/>
          <w:sz w:val="20"/>
          <w:szCs w:val="20"/>
          <w:lang w:val="en-US"/>
        </w:rPr>
        <w:t>610 and 0,626 g/cm3), less porous (PT and PA respectively between 57 and 62</w:t>
      </w:r>
      <w:r w:rsidR="008D0367" w:rsidRPr="006D5977">
        <w:rPr>
          <w:rFonts w:ascii="Arial" w:hAnsi="Arial" w:cs="Arial"/>
          <w:bCs/>
          <w:sz w:val="20"/>
          <w:szCs w:val="20"/>
          <w:lang w:val="en-US"/>
        </w:rPr>
        <w:t>,</w:t>
      </w:r>
      <w:r w:rsidRPr="006D5977">
        <w:rPr>
          <w:rFonts w:ascii="Arial" w:hAnsi="Arial" w:cs="Arial"/>
          <w:bCs/>
          <w:sz w:val="20"/>
          <w:szCs w:val="20"/>
          <w:lang w:val="en-US"/>
        </w:rPr>
        <w:t>4% and 8,93 and 10,87%). They also have richer N (1</w:t>
      </w:r>
      <w:r w:rsidR="008D0367" w:rsidRPr="006D5977">
        <w:rPr>
          <w:rFonts w:ascii="Arial" w:hAnsi="Arial" w:cs="Arial"/>
          <w:bCs/>
          <w:sz w:val="20"/>
          <w:szCs w:val="20"/>
          <w:lang w:val="en-US"/>
        </w:rPr>
        <w:t>,</w:t>
      </w:r>
      <w:r w:rsidRPr="006D5977">
        <w:rPr>
          <w:rFonts w:ascii="Arial" w:hAnsi="Arial" w:cs="Arial"/>
          <w:bCs/>
          <w:sz w:val="20"/>
          <w:szCs w:val="20"/>
          <w:lang w:val="en-US"/>
        </w:rPr>
        <w:t>38 – 1</w:t>
      </w:r>
      <w:r w:rsidR="008D0367" w:rsidRPr="006D5977">
        <w:rPr>
          <w:rFonts w:ascii="Arial" w:hAnsi="Arial" w:cs="Arial"/>
          <w:bCs/>
          <w:sz w:val="20"/>
          <w:szCs w:val="20"/>
          <w:lang w:val="en-US"/>
        </w:rPr>
        <w:t>,</w:t>
      </w:r>
      <w:r w:rsidRPr="006D5977">
        <w:rPr>
          <w:rFonts w:ascii="Arial" w:hAnsi="Arial" w:cs="Arial"/>
          <w:bCs/>
          <w:sz w:val="20"/>
          <w:szCs w:val="20"/>
          <w:lang w:val="en-US"/>
        </w:rPr>
        <w:t>78%) and, P</w:t>
      </w:r>
      <w:r w:rsidRPr="006D5977">
        <w:rPr>
          <w:rFonts w:ascii="Arial" w:hAnsi="Arial" w:cs="Arial"/>
          <w:bCs/>
          <w:sz w:val="20"/>
          <w:szCs w:val="20"/>
          <w:vertAlign w:val="subscript"/>
          <w:lang w:val="en-US"/>
        </w:rPr>
        <w:t>2</w:t>
      </w:r>
      <w:r w:rsidRPr="006D5977">
        <w:rPr>
          <w:rFonts w:ascii="Arial" w:hAnsi="Arial" w:cs="Arial"/>
          <w:bCs/>
          <w:sz w:val="20"/>
          <w:szCs w:val="20"/>
          <w:lang w:val="en-US"/>
        </w:rPr>
        <w:t>O</w:t>
      </w:r>
      <w:r w:rsidRPr="006D5977">
        <w:rPr>
          <w:rFonts w:ascii="Arial" w:hAnsi="Arial" w:cs="Arial"/>
          <w:bCs/>
          <w:sz w:val="20"/>
          <w:szCs w:val="20"/>
          <w:vertAlign w:val="subscript"/>
          <w:lang w:val="en-US"/>
        </w:rPr>
        <w:t>5</w:t>
      </w:r>
      <w:r w:rsidRPr="006D5977">
        <w:rPr>
          <w:rFonts w:ascii="Arial" w:hAnsi="Arial" w:cs="Arial"/>
          <w:bCs/>
          <w:sz w:val="20"/>
          <w:szCs w:val="20"/>
          <w:lang w:val="en-US"/>
        </w:rPr>
        <w:t xml:space="preserve"> (0</w:t>
      </w:r>
      <w:r w:rsidR="008D0367" w:rsidRPr="006D5977">
        <w:rPr>
          <w:rFonts w:ascii="Arial" w:hAnsi="Arial" w:cs="Arial"/>
          <w:bCs/>
          <w:sz w:val="20"/>
          <w:szCs w:val="20"/>
          <w:lang w:val="en-US"/>
        </w:rPr>
        <w:t>,</w:t>
      </w:r>
      <w:r w:rsidRPr="006D5977">
        <w:rPr>
          <w:rFonts w:ascii="Arial" w:hAnsi="Arial" w:cs="Arial"/>
          <w:bCs/>
          <w:sz w:val="20"/>
          <w:szCs w:val="20"/>
          <w:lang w:val="en-US"/>
        </w:rPr>
        <w:t>66 – 0</w:t>
      </w:r>
      <w:r w:rsidR="008D0367" w:rsidRPr="006D5977">
        <w:rPr>
          <w:rFonts w:ascii="Arial" w:hAnsi="Arial" w:cs="Arial"/>
          <w:bCs/>
          <w:sz w:val="20"/>
          <w:szCs w:val="20"/>
          <w:lang w:val="en-US"/>
        </w:rPr>
        <w:t>,</w:t>
      </w:r>
      <w:r w:rsidRPr="006D5977">
        <w:rPr>
          <w:rFonts w:ascii="Arial" w:hAnsi="Arial" w:cs="Arial"/>
          <w:bCs/>
          <w:sz w:val="20"/>
          <w:szCs w:val="20"/>
          <w:lang w:val="en-US"/>
        </w:rPr>
        <w:t>75%) a higher EC (3,31 – 3</w:t>
      </w:r>
      <w:r w:rsidR="008D0367" w:rsidRPr="006D5977">
        <w:rPr>
          <w:rFonts w:ascii="Arial" w:hAnsi="Arial" w:cs="Arial"/>
          <w:bCs/>
          <w:sz w:val="20"/>
          <w:szCs w:val="20"/>
          <w:lang w:val="en-US"/>
        </w:rPr>
        <w:t>,</w:t>
      </w:r>
      <w:r w:rsidRPr="006D5977">
        <w:rPr>
          <w:rFonts w:ascii="Arial" w:hAnsi="Arial" w:cs="Arial"/>
          <w:bCs/>
          <w:sz w:val="20"/>
          <w:szCs w:val="20"/>
          <w:lang w:val="en-US"/>
        </w:rPr>
        <w:t xml:space="preserve">97 (mS/cm). All </w:t>
      </w:r>
      <w:r w:rsidR="00DD0456" w:rsidRPr="006D5977">
        <w:rPr>
          <w:rFonts w:ascii="Arial" w:hAnsi="Arial" w:cs="Arial"/>
          <w:bCs/>
          <w:sz w:val="20"/>
          <w:szCs w:val="20"/>
          <w:lang w:val="en-US"/>
        </w:rPr>
        <w:t>growing media</w:t>
      </w:r>
      <w:r w:rsidRPr="006D5977">
        <w:rPr>
          <w:rFonts w:ascii="Arial" w:hAnsi="Arial" w:cs="Arial"/>
          <w:bCs/>
          <w:sz w:val="20"/>
          <w:szCs w:val="20"/>
          <w:lang w:val="en-US"/>
        </w:rPr>
        <w:t>s meet the OM (&gt; 40%) and NPK (&lt;5%) content standards. SB and SC blends offer the best balance between physical and chemical properties. These results offer interesting prospects for the total or partial replacement of peat in soilless horticulture.</w:t>
      </w:r>
    </w:p>
    <w:p w:rsidR="000C665C" w:rsidRPr="006D5977" w:rsidRDefault="000C665C" w:rsidP="000C665C">
      <w:pPr>
        <w:spacing w:line="240" w:lineRule="auto"/>
        <w:jc w:val="both"/>
        <w:rPr>
          <w:rFonts w:ascii="Arial" w:hAnsi="Arial" w:cs="Arial"/>
          <w:bCs/>
          <w:sz w:val="20"/>
          <w:szCs w:val="20"/>
          <w:lang w:val="en-US"/>
        </w:rPr>
      </w:pPr>
      <w:r w:rsidRPr="006D5977">
        <w:rPr>
          <w:rFonts w:ascii="Arial" w:hAnsi="Arial" w:cs="Arial"/>
          <w:b/>
          <w:sz w:val="20"/>
          <w:szCs w:val="20"/>
          <w:lang w:val="en-US"/>
        </w:rPr>
        <w:t>Keywords</w:t>
      </w:r>
      <w:r w:rsidRPr="006D5977">
        <w:rPr>
          <w:rFonts w:ascii="Arial" w:hAnsi="Arial" w:cs="Arial"/>
          <w:bCs/>
          <w:sz w:val="20"/>
          <w:szCs w:val="20"/>
          <w:lang w:val="en-US"/>
        </w:rPr>
        <w:t>: Tricho-compost, rice hu</w:t>
      </w:r>
      <w:r w:rsidR="008D0367" w:rsidRPr="006D5977">
        <w:rPr>
          <w:rFonts w:ascii="Arial" w:hAnsi="Arial" w:cs="Arial"/>
          <w:bCs/>
          <w:sz w:val="20"/>
          <w:szCs w:val="20"/>
          <w:lang w:val="en-US"/>
        </w:rPr>
        <w:t>sk</w:t>
      </w:r>
      <w:r w:rsidRPr="006D5977">
        <w:rPr>
          <w:rFonts w:ascii="Arial" w:hAnsi="Arial" w:cs="Arial"/>
          <w:bCs/>
          <w:sz w:val="20"/>
          <w:szCs w:val="20"/>
          <w:lang w:val="en-US"/>
        </w:rPr>
        <w:t xml:space="preserve"> biochar, porosity, Air filled porosity, bulk density, Water holding capacity</w:t>
      </w:r>
    </w:p>
    <w:p w:rsidR="000867E8" w:rsidRPr="006D5977" w:rsidRDefault="000867E8" w:rsidP="005D29FE">
      <w:pPr>
        <w:spacing w:line="240" w:lineRule="auto"/>
        <w:rPr>
          <w:rFonts w:ascii="Arial" w:hAnsi="Arial" w:cs="Arial"/>
          <w:sz w:val="20"/>
          <w:szCs w:val="20"/>
          <w:lang w:val="en-US"/>
        </w:rPr>
      </w:pPr>
    </w:p>
    <w:p w:rsidR="000867E8" w:rsidRPr="006D5977" w:rsidRDefault="000867E8" w:rsidP="005D29FE">
      <w:pPr>
        <w:spacing w:line="240" w:lineRule="auto"/>
        <w:rPr>
          <w:rFonts w:ascii="Arial" w:hAnsi="Arial" w:cs="Arial"/>
          <w:sz w:val="20"/>
          <w:szCs w:val="20"/>
          <w:lang w:val="en-US"/>
        </w:rPr>
      </w:pPr>
    </w:p>
    <w:p w:rsidR="00A007C0" w:rsidRPr="006D5977" w:rsidRDefault="00A007C0" w:rsidP="005D29FE">
      <w:pPr>
        <w:pStyle w:val="Heading1"/>
        <w:numPr>
          <w:ilvl w:val="0"/>
          <w:numId w:val="19"/>
        </w:numPr>
        <w:rPr>
          <w:rFonts w:ascii="Arial" w:hAnsi="Arial" w:cs="Arial"/>
          <w:sz w:val="22"/>
          <w:szCs w:val="22"/>
        </w:rPr>
      </w:pPr>
      <w:r w:rsidRPr="006D5977">
        <w:rPr>
          <w:rFonts w:ascii="Arial" w:hAnsi="Arial" w:cs="Arial"/>
          <w:sz w:val="22"/>
          <w:szCs w:val="22"/>
        </w:rPr>
        <w:t>Introduction</w:t>
      </w:r>
      <w:bookmarkEnd w:id="0"/>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Peat is the most widely used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component in agriculture, due to its excellent combination of physicochemical properties</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{"citationID":"M3N9Vw7M","properties":{"formattedCitation":"(Bembli &amp; M\\uc0\\u8217{}Sadak, 2017)","plainCitation":"(Bembli &amp; M’Sadak, 2017)","noteIndex":0},"citationItems":[{"id":757,"uris":["http://zotero.org/users/6654317/items/HFVE3IQM"],"itemData":{"id":757,"type":"article-journal","container-title":"Algerian Journal of Arid Environment “AJAE”","issue":"1","page":"14","source":"Google Scholar","title":"Comportement hors sol des plants de tomate sur substrats de culture à base de tourbe en mélange avec compost sylvicole","volume":"7","author":[{"family":"Bembli","given":"Houda"},{"family":"M'Sadak","given":"Youssef"}],"issued":{"date-parts":[["2017"]]}}}],"schema":"https://github.com/citation-style-language/schema/raw/master/csl-citation.json"}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szCs w:val="24"/>
          <w:lang w:val="en-US"/>
        </w:rPr>
        <w:t>(Bembli &amp; M’Sadak, 2017)</w:t>
      </w:r>
      <w:r w:rsidR="00F0347E" w:rsidRPr="006D5977">
        <w:rPr>
          <w:rFonts w:ascii="Arial" w:hAnsi="Arial" w:cs="Arial"/>
          <w:sz w:val="20"/>
          <w:szCs w:val="20"/>
          <w:lang w:val="en-US"/>
        </w:rPr>
        <w:fldChar w:fldCharType="end"/>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{"citationID":"PH0rG9Ms","properties":{"formattedCitation":"(\\uc0\\u193{}lvarez et al., 2017)","plainCitation":"(Álvarez et al., 2017)","noteIndex":0},"citationItems":[{"id":994,"uris":["http://zotero.org/users/6654317/items/EYDA34V7"],"itemData":{"id":994,"type":"article-journal","abstract":"Peat is the most widely used substrate component and extensively used in greenhouse cultivation, landfill cover soils, urban parks and gardens, urban agriculture or green roofs, due to its excellent combination of physicochemical properties. The production of hydrochar by hydrothermal carbonization (a process at lower temperatures than pyrolysis and using wet conditions) could industrially reproduce the initial conditions of biomass humification and lead to materials with similar properties to those of peat. The objective of this work was to compare peat (PT, Control), a hydrochar prepared from biosolids (HSL), a hydrochar prepared from the organic fraction of urban wastes (HUW) and two mixtures (PT + HSL and PT + HUW) at a 50% volume rate for their potential use as substrates with multiple applications. Ryegrass was established at a rate of 40 g seeds cm−2 in the potting mixtures. Hydrophysical and biochemical properties (microbial biomass and the enzymes dehydrogenase, β-glucosidase and phosphomonoesterase) were analyzed for PT, HSL, HUV and their combination (PT + HSL and PT + HUW). Treatments with biosolids hydrochar increased ryegrass production by 184% (HSL) and by 216% (PT + HSL) dry weight compared to the control (peat). Biochemical properties depended strongly on hydrochar type, while the hydrophysical properties of the hydrochars were similar to those of peat. Overall, our results found hydrochar–peat mixtures (PT + HSL and PT + HUW) to be suitable for the preparation of growing media. Copyright © 2017 John Wiley &amp; Sons, Ltd.","container-title":"Land Degradation &amp; Development","DOI":"10.1002/ldr.2756","ISSN":"1099-145X","issue":"7","language":"en","note":"_eprint: https://onlinelibrary.wiley.com/doi/pdf/10.1002/ldr.2756","page":"2268-2276","source":"Wiley Online Library","title":"Hydrochars from Biosolids and Urban Wastes as Substitute Materials for Peat","volume":"28","author":[{"family":"Álvarez","given":"María Luisa"},{"family":"Gascó","given":"Gabriel"},{"family":"Plaza","given":"César"},{"family":"Paz-Ferreiro","given":"Jorge"},{"family":"Méndez","given":"Ana"}],"issued":{"date-parts":[["2017"]]}}}],"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szCs w:val="24"/>
        </w:rPr>
        <w:t>(Álvarez et al., 2017)</w:t>
      </w:r>
      <w:r w:rsidR="00F0347E" w:rsidRPr="006D5977">
        <w:rPr>
          <w:rFonts w:ascii="Arial" w:hAnsi="Arial" w:cs="Arial"/>
          <w:sz w:val="20"/>
          <w:szCs w:val="20"/>
          <w:lang w:val="en-US"/>
        </w:rPr>
        <w:fldChar w:fldCharType="end"/>
      </w:r>
      <w:r w:rsidR="00DE1D8E" w:rsidRPr="006D5977">
        <w:rPr>
          <w:rFonts w:ascii="Arial" w:hAnsi="Arial" w:cs="Arial"/>
          <w:sz w:val="20"/>
          <w:szCs w:val="20"/>
          <w:lang w:val="en-US"/>
        </w:rPr>
        <w:t xml:space="preserve">. </w:t>
      </w:r>
      <w:r w:rsidRPr="006D5977">
        <w:rPr>
          <w:rFonts w:ascii="Arial" w:hAnsi="Arial" w:cs="Arial"/>
          <w:sz w:val="20"/>
          <w:szCs w:val="20"/>
          <w:lang w:val="en-US"/>
        </w:rPr>
        <w:t>However, peat-based growing media are not ecologically sustainable, and its extraction threatens the sensitive peatland ecosystem</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{"citationID":"HSZ3wiLJ","properties":{"formattedCitation":"(Chrysargyris et al., 2018)","plainCitation":"(Chrysargyris et al., 2018)","noteIndex":0},"citationItems":[{"id":2387,"uris":["http://zotero.org/users/6654317/items/TFP6WNY4","http://zotero.org/users/6654317/items/JLGXHHDH"],"itemData":{"id":2387,"type":"article-journal","container-title":"Environmental Science and Pollution Research","DOI":"10.1007/s11356-017-1187-4","ISSN":"0944-1344, 1614-7499","issue":"36","journalAbbreviation":"Environ Sci Pollut Res","language":"en","page":"35915-35927","source":"DOI.org (Crossref)","title":"Alternative soilless media using olive-mill and paper waste for growing ornamental plants","volume":"25","author":[{"family":"Chrysargyris","given":"Antonios"},{"family":"Antoniou","given":"Omiros"},{"family":"Tzionis","given":"Andreas"},{"family":"Prasad","given":"Munoo"},{"family":"Tzortzakis","given":"Nikolaos"}],"issued":{"date-parts":[["2018",12]]}}}],"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(Chrysargyris et al., 2018)</w:t>
      </w:r>
      <w:r w:rsidR="00F0347E" w:rsidRPr="006D5977">
        <w:rPr>
          <w:rFonts w:ascii="Arial" w:hAnsi="Arial" w:cs="Arial"/>
          <w:sz w:val="20"/>
          <w:szCs w:val="20"/>
          <w:lang w:val="en-US"/>
        </w:rPr>
        <w:fldChar w:fldCharType="end"/>
      </w:r>
      <w:r w:rsidRPr="006D5977">
        <w:rPr>
          <w:rFonts w:ascii="Arial" w:hAnsi="Arial" w:cs="Arial"/>
          <w:sz w:val="20"/>
          <w:szCs w:val="20"/>
          <w:lang w:val="en-US"/>
        </w:rPr>
        <w:t>.</w:t>
      </w:r>
    </w:p>
    <w:p w:rsidR="00BF3C87" w:rsidRPr="006D5977" w:rsidRDefault="00F56C43" w:rsidP="005D29FE">
      <w:pPr>
        <w:spacing w:line="240" w:lineRule="auto"/>
        <w:jc w:val="both"/>
        <w:rPr>
          <w:rFonts w:ascii="Arial" w:hAnsi="Arial" w:cs="Arial"/>
          <w:sz w:val="20"/>
          <w:szCs w:val="20"/>
          <w:lang w:val="en-US"/>
        </w:rPr>
      </w:pPr>
      <w:r w:rsidRPr="006D5977">
        <w:rPr>
          <w:rFonts w:ascii="Arial" w:hAnsi="Arial" w:cs="Arial"/>
          <w:sz w:val="20"/>
          <w:szCs w:val="20"/>
          <w:lang w:val="en-US"/>
        </w:rPr>
        <w:t>Given this situation, the search for sustainable alternatives is essential. This is why renewable materials from agricultural, industrial, and municipal waste streams have received particular attention</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{"citationID":"8O1aZjDV","properties":{"formattedCitation":"(Barrett et al., 2016)","plainCitation":"(Barrett et al., 2016)","noteIndex":0},"citationItems":[{"id":1311,"uris":["http://zotero.org/users/6654317/items/TGTCGDBK","http://zotero.org/users/6654317/items/BJWPUBAP"],"itemData":{"id":1311,"type":"article-journal","abstract":"Soilless cultivation is recognized globally for its ability to support efficient and intensive plant production. While production systems vary, most utilize a porous substrate or growing medium for plant provision of water and nutrients. Until relatively recently, the main drivers for the selection of the component materials in growing media were largely based on performance and economic considerations. However, increasing concern over the environmental impacts of some commonly used materials, has led researchers to identify and assess more environmentally sound alternatives. There has been an understandable focus on renewable materials from agricultural, industrial and municipal waste streams; while many of these show promise at an experimental level, few have been taken up on a significant scale. To ensure continued growth and sustainable development of soilless cultivation, it is vital that effective and environmentally sustainable materials for growing media are identified. Here we describe the factors influencing material selection, and review the most commonly used organic materials in relation to these. We summarise some of the renewable, primary and waste stream materials that have been investigated to date, highlighting the benefits and challenges associated with their uptake. In response to the need for researchers to better identify promising new materials, we present an evidence-based argument for a more consistent approach to characterising growing media and for a clearer understanding of the practical and economic realities of modern soilless cultivation systems.","container-title":"Scientia Horticulturae","DOI":"10.1016/j.scienta.2016.09.030","ISSN":"0304-4238","journalAbbreviation":"Scientia Horticulturae","language":"en","page":"220-234","source":"ScienceDirect","title":"Achieving environmentally sustainable growing media for soilless plant cultivation systems – A review","volume":"212","author":[{"family":"Barrett","given":"G. E."},{"family":"Alexander","given":"P. D."},{"family":"Robinson","given":"J. S."},{"family":"Bragg","given":"N. C."}],"issued":{"date-parts":[["2016",11,22]]}}}],"schema":"https://github.com/citation-style-language/schema/raw/master/csl-citation.json"}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(Barrett et al., 2016)</w:t>
      </w:r>
      <w:r w:rsidR="00F0347E" w:rsidRPr="006D5977">
        <w:rPr>
          <w:rFonts w:ascii="Arial" w:hAnsi="Arial" w:cs="Arial"/>
          <w:sz w:val="20"/>
          <w:szCs w:val="20"/>
        </w:rPr>
        <w:fldChar w:fldCharType="end"/>
      </w:r>
      <w:r w:rsidR="00BF3C87" w:rsidRPr="006D5977">
        <w:rPr>
          <w:rFonts w:ascii="Arial" w:hAnsi="Arial" w:cs="Arial"/>
          <w:sz w:val="20"/>
          <w:szCs w:val="20"/>
          <w:lang w:val="en-US"/>
        </w:rPr>
        <w:t>.</w:t>
      </w:r>
    </w:p>
    <w:p w:rsidR="00A007C0" w:rsidRPr="006D5977" w:rsidRDefault="00BF3C87" w:rsidP="005D29FE">
      <w:pPr>
        <w:spacing w:line="240" w:lineRule="auto"/>
        <w:jc w:val="both"/>
        <w:rPr>
          <w:rFonts w:ascii="Arial" w:hAnsi="Arial" w:cs="Arial"/>
          <w:color w:val="FF0000"/>
          <w:sz w:val="20"/>
          <w:szCs w:val="20"/>
          <w:lang w:val="en-US"/>
        </w:rPr>
      </w:pPr>
      <w:r w:rsidRPr="006D5977">
        <w:rPr>
          <w:rFonts w:ascii="Arial" w:hAnsi="Arial" w:cs="Arial"/>
          <w:sz w:val="20"/>
          <w:szCs w:val="20"/>
          <w:lang w:val="en-US"/>
        </w:rPr>
        <w:t>For this purpose, materials such as compost, coconut fiber, bark, and wood fibers show promising potential. They offer good physical properties and can partially or completely replace peat</w:t>
      </w:r>
      <w:r w:rsidR="00F0347E" w:rsidRPr="006D5977">
        <w:rPr>
          <w:rFonts w:ascii="Arial" w:eastAsia="Times New Roman" w:hAnsi="Arial" w:cs="Arial"/>
          <w:sz w:val="20"/>
          <w:szCs w:val="20"/>
          <w:lang w:eastAsia="fr-FR"/>
        </w:rPr>
        <w:fldChar w:fldCharType="begin"/>
      </w:r>
      <w:r w:rsidR="00F1149B">
        <w:rPr>
          <w:rFonts w:ascii="Arial" w:eastAsia="Times New Roman" w:hAnsi="Arial" w:cs="Arial"/>
          <w:sz w:val="20"/>
          <w:szCs w:val="20"/>
          <w:lang w:val="en-US" w:eastAsia="fr-FR"/>
        </w:rPr>
        <w:instrText xml:space="preserve"> ADDIN ZOTERO_ITEM CSL_CITATION {"citationID":"HxG0ubxZ","properties":{"formattedCitation":"(Gruda, 2019)","plainCitation":"(Gruda, 2019)","noteIndex":0},"citationItems":[{"id":2398,"uris":["http://zotero.org/users/local/MzRjPaDh/items/REGBEESE","http://zotero.org/users/6654317/items/REGBEESE"],"itemData":{"id":2398,"type":"article-journal","abstract":"Decreasing arable land, rising urbanization, water scarcity, and climate change exert pressure on agricultural producers. Moving from soil to soilless culture systems can improve water use efficiency, especially in closed-loop systems with a recirculating water/nutrient solution that recaptures the drain water for reuse. However, the question of alternative materials to peat and rockwool, as horticultural substrates, has become increasingly important, due to the despoiling of ecologically important peat bog areas and a pervasive waste problem. In this paper, we provide a comprehensive critical review of current developments in soilless culture, growing media, and future options of using different materials other than peat and rockwool. Apart from growing media properties and their performance from the point of view of plant production, economic and environmental factors are also important. Climate change, CO2 emissions, and other ecological issues will determine and drive the development of soilless culture systems and the choice of growing media in the near future. Bioresources, e.g., treated and untreated waste, as well as renewable raw materials, have great potential to be used as growing media constituents and stand-alone substrates. A waste management strategy aimed at reducing, reusing, and recycling should be further and stronger applied in soilless culture systems. We concluded that the growing media of the future must be available, affordable, and sustainable and meet both quality and environmental requirements from growers and society, respectively.","container-title":"Agronomy","DOI":"10.3390/agronomy9060298","ISSN":"2073-4395","issue":"6","language":"en","license":"http://creativecommons.org/licenses/by/3.0/","note":"number: 6\npublisher: Multidisciplinary Digital Publishing Institute","page":"298","source":"www.mdpi.com","title":"Increasing Sustainability of Growing Media Constituents and Stand-Alone Substrates in Soilless Culture Systems","volume":"9","author":[{"family":"Gruda","given":"Nazim S."}],"issued":{"date-parts":[["2019",6]]}}}],"schema":"https://github.com/citation-style-language/schema/raw/master/csl-citation.json"} </w:instrText>
      </w:r>
      <w:r w:rsidR="00F0347E" w:rsidRPr="006D5977">
        <w:rPr>
          <w:rFonts w:ascii="Arial" w:eastAsia="Times New Roman" w:hAnsi="Arial" w:cs="Arial"/>
          <w:sz w:val="20"/>
          <w:szCs w:val="20"/>
          <w:lang w:eastAsia="fr-FR"/>
        </w:rPr>
        <w:fldChar w:fldCharType="separate"/>
      </w:r>
      <w:r w:rsidR="00F1149B" w:rsidRPr="00F1149B">
        <w:rPr>
          <w:rFonts w:ascii="Arial" w:hAnsi="Arial" w:cs="Arial"/>
          <w:sz w:val="20"/>
          <w:lang w:val="en-US"/>
        </w:rPr>
        <w:t>(Gruda, 2019)</w:t>
      </w:r>
      <w:r w:rsidR="00F0347E" w:rsidRPr="006D5977">
        <w:rPr>
          <w:rFonts w:ascii="Arial" w:eastAsia="Times New Roman" w:hAnsi="Arial" w:cs="Arial"/>
          <w:sz w:val="20"/>
          <w:szCs w:val="20"/>
          <w:lang w:eastAsia="fr-FR"/>
        </w:rPr>
        <w:fldChar w:fldCharType="end"/>
      </w:r>
      <w:r w:rsidR="00304590" w:rsidRPr="006D5977">
        <w:rPr>
          <w:rFonts w:ascii="Arial" w:eastAsia="Times New Roman" w:hAnsi="Arial" w:cs="Arial"/>
          <w:sz w:val="20"/>
          <w:szCs w:val="20"/>
          <w:lang w:val="en-US" w:eastAsia="fr-FR"/>
        </w:rPr>
        <w:t>.</w:t>
      </w:r>
    </w:p>
    <w:p w:rsidR="00A007C0" w:rsidRPr="006D5977" w:rsidRDefault="00F56C43"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Choosing a growing medium for soilless vegetable production is very important. An optimal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must have a stable structure, high porosity, good water </w:t>
      </w:r>
      <w:r w:rsidR="000E1336" w:rsidRPr="006D5977">
        <w:rPr>
          <w:rFonts w:ascii="Arial" w:hAnsi="Arial" w:cs="Arial"/>
          <w:sz w:val="20"/>
          <w:szCs w:val="20"/>
          <w:lang w:val="en-US"/>
        </w:rPr>
        <w:t>holding</w:t>
      </w:r>
      <w:r w:rsidRPr="006D5977">
        <w:rPr>
          <w:rFonts w:ascii="Arial" w:hAnsi="Arial" w:cs="Arial"/>
          <w:sz w:val="20"/>
          <w:szCs w:val="20"/>
          <w:lang w:val="en-US"/>
        </w:rPr>
        <w:t xml:space="preserve"> capacity, acceptable nutrient content, good absorption capacity, and be free of harmful microorganisms</w:t>
      </w:r>
      <w:r w:rsidR="00F0347E" w:rsidRPr="006D5977">
        <w:rPr>
          <w:rFonts w:ascii="Arial" w:hAnsi="Arial" w:cs="Arial"/>
          <w:sz w:val="20"/>
          <w:szCs w:val="20"/>
          <w:lang w:eastAsia="fr-FR"/>
        </w:rPr>
        <w:fldChar w:fldCharType="begin"/>
      </w:r>
      <w:r w:rsidR="00F1149B">
        <w:rPr>
          <w:rFonts w:ascii="Arial" w:hAnsi="Arial" w:cs="Arial"/>
          <w:sz w:val="20"/>
          <w:szCs w:val="20"/>
          <w:lang w:val="en-US" w:eastAsia="fr-FR"/>
        </w:rPr>
        <w:instrText xml:space="preserve"> ADDIN ZOTERO_ITEM CSL_CITATION {"citationID":"NwlhpAeS","properties":{"formattedCitation":"(Prisa &amp; Caro, 2023)","plainCitation":"(Prisa &amp; Caro, 2023)","noteIndex":0},"citationItems":[{"id":2385,"uris":["http://zotero.org/users/6654317/items/YBML5MPM","http://zotero.org/users/6654317/items/FEYQNXYC"],"itemData":{"id":2385,"type":"article-journal","container-title":"GSC Biological and Pharmaceutical Sciences","issue":"1","note":"publisher: GSC Biological and Pharmaceutical Sciences","page":"209–220","source":"Google Scholar","title":"Alternative substrates in the cultivation of ornamental and vegetable plants","volume":"24","author":[{"family":"Prisa","given":"Domenico"},{"family":"Caro","given":"Stefano"}],"issued":{"date-parts":[["2023"]]}}}],"schema":"https://github.com/citation-style-language/schema/raw/master/csl-citation.json"} </w:instrText>
      </w:r>
      <w:r w:rsidR="00F0347E" w:rsidRPr="006D5977">
        <w:rPr>
          <w:rFonts w:ascii="Arial" w:hAnsi="Arial" w:cs="Arial"/>
          <w:sz w:val="20"/>
          <w:szCs w:val="20"/>
          <w:lang w:eastAsia="fr-FR"/>
        </w:rPr>
        <w:fldChar w:fldCharType="separate"/>
      </w:r>
      <w:r w:rsidR="00F1149B" w:rsidRPr="00F1149B">
        <w:rPr>
          <w:rFonts w:ascii="Arial" w:hAnsi="Arial" w:cs="Arial"/>
          <w:sz w:val="20"/>
          <w:lang w:val="en-US"/>
        </w:rPr>
        <w:t>(Prisa &amp; Caro, 2023)</w:t>
      </w:r>
      <w:r w:rsidR="00F0347E" w:rsidRPr="006D5977">
        <w:rPr>
          <w:rFonts w:ascii="Arial" w:hAnsi="Arial" w:cs="Arial"/>
          <w:sz w:val="20"/>
          <w:szCs w:val="20"/>
          <w:lang w:eastAsia="fr-FR"/>
        </w:rPr>
        <w:fldChar w:fldCharType="end"/>
      </w:r>
      <w:r w:rsidR="000E1336" w:rsidRPr="006D5977">
        <w:rPr>
          <w:rFonts w:ascii="Arial" w:hAnsi="Arial" w:cs="Arial"/>
          <w:sz w:val="20"/>
          <w:szCs w:val="20"/>
          <w:lang w:val="en-US" w:eastAsia="fr-FR"/>
        </w:rPr>
        <w:t xml:space="preserve">. </w:t>
      </w:r>
      <w:r w:rsidR="00A007C0" w:rsidRPr="006D5977">
        <w:rPr>
          <w:rFonts w:ascii="Arial" w:hAnsi="Arial" w:cs="Arial"/>
          <w:sz w:val="20"/>
          <w:szCs w:val="20"/>
          <w:lang w:val="en-US" w:eastAsia="fr-FR"/>
        </w:rPr>
        <w:t xml:space="preserve">It must also provide support, good anchorage, and supply water and nutrients that are readily available </w:t>
      </w:r>
      <w:r w:rsidR="00A007C0" w:rsidRPr="006D5977">
        <w:rPr>
          <w:rFonts w:ascii="Arial" w:hAnsi="Arial" w:cs="Arial"/>
          <w:sz w:val="20"/>
          <w:szCs w:val="20"/>
          <w:lang w:val="en-US" w:eastAsia="fr-FR"/>
        </w:rPr>
        <w:lastRenderedPageBreak/>
        <w:t>to the plant. It is essential that it be homogeneous so that its components are evenly distributed, thus allowing for easy absorption by the roots</w:t>
      </w:r>
      <w:r w:rsidR="00F0347E" w:rsidRPr="006D5977">
        <w:rPr>
          <w:rFonts w:ascii="Arial" w:hAnsi="Arial" w:cs="Arial"/>
          <w:sz w:val="20"/>
          <w:szCs w:val="20"/>
          <w:lang w:val="en-US" w:eastAsia="fr-FR"/>
        </w:rPr>
        <w:fldChar w:fldCharType="begin"/>
      </w:r>
      <w:r w:rsidR="00F1149B">
        <w:rPr>
          <w:rFonts w:ascii="Arial" w:hAnsi="Arial" w:cs="Arial"/>
          <w:sz w:val="20"/>
          <w:szCs w:val="20"/>
          <w:lang w:val="en-US" w:eastAsia="fr-FR"/>
        </w:rPr>
        <w:instrText xml:space="preserve"> ADDIN ZOTERO_ITEM CSL_CITATION {"citationID":"uOly2NkW","properties":{"formattedCitation":"(Prisa &amp; Caro, 2023)","plainCitation":"(Prisa &amp; Caro, 2023)","noteIndex":0},"citationItems":[{"id":2385,"uris":["http://zotero.org/users/6654317/items/YBML5MPM","http://zotero.org/users/6654317/items/FEYQNXYC"],"itemData":{"id":2385,"type":"article-journal","container-title":"GSC Biological and Pharmaceutical Sciences","issue":"1","note":"publisher: GSC Biological and Pharmaceutical Sciences","page":"209–220","source":"Google Scholar","title":"Alternative substrates in the cultivation of ornamental and vegetable plants","volume":"24","author":[{"family":"Prisa","given":"Domenico"},{"family":"Caro","given":"Stefano"}],"issued":{"date-parts":[["2023"]]}}}],"schema":"https://github.com/citation-style-language/schema/raw/master/csl-citation.json"} </w:instrText>
      </w:r>
      <w:r w:rsidR="00F0347E" w:rsidRPr="006D5977">
        <w:rPr>
          <w:rFonts w:ascii="Arial" w:hAnsi="Arial" w:cs="Arial"/>
          <w:sz w:val="20"/>
          <w:szCs w:val="20"/>
          <w:lang w:val="en-US" w:eastAsia="fr-FR"/>
        </w:rPr>
        <w:fldChar w:fldCharType="separate"/>
      </w:r>
      <w:r w:rsidR="00F1149B" w:rsidRPr="00F1149B">
        <w:rPr>
          <w:rFonts w:ascii="Arial" w:hAnsi="Arial" w:cs="Arial"/>
          <w:sz w:val="20"/>
          <w:lang w:val="en-US"/>
        </w:rPr>
        <w:t>(Prisa &amp; Caro, 2023</w:t>
      </w:r>
      <w:r w:rsidR="00F0347E" w:rsidRPr="006D5977">
        <w:rPr>
          <w:rFonts w:ascii="Arial" w:hAnsi="Arial" w:cs="Arial"/>
          <w:sz w:val="20"/>
          <w:szCs w:val="20"/>
          <w:lang w:val="en-US" w:eastAsia="fr-FR"/>
        </w:rPr>
        <w:fldChar w:fldCharType="end"/>
      </w:r>
      <w:r w:rsidR="00354F79">
        <w:rPr>
          <w:rFonts w:ascii="Arial" w:hAnsi="Arial" w:cs="Arial"/>
          <w:sz w:val="20"/>
          <w:szCs w:val="20"/>
          <w:lang w:val="en-US" w:eastAsia="fr-FR"/>
        </w:rPr>
        <w:t xml:space="preserve"> ;</w:t>
      </w:r>
      <w:r w:rsidR="00F0347E" w:rsidRPr="006D5977">
        <w:rPr>
          <w:rFonts w:ascii="Arial" w:hAnsi="Arial" w:cs="Arial"/>
          <w:sz w:val="20"/>
          <w:szCs w:val="20"/>
          <w:lang w:val="en-US" w:eastAsia="fr-FR"/>
        </w:rPr>
        <w:fldChar w:fldCharType="begin"/>
      </w:r>
      <w:r w:rsidR="00F1149B">
        <w:rPr>
          <w:rFonts w:ascii="Arial" w:hAnsi="Arial" w:cs="Arial"/>
          <w:sz w:val="20"/>
          <w:szCs w:val="20"/>
          <w:lang w:val="en-US" w:eastAsia="fr-FR"/>
        </w:rPr>
        <w:instrText xml:space="preserve"> ADDIN ZOTERO_ITEM CSL_CITATION {"citationID":"TBqo3JxB","properties":{"formattedCitation":"(Hazarika et al., 2022)","plainCitation":"(Hazarika et al., 2022)","noteIndex":0},"citationItems":[{"id":2400,"uris":["http://zotero.org/users/6654317/items/Q8M8WJR4","http://zotero.org/users/6654317/items/RIKUVGQY"],"itemData":{"id":2400,"type":"article-journal","abstract":"Quality seedling can ensure higher crop yield. The present investigation was carried out at AAU, Jorhat, Assam, India during rabi season of 2018-19 and 2019-20 to access the impact of different growing media on growth, quality and vigour of tomato seedling and subsequent performance in the main field. The treatments consisted of four different nursery media composition viz., M1: Cocopeat (60): Vermiculite (20): Perlite (20), M2: Cocopeat (50): vermicompost (50), M3: Cocopeat (50): vermicompost (50): Microbial consortium (6g/ kg media), M4: Conventional nursery (soil: sand: FYM). The effect of different seed sowing media on seedling quality and their performance in the main field was found to be significant. The results revealed that tomato seedlings raised in plug trays with seed sowing media coconut (50): vermicompost (50) i.e. M2 recorded higher seedling emergence percentage (98.42), seedling height (15.47 cm), seedling vigour index (2268.54), dry matter accumulation (24.18%), total chlorophyll content (1.61 mg g-1fw). The same seedling raised media showed better performance in the main field, recorded less days to seedling establishment (4.29), higher leaf area index (5.45), membrane stability index (70.71%), relative leaf water content (79.48%), root length (60.53 cm), root dry weight (15.95g), days to 50% flowering (31.71), number of fruits per plant (42.78), individual fruit weight (66.78g), yield per hectare (105.63 t) and B:C ratio of 5.28.","container-title":"The pharma innovation","issue":"11","page":"308-314","source":"ResearchGate","title":"Different growing media effect on seedling quality and field performance of Tomato (Solanum lycopersicum L.)","volume":"11","author":[{"family":"Hazarika","given":"Mainu"},{"family":"Saikia","given":"Jumi"},{"family":"Gogoi","given":"Sailen"},{"family":"Kalita","given":"Prakash"},{"family":"Saikia","given":"Luchon"},{"family":"Kumar","given":"Praveen"},{"family":"Phookan","given":"Deepa"}],"issued":{"date-parts":[["2022",1,1]]}}}],"schema":"https://github.com/citation-style-language/schema/raw/master/csl-citation.json"} </w:instrText>
      </w:r>
      <w:r w:rsidR="00F0347E" w:rsidRPr="006D5977">
        <w:rPr>
          <w:rFonts w:ascii="Arial" w:hAnsi="Arial" w:cs="Arial"/>
          <w:sz w:val="20"/>
          <w:szCs w:val="20"/>
          <w:lang w:val="en-US" w:eastAsia="fr-FR"/>
        </w:rPr>
        <w:fldChar w:fldCharType="separate"/>
      </w:r>
      <w:r w:rsidR="00F1149B" w:rsidRPr="00F1149B">
        <w:rPr>
          <w:rFonts w:ascii="Arial" w:hAnsi="Arial" w:cs="Arial"/>
          <w:sz w:val="20"/>
          <w:lang w:val="en-US"/>
        </w:rPr>
        <w:t>Hazarika et al., 2022)</w:t>
      </w:r>
      <w:r w:rsidR="00F0347E" w:rsidRPr="006D5977">
        <w:rPr>
          <w:rFonts w:ascii="Arial" w:hAnsi="Arial" w:cs="Arial"/>
          <w:sz w:val="20"/>
          <w:szCs w:val="20"/>
          <w:lang w:val="en-US" w:eastAsia="fr-FR"/>
        </w:rPr>
        <w:fldChar w:fldCharType="end"/>
      </w:r>
      <w:r w:rsidR="000E1336" w:rsidRPr="006D5977">
        <w:rPr>
          <w:rFonts w:ascii="Arial" w:hAnsi="Arial" w:cs="Arial"/>
          <w:sz w:val="20"/>
          <w:szCs w:val="20"/>
          <w:lang w:val="en-US"/>
        </w:rPr>
        <w:t xml:space="preserve">. </w:t>
      </w:r>
      <w:r w:rsidR="00A007C0" w:rsidRPr="006D5977">
        <w:rPr>
          <w:rFonts w:ascii="Arial" w:hAnsi="Arial" w:cs="Arial"/>
          <w:sz w:val="20"/>
          <w:szCs w:val="20"/>
          <w:lang w:val="en-US"/>
        </w:rPr>
        <w:t xml:space="preserve">The quality of the plants therefore depends directly on the physical, chemical and biological characteristics of the </w:t>
      </w:r>
      <w:r w:rsidR="00DD0456" w:rsidRPr="006D5977">
        <w:rPr>
          <w:rFonts w:ascii="Arial" w:hAnsi="Arial" w:cs="Arial"/>
          <w:sz w:val="20"/>
          <w:szCs w:val="20"/>
          <w:lang w:val="en-US"/>
        </w:rPr>
        <w:t>growing media</w:t>
      </w:r>
      <w:r w:rsidR="00A007C0" w:rsidRPr="006D5977">
        <w:rPr>
          <w:rFonts w:ascii="Arial" w:hAnsi="Arial" w:cs="Arial"/>
          <w:sz w:val="20"/>
          <w:szCs w:val="20"/>
          <w:lang w:val="en-US"/>
        </w:rPr>
        <w:t>s used as a growing medi</w:t>
      </w:r>
      <w:r w:rsidR="000E1336" w:rsidRPr="006D5977">
        <w:rPr>
          <w:rFonts w:ascii="Arial" w:hAnsi="Arial" w:cs="Arial"/>
          <w:sz w:val="20"/>
          <w:szCs w:val="20"/>
          <w:lang w:val="en-US"/>
        </w:rPr>
        <w:t>a</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{"citationID":"cZJ7O44m","properties":{"formattedCitation":"(M\\uc0\\u8217{}Sadak et al., 2016)","plainCitation":"(M’Sadak et al., 2016)","noteIndex":0},"citationItems":[{"id":937,"uris":["http://zotero.org/users/6654317/items/DM6CFXRY"],"itemData":{"id":937,"type":"article-journal","abstract":"In Tunisia, the composted forestry waste is extensively used in containers, to manage the optimal conditions for plants growth aboveground in nurseries, in order to produce quality plants regularly and in sufficient quantity. This study aims to assess the physical and hydraulic characteristics of a number of cultivation substrates based on forestry compost derived from Acacia braking, considered as the current substrate for the production of forestry plants in containers. In this respect, a series of simple mechanical vibrating and rotating screening under various meshes was undertaken in two modern forest nurseries in the Tunisian Sahel; one is in Chott Mariem and the other in Bembla II. The physical analysis of untreated and screened composts has concerned the dry bulk density and the porosities (total, aeration and retention). The hydraulic analysis has involved the pF curve and the time of rewetting of each substrate. The main obtained results showed that the tested substrates are particularly aerated, but with low water availability. For the substrates with coarse particles, the water penetration is relatively short compared to the fine-textured substrates. The Substrates derived from the rotating sieving have shown a rewetting time lower than that of the substrates derived from the vibrating sieving. Furthermore, greater the sieve mesh is, lower is the rewetting time. The forestry compost produced in Chott Mariem is undeniable, regarding the total porosity and aeration under the experimental conditions, and has satisfied the standard water retention in the raw and screened states (regardless of the nature and the mesh screening), however the compost of Bembla II was not consistent and its screening is entirely justified. In addition, its rotating screening, whatever the used mesh, did not much improve the porosity retention. For the dry bulk density, the latter has no handicap for the use of tested substrates in containers.","ISSN":"2170-1318","language":"fr","note":"Accepted: 2016-06","page":"96-107","source":"dspace.univ-ouargla.dz","title":"Comportement physique et hydrique des substrats de culture destinés aux pépinières forestières modernes (Sahel Tunisien)","volume":"6","author":[{"family":"M'Sadak","given":"Y"},{"literal":"El Amri A"},{"literal":"Majdoub R"},{"literal":"El Ghorbali L"}],"issued":{"date-parts":[["2016",6]]}}}],"schema":"https://github.com/citation-style-language/schema/raw/master/csl-citation.json"}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szCs w:val="24"/>
          <w:lang w:val="en-US"/>
        </w:rPr>
        <w:t>(M’Sadak et al., 2016)</w:t>
      </w:r>
      <w:r w:rsidR="00F0347E" w:rsidRPr="006D5977">
        <w:rPr>
          <w:rFonts w:ascii="Arial" w:hAnsi="Arial" w:cs="Arial"/>
          <w:sz w:val="20"/>
          <w:szCs w:val="20"/>
          <w:lang w:val="en-US"/>
        </w:rPr>
        <w:fldChar w:fldCharType="end"/>
      </w:r>
      <w:r w:rsidRPr="006D5977">
        <w:rPr>
          <w:rFonts w:ascii="Arial" w:hAnsi="Arial" w:cs="Arial"/>
          <w:sz w:val="20"/>
          <w:szCs w:val="20"/>
          <w:lang w:val="en-US"/>
        </w:rPr>
        <w:t>.</w:t>
      </w:r>
    </w:p>
    <w:p w:rsidR="00A007C0" w:rsidRPr="006D5977" w:rsidRDefault="00F56C43"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However, the properties of alternative materials, such as composition, particle size, pH, aeration, nutrient content and mineral balance, vary considerably</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{"citationID":"2f7sdwdF","properties":{"formattedCitation":"(Mathowa et al., 2017)","plainCitation":"(Mathowa et al., 2017)","noteIndex":0},"citationItems":[{"id":2337,"uris":["http://zotero.org/users/6654317/items/UTBLGWHP"],"itemData":{"id":2337,"type":"article-journal","container-title":"Journal of Applied Horticulture","issue":"3","page":"200–204","source":"Google Scholar","title":"Effect of growing media on growth and development of sweet paper (Capsicum annum L.) seedlings","volume":"19","author":[{"family":"Mathowa","given":"T."},{"family":"Tshipinare","given":"K."},{"family":"Mojeremane","given":"W."},{"family":"Legwaila","given":"G. M."},{"family":"Oagile","given":"O."}],"issued":{"date-parts":[["2017"]]}}}],"schema":"https://github.com/citation-style-language/schema/raw/master/csl-citation.json"}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(Mathowa et al., 2017)</w:t>
      </w:r>
      <w:r w:rsidR="00F0347E" w:rsidRPr="006D5977">
        <w:rPr>
          <w:rFonts w:ascii="Arial" w:hAnsi="Arial" w:cs="Arial"/>
          <w:sz w:val="20"/>
          <w:szCs w:val="20"/>
        </w:rPr>
        <w:fldChar w:fldCharType="end"/>
      </w:r>
      <w:r w:rsidR="00994DB5" w:rsidRPr="006D5977">
        <w:rPr>
          <w:rFonts w:ascii="Arial" w:hAnsi="Arial" w:cs="Arial"/>
          <w:sz w:val="20"/>
          <w:szCs w:val="20"/>
          <w:lang w:val="en-US"/>
        </w:rPr>
        <w:t xml:space="preserve">. </w:t>
      </w:r>
      <w:r w:rsidRPr="006D5977">
        <w:rPr>
          <w:rFonts w:ascii="Arial" w:hAnsi="Arial" w:cs="Arial"/>
          <w:sz w:val="20"/>
          <w:szCs w:val="20"/>
          <w:lang w:val="en-US"/>
        </w:rPr>
        <w:t>For a mature compost, for example, to be usable</w:t>
      </w:r>
      <w:r w:rsidR="00A007C0" w:rsidRPr="006D5977">
        <w:rPr>
          <w:rFonts w:ascii="Arial" w:hAnsi="Arial" w:cs="Arial"/>
          <w:color w:val="000000" w:themeColor="text1"/>
          <w:sz w:val="20"/>
          <w:szCs w:val="20"/>
          <w:lang w:val="en-US"/>
        </w:rPr>
        <w:t>fully</w:t>
      </w:r>
      <w:r w:rsidR="00994DB5" w:rsidRPr="006D5977">
        <w:rPr>
          <w:rFonts w:ascii="Arial" w:hAnsi="Arial" w:cs="Arial"/>
          <w:sz w:val="20"/>
          <w:szCs w:val="20"/>
          <w:lang w:val="en-US"/>
        </w:rPr>
        <w:t>a</w:t>
      </w:r>
      <w:r w:rsidR="00A007C0" w:rsidRPr="006D5977">
        <w:rPr>
          <w:rFonts w:ascii="Arial" w:hAnsi="Arial" w:cs="Arial"/>
          <w:sz w:val="20"/>
          <w:szCs w:val="20"/>
          <w:lang w:val="en-US"/>
        </w:rPr>
        <w:t>nd for safety, it is essential to control parameters such as pH, aeration percentage, sanitization, and mineral balance</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{"citationID":"5UZ7UFYx","properties":{"formattedCitation":"(M\\uc0\\u8217{}Sadak &amp; Ben M\\uc0\\u8217{}barek, 2013)","plainCitation":"(M’Sadak &amp; Ben M’barek, 2013)","noteIndex":0},"citationItems":[{"id":762,"uris":["http://zotero.org/users/local/MzRjPaDh/items/63GIMP76","http://zotero.org/users/6654317/items/63GIMP76"],"itemData":{"id":762,"type":"article-journal","abstract":"La valorisation maraîchère des résidus (ou digestats) de la bio méthanisation industrielle appliquée aux fientes avicoles s’avère écologiquement intéressante. Si l’on tente de résumer les interrogations posées par l’emploi de ces résidus en horticulture, le grand principe discuté était la contribution à trouver des produits alternatifs à la tourbe, qui peuvent se substituer à elle d’abord partiellement en mélange, et dans un avenir plus lointain la remplacer dans la plus grande partie de ses usages horticoles. Le méthacompost avicole (issu de la fermentation anaérobie industrielle des fientes avicoles) peut être utilisable comme substitut partiel de la tourbe dans la confection des substrats de culture. L’effet positif lié à l’utilisation de la MO humifiée des composts mûrs ne peut s’exprimer pleinement et avec sécurité que si l’on a réuni les conditions nécessaires à l’épanouissement de la plante: respect du pH, pourcentage d’aération, bonne hygiènisation par traitement biologique (bio méthanisation et/ou compostage) et teneurs équilibrées en éléments minéraux.","container-title":"Rеvuе des Energies Renouvelables","ISSN":"2716-8247","issue":"1","journalAbbreviation":"JREEN","language":"fr","note":"publisher: ASJP","page":"33-42","source":"www.asjp.cerist.dz","title":"Caractérisation qualitative du digestat solide de la bio méthanisation industrielle des fientes avicoles et alternative de son exploitation agronomique hors sol","volume":"16","author":[{"family":"M’Sadak","given":"Y."},{"family":"Ben M’barek","given":"A."}],"issued":{"date-parts":[["2013",3,31]]}}}],"schema":"https://github.com/citation-style-language/schema/raw/master/csl-citation.json"}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szCs w:val="24"/>
          <w:lang w:val="en-US"/>
        </w:rPr>
        <w:t>(M’Sadak &amp; Ben M’barek, 2013)</w:t>
      </w:r>
      <w:r w:rsidR="00F0347E" w:rsidRPr="006D5977">
        <w:rPr>
          <w:rFonts w:ascii="Arial" w:hAnsi="Arial" w:cs="Arial"/>
          <w:sz w:val="20"/>
          <w:szCs w:val="20"/>
          <w:lang w:val="en-US"/>
        </w:rPr>
        <w:fldChar w:fldCharType="end"/>
      </w:r>
      <w:r w:rsidR="00A007C0" w:rsidRPr="006D5977">
        <w:rPr>
          <w:rFonts w:ascii="Arial" w:hAnsi="Arial" w:cs="Arial"/>
          <w:sz w:val="20"/>
          <w:szCs w:val="20"/>
          <w:lang w:val="en-US"/>
        </w:rPr>
        <w:t>.</w:t>
      </w:r>
    </w:p>
    <w:p w:rsidR="00A007C0" w:rsidRPr="006D5977" w:rsidRDefault="00F56C43" w:rsidP="005D29FE">
      <w:pPr>
        <w:spacing w:line="240" w:lineRule="auto"/>
        <w:jc w:val="both"/>
        <w:rPr>
          <w:rFonts w:ascii="Arial" w:hAnsi="Arial" w:cs="Arial"/>
          <w:sz w:val="20"/>
          <w:szCs w:val="20"/>
          <w:lang w:val="en-US" w:eastAsia="fr-FR"/>
        </w:rPr>
      </w:pPr>
      <w:r w:rsidRPr="006D5977">
        <w:rPr>
          <w:rFonts w:ascii="Arial" w:hAnsi="Arial" w:cs="Arial"/>
          <w:sz w:val="20"/>
          <w:szCs w:val="20"/>
          <w:lang w:val="en-US" w:eastAsia="fr-FR"/>
        </w:rPr>
        <w:t xml:space="preserve">For this purpose, it is essential to have a suitable </w:t>
      </w:r>
      <w:r w:rsidR="00994DB5" w:rsidRPr="006D5977">
        <w:rPr>
          <w:rFonts w:ascii="Arial" w:hAnsi="Arial" w:cs="Arial"/>
          <w:sz w:val="20"/>
          <w:szCs w:val="20"/>
          <w:lang w:val="en-US" w:eastAsia="fr-FR"/>
        </w:rPr>
        <w:t>growing media</w:t>
      </w:r>
      <w:r w:rsidRPr="006D5977">
        <w:rPr>
          <w:rFonts w:ascii="Arial" w:hAnsi="Arial" w:cs="Arial"/>
          <w:sz w:val="20"/>
          <w:szCs w:val="20"/>
          <w:lang w:val="en-US" w:eastAsia="fr-FR"/>
        </w:rPr>
        <w:t xml:space="preserve"> that is both affordable and lightweight, for optimal use and economical transport.</w:t>
      </w:r>
    </w:p>
    <w:p w:rsidR="00A007C0" w:rsidRPr="006D5977" w:rsidRDefault="000C665C"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It is in this context that this present study takes place.  It aims to contribute to the total or partial replacement of peat by developing an innovative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based on Tricho-compost and rice hull biochar. The objective is to formulate a growing media with compliant physico-chemical qualities, by exploiting renewable and local resources</w:t>
      </w:r>
      <w:r w:rsidR="00F56C43" w:rsidRPr="006D5977">
        <w:rPr>
          <w:rFonts w:ascii="Arial" w:hAnsi="Arial" w:cs="Arial"/>
          <w:sz w:val="20"/>
          <w:szCs w:val="20"/>
          <w:lang w:val="en-US"/>
        </w:rPr>
        <w:t>.</w:t>
      </w:r>
      <w:bookmarkStart w:id="3" w:name="_Hlk214670665"/>
      <w:bookmarkEnd w:id="3"/>
    </w:p>
    <w:p w:rsidR="00A007C0" w:rsidRPr="006D5977" w:rsidRDefault="00A007C0" w:rsidP="005D29FE">
      <w:pPr>
        <w:pStyle w:val="Heading1"/>
        <w:numPr>
          <w:ilvl w:val="0"/>
          <w:numId w:val="19"/>
        </w:numPr>
        <w:rPr>
          <w:rFonts w:ascii="Arial" w:hAnsi="Arial" w:cs="Arial"/>
          <w:sz w:val="22"/>
          <w:szCs w:val="22"/>
        </w:rPr>
      </w:pPr>
      <w:bookmarkStart w:id="4" w:name="_Toc208777004"/>
      <w:r w:rsidRPr="006D5977">
        <w:rPr>
          <w:rFonts w:ascii="Arial" w:hAnsi="Arial" w:cs="Arial"/>
          <w:sz w:val="22"/>
          <w:szCs w:val="22"/>
        </w:rPr>
        <w:t>Materials and methods</w:t>
      </w:r>
      <w:bookmarkEnd w:id="4"/>
    </w:p>
    <w:p w:rsidR="00A007C0" w:rsidRPr="00D52DD0" w:rsidRDefault="00DD0456" w:rsidP="005D29FE">
      <w:pPr>
        <w:pStyle w:val="Heading2"/>
        <w:numPr>
          <w:ilvl w:val="1"/>
          <w:numId w:val="20"/>
        </w:numPr>
        <w:spacing w:line="240" w:lineRule="auto"/>
        <w:rPr>
          <w:rFonts w:ascii="Arial" w:hAnsi="Arial" w:cs="Arial"/>
          <w:sz w:val="22"/>
          <w:szCs w:val="22"/>
        </w:rPr>
      </w:pPr>
      <w:bookmarkStart w:id="5" w:name="_Toc208777005"/>
      <w:r w:rsidRPr="00D52DD0">
        <w:rPr>
          <w:rFonts w:ascii="Arial" w:hAnsi="Arial" w:cs="Arial"/>
          <w:sz w:val="22"/>
          <w:szCs w:val="22"/>
        </w:rPr>
        <w:t>Growing media</w:t>
      </w:r>
      <w:r w:rsidR="00A007C0" w:rsidRPr="00D52DD0">
        <w:rPr>
          <w:rFonts w:ascii="Arial" w:hAnsi="Arial" w:cs="Arial"/>
          <w:sz w:val="22"/>
          <w:szCs w:val="22"/>
        </w:rPr>
        <w:t>preparation</w:t>
      </w:r>
      <w:bookmarkEnd w:id="5"/>
    </w:p>
    <w:p w:rsidR="00A007C0" w:rsidRPr="006D5977" w:rsidRDefault="00A007C0" w:rsidP="005D29FE">
      <w:pPr>
        <w:spacing w:before="100" w:beforeAutospacing="1" w:after="100" w:afterAutospacing="1" w:line="240" w:lineRule="auto"/>
        <w:jc w:val="both"/>
        <w:rPr>
          <w:rFonts w:ascii="Arial" w:hAnsi="Arial" w:cs="Arial"/>
          <w:sz w:val="20"/>
          <w:szCs w:val="20"/>
          <w:lang w:val="en-US"/>
        </w:rPr>
      </w:pPr>
      <w:bookmarkStart w:id="6" w:name="_Hlk204194399"/>
      <w:r w:rsidRPr="006D5977">
        <w:rPr>
          <w:rFonts w:ascii="Arial" w:hAnsi="Arial" w:cs="Arial"/>
          <w:sz w:val="20"/>
          <w:szCs w:val="20"/>
          <w:lang w:val="en-US"/>
        </w:rPr>
        <w:t xml:space="preserve">A Tricho-compost under an aerobic system, initially composed (by weight) of 25% rice hull biochar, 60% cow manure, and 15% fresh neem leaves, was used. It was inoculated with three strains of </w:t>
      </w:r>
      <w:r w:rsidRPr="006D5977">
        <w:rPr>
          <w:rFonts w:ascii="Arial" w:hAnsi="Arial" w:cs="Arial"/>
          <w:i/>
          <w:iCs/>
          <w:sz w:val="20"/>
          <w:szCs w:val="20"/>
          <w:lang w:val="en-US"/>
        </w:rPr>
        <w:t>Trichoderma asperellum</w:t>
      </w:r>
      <w:r w:rsidRPr="006D5977">
        <w:rPr>
          <w:rFonts w:ascii="Arial" w:hAnsi="Arial" w:cs="Arial"/>
          <w:sz w:val="20"/>
          <w:szCs w:val="20"/>
          <w:lang w:val="en-US"/>
        </w:rPr>
        <w:t xml:space="preserve"> and one strain of </w:t>
      </w:r>
      <w:r w:rsidRPr="006D5977">
        <w:rPr>
          <w:rFonts w:ascii="Arial" w:hAnsi="Arial" w:cs="Arial"/>
          <w:i/>
          <w:iCs/>
          <w:sz w:val="20"/>
          <w:szCs w:val="20"/>
          <w:lang w:val="en-US"/>
        </w:rPr>
        <w:t>Trichoderma</w:t>
      </w:r>
      <w:r w:rsidR="0055038D" w:rsidRPr="006D5977">
        <w:rPr>
          <w:rFonts w:ascii="Arial" w:hAnsi="Arial" w:cs="Arial"/>
          <w:i/>
          <w:iCs/>
          <w:sz w:val="20"/>
          <w:szCs w:val="20"/>
          <w:lang w:val="en-US"/>
        </w:rPr>
        <w:t xml:space="preserve"> virens</w:t>
      </w:r>
      <w:r w:rsidRPr="006D5977">
        <w:rPr>
          <w:rFonts w:ascii="Arial" w:hAnsi="Arial" w:cs="Arial"/>
          <w:sz w:val="20"/>
          <w:szCs w:val="20"/>
          <w:lang w:val="en-US"/>
        </w:rPr>
        <w:t xml:space="preserve"> at the beginning of composting and at the beginning of the cooling phase. The composting process lasted 67 days.  </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{"citationID":"1S9BUX52","properties":{"formattedCitation":"(Fall et al., 2025)","plainCitation":"(Fall et al., 2025)","noteIndex":0},"citationItems":[{"id":3275,"uris":["http://zotero.org/users/6654317/items/Y36BU45U"],"itemData":{"id":3275,"type":"article-journal","container-title":"JAPS ELEWA","issue":"3","page":"12518-12530","title":"Effet combiné de souches de Trichoderma asperellum et de Trichoderma virens sur la durée de maturité du compost","volume":"65","author":[{"family":"Fall","given":"Mbacké"},{"family":"Sarr","given":"Serigne Modou"},{"family":"Gueye","given":"Ndiogou"}],"issued":{"date-parts":[["2025"]]}}}],"schema":"https://github.com/citation-style-language/schema/raw/master/csl-citation.json"}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(Fall et al., 2025)</w:t>
      </w:r>
      <w:r w:rsidR="00F0347E" w:rsidRPr="006D5977">
        <w:rPr>
          <w:rFonts w:ascii="Arial" w:hAnsi="Arial" w:cs="Arial"/>
          <w:sz w:val="20"/>
          <w:szCs w:val="20"/>
        </w:rPr>
        <w:fldChar w:fldCharType="end"/>
      </w:r>
      <w:r w:rsidR="0055038D" w:rsidRPr="006D5977">
        <w:rPr>
          <w:rFonts w:ascii="Arial" w:hAnsi="Arial" w:cs="Arial"/>
          <w:sz w:val="20"/>
          <w:szCs w:val="20"/>
          <w:lang w:val="en-US"/>
        </w:rPr>
        <w:t xml:space="preserve">. </w:t>
      </w:r>
      <w:r w:rsidRPr="006D5977">
        <w:rPr>
          <w:rFonts w:ascii="Arial" w:hAnsi="Arial" w:cs="Arial"/>
          <w:sz w:val="20"/>
          <w:szCs w:val="20"/>
          <w:lang w:val="en-US"/>
        </w:rPr>
        <w:t xml:space="preserve">From the compost and rice hull biochar produced, five </w:t>
      </w:r>
      <w:r w:rsidR="00DD0456" w:rsidRPr="006D5977">
        <w:rPr>
          <w:rFonts w:ascii="Arial" w:hAnsi="Arial" w:cs="Arial"/>
          <w:sz w:val="20"/>
          <w:szCs w:val="20"/>
          <w:lang w:val="en-US"/>
        </w:rPr>
        <w:t>growing media</w:t>
      </w:r>
      <w:r w:rsidRPr="006D5977">
        <w:rPr>
          <w:rFonts w:ascii="Arial" w:hAnsi="Arial" w:cs="Arial"/>
          <w:sz w:val="20"/>
          <w:szCs w:val="20"/>
          <w:lang w:val="en-US"/>
        </w:rPr>
        <w:t>s were formulated:</w:t>
      </w:r>
    </w:p>
    <w:p w:rsidR="00A007C0" w:rsidRPr="006D5977" w:rsidRDefault="00A007C0" w:rsidP="005D29FE">
      <w:pPr>
        <w:pStyle w:val="ListParagraph"/>
        <w:numPr>
          <w:ilvl w:val="0"/>
          <w:numId w:val="10"/>
        </w:num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SA </w:t>
      </w:r>
      <w:r w:rsidR="00DD0456" w:rsidRPr="006D5977">
        <w:rPr>
          <w:rFonts w:ascii="Arial" w:hAnsi="Arial" w:cs="Arial"/>
          <w:sz w:val="20"/>
          <w:szCs w:val="20"/>
          <w:lang w:val="en-US"/>
        </w:rPr>
        <w:t>growing media</w:t>
      </w:r>
      <w:r w:rsidRPr="006D5977">
        <w:rPr>
          <w:rFonts w:ascii="Arial" w:hAnsi="Arial" w:cs="Arial"/>
          <w:sz w:val="20"/>
          <w:szCs w:val="20"/>
          <w:lang w:val="en-US"/>
        </w:rPr>
        <w:t>: 100% Tricho-compost</w:t>
      </w:r>
    </w:p>
    <w:p w:rsidR="00A007C0" w:rsidRPr="006D5977" w:rsidRDefault="00A007C0" w:rsidP="005D29FE">
      <w:pPr>
        <w:pStyle w:val="ListParagraph"/>
        <w:numPr>
          <w:ilvl w:val="0"/>
          <w:numId w:val="10"/>
        </w:num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SB </w:t>
      </w:r>
      <w:r w:rsidR="00DD0456" w:rsidRPr="006D5977">
        <w:rPr>
          <w:rFonts w:ascii="Arial" w:hAnsi="Arial" w:cs="Arial"/>
          <w:sz w:val="20"/>
          <w:szCs w:val="20"/>
          <w:lang w:val="en-US"/>
        </w:rPr>
        <w:t>growing media</w:t>
      </w:r>
      <w:r w:rsidRPr="006D5977">
        <w:rPr>
          <w:rFonts w:ascii="Arial" w:hAnsi="Arial" w:cs="Arial"/>
          <w:sz w:val="20"/>
          <w:szCs w:val="20"/>
          <w:lang w:val="en-US"/>
        </w:rPr>
        <w:t>: 25% Tricho-compost + 75% Rice husk Biochar</w:t>
      </w:r>
    </w:p>
    <w:p w:rsidR="00A007C0" w:rsidRPr="006D5977" w:rsidRDefault="00A007C0" w:rsidP="005D29FE">
      <w:pPr>
        <w:pStyle w:val="ListParagraph"/>
        <w:numPr>
          <w:ilvl w:val="0"/>
          <w:numId w:val="10"/>
        </w:num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SC </w:t>
      </w:r>
      <w:r w:rsidR="00DD0456" w:rsidRPr="006D5977">
        <w:rPr>
          <w:rFonts w:ascii="Arial" w:hAnsi="Arial" w:cs="Arial"/>
          <w:sz w:val="20"/>
          <w:szCs w:val="20"/>
          <w:lang w:val="en-US"/>
        </w:rPr>
        <w:t>growing media</w:t>
      </w:r>
      <w:r w:rsidRPr="006D5977">
        <w:rPr>
          <w:rFonts w:ascii="Arial" w:hAnsi="Arial" w:cs="Arial"/>
          <w:sz w:val="20"/>
          <w:szCs w:val="20"/>
          <w:lang w:val="en-US"/>
        </w:rPr>
        <w:t>: 50% Tricho-compost + 50% Rice husk Biochar</w:t>
      </w:r>
    </w:p>
    <w:p w:rsidR="00A007C0" w:rsidRPr="006D5977" w:rsidRDefault="00A007C0" w:rsidP="005D29FE">
      <w:pPr>
        <w:pStyle w:val="ListParagraph"/>
        <w:numPr>
          <w:ilvl w:val="0"/>
          <w:numId w:val="10"/>
        </w:num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SD </w:t>
      </w:r>
      <w:r w:rsidR="00DD0456" w:rsidRPr="006D5977">
        <w:rPr>
          <w:rFonts w:ascii="Arial" w:hAnsi="Arial" w:cs="Arial"/>
          <w:sz w:val="20"/>
          <w:szCs w:val="20"/>
          <w:lang w:val="en-US"/>
        </w:rPr>
        <w:t>growing media</w:t>
      </w:r>
      <w:r w:rsidRPr="006D5977">
        <w:rPr>
          <w:rFonts w:ascii="Arial" w:hAnsi="Arial" w:cs="Arial"/>
          <w:sz w:val="20"/>
          <w:szCs w:val="20"/>
          <w:lang w:val="en-US"/>
        </w:rPr>
        <w:t>: 75% Tricho-compost + 25% Rice husk Biochar</w:t>
      </w:r>
    </w:p>
    <w:p w:rsidR="00A007C0" w:rsidRPr="006D5977" w:rsidRDefault="00A007C0" w:rsidP="005D29FE">
      <w:pPr>
        <w:pStyle w:val="ListParagraph"/>
        <w:numPr>
          <w:ilvl w:val="0"/>
          <w:numId w:val="10"/>
        </w:num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BC </w:t>
      </w:r>
      <w:r w:rsidR="00DD0456" w:rsidRPr="006D5977">
        <w:rPr>
          <w:rFonts w:ascii="Arial" w:hAnsi="Arial" w:cs="Arial"/>
          <w:sz w:val="20"/>
          <w:szCs w:val="20"/>
          <w:lang w:val="en-US"/>
        </w:rPr>
        <w:t>Growing media</w:t>
      </w:r>
      <w:r w:rsidRPr="006D5977">
        <w:rPr>
          <w:rFonts w:ascii="Arial" w:hAnsi="Arial" w:cs="Arial"/>
          <w:sz w:val="20"/>
          <w:szCs w:val="20"/>
          <w:lang w:val="en-US"/>
        </w:rPr>
        <w:t>: 100% rice hull biochar</w:t>
      </w:r>
    </w:p>
    <w:p w:rsidR="00A007C0" w:rsidRPr="00D52DD0" w:rsidRDefault="00A007C0" w:rsidP="005D29FE">
      <w:pPr>
        <w:pStyle w:val="Heading2"/>
        <w:numPr>
          <w:ilvl w:val="1"/>
          <w:numId w:val="20"/>
        </w:numPr>
        <w:spacing w:line="240" w:lineRule="auto"/>
        <w:rPr>
          <w:rFonts w:ascii="Arial" w:hAnsi="Arial" w:cs="Arial"/>
          <w:sz w:val="22"/>
          <w:szCs w:val="22"/>
          <w:lang w:val="en-US"/>
        </w:rPr>
      </w:pPr>
      <w:bookmarkStart w:id="7" w:name="_Toc208777006"/>
      <w:bookmarkEnd w:id="6"/>
      <w:r w:rsidRPr="00D52DD0">
        <w:rPr>
          <w:rFonts w:ascii="Arial" w:hAnsi="Arial" w:cs="Arial"/>
          <w:sz w:val="22"/>
          <w:szCs w:val="22"/>
          <w:lang w:val="en-US"/>
        </w:rPr>
        <w:t xml:space="preserve">Physical characterization of </w:t>
      </w:r>
      <w:r w:rsidR="00DD0456" w:rsidRPr="00D52DD0">
        <w:rPr>
          <w:rFonts w:ascii="Arial" w:hAnsi="Arial" w:cs="Arial"/>
          <w:sz w:val="22"/>
          <w:szCs w:val="22"/>
          <w:lang w:val="en-US"/>
        </w:rPr>
        <w:t>growing media</w:t>
      </w:r>
      <w:r w:rsidRPr="00D52DD0">
        <w:rPr>
          <w:rFonts w:ascii="Arial" w:hAnsi="Arial" w:cs="Arial"/>
          <w:sz w:val="22"/>
          <w:szCs w:val="22"/>
          <w:lang w:val="en-US"/>
        </w:rPr>
        <w:t>s</w:t>
      </w:r>
      <w:bookmarkEnd w:id="7"/>
    </w:p>
    <w:p w:rsidR="00A007C0" w:rsidRPr="006D5977" w:rsidRDefault="00A007C0"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The following parameters were measured: </w:t>
      </w:r>
      <w:r w:rsidR="0055038D" w:rsidRPr="006D5977">
        <w:rPr>
          <w:rFonts w:ascii="Arial" w:hAnsi="Arial" w:cs="Arial"/>
          <w:sz w:val="20"/>
          <w:szCs w:val="20"/>
          <w:lang w:val="en-US"/>
        </w:rPr>
        <w:t>Bulk density</w:t>
      </w:r>
      <w:r w:rsidRPr="006D5977">
        <w:rPr>
          <w:rFonts w:ascii="Arial" w:hAnsi="Arial" w:cs="Arial"/>
          <w:sz w:val="20"/>
          <w:szCs w:val="20"/>
          <w:lang w:val="en-US"/>
        </w:rPr>
        <w:t>, total porosity,</w:t>
      </w:r>
      <w:r w:rsidR="0055038D" w:rsidRPr="006D5977">
        <w:rPr>
          <w:rFonts w:ascii="Arial" w:hAnsi="Arial" w:cs="Arial"/>
          <w:sz w:val="20"/>
          <w:szCs w:val="20"/>
          <w:lang w:val="en-US"/>
        </w:rPr>
        <w:t xml:space="preserve"> air filled </w:t>
      </w:r>
      <w:r w:rsidRPr="006D5977">
        <w:rPr>
          <w:rFonts w:ascii="Arial" w:hAnsi="Arial" w:cs="Arial"/>
          <w:sz w:val="20"/>
          <w:szCs w:val="20"/>
          <w:lang w:val="en-US"/>
        </w:rPr>
        <w:t>porosity,</w:t>
      </w:r>
      <w:r w:rsidR="0055038D" w:rsidRPr="006D5977">
        <w:rPr>
          <w:rFonts w:ascii="Arial" w:hAnsi="Arial" w:cs="Arial"/>
          <w:sz w:val="20"/>
          <w:szCs w:val="20"/>
          <w:lang w:val="en-US"/>
        </w:rPr>
        <w:t xml:space="preserve"> water holding capacity </w:t>
      </w:r>
      <w:r w:rsidRPr="006D5977">
        <w:rPr>
          <w:rFonts w:ascii="Arial" w:hAnsi="Arial" w:cs="Arial"/>
          <w:sz w:val="20"/>
          <w:szCs w:val="20"/>
          <w:lang w:val="en-US"/>
        </w:rPr>
        <w:t>and particle size.</w:t>
      </w:r>
    </w:p>
    <w:p w:rsidR="00A007C0" w:rsidRPr="00D52DD0" w:rsidRDefault="00A007C0" w:rsidP="005D29FE">
      <w:pPr>
        <w:pStyle w:val="Heading3"/>
        <w:numPr>
          <w:ilvl w:val="2"/>
          <w:numId w:val="20"/>
        </w:numPr>
        <w:spacing w:line="240" w:lineRule="auto"/>
        <w:rPr>
          <w:rFonts w:ascii="Arial" w:hAnsi="Arial" w:cs="Arial"/>
          <w:sz w:val="20"/>
          <w:szCs w:val="20"/>
          <w:u w:val="single"/>
        </w:rPr>
      </w:pPr>
      <w:bookmarkStart w:id="8" w:name="_Toc208777007"/>
      <w:r w:rsidRPr="00D52DD0">
        <w:rPr>
          <w:rFonts w:ascii="Arial" w:hAnsi="Arial" w:cs="Arial"/>
          <w:sz w:val="20"/>
          <w:szCs w:val="20"/>
          <w:u w:val="single"/>
        </w:rPr>
        <w:t>Apparent density</w:t>
      </w:r>
      <w:bookmarkEnd w:id="8"/>
    </w:p>
    <w:p w:rsidR="00A007C0" w:rsidRPr="006D5977" w:rsidRDefault="00A007C0"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The </w:t>
      </w:r>
      <w:r w:rsidR="0055038D" w:rsidRPr="006D5977">
        <w:rPr>
          <w:rFonts w:ascii="Arial" w:hAnsi="Arial" w:cs="Arial"/>
          <w:sz w:val="20"/>
          <w:szCs w:val="20"/>
          <w:lang w:val="en-US"/>
        </w:rPr>
        <w:t>bulk</w:t>
      </w:r>
      <w:r w:rsidRPr="006D5977">
        <w:rPr>
          <w:rFonts w:ascii="Arial" w:hAnsi="Arial" w:cs="Arial"/>
          <w:sz w:val="20"/>
          <w:szCs w:val="20"/>
          <w:lang w:val="en-US"/>
        </w:rPr>
        <w:t xml:space="preserve"> density is the ratio between the mass of the sample and the mass of a volume of water equal to the volume of the sample's envelope</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{"citationID":"hdGNTmxM","properties":{"formattedCitation":"(Baize, 2018)","plainCitation":"(Baize, 2018)","noteIndex":0},"citationItems":[{"id":3069,"uris":["http://zotero.org/users/6654317/items/BC52W8K5"],"itemData":{"id":3069,"type":"book","abstract":"Aider à bien choisir ses analyses de sols, à maîtriser les modes d'expression des résultats et à les interpréter finement, telle est l'ambition de ce guide mis à jour. Indispensable à tous ceux qui ont des sols à décrire et à caractériser.","collection-title":"Savoir faire","edition":"Editions Quae","ISBN":"978-2-7592-2836-2","number-of-pages":"339p","publisher":"Editions Quae","source":"international.scholarvox.com","title":"Guide des analyses en pédologie : édition revue et augmentée Ed. 3","title-short":"Guide des analyses en pédologie","URL":"https://international.scholarvox.com/catalog/book/docid/88863552?searchterm=densit%C3%A9%20apparente","author":[{"family":"Baize","given":"Denis"}],"accessed":{"date-parts":[["2025",8,30]]},"issued":{"date-parts":[["2018"]]}}}],"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(Baize, 2018)</w:t>
      </w:r>
      <w:r w:rsidR="00F0347E" w:rsidRPr="006D5977">
        <w:rPr>
          <w:rFonts w:ascii="Arial" w:hAnsi="Arial" w:cs="Arial"/>
          <w:sz w:val="20"/>
          <w:szCs w:val="20"/>
        </w:rPr>
        <w:fldChar w:fldCharType="end"/>
      </w:r>
      <w:r w:rsidRPr="006D5977">
        <w:rPr>
          <w:rFonts w:ascii="Arial" w:hAnsi="Arial" w:cs="Arial"/>
          <w:sz w:val="20"/>
          <w:szCs w:val="20"/>
          <w:lang w:val="en-US"/>
        </w:rPr>
        <w:t>.</w:t>
      </w:r>
    </w:p>
    <w:p w:rsidR="00A007C0" w:rsidRPr="006D5977" w:rsidRDefault="00C879C3"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Bulk density was determined using t</w:t>
      </w:r>
      <w:r w:rsidR="00A007C0" w:rsidRPr="006D5977">
        <w:rPr>
          <w:rFonts w:ascii="Arial" w:hAnsi="Arial" w:cs="Arial"/>
          <w:sz w:val="20"/>
          <w:szCs w:val="20"/>
          <w:lang w:val="en-US"/>
        </w:rPr>
        <w:t>he method of</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{"citationID":"CfMDRYOF","properties":{"formattedCitation":"(Brewer et al., 2014)","plainCitation":"(Brewer et al., 2014)","noteIndex":0},"citationItems":[{"id":3079,"uris":["http://zotero.org/users/6654317/items/7EELQ7VE"],"itemData":{"id":3079,"type":"article-journal","container-title":"Biomass and bioenergy","note":"publisher: Elsevier","page":"176–185","source":"Google Scholar","title":"New approaches to measuring biochar density and porosity","volume":"66","author":[{"family":"Brewer","given":"Catherine E."},{"family":"Chuang","given":"Victoria J."},{"family":"Masiello","given":"Caroline A."},{"family":"Gonnermann","given":"Helge"},{"family":"Gao","given":"Xiaodong"},{"family":"Dugan","given":"Brandon"},{"family":"Driver","given":"Laura E."},{"family":"Panzacchi","given":"Pietro"},{"family":"Zygourakis","given":"Kyriacos"},{"family":"Davies","given":"Christian A."}],"issued":{"date-parts":[["2014"]]}}}],"schema":"https://github.com/citation-style-language/schema/raw/master/csl-citation.json"}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(Brewer et al., 2014)</w:t>
      </w:r>
      <w:r w:rsidR="00F0347E" w:rsidRPr="006D5977">
        <w:rPr>
          <w:rFonts w:ascii="Arial" w:hAnsi="Arial" w:cs="Arial"/>
          <w:sz w:val="20"/>
          <w:szCs w:val="20"/>
          <w:lang w:val="en-US"/>
        </w:rPr>
        <w:fldChar w:fldCharType="end"/>
      </w:r>
      <w:r w:rsidRPr="006D5977">
        <w:rPr>
          <w:rFonts w:ascii="Arial" w:hAnsi="Arial" w:cs="Arial"/>
          <w:sz w:val="20"/>
          <w:szCs w:val="20"/>
          <w:lang w:val="en-US"/>
        </w:rPr>
        <w:t xml:space="preserve">. </w:t>
      </w:r>
      <w:r w:rsidRPr="006D5977">
        <w:rPr>
          <w:rFonts w:ascii="Arial" w:hAnsi="Arial" w:cs="Arial"/>
          <w:sz w:val="20"/>
          <w:szCs w:val="20"/>
          <w:lang w:val="en-US"/>
        </w:rPr>
        <w:tab/>
      </w:r>
      <w:r w:rsidR="00A007C0" w:rsidRPr="006D5977">
        <w:rPr>
          <w:rFonts w:ascii="Arial" w:hAnsi="Arial" w:cs="Arial"/>
          <w:sz w:val="20"/>
          <w:szCs w:val="20"/>
          <w:lang w:val="en-US"/>
        </w:rPr>
        <w:t xml:space="preserve">For this purpose, the samples were first dried in an oven at 80°C for 48 hours. A sample of known mass and volume of each </w:t>
      </w:r>
      <w:r w:rsidR="00DD0456" w:rsidRPr="006D5977">
        <w:rPr>
          <w:rFonts w:ascii="Arial" w:hAnsi="Arial" w:cs="Arial"/>
          <w:sz w:val="20"/>
          <w:szCs w:val="20"/>
          <w:lang w:val="en-US"/>
        </w:rPr>
        <w:t>growing media</w:t>
      </w:r>
      <w:r w:rsidR="00A007C0" w:rsidRPr="006D5977">
        <w:rPr>
          <w:rFonts w:ascii="Arial" w:hAnsi="Arial" w:cs="Arial"/>
          <w:sz w:val="20"/>
          <w:szCs w:val="20"/>
          <w:lang w:val="en-US"/>
        </w:rPr>
        <w:t xml:space="preserve"> was placed in a cylinder, which was then compressed ten times. The apparent density was calculated as the ratio of the sample weight to the </w:t>
      </w:r>
      <w:r w:rsidR="00DD0456" w:rsidRPr="006D5977">
        <w:rPr>
          <w:rFonts w:ascii="Arial" w:hAnsi="Arial" w:cs="Arial"/>
          <w:sz w:val="20"/>
          <w:szCs w:val="20"/>
          <w:lang w:val="en-US"/>
        </w:rPr>
        <w:t>growing media</w:t>
      </w:r>
      <w:r w:rsidR="00A007C0" w:rsidRPr="006D5977">
        <w:rPr>
          <w:rFonts w:ascii="Arial" w:hAnsi="Arial" w:cs="Arial"/>
          <w:sz w:val="20"/>
          <w:szCs w:val="20"/>
          <w:lang w:val="en-US"/>
        </w:rPr>
        <w:t xml:space="preserve"> volume after compression.     </w:t>
      </w:r>
    </w:p>
    <w:p w:rsidR="00A007C0" w:rsidRPr="00D52DD0" w:rsidRDefault="00A007C0" w:rsidP="005D29FE">
      <w:pPr>
        <w:pStyle w:val="Heading3"/>
        <w:numPr>
          <w:ilvl w:val="2"/>
          <w:numId w:val="20"/>
        </w:numPr>
        <w:spacing w:line="240" w:lineRule="auto"/>
        <w:rPr>
          <w:rFonts w:ascii="Arial" w:hAnsi="Arial" w:cs="Arial"/>
          <w:sz w:val="20"/>
          <w:szCs w:val="20"/>
          <w:u w:val="single"/>
          <w:lang w:val="en-US"/>
        </w:rPr>
      </w:pPr>
      <w:bookmarkStart w:id="9" w:name="_Toc208777008"/>
      <w:r w:rsidRPr="00D52DD0">
        <w:rPr>
          <w:rFonts w:ascii="Arial" w:hAnsi="Arial" w:cs="Arial"/>
          <w:sz w:val="20"/>
          <w:szCs w:val="20"/>
          <w:u w:val="single"/>
          <w:lang w:val="en-US"/>
        </w:rPr>
        <w:t xml:space="preserve">Total porosity and </w:t>
      </w:r>
      <w:r w:rsidR="00B21E0E" w:rsidRPr="00D52DD0">
        <w:rPr>
          <w:rFonts w:ascii="Arial" w:hAnsi="Arial" w:cs="Arial"/>
          <w:sz w:val="20"/>
          <w:szCs w:val="20"/>
          <w:u w:val="single"/>
          <w:lang w:val="en-US"/>
        </w:rPr>
        <w:t>air filled</w:t>
      </w:r>
      <w:r w:rsidRPr="00D52DD0">
        <w:rPr>
          <w:rFonts w:ascii="Arial" w:hAnsi="Arial" w:cs="Arial"/>
          <w:sz w:val="20"/>
          <w:szCs w:val="20"/>
          <w:u w:val="single"/>
          <w:lang w:val="en-US"/>
        </w:rPr>
        <w:t xml:space="preserve"> porosity</w:t>
      </w:r>
      <w:bookmarkEnd w:id="9"/>
    </w:p>
    <w:p w:rsidR="00A007C0" w:rsidRPr="006D5977" w:rsidRDefault="00317012"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P</w:t>
      </w:r>
      <w:r w:rsidR="00A007C0" w:rsidRPr="006D5977">
        <w:rPr>
          <w:rFonts w:ascii="Arial" w:hAnsi="Arial" w:cs="Arial"/>
          <w:sz w:val="20"/>
          <w:szCs w:val="20"/>
          <w:lang w:val="en-US"/>
        </w:rPr>
        <w:t xml:space="preserve">orosity is the ratio of the volume not occupied by solid matter to the total volume </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{"citationID":"DeDxH8D9","properties":{"formattedCitation":"(Baize, 2018)","plainCitation":"(Baize, 2018)","noteIndex":0},"citationItems":[{"id":3069,"uris":["http://zotero.org/users/6654317/items/BC52W8K5"],"itemData":{"id":3069,"type":"book","abstract":"Aider à bien choisir ses analyses de sols, à maîtriser les modes d'expression des résultats et à les interpréter finement, telle est l'ambition de ce guide mis à jour. Indispensable à tous ceux qui ont des sols à décrire et à caractériser.","collection-title":"Savoir faire","edition":"Editions Quae","ISBN":"978-2-7592-2836-2","number-of-pages":"339p","publisher":"Editions Quae","source":"international.scholarvox.com","title":"Guide des analyses en pédologie : édition revue et augmentée Ed. 3","title-short":"Guide des analyses en pédologie","URL":"https://international.scholarvox.com/catalog/book/docid/88863552?searchterm=densit%C3%A9%20apparente","author":[{"family":"Baize","given":"Denis"}],"accessed":{"date-parts":[["2025",8,30]]},"issued":{"date-parts":[["2018"]]}}}],"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(Baize, 2018)</w:t>
      </w:r>
      <w:r w:rsidR="00F0347E" w:rsidRPr="006D5977">
        <w:rPr>
          <w:rFonts w:ascii="Arial" w:hAnsi="Arial" w:cs="Arial"/>
          <w:sz w:val="20"/>
          <w:szCs w:val="20"/>
        </w:rPr>
        <w:fldChar w:fldCharType="end"/>
      </w:r>
      <w:r w:rsidR="00A007C0" w:rsidRPr="006D5977">
        <w:rPr>
          <w:rFonts w:ascii="Arial" w:hAnsi="Arial" w:cs="Arial"/>
          <w:sz w:val="20"/>
          <w:szCs w:val="20"/>
          <w:lang w:val="en-US"/>
        </w:rPr>
        <w:t>.</w:t>
      </w:r>
    </w:p>
    <w:p w:rsidR="00A007C0" w:rsidRPr="006D5977" w:rsidRDefault="00A007C0"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It was measured using the standard porosity test</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{"citationID":"ibj95AIO","properties":{"formattedCitation":"(M\\uc0\\u8217{}Sadak et al., 2016)","plainCitation":"(M’Sadak et al., 2016)","noteIndex":0},"citationItems":[{"id":937,"uris":["http://zotero.org/users/6654317/items/DM6CFXRY"],"itemData":{"id":937,"type":"article-journal","abstract":"In Tunisia, the composted forestry waste is extensively used in containers, to manage the optimal conditions for plants growth aboveground in nurseries, in order to produce quality plants regularly and in sufficient quantity. This study aims to assess the physical and hydraulic characteristics of a number of cultivation substrates based on forestry compost derived from Acacia braking, considered as the current substrate for the production of forestry plants in containers. In this respect, a series of simple mechanical vibrating and rotating screening under various meshes was undertaken in two modern forest nurseries in the Tunisian Sahel; one is in Chott Mariem and the other in Bembla II. The physical analysis of untreated and screened composts has concerned the dry bulk density and the porosities (total, aeration and retention). The hydraulic analysis has involved the pF curve and the time of rewetting of each substrate. The main obtained results showed that the tested substrates are particularly aerated, but with low water availability. For the substrates with coarse particles, the water penetration is relatively short compared to the fine-textured substrates. The Substrates derived from the rotating sieving have shown a rewetting time lower than that of the substrates derived from the vibrating sieving. Furthermore, greater the sieve mesh is, lower is the rewetting time. The forestry compost produced in Chott Mariem is undeniable, regarding the total porosity and aeration under the experimental conditions, and has satisfied the standard water retention in the raw and screened states (regardless of the nature and the mesh screening), however the compost of Bembla II was not consistent and its screening is entirely justified. In addition, its rotating screening, whatever the used mesh, did not much improve the porosity retention. For the dry bulk density, the latter has no handicap for the use of tested substrates in containers.","ISSN":"2170-1318","language":"fr","note":"Accepted: 2016-06","page":"96-107","source":"dspace.univ-ouargla.dz","title":"Comportement physique et hydrique des substrats de culture destinés aux pépinières forestières modernes (Sahel Tunisien)","volume":"6","author":[{"family":"M'Sadak","given":"Y"},{"literal":"El Amri A"},{"literal":"Majdoub R"},{"literal":"El Ghorbali L"}],"issued":{"date-parts":[["2016",6]]}}}],"schema":"https://github.com/citation-style-language/schema/raw/master/csl-citation.json"}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szCs w:val="24"/>
          <w:lang w:val="en-US"/>
        </w:rPr>
        <w:t>(M’Sadak et al., 2016)</w:t>
      </w:r>
      <w:r w:rsidR="00F0347E" w:rsidRPr="006D5977">
        <w:rPr>
          <w:rFonts w:ascii="Arial" w:hAnsi="Arial" w:cs="Arial"/>
          <w:sz w:val="20"/>
          <w:szCs w:val="20"/>
          <w:lang w:val="en-US"/>
        </w:rPr>
        <w:fldChar w:fldCharType="end"/>
      </w:r>
      <w:r w:rsidR="00B21E0E" w:rsidRPr="006D5977">
        <w:rPr>
          <w:rFonts w:ascii="Arial" w:hAnsi="Arial" w:cs="Arial"/>
          <w:sz w:val="20"/>
          <w:szCs w:val="20"/>
          <w:lang w:val="en-US"/>
        </w:rPr>
        <w:t xml:space="preserve">. </w:t>
      </w:r>
      <w:r w:rsidRPr="006D5977">
        <w:rPr>
          <w:rFonts w:ascii="Arial" w:hAnsi="Arial" w:cs="Arial"/>
          <w:sz w:val="20"/>
          <w:szCs w:val="20"/>
          <w:lang w:val="en-US"/>
        </w:rPr>
        <w:t xml:space="preserve">This test allowed us to determine the total porosity and the </w:t>
      </w:r>
      <w:r w:rsidR="00B21E0E" w:rsidRPr="006D5977">
        <w:rPr>
          <w:rFonts w:ascii="Arial" w:hAnsi="Arial" w:cs="Arial"/>
          <w:sz w:val="20"/>
          <w:szCs w:val="20"/>
          <w:lang w:val="en-US"/>
        </w:rPr>
        <w:t>air filled porosity</w:t>
      </w:r>
      <w:r w:rsidRPr="006D5977">
        <w:rPr>
          <w:rFonts w:ascii="Arial" w:hAnsi="Arial" w:cs="Arial"/>
          <w:sz w:val="20"/>
          <w:szCs w:val="20"/>
          <w:lang w:val="en-US"/>
        </w:rPr>
        <w:t>.</w:t>
      </w:r>
    </w:p>
    <w:p w:rsidR="00A007C0" w:rsidRPr="006D5977" w:rsidRDefault="00317012"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lastRenderedPageBreak/>
        <w:t xml:space="preserve">Total porosity </w:t>
      </w:r>
      <w:r w:rsidR="00A007C0" w:rsidRPr="006D5977">
        <w:rPr>
          <w:rFonts w:ascii="Arial" w:hAnsi="Arial" w:cs="Arial"/>
          <w:sz w:val="20"/>
          <w:szCs w:val="20"/>
          <w:lang w:val="en-US"/>
        </w:rPr>
        <w:t xml:space="preserve">is determined by the ratio of the volume added to the </w:t>
      </w:r>
      <w:r w:rsidR="00DD0456" w:rsidRPr="006D5977">
        <w:rPr>
          <w:rFonts w:ascii="Arial" w:hAnsi="Arial" w:cs="Arial"/>
          <w:sz w:val="20"/>
          <w:szCs w:val="20"/>
          <w:lang w:val="en-US"/>
        </w:rPr>
        <w:t>growing media</w:t>
      </w:r>
      <w:r w:rsidR="00A007C0" w:rsidRPr="006D5977">
        <w:rPr>
          <w:rFonts w:ascii="Arial" w:hAnsi="Arial" w:cs="Arial"/>
          <w:sz w:val="20"/>
          <w:szCs w:val="20"/>
          <w:lang w:val="en-US"/>
        </w:rPr>
        <w:t xml:space="preserve"> at water saturation (Va) to the total volume (Vt). After approximately one hour, water was added to achieve adequate </w:t>
      </w:r>
      <w:r w:rsidR="00DD0456" w:rsidRPr="006D5977">
        <w:rPr>
          <w:rFonts w:ascii="Arial" w:hAnsi="Arial" w:cs="Arial"/>
          <w:sz w:val="20"/>
          <w:szCs w:val="20"/>
          <w:lang w:val="en-US"/>
        </w:rPr>
        <w:t>growing media</w:t>
      </w:r>
      <w:r w:rsidR="00A007C0" w:rsidRPr="006D5977">
        <w:rPr>
          <w:rFonts w:ascii="Arial" w:hAnsi="Arial" w:cs="Arial"/>
          <w:sz w:val="20"/>
          <w:szCs w:val="20"/>
          <w:lang w:val="en-US"/>
        </w:rPr>
        <w:t xml:space="preserve"> saturation.</w:t>
      </w:r>
    </w:p>
    <w:p w:rsidR="00A007C0" w:rsidRPr="006D5977" w:rsidRDefault="00A007C0" w:rsidP="005D29FE">
      <w:pPr>
        <w:spacing w:before="100" w:beforeAutospacing="1" w:after="100" w:afterAutospacing="1" w:line="240" w:lineRule="auto"/>
        <w:jc w:val="both"/>
        <w:rPr>
          <w:rFonts w:ascii="Arial" w:hAnsi="Arial" w:cs="Arial"/>
          <w:b/>
          <w:bCs/>
          <w:sz w:val="20"/>
          <w:szCs w:val="20"/>
          <w:lang w:val="en-US"/>
        </w:rPr>
      </w:pPr>
      <w:r w:rsidRPr="006D5977">
        <w:rPr>
          <w:rFonts w:ascii="Arial" w:hAnsi="Arial" w:cs="Arial"/>
          <w:b/>
          <w:bCs/>
          <w:sz w:val="20"/>
          <w:szCs w:val="20"/>
          <w:lang w:val="en-US"/>
        </w:rPr>
        <w:t>Total porosity (TP) = (Va / Vt ) x 100</w:t>
      </w:r>
    </w:p>
    <w:p w:rsidR="00A007C0" w:rsidRPr="006D5977" w:rsidRDefault="00317012"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Air filled porosity (AFP)</w:t>
      </w:r>
      <w:r w:rsidR="00A007C0" w:rsidRPr="006D5977">
        <w:rPr>
          <w:rFonts w:ascii="Arial" w:hAnsi="Arial" w:cs="Arial"/>
          <w:sz w:val="20"/>
          <w:szCs w:val="20"/>
          <w:lang w:val="en-US"/>
        </w:rPr>
        <w:t xml:space="preserve"> is determined by the ratio between the volume drained (Vr) through the drainage holes of the container under the effect of gravity forces and the total volume (Vt) after water infiltration for about 10 minutes.</w:t>
      </w:r>
    </w:p>
    <w:p w:rsidR="00A007C0" w:rsidRPr="006D5977" w:rsidRDefault="00317012" w:rsidP="005D29FE">
      <w:pPr>
        <w:spacing w:before="100" w:beforeAutospacing="1" w:after="100" w:afterAutospacing="1" w:line="240" w:lineRule="auto"/>
        <w:jc w:val="both"/>
        <w:rPr>
          <w:rFonts w:ascii="Arial" w:hAnsi="Arial" w:cs="Arial"/>
          <w:b/>
          <w:bCs/>
          <w:sz w:val="20"/>
          <w:szCs w:val="20"/>
          <w:lang w:val="en-US"/>
        </w:rPr>
      </w:pPr>
      <w:r w:rsidRPr="006D5977">
        <w:rPr>
          <w:rFonts w:ascii="Arial" w:hAnsi="Arial" w:cs="Arial"/>
          <w:b/>
          <w:bCs/>
          <w:sz w:val="20"/>
          <w:szCs w:val="20"/>
          <w:lang w:val="en-US"/>
        </w:rPr>
        <w:t>AFP</w:t>
      </w:r>
      <w:r w:rsidR="00A007C0" w:rsidRPr="006D5977">
        <w:rPr>
          <w:rFonts w:ascii="Arial" w:hAnsi="Arial" w:cs="Arial"/>
          <w:b/>
          <w:bCs/>
          <w:sz w:val="20"/>
          <w:szCs w:val="20"/>
          <w:lang w:val="en-US"/>
        </w:rPr>
        <w:t xml:space="preserve"> = (Vr / Vt) x 100</w:t>
      </w:r>
    </w:p>
    <w:p w:rsidR="00A007C0" w:rsidRPr="00D52DD0" w:rsidRDefault="00317012" w:rsidP="005D29FE">
      <w:pPr>
        <w:pStyle w:val="Heading3"/>
        <w:numPr>
          <w:ilvl w:val="2"/>
          <w:numId w:val="20"/>
        </w:numPr>
        <w:spacing w:line="240" w:lineRule="auto"/>
        <w:rPr>
          <w:rFonts w:ascii="Arial" w:hAnsi="Arial" w:cs="Arial"/>
          <w:sz w:val="20"/>
          <w:szCs w:val="20"/>
          <w:u w:val="single"/>
        </w:rPr>
      </w:pPr>
      <w:bookmarkStart w:id="10" w:name="_Toc208777009"/>
      <w:r w:rsidRPr="00D52DD0">
        <w:rPr>
          <w:rFonts w:ascii="Arial" w:hAnsi="Arial" w:cs="Arial"/>
          <w:sz w:val="20"/>
          <w:szCs w:val="20"/>
          <w:u w:val="single"/>
        </w:rPr>
        <w:t xml:space="preserve">Water holding </w:t>
      </w:r>
      <w:r w:rsidR="00A007C0" w:rsidRPr="00D52DD0">
        <w:rPr>
          <w:rFonts w:ascii="Arial" w:hAnsi="Arial" w:cs="Arial"/>
          <w:sz w:val="20"/>
          <w:szCs w:val="20"/>
          <w:u w:val="single"/>
        </w:rPr>
        <w:t>capacity</w:t>
      </w:r>
      <w:bookmarkEnd w:id="10"/>
    </w:p>
    <w:p w:rsidR="00A007C0" w:rsidRPr="006D5977" w:rsidRDefault="00A007C0"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Water </w:t>
      </w:r>
      <w:r w:rsidR="00317012" w:rsidRPr="006D5977">
        <w:rPr>
          <w:rFonts w:ascii="Arial" w:hAnsi="Arial" w:cs="Arial"/>
          <w:sz w:val="20"/>
          <w:szCs w:val="20"/>
          <w:lang w:val="en-US"/>
        </w:rPr>
        <w:t>holding</w:t>
      </w:r>
      <w:r w:rsidRPr="006D5977">
        <w:rPr>
          <w:rFonts w:ascii="Arial" w:hAnsi="Arial" w:cs="Arial"/>
          <w:sz w:val="20"/>
          <w:szCs w:val="20"/>
          <w:lang w:val="en-US"/>
        </w:rPr>
        <w:t xml:space="preserve"> capacity was measured using the Keen Raczkowski box method described by</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{"citationID":"KslzMdQ1","properties":{"formattedCitation":"(Upadhyay et al., 2020)","plainCitation":"(Upadhyay et al., 2020)","noteIndex":0},"citationItems":[{"id":3165,"uris":["http://zotero.org/users/6654317/items/P5ZG4MEE","http://zotero.org/users/6654317/items/LQTBX4KX"],"itemData":{"id":3165,"type":"article-journal","abstract":"The response of five types of biochar (Lantana camara, Ipomoea carnea, rice husk, sawdust, no biochar) on growth and yield attributes of potato was evaluated. The experiment was laid out in randomized complete block design with six replications in rainfed areas of two different environments (Jiri in 2018 and Pawati in 2019) of Nepal. The popular early maturing potato variety 'Desiree' was used in the experiment. The spacing was maintained 60 cm between rows and 25 cm between plants in the plot size of 7.2 m2. Seed tubers were planted in the 1st week of February and harvested in the 4th week of May. Recommended fertilizers (100:100:60 kg ha–1 NPK + 20 t ha–1 farmyard manure) and biochars at 2 t ha–1 were applied to the soil. Seed tubers were completely covered with an equal amount of biochar before covering with the soil. The results revealed that the total yield and marketable yield of potato varied with biochars types. The potato tuber yield was found higher and red ants infestation was lower in plots applied with biochars as compared to control plots (without biochars). The use of biochars derived from Lantana camera produced the highest number of tubers (6.1 tubers plant–1), the greatest weight of tubers (286.1 g plant–1) and the least damage of red ants on tubers (4.7%) followed by sawdust (6.0 tubers plant–1, 263.6 g tuber weight plant–1 and 7.8% damaged tubers by red ants). The findings provide new information on the understanding of biochar effect on increased marketable yield of potato in rainfed lands by reducing damage from red ants.","container-title":"Journal of Agricultural Science","DOI":"10.15159/JAS.20.18","ISSN":"2228-4893","language":"en","license":"Creative Commons Attribution 4.0 International","note":"dimensions: 972.2Kb\nmedium: PDF\npublisher: Agraarteadus","page":"1-10","source":"DOI.org (Datacite)","title":"Growth and yield responses of potato (Solanum tuberosum L.) to biochar","author":[{"family":"Upadhyay","given":"Kalika Prasad"},{"family":"Dhami","given":"Narayan Bahadur"},{"family":"Sharma","given":"Prem Nidhi"},{"family":"Neupane","given":"Janaki Datta"},{"family":"Shrestha","given":"Jiban"}],"issued":{"date-parts":[["2020"]]}}}],"schema":"https://github.com/citation-style-language/schema/raw/master/csl-citation.json"}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(Upadhyay et al., 2020</w:t>
      </w:r>
      <w:r w:rsidR="00F0347E" w:rsidRPr="006D5977">
        <w:rPr>
          <w:rFonts w:ascii="Arial" w:hAnsi="Arial" w:cs="Arial"/>
          <w:sz w:val="20"/>
          <w:szCs w:val="20"/>
          <w:lang w:val="en-US"/>
        </w:rPr>
        <w:fldChar w:fldCharType="end"/>
      </w:r>
      <w:r w:rsidR="00354F79">
        <w:rPr>
          <w:rFonts w:ascii="Arial" w:hAnsi="Arial" w:cs="Arial"/>
          <w:sz w:val="20"/>
          <w:szCs w:val="20"/>
          <w:lang w:val="en-US"/>
        </w:rPr>
        <w:t xml:space="preserve"> ; </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{"citationID":"7QF0RBT4","properties":{"formattedCitation":"(Govindasamy et al., 2023)","plainCitation":"(Govindasamy et al., 2023)","noteIndex":0},"citationItems":[{"id":3158,"uris":["http://zotero.org/users/6654317/items/VKVET8PE","http://zotero.org/users/6654317/items/9FCXRYMH"],"itemData":{"id":3158,"type":"article-journal","abstract":"The use of cost-effective methods for measurement of WHC is common in underdeveloped and developing countries, but the accuracy of these cost-effective methods compared to the sophisticated and more expensive alternatives is unclear. To compare different WHC measurement methods, 30 random samples of clay loam and sandy clay loam soils of Jhansi, India were used. The methods compared here were: FAO in-situ method (FAO), Keen-Raczkowski box method (KM), funnel method (FM), column method (CM) and pressure plate method (PPA). For WHC measurements the PPA results were comparable to KM and FM methods for sandy clay loam, and KM and FAO methods for clay loam. Therefore, until a reliable method that matches the results of sophisticated analytical methods of soil water measurement is available, different inexpensive analytical methods can be used, but they must be chosen with caution. The findings from this study will facilitate appropriate selection of a suitable method.","container-title":"Communications in Soil Science and Plant Analysis","DOI":"10.1080/00103624.2022.2112216","ISSN":"0010-3624","issue":"2","note":"publisher: Taylor &amp; Francis\n_eprint: https://doi.org/10.1080/00103624.2022.2112216","page":"287-296","source":"Taylor and Francis+NEJM","title":"Comparison of Low-Cost Methods for Soil Water Holding Capacity","volume":"54","author":[{"family":"Govindasamy","given":"Prabhu"},{"family":"Mahawer","given":"Sonu Kumar"},{"family":"Mowrer","given":"Jake"},{"family":"Bagavathiannan","given":"Muthukumar"},{"family":"Prasad","given":"Mahendra"},{"family":"Ramakrishnan","given":"Srinivasan"},{"family":"Halli","given":"Hanamant M"},{"family":"Kumar","given":"Sunil"},{"family":"Chandra","given":"Amresh"}],"issued":{"date-parts":[["2023",1,19]]}}}],"schema":"https://github.com/citation-style-language/schema/raw/master/csl-citation.json"}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Govindasamy et al., 2023)</w:t>
      </w:r>
      <w:r w:rsidR="00F0347E" w:rsidRPr="006D5977">
        <w:rPr>
          <w:rFonts w:ascii="Arial" w:hAnsi="Arial" w:cs="Arial"/>
          <w:sz w:val="20"/>
          <w:szCs w:val="20"/>
          <w:lang w:val="en-US"/>
        </w:rPr>
        <w:fldChar w:fldCharType="end"/>
      </w:r>
      <w:r w:rsidR="0018496F" w:rsidRPr="006D5977">
        <w:rPr>
          <w:rFonts w:ascii="Arial" w:hAnsi="Arial" w:cs="Arial"/>
          <w:sz w:val="20"/>
          <w:szCs w:val="20"/>
          <w:lang w:val="en-US"/>
        </w:rPr>
        <w:t xml:space="preserve">. </w:t>
      </w:r>
      <w:r w:rsidRPr="006D5977">
        <w:rPr>
          <w:rFonts w:ascii="Arial" w:hAnsi="Arial" w:cs="Arial"/>
          <w:sz w:val="20"/>
          <w:szCs w:val="20"/>
          <w:lang w:val="en-US"/>
        </w:rPr>
        <w:t>It was developed by Keen and Raczkowski in 1921.</w:t>
      </w:r>
    </w:p>
    <w:p w:rsidR="00A007C0" w:rsidRPr="006D5977" w:rsidRDefault="00A007C0"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For this purpose, Keen Raczkowski plates lined with filter paper and weighed using a precision electronic balance were used. The plates were filled with samples of the different </w:t>
      </w:r>
      <w:r w:rsidR="00DD0456" w:rsidRPr="006D5977">
        <w:rPr>
          <w:rFonts w:ascii="Arial" w:hAnsi="Arial" w:cs="Arial"/>
          <w:sz w:val="20"/>
          <w:szCs w:val="20"/>
          <w:lang w:val="en-US"/>
        </w:rPr>
        <w:t>growing media</w:t>
      </w:r>
      <w:r w:rsidRPr="006D5977">
        <w:rPr>
          <w:rFonts w:ascii="Arial" w:hAnsi="Arial" w:cs="Arial"/>
          <w:sz w:val="20"/>
          <w:szCs w:val="20"/>
          <w:lang w:val="en-US"/>
        </w:rPr>
        <w:t>s, removing any excess with a spatula, and then weighed again. Next, the plates were placed on Petri dish lids that had been pre-filled two-thirds full with water and left to soak overnight. The following day, the plates were removed, and the excess water was drained by gravity, then weighed. Finally, the plates were placed in an oven at 105°C for three days and then weighed. The</w:t>
      </w:r>
      <w:r w:rsidR="0018496F" w:rsidRPr="006D5977">
        <w:rPr>
          <w:rFonts w:ascii="Arial" w:hAnsi="Arial" w:cs="Arial"/>
          <w:sz w:val="20"/>
          <w:szCs w:val="20"/>
          <w:lang w:val="en-US"/>
        </w:rPr>
        <w:t xml:space="preserve"> Water holding capacity</w:t>
      </w:r>
      <w:r w:rsidRPr="006D5977">
        <w:rPr>
          <w:rFonts w:ascii="Arial" w:hAnsi="Arial" w:cs="Arial"/>
          <w:sz w:val="20"/>
          <w:szCs w:val="20"/>
          <w:lang w:val="en-US"/>
        </w:rPr>
        <w:t xml:space="preserve"> was given by the following formula:</w:t>
      </w:r>
    </w:p>
    <w:p w:rsidR="00A007C0" w:rsidRPr="006D5977" w:rsidRDefault="00A007C0" w:rsidP="005D29FE">
      <w:pPr>
        <w:spacing w:before="100" w:beforeAutospacing="1" w:after="100" w:afterAutospacing="1" w:line="240" w:lineRule="auto"/>
        <w:jc w:val="both"/>
        <w:rPr>
          <w:rFonts w:ascii="Arial" w:eastAsiaTheme="minorEastAsia" w:hAnsi="Arial" w:cs="Arial"/>
          <w:b/>
          <w:bCs/>
          <w:sz w:val="20"/>
          <w:szCs w:val="20"/>
          <w:lang w:val="en-US"/>
        </w:rPr>
      </w:pPr>
      <w:r w:rsidRPr="006D5977">
        <w:rPr>
          <w:rFonts w:ascii="Arial" w:hAnsi="Arial" w:cs="Arial"/>
          <w:b/>
          <w:bCs/>
          <w:sz w:val="20"/>
          <w:szCs w:val="20"/>
          <w:lang w:val="en-US"/>
        </w:rPr>
        <w:t>CR =</w:t>
      </w:r>
      <m:oMath>
        <m:f>
          <m:fPr>
            <m:ctrlPr>
              <w:rPr>
                <w:rFonts w:ascii="Cambria Math" w:hAnsi="Cambria Math" w:cs="Arial"/>
                <w:b/>
                <w:bCs/>
                <w:i/>
                <w:sz w:val="20"/>
                <w:szCs w:val="20"/>
              </w:rPr>
            </m:ctrlPr>
          </m:fPr>
          <m:num>
            <m:r>
              <m:rPr>
                <m:sty m:val="bi"/>
              </m:rPr>
              <w:rPr>
                <w:rFonts w:ascii="Cambria Math" w:hAnsi="Cambria Math" w:cs="Arial"/>
                <w:sz w:val="20"/>
                <w:szCs w:val="20"/>
              </w:rPr>
              <m:t>P</m:t>
            </m:r>
            <m:r>
              <m:rPr>
                <m:sty m:val="bi"/>
              </m:rPr>
              <w:rPr>
                <w:rFonts w:ascii="Cambria Math" w:hAnsi="Cambria Math" w:cs="Arial"/>
                <w:sz w:val="20"/>
                <w:szCs w:val="20"/>
              </w:rPr>
              <m:t>2</m:t>
            </m:r>
            <m:r>
              <m:rPr>
                <m:sty m:val="bi"/>
              </m:rPr>
              <w:rPr>
                <w:rFonts w:ascii="Cambria Math" w:hAnsi="Cambria Math" w:cs="Arial"/>
                <w:sz w:val="20"/>
                <w:szCs w:val="20"/>
                <w:lang w:val="en-US"/>
              </w:rPr>
              <m:t>-</m:t>
            </m:r>
            <m:r>
              <m:rPr>
                <m:sty m:val="bi"/>
              </m:rPr>
              <w:rPr>
                <w:rFonts w:ascii="Cambria Math" w:hAnsi="Cambria Math" w:cs="Arial"/>
                <w:sz w:val="20"/>
                <w:szCs w:val="20"/>
              </w:rPr>
              <m:t>P</m:t>
            </m:r>
            <m:r>
              <m:rPr>
                <m:sty m:val="bi"/>
              </m:rPr>
              <w:rPr>
                <w:rFonts w:ascii="Cambria Math" w:hAnsi="Cambria Math" w:cs="Arial"/>
                <w:sz w:val="20"/>
                <w:szCs w:val="20"/>
              </w:rPr>
              <m:t>3</m:t>
            </m:r>
          </m:num>
          <m:den>
            <m:r>
              <m:rPr>
                <m:sty m:val="bi"/>
              </m:rPr>
              <w:rPr>
                <w:rFonts w:ascii="Cambria Math" w:hAnsi="Cambria Math" w:cs="Arial"/>
                <w:sz w:val="20"/>
                <w:szCs w:val="20"/>
              </w:rPr>
              <m:t>P</m:t>
            </m:r>
            <m:r>
              <m:rPr>
                <m:sty m:val="bi"/>
              </m:rPr>
              <w:rPr>
                <w:rFonts w:ascii="Cambria Math" w:hAnsi="Cambria Math" w:cs="Arial"/>
                <w:sz w:val="20"/>
                <w:szCs w:val="20"/>
              </w:rPr>
              <m:t>3</m:t>
            </m:r>
            <m:r>
              <m:rPr>
                <m:sty m:val="bi"/>
              </m:rPr>
              <w:rPr>
                <w:rFonts w:ascii="Cambria Math" w:hAnsi="Cambria Math" w:cs="Arial"/>
                <w:sz w:val="20"/>
                <w:szCs w:val="20"/>
                <w:lang w:val="en-US"/>
              </w:rPr>
              <m:t>-</m:t>
            </m:r>
            <m:r>
              <m:rPr>
                <m:sty m:val="bi"/>
              </m:rPr>
              <w:rPr>
                <w:rFonts w:ascii="Cambria Math" w:hAnsi="Cambria Math" w:cs="Arial"/>
                <w:sz w:val="20"/>
                <w:szCs w:val="20"/>
              </w:rPr>
              <m:t>P</m:t>
            </m:r>
            <m:r>
              <m:rPr>
                <m:sty m:val="bi"/>
              </m:rPr>
              <w:rPr>
                <w:rFonts w:ascii="Cambria Math" w:hAnsi="Cambria Math" w:cs="Arial"/>
                <w:sz w:val="20"/>
                <w:szCs w:val="20"/>
              </w:rPr>
              <m:t>1</m:t>
            </m:r>
          </m:den>
        </m:f>
      </m:oMath>
      <w:r w:rsidRPr="006D5977">
        <w:rPr>
          <w:rFonts w:ascii="Arial" w:eastAsiaTheme="minorEastAsia" w:hAnsi="Arial" w:cs="Arial"/>
          <w:b/>
          <w:bCs/>
          <w:sz w:val="20"/>
          <w:szCs w:val="20"/>
          <w:lang w:val="en-US"/>
        </w:rPr>
        <w:t>x 100</w:t>
      </w:r>
    </w:p>
    <w:p w:rsidR="00A007C0" w:rsidRPr="006D5977" w:rsidRDefault="00A007C0"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Where P1 is the weight of the empty box + filter paper, P2 is the weight of the box + filter paper + wet soil, and P3 is the weight of the box + filter paper + oven-dried soil.</w:t>
      </w:r>
    </w:p>
    <w:p w:rsidR="00A007C0" w:rsidRPr="00D52DD0" w:rsidRDefault="00A007C0" w:rsidP="005D29FE">
      <w:pPr>
        <w:pStyle w:val="Heading3"/>
        <w:numPr>
          <w:ilvl w:val="2"/>
          <w:numId w:val="20"/>
        </w:numPr>
        <w:spacing w:line="240" w:lineRule="auto"/>
        <w:rPr>
          <w:rFonts w:ascii="Arial" w:hAnsi="Arial" w:cs="Arial"/>
          <w:sz w:val="20"/>
          <w:szCs w:val="20"/>
          <w:u w:val="single"/>
        </w:rPr>
      </w:pPr>
      <w:bookmarkStart w:id="11" w:name="_Toc208777010"/>
      <w:r w:rsidRPr="00D52DD0">
        <w:rPr>
          <w:rFonts w:ascii="Arial" w:hAnsi="Arial" w:cs="Arial"/>
          <w:sz w:val="20"/>
          <w:szCs w:val="20"/>
          <w:u w:val="single"/>
        </w:rPr>
        <w:t>Particle size</w:t>
      </w:r>
      <w:bookmarkEnd w:id="11"/>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Particle size distribution is the measurement of the size of the particles in the growing medi</w:t>
      </w:r>
      <w:r w:rsidR="0018496F" w:rsidRPr="006D5977">
        <w:rPr>
          <w:rFonts w:ascii="Arial" w:hAnsi="Arial" w:cs="Arial"/>
          <w:sz w:val="20"/>
          <w:szCs w:val="20"/>
          <w:lang w:val="en-US"/>
        </w:rPr>
        <w:t>a</w:t>
      </w:r>
      <w:r w:rsidRPr="006D5977">
        <w:rPr>
          <w:rFonts w:ascii="Arial" w:hAnsi="Arial" w:cs="Arial"/>
          <w:sz w:val="20"/>
          <w:szCs w:val="20"/>
          <w:lang w:val="en-US"/>
        </w:rPr>
        <w:t xml:space="preserve"> and is expressed as a weight ratio between elementary particles of different sizes</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{"citationID":"nvgXDgx2","properties":{"formattedCitation":"(Fields et al., 2014)","plainCitation":"(Fields et al., 2014)","noteIndex":0},"citationItems":[{"id":3142,"uris":["http://zotero.org/users/6654317/items/HPWIZJPC"],"itemData":{"id":3142,"type":"article-journal","abstract":"Hydration Efficiency of Traditional and Alternative Greenhouse Substrate Components","DOI":"10.21273/HORTSCI.49.3.336","language":"en","note":"section: HortScience","source":"journals.ashs.org","title":"Hydration Efficiency of Traditional and Alternative Greenhouse Substrate Components","URL":"https://journals.ashs.org/view/journals/hortsci/49/3/article-p336.xml","author":[{"family":"Fields","given":"Jeb S."},{"family":"Fonteno","given":"William C."},{"family":"Jackson","given":"Brian E."}],"accessed":{"date-parts":[["2025",9,18]]},"issued":{"date-parts":[["2014",3,1]]}}}],"schema":"https://github.com/citation-style-language/schema/raw/master/csl-citation.json"}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(Fields et al., 2014)</w:t>
      </w:r>
      <w:r w:rsidR="00F0347E" w:rsidRPr="006D5977">
        <w:rPr>
          <w:rFonts w:ascii="Arial" w:hAnsi="Arial" w:cs="Arial"/>
          <w:sz w:val="20"/>
          <w:szCs w:val="20"/>
        </w:rPr>
        <w:fldChar w:fldCharType="end"/>
      </w:r>
      <w:r w:rsidR="0018496F" w:rsidRPr="006D5977">
        <w:rPr>
          <w:rFonts w:ascii="Arial" w:hAnsi="Arial" w:cs="Arial"/>
          <w:sz w:val="20"/>
          <w:szCs w:val="20"/>
          <w:lang w:val="en-US"/>
        </w:rPr>
        <w:t xml:space="preserve">. </w:t>
      </w:r>
      <w:r w:rsidRPr="006D5977">
        <w:rPr>
          <w:rFonts w:ascii="Arial" w:hAnsi="Arial" w:cs="Arial"/>
          <w:sz w:val="20"/>
          <w:szCs w:val="20"/>
          <w:lang w:val="en-US"/>
        </w:rPr>
        <w:t>The material was air-dried and placed on a set of sieves with decreasing mesh sizes (2 mm, 1 mm, 0.5 mm, 200 µm). The sieves were shaken for 5 minutes using an orbital shaker, and the particle fractions retained on each sieve were weighed.</w:t>
      </w:r>
    </w:p>
    <w:p w:rsidR="00A007C0" w:rsidRPr="00D52DD0" w:rsidRDefault="00A007C0" w:rsidP="005D29FE">
      <w:pPr>
        <w:pStyle w:val="Heading2"/>
        <w:numPr>
          <w:ilvl w:val="1"/>
          <w:numId w:val="20"/>
        </w:numPr>
        <w:spacing w:line="240" w:lineRule="auto"/>
        <w:rPr>
          <w:rFonts w:ascii="Arial" w:hAnsi="Arial" w:cs="Arial"/>
          <w:sz w:val="22"/>
          <w:szCs w:val="22"/>
          <w:lang w:val="en-US"/>
        </w:rPr>
      </w:pPr>
      <w:bookmarkStart w:id="12" w:name="_Toc208777012"/>
      <w:r w:rsidRPr="00D52DD0">
        <w:rPr>
          <w:rFonts w:ascii="Arial" w:hAnsi="Arial" w:cs="Arial"/>
          <w:sz w:val="22"/>
          <w:szCs w:val="22"/>
          <w:lang w:val="en-US"/>
        </w:rPr>
        <w:t xml:space="preserve">Chemical characterization of </w:t>
      </w:r>
      <w:r w:rsidR="00DD0456" w:rsidRPr="00D52DD0">
        <w:rPr>
          <w:rFonts w:ascii="Arial" w:hAnsi="Arial" w:cs="Arial"/>
          <w:sz w:val="22"/>
          <w:szCs w:val="22"/>
          <w:lang w:val="en-US"/>
        </w:rPr>
        <w:t>growing media</w:t>
      </w:r>
      <w:r w:rsidRPr="00D52DD0">
        <w:rPr>
          <w:rFonts w:ascii="Arial" w:hAnsi="Arial" w:cs="Arial"/>
          <w:sz w:val="22"/>
          <w:szCs w:val="22"/>
          <w:lang w:val="en-US"/>
        </w:rPr>
        <w:t>s</w:t>
      </w:r>
      <w:bookmarkEnd w:id="12"/>
    </w:p>
    <w:p w:rsidR="00A007C0" w:rsidRPr="00D52DD0" w:rsidRDefault="00A007C0" w:rsidP="005D29FE">
      <w:pPr>
        <w:pStyle w:val="Heading3"/>
        <w:numPr>
          <w:ilvl w:val="2"/>
          <w:numId w:val="20"/>
        </w:numPr>
        <w:spacing w:line="240" w:lineRule="auto"/>
        <w:rPr>
          <w:rFonts w:ascii="Arial" w:hAnsi="Arial" w:cs="Arial"/>
          <w:sz w:val="20"/>
          <w:szCs w:val="20"/>
          <w:u w:val="single"/>
        </w:rPr>
      </w:pPr>
      <w:bookmarkStart w:id="13" w:name="_Toc208777013"/>
      <w:r w:rsidRPr="00D52DD0">
        <w:rPr>
          <w:rFonts w:ascii="Arial" w:hAnsi="Arial" w:cs="Arial"/>
          <w:sz w:val="20"/>
          <w:szCs w:val="20"/>
          <w:u w:val="single"/>
        </w:rPr>
        <w:t>pH</w:t>
      </w:r>
      <w:bookmarkEnd w:id="13"/>
    </w:p>
    <w:p w:rsidR="00A007C0" w:rsidRPr="006D5977" w:rsidRDefault="00A007C0" w:rsidP="005D29FE">
      <w:pPr>
        <w:spacing w:before="100" w:beforeAutospacing="1" w:after="100" w:afterAutospacing="1" w:line="240" w:lineRule="auto"/>
        <w:jc w:val="both"/>
        <w:rPr>
          <w:rFonts w:ascii="Arial" w:hAnsi="Arial" w:cs="Arial"/>
          <w:sz w:val="20"/>
          <w:szCs w:val="20"/>
        </w:rPr>
      </w:pPr>
      <w:r w:rsidRPr="006D5977">
        <w:rPr>
          <w:rFonts w:ascii="Arial" w:hAnsi="Arial" w:cs="Arial"/>
          <w:sz w:val="20"/>
          <w:szCs w:val="20"/>
          <w:lang w:val="en-US"/>
        </w:rPr>
        <w:t>The pH was measured according to the international standard ISO 10390. For this purpose, 10 g of each sample were placed in 50 ml of distilled water. After stirring with an orbital shaker for one hour and allowing the mixture to stand for two hours, the pH was measured with a digital pH meter</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{"citationID":"09imwYDU","properties":{"formattedCitation":"(Ben Si Said et al., 2022)","plainCitation":"(Ben Si Said et al., 2022)","noteIndex":0},"citationItems":[{"id":2496,"uris":["http://zotero.org/users/local/MzRjPaDh/items/T52RUBJX","http://zotero.org/users/6654317/items/T52RUBJX"],"itemData":{"id":2496,"type":"article-journal","container-title":"Source OCDE. Environnement et développement durable","note":"publisher: OECD Publications Centre","page":"7","source":"HAL Archives Ouvertes","title":"Compostage, alternative pour valoriser les déchets d</w:instrText>
      </w:r>
      <w:r w:rsidR="00F1149B" w:rsidRPr="00354F79">
        <w:rPr>
          <w:rFonts w:ascii="Arial" w:hAnsi="Arial" w:cs="Arial"/>
          <w:sz w:val="20"/>
          <w:szCs w:val="20"/>
        </w:rPr>
        <w:instrText xml:space="preserve">e restauration des collectivités, cas du restaurant universitaire de Tizi-Ouzou (Algérie)","author":[{"family":"Ben Si Said","given":"Zineb"},{"family":"Derridj","given":"Arezki"},{"family":"Rebbas","given":"Khellaf"},{"family":"Adjout","given":"Melissa"},{"family":"Belkacemi","given":"Taous"},{"family":"Ramdane","given":"Ramdini"}],"issued":{"date-parts":[["2022",2]]}}}],"schema":"https://github.com/citation-style-language/schema/raw/master/csl-citation.json"} </w:instrText>
      </w:r>
      <w:r w:rsidR="00F0347E" w:rsidRPr="006D5977">
        <w:rPr>
          <w:rFonts w:ascii="Arial" w:hAnsi="Arial" w:cs="Arial"/>
          <w:sz w:val="20"/>
          <w:szCs w:val="20"/>
          <w:lang w:val="en-US"/>
        </w:rPr>
        <w:fldChar w:fldCharType="separate"/>
      </w:r>
      <w:r w:rsidR="00F1149B" w:rsidRPr="00354F79">
        <w:rPr>
          <w:rFonts w:ascii="Arial" w:hAnsi="Arial" w:cs="Arial"/>
          <w:sz w:val="20"/>
        </w:rPr>
        <w:t>(Ben Si Said et al., 2022</w:t>
      </w:r>
      <w:r w:rsidR="00F0347E" w:rsidRPr="006D5977">
        <w:rPr>
          <w:rFonts w:ascii="Arial" w:hAnsi="Arial" w:cs="Arial"/>
          <w:sz w:val="20"/>
          <w:szCs w:val="20"/>
          <w:lang w:val="en-US"/>
        </w:rPr>
        <w:fldChar w:fldCharType="end"/>
      </w:r>
      <w:r w:rsidR="00354F79" w:rsidRPr="00354F79">
        <w:rPr>
          <w:rFonts w:ascii="Arial" w:hAnsi="Arial" w:cs="Arial"/>
          <w:sz w:val="20"/>
          <w:szCs w:val="20"/>
        </w:rPr>
        <w:t xml:space="preserve"> ;</w:t>
      </w:r>
      <w:r w:rsidR="00F0347E" w:rsidRPr="006D5977">
        <w:rPr>
          <w:rFonts w:ascii="Arial" w:hAnsi="Arial" w:cs="Arial"/>
          <w:sz w:val="20"/>
          <w:szCs w:val="20"/>
          <w:lang w:val="en-US"/>
        </w:rPr>
        <w:fldChar w:fldCharType="begin"/>
      </w:r>
      <w:r w:rsidR="00F1149B" w:rsidRPr="00354F79">
        <w:rPr>
          <w:rFonts w:ascii="Arial" w:hAnsi="Arial" w:cs="Arial"/>
          <w:sz w:val="20"/>
          <w:szCs w:val="20"/>
        </w:rPr>
        <w:instrText xml:space="preserve"> ADDIN ZOTERO_ITEM CSL_CITATION {"citationID":"Z4ToTw5j","properties":{"formattedCitation":"(Sani et al., 2023)","plainCitation":"(Sani et al., 2023)","noteIndex":0},"citationItems":[{"id":2498,"uris":["http://zotero.org/users/local/MzRjPaDh/items/ZGU4Z384","http://zotero.org/users/6654317/items/ZGU4Z384"],"itemData":{"id":2498,"type":"article-journal","container-title":"International Journal of Innovation and Applied Studies","issue":"3","note":"publisher: International Journal of Innovation and Applied Studies","page":"1075–1082","source":"Google Scholar","title":"Evaluation de la phytotoxicité d'un compost préparé avec le phosphate calciné de Tahoua (Niger)","volume":"39","author":[{"family":"Sani","given":"Ousmane Mahamane"},{"family":"Ismaila","given":"Abdou Gondah"},{"family":"Adamou","given":"Zanguina"},{"family":"Ibrahim","given":"Natatou"}],"issued":{"date-parts":[["2023"]]}}}],"schema":"https://github.com/citation-style-language/schema/raw/master/csl-citation.json"} </w:instrText>
      </w:r>
      <w:r w:rsidR="00F0347E" w:rsidRPr="006D5977">
        <w:rPr>
          <w:rFonts w:ascii="Arial" w:hAnsi="Arial" w:cs="Arial"/>
          <w:sz w:val="20"/>
          <w:szCs w:val="20"/>
          <w:lang w:val="en-US"/>
        </w:rPr>
        <w:fldChar w:fldCharType="separate"/>
      </w:r>
      <w:r w:rsidR="00F1149B" w:rsidRPr="00354F79">
        <w:rPr>
          <w:rFonts w:ascii="Arial" w:hAnsi="Arial" w:cs="Arial"/>
          <w:sz w:val="20"/>
        </w:rPr>
        <w:t>Sani et al., 2023</w:t>
      </w:r>
      <w:r w:rsidR="00354F79">
        <w:rPr>
          <w:rFonts w:ascii="Arial" w:hAnsi="Arial" w:cs="Arial"/>
          <w:sz w:val="20"/>
        </w:rPr>
        <w:t>;</w:t>
      </w:r>
      <w:r w:rsidR="00F0347E" w:rsidRPr="006D5977">
        <w:rPr>
          <w:rFonts w:ascii="Arial" w:hAnsi="Arial" w:cs="Arial"/>
          <w:sz w:val="20"/>
          <w:szCs w:val="20"/>
          <w:lang w:val="en-US"/>
        </w:rPr>
        <w:fldChar w:fldCharType="end"/>
      </w:r>
      <w:r w:rsidR="00F0347E" w:rsidRPr="006D5977">
        <w:rPr>
          <w:rFonts w:ascii="Arial" w:hAnsi="Arial" w:cs="Arial"/>
          <w:sz w:val="20"/>
          <w:szCs w:val="20"/>
          <w:lang w:val="en-US"/>
        </w:rPr>
        <w:fldChar w:fldCharType="begin"/>
      </w:r>
      <w:r w:rsidR="00F1149B" w:rsidRPr="00354F79">
        <w:rPr>
          <w:rFonts w:ascii="Arial" w:hAnsi="Arial" w:cs="Arial"/>
          <w:sz w:val="20"/>
          <w:szCs w:val="20"/>
        </w:rPr>
        <w:instrText xml:space="preserve"> ADDIN ZOTERO_ITEM CSL_CITATION {"citationID":"uNUpIami","properties":{"formattedCitation":"(Mageshwaran et al., 2024)","plainCitation":"(Mageshwaran et al., 2024)","noteIndex":0},"citationItems":[{"id":2847,"uris":["http://zotero.org/users/6654317/items/DLYWE84Y"],"itemData":{"id":2847,"type":"article-journal","abstract":"The present study was aimed to evaluate five different microbial consortia for rapid composting of paddy straw and analyse the quality of compost produced. The experimental study on rapid composting of paddy straw was taken at ICAR-NBAIM, Kushmaur, Mau, Uttar Pradesh, India, during the period February to April 2022. The paddy straw was collected from the farm of ICAR-IISS, Mau, U.P., India and the collected paddy straw was chopped into 4-5 cm and further used for the study. The composting experiment was performed in bio-conversion bags of size [12 (L) x 4 (B) x 3 (H) feet]. There were six treatments in which five treatments were taken to evaluate five different microbial consortia and one control (no microbial consortium added). The five different microbial consortia tested were BIOFAST, BIO-COMPOST, NCOF, PUSA and TEJAS. The results showed that Carbon-Nitrogen (C:N) ratio was reached to less than 20 at 60 days in BIO-FAST applied paddy straw followed by NCOF. While, the C:N ratio of control at 60 days was 33.71. Similarly, the primary nutrients (N, P and K) were higher (p &lt; 0.05) in BIO-FAST followed by NCOF applied compost. The microbial activity and enzymatic activities were found to be insignificant (p &lt; 0.05) in microbial consortia added treatments. The diluted extract of compost (50% and 20%) had higher germination index and no phytotoxicity effect. Thus, the results revealed that the addition of BIO-FAST accelerate the composting process and produce quality compost from paddy straw in 60 days.","container-title":"Journal of Pure and Applied Microbiology","DOI":"10.22207/JPAM.18.4.34","ISSN":"09737510, 2581690X","issue":"4","journalAbbreviation":"J. Pure Appl. Microbiol.","language":"en","license":"https://creativecommons.org/licenses/by/4.0/","page":"2619-2635","source":"DOI.org (Crossref)","title":"Comparative Efficacy Evaluation of Microbial Consortia for Rapid Composting of Paddy Straw","volume":"18","author":[{"family":"Mageshwaran","given":"Vellaichamy"},{"family":"Tripath","given":"Pratyush"},{"family":"Vishvakarma","given":"Ashish K."},{"family":"Yadav","given":"Amit"}],"issued":{"date-parts":[["2024",12,1]]}}}],"schema":"https://github.com/citation-style-language/schema/raw/master/csl-citation.json"}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rPr>
        <w:t>Mageshwaran et al., 2024)</w:t>
      </w:r>
      <w:r w:rsidR="00F0347E" w:rsidRPr="006D5977">
        <w:rPr>
          <w:rFonts w:ascii="Arial" w:hAnsi="Arial" w:cs="Arial"/>
          <w:sz w:val="20"/>
          <w:szCs w:val="20"/>
          <w:lang w:val="en-US"/>
        </w:rPr>
        <w:fldChar w:fldCharType="end"/>
      </w:r>
      <w:r w:rsidRPr="006D5977">
        <w:rPr>
          <w:rFonts w:ascii="Arial" w:hAnsi="Arial" w:cs="Arial"/>
          <w:color w:val="000000" w:themeColor="text1"/>
          <w:sz w:val="20"/>
          <w:szCs w:val="20"/>
        </w:rPr>
        <w:t>.</w:t>
      </w:r>
    </w:p>
    <w:p w:rsidR="00A007C0" w:rsidRPr="00D52DD0" w:rsidRDefault="00A007C0" w:rsidP="005D29FE">
      <w:pPr>
        <w:pStyle w:val="Heading3"/>
        <w:numPr>
          <w:ilvl w:val="2"/>
          <w:numId w:val="20"/>
        </w:numPr>
        <w:spacing w:line="240" w:lineRule="auto"/>
        <w:rPr>
          <w:rFonts w:ascii="Arial" w:hAnsi="Arial" w:cs="Arial"/>
          <w:sz w:val="20"/>
          <w:szCs w:val="20"/>
          <w:u w:val="single"/>
        </w:rPr>
      </w:pPr>
      <w:bookmarkStart w:id="14" w:name="_Toc208777014"/>
      <w:r w:rsidRPr="00D52DD0">
        <w:rPr>
          <w:rFonts w:ascii="Arial" w:hAnsi="Arial" w:cs="Arial"/>
          <w:sz w:val="20"/>
          <w:szCs w:val="20"/>
          <w:u w:val="single"/>
        </w:rPr>
        <w:t>Electricalconductivity (CE)</w:t>
      </w:r>
      <w:bookmarkEnd w:id="14"/>
    </w:p>
    <w:p w:rsidR="00A007C0" w:rsidRPr="006D5977" w:rsidRDefault="00A007C0"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Electrical conductivity (EC) is a measure of the concentration of soluble ions used to assess the salinity of the </w:t>
      </w:r>
      <w:r w:rsidR="00DD0456" w:rsidRPr="006D5977">
        <w:rPr>
          <w:rFonts w:ascii="Arial" w:hAnsi="Arial" w:cs="Arial"/>
          <w:sz w:val="20"/>
          <w:szCs w:val="20"/>
          <w:lang w:val="en-US"/>
        </w:rPr>
        <w:t>growing media</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{"citationID":"tWk5ip4y","properties":{"formattedCitation":"(M\\uc0\\u8217{}Sadak et al., 2013)","plainCitation":"(M’Sadak et al., 2013)","noteIndex":0},"citationItems":[{"id":943,"uris":["http://zotero.org/users/6654317/items/XIGQ8TRG"],"itemData":{"id":943,"type":"article-journal","container-title":"Revue Marocaine des Sciences Agronomiques et Vétérinaires","ISSN":"2550-4401","issue":"2","language":"fr","page":"5-9","source":"www.agromaroc.com","title":"Production et croissance des plants de Gombo (Abelmoschus esculentus) sur substrats de culture issus d'un mélange de Tourbe et de Compost dans une pépinière maraîchère hors sol en Tunisie","volume":"1","author":[{"family":"M'Sadak","given":"Youssef"},{"family":"Elouaer","given":"M.-A."},{"family":"Dhahri","given":"M."}],"issued":{"date-parts":[["2013"]]}}}],"schema":"https://github.com/citation-style-language/schema/raw/master/csl-citation.json"}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szCs w:val="24"/>
          <w:lang w:val="en-US"/>
        </w:rPr>
        <w:t>(M’Sadak et al., 2013)</w:t>
      </w:r>
      <w:r w:rsidR="00F0347E" w:rsidRPr="006D5977">
        <w:rPr>
          <w:rFonts w:ascii="Arial" w:hAnsi="Arial" w:cs="Arial"/>
          <w:sz w:val="20"/>
          <w:szCs w:val="20"/>
          <w:lang w:val="en-US"/>
        </w:rPr>
        <w:fldChar w:fldCharType="end"/>
      </w:r>
      <w:r w:rsidR="00B3499F" w:rsidRPr="006D5977">
        <w:rPr>
          <w:rFonts w:ascii="Arial" w:hAnsi="Arial" w:cs="Arial"/>
          <w:sz w:val="20"/>
          <w:szCs w:val="20"/>
          <w:lang w:val="en-US"/>
        </w:rPr>
        <w:t xml:space="preserve">. </w:t>
      </w:r>
      <w:r w:rsidRPr="006D5977">
        <w:rPr>
          <w:rFonts w:ascii="Arial" w:hAnsi="Arial" w:cs="Arial"/>
          <w:sz w:val="20"/>
          <w:szCs w:val="20"/>
          <w:lang w:val="en-US"/>
        </w:rPr>
        <w:t>Electrical conductivity (EC) is measured after dissolving 5 g of the previously dried sample in 50 ml of distilled water</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{"citationID":"00psLk6t","properties":{"formattedCitation":"(Mageshwaran et al., 2024)","plainCitation":"(Mageshwaran et al., 2024)","noteIndex":0},"citationItems":[{"id":2847,"uris":["http://zotero.org/users/6654317/items/DLYWE84Y"],"itemData":{"id":2847,"type":"article-journal","abstract":"The present study was aimed to evaluate five different microbial consortia for rapid composting of paddy straw and analyse the quality of compost produced. The experimental study on rapid composting of paddy straw was taken at ICAR-NBAIM, Kushmaur, Mau, Uttar Pradesh, India, during the period February to April 2022. The paddy straw was collected from the farm of ICAR-IISS, Mau, U.P., India and the collected paddy straw was chopped into 4-5 cm and further used for the study. The composting experiment was performed in bio-conversion bags of size [12 (L) x 4 (B) x 3 (H) feet]. There were six treatments in which five treatments were taken to evaluate five different microbial consortia and one control (no microbial consortium added). The five different microbial consortia tested were BIOFAST, BIO-COMPOST, NCOF, PUSA and TEJAS. The results showed that Carbon-Nitrogen (C:N) ratio was reached to less than 20 at 60 days in BIO-FAST applied paddy straw followed by NCOF. While, the C:N ratio of control at 60 days was 33.71. Similarly, the primary nutrients (N, P and K) were higher (p &lt; 0.05) in BIO-FAST followed by NCOF applied compost. The microbial activity and enzymatic activities were found to be insignificant (p &lt; 0.05) in microbial consortia added treatments. The diluted extract of compost (50% and 20%) had higher germination index and no phytotoxicity effect. Thus, the results revealed that the addition of BIO-FAST accelerate the composting process and produce quality compost from paddy straw in 60 days.","container-title":"Journal of Pure and Applied Microbiology","DOI":"10.22207/JPAM.18.4.34","ISSN":"09737510, 2581690X","issue":"4","journalAbbreviation":"J. Pure Appl. Microbiol.","language":"en","license":"https://creativecommons.org/licenses/by/4.0/","page":"2619-2635","source":"DOI.org (Crossref)","title":"Comparative Efficacy Evaluation of Microbial Consortia for Rapid Composting of Paddy Straw","volume":"18","author":[{"family":"Mageshwaran","given":"Vellaichamy"},{"family":"Tripath","given":"Pratyush"},{"family":"Vishvakarma","given":"Ashish K."},{"family":"Yadav","given":"Amit"}],"issued":{"date-parts":[["2024",12,1]]}}}],"schema":"https://github.com/citation-style-language/schema/raw/master/csl-citation.json"}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(Mageshwaran et al., 2024)</w:t>
      </w:r>
      <w:r w:rsidR="00F0347E" w:rsidRPr="006D5977">
        <w:rPr>
          <w:rFonts w:ascii="Arial" w:hAnsi="Arial" w:cs="Arial"/>
          <w:sz w:val="20"/>
          <w:szCs w:val="20"/>
        </w:rPr>
        <w:fldChar w:fldCharType="end"/>
      </w:r>
      <w:r w:rsidR="00B3499F" w:rsidRPr="006D5977">
        <w:rPr>
          <w:rFonts w:ascii="Arial" w:hAnsi="Arial" w:cs="Arial"/>
          <w:sz w:val="20"/>
          <w:szCs w:val="20"/>
          <w:lang w:val="en-US"/>
        </w:rPr>
        <w:t xml:space="preserve">. </w:t>
      </w:r>
      <w:r w:rsidRPr="006D5977">
        <w:rPr>
          <w:rFonts w:ascii="Arial" w:hAnsi="Arial" w:cs="Arial"/>
          <w:sz w:val="20"/>
          <w:szCs w:val="20"/>
          <w:lang w:val="en-US"/>
        </w:rPr>
        <w:t>After stirring with an orbital shaker for one hour, the solution was filtered and the EC was measured with a digital conductivity meter.</w:t>
      </w:r>
    </w:p>
    <w:p w:rsidR="00A007C0" w:rsidRPr="00D52DD0" w:rsidRDefault="00A007C0" w:rsidP="005D29FE">
      <w:pPr>
        <w:pStyle w:val="Heading3"/>
        <w:numPr>
          <w:ilvl w:val="2"/>
          <w:numId w:val="20"/>
        </w:numPr>
        <w:spacing w:line="240" w:lineRule="auto"/>
        <w:rPr>
          <w:rFonts w:ascii="Arial" w:hAnsi="Arial" w:cs="Arial"/>
          <w:sz w:val="20"/>
          <w:szCs w:val="20"/>
          <w:u w:val="single"/>
        </w:rPr>
      </w:pPr>
      <w:bookmarkStart w:id="15" w:name="_Toc208777015"/>
      <w:r w:rsidRPr="00D52DD0">
        <w:rPr>
          <w:rFonts w:ascii="Arial" w:hAnsi="Arial" w:cs="Arial"/>
          <w:sz w:val="20"/>
          <w:szCs w:val="20"/>
          <w:u w:val="single"/>
        </w:rPr>
        <w:lastRenderedPageBreak/>
        <w:t>Organicmatter</w:t>
      </w:r>
      <w:bookmarkEnd w:id="15"/>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Total organic matter was determined by calcination at 550 °C for 2 hours. Carbon content was determined using the method</w:t>
      </w:r>
      <w:r w:rsidR="002163E4">
        <w:rPr>
          <w:rFonts w:ascii="Arial" w:hAnsi="Arial" w:cs="Arial"/>
          <w:sz w:val="20"/>
          <w:szCs w:val="20"/>
          <w:lang w:val="en-US"/>
        </w:rPr>
        <w:t xml:space="preserve"> </w:t>
      </w:r>
      <w:r w:rsidRPr="006D5977">
        <w:rPr>
          <w:rFonts w:ascii="Arial" w:hAnsi="Arial" w:cs="Arial"/>
          <w:color w:val="000000" w:themeColor="text1"/>
          <w:sz w:val="20"/>
          <w:szCs w:val="20"/>
          <w:lang w:val="en-US"/>
        </w:rPr>
        <w:t>by BLACK &amp;WA</w:t>
      </w:r>
      <w:r w:rsidR="002163E4">
        <w:rPr>
          <w:rFonts w:ascii="Arial" w:hAnsi="Arial" w:cs="Arial"/>
          <w:color w:val="000000" w:themeColor="text1"/>
          <w:sz w:val="20"/>
          <w:szCs w:val="20"/>
          <w:lang w:val="en-IN"/>
        </w:rPr>
        <w:t>L</w:t>
      </w:r>
      <w:r w:rsidRPr="006D5977">
        <w:rPr>
          <w:rFonts w:ascii="Arial" w:hAnsi="Arial" w:cs="Arial"/>
          <w:color w:val="000000" w:themeColor="text1"/>
          <w:sz w:val="20"/>
          <w:szCs w:val="20"/>
          <w:lang w:val="en-US"/>
        </w:rPr>
        <w:t>KLEY</w:t>
      </w:r>
      <w:r w:rsidR="002163E4">
        <w:rPr>
          <w:rFonts w:ascii="Arial" w:hAnsi="Arial" w:cs="Arial"/>
          <w:color w:val="000000" w:themeColor="text1"/>
          <w:sz w:val="20"/>
          <w:szCs w:val="20"/>
          <w:lang w:val="en-US"/>
        </w:rPr>
        <w:t xml:space="preserve"> </w:t>
      </w:r>
      <w:r w:rsidRPr="006D5977">
        <w:rPr>
          <w:rFonts w:ascii="Arial" w:hAnsi="Arial" w:cs="Arial"/>
          <w:sz w:val="20"/>
          <w:szCs w:val="20"/>
          <w:lang w:val="en-US"/>
        </w:rPr>
        <w:t>modified. Organic carbon is oxidized with a mixture of 1N potassium dichromate (K</w:t>
      </w:r>
      <w:r w:rsidRPr="006D5977">
        <w:rPr>
          <w:rFonts w:ascii="Cambria Math" w:hAnsi="Cambria Math" w:cs="Cambria Math"/>
          <w:sz w:val="20"/>
          <w:szCs w:val="20"/>
          <w:lang w:val="en-US"/>
        </w:rPr>
        <w:t>₂</w:t>
      </w:r>
      <w:r w:rsidRPr="006D5977">
        <w:rPr>
          <w:rFonts w:ascii="Arial" w:hAnsi="Arial" w:cs="Arial"/>
          <w:sz w:val="20"/>
          <w:szCs w:val="20"/>
          <w:lang w:val="en-US"/>
        </w:rPr>
        <w:t>Cr</w:t>
      </w:r>
      <w:r w:rsidRPr="006D5977">
        <w:rPr>
          <w:rFonts w:ascii="Cambria Math" w:hAnsi="Cambria Math" w:cs="Cambria Math"/>
          <w:sz w:val="20"/>
          <w:szCs w:val="20"/>
          <w:lang w:val="en-US"/>
        </w:rPr>
        <w:t>₂</w:t>
      </w:r>
      <w:r w:rsidRPr="006D5977">
        <w:rPr>
          <w:rFonts w:ascii="Arial" w:hAnsi="Arial" w:cs="Arial"/>
          <w:sz w:val="20"/>
          <w:szCs w:val="20"/>
          <w:lang w:val="en-US"/>
        </w:rPr>
        <w:t>O</w:t>
      </w:r>
      <w:r w:rsidRPr="006D5977">
        <w:rPr>
          <w:rFonts w:ascii="Cambria Math" w:hAnsi="Cambria Math" w:cs="Cambria Math"/>
          <w:sz w:val="20"/>
          <w:szCs w:val="20"/>
          <w:lang w:val="en-US"/>
        </w:rPr>
        <w:t>₇</w:t>
      </w:r>
      <w:r w:rsidRPr="006D5977">
        <w:rPr>
          <w:rFonts w:ascii="Arial" w:hAnsi="Arial" w:cs="Arial"/>
          <w:sz w:val="20"/>
          <w:szCs w:val="20"/>
          <w:lang w:val="en-US"/>
        </w:rPr>
        <w:t>) and concentrated sulfuric acid (H</w:t>
      </w:r>
      <w:r w:rsidRPr="006D5977">
        <w:rPr>
          <w:rFonts w:ascii="Cambria Math" w:hAnsi="Cambria Math" w:cs="Cambria Math"/>
          <w:sz w:val="20"/>
          <w:szCs w:val="20"/>
          <w:lang w:val="en-US"/>
        </w:rPr>
        <w:t>₂</w:t>
      </w:r>
      <w:r w:rsidRPr="006D5977">
        <w:rPr>
          <w:rFonts w:ascii="Arial" w:hAnsi="Arial" w:cs="Arial"/>
          <w:sz w:val="20"/>
          <w:szCs w:val="20"/>
          <w:lang w:val="en-US"/>
        </w:rPr>
        <w:t>SO</w:t>
      </w:r>
      <w:r w:rsidRPr="006D5977">
        <w:rPr>
          <w:rFonts w:ascii="Cambria Math" w:hAnsi="Cambria Math" w:cs="Cambria Math"/>
          <w:sz w:val="20"/>
          <w:szCs w:val="20"/>
          <w:lang w:val="en-US"/>
        </w:rPr>
        <w:t>₄</w:t>
      </w:r>
      <w:r w:rsidRPr="006D5977">
        <w:rPr>
          <w:rFonts w:ascii="Arial" w:hAnsi="Arial" w:cs="Arial"/>
          <w:sz w:val="20"/>
          <w:szCs w:val="20"/>
          <w:lang w:val="en-US"/>
        </w:rPr>
        <w:t>) d=1.84. Carbon content is determined by spectrophotometry at 600 nm. The percentage of organic matter in the soil is equivalent to the carbon content</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{"citationID":"LOLrXnHC","properties":{"formattedCitation":"(Pauwels J.m et al., 1992)","plainCitation":"(Pauwels J.m et al., 1992)","noteIndex":0},"citationItems":[{"id":3379,"uris":["http://zotero.org/users/6654317/items/2UUF854P"],"itemData":{"id":3379,"type":"article-journal","container-title":"Publications Agricoles (Belgium). Administration Generale de la Cooperation au Developpement. no. 28.","language":"en","page":"180","source":"agris.fao.org","title":"Manuel de laboratoire de pedologie. Methodes d' analyses de sols et de plantes, equipement, gestion de stocks de verrerie et de produits chimiques.","author":[{"literal":"Pauwels J.m"},{"family":"Van","given":"Ranst E."},{"family":"M","given":"Verloo"},{"family":"A","given":"Mvondo Ze"}],"issued":{"date-parts":[["1992"]]}}}],"schema":"https://github.com/citation-style-language/schema/raw/master/csl-citation.json"}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(Pauwels J.m et al., 1992)</w:t>
      </w:r>
      <w:r w:rsidR="00F0347E" w:rsidRPr="006D5977">
        <w:rPr>
          <w:rFonts w:ascii="Arial" w:hAnsi="Arial" w:cs="Arial"/>
          <w:sz w:val="20"/>
          <w:szCs w:val="20"/>
          <w:lang w:val="en-US"/>
        </w:rPr>
        <w:fldChar w:fldCharType="end"/>
      </w:r>
      <w:r w:rsidRPr="006D5977">
        <w:rPr>
          <w:rFonts w:ascii="Arial" w:hAnsi="Arial" w:cs="Arial"/>
          <w:sz w:val="20"/>
          <w:szCs w:val="20"/>
          <w:lang w:val="en-US"/>
        </w:rPr>
        <w:t>.</w:t>
      </w:r>
    </w:p>
    <w:p w:rsidR="00A007C0" w:rsidRPr="00D52DD0" w:rsidRDefault="00A007C0" w:rsidP="005D29FE">
      <w:pPr>
        <w:pStyle w:val="Heading3"/>
        <w:numPr>
          <w:ilvl w:val="2"/>
          <w:numId w:val="20"/>
        </w:numPr>
        <w:spacing w:line="240" w:lineRule="auto"/>
        <w:rPr>
          <w:rFonts w:ascii="Arial" w:hAnsi="Arial" w:cs="Arial"/>
          <w:sz w:val="20"/>
          <w:szCs w:val="20"/>
          <w:u w:val="single"/>
        </w:rPr>
      </w:pPr>
      <w:r w:rsidRPr="00D52DD0">
        <w:rPr>
          <w:rFonts w:ascii="Arial" w:hAnsi="Arial" w:cs="Arial"/>
          <w:sz w:val="20"/>
          <w:szCs w:val="20"/>
          <w:u w:val="single"/>
        </w:rPr>
        <w:t>Nitrogen</w:t>
      </w:r>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Total nitrogen was measured using the Kjeldahl method. Nitrogen mineralization was carried out in the presence of concentrated sulfuric acid (18N H</w:t>
      </w:r>
      <w:r w:rsidRPr="006D5977">
        <w:rPr>
          <w:rFonts w:ascii="Cambria Math" w:hAnsi="Cambria Math" w:cs="Cambria Math"/>
          <w:sz w:val="20"/>
          <w:szCs w:val="20"/>
          <w:lang w:val="en-US"/>
        </w:rPr>
        <w:t>₂</w:t>
      </w:r>
      <w:r w:rsidRPr="006D5977">
        <w:rPr>
          <w:rFonts w:ascii="Arial" w:hAnsi="Arial" w:cs="Arial"/>
          <w:sz w:val="20"/>
          <w:szCs w:val="20"/>
          <w:lang w:val="en-US"/>
        </w:rPr>
        <w:t>SO</w:t>
      </w:r>
      <w:r w:rsidRPr="006D5977">
        <w:rPr>
          <w:rFonts w:ascii="Cambria Math" w:hAnsi="Cambria Math" w:cs="Cambria Math"/>
          <w:sz w:val="20"/>
          <w:szCs w:val="20"/>
          <w:lang w:val="en-US"/>
        </w:rPr>
        <w:t>₄</w:t>
      </w:r>
      <w:r w:rsidRPr="006D5977">
        <w:rPr>
          <w:rFonts w:ascii="Arial" w:hAnsi="Arial" w:cs="Arial"/>
          <w:sz w:val="20"/>
          <w:szCs w:val="20"/>
          <w:lang w:val="en-US"/>
        </w:rPr>
        <w:t>), salicylic acid (C</w:t>
      </w:r>
      <w:r w:rsidRPr="006D5977">
        <w:rPr>
          <w:rFonts w:ascii="Cambria Math" w:hAnsi="Cambria Math" w:cs="Cambria Math"/>
          <w:sz w:val="20"/>
          <w:szCs w:val="20"/>
          <w:lang w:val="en-US"/>
        </w:rPr>
        <w:t>₇</w:t>
      </w:r>
      <w:r w:rsidRPr="006D5977">
        <w:rPr>
          <w:rFonts w:ascii="Arial" w:hAnsi="Arial" w:cs="Arial"/>
          <w:sz w:val="20"/>
          <w:szCs w:val="20"/>
          <w:lang w:val="en-US"/>
        </w:rPr>
        <w:t>H</w:t>
      </w:r>
      <w:r w:rsidRPr="006D5977">
        <w:rPr>
          <w:rFonts w:ascii="Cambria Math" w:hAnsi="Cambria Math" w:cs="Cambria Math"/>
          <w:sz w:val="20"/>
          <w:szCs w:val="20"/>
          <w:lang w:val="en-US"/>
        </w:rPr>
        <w:t>₆</w:t>
      </w:r>
      <w:r w:rsidRPr="006D5977">
        <w:rPr>
          <w:rFonts w:ascii="Arial" w:hAnsi="Arial" w:cs="Arial"/>
          <w:sz w:val="20"/>
          <w:szCs w:val="20"/>
          <w:lang w:val="en-US"/>
        </w:rPr>
        <w:t>O</w:t>
      </w:r>
      <w:r w:rsidRPr="006D5977">
        <w:rPr>
          <w:rFonts w:ascii="Cambria Math" w:hAnsi="Cambria Math" w:cs="Cambria Math"/>
          <w:sz w:val="20"/>
          <w:szCs w:val="20"/>
          <w:lang w:val="en-US"/>
        </w:rPr>
        <w:t>₃</w:t>
      </w:r>
      <w:r w:rsidRPr="006D5977">
        <w:rPr>
          <w:rFonts w:ascii="Arial" w:hAnsi="Arial" w:cs="Arial"/>
          <w:sz w:val="20"/>
          <w:szCs w:val="20"/>
          <w:lang w:val="en-US"/>
        </w:rPr>
        <w:t>), hydrogen peroxide (H</w:t>
      </w:r>
      <w:r w:rsidRPr="006D5977">
        <w:rPr>
          <w:rFonts w:ascii="Cambria Math" w:hAnsi="Cambria Math" w:cs="Cambria Math"/>
          <w:sz w:val="20"/>
          <w:szCs w:val="20"/>
          <w:lang w:val="en-US"/>
        </w:rPr>
        <w:t>₂</w:t>
      </w:r>
      <w:r w:rsidRPr="006D5977">
        <w:rPr>
          <w:rFonts w:ascii="Arial" w:hAnsi="Arial" w:cs="Arial"/>
          <w:sz w:val="20"/>
          <w:szCs w:val="20"/>
          <w:lang w:val="en-US"/>
        </w:rPr>
        <w:t>O</w:t>
      </w:r>
      <w:r w:rsidRPr="006D5977">
        <w:rPr>
          <w:rFonts w:ascii="Cambria Math" w:hAnsi="Cambria Math" w:cs="Cambria Math"/>
          <w:sz w:val="20"/>
          <w:szCs w:val="20"/>
          <w:lang w:val="en-US"/>
        </w:rPr>
        <w:t>₂</w:t>
      </w:r>
      <w:r w:rsidRPr="006D5977">
        <w:rPr>
          <w:rFonts w:ascii="Arial" w:hAnsi="Arial" w:cs="Arial"/>
          <w:sz w:val="20"/>
          <w:szCs w:val="20"/>
          <w:lang w:val="en-US"/>
        </w:rPr>
        <w:t>), and selenium powder as a catalyst. This mineralization process transformed nitrogen into ammonium ions (NH</w:t>
      </w:r>
      <w:r w:rsidRPr="006D5977">
        <w:rPr>
          <w:rFonts w:ascii="Cambria Math" w:hAnsi="Cambria Math" w:cs="Cambria Math"/>
          <w:sz w:val="20"/>
          <w:szCs w:val="20"/>
          <w:lang w:val="en-US"/>
        </w:rPr>
        <w:t>₄⁺</w:t>
      </w:r>
      <w:r w:rsidRPr="006D5977">
        <w:rPr>
          <w:rFonts w:ascii="Arial" w:hAnsi="Arial" w:cs="Arial"/>
          <w:sz w:val="20"/>
          <w:szCs w:val="20"/>
          <w:lang w:val="en-US"/>
        </w:rPr>
        <w:t>), which were determined by spectrophotometry at a wavelength of 660 nm</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{"citationID":"kXDQCoIa","properties":{"formattedCitation":"(Pauwels J.m et al., 1992)","plainCitation":"(Pauwels J.m et al., 1992)","noteIndex":0},"citationItems":[{"id":3379,"uris":["http://zotero.org/users/6654317/items/2UUF854P"],"itemData":{"id":3379,"type":"article-journal","container-title":"Publications Agricoles (Belgium). Administration Generale de la Cooperation au Developpement. no. 28.","language":"en","page":"180","source":"agris.fao.org","title":"Manuel de laboratoire de pedologie. Methodes d' analyses de sols et de plantes, equipement, gestion de stocks de verrerie et de produits chimiques.","author":[{"literal":"Pauwels J.m"},{"family":"Van","given":"Ranst E."},{"family":"M","given":"Verloo"},{"family":"A","given":"Mvondo Ze"}],"issued":{"date-parts":[["1992"]]}}}],"schema":"https://github.com/citation-style-language/schema/raw/master/csl-citation.json"}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(Pauwels J.m et al., 1992)</w:t>
      </w:r>
      <w:r w:rsidR="00F0347E" w:rsidRPr="006D5977">
        <w:rPr>
          <w:rFonts w:ascii="Arial" w:hAnsi="Arial" w:cs="Arial"/>
          <w:sz w:val="20"/>
          <w:szCs w:val="20"/>
          <w:lang w:val="en-US"/>
        </w:rPr>
        <w:fldChar w:fldCharType="end"/>
      </w:r>
      <w:r w:rsidRPr="006D5977">
        <w:rPr>
          <w:rFonts w:ascii="Arial" w:hAnsi="Arial" w:cs="Arial"/>
          <w:sz w:val="20"/>
          <w:szCs w:val="20"/>
          <w:lang w:val="en-US"/>
        </w:rPr>
        <w:t>.</w:t>
      </w:r>
    </w:p>
    <w:p w:rsidR="00A007C0" w:rsidRPr="00D52DD0" w:rsidRDefault="00A007C0" w:rsidP="005D29FE">
      <w:pPr>
        <w:pStyle w:val="Heading3"/>
        <w:numPr>
          <w:ilvl w:val="2"/>
          <w:numId w:val="20"/>
        </w:numPr>
        <w:spacing w:line="240" w:lineRule="auto"/>
        <w:rPr>
          <w:rFonts w:ascii="Arial" w:hAnsi="Arial" w:cs="Arial"/>
          <w:sz w:val="20"/>
          <w:szCs w:val="20"/>
          <w:u w:val="single"/>
          <w:lang w:val="en-US"/>
        </w:rPr>
      </w:pPr>
      <w:r w:rsidRPr="00D52DD0">
        <w:rPr>
          <w:rFonts w:ascii="Arial" w:hAnsi="Arial" w:cs="Arial"/>
          <w:sz w:val="20"/>
          <w:szCs w:val="20"/>
          <w:u w:val="single"/>
          <w:lang w:val="en-US"/>
        </w:rPr>
        <w:t>Total phosphorus and total potassium</w:t>
      </w:r>
    </w:p>
    <w:p w:rsidR="00A007C0" w:rsidRPr="006D5977" w:rsidRDefault="00A007C0" w:rsidP="005D29FE">
      <w:pPr>
        <w:spacing w:line="240" w:lineRule="auto"/>
        <w:jc w:val="both"/>
        <w:rPr>
          <w:rFonts w:ascii="Arial" w:hAnsi="Arial" w:cs="Arial"/>
          <w:bCs/>
          <w:sz w:val="20"/>
          <w:szCs w:val="20"/>
          <w:lang w:val="en-US"/>
        </w:rPr>
      </w:pPr>
      <w:r w:rsidRPr="006D5977">
        <w:rPr>
          <w:rFonts w:ascii="Arial" w:hAnsi="Arial" w:cs="Arial"/>
          <w:bCs/>
          <w:sz w:val="20"/>
          <w:szCs w:val="20"/>
          <w:lang w:val="en-US"/>
        </w:rPr>
        <w:t>A flame absorption spectrophotometer was used to determine the total phosphorus and total potassium content after mineralization</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{"citationID":"7l3XkWDy","properties":{"formattedCitation":"(Pauwels J.m et al., 1992)","plainCitation":"(Pauwels J.m et al., 1992)","noteIndex":0},"citationItems":[{"id":3379,"uris":["http://zotero.org/users/6654317/items/2UUF854P"],"itemData":{"id":3379,"type":"article-journal","container-title":"Publications Agricoles (Belgium). Administration Generale de la Cooperation au Developpement. no. 28.","language":"en","page":"180","source":"agris.fao.org","title":"Manuel de laboratoire de pedologie. Methodes d' analyses de sols et de plantes, equipement, gestion de stocks de verrerie et de produits chimiques.","author":[{"literal":"Pauwels J.m"},{"family":"Van","given":"Ranst E."},{"family":"M","given":"Verloo"},{"family":"A","given":"Mvondo Ze"}],"issued":{"date-parts":[["1992"]]}}}],"schema":"https://github.com/citation-style-language/schema/raw/master/csl-citation.json"}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(Pauwels J.m et al., 1992)</w:t>
      </w:r>
      <w:r w:rsidR="00F0347E" w:rsidRPr="006D5977">
        <w:rPr>
          <w:rFonts w:ascii="Arial" w:hAnsi="Arial" w:cs="Arial"/>
          <w:sz w:val="20"/>
          <w:szCs w:val="20"/>
          <w:lang w:val="en-US"/>
        </w:rPr>
        <w:fldChar w:fldCharType="end"/>
      </w:r>
      <w:r w:rsidR="00B07F2C" w:rsidRPr="006D5977">
        <w:rPr>
          <w:rFonts w:ascii="Arial" w:hAnsi="Arial" w:cs="Arial"/>
          <w:sz w:val="20"/>
          <w:szCs w:val="20"/>
          <w:lang w:val="en-US"/>
        </w:rPr>
        <w:t>.</w:t>
      </w:r>
    </w:p>
    <w:p w:rsidR="00A007C0" w:rsidRPr="00D52DD0" w:rsidRDefault="00A007C0" w:rsidP="005D29FE">
      <w:pPr>
        <w:pStyle w:val="Heading3"/>
        <w:numPr>
          <w:ilvl w:val="2"/>
          <w:numId w:val="20"/>
        </w:numPr>
        <w:spacing w:line="240" w:lineRule="auto"/>
        <w:rPr>
          <w:rFonts w:ascii="Arial" w:hAnsi="Arial" w:cs="Arial"/>
          <w:sz w:val="20"/>
          <w:szCs w:val="20"/>
          <w:u w:val="single"/>
        </w:rPr>
      </w:pPr>
      <w:bookmarkStart w:id="16" w:name="_Toc208777017"/>
      <w:r w:rsidRPr="00D52DD0">
        <w:rPr>
          <w:rFonts w:ascii="Arial" w:hAnsi="Arial" w:cs="Arial"/>
          <w:sz w:val="20"/>
          <w:szCs w:val="20"/>
          <w:u w:val="single"/>
        </w:rPr>
        <w:t>Statistical analyses</w:t>
      </w:r>
      <w:bookmarkEnd w:id="16"/>
    </w:p>
    <w:p w:rsidR="00A007C0" w:rsidRPr="006D5977" w:rsidRDefault="00A007C0" w:rsidP="005D29FE">
      <w:pPr>
        <w:spacing w:line="240" w:lineRule="auto"/>
        <w:jc w:val="both"/>
        <w:rPr>
          <w:rFonts w:ascii="Arial" w:hAnsi="Arial" w:cs="Arial"/>
          <w:sz w:val="20"/>
          <w:szCs w:val="20"/>
          <w:shd w:val="clear" w:color="auto" w:fill="FFFFFF"/>
          <w:lang w:val="en-US"/>
        </w:rPr>
      </w:pPr>
      <w:r w:rsidRPr="006D5977">
        <w:rPr>
          <w:rFonts w:ascii="Arial" w:hAnsi="Arial" w:cs="Arial"/>
          <w:sz w:val="20"/>
          <w:szCs w:val="20"/>
          <w:shd w:val="clear" w:color="auto" w:fill="FFFFFF"/>
          <w:lang w:val="en-US"/>
        </w:rPr>
        <w:t>The collected data were analyzed using R software. A one-way ANOVA was performed. Differences were considered significant at a probability level of p &lt; 0</w:t>
      </w:r>
      <w:r w:rsidR="00FA2B4D" w:rsidRPr="006D5977">
        <w:rPr>
          <w:rFonts w:ascii="Arial" w:hAnsi="Arial" w:cs="Arial"/>
          <w:sz w:val="20"/>
          <w:szCs w:val="20"/>
          <w:shd w:val="clear" w:color="auto" w:fill="FFFFFF"/>
          <w:lang w:val="en-US"/>
        </w:rPr>
        <w:t>,</w:t>
      </w:r>
      <w:r w:rsidRPr="006D5977">
        <w:rPr>
          <w:rFonts w:ascii="Arial" w:hAnsi="Arial" w:cs="Arial"/>
          <w:sz w:val="20"/>
          <w:szCs w:val="20"/>
          <w:shd w:val="clear" w:color="auto" w:fill="FFFFFF"/>
          <w:lang w:val="en-US"/>
        </w:rPr>
        <w:t>05. In cases of significant effects, a Tukey post-hoc test was applied to compare treatment means. The normality of residuals was verified using the Shapiro-Wilk test, and the homogeneity of variances using Levene's test. In cases of non-normality, the Kruskal-Wallis test was used.</w:t>
      </w:r>
    </w:p>
    <w:p w:rsidR="00A007C0" w:rsidRPr="006D5977" w:rsidRDefault="00A007C0" w:rsidP="005D29FE">
      <w:pPr>
        <w:pStyle w:val="Heading1"/>
        <w:numPr>
          <w:ilvl w:val="0"/>
          <w:numId w:val="20"/>
        </w:numPr>
        <w:rPr>
          <w:rFonts w:ascii="Arial" w:hAnsi="Arial" w:cs="Arial"/>
          <w:sz w:val="22"/>
          <w:szCs w:val="22"/>
        </w:rPr>
      </w:pPr>
      <w:bookmarkStart w:id="17" w:name="_Toc208777018"/>
      <w:r w:rsidRPr="006D5977">
        <w:rPr>
          <w:rFonts w:ascii="Arial" w:hAnsi="Arial" w:cs="Arial"/>
          <w:sz w:val="22"/>
          <w:szCs w:val="22"/>
        </w:rPr>
        <w:t>Results</w:t>
      </w:r>
      <w:bookmarkEnd w:id="17"/>
    </w:p>
    <w:p w:rsidR="00A007C0" w:rsidRPr="00D52DD0" w:rsidRDefault="00A007C0" w:rsidP="005D29FE">
      <w:pPr>
        <w:pStyle w:val="Heading2"/>
        <w:numPr>
          <w:ilvl w:val="1"/>
          <w:numId w:val="20"/>
        </w:numPr>
        <w:spacing w:line="240" w:lineRule="auto"/>
        <w:rPr>
          <w:rFonts w:ascii="Arial" w:hAnsi="Arial" w:cs="Arial"/>
          <w:sz w:val="22"/>
          <w:szCs w:val="22"/>
        </w:rPr>
      </w:pPr>
      <w:bookmarkStart w:id="18" w:name="_Toc208777019"/>
      <w:r w:rsidRPr="00D52DD0">
        <w:rPr>
          <w:rFonts w:ascii="Arial" w:hAnsi="Arial" w:cs="Arial"/>
          <w:sz w:val="22"/>
          <w:szCs w:val="22"/>
        </w:rPr>
        <w:t>Physical parameters</w:t>
      </w:r>
      <w:bookmarkEnd w:id="18"/>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 physical parameters measured in this research, including apparent density, water retention capacity, total porosity, and aeration porosity of the </w:t>
      </w:r>
      <w:r w:rsidR="00DD0456" w:rsidRPr="006D5977">
        <w:rPr>
          <w:rFonts w:ascii="Arial" w:hAnsi="Arial" w:cs="Arial"/>
          <w:sz w:val="20"/>
          <w:szCs w:val="20"/>
          <w:lang w:val="en-US"/>
        </w:rPr>
        <w:t>growing media</w:t>
      </w:r>
      <w:r w:rsidRPr="006D5977">
        <w:rPr>
          <w:rFonts w:ascii="Arial" w:hAnsi="Arial" w:cs="Arial"/>
          <w:sz w:val="20"/>
          <w:szCs w:val="20"/>
          <w:lang w:val="en-US"/>
        </w:rPr>
        <w:t>s, are recorded in Table 1.</w:t>
      </w:r>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Analysis of variance (ANOVA) revealed a highly significant effect of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type (p &lt; 0.001) on all physical parameters. Multiple comparisons using Tukey's post-hoc test allowed for the differentiation of performance groups between the various treatments.</w:t>
      </w:r>
    </w:p>
    <w:p w:rsidR="008250A7" w:rsidRPr="006D5977" w:rsidRDefault="00FF303F" w:rsidP="005D29FE">
      <w:pPr>
        <w:pStyle w:val="Caption"/>
        <w:keepNext/>
        <w:rPr>
          <w:rFonts w:ascii="Arial" w:hAnsi="Arial" w:cs="Arial"/>
          <w:i w:val="0"/>
          <w:iCs w:val="0"/>
          <w:sz w:val="20"/>
          <w:szCs w:val="20"/>
          <w:lang w:val="en-US"/>
        </w:rPr>
      </w:pPr>
      <w:r w:rsidRPr="006D5977">
        <w:rPr>
          <w:rFonts w:ascii="Arial" w:hAnsi="Arial" w:cs="Arial"/>
          <w:i w:val="0"/>
          <w:iCs w:val="0"/>
          <w:sz w:val="20"/>
          <w:szCs w:val="20"/>
          <w:lang w:val="en-US"/>
        </w:rPr>
        <w:t xml:space="preserve">Table </w:t>
      </w:r>
      <w:r w:rsidR="00F0347E" w:rsidRPr="006D5977">
        <w:rPr>
          <w:rFonts w:ascii="Arial" w:hAnsi="Arial" w:cs="Arial"/>
          <w:i w:val="0"/>
          <w:iCs w:val="0"/>
          <w:sz w:val="20"/>
          <w:szCs w:val="20"/>
        </w:rPr>
        <w:fldChar w:fldCharType="begin"/>
      </w:r>
      <w:r w:rsidR="00894176" w:rsidRPr="006D5977">
        <w:rPr>
          <w:rFonts w:ascii="Arial" w:hAnsi="Arial" w:cs="Arial"/>
          <w:i w:val="0"/>
          <w:iCs w:val="0"/>
          <w:sz w:val="20"/>
          <w:szCs w:val="20"/>
          <w:lang w:val="en-US"/>
        </w:rPr>
        <w:instrText xml:space="preserve"> SEQ Tableau \* ARABIC </w:instrText>
      </w:r>
      <w:r w:rsidR="00F0347E" w:rsidRPr="006D5977">
        <w:rPr>
          <w:rFonts w:ascii="Arial" w:hAnsi="Arial" w:cs="Arial"/>
          <w:i w:val="0"/>
          <w:iCs w:val="0"/>
          <w:sz w:val="20"/>
          <w:szCs w:val="20"/>
        </w:rPr>
        <w:fldChar w:fldCharType="separate"/>
      </w:r>
      <w:r w:rsidR="008250A7" w:rsidRPr="006D5977">
        <w:rPr>
          <w:rFonts w:ascii="Arial" w:hAnsi="Arial" w:cs="Arial"/>
          <w:i w:val="0"/>
          <w:iCs w:val="0"/>
          <w:noProof/>
          <w:sz w:val="20"/>
          <w:szCs w:val="20"/>
          <w:lang w:val="en-US"/>
        </w:rPr>
        <w:t>1</w:t>
      </w:r>
      <w:r w:rsidR="00F0347E" w:rsidRPr="006D5977">
        <w:rPr>
          <w:rFonts w:ascii="Arial" w:hAnsi="Arial" w:cs="Arial"/>
          <w:i w:val="0"/>
          <w:iCs w:val="0"/>
          <w:noProof/>
          <w:sz w:val="20"/>
          <w:szCs w:val="20"/>
        </w:rPr>
        <w:fldChar w:fldCharType="end"/>
      </w:r>
      <w:r w:rsidRPr="006D5977">
        <w:rPr>
          <w:rFonts w:ascii="Arial" w:hAnsi="Arial" w:cs="Arial"/>
          <w:i w:val="0"/>
          <w:iCs w:val="0"/>
          <w:noProof/>
          <w:sz w:val="20"/>
          <w:szCs w:val="20"/>
          <w:lang w:val="en-US"/>
        </w:rPr>
        <w:t xml:space="preserve"> : </w:t>
      </w:r>
      <w:r w:rsidR="008250A7" w:rsidRPr="006D5977">
        <w:rPr>
          <w:rFonts w:ascii="Arial" w:hAnsi="Arial" w:cs="Arial"/>
          <w:i w:val="0"/>
          <w:iCs w:val="0"/>
          <w:sz w:val="20"/>
          <w:szCs w:val="20"/>
          <w:lang w:val="en-US"/>
        </w:rPr>
        <w:t xml:space="preserve">Physical properties of </w:t>
      </w:r>
      <w:r w:rsidR="00DD0456" w:rsidRPr="006D5977">
        <w:rPr>
          <w:rFonts w:ascii="Arial" w:hAnsi="Arial" w:cs="Arial"/>
          <w:i w:val="0"/>
          <w:iCs w:val="0"/>
          <w:sz w:val="20"/>
          <w:szCs w:val="20"/>
          <w:lang w:val="en-US"/>
        </w:rPr>
        <w:t>growing media</w:t>
      </w:r>
      <w:r w:rsidR="008250A7" w:rsidRPr="006D5977">
        <w:rPr>
          <w:rFonts w:ascii="Arial" w:hAnsi="Arial" w:cs="Arial"/>
          <w:i w:val="0"/>
          <w:iCs w:val="0"/>
          <w:sz w:val="20"/>
          <w:szCs w:val="20"/>
          <w:lang w:val="en-US"/>
        </w:rPr>
        <w:t>s</w:t>
      </w:r>
    </w:p>
    <w:tbl>
      <w:tblPr>
        <w:tblStyle w:val="TableGrid"/>
        <w:tblW w:w="8500" w:type="dxa"/>
        <w:tblLayout w:type="fixed"/>
        <w:tblLook w:val="04A0"/>
      </w:tblPr>
      <w:tblGrid>
        <w:gridCol w:w="1089"/>
        <w:gridCol w:w="1686"/>
        <w:gridCol w:w="1373"/>
        <w:gridCol w:w="1234"/>
        <w:gridCol w:w="1559"/>
        <w:gridCol w:w="1559"/>
      </w:tblGrid>
      <w:tr w:rsidR="00A007C0" w:rsidRPr="006D5977" w:rsidTr="006B5B1C">
        <w:tc>
          <w:tcPr>
            <w:tcW w:w="1089" w:type="dxa"/>
          </w:tcPr>
          <w:p w:rsidR="00A007C0" w:rsidRPr="006D5977" w:rsidRDefault="00773C4F" w:rsidP="005D29FE">
            <w:pPr>
              <w:rPr>
                <w:rFonts w:ascii="Arial" w:hAnsi="Arial" w:cs="Arial"/>
                <w:b/>
                <w:bCs/>
                <w:sz w:val="20"/>
                <w:szCs w:val="20"/>
              </w:rPr>
            </w:pPr>
            <w:r w:rsidRPr="006D5977">
              <w:rPr>
                <w:rFonts w:ascii="Arial" w:hAnsi="Arial" w:cs="Arial"/>
                <w:b/>
                <w:bCs/>
                <w:sz w:val="20"/>
                <w:szCs w:val="20"/>
              </w:rPr>
              <w:t>Growing media</w:t>
            </w:r>
          </w:p>
        </w:tc>
        <w:tc>
          <w:tcPr>
            <w:tcW w:w="1686" w:type="dxa"/>
          </w:tcPr>
          <w:p w:rsidR="00A007C0" w:rsidRPr="006D5977" w:rsidRDefault="00773C4F" w:rsidP="005D29FE">
            <w:pPr>
              <w:jc w:val="center"/>
              <w:rPr>
                <w:rFonts w:ascii="Arial" w:hAnsi="Arial" w:cs="Arial"/>
                <w:b/>
                <w:bCs/>
                <w:sz w:val="20"/>
                <w:szCs w:val="20"/>
              </w:rPr>
            </w:pPr>
            <w:r w:rsidRPr="006D5977">
              <w:rPr>
                <w:rFonts w:ascii="Arial" w:hAnsi="Arial" w:cs="Arial"/>
                <w:b/>
                <w:bCs/>
                <w:sz w:val="20"/>
                <w:szCs w:val="20"/>
              </w:rPr>
              <w:t>BD</w:t>
            </w:r>
            <w:r w:rsidR="00A007C0" w:rsidRPr="006D5977">
              <w:rPr>
                <w:rFonts w:ascii="Arial" w:hAnsi="Arial" w:cs="Arial"/>
                <w:b/>
                <w:bCs/>
                <w:sz w:val="20"/>
                <w:szCs w:val="20"/>
              </w:rPr>
              <w:t xml:space="preserve"> (g/cm3)</w:t>
            </w:r>
          </w:p>
        </w:tc>
        <w:tc>
          <w:tcPr>
            <w:tcW w:w="1373" w:type="dxa"/>
          </w:tcPr>
          <w:p w:rsidR="00A007C0" w:rsidRPr="006D5977" w:rsidRDefault="00773C4F" w:rsidP="005D29FE">
            <w:pPr>
              <w:jc w:val="center"/>
              <w:rPr>
                <w:rFonts w:ascii="Arial" w:hAnsi="Arial" w:cs="Arial"/>
                <w:b/>
                <w:bCs/>
                <w:sz w:val="20"/>
                <w:szCs w:val="20"/>
              </w:rPr>
            </w:pPr>
            <w:r w:rsidRPr="006D5977">
              <w:rPr>
                <w:rFonts w:ascii="Arial" w:hAnsi="Arial" w:cs="Arial"/>
                <w:b/>
                <w:bCs/>
                <w:sz w:val="20"/>
                <w:szCs w:val="20"/>
              </w:rPr>
              <w:t>WHC</w:t>
            </w:r>
            <w:r w:rsidR="00A007C0" w:rsidRPr="006D5977">
              <w:rPr>
                <w:rFonts w:ascii="Arial" w:hAnsi="Arial" w:cs="Arial"/>
                <w:b/>
                <w:bCs/>
                <w:sz w:val="20"/>
                <w:szCs w:val="20"/>
              </w:rPr>
              <w:t xml:space="preserve"> (%)</w:t>
            </w:r>
          </w:p>
        </w:tc>
        <w:tc>
          <w:tcPr>
            <w:tcW w:w="1234" w:type="dxa"/>
          </w:tcPr>
          <w:p w:rsidR="00A007C0" w:rsidRPr="006D5977" w:rsidRDefault="00773C4F" w:rsidP="005D29FE">
            <w:pPr>
              <w:jc w:val="center"/>
              <w:rPr>
                <w:rFonts w:ascii="Arial" w:hAnsi="Arial" w:cs="Arial"/>
                <w:b/>
                <w:bCs/>
                <w:sz w:val="20"/>
                <w:szCs w:val="20"/>
              </w:rPr>
            </w:pPr>
            <w:r w:rsidRPr="006D5977">
              <w:rPr>
                <w:rFonts w:ascii="Arial" w:hAnsi="Arial" w:cs="Arial"/>
                <w:b/>
                <w:bCs/>
                <w:sz w:val="20"/>
                <w:szCs w:val="20"/>
              </w:rPr>
              <w:t>TP</w:t>
            </w:r>
            <w:r w:rsidR="00A007C0" w:rsidRPr="006D5977">
              <w:rPr>
                <w:rFonts w:ascii="Arial" w:hAnsi="Arial" w:cs="Arial"/>
                <w:b/>
                <w:bCs/>
                <w:sz w:val="20"/>
                <w:szCs w:val="20"/>
              </w:rPr>
              <w:t xml:space="preserve"> (%)</w:t>
            </w:r>
          </w:p>
        </w:tc>
        <w:tc>
          <w:tcPr>
            <w:tcW w:w="1559" w:type="dxa"/>
          </w:tcPr>
          <w:p w:rsidR="00A007C0" w:rsidRPr="006D5977" w:rsidRDefault="00773C4F" w:rsidP="005D29FE">
            <w:pPr>
              <w:jc w:val="center"/>
              <w:rPr>
                <w:rFonts w:ascii="Arial" w:hAnsi="Arial" w:cs="Arial"/>
                <w:b/>
                <w:bCs/>
                <w:sz w:val="20"/>
                <w:szCs w:val="20"/>
              </w:rPr>
            </w:pPr>
            <w:r w:rsidRPr="006D5977">
              <w:rPr>
                <w:rFonts w:ascii="Arial" w:hAnsi="Arial" w:cs="Arial"/>
                <w:b/>
                <w:bCs/>
                <w:sz w:val="20"/>
                <w:szCs w:val="20"/>
              </w:rPr>
              <w:t>AFP</w:t>
            </w:r>
            <w:r w:rsidR="00A007C0" w:rsidRPr="006D5977">
              <w:rPr>
                <w:rFonts w:ascii="Arial" w:hAnsi="Arial" w:cs="Arial"/>
                <w:b/>
                <w:bCs/>
                <w:sz w:val="20"/>
                <w:szCs w:val="20"/>
              </w:rPr>
              <w:t xml:space="preserve"> (%)</w:t>
            </w:r>
          </w:p>
        </w:tc>
        <w:tc>
          <w:tcPr>
            <w:tcW w:w="1559" w:type="dxa"/>
          </w:tcPr>
          <w:p w:rsidR="00A007C0" w:rsidRPr="006D5977" w:rsidRDefault="00A007C0" w:rsidP="005D29FE">
            <w:pPr>
              <w:jc w:val="center"/>
              <w:rPr>
                <w:rFonts w:ascii="Arial" w:hAnsi="Arial" w:cs="Arial"/>
                <w:b/>
                <w:bCs/>
                <w:sz w:val="20"/>
                <w:szCs w:val="20"/>
              </w:rPr>
            </w:pPr>
            <w:r w:rsidRPr="006D5977">
              <w:rPr>
                <w:rFonts w:ascii="Arial" w:hAnsi="Arial" w:cs="Arial"/>
                <w:b/>
                <w:bCs/>
                <w:sz w:val="20"/>
                <w:szCs w:val="20"/>
              </w:rPr>
              <w:t>Particle size</w:t>
            </w:r>
          </w:p>
          <w:p w:rsidR="00A007C0" w:rsidRPr="006D5977" w:rsidRDefault="00A007C0" w:rsidP="005D29FE">
            <w:pPr>
              <w:jc w:val="center"/>
              <w:rPr>
                <w:rFonts w:ascii="Arial" w:hAnsi="Arial" w:cs="Arial"/>
                <w:b/>
                <w:bCs/>
                <w:sz w:val="20"/>
                <w:szCs w:val="20"/>
              </w:rPr>
            </w:pPr>
            <w:r w:rsidRPr="006D5977">
              <w:rPr>
                <w:rFonts w:ascii="Arial" w:hAnsi="Arial" w:cs="Arial"/>
                <w:b/>
                <w:bCs/>
                <w:sz w:val="20"/>
                <w:szCs w:val="20"/>
              </w:rPr>
              <w:t>2-0.5 mm (%)</w:t>
            </w:r>
          </w:p>
        </w:tc>
      </w:tr>
      <w:tr w:rsidR="00A007C0" w:rsidRPr="006D5977" w:rsidTr="006B5B1C">
        <w:tc>
          <w:tcPr>
            <w:tcW w:w="1089" w:type="dxa"/>
          </w:tcPr>
          <w:p w:rsidR="00A007C0" w:rsidRPr="006D5977" w:rsidRDefault="00A007C0" w:rsidP="005D29FE">
            <w:pPr>
              <w:rPr>
                <w:rFonts w:ascii="Arial" w:hAnsi="Arial" w:cs="Arial"/>
                <w:sz w:val="20"/>
                <w:szCs w:val="20"/>
              </w:rPr>
            </w:pPr>
            <w:r w:rsidRPr="006D5977">
              <w:rPr>
                <w:rFonts w:ascii="Arial" w:hAnsi="Arial" w:cs="Arial"/>
                <w:sz w:val="20"/>
                <w:szCs w:val="20"/>
              </w:rPr>
              <w:t>S</w:t>
            </w:r>
            <w:r w:rsidR="00773C4F" w:rsidRPr="006D5977">
              <w:rPr>
                <w:rFonts w:ascii="Arial" w:hAnsi="Arial" w:cs="Arial"/>
                <w:sz w:val="20"/>
                <w:szCs w:val="20"/>
              </w:rPr>
              <w:t>A</w:t>
            </w:r>
          </w:p>
        </w:tc>
        <w:tc>
          <w:tcPr>
            <w:tcW w:w="1686" w:type="dxa"/>
          </w:tcPr>
          <w:p w:rsidR="00A007C0" w:rsidRPr="006D5977" w:rsidRDefault="00A007C0" w:rsidP="005D29FE">
            <w:pPr>
              <w:jc w:val="center"/>
              <w:rPr>
                <w:rFonts w:ascii="Arial" w:hAnsi="Arial" w:cs="Arial"/>
                <w:sz w:val="20"/>
                <w:szCs w:val="20"/>
              </w:rPr>
            </w:pPr>
            <w:r w:rsidRPr="006D5977">
              <w:rPr>
                <w:rFonts w:ascii="Arial" w:hAnsi="Arial" w:cs="Arial"/>
                <w:sz w:val="20"/>
                <w:szCs w:val="20"/>
              </w:rPr>
              <w:t>0</w:t>
            </w:r>
            <w:r w:rsidR="00FA2B4D" w:rsidRPr="006D5977">
              <w:rPr>
                <w:rFonts w:ascii="Arial" w:hAnsi="Arial" w:cs="Arial"/>
                <w:sz w:val="20"/>
                <w:szCs w:val="20"/>
              </w:rPr>
              <w:t>,</w:t>
            </w:r>
            <w:r w:rsidRPr="006D5977">
              <w:rPr>
                <w:rFonts w:ascii="Arial" w:hAnsi="Arial" w:cs="Arial"/>
                <w:sz w:val="20"/>
                <w:szCs w:val="20"/>
              </w:rPr>
              <w:t>626d</w:t>
            </w:r>
          </w:p>
        </w:tc>
        <w:tc>
          <w:tcPr>
            <w:tcW w:w="1373" w:type="dxa"/>
            <w:vAlign w:val="bottom"/>
          </w:tcPr>
          <w:p w:rsidR="00A007C0" w:rsidRPr="006D5977" w:rsidRDefault="00A007C0" w:rsidP="005D29FE">
            <w:pPr>
              <w:jc w:val="center"/>
              <w:rPr>
                <w:rFonts w:ascii="Arial" w:hAnsi="Arial" w:cs="Arial"/>
                <w:sz w:val="20"/>
                <w:szCs w:val="20"/>
              </w:rPr>
            </w:pPr>
            <w:r w:rsidRPr="006D5977">
              <w:rPr>
                <w:rFonts w:ascii="Arial" w:hAnsi="Arial" w:cs="Arial"/>
                <w:sz w:val="20"/>
                <w:szCs w:val="20"/>
              </w:rPr>
              <w:t>48</w:t>
            </w:r>
            <w:r w:rsidR="00FA2B4D" w:rsidRPr="006D5977">
              <w:rPr>
                <w:rFonts w:ascii="Arial" w:hAnsi="Arial" w:cs="Arial"/>
                <w:sz w:val="20"/>
                <w:szCs w:val="20"/>
              </w:rPr>
              <w:t>,</w:t>
            </w:r>
            <w:r w:rsidRPr="006D5977">
              <w:rPr>
                <w:rFonts w:ascii="Arial" w:hAnsi="Arial" w:cs="Arial"/>
                <w:sz w:val="20"/>
                <w:szCs w:val="20"/>
              </w:rPr>
              <w:t>61a</w:t>
            </w:r>
          </w:p>
        </w:tc>
        <w:tc>
          <w:tcPr>
            <w:tcW w:w="1234" w:type="dxa"/>
            <w:vAlign w:val="bottom"/>
          </w:tcPr>
          <w:p w:rsidR="00A007C0" w:rsidRPr="006D5977" w:rsidRDefault="00A007C0" w:rsidP="005D29FE">
            <w:pPr>
              <w:jc w:val="center"/>
              <w:rPr>
                <w:rFonts w:ascii="Arial" w:hAnsi="Arial" w:cs="Arial"/>
                <w:sz w:val="20"/>
                <w:szCs w:val="20"/>
              </w:rPr>
            </w:pPr>
            <w:r w:rsidRPr="006D5977">
              <w:rPr>
                <w:rFonts w:ascii="Arial" w:hAnsi="Arial" w:cs="Arial"/>
                <w:sz w:val="20"/>
                <w:szCs w:val="20"/>
              </w:rPr>
              <w:t>57a</w:t>
            </w:r>
          </w:p>
        </w:tc>
        <w:tc>
          <w:tcPr>
            <w:tcW w:w="1559" w:type="dxa"/>
            <w:vAlign w:val="bottom"/>
          </w:tcPr>
          <w:p w:rsidR="00A007C0" w:rsidRPr="006D5977" w:rsidRDefault="00A007C0" w:rsidP="005D29FE">
            <w:pPr>
              <w:jc w:val="center"/>
              <w:rPr>
                <w:rFonts w:ascii="Arial" w:hAnsi="Arial" w:cs="Arial"/>
                <w:sz w:val="20"/>
                <w:szCs w:val="20"/>
              </w:rPr>
            </w:pPr>
            <w:r w:rsidRPr="006D5977">
              <w:rPr>
                <w:rFonts w:ascii="Arial" w:hAnsi="Arial" w:cs="Arial"/>
                <w:sz w:val="20"/>
                <w:szCs w:val="20"/>
              </w:rPr>
              <w:t>8</w:t>
            </w:r>
            <w:r w:rsidR="00FA2B4D" w:rsidRPr="006D5977">
              <w:rPr>
                <w:rFonts w:ascii="Arial" w:hAnsi="Arial" w:cs="Arial"/>
                <w:sz w:val="20"/>
                <w:szCs w:val="20"/>
              </w:rPr>
              <w:t>,</w:t>
            </w:r>
            <w:r w:rsidRPr="006D5977">
              <w:rPr>
                <w:rFonts w:ascii="Arial" w:hAnsi="Arial" w:cs="Arial"/>
                <w:sz w:val="20"/>
                <w:szCs w:val="20"/>
              </w:rPr>
              <w:t>93a</w:t>
            </w:r>
          </w:p>
        </w:tc>
        <w:tc>
          <w:tcPr>
            <w:tcW w:w="1559" w:type="dxa"/>
            <w:vAlign w:val="bottom"/>
          </w:tcPr>
          <w:p w:rsidR="00A007C0" w:rsidRPr="006D5977" w:rsidRDefault="00A007C0" w:rsidP="005D29FE">
            <w:pPr>
              <w:jc w:val="center"/>
              <w:rPr>
                <w:rFonts w:ascii="Arial" w:hAnsi="Arial" w:cs="Arial"/>
                <w:color w:val="000000"/>
                <w:sz w:val="20"/>
                <w:szCs w:val="20"/>
              </w:rPr>
            </w:pPr>
            <w:r w:rsidRPr="006D5977">
              <w:rPr>
                <w:rFonts w:ascii="Arial" w:hAnsi="Arial" w:cs="Arial"/>
                <w:color w:val="000000"/>
                <w:sz w:val="20"/>
                <w:szCs w:val="20"/>
              </w:rPr>
              <w:t>80</w:t>
            </w:r>
            <w:r w:rsidR="00FA2B4D" w:rsidRPr="006D5977">
              <w:rPr>
                <w:rFonts w:ascii="Arial" w:hAnsi="Arial" w:cs="Arial"/>
                <w:color w:val="000000"/>
                <w:sz w:val="20"/>
                <w:szCs w:val="20"/>
              </w:rPr>
              <w:t>,</w:t>
            </w:r>
            <w:r w:rsidRPr="006D5977">
              <w:rPr>
                <w:rFonts w:ascii="Arial" w:hAnsi="Arial" w:cs="Arial"/>
                <w:color w:val="000000"/>
                <w:sz w:val="20"/>
                <w:szCs w:val="20"/>
              </w:rPr>
              <w:t>25</w:t>
            </w:r>
          </w:p>
        </w:tc>
      </w:tr>
      <w:tr w:rsidR="00A007C0" w:rsidRPr="006D5977" w:rsidTr="006B5B1C">
        <w:tc>
          <w:tcPr>
            <w:tcW w:w="1089" w:type="dxa"/>
          </w:tcPr>
          <w:p w:rsidR="00A007C0" w:rsidRPr="006D5977" w:rsidRDefault="00A007C0" w:rsidP="005D29FE">
            <w:pPr>
              <w:rPr>
                <w:rFonts w:ascii="Arial" w:hAnsi="Arial" w:cs="Arial"/>
                <w:sz w:val="20"/>
                <w:szCs w:val="20"/>
              </w:rPr>
            </w:pPr>
            <w:r w:rsidRPr="006D5977">
              <w:rPr>
                <w:rFonts w:ascii="Arial" w:hAnsi="Arial" w:cs="Arial"/>
                <w:sz w:val="20"/>
                <w:szCs w:val="20"/>
              </w:rPr>
              <w:t>SB</w:t>
            </w:r>
          </w:p>
        </w:tc>
        <w:tc>
          <w:tcPr>
            <w:tcW w:w="1686" w:type="dxa"/>
          </w:tcPr>
          <w:p w:rsidR="00A007C0" w:rsidRPr="006D5977" w:rsidRDefault="00A007C0" w:rsidP="005D29FE">
            <w:pPr>
              <w:jc w:val="center"/>
              <w:rPr>
                <w:rFonts w:ascii="Arial" w:hAnsi="Arial" w:cs="Arial"/>
                <w:sz w:val="20"/>
                <w:szCs w:val="20"/>
              </w:rPr>
            </w:pPr>
            <w:r w:rsidRPr="006D5977">
              <w:rPr>
                <w:rFonts w:ascii="Arial" w:hAnsi="Arial" w:cs="Arial"/>
                <w:sz w:val="20"/>
                <w:szCs w:val="20"/>
              </w:rPr>
              <w:t>0</w:t>
            </w:r>
            <w:r w:rsidR="00FA2B4D" w:rsidRPr="006D5977">
              <w:rPr>
                <w:rFonts w:ascii="Arial" w:hAnsi="Arial" w:cs="Arial"/>
                <w:sz w:val="20"/>
                <w:szCs w:val="20"/>
              </w:rPr>
              <w:t>,</w:t>
            </w:r>
            <w:r w:rsidRPr="006D5977">
              <w:rPr>
                <w:rFonts w:ascii="Arial" w:hAnsi="Arial" w:cs="Arial"/>
                <w:sz w:val="20"/>
                <w:szCs w:val="20"/>
              </w:rPr>
              <w:t>293b</w:t>
            </w:r>
          </w:p>
        </w:tc>
        <w:tc>
          <w:tcPr>
            <w:tcW w:w="1373" w:type="dxa"/>
            <w:vAlign w:val="bottom"/>
          </w:tcPr>
          <w:p w:rsidR="00A007C0" w:rsidRPr="006D5977" w:rsidRDefault="00A007C0" w:rsidP="005D29FE">
            <w:pPr>
              <w:jc w:val="center"/>
              <w:rPr>
                <w:rFonts w:ascii="Arial" w:hAnsi="Arial" w:cs="Arial"/>
                <w:sz w:val="20"/>
                <w:szCs w:val="20"/>
              </w:rPr>
            </w:pPr>
            <w:r w:rsidRPr="006D5977">
              <w:rPr>
                <w:rFonts w:ascii="Arial" w:hAnsi="Arial" w:cs="Arial"/>
                <w:sz w:val="20"/>
                <w:szCs w:val="20"/>
              </w:rPr>
              <w:t>54</w:t>
            </w:r>
            <w:r w:rsidR="00FA2B4D" w:rsidRPr="006D5977">
              <w:rPr>
                <w:rFonts w:ascii="Arial" w:hAnsi="Arial" w:cs="Arial"/>
                <w:sz w:val="20"/>
                <w:szCs w:val="20"/>
              </w:rPr>
              <w:t>,</w:t>
            </w:r>
            <w:r w:rsidRPr="006D5977">
              <w:rPr>
                <w:rFonts w:ascii="Arial" w:hAnsi="Arial" w:cs="Arial"/>
                <w:sz w:val="20"/>
                <w:szCs w:val="20"/>
              </w:rPr>
              <w:t>15d</w:t>
            </w:r>
          </w:p>
        </w:tc>
        <w:tc>
          <w:tcPr>
            <w:tcW w:w="1234" w:type="dxa"/>
            <w:vAlign w:val="bottom"/>
          </w:tcPr>
          <w:p w:rsidR="00A007C0" w:rsidRPr="006D5977" w:rsidRDefault="00A007C0" w:rsidP="005D29FE">
            <w:pPr>
              <w:jc w:val="center"/>
              <w:rPr>
                <w:rFonts w:ascii="Arial" w:hAnsi="Arial" w:cs="Arial"/>
                <w:sz w:val="20"/>
                <w:szCs w:val="20"/>
              </w:rPr>
            </w:pPr>
            <w:r w:rsidRPr="006D5977">
              <w:rPr>
                <w:rFonts w:ascii="Arial" w:hAnsi="Arial" w:cs="Arial"/>
                <w:sz w:val="20"/>
                <w:szCs w:val="20"/>
              </w:rPr>
              <w:t>78</w:t>
            </w:r>
            <w:r w:rsidR="00FA2B4D" w:rsidRPr="006D5977">
              <w:rPr>
                <w:rFonts w:ascii="Arial" w:hAnsi="Arial" w:cs="Arial"/>
                <w:sz w:val="20"/>
                <w:szCs w:val="20"/>
              </w:rPr>
              <w:t>,</w:t>
            </w:r>
            <w:r w:rsidRPr="006D5977">
              <w:rPr>
                <w:rFonts w:ascii="Arial" w:hAnsi="Arial" w:cs="Arial"/>
                <w:sz w:val="20"/>
                <w:szCs w:val="20"/>
              </w:rPr>
              <w:t>9d</w:t>
            </w:r>
          </w:p>
        </w:tc>
        <w:tc>
          <w:tcPr>
            <w:tcW w:w="1559" w:type="dxa"/>
            <w:vAlign w:val="bottom"/>
          </w:tcPr>
          <w:p w:rsidR="00A007C0" w:rsidRPr="006D5977" w:rsidRDefault="00A007C0" w:rsidP="005D29FE">
            <w:pPr>
              <w:jc w:val="center"/>
              <w:rPr>
                <w:rFonts w:ascii="Arial" w:hAnsi="Arial" w:cs="Arial"/>
                <w:sz w:val="20"/>
                <w:szCs w:val="20"/>
              </w:rPr>
            </w:pPr>
            <w:r w:rsidRPr="006D5977">
              <w:rPr>
                <w:rFonts w:ascii="Arial" w:hAnsi="Arial" w:cs="Arial"/>
                <w:sz w:val="20"/>
                <w:szCs w:val="20"/>
              </w:rPr>
              <w:t>25</w:t>
            </w:r>
            <w:r w:rsidR="00FA2B4D" w:rsidRPr="006D5977">
              <w:rPr>
                <w:rFonts w:ascii="Arial" w:hAnsi="Arial" w:cs="Arial"/>
                <w:sz w:val="20"/>
                <w:szCs w:val="20"/>
              </w:rPr>
              <w:t>,</w:t>
            </w:r>
            <w:r w:rsidRPr="006D5977">
              <w:rPr>
                <w:rFonts w:ascii="Arial" w:hAnsi="Arial" w:cs="Arial"/>
                <w:sz w:val="20"/>
                <w:szCs w:val="20"/>
              </w:rPr>
              <w:t>70d</w:t>
            </w:r>
          </w:p>
        </w:tc>
        <w:tc>
          <w:tcPr>
            <w:tcW w:w="1559" w:type="dxa"/>
            <w:vAlign w:val="bottom"/>
          </w:tcPr>
          <w:p w:rsidR="00A007C0" w:rsidRPr="006D5977" w:rsidRDefault="00A007C0" w:rsidP="005D29FE">
            <w:pPr>
              <w:jc w:val="center"/>
              <w:rPr>
                <w:rFonts w:ascii="Arial" w:hAnsi="Arial" w:cs="Arial"/>
                <w:color w:val="000000"/>
                <w:sz w:val="20"/>
                <w:szCs w:val="20"/>
              </w:rPr>
            </w:pPr>
            <w:r w:rsidRPr="006D5977">
              <w:rPr>
                <w:rFonts w:ascii="Arial" w:hAnsi="Arial" w:cs="Arial"/>
                <w:color w:val="000000"/>
                <w:sz w:val="20"/>
                <w:szCs w:val="20"/>
              </w:rPr>
              <w:t>84</w:t>
            </w:r>
            <w:r w:rsidR="00FA2B4D" w:rsidRPr="006D5977">
              <w:rPr>
                <w:rFonts w:ascii="Arial" w:hAnsi="Arial" w:cs="Arial"/>
                <w:color w:val="000000"/>
                <w:sz w:val="20"/>
                <w:szCs w:val="20"/>
              </w:rPr>
              <w:t>,</w:t>
            </w:r>
            <w:r w:rsidRPr="006D5977">
              <w:rPr>
                <w:rFonts w:ascii="Arial" w:hAnsi="Arial" w:cs="Arial"/>
                <w:color w:val="000000"/>
                <w:sz w:val="20"/>
                <w:szCs w:val="20"/>
              </w:rPr>
              <w:t>21</w:t>
            </w:r>
          </w:p>
        </w:tc>
      </w:tr>
      <w:tr w:rsidR="00A007C0" w:rsidRPr="006D5977" w:rsidTr="006B5B1C">
        <w:tc>
          <w:tcPr>
            <w:tcW w:w="1089" w:type="dxa"/>
          </w:tcPr>
          <w:p w:rsidR="00A007C0" w:rsidRPr="006D5977" w:rsidRDefault="00A007C0" w:rsidP="005D29FE">
            <w:pPr>
              <w:rPr>
                <w:rFonts w:ascii="Arial" w:hAnsi="Arial" w:cs="Arial"/>
                <w:sz w:val="20"/>
                <w:szCs w:val="20"/>
              </w:rPr>
            </w:pPr>
            <w:r w:rsidRPr="006D5977">
              <w:rPr>
                <w:rFonts w:ascii="Arial" w:hAnsi="Arial" w:cs="Arial"/>
                <w:sz w:val="20"/>
                <w:szCs w:val="20"/>
              </w:rPr>
              <w:t>SC</w:t>
            </w:r>
          </w:p>
        </w:tc>
        <w:tc>
          <w:tcPr>
            <w:tcW w:w="1686" w:type="dxa"/>
          </w:tcPr>
          <w:p w:rsidR="00A007C0" w:rsidRPr="006D5977" w:rsidRDefault="00A007C0" w:rsidP="005D29FE">
            <w:pPr>
              <w:jc w:val="center"/>
              <w:rPr>
                <w:rFonts w:ascii="Arial" w:hAnsi="Arial" w:cs="Arial"/>
                <w:sz w:val="20"/>
                <w:szCs w:val="20"/>
              </w:rPr>
            </w:pPr>
            <w:r w:rsidRPr="006D5977">
              <w:rPr>
                <w:rFonts w:ascii="Arial" w:hAnsi="Arial" w:cs="Arial"/>
                <w:sz w:val="20"/>
                <w:szCs w:val="20"/>
              </w:rPr>
              <w:t>0</w:t>
            </w:r>
            <w:r w:rsidR="00FA2B4D" w:rsidRPr="006D5977">
              <w:rPr>
                <w:rFonts w:ascii="Arial" w:hAnsi="Arial" w:cs="Arial"/>
                <w:sz w:val="20"/>
                <w:szCs w:val="20"/>
              </w:rPr>
              <w:t>,</w:t>
            </w:r>
            <w:r w:rsidRPr="006D5977">
              <w:rPr>
                <w:rFonts w:ascii="Arial" w:hAnsi="Arial" w:cs="Arial"/>
                <w:sz w:val="20"/>
                <w:szCs w:val="20"/>
              </w:rPr>
              <w:t>394c</w:t>
            </w:r>
          </w:p>
        </w:tc>
        <w:tc>
          <w:tcPr>
            <w:tcW w:w="1373" w:type="dxa"/>
            <w:vAlign w:val="bottom"/>
          </w:tcPr>
          <w:p w:rsidR="00A007C0" w:rsidRPr="006D5977" w:rsidRDefault="00A007C0" w:rsidP="005D29FE">
            <w:pPr>
              <w:jc w:val="center"/>
              <w:rPr>
                <w:rFonts w:ascii="Arial" w:hAnsi="Arial" w:cs="Arial"/>
                <w:sz w:val="20"/>
                <w:szCs w:val="20"/>
              </w:rPr>
            </w:pPr>
            <w:r w:rsidRPr="006D5977">
              <w:rPr>
                <w:rFonts w:ascii="Arial" w:hAnsi="Arial" w:cs="Arial"/>
                <w:sz w:val="20"/>
                <w:szCs w:val="20"/>
              </w:rPr>
              <w:t>52</w:t>
            </w:r>
            <w:r w:rsidR="00FA2B4D" w:rsidRPr="006D5977">
              <w:rPr>
                <w:rFonts w:ascii="Arial" w:hAnsi="Arial" w:cs="Arial"/>
                <w:sz w:val="20"/>
                <w:szCs w:val="20"/>
              </w:rPr>
              <w:t>,</w:t>
            </w:r>
            <w:r w:rsidRPr="006D5977">
              <w:rPr>
                <w:rFonts w:ascii="Arial" w:hAnsi="Arial" w:cs="Arial"/>
                <w:sz w:val="20"/>
                <w:szCs w:val="20"/>
              </w:rPr>
              <w:t>27c</w:t>
            </w:r>
          </w:p>
        </w:tc>
        <w:tc>
          <w:tcPr>
            <w:tcW w:w="1234" w:type="dxa"/>
            <w:vAlign w:val="bottom"/>
          </w:tcPr>
          <w:p w:rsidR="00A007C0" w:rsidRPr="006D5977" w:rsidRDefault="00A007C0" w:rsidP="005D29FE">
            <w:pPr>
              <w:jc w:val="center"/>
              <w:rPr>
                <w:rFonts w:ascii="Arial" w:hAnsi="Arial" w:cs="Arial"/>
                <w:sz w:val="20"/>
                <w:szCs w:val="20"/>
              </w:rPr>
            </w:pPr>
            <w:r w:rsidRPr="006D5977">
              <w:rPr>
                <w:rFonts w:ascii="Arial" w:hAnsi="Arial" w:cs="Arial"/>
                <w:sz w:val="20"/>
                <w:szCs w:val="20"/>
              </w:rPr>
              <w:t>73</w:t>
            </w:r>
            <w:r w:rsidR="00FA2B4D" w:rsidRPr="006D5977">
              <w:rPr>
                <w:rFonts w:ascii="Arial" w:hAnsi="Arial" w:cs="Arial"/>
                <w:sz w:val="20"/>
                <w:szCs w:val="20"/>
              </w:rPr>
              <w:t>,</w:t>
            </w:r>
            <w:r w:rsidRPr="006D5977">
              <w:rPr>
                <w:rFonts w:ascii="Arial" w:hAnsi="Arial" w:cs="Arial"/>
                <w:sz w:val="20"/>
                <w:szCs w:val="20"/>
              </w:rPr>
              <w:t>5c</w:t>
            </w:r>
          </w:p>
        </w:tc>
        <w:tc>
          <w:tcPr>
            <w:tcW w:w="1559" w:type="dxa"/>
            <w:vAlign w:val="bottom"/>
          </w:tcPr>
          <w:p w:rsidR="00A007C0" w:rsidRPr="006D5977" w:rsidRDefault="00A007C0" w:rsidP="005D29FE">
            <w:pPr>
              <w:jc w:val="center"/>
              <w:rPr>
                <w:rFonts w:ascii="Arial" w:hAnsi="Arial" w:cs="Arial"/>
                <w:sz w:val="20"/>
                <w:szCs w:val="20"/>
              </w:rPr>
            </w:pPr>
            <w:r w:rsidRPr="006D5977">
              <w:rPr>
                <w:rFonts w:ascii="Arial" w:hAnsi="Arial" w:cs="Arial"/>
                <w:sz w:val="20"/>
                <w:szCs w:val="20"/>
              </w:rPr>
              <w:t>20</w:t>
            </w:r>
            <w:r w:rsidR="00FA2B4D" w:rsidRPr="006D5977">
              <w:rPr>
                <w:rFonts w:ascii="Arial" w:hAnsi="Arial" w:cs="Arial"/>
                <w:sz w:val="20"/>
                <w:szCs w:val="20"/>
              </w:rPr>
              <w:t>,</w:t>
            </w:r>
            <w:r w:rsidRPr="006D5977">
              <w:rPr>
                <w:rFonts w:ascii="Arial" w:hAnsi="Arial" w:cs="Arial"/>
                <w:sz w:val="20"/>
                <w:szCs w:val="20"/>
              </w:rPr>
              <w:t>73c</w:t>
            </w:r>
          </w:p>
        </w:tc>
        <w:tc>
          <w:tcPr>
            <w:tcW w:w="1559" w:type="dxa"/>
            <w:vAlign w:val="bottom"/>
          </w:tcPr>
          <w:p w:rsidR="00A007C0" w:rsidRPr="006D5977" w:rsidRDefault="00A007C0" w:rsidP="005D29FE">
            <w:pPr>
              <w:jc w:val="center"/>
              <w:rPr>
                <w:rFonts w:ascii="Arial" w:hAnsi="Arial" w:cs="Arial"/>
                <w:color w:val="000000"/>
                <w:sz w:val="20"/>
                <w:szCs w:val="20"/>
              </w:rPr>
            </w:pPr>
            <w:r w:rsidRPr="006D5977">
              <w:rPr>
                <w:rFonts w:ascii="Arial" w:hAnsi="Arial" w:cs="Arial"/>
                <w:color w:val="000000"/>
                <w:sz w:val="20"/>
                <w:szCs w:val="20"/>
              </w:rPr>
              <w:t>83</w:t>
            </w:r>
            <w:r w:rsidR="00FA2B4D" w:rsidRPr="006D5977">
              <w:rPr>
                <w:rFonts w:ascii="Arial" w:hAnsi="Arial" w:cs="Arial"/>
                <w:color w:val="000000"/>
                <w:sz w:val="20"/>
                <w:szCs w:val="20"/>
              </w:rPr>
              <w:t>,</w:t>
            </w:r>
            <w:r w:rsidRPr="006D5977">
              <w:rPr>
                <w:rFonts w:ascii="Arial" w:hAnsi="Arial" w:cs="Arial"/>
                <w:color w:val="000000"/>
                <w:sz w:val="20"/>
                <w:szCs w:val="20"/>
              </w:rPr>
              <w:t>19</w:t>
            </w:r>
          </w:p>
        </w:tc>
      </w:tr>
      <w:tr w:rsidR="00A007C0" w:rsidRPr="006D5977" w:rsidTr="006B5B1C">
        <w:tc>
          <w:tcPr>
            <w:tcW w:w="1089" w:type="dxa"/>
          </w:tcPr>
          <w:p w:rsidR="00A007C0" w:rsidRPr="006D5977" w:rsidRDefault="00A007C0" w:rsidP="005D29FE">
            <w:pPr>
              <w:rPr>
                <w:rFonts w:ascii="Arial" w:hAnsi="Arial" w:cs="Arial"/>
                <w:sz w:val="20"/>
                <w:szCs w:val="20"/>
              </w:rPr>
            </w:pPr>
            <w:r w:rsidRPr="006D5977">
              <w:rPr>
                <w:rFonts w:ascii="Arial" w:hAnsi="Arial" w:cs="Arial"/>
                <w:sz w:val="20"/>
                <w:szCs w:val="20"/>
              </w:rPr>
              <w:t>SD</w:t>
            </w:r>
          </w:p>
        </w:tc>
        <w:tc>
          <w:tcPr>
            <w:tcW w:w="1686" w:type="dxa"/>
          </w:tcPr>
          <w:p w:rsidR="00A007C0" w:rsidRPr="006D5977" w:rsidRDefault="00A007C0" w:rsidP="005D29FE">
            <w:pPr>
              <w:jc w:val="center"/>
              <w:rPr>
                <w:rFonts w:ascii="Arial" w:hAnsi="Arial" w:cs="Arial"/>
                <w:sz w:val="20"/>
                <w:szCs w:val="20"/>
              </w:rPr>
            </w:pPr>
            <w:r w:rsidRPr="006D5977">
              <w:rPr>
                <w:rFonts w:ascii="Arial" w:hAnsi="Arial" w:cs="Arial"/>
                <w:sz w:val="20"/>
                <w:szCs w:val="20"/>
              </w:rPr>
              <w:t>0</w:t>
            </w:r>
            <w:r w:rsidR="00FA2B4D" w:rsidRPr="006D5977">
              <w:rPr>
                <w:rFonts w:ascii="Arial" w:hAnsi="Arial" w:cs="Arial"/>
                <w:sz w:val="20"/>
                <w:szCs w:val="20"/>
              </w:rPr>
              <w:t>,</w:t>
            </w:r>
            <w:r w:rsidRPr="006D5977">
              <w:rPr>
                <w:rFonts w:ascii="Arial" w:hAnsi="Arial" w:cs="Arial"/>
                <w:sz w:val="20"/>
                <w:szCs w:val="20"/>
              </w:rPr>
              <w:t>610d</w:t>
            </w:r>
          </w:p>
        </w:tc>
        <w:tc>
          <w:tcPr>
            <w:tcW w:w="1373" w:type="dxa"/>
            <w:vAlign w:val="bottom"/>
          </w:tcPr>
          <w:p w:rsidR="00A007C0" w:rsidRPr="006D5977" w:rsidRDefault="00A007C0" w:rsidP="005D29FE">
            <w:pPr>
              <w:jc w:val="center"/>
              <w:rPr>
                <w:rFonts w:ascii="Arial" w:hAnsi="Arial" w:cs="Arial"/>
                <w:sz w:val="20"/>
                <w:szCs w:val="20"/>
              </w:rPr>
            </w:pPr>
            <w:r w:rsidRPr="006D5977">
              <w:rPr>
                <w:rFonts w:ascii="Arial" w:hAnsi="Arial" w:cs="Arial"/>
                <w:sz w:val="20"/>
                <w:szCs w:val="20"/>
              </w:rPr>
              <w:t>51</w:t>
            </w:r>
            <w:r w:rsidR="00FA2B4D" w:rsidRPr="006D5977">
              <w:rPr>
                <w:rFonts w:ascii="Arial" w:hAnsi="Arial" w:cs="Arial"/>
                <w:sz w:val="20"/>
                <w:szCs w:val="20"/>
              </w:rPr>
              <w:t>,</w:t>
            </w:r>
            <w:r w:rsidRPr="006D5977">
              <w:rPr>
                <w:rFonts w:ascii="Arial" w:hAnsi="Arial" w:cs="Arial"/>
                <w:sz w:val="20"/>
                <w:szCs w:val="20"/>
              </w:rPr>
              <w:t>79b</w:t>
            </w:r>
          </w:p>
        </w:tc>
        <w:tc>
          <w:tcPr>
            <w:tcW w:w="1234" w:type="dxa"/>
            <w:vAlign w:val="bottom"/>
          </w:tcPr>
          <w:p w:rsidR="00A007C0" w:rsidRPr="006D5977" w:rsidRDefault="00A007C0" w:rsidP="005D29FE">
            <w:pPr>
              <w:jc w:val="center"/>
              <w:rPr>
                <w:rFonts w:ascii="Arial" w:hAnsi="Arial" w:cs="Arial"/>
                <w:sz w:val="20"/>
                <w:szCs w:val="20"/>
              </w:rPr>
            </w:pPr>
            <w:r w:rsidRPr="006D5977">
              <w:rPr>
                <w:rFonts w:ascii="Arial" w:hAnsi="Arial" w:cs="Arial"/>
                <w:sz w:val="20"/>
                <w:szCs w:val="20"/>
              </w:rPr>
              <w:t>62</w:t>
            </w:r>
            <w:r w:rsidR="00FA2B4D" w:rsidRPr="006D5977">
              <w:rPr>
                <w:rFonts w:ascii="Arial" w:hAnsi="Arial" w:cs="Arial"/>
                <w:sz w:val="20"/>
                <w:szCs w:val="20"/>
              </w:rPr>
              <w:t>,</w:t>
            </w:r>
            <w:r w:rsidRPr="006D5977">
              <w:rPr>
                <w:rFonts w:ascii="Arial" w:hAnsi="Arial" w:cs="Arial"/>
                <w:sz w:val="20"/>
                <w:szCs w:val="20"/>
              </w:rPr>
              <w:t>4b</w:t>
            </w:r>
          </w:p>
        </w:tc>
        <w:tc>
          <w:tcPr>
            <w:tcW w:w="1559" w:type="dxa"/>
            <w:vAlign w:val="bottom"/>
          </w:tcPr>
          <w:p w:rsidR="00A007C0" w:rsidRPr="006D5977" w:rsidRDefault="00A007C0" w:rsidP="005D29FE">
            <w:pPr>
              <w:jc w:val="center"/>
              <w:rPr>
                <w:rFonts w:ascii="Arial" w:hAnsi="Arial" w:cs="Arial"/>
                <w:sz w:val="20"/>
                <w:szCs w:val="20"/>
              </w:rPr>
            </w:pPr>
            <w:r w:rsidRPr="006D5977">
              <w:rPr>
                <w:rFonts w:ascii="Arial" w:hAnsi="Arial" w:cs="Arial"/>
                <w:sz w:val="20"/>
                <w:szCs w:val="20"/>
              </w:rPr>
              <w:t>10</w:t>
            </w:r>
            <w:r w:rsidR="00FA2B4D" w:rsidRPr="006D5977">
              <w:rPr>
                <w:rFonts w:ascii="Arial" w:hAnsi="Arial" w:cs="Arial"/>
                <w:sz w:val="20"/>
                <w:szCs w:val="20"/>
              </w:rPr>
              <w:t>,</w:t>
            </w:r>
            <w:r w:rsidRPr="006D5977">
              <w:rPr>
                <w:rFonts w:ascii="Arial" w:hAnsi="Arial" w:cs="Arial"/>
                <w:sz w:val="20"/>
                <w:szCs w:val="20"/>
              </w:rPr>
              <w:t>87b</w:t>
            </w:r>
          </w:p>
        </w:tc>
        <w:tc>
          <w:tcPr>
            <w:tcW w:w="1559" w:type="dxa"/>
            <w:vAlign w:val="bottom"/>
          </w:tcPr>
          <w:p w:rsidR="00A007C0" w:rsidRPr="006D5977" w:rsidRDefault="00A007C0" w:rsidP="005D29FE">
            <w:pPr>
              <w:jc w:val="center"/>
              <w:rPr>
                <w:rFonts w:ascii="Arial" w:hAnsi="Arial" w:cs="Arial"/>
                <w:color w:val="000000"/>
                <w:sz w:val="20"/>
                <w:szCs w:val="20"/>
              </w:rPr>
            </w:pPr>
            <w:r w:rsidRPr="006D5977">
              <w:rPr>
                <w:rFonts w:ascii="Arial" w:hAnsi="Arial" w:cs="Arial"/>
                <w:color w:val="000000"/>
                <w:sz w:val="20"/>
                <w:szCs w:val="20"/>
              </w:rPr>
              <w:t>81</w:t>
            </w:r>
            <w:r w:rsidR="00FA2B4D" w:rsidRPr="006D5977">
              <w:rPr>
                <w:rFonts w:ascii="Arial" w:hAnsi="Arial" w:cs="Arial"/>
                <w:color w:val="000000"/>
                <w:sz w:val="20"/>
                <w:szCs w:val="20"/>
              </w:rPr>
              <w:t>,</w:t>
            </w:r>
            <w:r w:rsidRPr="006D5977">
              <w:rPr>
                <w:rFonts w:ascii="Arial" w:hAnsi="Arial" w:cs="Arial"/>
                <w:color w:val="000000"/>
                <w:sz w:val="20"/>
                <w:szCs w:val="20"/>
              </w:rPr>
              <w:t>67</w:t>
            </w:r>
          </w:p>
        </w:tc>
      </w:tr>
      <w:tr w:rsidR="00A007C0" w:rsidRPr="006D5977" w:rsidTr="006B5B1C">
        <w:tc>
          <w:tcPr>
            <w:tcW w:w="1089" w:type="dxa"/>
          </w:tcPr>
          <w:p w:rsidR="00A007C0" w:rsidRPr="006D5977" w:rsidRDefault="00A007C0" w:rsidP="005D29FE">
            <w:pPr>
              <w:rPr>
                <w:rFonts w:ascii="Arial" w:hAnsi="Arial" w:cs="Arial"/>
                <w:sz w:val="20"/>
                <w:szCs w:val="20"/>
              </w:rPr>
            </w:pPr>
            <w:r w:rsidRPr="006D5977">
              <w:rPr>
                <w:rFonts w:ascii="Arial" w:hAnsi="Arial" w:cs="Arial"/>
                <w:sz w:val="20"/>
                <w:szCs w:val="20"/>
              </w:rPr>
              <w:t>BC</w:t>
            </w:r>
          </w:p>
        </w:tc>
        <w:tc>
          <w:tcPr>
            <w:tcW w:w="1686" w:type="dxa"/>
          </w:tcPr>
          <w:p w:rsidR="00A007C0" w:rsidRPr="006D5977" w:rsidRDefault="00A007C0" w:rsidP="005D29FE">
            <w:pPr>
              <w:jc w:val="center"/>
              <w:rPr>
                <w:rFonts w:ascii="Arial" w:hAnsi="Arial" w:cs="Arial"/>
                <w:sz w:val="20"/>
                <w:szCs w:val="20"/>
              </w:rPr>
            </w:pPr>
            <w:r w:rsidRPr="006D5977">
              <w:rPr>
                <w:rFonts w:ascii="Arial" w:hAnsi="Arial" w:cs="Arial"/>
                <w:sz w:val="20"/>
                <w:szCs w:val="20"/>
              </w:rPr>
              <w:t>0</w:t>
            </w:r>
            <w:r w:rsidR="00FA2B4D" w:rsidRPr="006D5977">
              <w:rPr>
                <w:rFonts w:ascii="Arial" w:hAnsi="Arial" w:cs="Arial"/>
                <w:sz w:val="20"/>
                <w:szCs w:val="20"/>
              </w:rPr>
              <w:t>,</w:t>
            </w:r>
            <w:r w:rsidRPr="006D5977">
              <w:rPr>
                <w:rFonts w:ascii="Arial" w:hAnsi="Arial" w:cs="Arial"/>
                <w:sz w:val="20"/>
                <w:szCs w:val="20"/>
              </w:rPr>
              <w:t>219a</w:t>
            </w:r>
          </w:p>
        </w:tc>
        <w:tc>
          <w:tcPr>
            <w:tcW w:w="1373" w:type="dxa"/>
            <w:vAlign w:val="bottom"/>
          </w:tcPr>
          <w:p w:rsidR="00A007C0" w:rsidRPr="006D5977" w:rsidRDefault="00A007C0" w:rsidP="005D29FE">
            <w:pPr>
              <w:jc w:val="center"/>
              <w:rPr>
                <w:rFonts w:ascii="Arial" w:hAnsi="Arial" w:cs="Arial"/>
                <w:color w:val="000000"/>
                <w:sz w:val="20"/>
                <w:szCs w:val="20"/>
              </w:rPr>
            </w:pPr>
            <w:r w:rsidRPr="006D5977">
              <w:rPr>
                <w:rFonts w:ascii="Arial" w:hAnsi="Arial" w:cs="Arial"/>
                <w:color w:val="000000"/>
                <w:sz w:val="20"/>
                <w:szCs w:val="20"/>
              </w:rPr>
              <w:t>56</w:t>
            </w:r>
            <w:r w:rsidR="00FA2B4D" w:rsidRPr="006D5977">
              <w:rPr>
                <w:rFonts w:ascii="Arial" w:hAnsi="Arial" w:cs="Arial"/>
                <w:color w:val="000000"/>
                <w:sz w:val="20"/>
                <w:szCs w:val="20"/>
              </w:rPr>
              <w:t>,</w:t>
            </w:r>
            <w:r w:rsidRPr="006D5977">
              <w:rPr>
                <w:rFonts w:ascii="Arial" w:hAnsi="Arial" w:cs="Arial"/>
                <w:color w:val="000000"/>
                <w:sz w:val="20"/>
                <w:szCs w:val="20"/>
              </w:rPr>
              <w:t>33rd</w:t>
            </w:r>
          </w:p>
        </w:tc>
        <w:tc>
          <w:tcPr>
            <w:tcW w:w="1234" w:type="dxa"/>
            <w:vAlign w:val="bottom"/>
          </w:tcPr>
          <w:p w:rsidR="00A007C0" w:rsidRPr="006D5977" w:rsidRDefault="00A007C0" w:rsidP="005D29FE">
            <w:pPr>
              <w:jc w:val="center"/>
              <w:rPr>
                <w:rFonts w:ascii="Arial" w:hAnsi="Arial" w:cs="Arial"/>
                <w:color w:val="000000"/>
                <w:sz w:val="20"/>
                <w:szCs w:val="20"/>
              </w:rPr>
            </w:pPr>
            <w:r w:rsidRPr="006D5977">
              <w:rPr>
                <w:rFonts w:ascii="Arial" w:hAnsi="Arial" w:cs="Arial"/>
                <w:color w:val="000000"/>
                <w:sz w:val="20"/>
                <w:szCs w:val="20"/>
              </w:rPr>
              <w:t>85</w:t>
            </w:r>
            <w:r w:rsidR="00FA2B4D" w:rsidRPr="006D5977">
              <w:rPr>
                <w:rFonts w:ascii="Arial" w:hAnsi="Arial" w:cs="Arial"/>
                <w:color w:val="000000"/>
                <w:sz w:val="20"/>
                <w:szCs w:val="20"/>
              </w:rPr>
              <w:t>,</w:t>
            </w:r>
            <w:r w:rsidRPr="006D5977">
              <w:rPr>
                <w:rFonts w:ascii="Arial" w:hAnsi="Arial" w:cs="Arial"/>
                <w:color w:val="000000"/>
                <w:sz w:val="20"/>
                <w:szCs w:val="20"/>
              </w:rPr>
              <w:t>2e</w:t>
            </w:r>
          </w:p>
        </w:tc>
        <w:tc>
          <w:tcPr>
            <w:tcW w:w="1559" w:type="dxa"/>
            <w:vAlign w:val="bottom"/>
          </w:tcPr>
          <w:p w:rsidR="00A007C0" w:rsidRPr="006D5977" w:rsidRDefault="00A007C0" w:rsidP="005D29FE">
            <w:pPr>
              <w:jc w:val="center"/>
              <w:rPr>
                <w:rFonts w:ascii="Arial" w:hAnsi="Arial" w:cs="Arial"/>
                <w:color w:val="000000"/>
                <w:sz w:val="20"/>
                <w:szCs w:val="20"/>
              </w:rPr>
            </w:pPr>
            <w:r w:rsidRPr="006D5977">
              <w:rPr>
                <w:rFonts w:ascii="Arial" w:hAnsi="Arial" w:cs="Arial"/>
                <w:color w:val="000000"/>
                <w:sz w:val="20"/>
                <w:szCs w:val="20"/>
              </w:rPr>
              <w:t>29th</w:t>
            </w:r>
          </w:p>
        </w:tc>
        <w:tc>
          <w:tcPr>
            <w:tcW w:w="1559" w:type="dxa"/>
          </w:tcPr>
          <w:p w:rsidR="00A007C0" w:rsidRPr="006D5977" w:rsidRDefault="00A007C0" w:rsidP="005D29FE">
            <w:pPr>
              <w:jc w:val="center"/>
              <w:rPr>
                <w:rFonts w:ascii="Arial" w:hAnsi="Arial" w:cs="Arial"/>
                <w:sz w:val="20"/>
                <w:szCs w:val="20"/>
              </w:rPr>
            </w:pPr>
            <w:r w:rsidRPr="006D5977">
              <w:rPr>
                <w:rFonts w:ascii="Arial" w:hAnsi="Arial" w:cs="Arial"/>
                <w:sz w:val="20"/>
                <w:szCs w:val="20"/>
              </w:rPr>
              <w:t>93</w:t>
            </w:r>
            <w:r w:rsidR="00FA2B4D" w:rsidRPr="006D5977">
              <w:rPr>
                <w:rFonts w:ascii="Arial" w:hAnsi="Arial" w:cs="Arial"/>
                <w:sz w:val="20"/>
                <w:szCs w:val="20"/>
              </w:rPr>
              <w:t>,</w:t>
            </w:r>
            <w:r w:rsidRPr="006D5977">
              <w:rPr>
                <w:rFonts w:ascii="Arial" w:hAnsi="Arial" w:cs="Arial"/>
                <w:sz w:val="20"/>
                <w:szCs w:val="20"/>
              </w:rPr>
              <w:t>24</w:t>
            </w:r>
          </w:p>
        </w:tc>
      </w:tr>
    </w:tbl>
    <w:p w:rsidR="008250A7" w:rsidRPr="006D5977" w:rsidRDefault="00773C4F" w:rsidP="005D29FE">
      <w:pPr>
        <w:spacing w:line="240" w:lineRule="auto"/>
        <w:rPr>
          <w:rFonts w:ascii="Arial" w:hAnsi="Arial" w:cs="Arial"/>
          <w:sz w:val="20"/>
          <w:szCs w:val="20"/>
          <w:lang w:val="en-US"/>
        </w:rPr>
      </w:pPr>
      <w:r w:rsidRPr="006D5977">
        <w:rPr>
          <w:rFonts w:ascii="Arial" w:hAnsi="Arial" w:cs="Arial"/>
          <w:sz w:val="20"/>
          <w:szCs w:val="20"/>
          <w:lang w:val="en-US"/>
        </w:rPr>
        <w:t>BD : Bulk density, WHC : Water holding capacity, TP : Total porosity, AFP : Air filled porosity</w:t>
      </w:r>
      <w:r w:rsidR="008250A7" w:rsidRPr="006D5977">
        <w:rPr>
          <w:rFonts w:ascii="Arial" w:hAnsi="Arial" w:cs="Arial"/>
          <w:sz w:val="20"/>
          <w:szCs w:val="20"/>
          <w:lang w:val="en-US"/>
        </w:rPr>
        <w:t>.</w:t>
      </w:r>
    </w:p>
    <w:p w:rsidR="00A007C0" w:rsidRPr="006D5977" w:rsidRDefault="00A007C0" w:rsidP="005D29FE">
      <w:pPr>
        <w:spacing w:line="240" w:lineRule="auto"/>
        <w:rPr>
          <w:rFonts w:ascii="Arial" w:hAnsi="Arial" w:cs="Arial"/>
          <w:sz w:val="20"/>
          <w:szCs w:val="20"/>
          <w:lang w:val="en-US"/>
        </w:rPr>
      </w:pPr>
      <w:r w:rsidRPr="006D5977">
        <w:rPr>
          <w:rFonts w:ascii="Arial" w:hAnsi="Arial" w:cs="Arial"/>
          <w:sz w:val="20"/>
          <w:szCs w:val="20"/>
          <w:lang w:val="en-US"/>
        </w:rPr>
        <w:t>Values ​​followed by similar letters under the same column are not significantly different at P = 0</w:t>
      </w:r>
      <w:r w:rsidR="00FA2B4D" w:rsidRPr="006D5977">
        <w:rPr>
          <w:rFonts w:ascii="Arial" w:hAnsi="Arial" w:cs="Arial"/>
          <w:sz w:val="20"/>
          <w:szCs w:val="20"/>
          <w:lang w:val="en-US"/>
        </w:rPr>
        <w:t>,</w:t>
      </w:r>
      <w:r w:rsidRPr="006D5977">
        <w:rPr>
          <w:rFonts w:ascii="Arial" w:hAnsi="Arial" w:cs="Arial"/>
          <w:sz w:val="20"/>
          <w:szCs w:val="20"/>
          <w:lang w:val="en-US"/>
        </w:rPr>
        <w:t>05.</w:t>
      </w:r>
    </w:p>
    <w:p w:rsidR="00A007C0" w:rsidRPr="00D52DD0" w:rsidRDefault="00FF303F" w:rsidP="005D29FE">
      <w:pPr>
        <w:pStyle w:val="Heading3"/>
        <w:numPr>
          <w:ilvl w:val="2"/>
          <w:numId w:val="20"/>
        </w:numPr>
        <w:spacing w:line="240" w:lineRule="auto"/>
        <w:rPr>
          <w:rFonts w:ascii="Arial" w:hAnsi="Arial" w:cs="Arial"/>
          <w:sz w:val="20"/>
          <w:szCs w:val="20"/>
          <w:u w:val="single"/>
        </w:rPr>
      </w:pPr>
      <w:bookmarkStart w:id="19" w:name="_Toc208777020"/>
      <w:r w:rsidRPr="00D52DD0">
        <w:rPr>
          <w:rFonts w:ascii="Arial" w:hAnsi="Arial" w:cs="Arial"/>
          <w:sz w:val="20"/>
          <w:szCs w:val="20"/>
          <w:u w:val="single"/>
        </w:rPr>
        <w:t>Bulk</w:t>
      </w:r>
      <w:r w:rsidR="00A007C0" w:rsidRPr="00D52DD0">
        <w:rPr>
          <w:rFonts w:ascii="Arial" w:hAnsi="Arial" w:cs="Arial"/>
          <w:sz w:val="20"/>
          <w:szCs w:val="20"/>
          <w:u w:val="single"/>
        </w:rPr>
        <w:t>density</w:t>
      </w:r>
      <w:bookmarkEnd w:id="19"/>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Pure biochar BC exhibits the lowest </w:t>
      </w:r>
      <w:r w:rsidR="00FF303F" w:rsidRPr="006D5977">
        <w:rPr>
          <w:rFonts w:ascii="Arial" w:hAnsi="Arial" w:cs="Arial"/>
          <w:sz w:val="20"/>
          <w:szCs w:val="20"/>
          <w:lang w:val="en-US"/>
        </w:rPr>
        <w:t>BD</w:t>
      </w:r>
      <w:r w:rsidRPr="006D5977">
        <w:rPr>
          <w:rFonts w:ascii="Arial" w:hAnsi="Arial" w:cs="Arial"/>
          <w:sz w:val="20"/>
          <w:szCs w:val="20"/>
          <w:lang w:val="en-US"/>
        </w:rPr>
        <w:t xml:space="preserve"> (0</w:t>
      </w:r>
      <w:r w:rsidR="00FA2B4D" w:rsidRPr="006D5977">
        <w:rPr>
          <w:rFonts w:ascii="Arial" w:hAnsi="Arial" w:cs="Arial"/>
          <w:sz w:val="20"/>
          <w:szCs w:val="20"/>
          <w:lang w:val="en-US"/>
        </w:rPr>
        <w:t>,</w:t>
      </w:r>
      <w:r w:rsidRPr="006D5977">
        <w:rPr>
          <w:rFonts w:ascii="Arial" w:hAnsi="Arial" w:cs="Arial"/>
          <w:sz w:val="20"/>
          <w:szCs w:val="20"/>
          <w:lang w:val="en-US"/>
        </w:rPr>
        <w:t xml:space="preserve">219 g/cm³).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BC, formulated with 25% tricho-compost and 75% rice husk biochar, follows with 0</w:t>
      </w:r>
      <w:r w:rsidR="00FA2B4D" w:rsidRPr="006D5977">
        <w:rPr>
          <w:rFonts w:ascii="Arial" w:hAnsi="Arial" w:cs="Arial"/>
          <w:sz w:val="20"/>
          <w:szCs w:val="20"/>
          <w:lang w:val="en-US"/>
        </w:rPr>
        <w:t>,</w:t>
      </w:r>
      <w:r w:rsidRPr="006D5977">
        <w:rPr>
          <w:rFonts w:ascii="Arial" w:hAnsi="Arial" w:cs="Arial"/>
          <w:sz w:val="20"/>
          <w:szCs w:val="20"/>
          <w:lang w:val="en-US"/>
        </w:rPr>
        <w:t>293 g/cm³, then SC, composed of 50% tricho-compost and 50% rice husk biochar, displays 0</w:t>
      </w:r>
      <w:r w:rsidR="00FA2B4D" w:rsidRPr="006D5977">
        <w:rPr>
          <w:rFonts w:ascii="Arial" w:hAnsi="Arial" w:cs="Arial"/>
          <w:sz w:val="20"/>
          <w:szCs w:val="20"/>
          <w:lang w:val="en-US"/>
        </w:rPr>
        <w:t>,</w:t>
      </w:r>
      <w:r w:rsidRPr="006D5977">
        <w:rPr>
          <w:rFonts w:ascii="Arial" w:hAnsi="Arial" w:cs="Arial"/>
          <w:sz w:val="20"/>
          <w:szCs w:val="20"/>
          <w:lang w:val="en-US"/>
        </w:rPr>
        <w:t>394 g/cm³. Finally, SD, with 75% tricho-</w:t>
      </w:r>
      <w:r w:rsidRPr="006D5977">
        <w:rPr>
          <w:rFonts w:ascii="Arial" w:hAnsi="Arial" w:cs="Arial"/>
          <w:sz w:val="20"/>
          <w:szCs w:val="20"/>
          <w:lang w:val="en-US"/>
        </w:rPr>
        <w:lastRenderedPageBreak/>
        <w:t xml:space="preserve">compost and 25% rice husk biochar, and SA, composed of 100% tricho-compost, show the highest </w:t>
      </w:r>
      <w:r w:rsidR="00FF303F" w:rsidRPr="006D5977">
        <w:rPr>
          <w:rFonts w:ascii="Arial" w:hAnsi="Arial" w:cs="Arial"/>
          <w:sz w:val="20"/>
          <w:szCs w:val="20"/>
          <w:lang w:val="en-US"/>
        </w:rPr>
        <w:t>BD</w:t>
      </w:r>
      <w:r w:rsidRPr="006D5977">
        <w:rPr>
          <w:rFonts w:ascii="Arial" w:hAnsi="Arial" w:cs="Arial"/>
          <w:sz w:val="20"/>
          <w:szCs w:val="20"/>
          <w:lang w:val="en-US"/>
        </w:rPr>
        <w:t>, respectively 0</w:t>
      </w:r>
      <w:r w:rsidR="00FA2B4D" w:rsidRPr="006D5977">
        <w:rPr>
          <w:rFonts w:ascii="Arial" w:hAnsi="Arial" w:cs="Arial"/>
          <w:sz w:val="20"/>
          <w:szCs w:val="20"/>
          <w:lang w:val="en-US"/>
        </w:rPr>
        <w:t>,</w:t>
      </w:r>
      <w:r w:rsidRPr="006D5977">
        <w:rPr>
          <w:rFonts w:ascii="Arial" w:hAnsi="Arial" w:cs="Arial"/>
          <w:sz w:val="20"/>
          <w:szCs w:val="20"/>
          <w:lang w:val="en-US"/>
        </w:rPr>
        <w:t>610 g/cm³ and 0</w:t>
      </w:r>
      <w:r w:rsidR="00FA2B4D" w:rsidRPr="006D5977">
        <w:rPr>
          <w:rFonts w:ascii="Arial" w:hAnsi="Arial" w:cs="Arial"/>
          <w:sz w:val="20"/>
          <w:szCs w:val="20"/>
          <w:lang w:val="en-US"/>
        </w:rPr>
        <w:t>,</w:t>
      </w:r>
      <w:r w:rsidRPr="006D5977">
        <w:rPr>
          <w:rFonts w:ascii="Arial" w:hAnsi="Arial" w:cs="Arial"/>
          <w:sz w:val="20"/>
          <w:szCs w:val="20"/>
          <w:lang w:val="en-US"/>
        </w:rPr>
        <w:t>626 g/cm³, with no significant differences between them.</w:t>
      </w:r>
    </w:p>
    <w:p w:rsidR="00A007C0" w:rsidRPr="00D52DD0" w:rsidRDefault="00A007C0" w:rsidP="005D29FE">
      <w:pPr>
        <w:pStyle w:val="Heading3"/>
        <w:numPr>
          <w:ilvl w:val="2"/>
          <w:numId w:val="20"/>
        </w:numPr>
        <w:spacing w:line="240" w:lineRule="auto"/>
        <w:rPr>
          <w:rFonts w:ascii="Arial" w:hAnsi="Arial" w:cs="Arial"/>
          <w:sz w:val="20"/>
          <w:szCs w:val="20"/>
          <w:u w:val="single"/>
        </w:rPr>
      </w:pPr>
      <w:bookmarkStart w:id="20" w:name="_Toc208777021"/>
      <w:r w:rsidRPr="00D52DD0">
        <w:rPr>
          <w:rFonts w:ascii="Arial" w:hAnsi="Arial" w:cs="Arial"/>
          <w:sz w:val="20"/>
          <w:szCs w:val="20"/>
          <w:u w:val="single"/>
        </w:rPr>
        <w:t>Water retentioncapacity</w:t>
      </w:r>
      <w:bookmarkEnd w:id="20"/>
      <w:r w:rsidR="00E02D6D" w:rsidRPr="00D52DD0">
        <w:rPr>
          <w:rFonts w:ascii="Arial" w:hAnsi="Arial" w:cs="Arial"/>
          <w:sz w:val="20"/>
          <w:szCs w:val="20"/>
          <w:u w:val="single"/>
        </w:rPr>
        <w:t xml:space="preserve"> (WHC)</w:t>
      </w:r>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Pure Tricho-compost SA exhibits the lowest </w:t>
      </w:r>
      <w:r w:rsidR="008D0367" w:rsidRPr="006D5977">
        <w:rPr>
          <w:rFonts w:ascii="Arial" w:hAnsi="Arial" w:cs="Arial"/>
          <w:sz w:val="20"/>
          <w:szCs w:val="20"/>
          <w:lang w:val="en-US"/>
        </w:rPr>
        <w:t>WHC</w:t>
      </w:r>
      <w:r w:rsidRPr="006D5977">
        <w:rPr>
          <w:rFonts w:ascii="Arial" w:hAnsi="Arial" w:cs="Arial"/>
          <w:sz w:val="20"/>
          <w:szCs w:val="20"/>
          <w:lang w:val="en-US"/>
        </w:rPr>
        <w:t xml:space="preserve"> (48</w:t>
      </w:r>
      <w:r w:rsidR="00FA2B4D" w:rsidRPr="006D5977">
        <w:rPr>
          <w:rFonts w:ascii="Arial" w:hAnsi="Arial" w:cs="Arial"/>
          <w:sz w:val="20"/>
          <w:szCs w:val="20"/>
          <w:lang w:val="en-US"/>
        </w:rPr>
        <w:t>,</w:t>
      </w:r>
      <w:r w:rsidRPr="006D5977">
        <w:rPr>
          <w:rFonts w:ascii="Arial" w:hAnsi="Arial" w:cs="Arial"/>
          <w:sz w:val="20"/>
          <w:szCs w:val="20"/>
          <w:lang w:val="en-US"/>
        </w:rPr>
        <w:t>61%), while biochar BC shows the highest (56</w:t>
      </w:r>
      <w:r w:rsidR="00FA2B4D" w:rsidRPr="006D5977">
        <w:rPr>
          <w:rFonts w:ascii="Arial" w:hAnsi="Arial" w:cs="Arial"/>
          <w:sz w:val="20"/>
          <w:szCs w:val="20"/>
          <w:lang w:val="en-US"/>
        </w:rPr>
        <w:t>,</w:t>
      </w:r>
      <w:r w:rsidRPr="006D5977">
        <w:rPr>
          <w:rFonts w:ascii="Arial" w:hAnsi="Arial" w:cs="Arial"/>
          <w:sz w:val="20"/>
          <w:szCs w:val="20"/>
          <w:lang w:val="en-US"/>
        </w:rPr>
        <w:t>33%). Intermediate mixtures, SD, SC, and SB, follow with 51</w:t>
      </w:r>
      <w:r w:rsidR="00FA2B4D" w:rsidRPr="006D5977">
        <w:rPr>
          <w:rFonts w:ascii="Arial" w:hAnsi="Arial" w:cs="Arial"/>
          <w:sz w:val="20"/>
          <w:szCs w:val="20"/>
          <w:lang w:val="en-US"/>
        </w:rPr>
        <w:t>,</w:t>
      </w:r>
      <w:r w:rsidRPr="006D5977">
        <w:rPr>
          <w:rFonts w:ascii="Arial" w:hAnsi="Arial" w:cs="Arial"/>
          <w:sz w:val="20"/>
          <w:szCs w:val="20"/>
          <w:lang w:val="en-US"/>
        </w:rPr>
        <w:t>79%, 52</w:t>
      </w:r>
      <w:r w:rsidR="00FA2B4D" w:rsidRPr="006D5977">
        <w:rPr>
          <w:rFonts w:ascii="Arial" w:hAnsi="Arial" w:cs="Arial"/>
          <w:sz w:val="20"/>
          <w:szCs w:val="20"/>
          <w:lang w:val="en-US"/>
        </w:rPr>
        <w:t>,</w:t>
      </w:r>
      <w:r w:rsidRPr="006D5977">
        <w:rPr>
          <w:rFonts w:ascii="Arial" w:hAnsi="Arial" w:cs="Arial"/>
          <w:sz w:val="20"/>
          <w:szCs w:val="20"/>
          <w:lang w:val="en-US"/>
        </w:rPr>
        <w:t>27%, and 54</w:t>
      </w:r>
      <w:r w:rsidR="00FA2B4D" w:rsidRPr="006D5977">
        <w:rPr>
          <w:rFonts w:ascii="Arial" w:hAnsi="Arial" w:cs="Arial"/>
          <w:sz w:val="20"/>
          <w:szCs w:val="20"/>
          <w:lang w:val="en-US"/>
        </w:rPr>
        <w:t>,</w:t>
      </w:r>
      <w:r w:rsidRPr="006D5977">
        <w:rPr>
          <w:rFonts w:ascii="Arial" w:hAnsi="Arial" w:cs="Arial"/>
          <w:sz w:val="20"/>
          <w:szCs w:val="20"/>
          <w:lang w:val="en-US"/>
        </w:rPr>
        <w:t xml:space="preserve">15%, respectively. These results demonstrate that all mixtures containing biochar outperform pure Tricho-compost in terms of </w:t>
      </w:r>
      <w:r w:rsidR="00E02D6D" w:rsidRPr="006D5977">
        <w:rPr>
          <w:rFonts w:ascii="Arial" w:hAnsi="Arial" w:cs="Arial"/>
          <w:sz w:val="20"/>
          <w:szCs w:val="20"/>
          <w:lang w:val="en-US"/>
        </w:rPr>
        <w:t>WHC</w:t>
      </w:r>
      <w:r w:rsidRPr="006D5977">
        <w:rPr>
          <w:rFonts w:ascii="Arial" w:hAnsi="Arial" w:cs="Arial"/>
          <w:sz w:val="20"/>
          <w:szCs w:val="20"/>
          <w:lang w:val="en-US"/>
        </w:rPr>
        <w:t>.</w:t>
      </w:r>
    </w:p>
    <w:p w:rsidR="00A007C0" w:rsidRPr="00D52DD0" w:rsidRDefault="00E02D6D" w:rsidP="005D29FE">
      <w:pPr>
        <w:pStyle w:val="Heading3"/>
        <w:numPr>
          <w:ilvl w:val="2"/>
          <w:numId w:val="20"/>
        </w:numPr>
        <w:spacing w:line="240" w:lineRule="auto"/>
        <w:rPr>
          <w:rFonts w:ascii="Arial" w:hAnsi="Arial" w:cs="Arial"/>
          <w:sz w:val="20"/>
          <w:szCs w:val="20"/>
          <w:u w:val="single"/>
        </w:rPr>
      </w:pPr>
      <w:bookmarkStart w:id="21" w:name="_Toc208777022"/>
      <w:r w:rsidRPr="00D52DD0">
        <w:rPr>
          <w:rFonts w:ascii="Arial" w:hAnsi="Arial" w:cs="Arial"/>
          <w:sz w:val="20"/>
          <w:szCs w:val="20"/>
          <w:u w:val="single"/>
        </w:rPr>
        <w:t>Porosity</w:t>
      </w:r>
    </w:p>
    <w:p w:rsidR="00A007C0" w:rsidRPr="00D52DD0" w:rsidRDefault="00A007C0" w:rsidP="005D29FE">
      <w:pPr>
        <w:pStyle w:val="Heading4"/>
        <w:numPr>
          <w:ilvl w:val="3"/>
          <w:numId w:val="20"/>
        </w:numPr>
        <w:spacing w:line="240" w:lineRule="auto"/>
        <w:rPr>
          <w:rFonts w:cs="Arial"/>
          <w:b w:val="0"/>
          <w:bCs/>
          <w:sz w:val="20"/>
          <w:szCs w:val="20"/>
        </w:rPr>
      </w:pPr>
      <w:r w:rsidRPr="00D52DD0">
        <w:rPr>
          <w:rFonts w:cs="Arial"/>
          <w:b w:val="0"/>
          <w:bCs/>
          <w:sz w:val="20"/>
          <w:szCs w:val="20"/>
        </w:rPr>
        <w:t>Total porosity</w:t>
      </w:r>
      <w:bookmarkEnd w:id="21"/>
      <w:r w:rsidR="00E02D6D" w:rsidRPr="00D52DD0">
        <w:rPr>
          <w:rFonts w:cs="Arial"/>
          <w:b w:val="0"/>
          <w:bCs/>
          <w:sz w:val="20"/>
          <w:szCs w:val="20"/>
        </w:rPr>
        <w:t xml:space="preserve"> (TP)</w:t>
      </w:r>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Pure Tricho-compost has the lowest </w:t>
      </w:r>
      <w:r w:rsidR="00E02D6D" w:rsidRPr="006D5977">
        <w:rPr>
          <w:rFonts w:ascii="Arial" w:hAnsi="Arial" w:cs="Arial"/>
          <w:sz w:val="20"/>
          <w:szCs w:val="20"/>
          <w:lang w:val="en-US"/>
        </w:rPr>
        <w:t>TP</w:t>
      </w:r>
      <w:r w:rsidRPr="006D5977">
        <w:rPr>
          <w:rFonts w:ascii="Arial" w:hAnsi="Arial" w:cs="Arial"/>
          <w:sz w:val="20"/>
          <w:szCs w:val="20"/>
          <w:lang w:val="en-US"/>
        </w:rPr>
        <w:t xml:space="preserve"> (57%), while pure rice hull biochar has the highest. The following, from lowest to highest, are SD (62</w:t>
      </w:r>
      <w:r w:rsidR="00FA2B4D" w:rsidRPr="006D5977">
        <w:rPr>
          <w:rFonts w:ascii="Arial" w:hAnsi="Arial" w:cs="Arial"/>
          <w:sz w:val="20"/>
          <w:szCs w:val="20"/>
          <w:lang w:val="en-US"/>
        </w:rPr>
        <w:t>,</w:t>
      </w:r>
      <w:r w:rsidRPr="006D5977">
        <w:rPr>
          <w:rFonts w:ascii="Arial" w:hAnsi="Arial" w:cs="Arial"/>
          <w:sz w:val="20"/>
          <w:szCs w:val="20"/>
          <w:lang w:val="en-US"/>
        </w:rPr>
        <w:t>4%), SC (73</w:t>
      </w:r>
      <w:r w:rsidR="00FA2B4D" w:rsidRPr="006D5977">
        <w:rPr>
          <w:rFonts w:ascii="Arial" w:hAnsi="Arial" w:cs="Arial"/>
          <w:sz w:val="20"/>
          <w:szCs w:val="20"/>
          <w:lang w:val="en-US"/>
        </w:rPr>
        <w:t>,</w:t>
      </w:r>
      <w:r w:rsidRPr="006D5977">
        <w:rPr>
          <w:rFonts w:ascii="Arial" w:hAnsi="Arial" w:cs="Arial"/>
          <w:sz w:val="20"/>
          <w:szCs w:val="20"/>
          <w:lang w:val="en-US"/>
        </w:rPr>
        <w:t>5%), and SB (78</w:t>
      </w:r>
      <w:r w:rsidR="00FA2B4D" w:rsidRPr="006D5977">
        <w:rPr>
          <w:rFonts w:ascii="Arial" w:hAnsi="Arial" w:cs="Arial"/>
          <w:sz w:val="20"/>
          <w:szCs w:val="20"/>
          <w:lang w:val="en-US"/>
        </w:rPr>
        <w:t>,</w:t>
      </w:r>
      <w:r w:rsidRPr="006D5977">
        <w:rPr>
          <w:rFonts w:ascii="Arial" w:hAnsi="Arial" w:cs="Arial"/>
          <w:sz w:val="20"/>
          <w:szCs w:val="20"/>
          <w:lang w:val="en-US"/>
        </w:rPr>
        <w:t>9%).</w:t>
      </w:r>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 results demonstrate that biochar (BC) and the SB mixture exhibit </w:t>
      </w:r>
      <w:r w:rsidR="00E02D6D" w:rsidRPr="006D5977">
        <w:rPr>
          <w:rFonts w:ascii="Arial" w:hAnsi="Arial" w:cs="Arial"/>
          <w:sz w:val="20"/>
          <w:szCs w:val="20"/>
          <w:lang w:val="en-US"/>
        </w:rPr>
        <w:t>TP</w:t>
      </w:r>
      <w:r w:rsidRPr="006D5977">
        <w:rPr>
          <w:rFonts w:ascii="Arial" w:hAnsi="Arial" w:cs="Arial"/>
          <w:sz w:val="20"/>
          <w:szCs w:val="20"/>
          <w:lang w:val="en-US"/>
        </w:rPr>
        <w:t xml:space="preserve"> of 85</w:t>
      </w:r>
      <w:r w:rsidR="000401CA" w:rsidRPr="006D5977">
        <w:rPr>
          <w:rFonts w:ascii="Arial" w:hAnsi="Arial" w:cs="Arial"/>
          <w:sz w:val="20"/>
          <w:szCs w:val="20"/>
          <w:lang w:val="en-US"/>
        </w:rPr>
        <w:t>,</w:t>
      </w:r>
      <w:r w:rsidRPr="006D5977">
        <w:rPr>
          <w:rFonts w:ascii="Arial" w:hAnsi="Arial" w:cs="Arial"/>
          <w:sz w:val="20"/>
          <w:szCs w:val="20"/>
          <w:lang w:val="en-US"/>
        </w:rPr>
        <w:t>2% and 78</w:t>
      </w:r>
      <w:r w:rsidR="000401CA" w:rsidRPr="006D5977">
        <w:rPr>
          <w:rFonts w:ascii="Arial" w:hAnsi="Arial" w:cs="Arial"/>
          <w:sz w:val="20"/>
          <w:szCs w:val="20"/>
          <w:lang w:val="en-US"/>
        </w:rPr>
        <w:t>,</w:t>
      </w:r>
      <w:r w:rsidRPr="006D5977">
        <w:rPr>
          <w:rFonts w:ascii="Arial" w:hAnsi="Arial" w:cs="Arial"/>
          <w:sz w:val="20"/>
          <w:szCs w:val="20"/>
          <w:lang w:val="en-US"/>
        </w:rPr>
        <w:t xml:space="preserve">9%, respectively. Mixtures with a high proportion of tricho-compost, particularly SA and SD, show significantly lower </w:t>
      </w:r>
      <w:r w:rsidR="00E02D6D" w:rsidRPr="006D5977">
        <w:rPr>
          <w:rFonts w:ascii="Arial" w:hAnsi="Arial" w:cs="Arial"/>
          <w:sz w:val="20"/>
          <w:szCs w:val="20"/>
          <w:lang w:val="en-US"/>
        </w:rPr>
        <w:t>TP</w:t>
      </w:r>
      <w:r w:rsidRPr="006D5977">
        <w:rPr>
          <w:rFonts w:ascii="Arial" w:hAnsi="Arial" w:cs="Arial"/>
          <w:sz w:val="20"/>
          <w:szCs w:val="20"/>
          <w:lang w:val="en-US"/>
        </w:rPr>
        <w:t xml:space="preserve">, which could limit their use as a growing </w:t>
      </w:r>
      <w:r w:rsidR="00DD0456" w:rsidRPr="006D5977">
        <w:rPr>
          <w:rFonts w:ascii="Arial" w:hAnsi="Arial" w:cs="Arial"/>
          <w:sz w:val="20"/>
          <w:szCs w:val="20"/>
          <w:lang w:val="en-US"/>
        </w:rPr>
        <w:t>growing media</w:t>
      </w:r>
      <w:r w:rsidRPr="006D5977">
        <w:rPr>
          <w:rFonts w:ascii="Arial" w:hAnsi="Arial" w:cs="Arial"/>
          <w:sz w:val="20"/>
          <w:szCs w:val="20"/>
          <w:lang w:val="en-US"/>
        </w:rPr>
        <w:t>.</w:t>
      </w:r>
    </w:p>
    <w:p w:rsidR="00A007C0" w:rsidRPr="00D52DD0" w:rsidRDefault="00E02D6D" w:rsidP="005D29FE">
      <w:pPr>
        <w:pStyle w:val="Heading4"/>
        <w:numPr>
          <w:ilvl w:val="3"/>
          <w:numId w:val="20"/>
        </w:numPr>
        <w:spacing w:line="240" w:lineRule="auto"/>
        <w:rPr>
          <w:rFonts w:cs="Arial"/>
          <w:b w:val="0"/>
          <w:bCs/>
          <w:sz w:val="20"/>
          <w:szCs w:val="20"/>
        </w:rPr>
      </w:pPr>
      <w:bookmarkStart w:id="22" w:name="_Toc208777023"/>
      <w:r w:rsidRPr="00D52DD0">
        <w:rPr>
          <w:rFonts w:cs="Arial"/>
          <w:b w:val="0"/>
          <w:bCs/>
          <w:sz w:val="20"/>
          <w:szCs w:val="20"/>
        </w:rPr>
        <w:t>Air filledporosity (AFP)</w:t>
      </w:r>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 results show that rice hull biochar BC and the SB and SC mixtures exhibit </w:t>
      </w:r>
      <w:r w:rsidR="00E02D6D" w:rsidRPr="006D5977">
        <w:rPr>
          <w:rFonts w:ascii="Arial" w:hAnsi="Arial" w:cs="Arial"/>
          <w:sz w:val="20"/>
          <w:szCs w:val="20"/>
          <w:lang w:val="en-US"/>
        </w:rPr>
        <w:t>AFP</w:t>
      </w:r>
      <w:r w:rsidRPr="006D5977">
        <w:rPr>
          <w:rFonts w:ascii="Arial" w:hAnsi="Arial" w:cs="Arial"/>
          <w:sz w:val="20"/>
          <w:szCs w:val="20"/>
          <w:lang w:val="en-US"/>
        </w:rPr>
        <w:t xml:space="preserve"> of 29%, 25</w:t>
      </w:r>
      <w:r w:rsidR="000401CA" w:rsidRPr="006D5977">
        <w:rPr>
          <w:rFonts w:ascii="Arial" w:hAnsi="Arial" w:cs="Arial"/>
          <w:sz w:val="20"/>
          <w:szCs w:val="20"/>
          <w:lang w:val="en-US"/>
        </w:rPr>
        <w:t>,</w:t>
      </w:r>
      <w:r w:rsidRPr="006D5977">
        <w:rPr>
          <w:rFonts w:ascii="Arial" w:hAnsi="Arial" w:cs="Arial"/>
          <w:sz w:val="20"/>
          <w:szCs w:val="20"/>
          <w:lang w:val="en-US"/>
        </w:rPr>
        <w:t>70%, and 20</w:t>
      </w:r>
      <w:r w:rsidR="000401CA" w:rsidRPr="006D5977">
        <w:rPr>
          <w:rFonts w:ascii="Arial" w:hAnsi="Arial" w:cs="Arial"/>
          <w:sz w:val="20"/>
          <w:szCs w:val="20"/>
          <w:lang w:val="en-US"/>
        </w:rPr>
        <w:t>,</w:t>
      </w:r>
      <w:r w:rsidRPr="006D5977">
        <w:rPr>
          <w:rFonts w:ascii="Arial" w:hAnsi="Arial" w:cs="Arial"/>
          <w:sz w:val="20"/>
          <w:szCs w:val="20"/>
          <w:lang w:val="en-US"/>
        </w:rPr>
        <w:t xml:space="preserve">73%, respectively. The </w:t>
      </w:r>
      <w:r w:rsidR="00DD0456" w:rsidRPr="006D5977">
        <w:rPr>
          <w:rFonts w:ascii="Arial" w:hAnsi="Arial" w:cs="Arial"/>
          <w:sz w:val="20"/>
          <w:szCs w:val="20"/>
          <w:lang w:val="en-US"/>
        </w:rPr>
        <w:t>growing media</w:t>
      </w:r>
      <w:r w:rsidRPr="006D5977">
        <w:rPr>
          <w:rFonts w:ascii="Arial" w:hAnsi="Arial" w:cs="Arial"/>
          <w:sz w:val="20"/>
          <w:szCs w:val="20"/>
          <w:lang w:val="en-US"/>
        </w:rPr>
        <w:t>s with a high proportion of tricho-compost (SA and SD) show low porosities of 8</w:t>
      </w:r>
      <w:r w:rsidR="000401CA" w:rsidRPr="006D5977">
        <w:rPr>
          <w:rFonts w:ascii="Arial" w:hAnsi="Arial" w:cs="Arial"/>
          <w:sz w:val="20"/>
          <w:szCs w:val="20"/>
          <w:lang w:val="en-US"/>
        </w:rPr>
        <w:t>,</w:t>
      </w:r>
      <w:r w:rsidRPr="006D5977">
        <w:rPr>
          <w:rFonts w:ascii="Arial" w:hAnsi="Arial" w:cs="Arial"/>
          <w:sz w:val="20"/>
          <w:szCs w:val="20"/>
          <w:lang w:val="en-US"/>
        </w:rPr>
        <w:t>93% and 10</w:t>
      </w:r>
      <w:r w:rsidR="000401CA" w:rsidRPr="006D5977">
        <w:rPr>
          <w:rFonts w:ascii="Arial" w:hAnsi="Arial" w:cs="Arial"/>
          <w:sz w:val="20"/>
          <w:szCs w:val="20"/>
          <w:lang w:val="en-US"/>
        </w:rPr>
        <w:t>,</w:t>
      </w:r>
      <w:r w:rsidRPr="006D5977">
        <w:rPr>
          <w:rFonts w:ascii="Arial" w:hAnsi="Arial" w:cs="Arial"/>
          <w:sz w:val="20"/>
          <w:szCs w:val="20"/>
          <w:lang w:val="en-US"/>
        </w:rPr>
        <w:t>87%, which could create root aeration problems.</w:t>
      </w:r>
    </w:p>
    <w:p w:rsidR="00A007C0" w:rsidRPr="00D52DD0" w:rsidRDefault="00A007C0" w:rsidP="005D29FE">
      <w:pPr>
        <w:pStyle w:val="Heading2"/>
        <w:numPr>
          <w:ilvl w:val="1"/>
          <w:numId w:val="20"/>
        </w:numPr>
        <w:spacing w:line="240" w:lineRule="auto"/>
        <w:rPr>
          <w:rFonts w:ascii="Arial" w:hAnsi="Arial" w:cs="Arial"/>
          <w:sz w:val="22"/>
          <w:szCs w:val="22"/>
        </w:rPr>
      </w:pPr>
      <w:bookmarkStart w:id="23" w:name="_Toc208777024"/>
      <w:bookmarkEnd w:id="22"/>
      <w:r w:rsidRPr="00D52DD0">
        <w:rPr>
          <w:rFonts w:ascii="Arial" w:hAnsi="Arial" w:cs="Arial"/>
          <w:sz w:val="22"/>
          <w:szCs w:val="22"/>
        </w:rPr>
        <w:t>Chemical parameters</w:t>
      </w:r>
      <w:bookmarkEnd w:id="23"/>
    </w:p>
    <w:p w:rsidR="008250A7" w:rsidRPr="006D5977" w:rsidRDefault="008250A7" w:rsidP="005D29FE">
      <w:pPr>
        <w:spacing w:line="240" w:lineRule="auto"/>
        <w:jc w:val="both"/>
        <w:rPr>
          <w:rFonts w:ascii="Arial" w:hAnsi="Arial" w:cs="Arial"/>
          <w:sz w:val="20"/>
          <w:szCs w:val="20"/>
          <w:lang w:val="en-US"/>
        </w:rPr>
      </w:pPr>
      <w:r w:rsidRPr="006D5977">
        <w:rPr>
          <w:rFonts w:ascii="Arial" w:hAnsi="Arial" w:cs="Arial"/>
          <w:sz w:val="20"/>
          <w:szCs w:val="20"/>
          <w:lang w:val="en-US"/>
        </w:rPr>
        <w:t>The chemical parameters measured in this research, including pH, electrical conductivity, total nitrogen, phosphorus, potassium, total organic matter, and the sum of total nitrogen, phosphorus, and potassium levels, are recorded in Table 2.</w:t>
      </w:r>
    </w:p>
    <w:p w:rsidR="00A007C0" w:rsidRPr="006D5977" w:rsidRDefault="008250A7"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Analysis of variance (ANOVA) revealed a highly significant effect of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type (p &lt; 0.001) on all chemical parameters. Multiple comparisons using Tukey's post-hoc test allowed for the differentiation of performance groups between the various treatments.</w:t>
      </w:r>
    </w:p>
    <w:p w:rsidR="008250A7" w:rsidRPr="006D5977" w:rsidRDefault="00FF303F" w:rsidP="005D29FE">
      <w:pPr>
        <w:pStyle w:val="Caption"/>
        <w:keepNext/>
        <w:rPr>
          <w:rFonts w:ascii="Arial" w:hAnsi="Arial" w:cs="Arial"/>
          <w:i w:val="0"/>
          <w:iCs w:val="0"/>
          <w:sz w:val="20"/>
          <w:szCs w:val="20"/>
          <w:lang w:val="en-US"/>
        </w:rPr>
      </w:pPr>
      <w:r w:rsidRPr="006D5977">
        <w:rPr>
          <w:rFonts w:ascii="Arial" w:hAnsi="Arial" w:cs="Arial"/>
          <w:i w:val="0"/>
          <w:iCs w:val="0"/>
          <w:sz w:val="20"/>
          <w:szCs w:val="20"/>
          <w:lang w:val="en-US"/>
        </w:rPr>
        <w:t xml:space="preserve">Table </w:t>
      </w:r>
      <w:r w:rsidR="00F0347E" w:rsidRPr="006D5977">
        <w:rPr>
          <w:rFonts w:ascii="Arial" w:hAnsi="Arial" w:cs="Arial"/>
          <w:i w:val="0"/>
          <w:iCs w:val="0"/>
          <w:sz w:val="20"/>
          <w:szCs w:val="20"/>
        </w:rPr>
        <w:fldChar w:fldCharType="begin"/>
      </w:r>
      <w:r w:rsidR="00894176" w:rsidRPr="006D5977">
        <w:rPr>
          <w:rFonts w:ascii="Arial" w:hAnsi="Arial" w:cs="Arial"/>
          <w:i w:val="0"/>
          <w:iCs w:val="0"/>
          <w:sz w:val="20"/>
          <w:szCs w:val="20"/>
          <w:lang w:val="en-US"/>
        </w:rPr>
        <w:instrText xml:space="preserve"> SEQ Tableau \* ARABIC </w:instrText>
      </w:r>
      <w:r w:rsidR="00F0347E" w:rsidRPr="006D5977">
        <w:rPr>
          <w:rFonts w:ascii="Arial" w:hAnsi="Arial" w:cs="Arial"/>
          <w:i w:val="0"/>
          <w:iCs w:val="0"/>
          <w:sz w:val="20"/>
          <w:szCs w:val="20"/>
        </w:rPr>
        <w:fldChar w:fldCharType="separate"/>
      </w:r>
      <w:r w:rsidR="008250A7" w:rsidRPr="006D5977">
        <w:rPr>
          <w:rFonts w:ascii="Arial" w:hAnsi="Arial" w:cs="Arial"/>
          <w:i w:val="0"/>
          <w:iCs w:val="0"/>
          <w:noProof/>
          <w:sz w:val="20"/>
          <w:szCs w:val="20"/>
          <w:lang w:val="en-US"/>
        </w:rPr>
        <w:t>2</w:t>
      </w:r>
      <w:r w:rsidR="00F0347E" w:rsidRPr="006D5977">
        <w:rPr>
          <w:rFonts w:ascii="Arial" w:hAnsi="Arial" w:cs="Arial"/>
          <w:i w:val="0"/>
          <w:iCs w:val="0"/>
          <w:noProof/>
          <w:sz w:val="20"/>
          <w:szCs w:val="20"/>
        </w:rPr>
        <w:fldChar w:fldCharType="end"/>
      </w:r>
      <w:r w:rsidRPr="006D5977">
        <w:rPr>
          <w:rFonts w:ascii="Arial" w:hAnsi="Arial" w:cs="Arial"/>
          <w:i w:val="0"/>
          <w:iCs w:val="0"/>
          <w:noProof/>
          <w:sz w:val="20"/>
          <w:szCs w:val="20"/>
          <w:lang w:val="en-US"/>
        </w:rPr>
        <w:t xml:space="preserve"> : </w:t>
      </w:r>
      <w:r w:rsidR="008250A7" w:rsidRPr="006D5977">
        <w:rPr>
          <w:rFonts w:ascii="Arial" w:hAnsi="Arial" w:cs="Arial"/>
          <w:i w:val="0"/>
          <w:iCs w:val="0"/>
          <w:sz w:val="20"/>
          <w:szCs w:val="20"/>
          <w:lang w:val="en-US"/>
        </w:rPr>
        <w:t xml:space="preserve">Chemical properties of the different </w:t>
      </w:r>
      <w:r w:rsidR="00DD0456" w:rsidRPr="006D5977">
        <w:rPr>
          <w:rFonts w:ascii="Arial" w:hAnsi="Arial" w:cs="Arial"/>
          <w:i w:val="0"/>
          <w:iCs w:val="0"/>
          <w:sz w:val="20"/>
          <w:szCs w:val="20"/>
          <w:lang w:val="en-US"/>
        </w:rPr>
        <w:t>growing media</w:t>
      </w:r>
      <w:r w:rsidR="008250A7" w:rsidRPr="006D5977">
        <w:rPr>
          <w:rFonts w:ascii="Arial" w:hAnsi="Arial" w:cs="Arial"/>
          <w:i w:val="0"/>
          <w:iCs w:val="0"/>
          <w:sz w:val="20"/>
          <w:szCs w:val="20"/>
          <w:lang w:val="en-US"/>
        </w:rPr>
        <w:t>s</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94"/>
        <w:gridCol w:w="927"/>
        <w:gridCol w:w="1135"/>
        <w:gridCol w:w="1275"/>
        <w:gridCol w:w="1138"/>
        <w:gridCol w:w="874"/>
        <w:gridCol w:w="1194"/>
        <w:gridCol w:w="1194"/>
      </w:tblGrid>
      <w:tr w:rsidR="00A007C0" w:rsidRPr="006D5977" w:rsidTr="006B5B1C">
        <w:trPr>
          <w:trHeight w:val="288"/>
        </w:trPr>
        <w:tc>
          <w:tcPr>
            <w:tcW w:w="1194" w:type="dxa"/>
            <w:noWrap/>
            <w:vAlign w:val="center"/>
            <w:hideMark/>
          </w:tcPr>
          <w:p w:rsidR="00A007C0" w:rsidRPr="006D5977" w:rsidRDefault="00745423" w:rsidP="005D29FE">
            <w:pPr>
              <w:spacing w:after="0" w:line="240" w:lineRule="auto"/>
              <w:jc w:val="center"/>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Growing media</w:t>
            </w:r>
          </w:p>
        </w:tc>
        <w:tc>
          <w:tcPr>
            <w:tcW w:w="927" w:type="dxa"/>
            <w:noWrap/>
            <w:vAlign w:val="center"/>
            <w:hideMark/>
          </w:tcPr>
          <w:p w:rsidR="00A007C0" w:rsidRPr="006D5977" w:rsidRDefault="00A007C0" w:rsidP="005D29FE">
            <w:pPr>
              <w:spacing w:after="0" w:line="240" w:lineRule="auto"/>
              <w:jc w:val="center"/>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N (%)</w:t>
            </w:r>
          </w:p>
        </w:tc>
        <w:tc>
          <w:tcPr>
            <w:tcW w:w="1135" w:type="dxa"/>
            <w:noWrap/>
            <w:vAlign w:val="center"/>
            <w:hideMark/>
          </w:tcPr>
          <w:p w:rsidR="00A007C0" w:rsidRPr="006D5977" w:rsidRDefault="00A007C0" w:rsidP="005D29FE">
            <w:pPr>
              <w:spacing w:after="0" w:line="240" w:lineRule="auto"/>
              <w:jc w:val="center"/>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P</w:t>
            </w:r>
            <w:r w:rsidRPr="006D5977">
              <w:rPr>
                <w:rFonts w:ascii="Arial" w:eastAsia="Times New Roman" w:hAnsi="Arial" w:cs="Arial"/>
                <w:b/>
                <w:bCs/>
                <w:color w:val="000000"/>
                <w:sz w:val="20"/>
                <w:szCs w:val="20"/>
                <w:vertAlign w:val="subscript"/>
                <w:lang w:eastAsia="fr-FR"/>
              </w:rPr>
              <w:t>2</w:t>
            </w:r>
            <w:r w:rsidRPr="006D5977">
              <w:rPr>
                <w:rFonts w:ascii="Arial" w:eastAsia="Times New Roman" w:hAnsi="Arial" w:cs="Arial"/>
                <w:b/>
                <w:bCs/>
                <w:color w:val="000000"/>
                <w:sz w:val="20"/>
                <w:szCs w:val="20"/>
                <w:lang w:eastAsia="fr-FR"/>
              </w:rPr>
              <w:t>O</w:t>
            </w:r>
            <w:r w:rsidRPr="006D5977">
              <w:rPr>
                <w:rFonts w:ascii="Arial" w:eastAsia="Times New Roman" w:hAnsi="Arial" w:cs="Arial"/>
                <w:b/>
                <w:bCs/>
                <w:color w:val="000000"/>
                <w:sz w:val="20"/>
                <w:szCs w:val="20"/>
                <w:vertAlign w:val="subscript"/>
                <w:lang w:eastAsia="fr-FR"/>
              </w:rPr>
              <w:t>5</w:t>
            </w:r>
            <w:r w:rsidRPr="006D5977">
              <w:rPr>
                <w:rFonts w:ascii="Arial" w:eastAsia="Times New Roman" w:hAnsi="Arial" w:cs="Arial"/>
                <w:b/>
                <w:bCs/>
                <w:color w:val="000000"/>
                <w:sz w:val="20"/>
                <w:szCs w:val="20"/>
                <w:lang w:eastAsia="fr-FR"/>
              </w:rPr>
              <w:t xml:space="preserve"> (%)</w:t>
            </w:r>
          </w:p>
        </w:tc>
        <w:tc>
          <w:tcPr>
            <w:tcW w:w="1275" w:type="dxa"/>
            <w:noWrap/>
            <w:vAlign w:val="center"/>
            <w:hideMark/>
          </w:tcPr>
          <w:p w:rsidR="00A007C0" w:rsidRPr="006D5977" w:rsidRDefault="00A007C0" w:rsidP="005D29FE">
            <w:pPr>
              <w:spacing w:after="0" w:line="240" w:lineRule="auto"/>
              <w:jc w:val="center"/>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K</w:t>
            </w:r>
            <w:r w:rsidRPr="006D5977">
              <w:rPr>
                <w:rFonts w:ascii="Arial" w:eastAsia="Times New Roman" w:hAnsi="Arial" w:cs="Arial"/>
                <w:b/>
                <w:bCs/>
                <w:color w:val="000000"/>
                <w:sz w:val="20"/>
                <w:szCs w:val="20"/>
                <w:vertAlign w:val="subscript"/>
                <w:lang w:eastAsia="fr-FR"/>
              </w:rPr>
              <w:t>2</w:t>
            </w:r>
            <w:r w:rsidRPr="006D5977">
              <w:rPr>
                <w:rFonts w:ascii="Arial" w:eastAsia="Times New Roman" w:hAnsi="Arial" w:cs="Arial"/>
                <w:b/>
                <w:bCs/>
                <w:color w:val="000000"/>
                <w:sz w:val="20"/>
                <w:szCs w:val="20"/>
                <w:lang w:eastAsia="fr-FR"/>
              </w:rPr>
              <w:t>O (%)</w:t>
            </w:r>
          </w:p>
        </w:tc>
        <w:tc>
          <w:tcPr>
            <w:tcW w:w="1138" w:type="dxa"/>
            <w:noWrap/>
            <w:vAlign w:val="center"/>
            <w:hideMark/>
          </w:tcPr>
          <w:p w:rsidR="00A007C0" w:rsidRPr="006D5977" w:rsidRDefault="00A007C0" w:rsidP="005D29FE">
            <w:pPr>
              <w:spacing w:after="0" w:line="240" w:lineRule="auto"/>
              <w:jc w:val="center"/>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N + P</w:t>
            </w:r>
            <w:r w:rsidRPr="006D5977">
              <w:rPr>
                <w:rFonts w:ascii="Arial" w:eastAsia="Times New Roman" w:hAnsi="Arial" w:cs="Arial"/>
                <w:b/>
                <w:bCs/>
                <w:color w:val="000000"/>
                <w:sz w:val="20"/>
                <w:szCs w:val="20"/>
                <w:vertAlign w:val="subscript"/>
                <w:lang w:eastAsia="fr-FR"/>
              </w:rPr>
              <w:t>2</w:t>
            </w:r>
            <w:r w:rsidRPr="006D5977">
              <w:rPr>
                <w:rFonts w:ascii="Arial" w:eastAsia="Times New Roman" w:hAnsi="Arial" w:cs="Arial"/>
                <w:b/>
                <w:bCs/>
                <w:color w:val="000000"/>
                <w:sz w:val="20"/>
                <w:szCs w:val="20"/>
                <w:lang w:eastAsia="fr-FR"/>
              </w:rPr>
              <w:t>O</w:t>
            </w:r>
            <w:r w:rsidRPr="006D5977">
              <w:rPr>
                <w:rFonts w:ascii="Arial" w:eastAsia="Times New Roman" w:hAnsi="Arial" w:cs="Arial"/>
                <w:b/>
                <w:bCs/>
                <w:color w:val="000000"/>
                <w:sz w:val="20"/>
                <w:szCs w:val="20"/>
                <w:vertAlign w:val="subscript"/>
                <w:lang w:eastAsia="fr-FR"/>
              </w:rPr>
              <w:t>5</w:t>
            </w:r>
            <w:r w:rsidRPr="006D5977">
              <w:rPr>
                <w:rFonts w:ascii="Arial" w:eastAsia="Times New Roman" w:hAnsi="Arial" w:cs="Arial"/>
                <w:b/>
                <w:bCs/>
                <w:color w:val="000000"/>
                <w:sz w:val="20"/>
                <w:szCs w:val="20"/>
                <w:lang w:eastAsia="fr-FR"/>
              </w:rPr>
              <w:t xml:space="preserve"> + K</w:t>
            </w:r>
            <w:r w:rsidRPr="006D5977">
              <w:rPr>
                <w:rFonts w:ascii="Arial" w:eastAsia="Times New Roman" w:hAnsi="Arial" w:cs="Arial"/>
                <w:b/>
                <w:bCs/>
                <w:color w:val="000000"/>
                <w:sz w:val="20"/>
                <w:szCs w:val="20"/>
                <w:vertAlign w:val="subscript"/>
                <w:lang w:eastAsia="fr-FR"/>
              </w:rPr>
              <w:t>2</w:t>
            </w:r>
            <w:r w:rsidRPr="006D5977">
              <w:rPr>
                <w:rFonts w:ascii="Arial" w:eastAsia="Times New Roman" w:hAnsi="Arial" w:cs="Arial"/>
                <w:b/>
                <w:bCs/>
                <w:color w:val="000000"/>
                <w:sz w:val="20"/>
                <w:szCs w:val="20"/>
                <w:lang w:eastAsia="fr-FR"/>
              </w:rPr>
              <w:t>O (%)</w:t>
            </w:r>
          </w:p>
        </w:tc>
        <w:tc>
          <w:tcPr>
            <w:tcW w:w="874" w:type="dxa"/>
            <w:noWrap/>
            <w:vAlign w:val="center"/>
            <w:hideMark/>
          </w:tcPr>
          <w:p w:rsidR="00A007C0" w:rsidRPr="006D5977" w:rsidRDefault="00A007C0" w:rsidP="005D29FE">
            <w:pPr>
              <w:spacing w:after="0" w:line="240" w:lineRule="auto"/>
              <w:jc w:val="center"/>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pH</w:t>
            </w:r>
          </w:p>
        </w:tc>
        <w:tc>
          <w:tcPr>
            <w:tcW w:w="1194" w:type="dxa"/>
            <w:noWrap/>
            <w:vAlign w:val="center"/>
            <w:hideMark/>
          </w:tcPr>
          <w:p w:rsidR="00A007C0" w:rsidRPr="006D5977" w:rsidRDefault="00A007C0" w:rsidP="005D29FE">
            <w:pPr>
              <w:spacing w:after="0" w:line="240" w:lineRule="auto"/>
              <w:jc w:val="center"/>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CE (mS/cm)</w:t>
            </w:r>
          </w:p>
        </w:tc>
        <w:tc>
          <w:tcPr>
            <w:tcW w:w="1194" w:type="dxa"/>
          </w:tcPr>
          <w:p w:rsidR="00A007C0" w:rsidRPr="006D5977" w:rsidRDefault="00A007C0" w:rsidP="005D29FE">
            <w:pPr>
              <w:spacing w:after="0" w:line="240" w:lineRule="auto"/>
              <w:jc w:val="center"/>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MO (%)</w:t>
            </w:r>
          </w:p>
        </w:tc>
      </w:tr>
      <w:tr w:rsidR="00A007C0" w:rsidRPr="006D5977" w:rsidTr="002D7011">
        <w:trPr>
          <w:trHeight w:val="288"/>
        </w:trPr>
        <w:tc>
          <w:tcPr>
            <w:tcW w:w="1194" w:type="dxa"/>
            <w:noWrap/>
            <w:vAlign w:val="bottom"/>
          </w:tcPr>
          <w:p w:rsidR="00A007C0" w:rsidRPr="006D5977" w:rsidRDefault="00745423" w:rsidP="005D29FE">
            <w:pPr>
              <w:spacing w:after="0" w:line="240" w:lineRule="auto"/>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SA</w:t>
            </w:r>
          </w:p>
        </w:tc>
        <w:tc>
          <w:tcPr>
            <w:tcW w:w="927"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78d</w:t>
            </w:r>
          </w:p>
        </w:tc>
        <w:tc>
          <w:tcPr>
            <w:tcW w:w="1135"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0</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75a</w:t>
            </w:r>
          </w:p>
        </w:tc>
        <w:tc>
          <w:tcPr>
            <w:tcW w:w="1275"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0</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90a</w:t>
            </w:r>
          </w:p>
        </w:tc>
        <w:tc>
          <w:tcPr>
            <w:tcW w:w="1138"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3</w:t>
            </w:r>
            <w:r w:rsidR="00745423" w:rsidRPr="006D5977">
              <w:rPr>
                <w:rFonts w:ascii="Arial" w:hAnsi="Arial" w:cs="Arial"/>
                <w:color w:val="000000"/>
                <w:sz w:val="20"/>
                <w:szCs w:val="20"/>
              </w:rPr>
              <w:t>,</w:t>
            </w:r>
            <w:r w:rsidRPr="006D5977">
              <w:rPr>
                <w:rFonts w:ascii="Arial" w:hAnsi="Arial" w:cs="Arial"/>
                <w:color w:val="000000"/>
                <w:sz w:val="20"/>
                <w:szCs w:val="20"/>
              </w:rPr>
              <w:t>43a</w:t>
            </w:r>
          </w:p>
        </w:tc>
        <w:tc>
          <w:tcPr>
            <w:tcW w:w="874" w:type="dxa"/>
            <w:noWrap/>
            <w:vAlign w:val="bottom"/>
          </w:tcPr>
          <w:p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7</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61d</w:t>
            </w:r>
          </w:p>
        </w:tc>
        <w:tc>
          <w:tcPr>
            <w:tcW w:w="1194" w:type="dxa"/>
            <w:noWrap/>
            <w:vAlign w:val="bottom"/>
          </w:tcPr>
          <w:p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4a</w:t>
            </w:r>
          </w:p>
        </w:tc>
        <w:tc>
          <w:tcPr>
            <w:tcW w:w="1194" w:type="dxa"/>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45</w:t>
            </w:r>
            <w:r w:rsidR="00745423" w:rsidRPr="006D5977">
              <w:rPr>
                <w:rFonts w:ascii="Arial" w:hAnsi="Arial" w:cs="Arial"/>
                <w:color w:val="000000"/>
                <w:sz w:val="20"/>
                <w:szCs w:val="20"/>
              </w:rPr>
              <w:t>,</w:t>
            </w:r>
            <w:r w:rsidRPr="006D5977">
              <w:rPr>
                <w:rFonts w:ascii="Arial" w:hAnsi="Arial" w:cs="Arial"/>
                <w:color w:val="000000"/>
                <w:sz w:val="20"/>
                <w:szCs w:val="20"/>
              </w:rPr>
              <w:t>27d</w:t>
            </w:r>
          </w:p>
        </w:tc>
      </w:tr>
      <w:tr w:rsidR="00A007C0" w:rsidRPr="006D5977" w:rsidTr="002D7011">
        <w:trPr>
          <w:trHeight w:val="288"/>
        </w:trPr>
        <w:tc>
          <w:tcPr>
            <w:tcW w:w="1194" w:type="dxa"/>
            <w:noWrap/>
            <w:vAlign w:val="bottom"/>
          </w:tcPr>
          <w:p w:rsidR="00A007C0" w:rsidRPr="006D5977" w:rsidRDefault="00A007C0" w:rsidP="005D29FE">
            <w:pPr>
              <w:spacing w:after="0" w:line="240" w:lineRule="auto"/>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SB</w:t>
            </w:r>
          </w:p>
        </w:tc>
        <w:tc>
          <w:tcPr>
            <w:tcW w:w="927"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15b</w:t>
            </w:r>
          </w:p>
        </w:tc>
        <w:tc>
          <w:tcPr>
            <w:tcW w:w="1135"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0</w:t>
            </w:r>
            <w:r w:rsidR="00745423" w:rsidRPr="006D5977">
              <w:rPr>
                <w:rFonts w:ascii="Arial" w:hAnsi="Arial" w:cs="Arial"/>
                <w:color w:val="000000"/>
                <w:sz w:val="20"/>
                <w:szCs w:val="20"/>
              </w:rPr>
              <w:t>,</w:t>
            </w:r>
            <w:r w:rsidRPr="006D5977">
              <w:rPr>
                <w:rFonts w:ascii="Arial" w:hAnsi="Arial" w:cs="Arial"/>
                <w:color w:val="000000"/>
                <w:sz w:val="20"/>
                <w:szCs w:val="20"/>
              </w:rPr>
              <w:t>46bc</w:t>
            </w:r>
          </w:p>
        </w:tc>
        <w:tc>
          <w:tcPr>
            <w:tcW w:w="1275"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60c</w:t>
            </w:r>
          </w:p>
        </w:tc>
        <w:tc>
          <w:tcPr>
            <w:tcW w:w="1138"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3</w:t>
            </w:r>
            <w:r w:rsidR="00745423" w:rsidRPr="006D5977">
              <w:rPr>
                <w:rFonts w:ascii="Arial" w:hAnsi="Arial" w:cs="Arial"/>
                <w:color w:val="000000"/>
                <w:sz w:val="20"/>
                <w:szCs w:val="20"/>
              </w:rPr>
              <w:t>,</w:t>
            </w:r>
            <w:r w:rsidRPr="006D5977">
              <w:rPr>
                <w:rFonts w:ascii="Arial" w:hAnsi="Arial" w:cs="Arial"/>
                <w:color w:val="000000"/>
                <w:sz w:val="20"/>
                <w:szCs w:val="20"/>
              </w:rPr>
              <w:t>21b</w:t>
            </w:r>
          </w:p>
        </w:tc>
        <w:tc>
          <w:tcPr>
            <w:tcW w:w="874" w:type="dxa"/>
            <w:noWrap/>
            <w:vAlign w:val="bottom"/>
          </w:tcPr>
          <w:p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8</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31b</w:t>
            </w:r>
          </w:p>
        </w:tc>
        <w:tc>
          <w:tcPr>
            <w:tcW w:w="1194" w:type="dxa"/>
            <w:noWrap/>
            <w:vAlign w:val="bottom"/>
          </w:tcPr>
          <w:p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58d</w:t>
            </w:r>
          </w:p>
        </w:tc>
        <w:tc>
          <w:tcPr>
            <w:tcW w:w="1194" w:type="dxa"/>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53</w:t>
            </w:r>
            <w:r w:rsidR="00745423" w:rsidRPr="006D5977">
              <w:rPr>
                <w:rFonts w:ascii="Arial" w:hAnsi="Arial" w:cs="Arial"/>
                <w:color w:val="000000"/>
                <w:sz w:val="20"/>
                <w:szCs w:val="20"/>
              </w:rPr>
              <w:t>,</w:t>
            </w:r>
            <w:r w:rsidRPr="006D5977">
              <w:rPr>
                <w:rFonts w:ascii="Arial" w:hAnsi="Arial" w:cs="Arial"/>
                <w:color w:val="000000"/>
                <w:sz w:val="20"/>
                <w:szCs w:val="20"/>
              </w:rPr>
              <w:t>41b</w:t>
            </w:r>
          </w:p>
        </w:tc>
      </w:tr>
      <w:tr w:rsidR="00A007C0" w:rsidRPr="006D5977" w:rsidTr="002D7011">
        <w:trPr>
          <w:trHeight w:val="288"/>
        </w:trPr>
        <w:tc>
          <w:tcPr>
            <w:tcW w:w="1194" w:type="dxa"/>
            <w:noWrap/>
            <w:vAlign w:val="bottom"/>
          </w:tcPr>
          <w:p w:rsidR="00A007C0" w:rsidRPr="006D5977" w:rsidRDefault="00A007C0" w:rsidP="005D29FE">
            <w:pPr>
              <w:spacing w:after="0" w:line="240" w:lineRule="auto"/>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SC</w:t>
            </w:r>
          </w:p>
        </w:tc>
        <w:tc>
          <w:tcPr>
            <w:tcW w:w="927"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36c</w:t>
            </w:r>
          </w:p>
        </w:tc>
        <w:tc>
          <w:tcPr>
            <w:tcW w:w="1135"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0</w:t>
            </w:r>
            <w:r w:rsidR="00745423" w:rsidRPr="006D5977">
              <w:rPr>
                <w:rFonts w:ascii="Arial" w:hAnsi="Arial" w:cs="Arial"/>
                <w:color w:val="000000"/>
                <w:sz w:val="20"/>
                <w:szCs w:val="20"/>
              </w:rPr>
              <w:t>,</w:t>
            </w:r>
            <w:r w:rsidRPr="006D5977">
              <w:rPr>
                <w:rFonts w:ascii="Arial" w:hAnsi="Arial" w:cs="Arial"/>
                <w:color w:val="000000"/>
                <w:sz w:val="20"/>
                <w:szCs w:val="20"/>
              </w:rPr>
              <w:t>51ab</w:t>
            </w:r>
          </w:p>
        </w:tc>
        <w:tc>
          <w:tcPr>
            <w:tcW w:w="1275"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56c</w:t>
            </w:r>
          </w:p>
        </w:tc>
        <w:tc>
          <w:tcPr>
            <w:tcW w:w="1138"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3</w:t>
            </w:r>
            <w:r w:rsidR="00745423" w:rsidRPr="006D5977">
              <w:rPr>
                <w:rFonts w:ascii="Arial" w:hAnsi="Arial" w:cs="Arial"/>
                <w:color w:val="000000"/>
                <w:sz w:val="20"/>
                <w:szCs w:val="20"/>
              </w:rPr>
              <w:t>,</w:t>
            </w:r>
            <w:r w:rsidRPr="006D5977">
              <w:rPr>
                <w:rFonts w:ascii="Arial" w:hAnsi="Arial" w:cs="Arial"/>
                <w:color w:val="000000"/>
                <w:sz w:val="20"/>
                <w:szCs w:val="20"/>
              </w:rPr>
              <w:t>43a</w:t>
            </w:r>
          </w:p>
        </w:tc>
        <w:tc>
          <w:tcPr>
            <w:tcW w:w="874" w:type="dxa"/>
            <w:noWrap/>
            <w:vAlign w:val="bottom"/>
          </w:tcPr>
          <w:p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7</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90c</w:t>
            </w:r>
          </w:p>
        </w:tc>
        <w:tc>
          <w:tcPr>
            <w:tcW w:w="1194" w:type="dxa"/>
            <w:noWrap/>
            <w:vAlign w:val="bottom"/>
          </w:tcPr>
          <w:p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2</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45c</w:t>
            </w:r>
          </w:p>
        </w:tc>
        <w:tc>
          <w:tcPr>
            <w:tcW w:w="1194" w:type="dxa"/>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42</w:t>
            </w:r>
            <w:r w:rsidR="00745423" w:rsidRPr="006D5977">
              <w:rPr>
                <w:rFonts w:ascii="Arial" w:hAnsi="Arial" w:cs="Arial"/>
                <w:color w:val="000000"/>
                <w:sz w:val="20"/>
                <w:szCs w:val="20"/>
              </w:rPr>
              <w:t>,</w:t>
            </w:r>
            <w:r w:rsidRPr="006D5977">
              <w:rPr>
                <w:rFonts w:ascii="Arial" w:hAnsi="Arial" w:cs="Arial"/>
                <w:color w:val="000000"/>
                <w:sz w:val="20"/>
                <w:szCs w:val="20"/>
              </w:rPr>
              <w:t>26d</w:t>
            </w:r>
          </w:p>
        </w:tc>
      </w:tr>
      <w:tr w:rsidR="00A007C0" w:rsidRPr="006D5977" w:rsidTr="002D7011">
        <w:trPr>
          <w:trHeight w:val="288"/>
        </w:trPr>
        <w:tc>
          <w:tcPr>
            <w:tcW w:w="1194" w:type="dxa"/>
            <w:noWrap/>
            <w:vAlign w:val="bottom"/>
          </w:tcPr>
          <w:p w:rsidR="00A007C0" w:rsidRPr="006D5977" w:rsidRDefault="00A007C0" w:rsidP="005D29FE">
            <w:pPr>
              <w:spacing w:after="0" w:line="240" w:lineRule="auto"/>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SD</w:t>
            </w:r>
          </w:p>
        </w:tc>
        <w:tc>
          <w:tcPr>
            <w:tcW w:w="927"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38c</w:t>
            </w:r>
          </w:p>
        </w:tc>
        <w:tc>
          <w:tcPr>
            <w:tcW w:w="1135"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0</w:t>
            </w:r>
            <w:r w:rsidR="00745423" w:rsidRPr="006D5977">
              <w:rPr>
                <w:rFonts w:ascii="Arial" w:hAnsi="Arial" w:cs="Arial"/>
                <w:color w:val="000000"/>
                <w:sz w:val="20"/>
                <w:szCs w:val="20"/>
              </w:rPr>
              <w:t>,</w:t>
            </w:r>
            <w:r w:rsidRPr="006D5977">
              <w:rPr>
                <w:rFonts w:ascii="Arial" w:hAnsi="Arial" w:cs="Arial"/>
                <w:color w:val="000000"/>
                <w:sz w:val="20"/>
                <w:szCs w:val="20"/>
              </w:rPr>
              <w:t>66ab</w:t>
            </w:r>
          </w:p>
        </w:tc>
        <w:tc>
          <w:tcPr>
            <w:tcW w:w="1275"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26b</w:t>
            </w:r>
          </w:p>
        </w:tc>
        <w:tc>
          <w:tcPr>
            <w:tcW w:w="1138"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3</w:t>
            </w:r>
            <w:r w:rsidR="00745423" w:rsidRPr="006D5977">
              <w:rPr>
                <w:rFonts w:ascii="Arial" w:hAnsi="Arial" w:cs="Arial"/>
                <w:color w:val="000000"/>
                <w:sz w:val="20"/>
                <w:szCs w:val="20"/>
              </w:rPr>
              <w:t>,</w:t>
            </w:r>
            <w:r w:rsidRPr="006D5977">
              <w:rPr>
                <w:rFonts w:ascii="Arial" w:hAnsi="Arial" w:cs="Arial"/>
                <w:color w:val="000000"/>
                <w:sz w:val="20"/>
                <w:szCs w:val="20"/>
              </w:rPr>
              <w:t>31ab</w:t>
            </w:r>
          </w:p>
        </w:tc>
        <w:tc>
          <w:tcPr>
            <w:tcW w:w="874" w:type="dxa"/>
            <w:noWrap/>
            <w:vAlign w:val="bottom"/>
          </w:tcPr>
          <w:p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7</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70d</w:t>
            </w:r>
          </w:p>
        </w:tc>
        <w:tc>
          <w:tcPr>
            <w:tcW w:w="1194" w:type="dxa"/>
            <w:noWrap/>
            <w:vAlign w:val="bottom"/>
          </w:tcPr>
          <w:p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3</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31b</w:t>
            </w:r>
          </w:p>
        </w:tc>
        <w:tc>
          <w:tcPr>
            <w:tcW w:w="1194" w:type="dxa"/>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48</w:t>
            </w:r>
            <w:r w:rsidR="00745423" w:rsidRPr="006D5977">
              <w:rPr>
                <w:rFonts w:ascii="Arial" w:hAnsi="Arial" w:cs="Arial"/>
                <w:color w:val="000000"/>
                <w:sz w:val="20"/>
                <w:szCs w:val="20"/>
              </w:rPr>
              <w:t>,</w:t>
            </w:r>
            <w:r w:rsidRPr="006D5977">
              <w:rPr>
                <w:rFonts w:ascii="Arial" w:hAnsi="Arial" w:cs="Arial"/>
                <w:color w:val="000000"/>
                <w:sz w:val="20"/>
                <w:szCs w:val="20"/>
              </w:rPr>
              <w:t>77c</w:t>
            </w:r>
          </w:p>
        </w:tc>
      </w:tr>
      <w:tr w:rsidR="00A007C0" w:rsidRPr="006D5977" w:rsidTr="006B5B1C">
        <w:trPr>
          <w:trHeight w:val="288"/>
        </w:trPr>
        <w:tc>
          <w:tcPr>
            <w:tcW w:w="1194" w:type="dxa"/>
            <w:noWrap/>
            <w:vAlign w:val="bottom"/>
          </w:tcPr>
          <w:p w:rsidR="00A007C0" w:rsidRPr="006D5977" w:rsidRDefault="00A007C0" w:rsidP="005D29FE">
            <w:pPr>
              <w:spacing w:after="0" w:line="240" w:lineRule="auto"/>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BC</w:t>
            </w:r>
          </w:p>
        </w:tc>
        <w:tc>
          <w:tcPr>
            <w:tcW w:w="927"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0</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72a</w:t>
            </w:r>
          </w:p>
        </w:tc>
        <w:tc>
          <w:tcPr>
            <w:tcW w:w="1135"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0</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37c</w:t>
            </w:r>
          </w:p>
        </w:tc>
        <w:tc>
          <w:tcPr>
            <w:tcW w:w="1275"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2</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18d</w:t>
            </w:r>
          </w:p>
        </w:tc>
        <w:tc>
          <w:tcPr>
            <w:tcW w:w="1138" w:type="dxa"/>
            <w:noWrap/>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2</w:t>
            </w:r>
            <w:r w:rsidR="00745423" w:rsidRPr="006D5977">
              <w:rPr>
                <w:rFonts w:ascii="Arial" w:hAnsi="Arial" w:cs="Arial"/>
                <w:color w:val="000000"/>
                <w:sz w:val="20"/>
                <w:szCs w:val="20"/>
              </w:rPr>
              <w:t>,</w:t>
            </w:r>
            <w:r w:rsidRPr="006D5977">
              <w:rPr>
                <w:rFonts w:ascii="Arial" w:hAnsi="Arial" w:cs="Arial"/>
                <w:color w:val="000000"/>
                <w:sz w:val="20"/>
                <w:szCs w:val="20"/>
              </w:rPr>
              <w:t>87c</w:t>
            </w:r>
          </w:p>
        </w:tc>
        <w:tc>
          <w:tcPr>
            <w:tcW w:w="874" w:type="dxa"/>
            <w:noWrap/>
            <w:vAlign w:val="bottom"/>
          </w:tcPr>
          <w:p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8</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67a</w:t>
            </w:r>
          </w:p>
        </w:tc>
        <w:tc>
          <w:tcPr>
            <w:tcW w:w="1194" w:type="dxa"/>
            <w:noWrap/>
            <w:vAlign w:val="bottom"/>
          </w:tcPr>
          <w:p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0</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6e</w:t>
            </w:r>
          </w:p>
        </w:tc>
        <w:tc>
          <w:tcPr>
            <w:tcW w:w="1194" w:type="dxa"/>
            <w:vAlign w:val="bottom"/>
          </w:tcPr>
          <w:p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58</w:t>
            </w:r>
            <w:r w:rsidR="00745423" w:rsidRPr="006D5977">
              <w:rPr>
                <w:rFonts w:ascii="Arial" w:hAnsi="Arial" w:cs="Arial"/>
                <w:color w:val="000000"/>
                <w:sz w:val="20"/>
                <w:szCs w:val="20"/>
              </w:rPr>
              <w:t>,</w:t>
            </w:r>
            <w:r w:rsidRPr="006D5977">
              <w:rPr>
                <w:rFonts w:ascii="Arial" w:hAnsi="Arial" w:cs="Arial"/>
                <w:color w:val="000000"/>
                <w:sz w:val="20"/>
                <w:szCs w:val="20"/>
              </w:rPr>
              <w:t>87a</w:t>
            </w:r>
          </w:p>
        </w:tc>
      </w:tr>
    </w:tbl>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MO: Organic Matter. EC: Electrical Conductivity. N: Total Nitrogen. P</w:t>
      </w:r>
      <w:r w:rsidRPr="006D5977">
        <w:rPr>
          <w:rFonts w:ascii="Cambria Math" w:hAnsi="Cambria Math" w:cs="Cambria Math"/>
          <w:sz w:val="20"/>
          <w:szCs w:val="20"/>
          <w:lang w:val="en-US"/>
        </w:rPr>
        <w:t>₂</w:t>
      </w:r>
      <w:r w:rsidRPr="006D5977">
        <w:rPr>
          <w:rFonts w:ascii="Arial" w:hAnsi="Arial" w:cs="Arial"/>
          <w:sz w:val="20"/>
          <w:szCs w:val="20"/>
          <w:lang w:val="en-US"/>
        </w:rPr>
        <w:t>O</w:t>
      </w:r>
      <w:r w:rsidRPr="006D5977">
        <w:rPr>
          <w:rFonts w:ascii="Cambria Math" w:hAnsi="Cambria Math" w:cs="Cambria Math"/>
          <w:sz w:val="20"/>
          <w:szCs w:val="20"/>
          <w:lang w:val="en-US"/>
        </w:rPr>
        <w:t>₅</w:t>
      </w:r>
      <w:r w:rsidRPr="006D5977">
        <w:rPr>
          <w:rFonts w:ascii="Arial" w:hAnsi="Arial" w:cs="Arial"/>
          <w:sz w:val="20"/>
          <w:szCs w:val="20"/>
          <w:lang w:val="en-US"/>
        </w:rPr>
        <w:t>: Phosphorus. K</w:t>
      </w:r>
      <w:r w:rsidRPr="006D5977">
        <w:rPr>
          <w:rFonts w:ascii="Cambria Math" w:hAnsi="Cambria Math" w:cs="Cambria Math"/>
          <w:sz w:val="20"/>
          <w:szCs w:val="20"/>
          <w:lang w:val="en-US"/>
        </w:rPr>
        <w:t>₂</w:t>
      </w:r>
      <w:r w:rsidRPr="006D5977">
        <w:rPr>
          <w:rFonts w:ascii="Arial" w:hAnsi="Arial" w:cs="Arial"/>
          <w:sz w:val="20"/>
          <w:szCs w:val="20"/>
          <w:lang w:val="en-US"/>
        </w:rPr>
        <w:t>O: Potassium. Values ​​followed by similar letters in the same column are not significantly different at P = 0</w:t>
      </w:r>
      <w:r w:rsidR="003751B7" w:rsidRPr="006D5977">
        <w:rPr>
          <w:rFonts w:ascii="Arial" w:hAnsi="Arial" w:cs="Arial"/>
          <w:sz w:val="20"/>
          <w:szCs w:val="20"/>
          <w:lang w:val="en-US"/>
        </w:rPr>
        <w:t>,</w:t>
      </w:r>
      <w:r w:rsidRPr="006D5977">
        <w:rPr>
          <w:rFonts w:ascii="Arial" w:hAnsi="Arial" w:cs="Arial"/>
          <w:sz w:val="20"/>
          <w:szCs w:val="20"/>
          <w:lang w:val="en-US"/>
        </w:rPr>
        <w:t>05.</w:t>
      </w:r>
    </w:p>
    <w:p w:rsidR="00A007C0" w:rsidRPr="00D52DD0" w:rsidRDefault="00A007C0" w:rsidP="005D29FE">
      <w:pPr>
        <w:pStyle w:val="Heading3"/>
        <w:numPr>
          <w:ilvl w:val="2"/>
          <w:numId w:val="20"/>
        </w:numPr>
        <w:spacing w:line="240" w:lineRule="auto"/>
        <w:rPr>
          <w:rFonts w:ascii="Arial" w:hAnsi="Arial" w:cs="Arial"/>
          <w:sz w:val="20"/>
          <w:szCs w:val="20"/>
          <w:u w:val="single"/>
        </w:rPr>
      </w:pPr>
      <w:r w:rsidRPr="00D52DD0">
        <w:rPr>
          <w:rFonts w:ascii="Arial" w:hAnsi="Arial" w:cs="Arial"/>
          <w:sz w:val="20"/>
          <w:szCs w:val="20"/>
          <w:u w:val="single"/>
        </w:rPr>
        <w:t>pH</w:t>
      </w:r>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The results show four distinct and significantly different groups: BC (8</w:t>
      </w:r>
      <w:r w:rsidR="009E2AE8" w:rsidRPr="006D5977">
        <w:rPr>
          <w:rFonts w:ascii="Arial" w:hAnsi="Arial" w:cs="Arial"/>
          <w:sz w:val="20"/>
          <w:szCs w:val="20"/>
          <w:lang w:val="en-US"/>
        </w:rPr>
        <w:t>,</w:t>
      </w:r>
      <w:r w:rsidRPr="006D5977">
        <w:rPr>
          <w:rFonts w:ascii="Arial" w:hAnsi="Arial" w:cs="Arial"/>
          <w:sz w:val="20"/>
          <w:szCs w:val="20"/>
          <w:lang w:val="en-US"/>
        </w:rPr>
        <w:t>67) &gt; SB (8</w:t>
      </w:r>
      <w:r w:rsidR="009E2AE8" w:rsidRPr="006D5977">
        <w:rPr>
          <w:rFonts w:ascii="Arial" w:hAnsi="Arial" w:cs="Arial"/>
          <w:sz w:val="20"/>
          <w:szCs w:val="20"/>
          <w:lang w:val="en-US"/>
        </w:rPr>
        <w:t>,</w:t>
      </w:r>
      <w:r w:rsidRPr="006D5977">
        <w:rPr>
          <w:rFonts w:ascii="Arial" w:hAnsi="Arial" w:cs="Arial"/>
          <w:sz w:val="20"/>
          <w:szCs w:val="20"/>
          <w:lang w:val="en-US"/>
        </w:rPr>
        <w:t>31) &gt; SC (7</w:t>
      </w:r>
      <w:r w:rsidR="009E2AE8" w:rsidRPr="006D5977">
        <w:rPr>
          <w:rFonts w:ascii="Arial" w:hAnsi="Arial" w:cs="Arial"/>
          <w:sz w:val="20"/>
          <w:szCs w:val="20"/>
          <w:lang w:val="en-US"/>
        </w:rPr>
        <w:t>,</w:t>
      </w:r>
      <w:r w:rsidRPr="006D5977">
        <w:rPr>
          <w:rFonts w:ascii="Arial" w:hAnsi="Arial" w:cs="Arial"/>
          <w:sz w:val="20"/>
          <w:szCs w:val="20"/>
          <w:lang w:val="en-US"/>
        </w:rPr>
        <w:t>90) &gt; SD (7</w:t>
      </w:r>
      <w:r w:rsidR="009E2AE8" w:rsidRPr="006D5977">
        <w:rPr>
          <w:rFonts w:ascii="Arial" w:hAnsi="Arial" w:cs="Arial"/>
          <w:sz w:val="20"/>
          <w:szCs w:val="20"/>
          <w:lang w:val="en-US"/>
        </w:rPr>
        <w:t>,</w:t>
      </w:r>
      <w:r w:rsidRPr="006D5977">
        <w:rPr>
          <w:rFonts w:ascii="Arial" w:hAnsi="Arial" w:cs="Arial"/>
          <w:sz w:val="20"/>
          <w:szCs w:val="20"/>
          <w:lang w:val="en-US"/>
        </w:rPr>
        <w:t>70) &gt; SA (7</w:t>
      </w:r>
      <w:r w:rsidR="009E2AE8" w:rsidRPr="006D5977">
        <w:rPr>
          <w:rFonts w:ascii="Arial" w:hAnsi="Arial" w:cs="Arial"/>
          <w:sz w:val="20"/>
          <w:szCs w:val="20"/>
          <w:lang w:val="en-US"/>
        </w:rPr>
        <w:t>,</w:t>
      </w:r>
      <w:r w:rsidRPr="006D5977">
        <w:rPr>
          <w:rFonts w:ascii="Arial" w:hAnsi="Arial" w:cs="Arial"/>
          <w:sz w:val="20"/>
          <w:szCs w:val="20"/>
          <w:lang w:val="en-US"/>
        </w:rPr>
        <w:t xml:space="preserve">61). No significant difference was noted between SA and SD. </w:t>
      </w:r>
      <w:r w:rsidR="003751B7" w:rsidRPr="006D5977">
        <w:rPr>
          <w:rFonts w:ascii="Arial" w:hAnsi="Arial" w:cs="Arial"/>
          <w:sz w:val="20"/>
          <w:szCs w:val="20"/>
          <w:lang w:val="en-US"/>
        </w:rPr>
        <w:t>R</w:t>
      </w:r>
      <w:r w:rsidRPr="006D5977">
        <w:rPr>
          <w:rFonts w:ascii="Arial" w:hAnsi="Arial" w:cs="Arial"/>
          <w:sz w:val="20"/>
          <w:szCs w:val="20"/>
          <w:lang w:val="en-US"/>
        </w:rPr>
        <w:t>ice hu</w:t>
      </w:r>
      <w:r w:rsidR="003751B7" w:rsidRPr="006D5977">
        <w:rPr>
          <w:rFonts w:ascii="Arial" w:hAnsi="Arial" w:cs="Arial"/>
          <w:sz w:val="20"/>
          <w:szCs w:val="20"/>
          <w:lang w:val="en-US"/>
        </w:rPr>
        <w:t>sk</w:t>
      </w:r>
      <w:r w:rsidRPr="006D5977">
        <w:rPr>
          <w:rFonts w:ascii="Arial" w:hAnsi="Arial" w:cs="Arial"/>
          <w:sz w:val="20"/>
          <w:szCs w:val="20"/>
          <w:lang w:val="en-US"/>
        </w:rPr>
        <w:t xml:space="preserve"> biochar </w:t>
      </w:r>
      <w:r w:rsidR="003751B7" w:rsidRPr="006D5977">
        <w:rPr>
          <w:rFonts w:ascii="Arial" w:hAnsi="Arial" w:cs="Arial"/>
          <w:sz w:val="20"/>
          <w:szCs w:val="20"/>
          <w:lang w:val="en-US"/>
        </w:rPr>
        <w:t>noted the highest pH</w:t>
      </w:r>
      <w:r w:rsidR="00DD0456" w:rsidRPr="006D5977">
        <w:rPr>
          <w:rFonts w:ascii="Arial" w:hAnsi="Arial" w:cs="Arial"/>
          <w:sz w:val="20"/>
          <w:szCs w:val="20"/>
          <w:lang w:val="en-US"/>
        </w:rPr>
        <w:t>.</w:t>
      </w:r>
    </w:p>
    <w:p w:rsidR="00A007C0" w:rsidRPr="00D52DD0" w:rsidRDefault="00A007C0" w:rsidP="005D29FE">
      <w:pPr>
        <w:pStyle w:val="Heading3"/>
        <w:numPr>
          <w:ilvl w:val="2"/>
          <w:numId w:val="20"/>
        </w:numPr>
        <w:spacing w:line="240" w:lineRule="auto"/>
        <w:rPr>
          <w:rFonts w:ascii="Arial" w:hAnsi="Arial" w:cs="Arial"/>
          <w:sz w:val="20"/>
          <w:szCs w:val="20"/>
          <w:u w:val="single"/>
        </w:rPr>
      </w:pPr>
      <w:r w:rsidRPr="00D52DD0">
        <w:rPr>
          <w:rFonts w:ascii="Arial" w:hAnsi="Arial" w:cs="Arial"/>
          <w:sz w:val="20"/>
          <w:szCs w:val="20"/>
          <w:u w:val="single"/>
        </w:rPr>
        <w:lastRenderedPageBreak/>
        <w:t>Electricalconductivity</w:t>
      </w:r>
    </w:p>
    <w:p w:rsidR="00A007C0" w:rsidRPr="006D5977" w:rsidRDefault="00DD0456" w:rsidP="005D29FE">
      <w:pPr>
        <w:spacing w:line="240" w:lineRule="auto"/>
        <w:jc w:val="both"/>
        <w:rPr>
          <w:rFonts w:ascii="Arial" w:hAnsi="Arial" w:cs="Arial"/>
          <w:sz w:val="20"/>
          <w:szCs w:val="20"/>
          <w:lang w:val="en-US"/>
        </w:rPr>
      </w:pPr>
      <w:r w:rsidRPr="006D5977">
        <w:rPr>
          <w:rFonts w:ascii="Arial" w:hAnsi="Arial" w:cs="Arial"/>
          <w:sz w:val="20"/>
          <w:szCs w:val="20"/>
          <w:lang w:val="en-US"/>
        </w:rPr>
        <w:t>Growing media</w:t>
      </w:r>
      <w:r w:rsidR="002547F3" w:rsidRPr="006D5977">
        <w:rPr>
          <w:rFonts w:ascii="Arial" w:hAnsi="Arial" w:cs="Arial"/>
          <w:sz w:val="20"/>
          <w:szCs w:val="20"/>
          <w:lang w:val="en-US"/>
        </w:rPr>
        <w:t xml:space="preserve"> SA exhibits the highest electrical conductivity (</w:t>
      </w:r>
      <w:r w:rsidRPr="006D5977">
        <w:rPr>
          <w:rFonts w:ascii="Arial" w:hAnsi="Arial" w:cs="Arial"/>
          <w:sz w:val="20"/>
          <w:szCs w:val="20"/>
          <w:lang w:val="en-US"/>
        </w:rPr>
        <w:t>3,97</w:t>
      </w:r>
      <w:r w:rsidR="002547F3" w:rsidRPr="006D5977">
        <w:rPr>
          <w:rFonts w:ascii="Arial" w:hAnsi="Arial" w:cs="Arial"/>
          <w:sz w:val="20"/>
          <w:szCs w:val="20"/>
          <w:lang w:val="en-US"/>
        </w:rPr>
        <w:t xml:space="preserve"> mS/cm), significantly different from the other </w:t>
      </w:r>
      <w:r w:rsidRPr="006D5977">
        <w:rPr>
          <w:rFonts w:ascii="Arial" w:hAnsi="Arial" w:cs="Arial"/>
          <w:sz w:val="20"/>
          <w:szCs w:val="20"/>
          <w:lang w:val="en-US"/>
        </w:rPr>
        <w:t>growing media</w:t>
      </w:r>
      <w:r w:rsidR="002547F3" w:rsidRPr="006D5977">
        <w:rPr>
          <w:rFonts w:ascii="Arial" w:hAnsi="Arial" w:cs="Arial"/>
          <w:sz w:val="20"/>
          <w:szCs w:val="20"/>
          <w:lang w:val="en-US"/>
        </w:rPr>
        <w:t>s. It is followed by SD (3</w:t>
      </w:r>
      <w:r w:rsidRPr="006D5977">
        <w:rPr>
          <w:rFonts w:ascii="Arial" w:hAnsi="Arial" w:cs="Arial"/>
          <w:sz w:val="20"/>
          <w:szCs w:val="20"/>
          <w:lang w:val="en-US"/>
        </w:rPr>
        <w:t>,</w:t>
      </w:r>
      <w:r w:rsidR="002547F3" w:rsidRPr="006D5977">
        <w:rPr>
          <w:rFonts w:ascii="Arial" w:hAnsi="Arial" w:cs="Arial"/>
          <w:sz w:val="20"/>
          <w:szCs w:val="20"/>
          <w:lang w:val="en-US"/>
        </w:rPr>
        <w:t>31 mS/cm), SC (2</w:t>
      </w:r>
      <w:r w:rsidRPr="006D5977">
        <w:rPr>
          <w:rFonts w:ascii="Arial" w:hAnsi="Arial" w:cs="Arial"/>
          <w:sz w:val="20"/>
          <w:szCs w:val="20"/>
          <w:lang w:val="en-US"/>
        </w:rPr>
        <w:t>,</w:t>
      </w:r>
      <w:r w:rsidR="002547F3" w:rsidRPr="006D5977">
        <w:rPr>
          <w:rFonts w:ascii="Arial" w:hAnsi="Arial" w:cs="Arial"/>
          <w:sz w:val="20"/>
          <w:szCs w:val="20"/>
          <w:lang w:val="en-US"/>
        </w:rPr>
        <w:t>45 mS/cm), and SB (1</w:t>
      </w:r>
      <w:r w:rsidRPr="006D5977">
        <w:rPr>
          <w:rFonts w:ascii="Arial" w:hAnsi="Arial" w:cs="Arial"/>
          <w:sz w:val="20"/>
          <w:szCs w:val="20"/>
          <w:lang w:val="en-US"/>
        </w:rPr>
        <w:t>,</w:t>
      </w:r>
      <w:r w:rsidR="002547F3" w:rsidRPr="006D5977">
        <w:rPr>
          <w:rFonts w:ascii="Arial" w:hAnsi="Arial" w:cs="Arial"/>
          <w:sz w:val="20"/>
          <w:szCs w:val="20"/>
          <w:lang w:val="en-US"/>
        </w:rPr>
        <w:t xml:space="preserve">58 mS/cm). </w:t>
      </w:r>
      <w:r w:rsidRPr="006D5977">
        <w:rPr>
          <w:rFonts w:ascii="Arial" w:hAnsi="Arial" w:cs="Arial"/>
          <w:sz w:val="20"/>
          <w:szCs w:val="20"/>
          <w:lang w:val="en-US"/>
        </w:rPr>
        <w:t>Growing media</w:t>
      </w:r>
      <w:r w:rsidR="002547F3" w:rsidRPr="006D5977">
        <w:rPr>
          <w:rFonts w:ascii="Arial" w:hAnsi="Arial" w:cs="Arial"/>
          <w:sz w:val="20"/>
          <w:szCs w:val="20"/>
          <w:lang w:val="en-US"/>
        </w:rPr>
        <w:t xml:space="preserve"> BC displays the lowest electrical conductivity (0</w:t>
      </w:r>
      <w:r w:rsidR="009E2AE8" w:rsidRPr="006D5977">
        <w:rPr>
          <w:rFonts w:ascii="Arial" w:hAnsi="Arial" w:cs="Arial"/>
          <w:sz w:val="20"/>
          <w:szCs w:val="20"/>
          <w:lang w:val="en-US"/>
        </w:rPr>
        <w:t>,</w:t>
      </w:r>
      <w:r w:rsidR="002547F3" w:rsidRPr="006D5977">
        <w:rPr>
          <w:rFonts w:ascii="Arial" w:hAnsi="Arial" w:cs="Arial"/>
          <w:sz w:val="20"/>
          <w:szCs w:val="20"/>
          <w:lang w:val="en-US"/>
        </w:rPr>
        <w:t>6 mS/cm). Mixtures with a high rice hull biochar content exhibit the lowest electrical conductivity (EC).</w:t>
      </w:r>
    </w:p>
    <w:p w:rsidR="00A007C0" w:rsidRPr="00D52DD0" w:rsidRDefault="00A007C0" w:rsidP="005D29FE">
      <w:pPr>
        <w:pStyle w:val="Heading3"/>
        <w:numPr>
          <w:ilvl w:val="2"/>
          <w:numId w:val="20"/>
        </w:numPr>
        <w:spacing w:line="240" w:lineRule="auto"/>
        <w:rPr>
          <w:rFonts w:ascii="Arial" w:hAnsi="Arial" w:cs="Arial"/>
          <w:sz w:val="20"/>
          <w:szCs w:val="20"/>
          <w:u w:val="single"/>
        </w:rPr>
      </w:pPr>
      <w:r w:rsidRPr="00D52DD0">
        <w:rPr>
          <w:rFonts w:ascii="Arial" w:hAnsi="Arial" w:cs="Arial"/>
          <w:sz w:val="20"/>
          <w:szCs w:val="20"/>
          <w:u w:val="single"/>
        </w:rPr>
        <w:t>Organicmatter</w:t>
      </w:r>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 results show that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BC has the highest organic matter content (58.87%), significantly different from all other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s. It is followed by SB (53.41%) and SC (48.77%). </w:t>
      </w:r>
      <w:r w:rsidR="00DD0456" w:rsidRPr="006D5977">
        <w:rPr>
          <w:rFonts w:ascii="Arial" w:hAnsi="Arial" w:cs="Arial"/>
          <w:sz w:val="20"/>
          <w:szCs w:val="20"/>
          <w:lang w:val="en-US"/>
        </w:rPr>
        <w:t>Growing media</w:t>
      </w:r>
      <w:r w:rsidRPr="006D5977">
        <w:rPr>
          <w:rFonts w:ascii="Arial" w:hAnsi="Arial" w:cs="Arial"/>
          <w:sz w:val="20"/>
          <w:szCs w:val="20"/>
          <w:lang w:val="en-US"/>
        </w:rPr>
        <w:t>s SA (43.67%) and SD (42.26%) have the lowest organic matter content.</w:t>
      </w:r>
    </w:p>
    <w:p w:rsidR="00A007C0" w:rsidRPr="00D52DD0" w:rsidRDefault="00A007C0" w:rsidP="005D29FE">
      <w:pPr>
        <w:pStyle w:val="Heading3"/>
        <w:numPr>
          <w:ilvl w:val="2"/>
          <w:numId w:val="20"/>
        </w:numPr>
        <w:spacing w:line="240" w:lineRule="auto"/>
        <w:rPr>
          <w:rFonts w:ascii="Arial" w:hAnsi="Arial" w:cs="Arial"/>
          <w:sz w:val="20"/>
          <w:szCs w:val="20"/>
          <w:u w:val="single"/>
        </w:rPr>
      </w:pPr>
      <w:r w:rsidRPr="00D52DD0">
        <w:rPr>
          <w:rFonts w:ascii="Arial" w:hAnsi="Arial" w:cs="Arial"/>
          <w:sz w:val="20"/>
          <w:szCs w:val="20"/>
          <w:u w:val="single"/>
        </w:rPr>
        <w:t>Total nitrogen</w:t>
      </w:r>
    </w:p>
    <w:p w:rsidR="00A007C0" w:rsidRPr="006D5977" w:rsidRDefault="00DD0456" w:rsidP="005D29FE">
      <w:pPr>
        <w:spacing w:line="240" w:lineRule="auto"/>
        <w:jc w:val="both"/>
        <w:rPr>
          <w:rFonts w:ascii="Arial" w:hAnsi="Arial" w:cs="Arial"/>
          <w:sz w:val="20"/>
          <w:szCs w:val="20"/>
          <w:lang w:val="en-US"/>
        </w:rPr>
      </w:pPr>
      <w:r w:rsidRPr="006D5977">
        <w:rPr>
          <w:rFonts w:ascii="Arial" w:hAnsi="Arial" w:cs="Arial"/>
          <w:sz w:val="20"/>
          <w:szCs w:val="20"/>
          <w:lang w:val="en-US"/>
        </w:rPr>
        <w:t>Growing media</w:t>
      </w:r>
      <w:r w:rsidR="00A007C0" w:rsidRPr="006D5977">
        <w:rPr>
          <w:rFonts w:ascii="Arial" w:hAnsi="Arial" w:cs="Arial"/>
          <w:sz w:val="20"/>
          <w:szCs w:val="20"/>
          <w:lang w:val="en-US"/>
        </w:rPr>
        <w:t xml:space="preserve"> BC has the lowest total nitrogen content (0</w:t>
      </w:r>
      <w:r w:rsidR="00495B27" w:rsidRPr="006D5977">
        <w:rPr>
          <w:rFonts w:ascii="Arial" w:hAnsi="Arial" w:cs="Arial"/>
          <w:sz w:val="20"/>
          <w:szCs w:val="20"/>
          <w:lang w:val="en-US"/>
        </w:rPr>
        <w:t>,</w:t>
      </w:r>
      <w:r w:rsidR="00A007C0" w:rsidRPr="006D5977">
        <w:rPr>
          <w:rFonts w:ascii="Arial" w:hAnsi="Arial" w:cs="Arial"/>
          <w:sz w:val="20"/>
          <w:szCs w:val="20"/>
          <w:lang w:val="en-US"/>
        </w:rPr>
        <w:t xml:space="preserve">72%), significantly lower than all other </w:t>
      </w:r>
      <w:r w:rsidRPr="006D5977">
        <w:rPr>
          <w:rFonts w:ascii="Arial" w:hAnsi="Arial" w:cs="Arial"/>
          <w:sz w:val="20"/>
          <w:szCs w:val="20"/>
          <w:lang w:val="en-US"/>
        </w:rPr>
        <w:t>growing media</w:t>
      </w:r>
      <w:r w:rsidR="00A007C0" w:rsidRPr="006D5977">
        <w:rPr>
          <w:rFonts w:ascii="Arial" w:hAnsi="Arial" w:cs="Arial"/>
          <w:sz w:val="20"/>
          <w:szCs w:val="20"/>
          <w:lang w:val="en-US"/>
        </w:rPr>
        <w:t>s, while SA has the highest nitrogen content (1</w:t>
      </w:r>
      <w:r w:rsidR="00495B27" w:rsidRPr="006D5977">
        <w:rPr>
          <w:rFonts w:ascii="Arial" w:hAnsi="Arial" w:cs="Arial"/>
          <w:sz w:val="20"/>
          <w:szCs w:val="20"/>
          <w:lang w:val="en-US"/>
        </w:rPr>
        <w:t>,</w:t>
      </w:r>
      <w:r w:rsidR="00A007C0" w:rsidRPr="006D5977">
        <w:rPr>
          <w:rFonts w:ascii="Arial" w:hAnsi="Arial" w:cs="Arial"/>
          <w:sz w:val="20"/>
          <w:szCs w:val="20"/>
          <w:lang w:val="en-US"/>
        </w:rPr>
        <w:t>78%).</w:t>
      </w:r>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SB (1</w:t>
      </w:r>
      <w:r w:rsidR="00495B27" w:rsidRPr="006D5977">
        <w:rPr>
          <w:rFonts w:ascii="Arial" w:hAnsi="Arial" w:cs="Arial"/>
          <w:sz w:val="20"/>
          <w:szCs w:val="20"/>
          <w:lang w:val="en-US"/>
        </w:rPr>
        <w:t>,</w:t>
      </w:r>
      <w:r w:rsidRPr="006D5977">
        <w:rPr>
          <w:rFonts w:ascii="Arial" w:hAnsi="Arial" w:cs="Arial"/>
          <w:sz w:val="20"/>
          <w:szCs w:val="20"/>
          <w:lang w:val="en-US"/>
        </w:rPr>
        <w:t>15%), SC (1</w:t>
      </w:r>
      <w:r w:rsidR="00495B27" w:rsidRPr="006D5977">
        <w:rPr>
          <w:rFonts w:ascii="Arial" w:hAnsi="Arial" w:cs="Arial"/>
          <w:sz w:val="20"/>
          <w:szCs w:val="20"/>
          <w:lang w:val="en-US"/>
        </w:rPr>
        <w:t>,</w:t>
      </w:r>
      <w:r w:rsidRPr="006D5977">
        <w:rPr>
          <w:rFonts w:ascii="Arial" w:hAnsi="Arial" w:cs="Arial"/>
          <w:sz w:val="20"/>
          <w:szCs w:val="20"/>
          <w:lang w:val="en-US"/>
        </w:rPr>
        <w:t>36%) and SD (1</w:t>
      </w:r>
      <w:r w:rsidR="00495B27" w:rsidRPr="006D5977">
        <w:rPr>
          <w:rFonts w:ascii="Arial" w:hAnsi="Arial" w:cs="Arial"/>
          <w:sz w:val="20"/>
          <w:szCs w:val="20"/>
          <w:lang w:val="en-US"/>
        </w:rPr>
        <w:t>,</w:t>
      </w:r>
      <w:r w:rsidRPr="006D5977">
        <w:rPr>
          <w:rFonts w:ascii="Arial" w:hAnsi="Arial" w:cs="Arial"/>
          <w:sz w:val="20"/>
          <w:szCs w:val="20"/>
          <w:lang w:val="en-US"/>
        </w:rPr>
        <w:t xml:space="preserve">38%) show total nitrogen levels that decrease with increasing levels of rice hull biochar in the </w:t>
      </w:r>
      <w:r w:rsidR="00DD0456" w:rsidRPr="006D5977">
        <w:rPr>
          <w:rFonts w:ascii="Arial" w:hAnsi="Arial" w:cs="Arial"/>
          <w:sz w:val="20"/>
          <w:szCs w:val="20"/>
          <w:lang w:val="en-US"/>
        </w:rPr>
        <w:t>growing media</w:t>
      </w:r>
      <w:r w:rsidRPr="006D5977">
        <w:rPr>
          <w:rFonts w:ascii="Arial" w:hAnsi="Arial" w:cs="Arial"/>
          <w:sz w:val="20"/>
          <w:szCs w:val="20"/>
          <w:lang w:val="en-US"/>
        </w:rPr>
        <w:t>.</w:t>
      </w:r>
    </w:p>
    <w:p w:rsidR="00A007C0" w:rsidRPr="00D52DD0" w:rsidRDefault="00A007C0" w:rsidP="005D29FE">
      <w:pPr>
        <w:pStyle w:val="Heading3"/>
        <w:numPr>
          <w:ilvl w:val="2"/>
          <w:numId w:val="20"/>
        </w:numPr>
        <w:spacing w:line="240" w:lineRule="auto"/>
        <w:rPr>
          <w:rFonts w:ascii="Arial" w:hAnsi="Arial" w:cs="Arial"/>
          <w:sz w:val="20"/>
          <w:szCs w:val="20"/>
          <w:u w:val="single"/>
        </w:rPr>
      </w:pPr>
      <w:r w:rsidRPr="00D52DD0">
        <w:rPr>
          <w:rFonts w:ascii="Arial" w:hAnsi="Arial" w:cs="Arial"/>
          <w:sz w:val="20"/>
          <w:szCs w:val="20"/>
          <w:u w:val="single"/>
        </w:rPr>
        <w:t>Phosphorus</w:t>
      </w:r>
    </w:p>
    <w:p w:rsidR="00A007C0" w:rsidRPr="006D5977" w:rsidRDefault="00405823" w:rsidP="005D29FE">
      <w:pPr>
        <w:spacing w:line="240" w:lineRule="auto"/>
        <w:jc w:val="both"/>
        <w:rPr>
          <w:rFonts w:ascii="Arial" w:hAnsi="Arial" w:cs="Arial"/>
          <w:sz w:val="20"/>
          <w:szCs w:val="20"/>
          <w:lang w:val="en-US"/>
        </w:rPr>
      </w:pPr>
      <w:r w:rsidRPr="006D5977">
        <w:rPr>
          <w:rFonts w:ascii="Arial" w:hAnsi="Arial" w:cs="Arial"/>
          <w:sz w:val="20"/>
          <w:szCs w:val="20"/>
          <w:lang w:val="en-US"/>
        </w:rPr>
        <w:t>The SA mixture has the highest phosphorus content (0</w:t>
      </w:r>
      <w:r w:rsidR="00495B27" w:rsidRPr="006D5977">
        <w:rPr>
          <w:rFonts w:ascii="Arial" w:hAnsi="Arial" w:cs="Arial"/>
          <w:sz w:val="20"/>
          <w:szCs w:val="20"/>
          <w:lang w:val="en-US"/>
        </w:rPr>
        <w:t>,</w:t>
      </w:r>
      <w:r w:rsidRPr="006D5977">
        <w:rPr>
          <w:rFonts w:ascii="Arial" w:hAnsi="Arial" w:cs="Arial"/>
          <w:sz w:val="20"/>
          <w:szCs w:val="20"/>
          <w:lang w:val="en-US"/>
        </w:rPr>
        <w:t xml:space="preserve">75%), followed by SD and SC. Pure rice </w:t>
      </w:r>
      <w:r w:rsidR="00495B27" w:rsidRPr="006D5977">
        <w:rPr>
          <w:rFonts w:ascii="Arial" w:hAnsi="Arial" w:cs="Arial"/>
          <w:sz w:val="20"/>
          <w:szCs w:val="20"/>
          <w:lang w:val="en-US"/>
        </w:rPr>
        <w:t>husk</w:t>
      </w:r>
      <w:r w:rsidRPr="006D5977">
        <w:rPr>
          <w:rFonts w:ascii="Arial" w:hAnsi="Arial" w:cs="Arial"/>
          <w:sz w:val="20"/>
          <w:szCs w:val="20"/>
          <w:lang w:val="en-US"/>
        </w:rPr>
        <w:t xml:space="preserve"> biochar shows the lowest content (0</w:t>
      </w:r>
      <w:r w:rsidR="00495B27" w:rsidRPr="006D5977">
        <w:rPr>
          <w:rFonts w:ascii="Arial" w:hAnsi="Arial" w:cs="Arial"/>
          <w:sz w:val="20"/>
          <w:szCs w:val="20"/>
          <w:lang w:val="en-US"/>
        </w:rPr>
        <w:t>,</w:t>
      </w:r>
      <w:r w:rsidRPr="006D5977">
        <w:rPr>
          <w:rFonts w:ascii="Arial" w:hAnsi="Arial" w:cs="Arial"/>
          <w:sz w:val="20"/>
          <w:szCs w:val="20"/>
          <w:lang w:val="en-US"/>
        </w:rPr>
        <w:t>37%), while SB has an intermediate value.</w:t>
      </w:r>
    </w:p>
    <w:p w:rsidR="00A007C0" w:rsidRPr="00D52DD0" w:rsidRDefault="00A007C0" w:rsidP="005D29FE">
      <w:pPr>
        <w:pStyle w:val="Heading3"/>
        <w:numPr>
          <w:ilvl w:val="2"/>
          <w:numId w:val="20"/>
        </w:numPr>
        <w:spacing w:line="240" w:lineRule="auto"/>
        <w:rPr>
          <w:rFonts w:ascii="Arial" w:hAnsi="Arial" w:cs="Arial"/>
          <w:sz w:val="20"/>
          <w:szCs w:val="20"/>
          <w:u w:val="single"/>
        </w:rPr>
      </w:pPr>
      <w:r w:rsidRPr="00D52DD0">
        <w:rPr>
          <w:rFonts w:ascii="Arial" w:hAnsi="Arial" w:cs="Arial"/>
          <w:sz w:val="20"/>
          <w:szCs w:val="20"/>
          <w:u w:val="single"/>
        </w:rPr>
        <w:t>Potassium</w:t>
      </w:r>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Contrary to the trend observed for nitrogen and phosphorus, potassium content increases with the proportion of rice hull biochar. Pure rice hu</w:t>
      </w:r>
      <w:r w:rsidR="00495B27" w:rsidRPr="006D5977">
        <w:rPr>
          <w:rFonts w:ascii="Arial" w:hAnsi="Arial" w:cs="Arial"/>
          <w:sz w:val="20"/>
          <w:szCs w:val="20"/>
          <w:lang w:val="en-US"/>
        </w:rPr>
        <w:t>sk</w:t>
      </w:r>
      <w:r w:rsidRPr="006D5977">
        <w:rPr>
          <w:rFonts w:ascii="Arial" w:hAnsi="Arial" w:cs="Arial"/>
          <w:sz w:val="20"/>
          <w:szCs w:val="20"/>
          <w:lang w:val="en-US"/>
        </w:rPr>
        <w:t xml:space="preserve"> biochar (FB) has the highest content (2</w:t>
      </w:r>
      <w:r w:rsidR="00495B27" w:rsidRPr="006D5977">
        <w:rPr>
          <w:rFonts w:ascii="Arial" w:hAnsi="Arial" w:cs="Arial"/>
          <w:sz w:val="20"/>
          <w:szCs w:val="20"/>
          <w:lang w:val="en-US"/>
        </w:rPr>
        <w:t>,</w:t>
      </w:r>
      <w:r w:rsidRPr="006D5977">
        <w:rPr>
          <w:rFonts w:ascii="Arial" w:hAnsi="Arial" w:cs="Arial"/>
          <w:sz w:val="20"/>
          <w:szCs w:val="20"/>
          <w:lang w:val="en-US"/>
        </w:rPr>
        <w:t>18%), while pure tricho-compost (TC) has the lowest content (0</w:t>
      </w:r>
      <w:r w:rsidR="00495B27" w:rsidRPr="006D5977">
        <w:rPr>
          <w:rFonts w:ascii="Arial" w:hAnsi="Arial" w:cs="Arial"/>
          <w:sz w:val="20"/>
          <w:szCs w:val="20"/>
          <w:lang w:val="en-US"/>
        </w:rPr>
        <w:t>,</w:t>
      </w:r>
      <w:r w:rsidRPr="006D5977">
        <w:rPr>
          <w:rFonts w:ascii="Arial" w:hAnsi="Arial" w:cs="Arial"/>
          <w:sz w:val="20"/>
          <w:szCs w:val="20"/>
          <w:lang w:val="en-US"/>
        </w:rPr>
        <w:t>90%).</w:t>
      </w:r>
    </w:p>
    <w:p w:rsidR="00740F38" w:rsidRPr="00D52DD0" w:rsidRDefault="00740F38" w:rsidP="005D29FE">
      <w:pPr>
        <w:pStyle w:val="ListParagraph"/>
        <w:numPr>
          <w:ilvl w:val="2"/>
          <w:numId w:val="20"/>
        </w:numPr>
        <w:spacing w:line="240" w:lineRule="auto"/>
        <w:jc w:val="both"/>
        <w:rPr>
          <w:rFonts w:ascii="Arial" w:hAnsi="Arial" w:cs="Arial"/>
          <w:b/>
          <w:sz w:val="20"/>
          <w:szCs w:val="20"/>
          <w:u w:val="single"/>
        </w:rPr>
      </w:pPr>
      <w:r w:rsidRPr="00D52DD0">
        <w:rPr>
          <w:rFonts w:ascii="Arial" w:hAnsi="Arial" w:cs="Arial"/>
          <w:b/>
          <w:sz w:val="20"/>
          <w:szCs w:val="20"/>
          <w:u w:val="single"/>
        </w:rPr>
        <w:t>N+ P</w:t>
      </w:r>
      <w:r w:rsidRPr="00D52DD0">
        <w:rPr>
          <w:rFonts w:ascii="Arial" w:hAnsi="Arial" w:cs="Arial"/>
          <w:b/>
          <w:sz w:val="20"/>
          <w:szCs w:val="20"/>
          <w:u w:val="single"/>
          <w:vertAlign w:val="subscript"/>
        </w:rPr>
        <w:t>2</w:t>
      </w:r>
      <w:r w:rsidRPr="00D52DD0">
        <w:rPr>
          <w:rFonts w:ascii="Arial" w:hAnsi="Arial" w:cs="Arial"/>
          <w:b/>
          <w:sz w:val="20"/>
          <w:szCs w:val="20"/>
          <w:u w:val="single"/>
        </w:rPr>
        <w:t>O</w:t>
      </w:r>
      <w:r w:rsidRPr="00D52DD0">
        <w:rPr>
          <w:rFonts w:ascii="Arial" w:hAnsi="Arial" w:cs="Arial"/>
          <w:b/>
          <w:sz w:val="20"/>
          <w:szCs w:val="20"/>
          <w:u w:val="single"/>
          <w:vertAlign w:val="subscript"/>
        </w:rPr>
        <w:t>5</w:t>
      </w:r>
      <w:r w:rsidRPr="00D52DD0">
        <w:rPr>
          <w:rFonts w:ascii="Arial" w:hAnsi="Arial" w:cs="Arial"/>
          <w:b/>
          <w:sz w:val="20"/>
          <w:szCs w:val="20"/>
          <w:u w:val="single"/>
        </w:rPr>
        <w:t xml:space="preserve"> + K</w:t>
      </w:r>
      <w:r w:rsidRPr="00D52DD0">
        <w:rPr>
          <w:rFonts w:ascii="Arial" w:hAnsi="Arial" w:cs="Arial"/>
          <w:b/>
          <w:sz w:val="20"/>
          <w:szCs w:val="20"/>
          <w:u w:val="single"/>
          <w:vertAlign w:val="subscript"/>
        </w:rPr>
        <w:t>2</w:t>
      </w:r>
      <w:r w:rsidRPr="00D52DD0">
        <w:rPr>
          <w:rFonts w:ascii="Arial" w:hAnsi="Arial" w:cs="Arial"/>
          <w:b/>
          <w:sz w:val="20"/>
          <w:szCs w:val="20"/>
          <w:u w:val="single"/>
        </w:rPr>
        <w:t>O content</w:t>
      </w:r>
    </w:p>
    <w:p w:rsidR="00A007C0" w:rsidRPr="006D5977" w:rsidRDefault="00DD0456" w:rsidP="005D29FE">
      <w:pPr>
        <w:spacing w:line="240" w:lineRule="auto"/>
        <w:jc w:val="both"/>
        <w:rPr>
          <w:rFonts w:ascii="Arial" w:hAnsi="Arial" w:cs="Arial"/>
          <w:sz w:val="20"/>
          <w:szCs w:val="20"/>
          <w:lang w:val="en-US"/>
        </w:rPr>
      </w:pPr>
      <w:r w:rsidRPr="006D5977">
        <w:rPr>
          <w:rFonts w:ascii="Arial" w:hAnsi="Arial" w:cs="Arial"/>
          <w:sz w:val="20"/>
          <w:szCs w:val="20"/>
          <w:lang w:val="en-US"/>
        </w:rPr>
        <w:t>Growing media</w:t>
      </w:r>
      <w:r w:rsidR="00A007C0" w:rsidRPr="006D5977">
        <w:rPr>
          <w:rFonts w:ascii="Arial" w:hAnsi="Arial" w:cs="Arial"/>
          <w:sz w:val="20"/>
          <w:szCs w:val="20"/>
          <w:lang w:val="en-US"/>
        </w:rPr>
        <w:t>s SA and SC exhibit the highest cumulative N+P+K content. Pure rice husk biochar BC shows the lowest content, while SB and SD have intermediate levels.</w:t>
      </w:r>
    </w:p>
    <w:p w:rsidR="00A007C0" w:rsidRPr="006D5977" w:rsidRDefault="00A007C0" w:rsidP="005D29FE">
      <w:pPr>
        <w:pStyle w:val="Heading1"/>
        <w:numPr>
          <w:ilvl w:val="0"/>
          <w:numId w:val="20"/>
        </w:numPr>
        <w:rPr>
          <w:rFonts w:ascii="Arial" w:hAnsi="Arial" w:cs="Arial"/>
          <w:sz w:val="22"/>
          <w:szCs w:val="22"/>
        </w:rPr>
      </w:pPr>
      <w:bookmarkStart w:id="24" w:name="_Toc208777025"/>
      <w:r w:rsidRPr="006D5977">
        <w:rPr>
          <w:rFonts w:ascii="Arial" w:hAnsi="Arial" w:cs="Arial"/>
          <w:sz w:val="22"/>
          <w:szCs w:val="22"/>
        </w:rPr>
        <w:t>DISCUSSIONS</w:t>
      </w:r>
      <w:bookmarkEnd w:id="24"/>
    </w:p>
    <w:p w:rsidR="00A007C0" w:rsidRPr="00F1149B" w:rsidRDefault="007828AE" w:rsidP="00F1149B">
      <w:pPr>
        <w:pStyle w:val="ListParagraph"/>
        <w:numPr>
          <w:ilvl w:val="1"/>
          <w:numId w:val="20"/>
        </w:numPr>
        <w:spacing w:line="240" w:lineRule="auto"/>
        <w:jc w:val="both"/>
        <w:rPr>
          <w:rFonts w:ascii="Arial" w:hAnsi="Arial" w:cs="Arial"/>
          <w:b/>
          <w:bCs/>
        </w:rPr>
      </w:pPr>
      <w:r w:rsidRPr="00F1149B">
        <w:rPr>
          <w:rFonts w:ascii="Arial" w:hAnsi="Arial" w:cs="Arial"/>
          <w:b/>
          <w:bCs/>
        </w:rPr>
        <w:t xml:space="preserve">Bulk </w:t>
      </w:r>
      <w:r w:rsidR="00A007C0" w:rsidRPr="00F1149B">
        <w:rPr>
          <w:rFonts w:ascii="Arial" w:hAnsi="Arial" w:cs="Arial"/>
          <w:b/>
          <w:bCs/>
        </w:rPr>
        <w:t>density</w:t>
      </w:r>
      <w:r w:rsidR="005922DB" w:rsidRPr="00F1149B">
        <w:rPr>
          <w:rFonts w:ascii="Arial" w:hAnsi="Arial" w:cs="Arial"/>
          <w:b/>
          <w:bCs/>
        </w:rPr>
        <w:t xml:space="preserve"> (BD)</w:t>
      </w:r>
    </w:p>
    <w:p w:rsidR="00A007C0" w:rsidRPr="006D5977" w:rsidRDefault="005922DB" w:rsidP="005D29FE">
      <w:pPr>
        <w:spacing w:line="240" w:lineRule="auto"/>
        <w:jc w:val="both"/>
        <w:rPr>
          <w:rFonts w:ascii="Arial" w:hAnsi="Arial" w:cs="Arial"/>
          <w:sz w:val="20"/>
          <w:szCs w:val="20"/>
          <w:lang w:val="en-US"/>
        </w:rPr>
      </w:pPr>
      <w:r w:rsidRPr="006D5977">
        <w:rPr>
          <w:rFonts w:ascii="Arial" w:hAnsi="Arial" w:cs="Arial"/>
          <w:sz w:val="20"/>
          <w:szCs w:val="20"/>
          <w:lang w:val="en-US"/>
        </w:rPr>
        <w:t>BD</w:t>
      </w:r>
      <w:r w:rsidR="00F81CB3" w:rsidRPr="006D5977">
        <w:rPr>
          <w:rFonts w:ascii="Arial" w:hAnsi="Arial" w:cs="Arial"/>
          <w:sz w:val="20"/>
          <w:szCs w:val="20"/>
          <w:lang w:val="en-US"/>
        </w:rPr>
        <w:t xml:space="preserve"> is a very important physical indicator for </w:t>
      </w:r>
      <w:r w:rsidR="00DD0456" w:rsidRPr="006D5977">
        <w:rPr>
          <w:rFonts w:ascii="Arial" w:hAnsi="Arial" w:cs="Arial"/>
          <w:sz w:val="20"/>
          <w:szCs w:val="20"/>
          <w:lang w:val="en-US"/>
        </w:rPr>
        <w:t>growing media</w:t>
      </w:r>
      <w:r w:rsidR="00F81CB3" w:rsidRPr="006D5977">
        <w:rPr>
          <w:rFonts w:ascii="Arial" w:hAnsi="Arial" w:cs="Arial"/>
          <w:sz w:val="20"/>
          <w:szCs w:val="20"/>
          <w:lang w:val="en-US"/>
        </w:rPr>
        <w:t xml:space="preserve">s. Low density is desirable because it means the </w:t>
      </w:r>
      <w:r w:rsidR="00DD0456" w:rsidRPr="006D5977">
        <w:rPr>
          <w:rFonts w:ascii="Arial" w:hAnsi="Arial" w:cs="Arial"/>
          <w:sz w:val="20"/>
          <w:szCs w:val="20"/>
          <w:lang w:val="en-US"/>
        </w:rPr>
        <w:t>growing media</w:t>
      </w:r>
      <w:r w:rsidR="00F81CB3" w:rsidRPr="006D5977">
        <w:rPr>
          <w:rFonts w:ascii="Arial" w:hAnsi="Arial" w:cs="Arial"/>
          <w:sz w:val="20"/>
          <w:szCs w:val="20"/>
          <w:lang w:val="en-US"/>
        </w:rPr>
        <w:t xml:space="preserve"> is lighter, more porous, and offers better aeration for the roots. Excessive bulk density indicates compaction</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{"citationID":"oWnGGLD4","properties":{"formattedCitation":"(Wilkinson et al., 2014)","plainCitation":"(Wilkinson et al., 2014)","noteIndex":0},"citationItems":[{"id":3121,"uris":["http://zotero.org/users/6654317/items/TUSE7C6K"],"itemData":{"id":3121,"type":"article-journal","container-title":"United States Department of Agriculture Forest Service   Agriculture Handbook 732","language":"en","page":"376p","source":"Zotero","title":"Tropical Nursery Manual: A guide to starting and operating a nursery for native and traditional plants","author":[{"family":"Wilkinson","given":"Kim M."},{"family":"Thomas","given":"D. Landis"},{"family":"Diane","given":"L. Haase"},{"family":"Brian","given":"F. Daley"},{"family":"R. Kasten Dumroese","given":""}],"issued":{"date-parts":[["2014"]]}}}],"schema":"https://github.com/citation-style-language/schema/raw/master/csl-citation.json"}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(Wilkinson et al., 2014)</w:t>
      </w:r>
      <w:r w:rsidR="00F0347E" w:rsidRPr="006D5977">
        <w:rPr>
          <w:rFonts w:ascii="Arial" w:hAnsi="Arial" w:cs="Arial"/>
          <w:sz w:val="20"/>
          <w:szCs w:val="20"/>
        </w:rPr>
        <w:fldChar w:fldCharType="end"/>
      </w:r>
      <w:r w:rsidRPr="006D5977">
        <w:rPr>
          <w:rFonts w:ascii="Arial" w:hAnsi="Arial" w:cs="Arial"/>
          <w:sz w:val="20"/>
          <w:szCs w:val="20"/>
          <w:lang w:val="en-US"/>
        </w:rPr>
        <w:t xml:space="preserve">. </w:t>
      </w:r>
      <w:r w:rsidR="00F81CB3" w:rsidRPr="006D5977">
        <w:rPr>
          <w:rFonts w:ascii="Arial" w:hAnsi="Arial" w:cs="Arial"/>
          <w:sz w:val="20"/>
          <w:szCs w:val="20"/>
          <w:lang w:val="en-US"/>
        </w:rPr>
        <w:t xml:space="preserve">A negative correlation was observed between the proportion of rice husk biochar and the bulk density of the </w:t>
      </w:r>
      <w:r w:rsidR="00DD0456" w:rsidRPr="006D5977">
        <w:rPr>
          <w:rFonts w:ascii="Arial" w:hAnsi="Arial" w:cs="Arial"/>
          <w:sz w:val="20"/>
          <w:szCs w:val="20"/>
          <w:lang w:val="en-US"/>
        </w:rPr>
        <w:t>growing media</w:t>
      </w:r>
      <w:r w:rsidR="00F81CB3" w:rsidRPr="006D5977">
        <w:rPr>
          <w:rFonts w:ascii="Arial" w:hAnsi="Arial" w:cs="Arial"/>
          <w:sz w:val="20"/>
          <w:szCs w:val="20"/>
          <w:lang w:val="en-US"/>
        </w:rPr>
        <w:t xml:space="preserve">. The higher the proportion of rice husk biochar, the lower the </w:t>
      </w:r>
      <w:r w:rsidRPr="006D5977">
        <w:rPr>
          <w:rFonts w:ascii="Arial" w:hAnsi="Arial" w:cs="Arial"/>
          <w:sz w:val="20"/>
          <w:szCs w:val="20"/>
          <w:lang w:val="en-US"/>
        </w:rPr>
        <w:t>BD</w:t>
      </w:r>
      <w:r w:rsidR="00F81CB3" w:rsidRPr="006D5977">
        <w:rPr>
          <w:rFonts w:ascii="Arial" w:hAnsi="Arial" w:cs="Arial"/>
          <w:sz w:val="20"/>
          <w:szCs w:val="20"/>
          <w:lang w:val="en-US"/>
        </w:rPr>
        <w:t xml:space="preserve">. This improvement in the bulk density of the </w:t>
      </w:r>
      <w:r w:rsidR="00DD0456" w:rsidRPr="006D5977">
        <w:rPr>
          <w:rFonts w:ascii="Arial" w:hAnsi="Arial" w:cs="Arial"/>
          <w:sz w:val="20"/>
          <w:szCs w:val="20"/>
          <w:lang w:val="en-US"/>
        </w:rPr>
        <w:t>growing media</w:t>
      </w:r>
      <w:r w:rsidR="00F81CB3" w:rsidRPr="006D5977">
        <w:rPr>
          <w:rFonts w:ascii="Arial" w:hAnsi="Arial" w:cs="Arial"/>
          <w:sz w:val="20"/>
          <w:szCs w:val="20"/>
          <w:lang w:val="en-US"/>
        </w:rPr>
        <w:t>s is attributable to the rice husk biochar. Indeed, the higher the rice husk biochar content, the lower the bulk density, as noted</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{"citationID":"UqVNAGJk","properties":{"formattedCitation":"(Nasution &amp; Fitria, 2023)","plainCitation":"(Nasution &amp; Fitria, 2023)","noteIndex":0},"citationItems":[{"id":3152,"uris":["http://zotero.org/users/6654317/items/J9SP9Y6R"],"itemData":{"id":3152,"type":"article-journal","abstract":"Soil density and soil water content are physical properties that greatly affect the process of nutrient absorption in plants. This study aims to determine changes in soil density and soil water content in the treatment of compost and husk charcoal on lettuce production on degraded land. Degraded soil is soil that is low in nutrients. Thus, to increase the fertility of the soil, it is very necessary, one way is to provide compost and husk charcoal in the planting media. This study used four treatments with six replications, (M0) control (M1) compost 2.50 kg (M2) husk charcoal 2.5 kg and (M3) compost and husk charcoal 2.50 kg. Changes in soil water content and the highest was compost and husk charcoal (M3) volume 13.03 to 39.50 %, the best soil density was husk charcoal (M3) 0.66 gcm-3. The highest lettuce production was (M3) 1.32 kg. The use of compost and husk charcoal (M3) gave the best changes in soil properties and resulted in the highest production of lettuce","container-title":"Jurnal Penelitian Pendidikan IPA","DOI":"10.29303/jppipa.v9i6.3571","ISSN":"2407-795X","issue":"6","language":"en","page":"4353-4360","source":"jppipa.unram.ac.id","title":"Changes of Soil Density and Water Content at the Treatment of Compost Media and Husk Charcoal on Lettuce Plants in the Land Degradation","volume":"9","author":[{"family":"Nasution","given":"Yusriani"},{"family":"Fitria","given":"Fitria"}],"issued":{"date-parts":[["2023",6,25]]}}}],"schema":"https://github.com/citation-style-language/schema/raw/master/csl-citation.json"}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(Nasution &amp; Fitria, 2023</w:t>
      </w:r>
      <w:r w:rsidR="00F0347E" w:rsidRPr="006D5977">
        <w:rPr>
          <w:rFonts w:ascii="Arial" w:hAnsi="Arial" w:cs="Arial"/>
          <w:sz w:val="20"/>
          <w:szCs w:val="20"/>
          <w:lang w:val="en-US"/>
        </w:rPr>
        <w:fldChar w:fldCharType="end"/>
      </w:r>
      <w:r w:rsidR="00251398">
        <w:rPr>
          <w:rFonts w:ascii="Arial" w:hAnsi="Arial" w:cs="Arial"/>
          <w:sz w:val="20"/>
          <w:szCs w:val="20"/>
          <w:lang w:val="en-US"/>
        </w:rPr>
        <w:t xml:space="preserve"> ;</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{"citationID":"fFtN9qxX","properties":{"formattedCitation":"(Kim et al., 2017)","plainCitation":"(Kim et al., 2017)","noteIndex":0},"citationItems":[{"id":3132,"uris":["http://zotero.org/users/local/MzRjPaDh/items/7VRQV3Q9","http://zotero.org/users/6654317/items/7VRQV3Q9","http://zotero.org/users/6654317/items/ZKF7KLST"],"itemData":{"id":3132,"type":"article-journal","abstract":"The current study was conducted in order to examine the applicability of rice hull derived biochar (BC) to improve the properties of growing media (GM). Biochar was incorporated into a growing media composed of coir dust, perlite and vermiculite at 0, 1, 2 and 5 % (w/w). Subsequently, the physicochemical properties of the GM-BC mixtures were determined in the cultivation of kale (Brassica oleracea L. var. acephala) for 25 days through the observation of the plant growth response. During kale cultivation in the GM-BC mixtures, the leachates were collected and analyzed to determine the changes in nutrient levels due to BC amendment. Application of rice hull-derived BC increased the retention of nutrients in the growing media due to a biochar-induced increase in cation exchange capacity, in addition to the biochar nutrient supply such as potassium and phosphorus. Furthermore, a higher water content of the growing media was observed when BC was used as an amendment, mainly due to the increased proportion of pore space available for water storage. The growth rate of kale was also increased as the biochar incorporation rate was increased. For example, the dry weight of the kale shoots was 150 % higher when grown in media containing 5 % GM-BC mixture than with the control growing media (with no biochar). From these results, it can be concluded that the rice hull-derived biochar would be a practically applicable amendment to improve the properties of the growing media.","container-title":"Waste and Biomass Valorization","DOI":"10.1007/s12649-016-9588-z","ISSN":"1877-265X","issue":"2","journalAbbreviation":"Waste Biomass Valor","language":"en","page":"483-492","source":"Springer Link","title":"Amelioration of Horticultural Growing Media Properties Through Rice Hull Biochar Incorporation","volume":"8","author":[{"family":"Kim","given":"Hyuck Soo"},{"family":"Kim","given":"Kwon Rae"},{"family":"Yang","given":"Jae-E"},{"family":"Ok","given":"Yong Sik"},{"family":"Kim","given":"Won Il"},{"family":"Kunhikrishnan","given":"Anitha"},{"family":"Kim","given":"Kye-Hoon"}],"issued":{"date-parts":[["2017",3,1]]}}}],"schema":"https://github.com/citation-style-language/schema/raw/master/csl-citation.json"}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Kim et al., 2017)</w:t>
      </w:r>
      <w:r w:rsidR="00F0347E" w:rsidRPr="006D5977">
        <w:rPr>
          <w:rFonts w:ascii="Arial" w:hAnsi="Arial" w:cs="Arial"/>
          <w:sz w:val="20"/>
          <w:szCs w:val="20"/>
          <w:lang w:val="en-US"/>
        </w:rPr>
        <w:fldChar w:fldCharType="end"/>
      </w:r>
      <w:r w:rsidRPr="006D5977">
        <w:rPr>
          <w:rFonts w:ascii="Arial" w:hAnsi="Arial" w:cs="Arial"/>
          <w:sz w:val="20"/>
          <w:szCs w:val="20"/>
          <w:lang w:val="en-US"/>
        </w:rPr>
        <w:t xml:space="preserve">. </w:t>
      </w:r>
      <w:r w:rsidR="00A007C0" w:rsidRPr="006D5977">
        <w:rPr>
          <w:rFonts w:ascii="Arial" w:hAnsi="Arial" w:cs="Arial"/>
          <w:sz w:val="20"/>
          <w:szCs w:val="20"/>
          <w:lang w:val="en-US"/>
        </w:rPr>
        <w:t xml:space="preserve">The </w:t>
      </w:r>
      <w:r w:rsidRPr="006D5977">
        <w:rPr>
          <w:rFonts w:ascii="Arial" w:hAnsi="Arial" w:cs="Arial"/>
          <w:sz w:val="20"/>
          <w:szCs w:val="20"/>
          <w:lang w:val="en-US"/>
        </w:rPr>
        <w:t>BD</w:t>
      </w:r>
      <w:r w:rsidR="00A007C0" w:rsidRPr="006D5977">
        <w:rPr>
          <w:rFonts w:ascii="Arial" w:hAnsi="Arial" w:cs="Arial"/>
          <w:sz w:val="20"/>
          <w:szCs w:val="20"/>
          <w:lang w:val="en-US"/>
        </w:rPr>
        <w:t xml:space="preserve"> of the culture medium influences plant growth. If it is too high, it can limit root growth due to reduced porosity</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{"citationID":"5aUr12JQ","properties":{"formattedCitation":"(Jeyaseeli &amp; Raj, 2010)","plainCitation":"(Jeyaseeli &amp; Raj, 2010)","noteIndex":0},"citationItems":[{"id":3219,"uris":["http://zotero.org/users/6654317/items/EWXG8PVT"],"itemData":{"id":3219,"type":"article-journal","abstract":"should be limited to 200 words and convey the main points of the paper-outline, results and conclusion or the significance of the results. Introduction should give the reasons for doing the work. Detailed review of the literature is not necessary. The introduction should preferably conclude with a final paragraph stating concisely and clearly the aims and objectives of your investigation. Materials and Methods should include a brief technical description of the methodology adopted while a detailed description is required if the methods are new. Results should contain observations on experiment done illustrated by tables and figures. Use well known statistical tests in preference to obscure ones. Discussion must not recapitulate results but should relate the author's experiments to other work on the subject and give their conclusions. All tables and figures must be cited sequentially in the text. Figures should be abbreviated to Fig., except in the beginning of a sentence when the word Figure should be written out in full. The figures should be drawn on a good quality tracing/ white paper with black ink with the legends provided on a separate sheet. Photographs should be black and white on a glossy sheet with sufficient contrast. References should be kept to a minimum and listed in alphabetical order. Personal communication and unpublished data should not be included in the reference list. Unpublished papers accepted for publication may be included in the list by designating the journal followed by \"in press\" in parentheses in the reference list. The list of reference at the end of the text should be in the following format. 1. Witkamp, M. and Olson, J. S. 1963. Breakdown of confined and non-confined Oak Litter.Oikos. 14:138147. 2. Odum, E.P. 1971. Fundamentals of Ecology. W. B. Sauder Co. Publ. Philadelphia.p.28. 3. Macfadyen, A.1963. The contribution of microfauna to total soil metabolism. In:Soil organism, J. Doeksen and J. Van Der Drift (Eds). North Holland Publ. Comp., pp 3-16. References in the text should be quoted by the author's name and year in parenthesis and presented in year order. When there are more than two authors the reference should be quoted as: first author followed by et al., throughout the text. Where more than one paper with the same senior author has appeared in on year the references should INSTRUCTION TO AUTHORS An International Biannual Journal of Environmental Science Cont. ....... P. 188 INSTRUCTION TO AUTHORS","container-title":"American-Eurasian Journal of Agricultural and Environmental Science","source":"Semantic Scholar","title":"Physical characteristics of coir pith as a function of its particle size to be used as soilless medium.","URL":"https://www.semanticscholar.org/paper/Physical-characteristics-of-coir-pith-as-a-function-Jeyaseeli-Raj/e37e2dfc7e87267aba1d26605584bbcb12d08b02","author":[{"family":"Jeyaseeli","given":"D. M."},{"family":"Raj","given":"S. P."}],"accessed":{"date-parts":[["2025",9,21]]},"issued":{"date-parts":[["2010"]]}}}],"schema":"https://github.com/citation-style-language/schema/raw/master/csl-citation.json"}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(Jeyaseeli &amp; Raj, 2010)</w:t>
      </w:r>
      <w:r w:rsidR="00F0347E" w:rsidRPr="006D5977">
        <w:rPr>
          <w:rFonts w:ascii="Arial" w:hAnsi="Arial" w:cs="Arial"/>
          <w:sz w:val="20"/>
          <w:szCs w:val="20"/>
        </w:rPr>
        <w:fldChar w:fldCharType="end"/>
      </w:r>
      <w:r w:rsidR="007828AE" w:rsidRPr="006D5977">
        <w:rPr>
          <w:rFonts w:ascii="Arial" w:hAnsi="Arial" w:cs="Arial"/>
          <w:sz w:val="20"/>
          <w:szCs w:val="20"/>
          <w:lang w:val="en-US"/>
        </w:rPr>
        <w:t xml:space="preserve">. </w:t>
      </w:r>
      <w:r w:rsidR="00A007C0" w:rsidRPr="006D5977">
        <w:rPr>
          <w:rFonts w:ascii="Arial" w:hAnsi="Arial" w:cs="Arial"/>
          <w:sz w:val="20"/>
          <w:szCs w:val="20"/>
          <w:lang w:val="en-US"/>
        </w:rPr>
        <w:t xml:space="preserve">Conversely, a very low </w:t>
      </w:r>
      <w:r w:rsidR="007828AE" w:rsidRPr="006D5977">
        <w:rPr>
          <w:rFonts w:ascii="Arial" w:hAnsi="Arial" w:cs="Arial"/>
          <w:sz w:val="20"/>
          <w:szCs w:val="20"/>
          <w:lang w:val="en-US"/>
        </w:rPr>
        <w:t>BD</w:t>
      </w:r>
      <w:r w:rsidR="00A007C0" w:rsidRPr="006D5977">
        <w:rPr>
          <w:rFonts w:ascii="Arial" w:hAnsi="Arial" w:cs="Arial"/>
          <w:sz w:val="20"/>
          <w:szCs w:val="20"/>
          <w:lang w:val="en-US"/>
        </w:rPr>
        <w:t xml:space="preserve"> can cause excessive aeration of the culture medium and simultaneously reduce the available water content Vaughn et al., </w:t>
      </w:r>
      <w:r w:rsidR="00251398">
        <w:rPr>
          <w:rFonts w:ascii="Arial" w:hAnsi="Arial" w:cs="Arial"/>
          <w:sz w:val="20"/>
          <w:szCs w:val="20"/>
          <w:lang w:val="en-US"/>
        </w:rPr>
        <w:t>(</w:t>
      </w:r>
      <w:r w:rsidR="00A007C0" w:rsidRPr="006D5977">
        <w:rPr>
          <w:rFonts w:ascii="Arial" w:hAnsi="Arial" w:cs="Arial"/>
          <w:sz w:val="20"/>
          <w:szCs w:val="20"/>
          <w:lang w:val="en-US"/>
        </w:rPr>
        <w:t>2013) cited by</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{"citationID":"7XqWHq1k","properties":{"formattedCitation":"(Kim et al., 2017)","plainCitation":"(Kim et al., 2017)","noteIndex":0},"citationItems":[{"id":3132,"uris":["http://zotero.org/users/local/MzRjPaDh/items/7VRQV3Q9","http://zotero.org/users/6654317/items/7VRQV3Q9","http://zotero.org/users/6654317/items/ZKF7KLST"],"itemData":{"id":3132,"type":"article-journal","abstract":"The current study was conducted in order to examine the applicability of rice hull derived biochar (BC) to improve the properties of growing media (GM). Biochar was incorporated into a growing media composed of coir dust, perlite and vermiculite at 0, 1, 2 and 5 % (w/w). Subsequently, the physicochemical properties of the GM-BC mixtures were determined in the cultivation of kale (Brassica oleracea L. var. acephala) for 25 days through the observation of the plant growth response. During kale cultivation in the GM-BC mixtures, the leachates were collected and analyzed to determine the changes in nutrient levels due to BC amendment. Application of rice hull-derived BC increased the retention of nutrients in the growing media due to a biochar-induced increase in cation exchange capacity, in addition to the biochar nutrient supply such as potassium and phosphorus. Furthermore, a higher water content of the growing media was observed when BC was used as an amendment, mainly due to the increased proportion of pore space available for water storage. The growth rate of kale was also increased as the biochar incorporation rate was increased. For example, the dry weight of the kale shoots was 150 % higher when grown in media containing 5 % GM-BC mixture than with the control growing media (with no biochar). From these results, it can be concluded that the rice hull-derived biochar would be a practically applicable amendment to improve the properties of the growing media.","container-title":"Waste and Biomass Valorization","DOI":"10.1007/s12649-016-9588-z","ISSN":"1877-265X","issue":"2","journalAbbreviation":"Waste Biomass Valor","language":"en","page":"483-492","source":"Springer Link","title":"Amelioration of Horticultural Growing Media Properties Through Rice Hull Biochar Incorporation","volume":"8","author":[{"family":"Kim","given":"Hyuck Soo"},{"family":"Kim","given":"Kwon Rae"},{"family":"Yang","given":"Jae-E"},{"family":"Ok","given":"Yong Sik"},{"family":"Kim","given":"Won Il"},{"family":"Kunhikrishnan","given":"Anitha"},{"family":"Kim","given":"Kye-Hoon"}],"issued":{"date-parts":[["2017",3,1]]}}}],"schema":"https://github.com/citation-style-language/schema/raw/master/csl-citation.json"}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 xml:space="preserve">Kim et al., </w:t>
      </w:r>
      <w:r w:rsidR="00251398">
        <w:rPr>
          <w:rFonts w:ascii="Arial" w:hAnsi="Arial" w:cs="Arial"/>
          <w:sz w:val="20"/>
          <w:lang w:val="en-US"/>
        </w:rPr>
        <w:t>(</w:t>
      </w:r>
      <w:r w:rsidR="00F1149B" w:rsidRPr="00F1149B">
        <w:rPr>
          <w:rFonts w:ascii="Arial" w:hAnsi="Arial" w:cs="Arial"/>
          <w:sz w:val="20"/>
          <w:lang w:val="en-US"/>
        </w:rPr>
        <w:t>2017)</w:t>
      </w:r>
      <w:r w:rsidR="00F0347E" w:rsidRPr="006D5977">
        <w:rPr>
          <w:rFonts w:ascii="Arial" w:hAnsi="Arial" w:cs="Arial"/>
          <w:sz w:val="20"/>
          <w:szCs w:val="20"/>
          <w:lang w:val="en-US"/>
        </w:rPr>
        <w:fldChar w:fldCharType="end"/>
      </w:r>
      <w:r w:rsidR="007828AE" w:rsidRPr="006D5977">
        <w:rPr>
          <w:rFonts w:ascii="Arial" w:hAnsi="Arial" w:cs="Arial"/>
          <w:sz w:val="20"/>
          <w:szCs w:val="20"/>
          <w:lang w:val="en-US"/>
        </w:rPr>
        <w:t xml:space="preserve">. </w:t>
      </w:r>
      <w:r w:rsidR="00A007C0" w:rsidRPr="006D5977">
        <w:rPr>
          <w:rFonts w:ascii="Arial" w:hAnsi="Arial" w:cs="Arial"/>
          <w:sz w:val="20"/>
          <w:szCs w:val="20"/>
          <w:lang w:val="en-US"/>
        </w:rPr>
        <w:t xml:space="preserve">It has been observed that </w:t>
      </w:r>
      <w:r w:rsidR="007828AE" w:rsidRPr="006D5977">
        <w:rPr>
          <w:rFonts w:ascii="Arial" w:hAnsi="Arial" w:cs="Arial"/>
          <w:sz w:val="20"/>
          <w:szCs w:val="20"/>
          <w:lang w:val="en-US"/>
        </w:rPr>
        <w:t>BD</w:t>
      </w:r>
      <w:r w:rsidR="00A007C0" w:rsidRPr="006D5977">
        <w:rPr>
          <w:rFonts w:ascii="Arial" w:hAnsi="Arial" w:cs="Arial"/>
          <w:sz w:val="20"/>
          <w:szCs w:val="20"/>
          <w:lang w:val="en-US"/>
        </w:rPr>
        <w:t xml:space="preserve"> is inversely related to total porosity. This conclusion corroborates that of</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{"citationID":"wLqR8yxB","properties":{"formattedCitation":"(Tittarelli et al., 2009)","plainCitation":"(Tittarelli et al., 2009)","noteIndex":0},"citationItems":[{"id":954,"uris":["http://zotero.org/users/6654317/items/DND5GDD5"],"itemData":{"id":954,"type":"article-journal","abstract":"A bovine manure compost (BMC) and a green compost (GC) were evaluated as components of substrates in partial substitution of peat for organic melon seedlings production. Treatments, differentiated on the basis of the volume percentage of the two analysed composts, were compared to the control (a mixture of peat, coconut fibre and perlite). In order to respect the guidelines of organic production, all the treatments were fertilised, at the beginning of the trial, with guano. Compost-based substrates were analysed for physical, physicochemical and chemical parameters (bulk density, porosity, pH, EC, nutrients content etc.). Even though significant differences were observed, recorded values were in the range of acceptability for growing media. In terms of performance, seedling growth in treatments containing 30% and 50% of composts was significantly higher than in control.","container-title":"Compost Science &amp; Utilization","DOI":"10.1080/1065657X.2009.10702427","ISSN":"1065-657X","issue":"4","note":"publisher: Taylor &amp; Francis\n_eprint: https://doi.org/10.1080/1065657X.2009.10702427","page":"220-228","source":"Taylor and Francis+NEJM","title":"Compost-based Nursery Substrates: Effect of Peat Substitution on Organic Melon Seedlings","title-short":"Compost-based Nursery Substrates","volume":"17","author":[{"family":"Tittarelli","given":"F."},{"family":"Rea","given":"E."},{"family":"Verrastro","given":"V."},{"family":"Pascual","given":"J.A."},{"family":"Canali","given":"S."},{"family":"Ceglie","given":"F.G."},{"family":"Trinchera","given":"A."},{"family":"Rivera","given":"C.M."}],"issued":{"date-parts":[["2009",9,1]]}}}],"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 xml:space="preserve">Tittarelli et al., </w:t>
      </w:r>
      <w:r w:rsidR="00251398">
        <w:rPr>
          <w:rFonts w:ascii="Arial" w:hAnsi="Arial" w:cs="Arial"/>
          <w:sz w:val="20"/>
          <w:lang w:val="en-US"/>
        </w:rPr>
        <w:t>(</w:t>
      </w:r>
      <w:r w:rsidR="00F1149B" w:rsidRPr="00F1149B">
        <w:rPr>
          <w:rFonts w:ascii="Arial" w:hAnsi="Arial" w:cs="Arial"/>
          <w:sz w:val="20"/>
          <w:lang w:val="en-US"/>
        </w:rPr>
        <w:t>2009)</w:t>
      </w:r>
      <w:r w:rsidR="00F0347E" w:rsidRPr="006D5977">
        <w:rPr>
          <w:rFonts w:ascii="Arial" w:hAnsi="Arial" w:cs="Arial"/>
          <w:sz w:val="20"/>
          <w:szCs w:val="20"/>
          <w:lang w:val="en-US"/>
        </w:rPr>
        <w:fldChar w:fldCharType="end"/>
      </w:r>
      <w:r w:rsidR="00251398">
        <w:rPr>
          <w:rFonts w:ascii="Arial" w:hAnsi="Arial" w:cs="Arial"/>
          <w:sz w:val="20"/>
          <w:szCs w:val="20"/>
          <w:lang w:val="en-US"/>
        </w:rPr>
        <w:t xml:space="preserve">and </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{"citationID":"1jxSFSCf","properties":{"formattedCitation":"(Raviv, 2019)","plainCitation":"(Raviv, 2019)","noteIndex":0},"citationItems":[{"id":"ofdADCk6/HDdF6k1j","uris":["http://zotero.org/users/6654317/items/4KBWK847"],"itemData":{"id":3099,"type":"book","abstract":"Soilless Culture: Theory and Practice, Second Edition, is the first authoritative reference book on both the theoretical and practical aspects of growing plants without the use of soil. It is the go-to source for those involved in this practice, focusing on hydroponics and advancements in technologies and methodologies. The book builds on the thorough presentation of both physical and chemical properties of various soilless growing media, also addressing how these properties affect plant performance in basic horticultural operations, such as irrigation and fertilization. In addition, the book describes the latest technical advancements and methodologies, including run-to-waste, re-circulation and closed systems.Provides a fully revised and updated edition with key insights on all current media types for plant productionExplains the latest information on water and nutrient availabilityIncludes rootstock/scion relationships in substratesContains a chapter focusing specifically on hydroponics","edition":"Elsevier Science","ISBN":"978-0-444-63696-6","language":"English","number-of-pages":"713p","publisher":"Elsevier Science","source":"international.scholarvox.com","title":"Soilless Culture: Theory and Practice : Theory and Practice Ed. 2","title-short":"Soilless Culture","URL":"https://international.scholarvox.com/catalog/book/docid/88873219?searchterm=water%20retention","author":[{"family":"Raviv","given":"Michael"}],"accessed":{"date-parts":[["2025",9,6]]},"issued":{"date-parts":[["2019"]]}}}],"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 xml:space="preserve">Raviv, </w:t>
      </w:r>
      <w:r w:rsidR="00251398">
        <w:rPr>
          <w:rFonts w:ascii="Arial" w:hAnsi="Arial" w:cs="Arial"/>
          <w:sz w:val="20"/>
          <w:lang w:val="en-US"/>
        </w:rPr>
        <w:t>(</w:t>
      </w:r>
      <w:r w:rsidR="00F1149B" w:rsidRPr="00F1149B">
        <w:rPr>
          <w:rFonts w:ascii="Arial" w:hAnsi="Arial" w:cs="Arial"/>
          <w:sz w:val="20"/>
          <w:lang w:val="en-US"/>
        </w:rPr>
        <w:t>2019)</w:t>
      </w:r>
      <w:r w:rsidR="00F0347E" w:rsidRPr="006D5977">
        <w:rPr>
          <w:rFonts w:ascii="Arial" w:hAnsi="Arial" w:cs="Arial"/>
          <w:sz w:val="20"/>
          <w:szCs w:val="20"/>
          <w:lang w:val="en-US"/>
        </w:rPr>
        <w:fldChar w:fldCharType="end"/>
      </w:r>
      <w:r w:rsidR="007828AE" w:rsidRPr="006D5977">
        <w:rPr>
          <w:rFonts w:ascii="Arial" w:hAnsi="Arial" w:cs="Arial"/>
          <w:sz w:val="20"/>
          <w:szCs w:val="20"/>
          <w:lang w:val="en-US"/>
        </w:rPr>
        <w:t xml:space="preserve">. </w:t>
      </w:r>
      <w:r w:rsidR="00A007C0" w:rsidRPr="006D5977">
        <w:rPr>
          <w:rFonts w:ascii="Arial" w:hAnsi="Arial" w:cs="Arial"/>
          <w:sz w:val="20"/>
          <w:szCs w:val="20"/>
          <w:lang w:val="en-US"/>
        </w:rPr>
        <w:t xml:space="preserve">For all </w:t>
      </w:r>
      <w:r w:rsidR="00DD0456" w:rsidRPr="006D5977">
        <w:rPr>
          <w:rFonts w:ascii="Arial" w:hAnsi="Arial" w:cs="Arial"/>
          <w:sz w:val="20"/>
          <w:szCs w:val="20"/>
          <w:lang w:val="en-US"/>
        </w:rPr>
        <w:t>growing media</w:t>
      </w:r>
      <w:r w:rsidR="00A007C0" w:rsidRPr="006D5977">
        <w:rPr>
          <w:rFonts w:ascii="Arial" w:hAnsi="Arial" w:cs="Arial"/>
          <w:sz w:val="20"/>
          <w:szCs w:val="20"/>
          <w:lang w:val="en-US"/>
        </w:rPr>
        <w:t>s, particles ranging in size from 0</w:t>
      </w:r>
      <w:r w:rsidR="007828AE" w:rsidRPr="006D5977">
        <w:rPr>
          <w:rFonts w:ascii="Arial" w:hAnsi="Arial" w:cs="Arial"/>
          <w:sz w:val="20"/>
          <w:szCs w:val="20"/>
          <w:lang w:val="en-US"/>
        </w:rPr>
        <w:t>,</w:t>
      </w:r>
      <w:r w:rsidR="00A007C0" w:rsidRPr="006D5977">
        <w:rPr>
          <w:rFonts w:ascii="Arial" w:hAnsi="Arial" w:cs="Arial"/>
          <w:sz w:val="20"/>
          <w:szCs w:val="20"/>
          <w:lang w:val="en-US"/>
        </w:rPr>
        <w:t>25 to 2</w:t>
      </w:r>
      <w:r w:rsidR="007828AE" w:rsidRPr="006D5977">
        <w:rPr>
          <w:rFonts w:ascii="Arial" w:hAnsi="Arial" w:cs="Arial"/>
          <w:sz w:val="20"/>
          <w:szCs w:val="20"/>
          <w:lang w:val="en-US"/>
        </w:rPr>
        <w:t>,</w:t>
      </w:r>
      <w:r w:rsidR="00A007C0" w:rsidRPr="006D5977">
        <w:rPr>
          <w:rFonts w:ascii="Arial" w:hAnsi="Arial" w:cs="Arial"/>
          <w:sz w:val="20"/>
          <w:szCs w:val="20"/>
          <w:lang w:val="en-US"/>
        </w:rPr>
        <w:t>00 mm represent more than 80% and are the optimal dimensions for plant growth because they retain sufficient water and also provide adequate gas exchange</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{"citationID":"9JNaIhLM","properties":{"formattedCitation":"(Dispenza et al., 2016)","plainCitation":"(Dispenza et al., 2016)","noteIndex":0},"citationItems":[{"id":990,"uris":["http://zotero.org/users/local/MzRjPaDh/items/TW7ZCV8M","http://zotero.org/users/6654317/items/TW7ZCV8M"],"itemData":{"id":990,"type":"article-journal","abstract":"Abstrait\n\t\t\t\t\tBiochar from conifers wood was used in soilless culture as growing substrate alternative to peat for ornamental crops. Potted plants of Euphorbia × lomi Rauh cv. ‘Ilaria’ were grown with different mixtures (v:v) of brown peat and biochar in order to evaluate main physical and chemical characteristics of this biomaterial as well as its effect on plant growth, ornamental characteristics and nutrients uptake. Biochar addition to peat increased pH, EC and K content of the growing substrates, as well as air content and bulk density. Biochar content of substrates significantly affected plant growth and biomass partitioning: higher number of shoots and leaves, leaf area and leaf dry weight were recorded in plants grown in 40% peat-60% biochar, with respect to plants grown in 100% peat and secondarily in 100% biochar. Leaf chlorophyll content was higher in plants grown in 60% and 80% biochar, while biomass water use efficiency was higher with 60% biochar. Plant uptake of K and Ca increased as biochar content of the substrates increased. Hence, a growing substrate containing 40% brown peat and 60% conifers wood biochar was identified as the more suitable mixture allowing to have a high-quality production of Euphorbia × lomi potted plants.","container-title":"Spanish Journal of Agricultural Research","DOI":"10.5424/sjar/2016144-9082","ISSN":"2171-9292","issue":"4","language":"en","license":"Copyright (c) 2016 Spanish Journal of Agricultural Research","note":"number: 4","page":"11","source":"revistas.inia.es","title":"Use of biochar as peat substitute for growing substrates of Euphorbia × lomi potted plants","volume":"14","author":[{"family":"Dispenza","given":"Vincenzo"},{"family":"Pasquale","given":"Claudio De"},{"family":"Fascella","given":"Giancarlo"},{"family":"Mammano","given":"Michele M."},{"family":"Alonzo","given":"Giuseppe"}],"issued":{"date-parts":[["2016"]]}}}],"schema":"https://github.com/citation-style-language/schema/raw/master/csl-citation.json"}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(Dispenza et al., 2016</w:t>
      </w:r>
      <w:r w:rsidR="00F0347E" w:rsidRPr="006D5977">
        <w:rPr>
          <w:rFonts w:ascii="Arial" w:hAnsi="Arial" w:cs="Arial"/>
          <w:sz w:val="20"/>
          <w:szCs w:val="20"/>
          <w:lang w:val="en-US"/>
        </w:rPr>
        <w:fldChar w:fldCharType="end"/>
      </w:r>
      <w:r w:rsidR="00251398">
        <w:rPr>
          <w:rFonts w:ascii="Arial" w:hAnsi="Arial" w:cs="Arial"/>
          <w:sz w:val="20"/>
          <w:szCs w:val="20"/>
          <w:lang w:val="en-US"/>
        </w:rPr>
        <w:t xml:space="preserve"> ;</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{"citationID":"7k7OmOT6","properties":{"formattedCitation":"(Anbarasu et al., 2024)","plainCitation":"(Anbarasu et al., 2024)","noteIndex":0},"citationItems":[{"id":3171,"uris":["http://zotero.org/users/6654317/items/I3NDMJTA"],"itemData":{"id":3171,"type":"article-journal","abstract":"Aim: To evaluate the physical and hydrological properties of different graded coir pith and composted coir pith (CPOM) following the Keen-Raczkowski box and Brunauer-Emmett-Teller (BET) analysis.","container-title":"Journal of Environmental Biology","DOI":"10.22438/jeb/45/3/MRN-5233","ISSN":"02548704, 23940379","issue":"3","journalAbbreviation":"JEB","language":"en","page":"257-262","source":"DOI.org (Crossref)","title":"Properties of different graded coir pith by Keen-Raczkowski box and Brunauer-Emmett-Teller analysis","volume":"45","author":[{"family":"Anbarasu","given":"M."},{"family":"Gurusamy","given":"A."},{"family":"Saravanan","given":"S."}],"issued":{"date-parts":[["2024",5,23]]}}}],"schema":"https://github.com/citation-style-language/schema/raw/master/csl-citation.json"}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Anbarasu et al., 2024)</w:t>
      </w:r>
      <w:r w:rsidR="00F0347E" w:rsidRPr="006D5977">
        <w:rPr>
          <w:rFonts w:ascii="Arial" w:hAnsi="Arial" w:cs="Arial"/>
          <w:sz w:val="20"/>
          <w:szCs w:val="20"/>
          <w:lang w:val="en-US"/>
        </w:rPr>
        <w:fldChar w:fldCharType="end"/>
      </w:r>
      <w:r w:rsidR="00A007C0" w:rsidRPr="006D5977">
        <w:rPr>
          <w:rFonts w:ascii="Arial" w:hAnsi="Arial" w:cs="Arial"/>
          <w:sz w:val="20"/>
          <w:szCs w:val="20"/>
          <w:lang w:val="en-US"/>
        </w:rPr>
        <w:t>.</w:t>
      </w:r>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However, among the </w:t>
      </w:r>
      <w:r w:rsidR="00DD0456" w:rsidRPr="006D5977">
        <w:rPr>
          <w:rFonts w:ascii="Arial" w:hAnsi="Arial" w:cs="Arial"/>
          <w:sz w:val="20"/>
          <w:szCs w:val="20"/>
          <w:lang w:val="en-US"/>
        </w:rPr>
        <w:t>growing media</w:t>
      </w:r>
      <w:r w:rsidRPr="006D5977">
        <w:rPr>
          <w:rFonts w:ascii="Arial" w:hAnsi="Arial" w:cs="Arial"/>
          <w:sz w:val="20"/>
          <w:szCs w:val="20"/>
          <w:lang w:val="en-US"/>
        </w:rPr>
        <w:t>s tested, only SB, SC, and BC have a</w:t>
      </w:r>
      <w:r w:rsidR="007828AE" w:rsidRPr="006D5977">
        <w:rPr>
          <w:rFonts w:ascii="Arial" w:hAnsi="Arial" w:cs="Arial"/>
          <w:sz w:val="20"/>
          <w:szCs w:val="20"/>
          <w:lang w:val="en-US"/>
        </w:rPr>
        <w:t xml:space="preserve"> BD </w:t>
      </w:r>
      <w:r w:rsidRPr="006D5977">
        <w:rPr>
          <w:rFonts w:ascii="Arial" w:hAnsi="Arial" w:cs="Arial"/>
          <w:sz w:val="20"/>
          <w:szCs w:val="20"/>
          <w:lang w:val="en-US"/>
        </w:rPr>
        <w:t>that is within the recommended range (&lt; 400 kg/m³) for plant growth</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{"citationID":"QtFoTqAj","properties":{"formattedCitation":"(Abad et al., 2001)","plainCitation":"(Abad et al., 2001)","noteIndex":0},"citationItems":[{"id":3151,"uris":["http://zotero.org/users/6654317/items/PXWR6EPB","http://zotero.org/users/6654317/items/6VJFGS5Z"],"itemData":{"id":3151,"type":"article-journal","container-title":"Bioresource Technology","DOI":"10.1016/S0960-8524(00)00152-8","ISSN":"09608524","issue":"2","journalAbbreviation":"Bioresource Technology","language":"en","license":"https://www.elsevier.com/tdm/userlicense/1.0/","page":"197-200","source":"DOI.org (Crossref)","title":"National inventory of organic wastes for use as growing media for ornamental potted plant production: case study in Spain","title-short":"National inventory of organic wastes for use as growing media for ornamental potted plant production","volume":"77","author":[{"family":"Abad","given":"Manuel"},{"family":"Noguera","given":"Patricia"},{"family":"Burés","given":"Silvia"}],"issued":{"date-parts":[["2001",4]]}}}],"schema":"https://github.com/citation-style-language/schema/raw/master/csl-citation.json"}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 xml:space="preserve">Abad et al., </w:t>
      </w:r>
      <w:r w:rsidR="00251398">
        <w:rPr>
          <w:rFonts w:ascii="Arial" w:hAnsi="Arial" w:cs="Arial"/>
          <w:sz w:val="20"/>
          <w:lang w:val="en-US"/>
        </w:rPr>
        <w:t>(</w:t>
      </w:r>
      <w:r w:rsidR="00F1149B" w:rsidRPr="00F1149B">
        <w:rPr>
          <w:rFonts w:ascii="Arial" w:hAnsi="Arial" w:cs="Arial"/>
          <w:sz w:val="20"/>
          <w:lang w:val="en-US"/>
        </w:rPr>
        <w:t>2001)</w:t>
      </w:r>
      <w:r w:rsidR="00F0347E" w:rsidRPr="006D5977">
        <w:rPr>
          <w:rFonts w:ascii="Arial" w:hAnsi="Arial" w:cs="Arial"/>
          <w:sz w:val="20"/>
          <w:szCs w:val="20"/>
        </w:rPr>
        <w:fldChar w:fldCharType="end"/>
      </w:r>
      <w:r w:rsidRPr="006D5977">
        <w:rPr>
          <w:rFonts w:ascii="Arial" w:hAnsi="Arial" w:cs="Arial"/>
          <w:sz w:val="20"/>
          <w:szCs w:val="20"/>
          <w:lang w:val="en-US"/>
        </w:rPr>
        <w:t>, cited by</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{"citationID":"lYQZTO8M","properties":{"formattedCitation":"(Atzori et al., 2021)","plainCitation":"(Atzori et al., 2021)","noteIndex":0},"citationItems":[{"id":2552,"uris":["http://zotero.org/users/6654317/items/456Y7LP9","http://zotero.org/users/6654317/items/YI3T675Z"],"itemData":{"id":2552,"type":"article-journal","abstract":"Vegetable and ornamental crops require high input demand to adequately support their standard commercial quality and yield. For these crops, a very high level of agronomic use efficiency of many productive factors can be achieved in soilless culture. For example, the benefits derived from the adoption of soilless closed loops for the recirculation of the nutrient solution are well known as a benchmark of excellence for nutrient and water use efficiency. The challenges that we now face are as follows: (i) making soilless systems more inclusive of sustainable and eco-friendly growing substrates, possibly available at a local level; (ii) replacing chemicals with more sustainable products (e.g., organic active compounds) as much as possible for plant nutrition and protection. These goals can be addressed by following different approaches, but the adoption of peat-free organic substrates may play a central role. This work investigates four organic materials, i.e., biochar, coir, green compost, and wood fibers, to assess their role in plant nutrition and protection when used as components for the preparation of growing media in the soilless cultivation of containerized crops. In further detail, the work highlights how these materials may support normal agronomic practices.","container-title":"Agronomy","DOI":"10.3390/agronomy11061236","ISSN":"2073-4395","issue":"6","language":"en","license":"http://creativecommons.org/licenses/by/3.0/","note":"number: 6\npublisher: Multidisciplinary Digital Publishing Institute","page":"1236","source":"www.mdpi.com","title":"The Role of Peat-Free Organic Substrates in the Sustainable Management of Soilless Cultivations","volume":"11","author":[{"family":"Atzori","given":"Giulia"},{"family":"Pane","given":"Catello"},{"family":"Zaccardelli","given":"Massimo"},{"family":"Cacini","given":"Sonia"},{"family":"Massa","given":"Daniele"}],"issued":{"date-parts":[["2021",6]]}}}],"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rPr>
        <w:t xml:space="preserve">Atzori et al., </w:t>
      </w:r>
      <w:r w:rsidR="00251398">
        <w:rPr>
          <w:rFonts w:ascii="Arial" w:hAnsi="Arial" w:cs="Arial"/>
          <w:sz w:val="20"/>
        </w:rPr>
        <w:t>(</w:t>
      </w:r>
      <w:r w:rsidR="00F1149B" w:rsidRPr="00F1149B">
        <w:rPr>
          <w:rFonts w:ascii="Arial" w:hAnsi="Arial" w:cs="Arial"/>
          <w:sz w:val="20"/>
        </w:rPr>
        <w:t>2021)</w:t>
      </w:r>
      <w:r w:rsidR="00F0347E" w:rsidRPr="006D5977">
        <w:rPr>
          <w:rFonts w:ascii="Arial" w:hAnsi="Arial" w:cs="Arial"/>
          <w:sz w:val="20"/>
          <w:szCs w:val="20"/>
          <w:lang w:val="en-US"/>
        </w:rPr>
        <w:fldChar w:fldCharType="end"/>
      </w:r>
      <w:r w:rsidRPr="006D5977">
        <w:rPr>
          <w:rFonts w:ascii="Arial" w:hAnsi="Arial" w:cs="Arial"/>
          <w:sz w:val="20"/>
          <w:szCs w:val="20"/>
          <w:lang w:val="en-US"/>
        </w:rPr>
        <w:t>.</w:t>
      </w:r>
    </w:p>
    <w:p w:rsidR="00A007C0" w:rsidRPr="00F1149B" w:rsidRDefault="00A007C0" w:rsidP="00F1149B">
      <w:pPr>
        <w:pStyle w:val="ListParagraph"/>
        <w:numPr>
          <w:ilvl w:val="1"/>
          <w:numId w:val="20"/>
        </w:numPr>
        <w:spacing w:line="240" w:lineRule="auto"/>
        <w:jc w:val="both"/>
        <w:rPr>
          <w:rFonts w:ascii="Arial" w:hAnsi="Arial" w:cs="Arial"/>
          <w:b/>
          <w:bCs/>
          <w:lang w:val="en-US"/>
        </w:rPr>
      </w:pPr>
      <w:r w:rsidRPr="00F1149B">
        <w:rPr>
          <w:rFonts w:ascii="Arial" w:hAnsi="Arial" w:cs="Arial"/>
          <w:b/>
          <w:bCs/>
          <w:lang w:val="en-US"/>
        </w:rPr>
        <w:t xml:space="preserve">Water </w:t>
      </w:r>
      <w:r w:rsidR="007828AE" w:rsidRPr="00F1149B">
        <w:rPr>
          <w:rFonts w:ascii="Arial" w:hAnsi="Arial" w:cs="Arial"/>
          <w:b/>
          <w:bCs/>
          <w:lang w:val="en-US"/>
        </w:rPr>
        <w:t>holding</w:t>
      </w:r>
      <w:r w:rsidRPr="00F1149B">
        <w:rPr>
          <w:rFonts w:ascii="Arial" w:hAnsi="Arial" w:cs="Arial"/>
          <w:b/>
          <w:bCs/>
          <w:lang w:val="en-US"/>
        </w:rPr>
        <w:t xml:space="preserve"> capacity</w:t>
      </w:r>
      <w:r w:rsidR="007828AE" w:rsidRPr="00F1149B">
        <w:rPr>
          <w:rFonts w:ascii="Arial" w:hAnsi="Arial" w:cs="Arial"/>
          <w:b/>
          <w:bCs/>
          <w:lang w:val="en-US"/>
        </w:rPr>
        <w:t xml:space="preserve"> (WHC)</w:t>
      </w:r>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lastRenderedPageBreak/>
        <w:t xml:space="preserve">A good </w:t>
      </w:r>
      <w:r w:rsidR="00BC6D5E" w:rsidRPr="006D5977">
        <w:rPr>
          <w:rFonts w:ascii="Arial" w:hAnsi="Arial" w:cs="Arial"/>
          <w:sz w:val="20"/>
          <w:szCs w:val="20"/>
          <w:lang w:val="en-US"/>
        </w:rPr>
        <w:t>growing media</w:t>
      </w:r>
      <w:r w:rsidRPr="006D5977">
        <w:rPr>
          <w:rFonts w:ascii="Arial" w:hAnsi="Arial" w:cs="Arial"/>
          <w:sz w:val="20"/>
          <w:szCs w:val="20"/>
          <w:lang w:val="en-US"/>
        </w:rPr>
        <w:t xml:space="preserve"> must have good </w:t>
      </w:r>
      <w:r w:rsidR="00BC6D5E" w:rsidRPr="006D5977">
        <w:rPr>
          <w:rFonts w:ascii="Arial" w:hAnsi="Arial" w:cs="Arial"/>
          <w:sz w:val="20"/>
          <w:szCs w:val="20"/>
          <w:lang w:val="en-US"/>
        </w:rPr>
        <w:t>WHC</w:t>
      </w:r>
      <w:r w:rsidRPr="006D5977">
        <w:rPr>
          <w:rFonts w:ascii="Arial" w:hAnsi="Arial" w:cs="Arial"/>
          <w:sz w:val="20"/>
          <w:szCs w:val="20"/>
          <w:lang w:val="en-US"/>
        </w:rPr>
        <w:t xml:space="preserve"> and sufficient macropores to allow excess water to drain and prevent waterlogging</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{"citationID":"2VPTWfya","properties":{"formattedCitation":"(Wilkinson et al., 2014)","plainCitation":"(Wilkinson et al., 2014)","noteIndex":0},"citationItems":[{"id":3121,"uris":["http://zotero.org/users/6654317/items/TUSE7C6K"],"itemData":{"id":3121,"type":"article-journal","container-title":"United States Department of Agriculture Forest Service   Agriculture Handbook 732","language":"en","page":"376p","source":"Zotero","title":"Tropical Nursery Manual: A guide to starting and operating a nursery for native and traditional plants","author":[{"family":"Wilkinson","given":"Kim M."},{"family":"Thomas","given":"D. Landis"},{"family":"Diane","given":"L. Haase"},{"family":"Brian","given":"F. Daley"},{"family":"R. Kasten Dumroese","given":""}],"issued":{"date-parts":[["2014"]]}}}],"schema":"https://github.com/citation-style-language/schema/raw/master/csl-citation.json"}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(Wilkinson et al., 2014)</w:t>
      </w:r>
      <w:r w:rsidR="00F0347E" w:rsidRPr="006D5977">
        <w:rPr>
          <w:rFonts w:ascii="Arial" w:hAnsi="Arial" w:cs="Arial"/>
          <w:sz w:val="20"/>
          <w:szCs w:val="20"/>
        </w:rPr>
        <w:fldChar w:fldCharType="end"/>
      </w:r>
      <w:r w:rsidR="00BC6D5E" w:rsidRPr="006D5977">
        <w:rPr>
          <w:rFonts w:ascii="Arial" w:hAnsi="Arial" w:cs="Arial"/>
          <w:sz w:val="20"/>
          <w:szCs w:val="20"/>
          <w:lang w:val="en-US"/>
        </w:rPr>
        <w:t xml:space="preserve">. </w:t>
      </w:r>
      <w:r w:rsidRPr="006D5977">
        <w:rPr>
          <w:rFonts w:ascii="Arial" w:hAnsi="Arial" w:cs="Arial"/>
          <w:sz w:val="20"/>
          <w:szCs w:val="20"/>
          <w:lang w:val="en-US"/>
        </w:rPr>
        <w:t xml:space="preserve">The results showed that rice hull biochar increases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retention capacity. These results are consistent with those of</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{"citationID":"HKM14K3x","properties":{"formattedCitation":"(Asadi et al., 2021)","plainCitation":"(Asadi et al., 2021)","noteIndex":0},"citationItems":[{"id":1166,"uris":["http://zotero.org/users/6654317/items/NI7YCV9C"],"itemData":{"id":1166,"type":"article-journal","abstract":"This paper critically reviewed the current knowledge and challenges of rice husk biochar (RHB) production and its effects on soil properties, plant growth, immobilization of heavy metals, reduction of nutrient leaching and mitigation of greenhouse gas emissions. The characteristics of RHBs produced at various pyrolysis temperatures were discussed and compared to biochars derived from other agro- industrial wastes. RHBs produced at higher pyrolysis temperatures show lower hydrogen/carbon ratio, which suggests the presence of higher aromatic carbon compounds. The increase of pyrolysis temperature also results in production of RHBs with higher ash content, lower yield and higher surface area. RHB usually has higher silicon and ash contents and lower carbon content compared to biochars derived from other feedstocks at the same pyrolysis conditions. Although it depends on soil type, RHB application can improve soil organic carbon content, cation exchange capacity, available K concentration, bulk density and microbial activity. The effect of RHB on soil aggregation mainly depends on soil texture. The growth of different crops is also enhanced by application of RHB. RHB addition to soil can immobilize heavy metals and herbicides and reduce their bioavailability. RHB application shows a significant capacity in reduction of nitrate leaching, although its magnitude depends on the biochar application rate and soil biogeochemical characteristics. Use of RHB, especially in paddy fields, shows a promising mitigation effect on greenhouse gas (CH4, CO2 and N2O) emissions. Although RHB characteristics are also related to other factors such as pyrolysis heating rate and residence time, its performance for specific applications (e.g. carbon sequestration, pH amendment) can be manipulated by adjusting the pyrolysis temperature. More research is needed on long-term field applications of RHB to fully understand the advantages and disadvantages of RHB as a soil amendment.","container-title":"Rice Science","DOI":"10.1016/j.rsci.2021.05.004","ISSN":"1672-6308","issue":"4","journalAbbreviation":"Rice Science","language":"en","page":"325-343","source":"ScienceDirect","title":"Application of Rice Husk Biochar for Achieving Sustainable Agriculture and Environment","volume":"28","author":[{"family":"Asadi","given":"Hossein"},{"family":"Ghorbani","given":"Mohammad"},{"family":"Rezaei-Rashti","given":"Mehran"},{"family":"Abrishamkesh","given":"Sepideh"},{"family":"Amirahmadi","given":"Elnaz"},{"family":"Chengrong","given":"Chen"},{"family":"Gorji","given":"Manouchehr"}],"issued":{"date-parts":[["2021",7,1]]}}}],"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(Asadi et al., 2021</w:t>
      </w:r>
      <w:r w:rsidR="00F0347E" w:rsidRPr="006D5977">
        <w:rPr>
          <w:rFonts w:ascii="Arial" w:hAnsi="Arial" w:cs="Arial"/>
          <w:sz w:val="20"/>
          <w:szCs w:val="20"/>
          <w:lang w:val="en-US"/>
        </w:rPr>
        <w:fldChar w:fldCharType="end"/>
      </w:r>
      <w:r w:rsidR="00251398">
        <w:rPr>
          <w:rFonts w:ascii="Arial" w:hAnsi="Arial" w:cs="Arial"/>
          <w:sz w:val="20"/>
          <w:szCs w:val="20"/>
          <w:lang w:val="en-US"/>
        </w:rPr>
        <w:t>;</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{"citationID":"ys2jgeAS","properties":{"formattedCitation":"(Singh et al., 2017)","plainCitation":"(Singh et al., 2017)","noteIndex":0},"citationItems":[{"id":1235,"uris":["http://zotero.org/users/6654317/items/AKTXFRVM"],"itemData":{"id":1235,"type":"article-journal","abstract":"Investigations related to application of crop residues in benefit of soil fertility improvement, microbial diversity enhancement and agricultural productivity are scare. Therefore, impact of rice husk biochar (RHB) and microbial bio-formulation (CSR-BIO) on nitrogen (N) transformations and methanotrophs (CH4 consuming bacteria) population and soil properties were examined in paddy field condition during the year 2016. In this experiment, three treatment plots (in triplicates) i.e. (a) control, (b) RHB, (c) CSR-BIO, and (d) RHB+CSR-BIO were established in completely randomized block design (RBD). Across treatments, the average N-mineralization (1.83±0.05 μg g -1dry soil) and methanotrophs community (73.33 ± 9.50 × 105 MPN cells g-1 dry soil) was highest in RHB+CSR-BIO treated plots. ANOVA showed significant differences in soil properties (EC, pH, soil moisture, bulk density and WHC) due to treatments in faddy field condition. Results suggested that the application of RHB and CSR-BIO singly or in combination significantly enhance the rate of soil N-mineralization and number of CH4 consuming bacteria as well as soil properties improvement in paddy field.","container-title":"International Journal of Pure and Applied Bioscience","DOI":"10.18782/2320-7051.5870","journalAbbreviation":"International Journal of Pure and Applied Bioscience","page":"428-435","source":"ResearchGate","title":"Impact of Rice Husk Biochar on Nitrogen Mineralization and Methanotrophs Community Dynamics in Paddy Soil","volume":"5","author":[{"literal":"Singh"},{"family":"Tiwari","given":"Shashank"},{"family":"Singh","given":"Jay Shankar"}],"issued":{"date-parts":[["2017",10,9]]}}}],"schema":"https://github.com/citation-style-language/schema/raw/master/csl-citation.json"}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Singh et al., 2017)</w:t>
      </w:r>
      <w:r w:rsidR="00F0347E" w:rsidRPr="006D5977">
        <w:rPr>
          <w:rFonts w:ascii="Arial" w:hAnsi="Arial" w:cs="Arial"/>
          <w:sz w:val="20"/>
          <w:szCs w:val="20"/>
          <w:lang w:val="en-US"/>
        </w:rPr>
        <w:fldChar w:fldCharType="end"/>
      </w:r>
      <w:r w:rsidR="00BC6D5E" w:rsidRPr="006D5977">
        <w:rPr>
          <w:rFonts w:ascii="Arial" w:hAnsi="Arial" w:cs="Arial"/>
          <w:sz w:val="20"/>
          <w:szCs w:val="20"/>
          <w:lang w:val="en-US"/>
        </w:rPr>
        <w:t xml:space="preserve">. </w:t>
      </w:r>
      <w:r w:rsidRPr="006D5977">
        <w:rPr>
          <w:rFonts w:ascii="Arial" w:hAnsi="Arial" w:cs="Arial"/>
          <w:sz w:val="20"/>
          <w:szCs w:val="20"/>
          <w:lang w:val="en-US"/>
        </w:rPr>
        <w:t xml:space="preserve">Indeed, the addition of biochar improves the hydrophysical properties of </w:t>
      </w:r>
      <w:r w:rsidR="00BC6D5E" w:rsidRPr="006D5977">
        <w:rPr>
          <w:rFonts w:ascii="Arial" w:hAnsi="Arial" w:cs="Arial"/>
          <w:sz w:val="20"/>
          <w:szCs w:val="20"/>
          <w:lang w:val="en-US"/>
        </w:rPr>
        <w:t>growing</w:t>
      </w:r>
      <w:r w:rsidRPr="006D5977">
        <w:rPr>
          <w:rFonts w:ascii="Arial" w:hAnsi="Arial" w:cs="Arial"/>
          <w:sz w:val="20"/>
          <w:szCs w:val="20"/>
          <w:lang w:val="en-US"/>
        </w:rPr>
        <w:t xml:space="preserve"> media by increasing </w:t>
      </w:r>
      <w:r w:rsidR="00BC6D5E" w:rsidRPr="006D5977">
        <w:rPr>
          <w:rFonts w:ascii="Arial" w:hAnsi="Arial" w:cs="Arial"/>
          <w:sz w:val="20"/>
          <w:szCs w:val="20"/>
          <w:lang w:val="en-US"/>
        </w:rPr>
        <w:t>WHC</w:t>
      </w:r>
      <w:r w:rsidRPr="006D5977">
        <w:rPr>
          <w:rFonts w:ascii="Arial" w:hAnsi="Arial" w:cs="Arial"/>
          <w:sz w:val="20"/>
          <w:szCs w:val="20"/>
          <w:lang w:val="en-US"/>
        </w:rPr>
        <w:t>, as concluded</w:t>
      </w:r>
      <w:r w:rsidR="00F0347E" w:rsidRPr="004A187E">
        <w:rPr>
          <w:rFonts w:ascii="Arial" w:hAnsi="Arial" w:cs="Arial"/>
          <w:sz w:val="20"/>
          <w:szCs w:val="20"/>
          <w:highlight w:val="yellow"/>
        </w:rPr>
        <w:fldChar w:fldCharType="begin"/>
      </w:r>
      <w:r w:rsidR="00F1149B" w:rsidRPr="004A187E">
        <w:rPr>
          <w:rFonts w:ascii="Arial" w:hAnsi="Arial" w:cs="Arial"/>
          <w:sz w:val="20"/>
          <w:szCs w:val="20"/>
          <w:highlight w:val="yellow"/>
          <w:lang w:val="en-US"/>
        </w:rPr>
        <w:instrText xml:space="preserve"> ADDIN ZOTERO_ITEM CSL_CITATION {"citationID":"X5Vy3ik4","properties":{"formattedCitation":"(\\uc0\\u8220{}The Effect of Paper Sludge and Biochar Addition on Brown Peat and Coir Based Growing Media Properties,\\uc0\\u8221{} 2015)","plainCitation":"(“The Effect of Paper Sludge and Biochar Addition on Brown Peat and Coir Based Growing Media Properties,” 2015)","noteIndex":0},"citationItems":[{"id":3228,"uris":["http://zotero.org/users/6654317/items/BE6L77ZG","http://zotero.org/users/6654317/items/5U5K3UVD"],"itemData":{"id":3228,"type":"article-journal","abstract":"Peatlands are crucial sinks for carbon in the terrestrial ecosystem, but they are jeopardized by their use as fuel or as growing media. Much research …","container-title":"Scientia Horticulturae","DOI":"10.1016/j.scienta.2015.07.032","ISSN":"0304-4238","language":"en-US","note":"publisher: Elsevier","page":"225-230","source":"www.sciencedirect.com","title":"The effect of paper sludge and biochar addition on brown peat and coir based growing media properties","volume":"193","issued":{"date-parts":[["2015",9,22]]}}}],"schema":"https://github.com/citation-style-language/schema/raw/master/csl-citation.json"} </w:instrText>
      </w:r>
      <w:r w:rsidR="00F0347E" w:rsidRPr="004A187E">
        <w:rPr>
          <w:rFonts w:ascii="Arial" w:hAnsi="Arial" w:cs="Arial"/>
          <w:sz w:val="20"/>
          <w:szCs w:val="20"/>
          <w:highlight w:val="yellow"/>
        </w:rPr>
        <w:fldChar w:fldCharType="separate"/>
      </w:r>
      <w:r w:rsidR="00F1149B" w:rsidRPr="004A187E">
        <w:rPr>
          <w:rFonts w:ascii="Arial" w:hAnsi="Arial" w:cs="Arial"/>
          <w:sz w:val="20"/>
          <w:szCs w:val="24"/>
          <w:highlight w:val="yellow"/>
          <w:lang w:val="en-US"/>
        </w:rPr>
        <w:t>(“The Effect of Paper Sludge and Biochar Addition on Brown Peat and Coir Based Growing Media Properties,” 2015)</w:t>
      </w:r>
      <w:r w:rsidR="00F0347E" w:rsidRPr="004A187E">
        <w:rPr>
          <w:rFonts w:ascii="Arial" w:hAnsi="Arial" w:cs="Arial"/>
          <w:sz w:val="20"/>
          <w:szCs w:val="20"/>
          <w:highlight w:val="yellow"/>
        </w:rPr>
        <w:fldChar w:fldCharType="end"/>
      </w:r>
      <w:r w:rsidRPr="004A187E">
        <w:rPr>
          <w:rFonts w:ascii="Arial" w:hAnsi="Arial" w:cs="Arial"/>
          <w:sz w:val="20"/>
          <w:szCs w:val="20"/>
          <w:highlight w:val="yellow"/>
          <w:lang w:val="en-US"/>
        </w:rPr>
        <w:t>.</w:t>
      </w:r>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In accordance with the acceptability threshold for the retention capacity of a culture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set at a value &gt; 30% by</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{"citationID":"IR5SAhCP","properties":{"formattedCitation":"(M\\uc0\\u8217{}Sadak et al., 2016)","plainCitation":"(M’Sadak et al., 2016)","noteIndex":0},"citationItems":[{"id":937,"uris":["http://zotero.org/users/6654317/items/DM6CFXRY"],"itemData":{"id":937,"type":"article-journal","abstract":"In Tunisia, the composted forestry waste is extensively used in containers, to manage the optimal conditions for plants growth aboveground in nurseries, in order to produce quality plants regularly and in sufficient quantity. This study aims to assess the physical and hydraulic characteristics of a number of cultivation substrates based on forestry compost derived from Acacia braking, considered as the current substrate for the production of forestry plants in containers. In this respect, a series of simple mechanical vibrating and rotating screening under various meshes was undertaken in two modern forest nurseries in the Tunisian Sahel; one is in Chott Mariem and the other in Bembla II. The physical analysis of untreated and screened composts has concerned the dry bulk density and the porosities (total, aeration and retention). The hydraulic analysis has involved the pF curve and the time of rewetting of each substrate. The main obtained results showed that the tested substrates are particularly aerated, but with low water availability. For the substrates with coarse particles, the water penetration is relatively short compared to the fine-textured substrates. The Substrates derived from the rotating sieving have shown a rewetting time lower than that of the substrates derived from the vibrating sieving. Furthermore, greater the sieve mesh is, lower is the rewetting time. The forestry compost produced in Chott Mariem is undeniable, regarding the total porosity and aeration under the experimental conditions, and has satisfied the standard water retention in the raw and screened states (regardless of the nature and the mesh screening), however the compost of Bembla II was not consistent and its screening is entirely justified. In addition, its rotating screening, whatever the used mesh, did not much improve the porosity retention. For the dry bulk density, the latter has no handicap for the use of tested substrates in containers.","ISSN":"2170-1318","language":"fr","note":"Accepted: 2016-06","page":"96-107","source":"dspace.univ-ouargla.dz","title":"Comportement physique et hydrique des substrats de culture destinés aux pépinières forestières modernes (Sahel Tunisien)","volume":"6","author":[{"family":"M'Sadak","given":"Y"},{"literal":"El Amri A"},{"literal":"Majdoub R"},{"literal":"El Ghorbali L"}],"issued":{"date-parts":[["2016",6]]}}}],"schema":"https://github.com/citation-style-language/schema/raw/master/csl-citation.json"}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szCs w:val="24"/>
          <w:lang w:val="en-US"/>
        </w:rPr>
        <w:t xml:space="preserve">M’Sadak et al., </w:t>
      </w:r>
      <w:r w:rsidR="00251398">
        <w:rPr>
          <w:rFonts w:ascii="Arial" w:hAnsi="Arial" w:cs="Arial"/>
          <w:sz w:val="20"/>
          <w:szCs w:val="24"/>
          <w:lang w:val="en-US"/>
        </w:rPr>
        <w:t>(</w:t>
      </w:r>
      <w:r w:rsidR="00F1149B" w:rsidRPr="00F1149B">
        <w:rPr>
          <w:rFonts w:ascii="Arial" w:hAnsi="Arial" w:cs="Arial"/>
          <w:sz w:val="20"/>
          <w:szCs w:val="24"/>
          <w:lang w:val="en-US"/>
        </w:rPr>
        <w:t>2016)</w:t>
      </w:r>
      <w:r w:rsidR="00F0347E" w:rsidRPr="006D5977">
        <w:rPr>
          <w:rFonts w:ascii="Arial" w:hAnsi="Arial" w:cs="Arial"/>
          <w:sz w:val="20"/>
          <w:szCs w:val="20"/>
          <w:lang w:val="en-US"/>
        </w:rPr>
        <w:fldChar w:fldCharType="end"/>
      </w:r>
      <w:r w:rsidR="00BC6D5E" w:rsidRPr="006D5977">
        <w:rPr>
          <w:rFonts w:ascii="Arial" w:hAnsi="Arial" w:cs="Arial"/>
          <w:sz w:val="20"/>
          <w:szCs w:val="20"/>
          <w:lang w:val="en-US"/>
        </w:rPr>
        <w:t>, a</w:t>
      </w:r>
      <w:r w:rsidRPr="006D5977">
        <w:rPr>
          <w:rFonts w:ascii="Arial" w:hAnsi="Arial" w:cs="Arial"/>
          <w:sz w:val="20"/>
          <w:szCs w:val="20"/>
          <w:lang w:val="en-US"/>
        </w:rPr>
        <w:t xml:space="preserve">ll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s have a consistent </w:t>
      </w:r>
      <w:r w:rsidR="00BC6D5E" w:rsidRPr="006D5977">
        <w:rPr>
          <w:rFonts w:ascii="Arial" w:hAnsi="Arial" w:cs="Arial"/>
          <w:sz w:val="20"/>
          <w:szCs w:val="20"/>
          <w:lang w:val="en-US"/>
        </w:rPr>
        <w:t>WHC</w:t>
      </w:r>
      <w:r w:rsidRPr="006D5977">
        <w:rPr>
          <w:rFonts w:ascii="Arial" w:hAnsi="Arial" w:cs="Arial"/>
          <w:sz w:val="20"/>
          <w:szCs w:val="20"/>
          <w:lang w:val="en-US"/>
        </w:rPr>
        <w:t>. However,</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{"citationID":"QriOVx5m","properties":{"formattedCitation":"(Dede &amp; Oztekin, 2018)","plainCitation":"(Dede &amp; Oztekin, 2018)","noteIndex":0},"citationItems":[{"id":3207,"uris":["http://zotero.org/users/6654317/items/R5RD2ADD"],"itemData":{"id":3207,"type":"article-journal","container-title":"APPLIED ECOLOGY AND ENVIRONMENTAL RESEARCH","issue":"2","page":"1173–1184","source":"Google Scholar","title":"RELATIONSHIP BETWEEN OPTICAL MICROSCOPIC STRUCTURE AND PHYSICAL CHARACTERIZATION OF ORGANIC WASTES ORIGINATED PEAT SUBSTITUTES","volume":"16","author":[{"family":"Dede","given":"OH"},{"family":"Oztekin","given":"MH"}],"issued":{"date-parts":[["2018"]]}}}],"schema":"https://github.com/citation-style-language/schema/raw/master/csl-citation.json"}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 xml:space="preserve">Dede &amp; Oztekin, </w:t>
      </w:r>
      <w:r w:rsidR="00251398">
        <w:rPr>
          <w:rFonts w:ascii="Arial" w:hAnsi="Arial" w:cs="Arial"/>
          <w:sz w:val="20"/>
          <w:lang w:val="en-US"/>
        </w:rPr>
        <w:t>(</w:t>
      </w:r>
      <w:r w:rsidR="00F1149B" w:rsidRPr="00F1149B">
        <w:rPr>
          <w:rFonts w:ascii="Arial" w:hAnsi="Arial" w:cs="Arial"/>
          <w:sz w:val="20"/>
          <w:lang w:val="en-US"/>
        </w:rPr>
        <w:t>2018)</w:t>
      </w:r>
      <w:r w:rsidR="00F0347E" w:rsidRPr="006D5977">
        <w:rPr>
          <w:rFonts w:ascii="Arial" w:hAnsi="Arial" w:cs="Arial"/>
          <w:sz w:val="20"/>
          <w:szCs w:val="20"/>
          <w:lang w:val="en-US"/>
        </w:rPr>
        <w:fldChar w:fldCharType="end"/>
      </w:r>
      <w:r w:rsidR="00BC6D5E" w:rsidRPr="006D5977">
        <w:rPr>
          <w:rFonts w:ascii="Arial" w:hAnsi="Arial" w:cs="Arial"/>
          <w:sz w:val="20"/>
          <w:szCs w:val="20"/>
          <w:lang w:val="en-US"/>
        </w:rPr>
        <w:t xml:space="preserve"> a</w:t>
      </w:r>
      <w:r w:rsidRPr="006D5977">
        <w:rPr>
          <w:rFonts w:ascii="Arial" w:hAnsi="Arial" w:cs="Arial"/>
          <w:sz w:val="20"/>
          <w:szCs w:val="20"/>
          <w:lang w:val="en-US"/>
        </w:rPr>
        <w:t>nd</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{"citationID":"ihYY0Sw7","properties":{"formattedCitation":"(Abad et al., 2001)","plainCitation":"(Abad et al., 2001)","noteIndex":0},"citationItems":[{"id":3151,"uris":["http://zotero.org/users/6654317/items/PXWR6EPB","http://zotero.org/users/6654317/items/6VJFGS5Z"],"itemData":{"id":3151,"type":"article-journal","container-title":"Bioresource Technology","DOI":"10.1016/S0960-8524(00)00152-8","ISSN":"09608524","issue":"2","journalAbbreviation":"Bioresource Technology","language":"en","license":"https://www.elsevier.com/tdm/userlicense/1.0/","page":"197-200","source":"DOI.org (Crossref)","title":"National inventory of organic wastes for use as growing media for ornamental potted plant production: case study in Spain","title-short":"National inventory of organic wastes for use as growing media for ornamental potted plant production","volume":"77","author":[{"family":"Abad","given":"Manuel"},{"family":"Noguera","given":"Patricia"},{"family":"Burés","given":"Silvia"}],"issued":{"date-parts":[["2001",4]]}}}],"schema":"https://github.com/citation-style-language/schema/raw/master/csl-citation.json"}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 xml:space="preserve">Abad et al., </w:t>
      </w:r>
      <w:r w:rsidR="00251398">
        <w:rPr>
          <w:rFonts w:ascii="Arial" w:hAnsi="Arial" w:cs="Arial"/>
          <w:sz w:val="20"/>
          <w:lang w:val="en-US"/>
        </w:rPr>
        <w:t>(</w:t>
      </w:r>
      <w:r w:rsidR="00F1149B" w:rsidRPr="00F1149B">
        <w:rPr>
          <w:rFonts w:ascii="Arial" w:hAnsi="Arial" w:cs="Arial"/>
          <w:sz w:val="20"/>
          <w:lang w:val="en-US"/>
        </w:rPr>
        <w:t>2001)</w:t>
      </w:r>
      <w:r w:rsidR="00F0347E" w:rsidRPr="006D5977">
        <w:rPr>
          <w:rFonts w:ascii="Arial" w:hAnsi="Arial" w:cs="Arial"/>
          <w:sz w:val="20"/>
          <w:szCs w:val="20"/>
          <w:lang w:val="en-US"/>
        </w:rPr>
        <w:fldChar w:fldCharType="end"/>
      </w:r>
      <w:r w:rsidRPr="006D5977">
        <w:rPr>
          <w:rFonts w:ascii="Arial" w:hAnsi="Arial" w:cs="Arial"/>
          <w:sz w:val="20"/>
          <w:szCs w:val="20"/>
          <w:lang w:val="en-US"/>
        </w:rPr>
        <w:t xml:space="preserve">recommend a retention capacity ≥ 60%, for a growing </w:t>
      </w:r>
      <w:r w:rsidR="00DD0456" w:rsidRPr="006D5977">
        <w:rPr>
          <w:rFonts w:ascii="Arial" w:hAnsi="Arial" w:cs="Arial"/>
          <w:sz w:val="20"/>
          <w:szCs w:val="20"/>
          <w:lang w:val="en-US"/>
        </w:rPr>
        <w:t>media</w:t>
      </w:r>
      <w:r w:rsidRPr="006D5977">
        <w:rPr>
          <w:rFonts w:ascii="Arial" w:hAnsi="Arial" w:cs="Arial"/>
          <w:sz w:val="20"/>
          <w:szCs w:val="20"/>
          <w:lang w:val="en-US"/>
        </w:rPr>
        <w:t>.</w:t>
      </w:r>
    </w:p>
    <w:p w:rsidR="00A007C0" w:rsidRPr="00F1149B" w:rsidRDefault="00A007C0" w:rsidP="00F1149B">
      <w:pPr>
        <w:pStyle w:val="ListParagraph"/>
        <w:numPr>
          <w:ilvl w:val="1"/>
          <w:numId w:val="20"/>
        </w:numPr>
        <w:spacing w:line="240" w:lineRule="auto"/>
        <w:jc w:val="both"/>
        <w:rPr>
          <w:rFonts w:ascii="Arial" w:hAnsi="Arial" w:cs="Arial"/>
          <w:b/>
          <w:bCs/>
          <w:lang w:val="en-US"/>
        </w:rPr>
      </w:pPr>
      <w:r w:rsidRPr="00F1149B">
        <w:rPr>
          <w:rFonts w:ascii="Arial" w:hAnsi="Arial" w:cs="Arial"/>
          <w:b/>
          <w:bCs/>
          <w:lang w:val="en-US"/>
        </w:rPr>
        <w:t>Porosity</w:t>
      </w:r>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Large pores play an important role in allowing roots, gas, and water to penetrate the soil. The greater the density of pores (macropres), the more the soil can be exploited by plant roots</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{"citationID":"niD2bsqO","properties":{"formattedCitation":"(Scott et al., 1988)","plainCitation":"(Scott et al., 1988)","noteIndex":0},"citationItems":[{"id":3211,"uris":["http://zotero.org/users/6654317/items/AY2YSXMQ"],"itemData":{"id":3211,"type":"article-journal","abstract":"The numerical density, Nv, of the pore structure of soil is the number of disjoint networks of pores per unit volume of soil. A method is described for estimating Nv of patterns of cracks that dominate in many clay subsoils. The cracks are photographed from numerous close-spaced parallel sections and skeletonized; by comparing the skeletonized photographs sequentially, individual networks are tracked from one section to another and counted. The average number of networks that appears or disappears per section in the sequence is a measure of the numerical density and is obtained by regressing the counts on the volume of soil spanned by the sections. The regressions for appearances and disappearances converge on one another and stabilize within 10 to 20 sections, so that Nv can be estimated for a sample of soil with moderate effort. Estimates of Nv for cracks wider than 60 μm in subsoil of the Windsor series, sampled at two nearby sites and 5 years apart in time and determined from sections at 50 μm intervals, were approximately 32 cm−3 and 36cm−3. That of Nv in the Swanwick series subsoil nearby was about 75 cm−3.","container-title":"Journal of Soil Science","DOI":"10.1111/j.1365-2389.1988.tb01217.x","ISSN":"1365-2389","issue":"3","language":"en","note":"_eprint: https://bsssjournals.onlinelibrary.wiley.com/doi/pdf/10.1111/j.1365-2389.1988.tb01217.x","page":"303-314","source":"Wiley Online Library","title":"The topology of pore structure in cracking clay soil I. The estimation of numerical density","volume":"39","author":[{"family":"Scott","given":"G. J. T."},{"family":"Webster","given":"R."},{"family":"Nortcliff","given":"S."}],"issued":{"date-parts":[["1988"]]}}}],"schema":"https://github.com/citation-style-language/schema/raw/master/csl-citation.json"}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(Scott et al., 1988)</w:t>
      </w:r>
      <w:r w:rsidR="00F0347E" w:rsidRPr="006D5977">
        <w:rPr>
          <w:rFonts w:ascii="Arial" w:hAnsi="Arial" w:cs="Arial"/>
          <w:sz w:val="20"/>
          <w:szCs w:val="20"/>
        </w:rPr>
        <w:fldChar w:fldCharType="end"/>
      </w:r>
      <w:r w:rsidR="00BC6D5E" w:rsidRPr="006D5977">
        <w:rPr>
          <w:rFonts w:ascii="Arial" w:hAnsi="Arial" w:cs="Arial"/>
          <w:sz w:val="20"/>
          <w:szCs w:val="20"/>
          <w:lang w:val="en-US"/>
        </w:rPr>
        <w:t xml:space="preserve">. </w:t>
      </w:r>
      <w:r w:rsidRPr="006D5977">
        <w:rPr>
          <w:rFonts w:ascii="Arial" w:hAnsi="Arial" w:cs="Arial"/>
          <w:sz w:val="20"/>
          <w:szCs w:val="20"/>
          <w:lang w:val="en-US"/>
        </w:rPr>
        <w:t xml:space="preserve">The results showed that rice hull biochar increases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porosity, which corroborates the findings of previous work</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{"citationID":"E3MouRIx","properties":{"formattedCitation":"(Singh et al., 2017)","plainCitation":"(Singh et al., 2017)","noteIndex":0},"citationItems":[{"id":1235,"uris":["http://zotero.org/users/6654317/items/AKTXFRVM"],"itemData":{"id":1235,"type":"article-journal","abstract":"Investigations related to application of crop residues in benefit of soil fertility improvement, microbial diversity enhancement and agricultural productivity are scare. Therefore, impact of rice husk biochar (RHB) and microbial bio-formulation (CSR-BIO) on nitrogen (N) transformations and methanotrophs (CH4 consuming bacteria) population and soil properties were examined in paddy field condition during the year 2016. In this experiment, three treatment plots (in triplicates) i.e. (a) control, (b) RHB, (c) CSR-BIO, and (d) RHB+CSR-BIO were established in completely randomized block design (RBD). Across treatments, the average N-mineralization (1.83±0.05 μg g -1dry soil) and methanotrophs community (73.33 ± 9.50 × 105 MPN cells g-1 dry soil) was highest in RHB+CSR-BIO treated plots. ANOVA showed significant differences in soil properties (EC, pH, soil moisture, bulk density and WHC) due to treatments in faddy field condition. Results suggested that the application of RHB and CSR-BIO singly or in combination significantly enhance the rate of soil N-mineralization and number of CH4 consuming bacteria as well as soil properties improvement in paddy field.","container-title":"International Journal of Pure and Applied Bioscience","DOI":"10.18782/2320-7051.5870","journalAbbreviation":"International Journal of Pure and Applied Bioscience","page":"428-435","source":"ResearchGate","title":"Impact of Rice Husk Biochar on Nitrogen Mineralization and Methanotrophs Community Dynamics in Paddy Soil","volume":"5","author":[{"literal":"Singh"},{"family":"Tiwari","given":"Shashank"},{"family":"Singh","given":"Jay Shankar"}],"issued":{"date-parts":[["2017",10,9]]}}}],"schema":"https://github.com/citation-style-language/schema/raw/master/csl-citation.json"}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rPr>
        <w:t>(Singh et al., 2017</w:t>
      </w:r>
      <w:r w:rsidR="00F0347E" w:rsidRPr="006D5977">
        <w:rPr>
          <w:rFonts w:ascii="Arial" w:hAnsi="Arial" w:cs="Arial"/>
          <w:sz w:val="20"/>
          <w:szCs w:val="20"/>
          <w:lang w:val="en-US"/>
        </w:rPr>
        <w:fldChar w:fldCharType="end"/>
      </w:r>
      <w:r w:rsidR="00251398">
        <w:rPr>
          <w:rFonts w:ascii="Arial" w:hAnsi="Arial" w:cs="Arial"/>
          <w:sz w:val="20"/>
          <w:szCs w:val="20"/>
          <w:lang w:val="en-US"/>
        </w:rPr>
        <w:t xml:space="preserve"> ;</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{"citationID":"7pHGRdZF","properties":{"formattedCitation":"(Asadi et al., 2021)","plainCitation":"(Asadi et al., 2021)","noteIndex":0},"citationItems":[{"id":1166,"uris":["http://zotero.org/users/6654317/items/NI7YCV9C"],"itemData":{"id":1166,"type":"article-journal","abstract":"This paper critically reviewed the current knowledge and challenges of rice husk biochar (RHB) production and its effects on soil properties, plant growth, immobilization of heavy metals, reduction of nutrient leaching and mitigation of greenhouse gas emissions. The characteristics of RHBs produced at various pyrolysis temperatures were discussed and compared to biochars derived from other agro- industrial wastes. RHBs produced at higher pyrolysis temperatures show lower hydrogen/carbon ratio, which suggests the presence of higher aromatic carbon compounds. The increase of pyrolysis temperature also results in production of RHBs with higher ash content, lower yield and higher surface area. RHB usually has higher silicon and ash contents and lower carbon content compared to biochars derived from other feedstocks at the same pyrolysis conditions. Although it depends on soil type, RHB application can improve soil organic carbon content, cation exchange capacity, available K concentration, bulk density and microbial activity. The effect of RHB on soil aggregation mainly depends on soil texture. The growth of different crops is also enhanced by application of RHB. RHB addition to soil can immobilize heavy metals and herbicides and reduce their bioavailability. RHB application shows a significant capacity in reduction of nitrate leaching, although its magnitude depends on the biochar application rate and soil biogeochemical characteristics. Use of RHB, especially in paddy fields, shows a promising mitigation effect on greenhouse gas (CH4, CO2 and N2O) emissions. Although RHB characteristics are also related to other factors such as pyrolysis heating rate and residence time, its performance for specific applications (e.g. carbon sequestration, pH amendment) can be manipulated by adjusting the pyrolysis temperature. More research is needed on long-term field applications of RHB to fully understand the advantages and disadvantages of RHB as a soil amendment.","container-title":"Rice Science","DOI":"10.1016/j.rsci.2021.05.004","ISSN":"1672-6308","issue":"4","journalAbbreviation":"Rice Science","language":"en","page":"325-343","source":"ScienceDirect","title":"Application of Rice Husk Biochar for Achieving Sustainable Agriculture and Environment","volume":"28","author":[{"family":"Asadi","given":"Hossein"},{"family":"Ghorbani","given":"Mohammad"},{"family":"Rezaei-Rashti","given":"Mehran"},{"family":"Abrishamkesh","given":"Sepideh"},{"family":"Amirahmadi","given":"Elnaz"},{"family":"Chengrong","given":"Chen"},{"family":"Gorji","given":"Manouchehr"}],"issued":{"date-parts":[["2021",7,1]]}}}],"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Asadi et al., 2021)</w:t>
      </w:r>
      <w:r w:rsidR="00F0347E" w:rsidRPr="006D5977">
        <w:rPr>
          <w:rFonts w:ascii="Arial" w:hAnsi="Arial" w:cs="Arial"/>
          <w:sz w:val="20"/>
          <w:szCs w:val="20"/>
          <w:lang w:val="en-US"/>
        </w:rPr>
        <w:fldChar w:fldCharType="end"/>
      </w:r>
      <w:r w:rsidR="00BC6D5E" w:rsidRPr="006D5977">
        <w:rPr>
          <w:rFonts w:ascii="Arial" w:hAnsi="Arial" w:cs="Arial"/>
          <w:sz w:val="20"/>
          <w:szCs w:val="20"/>
          <w:lang w:val="en-US"/>
        </w:rPr>
        <w:t xml:space="preserve">. </w:t>
      </w:r>
      <w:r w:rsidRPr="006D5977">
        <w:rPr>
          <w:rFonts w:ascii="Arial" w:hAnsi="Arial" w:cs="Arial"/>
          <w:sz w:val="20"/>
          <w:szCs w:val="20"/>
          <w:lang w:val="en-US"/>
        </w:rPr>
        <w:t>This improvement in porosity could be due to the highly complex porous structure of rice hull biochar, as noted</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{"citationID":"QBcU7zo5","properties":{"formattedCitation":"(Abrishamkesh et al., 2015)","plainCitation":"(Abrishamkesh et al., 2015)","noteIndex":0},"citationItems":[{"id":1175,"uris":["http://zotero.org/users/6654317/items/M4RZ6PPI"],"itemData":{"id":1175,"type":"article-journal","abstract":"This study evaluated the effects of biochar application on some properties of an alkaline soil and on lentil (Lens culinaris Medik) growth. Lentils were grown in the soil amended with the rates of 0.4, 0.8, 1.6, 2.4, and 3.3 weight percent of two biochars (B1 and B2), produced from rice husk under different pyrolysis conditions. Lentils were harvested after 70 days. Soil samples were also analysed for changes in physico-chemical properties. The results indicated that biochar application significantly increased soil organic carbon, cation exchange capacity, available potassium and below ground biomass of lentil, while it decreased soil bulk density. The results suggested that biochar application to alkaline soils has benefits to both soil quality and plant growth.","container-title":"Plant, Soil and Environment","DOI":"10.17221/117/2015-PSE","ISSN":"12141178, 18059368","issue":"11","journalAbbreviation":"Plant Soil Environ.","language":"en","page":"475-482","source":"DOI.org (Crossref)","title":"Effects of rice husk biochar application on the properties of alkaline soil and lentil growth","volume":"61","author":[{"family":"Abrishamkesh","given":"S."},{"family":"Gorji","given":"M."},{"family":"Asadi","given":"H."},{"family":"Bagheri-Marandi","given":"G.H."},{"family":"Pourbabaee","given":"A.A."}],"issued":{"date-parts":[["2015",11,30]]}}}],"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 xml:space="preserve">Abrishamkesh et al., </w:t>
      </w:r>
      <w:r w:rsidR="00251398">
        <w:rPr>
          <w:rFonts w:ascii="Arial" w:hAnsi="Arial" w:cs="Arial"/>
          <w:sz w:val="20"/>
          <w:lang w:val="en-US"/>
        </w:rPr>
        <w:t>(</w:t>
      </w:r>
      <w:r w:rsidR="00F1149B" w:rsidRPr="00F1149B">
        <w:rPr>
          <w:rFonts w:ascii="Arial" w:hAnsi="Arial" w:cs="Arial"/>
          <w:sz w:val="20"/>
          <w:lang w:val="en-US"/>
        </w:rPr>
        <w:t>2015)</w:t>
      </w:r>
      <w:r w:rsidR="00F0347E" w:rsidRPr="006D5977">
        <w:rPr>
          <w:rFonts w:ascii="Arial" w:hAnsi="Arial" w:cs="Arial"/>
          <w:sz w:val="20"/>
          <w:szCs w:val="20"/>
          <w:lang w:val="en-US"/>
        </w:rPr>
        <w:fldChar w:fldCharType="end"/>
      </w:r>
      <w:r w:rsidR="00251398">
        <w:rPr>
          <w:rFonts w:ascii="Arial" w:hAnsi="Arial" w:cs="Arial"/>
          <w:sz w:val="20"/>
          <w:szCs w:val="20"/>
          <w:lang w:val="en-US"/>
        </w:rPr>
        <w:t xml:space="preserve">and </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{"citationID":"bIz9tPbr","properties":{"formattedCitation":"(Munda et al., 2016)","plainCitation":"(Munda et al., 2016)","noteIndex":0},"citationItems":[{"id":1208,"uris":["http://zotero.org/users/6654317/items/ML9P9BBK"],"itemData":{"id":1208,"type":"article-journal","abstract":"The effects of rice husk biochar (BC) and coal fly ash (FA) on growth and yield of rice and soil properties were investigated in a lowland rice soil. All growth parameters and yield were positively influenced by the integrated application of BC, FA and chemical fertilisers compared with sole application of chemical fertilisers. Yield increase was 16.4% when BC+FA was applied together with 50% of the recommended dose of nitrogen (N) compared with the recommended dose of N, phosphorus and potassium (NPK). Post-harvest soil analysis suggested that BC and FA both act as a supplier, as well as a reservoir of nutrients. Accumulation of heavy metals in soil and plant parts after harvest was below the toxicity threshold for plants and humans. There was also no significant change in microbial population compared with the initial soil. Therefore, combined application of BC and FA supplemented with chemical fertilisers could be recommended to improve soil fertility and crop productivity without affecting the soil quality.","container-title":"Soil Research","DOI":"10.1071/SR15295","ISSN":"1838-6768, 1838-6768","issue":"4","journalAbbreviation":"Soil Res.","language":"en","note":"publisher: CSIRO PUBLISHING","page":"451-459","source":"www.publish.csiro.au","title":"Combined application of rice husk biochar and fly ash improved the yield of lowland rice","volume":"54","author":[{"family":"Munda","given":"Sushmita"},{"family":"Nayak","given":"A. K."},{"family":"Mishra","given":"P. N."},{"family":"Bhattacharyya","given":"P."},{"family":"Mohanty","given":"Sangita"},{"family":"Kumar","given":"Anjani"},{"family":"Kumar","given":"Upendra"},{"family":"Baig","given":"M. J."},{"family":"Tripathi","given":"Rahul"},{"family":"Shahid","given":"Mohammad"},{"family":"Adak","given":"Totan"},{"family":"Thilagam","given":"V. Kasturi"},{"family":"Munda","given":"Sushmita"},{"family":"Nayak","given":"A. K."},{"family":"Mishra","given":"P. N."},{"family":"Bhattacharyya","given":"P."},{"family":"Mohanty","given":"Sangita"},{"family":"Kumar","given":"Anjani"},{"family":"Kumar","given":"Upendra"},{"family":"Baig","given":"M. J."},{"family":"Tripathi","given":"Rahul"},{"family":"Shahid","given":"Mohammad"},{"family":"Adak","given":"Totan"},{"family":"Thilagam","given":"V. Kasturi"}],"issued":{"date-parts":[["2016",6,3]]}}}],"schema":"https://github.com/citation-style-language/schema/raw/master/csl-citation.json"}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 xml:space="preserve">Munda et al., </w:t>
      </w:r>
      <w:r w:rsidR="00251398">
        <w:rPr>
          <w:rFonts w:ascii="Arial" w:hAnsi="Arial" w:cs="Arial"/>
          <w:sz w:val="20"/>
          <w:lang w:val="en-US"/>
        </w:rPr>
        <w:t>(</w:t>
      </w:r>
      <w:r w:rsidR="00F1149B" w:rsidRPr="00F1149B">
        <w:rPr>
          <w:rFonts w:ascii="Arial" w:hAnsi="Arial" w:cs="Arial"/>
          <w:sz w:val="20"/>
          <w:lang w:val="en-US"/>
        </w:rPr>
        <w:t>2016)</w:t>
      </w:r>
      <w:r w:rsidR="00F0347E" w:rsidRPr="006D5977">
        <w:rPr>
          <w:rFonts w:ascii="Arial" w:hAnsi="Arial" w:cs="Arial"/>
          <w:sz w:val="20"/>
          <w:szCs w:val="20"/>
          <w:lang w:val="en-US"/>
        </w:rPr>
        <w:fldChar w:fldCharType="end"/>
      </w:r>
      <w:r w:rsidR="0013418E" w:rsidRPr="006D5977">
        <w:rPr>
          <w:rFonts w:ascii="Arial" w:hAnsi="Arial" w:cs="Arial"/>
          <w:sz w:val="20"/>
          <w:szCs w:val="20"/>
          <w:lang w:val="en-US"/>
        </w:rPr>
        <w:t xml:space="preserve">. </w:t>
      </w:r>
      <w:r w:rsidRPr="006D5977">
        <w:rPr>
          <w:rFonts w:ascii="Arial" w:hAnsi="Arial" w:cs="Arial"/>
          <w:sz w:val="20"/>
          <w:szCs w:val="20"/>
          <w:lang w:val="en-US"/>
        </w:rPr>
        <w:t xml:space="preserve">It should be noted that all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s meet the total porosity standards which must, according to </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{"citationID":"iadK0n2A","properties":{"formattedCitation":"(Nzengue et al., 2024)","plainCitation":"(Nzengue et al., 2024)","noteIndex":0},"citationItems":[{"id":3202,"uris":["http://zotero.org/users/6654317/items/TFUGEIZJ"],"itemData":{"id":3202,"type":"article-journal","container-title":"Journal of Animal &amp; Plant Sciences","issue":"2","page":"11004 -11014","source":"Google Scholar","title":"Étude de l’impact des substrats locaux sur la germination et la croissance des plants de tomate de la variété BENTO 02 en pépinière au Gabon","volume":"60","author":[{"family":"Nzengue","given":"Ephrem"},{"family":"GNACADJA","given":"Kouassi Claude"},{"family":"MOMBO","given":"Stéphane"},{"family":"MAVOUROULOU","given":"Quentin MOUNDOUNGA"},{"family":"MANDJEDI-MANDJEDI","given":"Christ-Marvin"},{"family":"BOUROBOU","given":"Dyana NDIADE"},{"family":"BIROUNGOU","given":"Chamforth"},{"family":"ZINGA","given":"Christophe Roland"}],"issued":{"date-parts":[["2024"]]}}}],"schema":"https://github.com/citation-style-language/schema/raw/master/csl-citation.json"}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 xml:space="preserve">Nzengue et al., </w:t>
      </w:r>
      <w:r w:rsidR="00251398">
        <w:rPr>
          <w:rFonts w:ascii="Arial" w:hAnsi="Arial" w:cs="Arial"/>
          <w:sz w:val="20"/>
          <w:lang w:val="en-US"/>
        </w:rPr>
        <w:t>(</w:t>
      </w:r>
      <w:r w:rsidR="00F1149B" w:rsidRPr="00F1149B">
        <w:rPr>
          <w:rFonts w:ascii="Arial" w:hAnsi="Arial" w:cs="Arial"/>
          <w:sz w:val="20"/>
          <w:lang w:val="en-US"/>
        </w:rPr>
        <w:t>2024)</w:t>
      </w:r>
      <w:r w:rsidR="00F0347E" w:rsidRPr="006D5977">
        <w:rPr>
          <w:rFonts w:ascii="Arial" w:hAnsi="Arial" w:cs="Arial"/>
          <w:sz w:val="20"/>
          <w:szCs w:val="20"/>
          <w:lang w:val="en-US"/>
        </w:rPr>
        <w:fldChar w:fldCharType="end"/>
      </w:r>
      <w:r w:rsidR="0013418E" w:rsidRPr="006D5977">
        <w:rPr>
          <w:rFonts w:ascii="Arial" w:hAnsi="Arial" w:cs="Arial"/>
          <w:sz w:val="20"/>
          <w:szCs w:val="20"/>
          <w:lang w:val="en-US"/>
        </w:rPr>
        <w:t xml:space="preserve">, </w:t>
      </w:r>
      <w:r w:rsidRPr="006D5977">
        <w:rPr>
          <w:rFonts w:ascii="Arial" w:hAnsi="Arial" w:cs="Arial"/>
          <w:sz w:val="20"/>
          <w:szCs w:val="20"/>
          <w:lang w:val="en-US"/>
        </w:rPr>
        <w:t>be ≥ 50%.</w:t>
      </w:r>
    </w:p>
    <w:p w:rsidR="00A007C0" w:rsidRPr="006D5977" w:rsidRDefault="00DD0456" w:rsidP="005D29FE">
      <w:pPr>
        <w:spacing w:line="240" w:lineRule="auto"/>
        <w:jc w:val="both"/>
        <w:rPr>
          <w:rFonts w:ascii="Arial" w:hAnsi="Arial" w:cs="Arial"/>
          <w:sz w:val="20"/>
          <w:szCs w:val="20"/>
          <w:lang w:val="en-US"/>
        </w:rPr>
      </w:pPr>
      <w:r w:rsidRPr="006D5977">
        <w:rPr>
          <w:rFonts w:ascii="Arial" w:hAnsi="Arial" w:cs="Arial"/>
          <w:sz w:val="20"/>
          <w:szCs w:val="20"/>
          <w:lang w:val="en-US"/>
        </w:rPr>
        <w:t>Growing media</w:t>
      </w:r>
      <w:r w:rsidR="00A007C0" w:rsidRPr="006D5977">
        <w:rPr>
          <w:rFonts w:ascii="Arial" w:hAnsi="Arial" w:cs="Arial"/>
          <w:sz w:val="20"/>
          <w:szCs w:val="20"/>
          <w:lang w:val="en-US"/>
        </w:rPr>
        <w:t>s with the lowest aeration porosities are those with the finest particle size distribution, particularly SA and SD. This corroborates the findings of the work of</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{"citationID":"g5iQMtoG","properties":{"formattedCitation":"(M\\uc0\\u8217{}Sadak &amp; Bouallegue, 2015)","plainCitation":"(M’Sadak &amp; Bouallegue, 2015)","noteIndex":0},"citationItems":[{"id":1648,"uris":["http://zotero.org/users/6654317/items/VIAU4TN4"],"itemData":{"id":1648,"type":"article-journal","abstract":"The present work aims to study the potential valorization of composts exhausted cunicoles for aboveground vegetable plants. In a device complete random block with three repetitions, five composts in a pure state or in mixture and a witness are tested under tomato in seedbed except ground. They got results enable us to confirm that the composts are mature. As a whole, they have availability out of high water and a content of relatively weak air, whereas the substrates containing the peat-compost mixtures have physical properties close to the standards retained in Tunisia. The vegetative behavior of these plants with respect to the variation of the composition and the average size of the particles of the substrates shows a sensitivity of the seedlings to these parameters to the beginning of their growth. Majority of the mixtures containing peat-compost gave seedlings of quality, healthy, and homogeneous. The composts prepare well with a partial use in except ground.Keywords:  Composts; porosity; thermal behavior; vegetative behavior; tomato plants.","container-title":"Journal of Fundamental and Applied Sciences","DOI":"10.4314/jfas.v7i2.7","ISSN":"1112-9867","issue":"2","language":"en","license":"Copyright (c)","note":"number: 2","page":"244-259","source":"www.ajol.info","title":"Study of opportunities of use of composts cunicoles for the aboveground production of tomato plants in Tunisia","volume":"7","author":[{"family":"M’Sadak","given":"Y."},{"family":"Bouallegue","given":"A."}],"issued":{"date-parts":[["2015",8,6]]}}}],"schema":"https://github.com/citation-style-language/schema/raw/master/csl-citation.json"}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szCs w:val="24"/>
          <w:lang w:val="en-US"/>
        </w:rPr>
        <w:t xml:space="preserve">M’Sadak &amp; Bouallegue, </w:t>
      </w:r>
      <w:r w:rsidR="00251398">
        <w:rPr>
          <w:rFonts w:ascii="Arial" w:hAnsi="Arial" w:cs="Arial"/>
          <w:sz w:val="20"/>
          <w:szCs w:val="24"/>
          <w:lang w:val="en-US"/>
        </w:rPr>
        <w:t>(</w:t>
      </w:r>
      <w:r w:rsidR="00F1149B" w:rsidRPr="00F1149B">
        <w:rPr>
          <w:rFonts w:ascii="Arial" w:hAnsi="Arial" w:cs="Arial"/>
          <w:sz w:val="20"/>
          <w:szCs w:val="24"/>
          <w:lang w:val="en-US"/>
        </w:rPr>
        <w:t>2015)</w:t>
      </w:r>
      <w:r w:rsidR="00F0347E" w:rsidRPr="006D5977">
        <w:rPr>
          <w:rFonts w:ascii="Arial" w:hAnsi="Arial" w:cs="Arial"/>
          <w:sz w:val="20"/>
          <w:szCs w:val="20"/>
          <w:lang w:val="en-US"/>
        </w:rPr>
        <w:fldChar w:fldCharType="end"/>
      </w:r>
      <w:r w:rsidR="00EB2C28" w:rsidRPr="006D5977">
        <w:rPr>
          <w:rFonts w:ascii="Arial" w:hAnsi="Arial" w:cs="Arial"/>
          <w:sz w:val="20"/>
          <w:szCs w:val="20"/>
          <w:lang w:val="en-US"/>
        </w:rPr>
        <w:t>,</w:t>
      </w:r>
      <w:r w:rsidR="00A007C0" w:rsidRPr="006D5977">
        <w:rPr>
          <w:rFonts w:ascii="Arial" w:hAnsi="Arial" w:cs="Arial"/>
          <w:sz w:val="20"/>
          <w:szCs w:val="20"/>
          <w:lang w:val="en-US"/>
        </w:rPr>
        <w:t>which states that aeration porosity can decrease when the particle size components of composts are fine. It should be noted that optimal aeration porosities can vary considerably depending on the type of plant, the size of the container, and the irrigation frequency, as highlighted</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{"citationID":"yyikbRMx","properties":{"formattedCitation":"(Raviv, 2019)","plainCitation":"(Raviv, 2019)","noteIndex":0},"citationItems":[{"id":"ofdADCk6/HDdF6k1j","uris":["http://zotero.org/users/6654317/items/4KBWK847"],"itemData":{"id":3099,"type":"book","abstract":"Soilless Culture: Theory and Practice, Second Edition, is the first authoritative reference book on both the theoretical and practical aspects of growing plants without the use of soil. It is the go-to source for those involved in this practice, focusing on hydroponics and advancements in technologies and methodologies. The book builds on the thorough presentation of both physical and chemical properties of various soilless growing media, also addressing how these properties affect plant performance in basic horticultural operations, such as irrigation and fertilization. In addition, the book describes the latest technical advancements and methodologies, including run-to-waste, re-circulation and closed systems.Provides a fully revised and updated edition with key insights on all current media types for plant productionExplains the latest information on water and nutrient availabilityIncludes rootstock/scion relationships in substratesContains a chapter focusing specifically on hydroponics","edition":"Elsevier Science","ISBN":"978-0-444-63696-6","language":"English","number-of-pages":"713p","publisher":"Elsevier Science","source":"international.scholarvox.com","title":"Soilless Culture: Theory and Practice : Theory and Practice Ed. 2","title-short":"Soilless Culture","URL":"https://international.scholarvox.com/catalog/book/docid/88873219?searchterm=water%20retention","author":[{"family":"Raviv","given":"Michael"}],"accessed":{"date-parts":[["2025",9,6]]},"issued":{"date-parts":[["2019"]]}}}],"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(Raviv, 2019)</w:t>
      </w:r>
      <w:r w:rsidR="00F0347E" w:rsidRPr="006D5977">
        <w:rPr>
          <w:rFonts w:ascii="Arial" w:hAnsi="Arial" w:cs="Arial"/>
          <w:sz w:val="20"/>
          <w:szCs w:val="20"/>
        </w:rPr>
        <w:fldChar w:fldCharType="end"/>
      </w:r>
      <w:r w:rsidR="00A007C0" w:rsidRPr="006D5977">
        <w:rPr>
          <w:rFonts w:ascii="Arial" w:hAnsi="Arial" w:cs="Arial"/>
          <w:sz w:val="20"/>
          <w:szCs w:val="20"/>
          <w:lang w:val="en-US"/>
        </w:rPr>
        <w:t>. Tilt &amp;Bilderbach, (1987), cited by</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{"citationID":"KSDLJELM","properties":{"formattedCitation":"(El Sharkawi et al., 2014)","plainCitation":"(El Sharkawi et al., 2014)","noteIndex":0},"citationItems":[{"id":2535,"uris":["http://zotero.org/users/local/MzRjPaDh/items/JTI4GEKQ","http://zotero.org/users/6654317/items/JTI4GEKQ"],"itemData":{"id":2535,"type":"article-journal","container-title":"Journal of Agriculture and Environmental Sciences","issue":"4","page":"131–149","source":"Google Scholar","title":"Development of treated Rice Husk as an alternative substrate medium in cucumber soilless culture","volume":"3","author":[{"family":"El Sharkawi","given":"Haytham Mohamed"},{"family":"Ahmed","given":"Mohamed Abdrabbo"},{"family":"Hassanein","given":"Mosaad Kotb"}],"issued":{"date-parts":[["2014"]]}}}],"schema":"https://github.com/citation-style-language/schema/raw/master/csl-citation.json"}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 xml:space="preserve">El Sharkawi et al., </w:t>
      </w:r>
      <w:r w:rsidR="00251398">
        <w:rPr>
          <w:rFonts w:ascii="Arial" w:hAnsi="Arial" w:cs="Arial"/>
          <w:sz w:val="20"/>
          <w:lang w:val="en-US"/>
        </w:rPr>
        <w:t>(</w:t>
      </w:r>
      <w:r w:rsidR="00F1149B" w:rsidRPr="00F1149B">
        <w:rPr>
          <w:rFonts w:ascii="Arial" w:hAnsi="Arial" w:cs="Arial"/>
          <w:sz w:val="20"/>
          <w:lang w:val="en-US"/>
        </w:rPr>
        <w:t>2014)</w:t>
      </w:r>
      <w:r w:rsidR="00F0347E" w:rsidRPr="006D5977">
        <w:rPr>
          <w:rFonts w:ascii="Arial" w:hAnsi="Arial" w:cs="Arial"/>
          <w:sz w:val="20"/>
          <w:szCs w:val="20"/>
          <w:lang w:val="en-US"/>
        </w:rPr>
        <w:fldChar w:fldCharType="end"/>
      </w:r>
      <w:r w:rsidR="00A007C0" w:rsidRPr="006D5977">
        <w:rPr>
          <w:rFonts w:ascii="Arial" w:hAnsi="Arial" w:cs="Arial"/>
          <w:sz w:val="20"/>
          <w:szCs w:val="20"/>
          <w:lang w:val="en-US"/>
        </w:rPr>
        <w:t xml:space="preserve">recommended an acceptable aeration porosity for culture media ranging from 15 to 45%. To this end, while all </w:t>
      </w:r>
      <w:r w:rsidRPr="006D5977">
        <w:rPr>
          <w:rFonts w:ascii="Arial" w:hAnsi="Arial" w:cs="Arial"/>
          <w:sz w:val="20"/>
          <w:szCs w:val="20"/>
          <w:lang w:val="en-US"/>
        </w:rPr>
        <w:t>growing media</w:t>
      </w:r>
      <w:r w:rsidR="00A007C0" w:rsidRPr="006D5977">
        <w:rPr>
          <w:rFonts w:ascii="Arial" w:hAnsi="Arial" w:cs="Arial"/>
          <w:sz w:val="20"/>
          <w:szCs w:val="20"/>
          <w:lang w:val="en-US"/>
        </w:rPr>
        <w:t>s meet the total porosity standards, only BC, SB, and SC exhibit an aeration porosity ≥ 15%. However,</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{"citationID":"r8eGjg8b","properties":{"formattedCitation":"(M\\uc0\\u8217{}Sadak &amp; Bouallegue, 2015)","plainCitation":"(M’Sadak &amp; Bouallegue, 2015)","noteIndex":0},"citationItems":[{"id":1648,"uris":["http://zotero.org/users/6654317/items/VIAU4TN4"],"itemData":{"id":1648,"type":"article-journal","abstract":"The present work aims to study the potential valorization of composts exhausted cunicoles for aboveground vegetable plants. In a device complete random block with three repetitions, five composts in a pure state or in mixture and a witness are tested under tomato in seedbed except ground. They got results enable us to confirm that the composts are mature. As a whole, they have availability out of high water and a content of relatively weak air, whereas the substrates containing the peat-compost mixtures have physical properties close to the standards retained in Tunisia. The vegetative behavior of these plants with respect to the variation of the composition and the average size of the particles of the substrates shows a sensitivity of the seedlings to these parameters to the beginning of their growth. Majority of the mixtures containing peat-compost gave seedlings of quality, healthy, and homogeneous. The composts prepare well with a partial use in except ground.Keywords:  Composts; porosity; thermal behavior; vegetative behavior; tomato plants.","container-title":"Journal of Fundamental and Applied Sciences","DOI":"10.4314/jfas.v7i2.7","ISSN":"1112-9867","issue":"2","language":"en","license":"Copyright (c)","note":"number: 2","page":"244-259","source":"www.ajol.info","title":"Study of opportunities of use of composts cunicoles for the aboveground production of tomato plants in Tunisia","volume":"7","author":[{"family":"M’Sadak","given":"Y."},{"family":"Bouallegue","given":"A."}],"issued":{"date-parts":[["2015",8,6]]}}}],"schema":"https://github.com/citation-style-language/schema/raw/master/csl-citation.json"}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szCs w:val="24"/>
          <w:lang w:val="en-US"/>
        </w:rPr>
        <w:t xml:space="preserve">M’Sadak &amp; Bouallegue, </w:t>
      </w:r>
      <w:r w:rsidR="00251398">
        <w:rPr>
          <w:rFonts w:ascii="Arial" w:hAnsi="Arial" w:cs="Arial"/>
          <w:sz w:val="20"/>
          <w:szCs w:val="24"/>
          <w:lang w:val="en-US"/>
        </w:rPr>
        <w:t>(</w:t>
      </w:r>
      <w:r w:rsidR="00F1149B" w:rsidRPr="00F1149B">
        <w:rPr>
          <w:rFonts w:ascii="Arial" w:hAnsi="Arial" w:cs="Arial"/>
          <w:sz w:val="20"/>
          <w:szCs w:val="24"/>
          <w:lang w:val="en-US"/>
        </w:rPr>
        <w:t>2015)</w:t>
      </w:r>
      <w:r w:rsidR="00F0347E" w:rsidRPr="006D5977">
        <w:rPr>
          <w:rFonts w:ascii="Arial" w:hAnsi="Arial" w:cs="Arial"/>
          <w:sz w:val="20"/>
          <w:szCs w:val="20"/>
          <w:lang w:val="en-US"/>
        </w:rPr>
        <w:fldChar w:fldCharType="end"/>
      </w:r>
      <w:r w:rsidR="00A007C0" w:rsidRPr="006D5977">
        <w:rPr>
          <w:rFonts w:ascii="Arial" w:hAnsi="Arial" w:cs="Arial"/>
          <w:sz w:val="20"/>
          <w:szCs w:val="20"/>
          <w:lang w:val="en-US"/>
        </w:rPr>
        <w:t>, as well as</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{"citationID":"qNSV4sRE","properties":{"formattedCitation":"(Atzori et al., 2021)","plainCitation":"(Atzori et al., 2021)","noteIndex":0},"citationItems":[{"id":2552,"uris":["http://zotero.org/users/6654317/items/456Y7LP9","http://zotero.org/users/6654317/items/YI3T675Z"],"itemData":{"id":2552,"type":"article-journal","abstract":"Vegetable and ornamental crops require high input demand to adequately support their standard commercial quality and yield. For these crops, a very high level of agronomic use efficiency of many productive factors can be achieved in soilless culture. For example, the benefits derived from the adoption of soilless closed loops for the recirculation of the nutrient solution are well known as a benchmark of excellence for nutrient and water use efficiency. The challenges that we now face are as follows: (i) making soilless systems more inclusive of sustainable and eco-friendly growing substrates, possibly available at a local level; (ii) replacing chemicals with more sustainable products (e.g., organic active compounds) as much as possible for plant nutrition and protection. These goals can be addressed by following different approaches, but the adoption of peat-free organic substrates may play a central role. This work investigates four organic materials, i.e., biochar, coir, green compost, and wood fibers, to assess their role in plant nutrition and protection when used as components for the preparation of growing media in the soilless cultivation of containerized crops. In further detail, the work highlights how these materials may support normal agronomic practices.","container-title":"Agronomy","DOI":"10.3390/agronomy11061236","ISSN":"2073-4395","issue":"6","language":"en","license":"http://creativecommons.org/licenses/by/3.0/","note":"number: 6\npublisher: Multidisciplinary Digital Publishing Institute","page":"1236","source":"www.mdpi.com","title":"The Role of Peat-Free Organic Substrates in the Sustainable Management of Soilless Cultivations","volume":"11","author":[{"family":"Atzori","given":"Giulia"},{"family":"Pane","given":"Catello"},{"family":"Zaccardelli","given":"Massimo"},{"family":"Cacini","given":"Sonia"},{"family":"Massa","given":"Daniele"}],"issued":{"date-parts":[["2021",6]]}}}],"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 xml:space="preserve">Atzori et al., </w:t>
      </w:r>
      <w:r w:rsidR="000F1C7C">
        <w:rPr>
          <w:rFonts w:ascii="Arial" w:hAnsi="Arial" w:cs="Arial"/>
          <w:sz w:val="20"/>
          <w:lang w:val="en-US"/>
        </w:rPr>
        <w:t>(</w:t>
      </w:r>
      <w:r w:rsidR="00F1149B" w:rsidRPr="00F1149B">
        <w:rPr>
          <w:rFonts w:ascii="Arial" w:hAnsi="Arial" w:cs="Arial"/>
          <w:sz w:val="20"/>
          <w:lang w:val="en-US"/>
        </w:rPr>
        <w:t>2021)</w:t>
      </w:r>
      <w:r w:rsidR="00F0347E" w:rsidRPr="006D5977">
        <w:rPr>
          <w:rFonts w:ascii="Arial" w:hAnsi="Arial" w:cs="Arial"/>
          <w:sz w:val="20"/>
          <w:szCs w:val="20"/>
          <w:lang w:val="en-US"/>
        </w:rPr>
        <w:fldChar w:fldCharType="end"/>
      </w:r>
      <w:r w:rsidR="00A007C0" w:rsidRPr="006D5977">
        <w:rPr>
          <w:rFonts w:ascii="Arial" w:hAnsi="Arial" w:cs="Arial"/>
          <w:sz w:val="20"/>
          <w:szCs w:val="20"/>
          <w:lang w:val="en-US"/>
        </w:rPr>
        <w:t xml:space="preserve">consider that the optimal aeration porosity for a growing </w:t>
      </w:r>
      <w:r w:rsidRPr="006D5977">
        <w:rPr>
          <w:rFonts w:ascii="Arial" w:hAnsi="Arial" w:cs="Arial"/>
          <w:sz w:val="20"/>
          <w:szCs w:val="20"/>
          <w:lang w:val="en-US"/>
        </w:rPr>
        <w:t>media</w:t>
      </w:r>
      <w:r w:rsidR="00A007C0" w:rsidRPr="006D5977">
        <w:rPr>
          <w:rFonts w:ascii="Arial" w:hAnsi="Arial" w:cs="Arial"/>
          <w:sz w:val="20"/>
          <w:szCs w:val="20"/>
          <w:lang w:val="en-US"/>
        </w:rPr>
        <w:t xml:space="preserve"> should be between 20% and 30%.</w:t>
      </w:r>
    </w:p>
    <w:p w:rsidR="00A007C0" w:rsidRPr="00F1149B" w:rsidRDefault="00A007C0" w:rsidP="00F1149B">
      <w:pPr>
        <w:pStyle w:val="ListParagraph"/>
        <w:numPr>
          <w:ilvl w:val="1"/>
          <w:numId w:val="20"/>
        </w:numPr>
        <w:spacing w:line="240" w:lineRule="auto"/>
        <w:jc w:val="both"/>
        <w:rPr>
          <w:rFonts w:ascii="Arial" w:hAnsi="Arial" w:cs="Arial"/>
          <w:b/>
          <w:bCs/>
          <w:lang w:val="en-US"/>
        </w:rPr>
      </w:pPr>
      <w:r w:rsidRPr="00F1149B">
        <w:rPr>
          <w:rFonts w:ascii="Arial" w:hAnsi="Arial" w:cs="Arial"/>
          <w:b/>
          <w:bCs/>
          <w:lang w:val="en-US"/>
        </w:rPr>
        <w:t>Electrical conductivity</w:t>
      </w:r>
    </w:p>
    <w:p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Electrical conductivity represents the total amount of ions in solution. The higher it is, the more difficult it is for plants to absorb water</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{"citationID":"vfK2ML5M","properties":{"formattedCitation":"(Soltner, 2017)","plainCitation":"(Soltner, 2017)","noteIndex":0},"citationItems":[{"id":1561,"uris":["http://zotero.org/users/6654317/items/794MFDAP","http://zotero.org/users/6654317/items/8NK7XW52"],"itemData":{"id":1561,"type":"book","abstract":"Cet ouvrage illustre de façon claire et pédagogique les méthodes et les concepts qui sont à la base des progrès de la génomique en biologie végétale (grands programmes internationaux de séquençage, outils de la bio-informatique, méthodes d'analyse de l'expression des gènes incluant leurs produits métaboliques finaux et leur spécificité tissulaire et/ou cellulaire). Il rend compte des applications potentielles de la génomique dans les domaines de la génétique et de l'amélioration des plantes, de l'écophysiologie et de l'agronomie. Ce livre s'adresse aux étudiants de fin d'études universitaires ou agronomiques, aux professeurs de l'enseignement supérieur, aux techniciens, aux ingénieurs et scientifiques qui souhaitent acquérir des connaissances en génomique végétale.","collection-title":"Sciences et techniques agricoles","edition":"27","language":"fr","note":"Google-Books-ID: F8NOu2jvHsoC","number-of-pages":"480","publisher":"Editions Quae","title":"Les bases de la production végétale. Tome 1 : Le sol et son amélioration","author":[{"family":"Soltner","given":"Dominique"}],"issued":{"date-parts":[["2017"]]}}}],"schema":"https://github.com/citation-style-language/schema/raw/master/csl-citation.json"}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 xml:space="preserve">Soltner, </w:t>
      </w:r>
      <w:r w:rsidR="000F1C7C">
        <w:rPr>
          <w:rFonts w:ascii="Arial" w:hAnsi="Arial" w:cs="Arial"/>
          <w:sz w:val="20"/>
          <w:lang w:val="en-US"/>
        </w:rPr>
        <w:t>(</w:t>
      </w:r>
      <w:r w:rsidR="00F1149B" w:rsidRPr="00F1149B">
        <w:rPr>
          <w:rFonts w:ascii="Arial" w:hAnsi="Arial" w:cs="Arial"/>
          <w:sz w:val="20"/>
          <w:lang w:val="en-US"/>
        </w:rPr>
        <w:t>2017)</w:t>
      </w:r>
      <w:r w:rsidR="00F0347E" w:rsidRPr="006D5977">
        <w:rPr>
          <w:rFonts w:ascii="Arial" w:hAnsi="Arial" w:cs="Arial"/>
          <w:sz w:val="20"/>
          <w:szCs w:val="20"/>
          <w:lang w:val="en-US"/>
        </w:rPr>
        <w:fldChar w:fldCharType="end"/>
      </w:r>
      <w:r w:rsidRPr="006D5977">
        <w:rPr>
          <w:rFonts w:ascii="Arial" w:hAnsi="Arial" w:cs="Arial"/>
          <w:sz w:val="20"/>
          <w:szCs w:val="20"/>
          <w:lang w:val="en-US"/>
        </w:rPr>
        <w:t>and constitutes a defect in its quality</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{"citationID":"7KgPt0BR","properties":{"formattedCitation":"(Prisa &amp; Caro, 2023)","plainCitation":"(Prisa &amp; Caro, 2023)","noteIndex":0},"citationItems":[{"id":2385,"uris":["http://zotero.org/users/6654317/items/YBML5MPM","http://zotero.org/users/6654317/items/FEYQNXYC"],"itemData":{"id":2385,"type":"article-journal","container-title":"GSC Biological and Pharmaceutical Sciences","issue":"1","note":"publisher: GSC Biological and Pharmaceutical Sciences","page":"209–220","source":"Google Scholar","title":"Alternative substrates in the cultivation of ornamental and vegetable plants","volume":"24","author":[{"family":"Prisa","given":"Domenico"},{"family":"Caro","given":"Stefano"}],"issued":{"date-parts":[["2023"]]}}}],"schema":"https://github.com/citation-style-language/schema/raw/master/csl-citation.json"}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(Prisa &amp; Caro, 2023)</w:t>
      </w:r>
      <w:r w:rsidR="00F0347E" w:rsidRPr="006D5977">
        <w:rPr>
          <w:rFonts w:ascii="Arial" w:hAnsi="Arial" w:cs="Arial"/>
          <w:sz w:val="20"/>
          <w:szCs w:val="20"/>
        </w:rPr>
        <w:fldChar w:fldCharType="end"/>
      </w:r>
      <w:r w:rsidR="0013418E" w:rsidRPr="006D5977">
        <w:rPr>
          <w:rFonts w:ascii="Arial" w:hAnsi="Arial" w:cs="Arial"/>
          <w:sz w:val="20"/>
          <w:szCs w:val="20"/>
          <w:lang w:val="en-US"/>
        </w:rPr>
        <w:t xml:space="preserve">. </w:t>
      </w:r>
      <w:r w:rsidRPr="006D5977">
        <w:rPr>
          <w:rFonts w:ascii="Arial" w:hAnsi="Arial" w:cs="Arial"/>
          <w:sz w:val="20"/>
          <w:szCs w:val="20"/>
          <w:lang w:val="en-US"/>
        </w:rPr>
        <w:t xml:space="preserve">The results show that electrical conductivity varies with the proportion of rice husk biochar in the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Indeed, it decreases with increasing amounts of rice husk biochar in the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thus indicating the </w:t>
      </w:r>
      <w:r w:rsidR="00DD0456" w:rsidRPr="006D5977">
        <w:rPr>
          <w:rFonts w:ascii="Arial" w:hAnsi="Arial" w:cs="Arial"/>
          <w:sz w:val="20"/>
          <w:szCs w:val="20"/>
          <w:lang w:val="en-US"/>
        </w:rPr>
        <w:t>growing media</w:t>
      </w:r>
      <w:r w:rsidRPr="006D5977">
        <w:rPr>
          <w:rFonts w:ascii="Arial" w:hAnsi="Arial" w:cs="Arial"/>
          <w:sz w:val="20"/>
          <w:szCs w:val="20"/>
          <w:lang w:val="en-US"/>
        </w:rPr>
        <w:t>'s deficiency in soluble minerals. According to</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{"citationID":"HCMVfJQI","properties":{"formattedCitation":"(Bembli &amp; M\\uc0\\u8217{}Sadak, 2017)","plainCitation":"(Bembli &amp; M’Sadak, 2017)","noteIndex":0},"citationItems":[{"id":757,"uris":["http://zotero.org/users/6654317/items/HFVE3IQM"],"itemData":{"id":757,"type":"article-journal","container-title":"Algerian Journal of Arid Environment “AJAE”","issue":"1","page":"14","source":"Google Scholar","title":"Comportement hors sol des plants de tomate sur substrats de culture à base de tourbe en mélange avec compost sylvicole","volume":"7","author":[{"family":"Bembli","given":"Houda"},{"family":"M'Sadak","given":"Youssef"}],"issued":{"date-parts":[["2017"]]}}}],"schema":"https://github.com/citation-style-language/schema/raw/master/csl-citation.json"}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szCs w:val="24"/>
          <w:lang w:val="en-US"/>
        </w:rPr>
        <w:t xml:space="preserve">Bembli &amp; M’Sadak, </w:t>
      </w:r>
      <w:r w:rsidR="000F1C7C">
        <w:rPr>
          <w:rFonts w:ascii="Arial" w:hAnsi="Arial" w:cs="Arial"/>
          <w:sz w:val="20"/>
          <w:szCs w:val="24"/>
          <w:lang w:val="en-US"/>
        </w:rPr>
        <w:t>(</w:t>
      </w:r>
      <w:r w:rsidR="00F1149B" w:rsidRPr="00F1149B">
        <w:rPr>
          <w:rFonts w:ascii="Arial" w:hAnsi="Arial" w:cs="Arial"/>
          <w:sz w:val="20"/>
          <w:szCs w:val="24"/>
          <w:lang w:val="en-US"/>
        </w:rPr>
        <w:t>2017)</w:t>
      </w:r>
      <w:r w:rsidR="00F0347E" w:rsidRPr="006D5977">
        <w:rPr>
          <w:rFonts w:ascii="Arial" w:hAnsi="Arial" w:cs="Arial"/>
          <w:sz w:val="20"/>
          <w:szCs w:val="20"/>
          <w:lang w:val="en-US"/>
        </w:rPr>
        <w:fldChar w:fldCharType="end"/>
      </w:r>
      <w:r w:rsidR="0013418E" w:rsidRPr="006D5977">
        <w:rPr>
          <w:rFonts w:ascii="Arial" w:hAnsi="Arial" w:cs="Arial"/>
          <w:sz w:val="20"/>
          <w:szCs w:val="20"/>
          <w:lang w:val="en-US"/>
        </w:rPr>
        <w:t xml:space="preserve"> t</w:t>
      </w:r>
      <w:r w:rsidRPr="006D5977">
        <w:rPr>
          <w:rFonts w:ascii="Arial" w:hAnsi="Arial" w:cs="Arial"/>
          <w:sz w:val="20"/>
          <w:szCs w:val="20"/>
          <w:lang w:val="en-US"/>
        </w:rPr>
        <w:t xml:space="preserve">he optimal electrical conductivity of growing </w:t>
      </w:r>
      <w:r w:rsidR="00DD0456" w:rsidRPr="006D5977">
        <w:rPr>
          <w:rFonts w:ascii="Arial" w:hAnsi="Arial" w:cs="Arial"/>
          <w:sz w:val="20"/>
          <w:szCs w:val="20"/>
          <w:lang w:val="en-US"/>
        </w:rPr>
        <w:t>media</w:t>
      </w:r>
      <w:r w:rsidRPr="006D5977">
        <w:rPr>
          <w:rFonts w:ascii="Arial" w:hAnsi="Arial" w:cs="Arial"/>
          <w:sz w:val="20"/>
          <w:szCs w:val="20"/>
          <w:lang w:val="en-US"/>
        </w:rPr>
        <w:t>s is between 1</w:t>
      </w:r>
      <w:r w:rsidR="003728EE" w:rsidRPr="006D5977">
        <w:rPr>
          <w:rFonts w:ascii="Arial" w:hAnsi="Arial" w:cs="Arial"/>
          <w:sz w:val="20"/>
          <w:szCs w:val="20"/>
          <w:lang w:val="en-US"/>
        </w:rPr>
        <w:t>,</w:t>
      </w:r>
      <w:r w:rsidRPr="006D5977">
        <w:rPr>
          <w:rFonts w:ascii="Arial" w:hAnsi="Arial" w:cs="Arial"/>
          <w:sz w:val="20"/>
          <w:szCs w:val="20"/>
          <w:lang w:val="en-US"/>
        </w:rPr>
        <w:t>5 and 2</w:t>
      </w:r>
      <w:r w:rsidR="003728EE" w:rsidRPr="006D5977">
        <w:rPr>
          <w:rFonts w:ascii="Arial" w:hAnsi="Arial" w:cs="Arial"/>
          <w:sz w:val="20"/>
          <w:szCs w:val="20"/>
          <w:lang w:val="en-US"/>
        </w:rPr>
        <w:t>,</w:t>
      </w:r>
      <w:r w:rsidRPr="006D5977">
        <w:rPr>
          <w:rFonts w:ascii="Arial" w:hAnsi="Arial" w:cs="Arial"/>
          <w:sz w:val="20"/>
          <w:szCs w:val="20"/>
          <w:lang w:val="en-US"/>
        </w:rPr>
        <w:t>25 mS/cm and should not exceed 2</w:t>
      </w:r>
      <w:r w:rsidR="003728EE" w:rsidRPr="006D5977">
        <w:rPr>
          <w:rFonts w:ascii="Arial" w:hAnsi="Arial" w:cs="Arial"/>
          <w:sz w:val="20"/>
          <w:szCs w:val="20"/>
          <w:lang w:val="en-US"/>
        </w:rPr>
        <w:t>,</w:t>
      </w:r>
      <w:r w:rsidRPr="006D5977">
        <w:rPr>
          <w:rFonts w:ascii="Arial" w:hAnsi="Arial" w:cs="Arial"/>
          <w:sz w:val="20"/>
          <w:szCs w:val="20"/>
          <w:lang w:val="en-US"/>
        </w:rPr>
        <w:t xml:space="preserve">5 to 3 mS/cm. An electrical conductivity below 1.5 mS/cm can result in low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fertility. Based on these values, only SB and SC exhibit compliant electrical conductivities.</w:t>
      </w:r>
    </w:p>
    <w:p w:rsidR="009A3A06" w:rsidRPr="00F1149B" w:rsidRDefault="000E3F5B" w:rsidP="00F1149B">
      <w:pPr>
        <w:pStyle w:val="ListParagraph"/>
        <w:numPr>
          <w:ilvl w:val="1"/>
          <w:numId w:val="20"/>
        </w:numPr>
        <w:spacing w:line="240" w:lineRule="auto"/>
        <w:jc w:val="both"/>
        <w:rPr>
          <w:rFonts w:ascii="Arial" w:hAnsi="Arial" w:cs="Arial"/>
          <w:b/>
          <w:bCs/>
          <w:lang w:val="en-US"/>
        </w:rPr>
      </w:pPr>
      <w:r w:rsidRPr="00F1149B">
        <w:rPr>
          <w:rFonts w:ascii="Arial" w:hAnsi="Arial" w:cs="Arial"/>
          <w:b/>
          <w:lang w:val="en-US"/>
        </w:rPr>
        <w:t xml:space="preserve">pH  </w:t>
      </w:r>
    </w:p>
    <w:p w:rsidR="000E3F5B" w:rsidRPr="006D5977" w:rsidRDefault="000E3F5B" w:rsidP="005D29FE">
      <w:pPr>
        <w:spacing w:line="240" w:lineRule="auto"/>
        <w:jc w:val="both"/>
        <w:rPr>
          <w:rFonts w:ascii="Arial" w:hAnsi="Arial" w:cs="Arial"/>
          <w:sz w:val="20"/>
          <w:szCs w:val="20"/>
          <w:highlight w:val="yellow"/>
          <w:lang w:val="en-US"/>
        </w:rPr>
      </w:pPr>
      <w:bookmarkStart w:id="25" w:name="_Hlk214830633"/>
      <w:r w:rsidRPr="006D5977">
        <w:rPr>
          <w:rFonts w:ascii="Arial" w:hAnsi="Arial" w:cs="Arial"/>
          <w:sz w:val="20"/>
          <w:szCs w:val="20"/>
          <w:lang w:val="en-US"/>
        </w:rPr>
        <w:t xml:space="preserve">A tendency towards alkalization of the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proportional to the content of rice hull biochar was noted.</w:t>
      </w:r>
    </w:p>
    <w:p w:rsidR="00E25FDF"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 pH of the </w:t>
      </w:r>
      <w:r w:rsidR="003728EE" w:rsidRPr="006D5977">
        <w:rPr>
          <w:rFonts w:ascii="Arial" w:hAnsi="Arial" w:cs="Arial"/>
          <w:sz w:val="20"/>
          <w:szCs w:val="20"/>
          <w:lang w:val="en-US"/>
        </w:rPr>
        <w:t>growing media</w:t>
      </w:r>
      <w:r w:rsidRPr="006D5977">
        <w:rPr>
          <w:rFonts w:ascii="Arial" w:hAnsi="Arial" w:cs="Arial"/>
          <w:sz w:val="20"/>
          <w:szCs w:val="20"/>
          <w:lang w:val="en-US"/>
        </w:rPr>
        <w:t xml:space="preserve"> is an important factor that indirectly influences plant growth through its effects on the availability of mineral nutrients and microbial activity. According to</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{"citationID":"9SxWHS7Z","properties":{"formattedCitation":"(Soltner, 2017)","plainCitation":"(Soltner, 2017)","noteIndex":0},"citationItems":[{"id":1561,"uris":["http://zotero.org/users/6654317/items/794MFDAP","http://zotero.org/users/6654317/items/8NK7XW52"],"itemData":{"id":1561,"type":"book","abstract":"Cet ouvrage illustre de façon claire et pédagogique les méthodes et les concepts qui sont à la base des progrès de la génomique en biologie végétale (grands programmes internationaux de séquençage, outils de la bio-informatique, méthodes d'analyse de l'expression des gènes incluant leurs produits métaboliques finaux et leur spécificité tissulaire et/ou cellulaire). Il rend compte des applications potentielles de la génomique dans les domaines de la génétique et de l'amélioration des plantes, de l'écophysiologie et de l'agronomie. Ce livre s'adresse aux étudiants de fin d'études universitaires ou agronomiques, aux professeurs de l'enseignement supérieur, aux techniciens, aux ingénieurs et scientifiques qui souhaitent acquérir des connaissances en génomique végétale.","collection-title":"Sciences et techniques agricoles","edition":"27","language":"fr","note":"Google-Books-ID: F8NOu2jvHsoC","number-of-pages":"480","publisher":"Editions Quae","title":"Les bases de la production végétale. Tome 1 : Le sol et son amélioration","author":[{"family":"Soltner","given":"Dominique"}],"issued":{"date-parts":[["2017"]]}}}],"schema":"https://github.com/citation-style-language/schema/raw/master/csl-citation.json"}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(Soltner, 2017)</w:t>
      </w:r>
      <w:r w:rsidR="00F0347E" w:rsidRPr="006D5977">
        <w:rPr>
          <w:rFonts w:ascii="Arial" w:hAnsi="Arial" w:cs="Arial"/>
          <w:sz w:val="20"/>
          <w:szCs w:val="20"/>
          <w:lang w:val="en-US"/>
        </w:rPr>
        <w:fldChar w:fldCharType="end"/>
      </w:r>
      <w:r w:rsidR="003728EE" w:rsidRPr="006D5977">
        <w:rPr>
          <w:rFonts w:ascii="Arial" w:hAnsi="Arial" w:cs="Arial"/>
          <w:sz w:val="20"/>
          <w:szCs w:val="20"/>
          <w:lang w:val="en-US"/>
        </w:rPr>
        <w:t xml:space="preserve"> i</w:t>
      </w:r>
      <w:r w:rsidR="000E3F5B" w:rsidRPr="006D5977">
        <w:rPr>
          <w:rFonts w:ascii="Arial" w:hAnsi="Arial" w:cs="Arial"/>
          <w:sz w:val="20"/>
          <w:szCs w:val="20"/>
          <w:lang w:val="en-US"/>
        </w:rPr>
        <w:t>t is between pH 6 and pH 7 that</w:t>
      </w:r>
      <w:r w:rsidR="003728EE" w:rsidRPr="006D5977">
        <w:rPr>
          <w:rFonts w:ascii="Arial" w:hAnsi="Arial" w:cs="Arial"/>
          <w:sz w:val="20"/>
          <w:szCs w:val="20"/>
          <w:lang w:val="en-US"/>
        </w:rPr>
        <w:t>,</w:t>
      </w:r>
      <w:r w:rsidR="000E3F5B" w:rsidRPr="006D5977">
        <w:rPr>
          <w:rFonts w:ascii="Arial" w:hAnsi="Arial" w:cs="Arial"/>
          <w:sz w:val="20"/>
          <w:szCs w:val="20"/>
          <w:lang w:val="en-US"/>
        </w:rPr>
        <w:t xml:space="preserve"> the majority of nutrients are found in acceptable conditions for assimilation. At pH levels above 7, the bioavailability of certain trace elements such as iron, manganese, boron, copper, and molybdenum decreases, causing deficiencies in plants. It should be noted that all </w:t>
      </w:r>
      <w:r w:rsidR="00DD0456" w:rsidRPr="006D5977">
        <w:rPr>
          <w:rFonts w:ascii="Arial" w:hAnsi="Arial" w:cs="Arial"/>
          <w:sz w:val="20"/>
          <w:szCs w:val="20"/>
          <w:lang w:val="en-US"/>
        </w:rPr>
        <w:t>growing media</w:t>
      </w:r>
      <w:r w:rsidR="000E3F5B" w:rsidRPr="006D5977">
        <w:rPr>
          <w:rFonts w:ascii="Arial" w:hAnsi="Arial" w:cs="Arial"/>
          <w:sz w:val="20"/>
          <w:szCs w:val="20"/>
          <w:lang w:val="en-US"/>
        </w:rPr>
        <w:t>s have pH levels above 7</w:t>
      </w:r>
      <w:r w:rsidR="003728EE" w:rsidRPr="006D5977">
        <w:rPr>
          <w:rFonts w:ascii="Arial" w:hAnsi="Arial" w:cs="Arial"/>
          <w:sz w:val="20"/>
          <w:szCs w:val="20"/>
          <w:lang w:val="en-US"/>
        </w:rPr>
        <w:t>,</w:t>
      </w:r>
      <w:r w:rsidR="000E3F5B" w:rsidRPr="006D5977">
        <w:rPr>
          <w:rFonts w:ascii="Arial" w:hAnsi="Arial" w:cs="Arial"/>
          <w:sz w:val="20"/>
          <w:szCs w:val="20"/>
          <w:lang w:val="en-US"/>
        </w:rPr>
        <w:t>5. This increase can be attributed to rice hull biochar, which, according to</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{"citationID":"3JsEUMge","properties":{"formattedCitation":"(Kim et al., 2017)","plainCitation":"(Kim et al., 2017)","noteIndex":0},"citationItems":[{"id":3132,"uris":["http://zotero.org/users/local/MzRjPaDh/items/7VRQV3Q9","http://zotero.org/users/6654317/items/7VRQV3Q9","http://zotero.org/users/6654317/items/ZKF7KLST"],"itemData":{"id":3132,"type":"article-journal","abstract":"The current study was conducted in order to examine the applicability of rice hull derived biochar (BC) to improve the properties of growing media (GM). Biochar was incorporated into a growing media composed of coir dust, perlite and vermiculite at 0, 1, 2 and 5 % (w/w). Subsequently, the physicochemical properties of the GM-BC mixtures were determined in the cultivation of kale (Brassica oleracea L. var. acephala) for 25 days through the observation of the plant growth response. During kale cultivation in the GM-BC mixtures, the leachates were collected and analyzed to determine the changes in nutrient levels due to BC amendment. Application of rice hull-derived BC increased the retention of nutrients in the growi</w:instrText>
      </w:r>
      <w:r w:rsidR="00F1149B" w:rsidRPr="000F1C7C">
        <w:rPr>
          <w:rFonts w:ascii="Arial" w:hAnsi="Arial" w:cs="Arial"/>
          <w:sz w:val="20"/>
          <w:szCs w:val="20"/>
        </w:rPr>
        <w:instrText>ng media due to a biochar-induced increase in cation exchange capacity, in addition to the biochar nutrient supply such as potassium and phosphorus. Furthermore, a higher water content of the growing media was observed when BC was used as an amendment, mainly due to the increased propor</w:instrText>
      </w:r>
      <w:r w:rsidR="00F1149B" w:rsidRPr="00F1149B">
        <w:rPr>
          <w:rFonts w:ascii="Arial" w:hAnsi="Arial" w:cs="Arial"/>
          <w:sz w:val="20"/>
          <w:szCs w:val="20"/>
        </w:rPr>
        <w:instrText xml:space="preserve">tion of pore space available for water storage. The growth rate of kale was also increased as the biochar incorporation rate was increased. For example, the dry weight of the kale shoots was 150 % higher when grown in media containing 5 % GM-BC mixture than with the control growing media (with no biochar). From these results, it can be concluded that the rice hull-derived biochar would be a practically applicable amendment to improve the properties of the growing media.","container-title":"Waste and Biomass Valorization","DOI":"10.1007/s12649-016-9588-z","ISSN":"1877-265X","issue":"2","journalAbbreviation":"Waste Biomass Valor","language":"en","page":"483-492","source":"Springer Link","title":"Amelioration of Horticultural Growing Media Properties Through Rice Hull Biochar Incorporation","volume":"8","author":[{"family":"Kim","given":"Hyuck Soo"},{"family":"Kim","given":"Kwon Rae"},{"family":"Yang","given":"Jae-E"},{"family":"Ok","given":"Yong Sik"},{"family":"Kim","given":"Won Il"},{"family":"Kunhikrishnan","given":"Anitha"},{"family":"Kim","given":"Kye-Hoon"}],"issued":{"date-parts":[["2017",3,1]]}}}],"schema":"https://github.com/citation-style-language/schema/raw/master/csl-citation.json"}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rPr>
        <w:t xml:space="preserve">Kim et al., </w:t>
      </w:r>
      <w:r w:rsidR="000F1C7C">
        <w:rPr>
          <w:rFonts w:ascii="Arial" w:hAnsi="Arial" w:cs="Arial"/>
          <w:sz w:val="20"/>
        </w:rPr>
        <w:t>(</w:t>
      </w:r>
      <w:r w:rsidR="00F1149B" w:rsidRPr="00F1149B">
        <w:rPr>
          <w:rFonts w:ascii="Arial" w:hAnsi="Arial" w:cs="Arial"/>
          <w:sz w:val="20"/>
        </w:rPr>
        <w:t>2017)</w:t>
      </w:r>
      <w:r w:rsidR="00F0347E" w:rsidRPr="006D5977">
        <w:rPr>
          <w:rFonts w:ascii="Arial" w:hAnsi="Arial" w:cs="Arial"/>
          <w:sz w:val="20"/>
          <w:szCs w:val="20"/>
          <w:lang w:val="en-US"/>
        </w:rPr>
        <w:fldChar w:fldCharType="end"/>
      </w:r>
      <w:r w:rsidR="000F1C7C">
        <w:rPr>
          <w:rFonts w:ascii="Arial" w:hAnsi="Arial" w:cs="Arial"/>
          <w:sz w:val="20"/>
          <w:szCs w:val="20"/>
        </w:rPr>
        <w:t xml:space="preserve"> ; </w:t>
      </w:r>
      <w:r w:rsidR="00F0347E" w:rsidRPr="006D5977">
        <w:rPr>
          <w:rFonts w:ascii="Arial" w:hAnsi="Arial" w:cs="Arial"/>
          <w:sz w:val="20"/>
          <w:szCs w:val="20"/>
          <w:lang w:val="en-US"/>
        </w:rPr>
        <w:fldChar w:fldCharType="begin"/>
      </w:r>
      <w:r w:rsidR="00F1149B" w:rsidRPr="00F1149B">
        <w:rPr>
          <w:rFonts w:ascii="Arial" w:hAnsi="Arial" w:cs="Arial"/>
          <w:sz w:val="20"/>
          <w:szCs w:val="20"/>
        </w:rPr>
        <w:instrText xml:space="preserve"> ADDIN ZOTERO_ITEM CSL_CITATION {"citationID":"seLtSYYL","properties":{"formattedCitation":"(Singh et al., 2019)","plainCitation":"(Singh et al., 2019)","noteIndex":0},"citationItems":[{"id":3247,"uris":["http://zotero.org/users/6654317/items/88SG2QRX"],"itemData":{"id":3247,"type":"article-journal","abstract":"Application of biochar to soil has increased considerably during recent years because of its effectiveness as a soil amendment causing beneficial effects on soil health. However, the effects have been reported to vary and depend upon types of feedstock and pyrolysis conditions during biochar production. Therefore, characterization of biochar is extremely important for its efficient utilization as a soil amendment. In the present study, biochar was prepared from agro-industrial by-products (rice husk and sugarcane bagasse) and weeds (Parthenium and Lantana) under similar pyrolysis conditions. Lantana biochar (LBC) showed the highest pH (10.4) while the lowest value (8.5) being recorded in rice husk biochar (RHBC). The energy-dispersive X-ray spectroscopy (EDS) analysis indicated that LBC and Parthenium biochar (PBC) were superior with respect to potassium (K) content than sugarcane bagasse biochar (SBBC) and RHBC. The Fourier-Transform Infrared Spectroscopy (FTIR) study exhibited the existence of different functional groups in biochar. All the biochar treated soils showed significantly higher microbial activities with different degrees. Application of LBC and PBC at 4.50 g kg−1 soil significantly increased K availability in soil. Lantana biochar and PBC amended the soil at 9 g kg−1 significantly increased the soil pH thus makes these biochar as potential liming materials.","container-title":"Archives of Agronomy and Soil Science","DOI":"10.1080/03650340.2018.1563291","ISSN":"0365-0340","issue":"9","note":"publisher: Taylor &amp; Francis\n_eprint: https://doi.org/10.1080/03650340.2018.1563291","page":"1302-1315","source":"Taylor and Francis+NEJM","title":"Characterization of biochar and their influence on microbial activities and potassium availability in an acid soil","volume":"65","author":[{"family":"Singh","given":"Awtar"},{"family":"Singh","given":"A. P."},{"family":"Purakayastha","given":"T. J."}],"issued":{"date-parts":[["2019",7,29]]}}}],"schema":"https://github.com/citation-style-language/schema/raw/master/csl-citation.json"}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rPr>
        <w:t xml:space="preserve">Singh et al., </w:t>
      </w:r>
      <w:r w:rsidR="000F1C7C">
        <w:rPr>
          <w:rFonts w:ascii="Arial" w:hAnsi="Arial" w:cs="Arial"/>
          <w:sz w:val="20"/>
        </w:rPr>
        <w:t>(</w:t>
      </w:r>
      <w:r w:rsidR="00F1149B" w:rsidRPr="00F1149B">
        <w:rPr>
          <w:rFonts w:ascii="Arial" w:hAnsi="Arial" w:cs="Arial"/>
          <w:sz w:val="20"/>
        </w:rPr>
        <w:t>2019)</w:t>
      </w:r>
      <w:r w:rsidR="00F0347E" w:rsidRPr="006D5977">
        <w:rPr>
          <w:rFonts w:ascii="Arial" w:hAnsi="Arial" w:cs="Arial"/>
          <w:sz w:val="20"/>
          <w:szCs w:val="20"/>
          <w:lang w:val="en-US"/>
        </w:rPr>
        <w:fldChar w:fldCharType="end"/>
      </w:r>
      <w:r w:rsidR="00724BFE" w:rsidRPr="00F1149B">
        <w:rPr>
          <w:rFonts w:ascii="Arial" w:hAnsi="Arial" w:cs="Arial"/>
          <w:sz w:val="20"/>
          <w:szCs w:val="20"/>
        </w:rPr>
        <w:t xml:space="preserve">significantlyincreases the pH. </w:t>
      </w:r>
      <w:r w:rsidR="00724BFE" w:rsidRPr="006D5977">
        <w:rPr>
          <w:rFonts w:ascii="Arial" w:hAnsi="Arial" w:cs="Arial"/>
          <w:sz w:val="20"/>
          <w:szCs w:val="20"/>
          <w:lang w:val="en-US"/>
        </w:rPr>
        <w:t>However, the pH is easily modified to the desired levels by adding lime to make it more alkaline, or acid to make it more acidic</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{"citationID":"irO7Mo9f","properties":{"formattedCitation":"(Raviv et al., 2019)","plainCitation":"(Raviv et al., 2019)","noteIndex":0},"citationItems":[{"id":3236,"uris":["http://zotero.org/users/6654317/items/UC4C2KIN"],"itemData":{"id":3236,"type":"book","abstract":"\"Soilless Culture: Theory and Practice, Second Edition, is the first authoritative reference book on both the theoretical and practical aspects of growing plants without the use of soil. It is the go-to source for those involved in this practice, focusing on hydroponics and advancements in technologies and methodologies. The book builds on the thorough presentation of both physical and chemical properties of various soilless growing media, also addressing how these properties affect plant performance in basic horticultural operations, such as irrigation and fertilization. In addition, the book describes the latest technical advancements and methodologies, including run-to-waste, re-circulation and closed systems.\" --From publisher","call-number":"631.585","edition":"2nd edition","event-place":"London","ISBN":"978-0-444-63696-6","language":"en","number-of-pages":"691p","publisher":"Academic press","publisher-place":"London","source":"BnF ISBN","title":"Soilless culture: theory and practice","title-short":"Soilless culture","author":[{"family":"Raviv","given":"Michael"},{"family":"Lieth","given":"Johann Heinrich"},{"family":"Bar-Tal","given":"Asher"}],"issued":{"date-parts":[["2019"]]}}}],"schema":"https://github.com/citation-style-language/schema/raw/master/csl-citation.json"}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(Raviv et al., 2019)</w:t>
      </w:r>
      <w:r w:rsidR="00F0347E" w:rsidRPr="006D5977">
        <w:rPr>
          <w:rFonts w:ascii="Arial" w:hAnsi="Arial" w:cs="Arial"/>
          <w:sz w:val="20"/>
          <w:szCs w:val="20"/>
        </w:rPr>
        <w:fldChar w:fldCharType="end"/>
      </w:r>
      <w:r w:rsidR="00E25FDF" w:rsidRPr="006D5977">
        <w:rPr>
          <w:rFonts w:ascii="Arial" w:hAnsi="Arial" w:cs="Arial"/>
          <w:sz w:val="20"/>
          <w:szCs w:val="20"/>
          <w:lang w:val="en-US"/>
        </w:rPr>
        <w:t>.</w:t>
      </w:r>
      <w:bookmarkEnd w:id="25"/>
    </w:p>
    <w:p w:rsidR="00724BFE" w:rsidRPr="00F1149B" w:rsidRDefault="006C20BF" w:rsidP="00F1149B">
      <w:pPr>
        <w:pStyle w:val="ListParagraph"/>
        <w:numPr>
          <w:ilvl w:val="1"/>
          <w:numId w:val="20"/>
        </w:numPr>
        <w:spacing w:line="240" w:lineRule="auto"/>
        <w:jc w:val="both"/>
        <w:rPr>
          <w:rFonts w:ascii="Arial" w:hAnsi="Arial" w:cs="Arial"/>
          <w:b/>
          <w:lang w:val="en-US"/>
        </w:rPr>
      </w:pPr>
      <w:r w:rsidRPr="00F1149B">
        <w:rPr>
          <w:rFonts w:ascii="Arial" w:hAnsi="Arial" w:cs="Arial"/>
          <w:b/>
          <w:lang w:val="en-US"/>
        </w:rPr>
        <w:t>Nitrogen</w:t>
      </w:r>
    </w:p>
    <w:p w:rsidR="00724BFE" w:rsidRPr="006D5977" w:rsidRDefault="00724BFE" w:rsidP="005D29FE">
      <w:pPr>
        <w:spacing w:line="240" w:lineRule="auto"/>
        <w:jc w:val="both"/>
        <w:rPr>
          <w:rFonts w:ascii="Arial" w:hAnsi="Arial" w:cs="Arial"/>
          <w:sz w:val="20"/>
          <w:szCs w:val="20"/>
          <w:lang w:val="en-US"/>
        </w:rPr>
      </w:pPr>
      <w:r w:rsidRPr="006D5977">
        <w:rPr>
          <w:rFonts w:ascii="Arial" w:hAnsi="Arial" w:cs="Arial"/>
          <w:sz w:val="20"/>
          <w:szCs w:val="20"/>
          <w:lang w:val="en-US"/>
        </w:rPr>
        <w:lastRenderedPageBreak/>
        <w:t xml:space="preserve">The results showed that the higher the Tricho-compost content in the </w:t>
      </w:r>
      <w:r w:rsidR="00DD0456" w:rsidRPr="006D5977">
        <w:rPr>
          <w:rFonts w:ascii="Arial" w:hAnsi="Arial" w:cs="Arial"/>
          <w:sz w:val="20"/>
          <w:szCs w:val="20"/>
          <w:lang w:val="en-US"/>
        </w:rPr>
        <w:t>growing media</w:t>
      </w:r>
      <w:r w:rsidRPr="006D5977">
        <w:rPr>
          <w:rFonts w:ascii="Arial" w:hAnsi="Arial" w:cs="Arial"/>
          <w:sz w:val="20"/>
          <w:szCs w:val="20"/>
          <w:lang w:val="en-US"/>
        </w:rPr>
        <w:t>, the higher the nitrogen content. This result is consistent with the work of</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{"citationID":"nwNverX3","properties":{"formattedCitation":"(Organo et al., 2022)","plainCitation":"(Organo et al., 2022)","noteIndex":0},"citationItems":[{"id":2065,"uris":["http://zotero.org/users/6654317/items/WLB8Z928","http://zotero.org/users/6654317/items/LJFBELI6"],"itemData":{"id":2065,"type":"article-journal","abstract":"The potential for a Trichoderma-based compost activator was tested for in-situ rice straw decomposition, under both laboratory and field conditions. Inoculation of Trichoderma caused a 50% reduction in the indigenous fungal population after 2 weeks of incubation for both laboratory and field experiments. However, the Trichoderma population declined during the latter part of the incubation. Despite the significant reduction in fungal population during the first 2 weeks of incubation, inoculated samples were found to have higher indigenous and total fungal population at the end of the experiments with as much as a 300% increase in the laboratory experiment and 50% during day-21 and day-28 samplings in the field experiment. The laboratory incubation experiment revealed that inoculated samples released an average of 16% higher amounts of CO2 compared to uninoculated straw in sterile soil samples. Unsterile soil inoculated with Trichoderma released the highest amount of CO2 in the laboratory experiment. In the field experiment, improved decomposition was observed in samples inoculated with Trichoderma and placed below ground (WTBG). From the initial value of around 35%, the C content in WTBG was down to 28.63% after 42 days of incubation and was the lowest among treatments. This is significantly lower compared with NTBG (No Trichoderma placed below ground, 31.1% C), WTSS (With Trichoderma placed on soil surface, 33.83% C), and NTSS (No Trichoderma placed on soil surface, 34.30% carbon). The WTBG treatment also had the highest N content of 1.1%. The C:N ratio of WTBG was only 26.27, 39.51% lower than the C:N ratio of NTBG, which is 43.43. These results prove that the Trichoderma-based inoculant has the potential to hasten the decomposition of incorporated rice straw.","container-title":"Scientific Reports","DOI":"10.1038/s41598-021-03828-1","ISSN":"2045-2322","issue":"1","journalAbbreviation":"Sci Rep","language":"en","license":"2022 The Author(s)","note":"number: 1\npublisher: Nature Publishing Group","page":"448","source":"www.nature.com","title":"Assessing the potential of a Trichoderma-based compost activator to hasten the decomposition of incorporated rice straw","volume":"12","author":[{"family":"Organo","given":"Nolissa D."},{"family":"Granada","given":"Shaira Mhel Joy M."},{"family":"Pineda","given":"Honey Grace S."},{"family":"Sandro","given":"Joseph M."},{"family":"Nguyen","given":"Van Hung"},{"family":"Gummert","given":"Martin"}],"issued":{"date-parts":[["2022",1,10]]}}}],"schema":"https://github.com/citation-style-language/schema/raw/master/csl-citation.json"}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 xml:space="preserve">Organo et al., </w:t>
      </w:r>
      <w:r w:rsidR="000F1C7C">
        <w:rPr>
          <w:rFonts w:ascii="Arial" w:hAnsi="Arial" w:cs="Arial"/>
          <w:sz w:val="20"/>
          <w:lang w:val="en-US"/>
        </w:rPr>
        <w:t>(</w:t>
      </w:r>
      <w:r w:rsidR="00F1149B" w:rsidRPr="00F1149B">
        <w:rPr>
          <w:rFonts w:ascii="Arial" w:hAnsi="Arial" w:cs="Arial"/>
          <w:sz w:val="20"/>
          <w:lang w:val="en-US"/>
        </w:rPr>
        <w:t>2022)</w:t>
      </w:r>
      <w:r w:rsidR="00F0347E" w:rsidRPr="006D5977">
        <w:rPr>
          <w:rFonts w:ascii="Arial" w:hAnsi="Arial" w:cs="Arial"/>
          <w:sz w:val="20"/>
          <w:szCs w:val="20"/>
        </w:rPr>
        <w:fldChar w:fldCharType="end"/>
      </w:r>
      <w:r w:rsidR="003841FD" w:rsidRPr="006D5977">
        <w:rPr>
          <w:rFonts w:ascii="Arial" w:hAnsi="Arial" w:cs="Arial"/>
          <w:sz w:val="20"/>
          <w:szCs w:val="20"/>
          <w:lang w:val="en-US"/>
        </w:rPr>
        <w:t>which have shown that Tricho-compost improves nitrogen availability. Also,</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{"citationID":"mthLaq64","properties":{"formattedCitation":"(Sawadogo et al., 2021)","plainCitation":"(Sawadogo et al., 2021)","noteIndex":0},"citationItems":[{"id":2058,"uris":["http://zotero.org/users/6654317/items/UHKC4HIS"],"itemData":{"id":2058,"type":"article-journal","abstract":"Tomato production is facing many constraints that limit its yield. The major one of concern to farmers is soil fertility decline. This study was than conducted using two bio-fertilizers based on local substrates (Bokashi compost and compost enriched with Trichoderma harzianum ) to evaluate their efficiency on soil physicochemical and microbiological properties and on tomato (Lycopersicon esculentum Mill.) production in Sudanese Sahelian zone of Burkina Faso. The experiment was carried out using a completely randomized Fisher block design with 6 treatments in 3 replications. The applied treatments were : T0 : control; T1 : Compost enriched with Trichoderma harzianum + 175 kg ha-1 NPK + 50 kg ha-1 urea ; T2 : Compost enriched with Trichoderma harzianum; T3 : 350 kg ha-1 NPK + 100 kg ha-1 urea; T4: Bokashi + 175 kg ha-1 NPK + 50 kg ha-1 urea ; T5 : Bokashi compost. Results showed that T2 and T5 led to a significant yield increase up to 170 % and 76 % respectively, compared to the control treatment. Moreover, the bio-fertilizers alone contributed to maintain neutral soil pH and significantly improved its C, N, P and K contents. Therefore, soil fertility was enhanced. Results also indicated that compost enriched with Trichoderma harzianum influenced better tomato yield than that of Bokashi which was only efficient when combined with mineral fertilizer. This combination of the two fertilizers resulted in yield increase of 274.5 % compared to T0. Using the two composts in agriculture could be an alternative for sustainable production of tomato. Their extension at the rate of 0.5 t/ha could be recommended for a better yield.","container-title":"Afrique SCIENCE","issue":"4","language":"fr","page":"189 - 202","source":"Zotero","title":"Amélioration des propriétés physico-chimiques et microbiologiques des sols par des fertilisants biologiques sous cultures de la tomate en zone Soudano-sahélienne","volume":"19","author":[{"family":"Sawadogo","given":"Jacques"},{"family":"Bassole","given":"Marthe Sandrine Doignet"},{"family":"Kabore","given":"Aminata"}],"issued":{"date-parts":[["2021"]]}}}],"schema":"https://github.com/citation-style-language/schema/raw/master/csl-citation.json"}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 xml:space="preserve">Sawadogo et al., </w:t>
      </w:r>
      <w:r w:rsidR="000F1C7C">
        <w:rPr>
          <w:rFonts w:ascii="Arial" w:hAnsi="Arial" w:cs="Arial"/>
          <w:sz w:val="20"/>
          <w:lang w:val="en-US"/>
        </w:rPr>
        <w:t>(</w:t>
      </w:r>
      <w:r w:rsidR="00F1149B" w:rsidRPr="00F1149B">
        <w:rPr>
          <w:rFonts w:ascii="Arial" w:hAnsi="Arial" w:cs="Arial"/>
          <w:sz w:val="20"/>
          <w:lang w:val="en-US"/>
        </w:rPr>
        <w:t>2021)</w:t>
      </w:r>
      <w:r w:rsidR="00F0347E" w:rsidRPr="006D5977">
        <w:rPr>
          <w:rFonts w:ascii="Arial" w:hAnsi="Arial" w:cs="Arial"/>
          <w:sz w:val="20"/>
          <w:szCs w:val="20"/>
          <w:lang w:val="en-US"/>
        </w:rPr>
        <w:fldChar w:fldCharType="end"/>
      </w:r>
      <w:r w:rsidR="003728EE" w:rsidRPr="006D5977">
        <w:rPr>
          <w:rFonts w:ascii="Arial" w:hAnsi="Arial" w:cs="Arial"/>
          <w:sz w:val="20"/>
          <w:szCs w:val="20"/>
          <w:lang w:val="en-US"/>
        </w:rPr>
        <w:t>s</w:t>
      </w:r>
      <w:r w:rsidR="006C20BF" w:rsidRPr="006D5977">
        <w:rPr>
          <w:rFonts w:ascii="Arial" w:hAnsi="Arial" w:cs="Arial"/>
          <w:sz w:val="20"/>
          <w:szCs w:val="20"/>
          <w:lang w:val="en-US"/>
        </w:rPr>
        <w:t xml:space="preserve">tudies have shown that </w:t>
      </w:r>
      <w:r w:rsidR="006C20BF" w:rsidRPr="000F1C7C">
        <w:rPr>
          <w:rFonts w:ascii="Arial" w:hAnsi="Arial" w:cs="Arial"/>
          <w:i/>
          <w:iCs/>
          <w:sz w:val="20"/>
          <w:szCs w:val="20"/>
          <w:lang w:val="en-US"/>
        </w:rPr>
        <w:t>Trichoderma</w:t>
      </w:r>
      <w:r w:rsidR="006C20BF" w:rsidRPr="006D5977">
        <w:rPr>
          <w:rFonts w:ascii="Arial" w:hAnsi="Arial" w:cs="Arial"/>
          <w:sz w:val="20"/>
          <w:szCs w:val="20"/>
          <w:lang w:val="en-US"/>
        </w:rPr>
        <w:t xml:space="preserve"> improves the availability of phosphorus, nitrogen, and potassium. All </w:t>
      </w:r>
      <w:r w:rsidR="00DD0456" w:rsidRPr="006D5977">
        <w:rPr>
          <w:rFonts w:ascii="Arial" w:hAnsi="Arial" w:cs="Arial"/>
          <w:sz w:val="20"/>
          <w:szCs w:val="20"/>
          <w:lang w:val="en-US"/>
        </w:rPr>
        <w:t>growing media</w:t>
      </w:r>
      <w:r w:rsidR="006C20BF" w:rsidRPr="006D5977">
        <w:rPr>
          <w:rFonts w:ascii="Arial" w:hAnsi="Arial" w:cs="Arial"/>
          <w:sz w:val="20"/>
          <w:szCs w:val="20"/>
          <w:lang w:val="en-US"/>
        </w:rPr>
        <w:t>s have adequate nitrogen levels, in accordance with the current NF U44-551 standard for growing media, which mandates total nitrogen levels of less than 2</w:t>
      </w:r>
      <w:r w:rsidR="00801C46" w:rsidRPr="006D5977">
        <w:rPr>
          <w:rFonts w:ascii="Arial" w:hAnsi="Arial" w:cs="Arial"/>
          <w:sz w:val="20"/>
          <w:szCs w:val="20"/>
          <w:lang w:val="en-US"/>
        </w:rPr>
        <w:t>,</w:t>
      </w:r>
      <w:r w:rsidR="006C20BF" w:rsidRPr="006D5977">
        <w:rPr>
          <w:rFonts w:ascii="Arial" w:hAnsi="Arial" w:cs="Arial"/>
          <w:sz w:val="20"/>
          <w:szCs w:val="20"/>
          <w:lang w:val="en-US"/>
        </w:rPr>
        <w:t xml:space="preserve">5%.  </w:t>
      </w:r>
    </w:p>
    <w:p w:rsidR="006C20BF" w:rsidRPr="00F1149B" w:rsidRDefault="006C20BF" w:rsidP="00F1149B">
      <w:pPr>
        <w:pStyle w:val="ListParagraph"/>
        <w:numPr>
          <w:ilvl w:val="1"/>
          <w:numId w:val="20"/>
        </w:numPr>
        <w:spacing w:line="240" w:lineRule="auto"/>
        <w:jc w:val="both"/>
        <w:rPr>
          <w:rFonts w:ascii="Arial" w:hAnsi="Arial" w:cs="Arial"/>
          <w:b/>
          <w:lang w:val="en-US"/>
        </w:rPr>
      </w:pPr>
      <w:r w:rsidRPr="00F1149B">
        <w:rPr>
          <w:rFonts w:ascii="Arial" w:hAnsi="Arial" w:cs="Arial"/>
          <w:b/>
          <w:lang w:val="en-US"/>
        </w:rPr>
        <w:t>Phosphorus</w:t>
      </w:r>
    </w:p>
    <w:p w:rsidR="003841FD" w:rsidRPr="006D5977" w:rsidRDefault="006C20BF"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Analyses have shown that Tricho-compost is significantly richer in phosphorus than rice hull biochar; therefore, the higher the Tricho-compost content in the </w:t>
      </w:r>
      <w:r w:rsidR="00DD0456" w:rsidRPr="006D5977">
        <w:rPr>
          <w:rFonts w:ascii="Arial" w:hAnsi="Arial" w:cs="Arial"/>
          <w:sz w:val="20"/>
          <w:szCs w:val="20"/>
          <w:lang w:val="en-US"/>
        </w:rPr>
        <w:t>growing media</w:t>
      </w:r>
      <w:r w:rsidRPr="006D5977">
        <w:rPr>
          <w:rFonts w:ascii="Arial" w:hAnsi="Arial" w:cs="Arial"/>
          <w:sz w:val="20"/>
          <w:szCs w:val="20"/>
          <w:lang w:val="en-US"/>
        </w:rPr>
        <w:t>, the higher the phosphorus content. This is explained by the improved bioavailability of phosphorus in the compost due to Trichoderma, as noted</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{"citationID":"RayAeTwy","properties":{"formattedCitation":"(Siddiquee et al., 2017)","plainCitation":"(Siddiquee et al., 2017)","noteIndex":0},"citationItems":[{"id":1757,"uris":["http://zotero.org/users/6654317/items/YLXNIEBN","http://zotero.org/users/6654317/items/VFDY7EH3"],"itemData":{"id":1757,"type":"article-journal","abstract":"Oil palm fibres are easy to degrade, eco-friendly in nature and once composted, they can be categorized under nutrient-enriched biocompost. Biocompost is not only a good biofertilizer but also a good biocontrol agent against soil-borne pathogens. In this research, experimental works on the composting of empty fruit bunches (EFB) from the oil palm industry were conducted using two potential Trichoderma strains. Analysis of pH initially found the soils to be slightly acidic. However, after composting, the soils were found to be alkaline. Trichoderma propagules increased by 72% in the soils compared to other fungi. Soil electrical conductivity was found to be 50.40μS/cm for compost A, 42.10μS/cm for compost B and 40.11μS/cm for the control. The highest C:N ratio was obtained for compost A at 3.33, followed by compost B at 2.79, and then the control at 1.55. The highest percentages of nitrogen (N), phosphorus (P), and potassium (K) were found in compost A (0.91:2.13:6.68), which was followed by compost B (0.46:0.83:5.85) and then the control (0.32:0.26:5.76). Thus, the biocomposting of oil palm fibres shows great potential for enhancing soil micronutrient, plant growth performance, and crop yield production.","container-title":"Biotechnology Reports","DOI":"10.1016/j.btre.2016.11.001","ISSN":"2215-017X","journalAbbreviation":"Biotechnology Reports","page":"1-7","source":"ScienceDirect","title":"Effective composting of empty fruit bunches using potential Trichoderma strains","volume":"13","author":[{"family":"Siddiquee","given":"Shafiquzzaman"},{"family":"Shafawati","given":"Saili Nur"},{"family":"Naher","given":"Laila"}],"issued":{"date-parts":[["2017",3,1]]}}}],"schema":"https://github.com/citation-style-language/schema/raw/master/csl-citation.json"}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 xml:space="preserve">Siddiquee et al., </w:t>
      </w:r>
      <w:r w:rsidR="000F1C7C">
        <w:rPr>
          <w:rFonts w:ascii="Arial" w:hAnsi="Arial" w:cs="Arial"/>
          <w:sz w:val="20"/>
          <w:lang w:val="en-US"/>
        </w:rPr>
        <w:t>(</w:t>
      </w:r>
      <w:r w:rsidR="00F1149B" w:rsidRPr="00F1149B">
        <w:rPr>
          <w:rFonts w:ascii="Arial" w:hAnsi="Arial" w:cs="Arial"/>
          <w:sz w:val="20"/>
          <w:lang w:val="en-US"/>
        </w:rPr>
        <w:t>2017)</w:t>
      </w:r>
      <w:r w:rsidR="00F0347E" w:rsidRPr="006D5977">
        <w:rPr>
          <w:rFonts w:ascii="Arial" w:hAnsi="Arial" w:cs="Arial"/>
          <w:sz w:val="20"/>
          <w:szCs w:val="20"/>
          <w:lang w:val="en-US"/>
        </w:rPr>
        <w:fldChar w:fldCharType="end"/>
      </w:r>
      <w:r w:rsidR="00801C46" w:rsidRPr="006D5977">
        <w:rPr>
          <w:rFonts w:ascii="Arial" w:hAnsi="Arial" w:cs="Arial"/>
          <w:sz w:val="20"/>
          <w:szCs w:val="20"/>
          <w:lang w:val="en-US"/>
        </w:rPr>
        <w:t xml:space="preserve">. </w:t>
      </w:r>
      <w:r w:rsidR="006D6A82" w:rsidRPr="006D5977">
        <w:rPr>
          <w:rFonts w:ascii="Arial" w:hAnsi="Arial" w:cs="Arial"/>
          <w:sz w:val="20"/>
          <w:szCs w:val="20"/>
          <w:lang w:val="en-US"/>
        </w:rPr>
        <w:t xml:space="preserve">From the point of view of the phosphorus content of the </w:t>
      </w:r>
      <w:r w:rsidR="00DD0456" w:rsidRPr="006D5977">
        <w:rPr>
          <w:rFonts w:ascii="Arial" w:hAnsi="Arial" w:cs="Arial"/>
          <w:sz w:val="20"/>
          <w:szCs w:val="20"/>
          <w:lang w:val="en-US"/>
        </w:rPr>
        <w:t>growing media</w:t>
      </w:r>
      <w:r w:rsidR="006D6A82" w:rsidRPr="006D5977">
        <w:rPr>
          <w:rFonts w:ascii="Arial" w:hAnsi="Arial" w:cs="Arial"/>
          <w:sz w:val="20"/>
          <w:szCs w:val="20"/>
          <w:lang w:val="en-US"/>
        </w:rPr>
        <w:t xml:space="preserve">s, the NF U44-551 standard sets a content of less than 2%. All </w:t>
      </w:r>
      <w:r w:rsidR="00DD0456" w:rsidRPr="006D5977">
        <w:rPr>
          <w:rFonts w:ascii="Arial" w:hAnsi="Arial" w:cs="Arial"/>
          <w:sz w:val="20"/>
          <w:szCs w:val="20"/>
          <w:lang w:val="en-US"/>
        </w:rPr>
        <w:t>growing media</w:t>
      </w:r>
      <w:r w:rsidR="006D6A82" w:rsidRPr="006D5977">
        <w:rPr>
          <w:rFonts w:ascii="Arial" w:hAnsi="Arial" w:cs="Arial"/>
          <w:sz w:val="20"/>
          <w:szCs w:val="20"/>
          <w:lang w:val="en-US"/>
        </w:rPr>
        <w:t xml:space="preserve">s comply with this requirement.  </w:t>
      </w:r>
    </w:p>
    <w:p w:rsidR="006D5C07" w:rsidRPr="00F1149B" w:rsidRDefault="006C20BF" w:rsidP="00F1149B">
      <w:pPr>
        <w:pStyle w:val="ListParagraph"/>
        <w:numPr>
          <w:ilvl w:val="1"/>
          <w:numId w:val="20"/>
        </w:numPr>
        <w:spacing w:line="240" w:lineRule="auto"/>
        <w:jc w:val="both"/>
        <w:rPr>
          <w:rFonts w:ascii="Arial" w:hAnsi="Arial" w:cs="Arial"/>
          <w:lang w:val="en-US"/>
        </w:rPr>
      </w:pPr>
      <w:r w:rsidRPr="00F1149B">
        <w:rPr>
          <w:rFonts w:ascii="Arial" w:hAnsi="Arial" w:cs="Arial"/>
          <w:b/>
          <w:lang w:val="en-US"/>
        </w:rPr>
        <w:t>Potassium</w:t>
      </w:r>
    </w:p>
    <w:p w:rsidR="00A007C0" w:rsidRPr="006D5977" w:rsidRDefault="006C20BF"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Compared to potassium in the </w:t>
      </w:r>
      <w:r w:rsidR="00DD0456" w:rsidRPr="006D5977">
        <w:rPr>
          <w:rFonts w:ascii="Arial" w:hAnsi="Arial" w:cs="Arial"/>
          <w:sz w:val="20"/>
          <w:szCs w:val="20"/>
          <w:lang w:val="en-US"/>
        </w:rPr>
        <w:t>growing media</w:t>
      </w:r>
      <w:r w:rsidRPr="006D5977">
        <w:rPr>
          <w:rFonts w:ascii="Arial" w:hAnsi="Arial" w:cs="Arial"/>
          <w:sz w:val="20"/>
          <w:szCs w:val="20"/>
          <w:lang w:val="en-US"/>
        </w:rPr>
        <w:t>s, K</w:t>
      </w:r>
      <w:r w:rsidRPr="006D5977">
        <w:rPr>
          <w:rFonts w:ascii="Arial" w:hAnsi="Arial" w:cs="Arial"/>
          <w:sz w:val="20"/>
          <w:szCs w:val="20"/>
          <w:vertAlign w:val="subscript"/>
          <w:lang w:val="en-US"/>
        </w:rPr>
        <w:t>2</w:t>
      </w:r>
      <w:r w:rsidRPr="006D5977">
        <w:rPr>
          <w:rFonts w:ascii="Arial" w:hAnsi="Arial" w:cs="Arial"/>
          <w:sz w:val="20"/>
          <w:szCs w:val="20"/>
          <w:lang w:val="en-US"/>
        </w:rPr>
        <w:t xml:space="preserve">O levels in the </w:t>
      </w:r>
      <w:r w:rsidR="00DD0456" w:rsidRPr="006D5977">
        <w:rPr>
          <w:rFonts w:ascii="Arial" w:hAnsi="Arial" w:cs="Arial"/>
          <w:sz w:val="20"/>
          <w:szCs w:val="20"/>
          <w:lang w:val="en-US"/>
        </w:rPr>
        <w:t>growing media</w:t>
      </w:r>
      <w:r w:rsidRPr="006D5977">
        <w:rPr>
          <w:rFonts w:ascii="Arial" w:hAnsi="Arial" w:cs="Arial"/>
          <w:sz w:val="20"/>
          <w:szCs w:val="20"/>
          <w:lang w:val="en-US"/>
        </w:rPr>
        <w:t>s increased with increasing rice hull biochar content, demonstrating that the latter is a good source of potassium. This is perfectly consistent with the results of</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{"citationID":"QgFvPjPk","properties":{"formattedCitation":"(Kim et al., 2017)","plainCitation":"(Kim et al., 2017)","noteIndex":0},"citationItems":[{"id":3132,"uris":["http://zotero.org/users/local/MzRjPaDh/items/7VRQV3Q9","http://zotero.org/users/6654317/items/7VRQV3Q9","http://zotero.org/users/6654317/items/ZKF7KLST"],"itemData":{"id":3132,"type":"article-journal","abstract":"The current study was conducted in order to examine the applicability of rice hull derived biochar (BC) to improve the properties of growing media (GM). Biochar was incorporated into a growing media composed of coir dust, perlite and vermiculite at 0, 1, 2 and 5 % (w/w). Subsequently, the physicochemical properties of the GM-BC mixtures were determined in the cultivation of kale (Brassica oleracea L. var. acephala) for 25 days through the observation of the plant growth response. During kale cultivation in the GM-BC mixtures, the leachates were collected and analyzed to determine the changes in nutrient levels due to BC amendment. Application of rice hull-derived BC increased the retention of nutrients in the growing media d</w:instrText>
      </w:r>
      <w:r w:rsidR="00F1149B" w:rsidRPr="000F1C7C">
        <w:rPr>
          <w:rFonts w:ascii="Arial" w:hAnsi="Arial" w:cs="Arial"/>
          <w:sz w:val="20"/>
          <w:szCs w:val="20"/>
        </w:rPr>
        <w:instrText xml:space="preserve">ue to a biochar-induced increase in cation exchange capacity, in addition to the biochar nutrient supply such as potassium and phosphorus. Furthermore, a higher water content of the growing media was observed when BC was used as an amendment, mainly due to the increased proportion of pore space available for water storage. The growth rate of kale was also increased as the biochar incorporation rate was increased. For example, the dry weight of the kale shoots was 150 % higher when grown in media containing 5 % GM-BC mixture than with the control growing media (with no biochar). From these results, it can be concluded that the rice hull-derived biochar would be a practically applicable amendment to improve the properties of the growing media.","container-title":"Waste and Biomass Valorization","DOI":"10.1007/s12649-016-9588-z","ISSN":"1877-265X","issue":"2","journalAbbreviation":"Waste Biomass Valor","language":"en","page":"483-492","source":"Springer Link","title":"Amelioration of Horticultural Growing Media Properties Through Rice Hull Biochar Incorporation","volume":"8","author":[{"family":"Kim","given":"Hyuck Soo"},{"family":"Kim","given":"Kwon Rae"},{"family":"Yang","given":"Jae-E"},{"family":"Ok","given":"Yong Sik"},{"family":"Kim","given":"Won Il"},{"family":"Kunhikrishnan","given":"Anitha"},{"family":"Kim","given":"Kye-Hoon"}],"issued":{"date-parts":[["2017",3,1]]}}}],"schema":"https://github.com/citation-style-language/schema/raw/master/csl-citation.json"} </w:instrText>
      </w:r>
      <w:r w:rsidR="00F0347E" w:rsidRPr="006D5977">
        <w:rPr>
          <w:rFonts w:ascii="Arial" w:hAnsi="Arial" w:cs="Arial"/>
          <w:sz w:val="20"/>
          <w:szCs w:val="20"/>
          <w:lang w:val="en-US"/>
        </w:rPr>
        <w:fldChar w:fldCharType="separate"/>
      </w:r>
      <w:r w:rsidR="00F1149B" w:rsidRPr="000F1C7C">
        <w:rPr>
          <w:rFonts w:ascii="Arial" w:hAnsi="Arial" w:cs="Arial"/>
          <w:sz w:val="20"/>
        </w:rPr>
        <w:t xml:space="preserve">Kim et al., </w:t>
      </w:r>
      <w:r w:rsidR="000F1C7C" w:rsidRPr="000F1C7C">
        <w:rPr>
          <w:rFonts w:ascii="Arial" w:hAnsi="Arial" w:cs="Arial"/>
          <w:sz w:val="20"/>
        </w:rPr>
        <w:t>(</w:t>
      </w:r>
      <w:r w:rsidR="00F1149B" w:rsidRPr="000F1C7C">
        <w:rPr>
          <w:rFonts w:ascii="Arial" w:hAnsi="Arial" w:cs="Arial"/>
          <w:sz w:val="20"/>
        </w:rPr>
        <w:t>2017)</w:t>
      </w:r>
      <w:r w:rsidR="00F0347E" w:rsidRPr="006D5977">
        <w:rPr>
          <w:rFonts w:ascii="Arial" w:hAnsi="Arial" w:cs="Arial"/>
          <w:sz w:val="20"/>
          <w:szCs w:val="20"/>
          <w:lang w:val="en-US"/>
        </w:rPr>
        <w:fldChar w:fldCharType="end"/>
      </w:r>
      <w:r w:rsidR="000F1C7C" w:rsidRPr="000F1C7C">
        <w:rPr>
          <w:rFonts w:ascii="Arial" w:hAnsi="Arial" w:cs="Arial"/>
          <w:sz w:val="20"/>
          <w:szCs w:val="20"/>
        </w:rPr>
        <w:t xml:space="preserve">; </w:t>
      </w:r>
      <w:r w:rsidR="00F0347E" w:rsidRPr="006D5977">
        <w:rPr>
          <w:rFonts w:ascii="Arial" w:hAnsi="Arial" w:cs="Arial"/>
          <w:sz w:val="20"/>
          <w:szCs w:val="20"/>
          <w:lang w:val="en-US"/>
        </w:rPr>
        <w:fldChar w:fldCharType="begin"/>
      </w:r>
      <w:r w:rsidR="00F1149B" w:rsidRPr="000F1C7C">
        <w:rPr>
          <w:rFonts w:ascii="Arial" w:hAnsi="Arial" w:cs="Arial"/>
          <w:sz w:val="20"/>
          <w:szCs w:val="20"/>
        </w:rPr>
        <w:instrText xml:space="preserve"> ADDIN ZOTERO_ITEM CSL_CITATION {"citationID":"CAJZxZFj","properties":{"formattedCitation":"(Singh et al., 2019)","plainCitation":"(Singh et al., 2019)","noteIndex":0},"citationItems":[{"id":3247,"uris":["http://zotero.org/users/6654317/items/88SG2QRX"],"itemData":{"id":3247,"type":"article-journal","abstract":"Application of biochar to soil has increased considerably during recent years because of its effectiveness as a soil amendment causing beneficial effects on soil health. However, the effects have been reported to vary and depend upon types of feedstock and pyrolysis conditions during biochar production. Therefore, characterization of biochar is extremely important for its efficient utilization as a soil amendment. In the present study, biochar was prepared from agro-industrial by-products (rice husk and sugarcane bagasse) and weeds (Parthenium and Lantana) under similar p</w:instrText>
      </w:r>
      <w:r w:rsidR="00F1149B" w:rsidRPr="000F1C7C">
        <w:rPr>
          <w:rFonts w:ascii="Arial" w:hAnsi="Arial" w:cs="Arial"/>
          <w:sz w:val="20"/>
          <w:szCs w:val="20"/>
          <w:lang w:val="en-US"/>
        </w:rPr>
        <w:instrText xml:space="preserve">yrolysis conditions. Lantana biochar (LBC) showed the highest pH (10.4) while the lowest value (8.5) being recorded in rice husk biochar (RHBC). The energy-dispersive X-ray spectroscopy (EDS) analysis indicated that LBC and Parthenium biochar (PBC) were superior with respect to potassium (K) content than sugarcane bagasse biochar (SBBC) and RHBC. The Fourier-Transform Infrared Spectroscopy (FTIR) study exhibited the existence of different functional groups in biochar. All the biochar treated soils showed significantly higher microbial activities with different degrees. Application of LBC and PBC at 4.50 g kg−1 soil significantly increased K availability in soil. Lantana biochar and PBC amended the soil at 9 g kg−1 significantly increased the soil pH thus makes these biochar as potential liming materials.","container-title":"Archives of Agronomy and Soil Science","DOI":"10.1080/03650340.2018.1563291","ISSN":"0365-0340","issue":"9","note":"publisher: Taylor &amp; Francis\n_eprint: https://doi.org/10.1080/03650340.2018.1563291","page":"1302-1315","source":"Taylor and Francis+NEJM","title":"Characterization of biochar and their influence on microbial activities and potassium availability in an acid soil","volume":"65","author":[{"family":"Singh","given":"Awtar"},{"family":"Singh","given":"A. P."},{"family":"Purakayastha","given":"T. J."}],"issued":{"date-parts":[["2019",7,29]]}}}],"schema":"https://github.com/citation-style-language/schema/raw/master/csl-citation.json"} </w:instrText>
      </w:r>
      <w:r w:rsidR="00F0347E" w:rsidRPr="006D5977">
        <w:rPr>
          <w:rFonts w:ascii="Arial" w:hAnsi="Arial" w:cs="Arial"/>
          <w:sz w:val="20"/>
          <w:szCs w:val="20"/>
          <w:lang w:val="en-US"/>
        </w:rPr>
        <w:fldChar w:fldCharType="separate"/>
      </w:r>
      <w:r w:rsidR="00F1149B" w:rsidRPr="000F1C7C">
        <w:rPr>
          <w:rFonts w:ascii="Arial" w:hAnsi="Arial" w:cs="Arial"/>
          <w:sz w:val="20"/>
          <w:lang w:val="en-US"/>
        </w:rPr>
        <w:t xml:space="preserve">Singh et al., </w:t>
      </w:r>
      <w:r w:rsidR="000F1C7C" w:rsidRPr="000F1C7C">
        <w:rPr>
          <w:rFonts w:ascii="Arial" w:hAnsi="Arial" w:cs="Arial"/>
          <w:sz w:val="20"/>
          <w:lang w:val="en-US"/>
        </w:rPr>
        <w:t>(</w:t>
      </w:r>
      <w:r w:rsidR="00F1149B" w:rsidRPr="000F1C7C">
        <w:rPr>
          <w:rFonts w:ascii="Arial" w:hAnsi="Arial" w:cs="Arial"/>
          <w:sz w:val="20"/>
          <w:lang w:val="en-US"/>
        </w:rPr>
        <w:t>2019)</w:t>
      </w:r>
      <w:r w:rsidR="00F0347E" w:rsidRPr="006D5977">
        <w:rPr>
          <w:rFonts w:ascii="Arial" w:hAnsi="Arial" w:cs="Arial"/>
          <w:sz w:val="20"/>
          <w:szCs w:val="20"/>
          <w:lang w:val="en-US"/>
        </w:rPr>
        <w:fldChar w:fldCharType="end"/>
      </w:r>
      <w:r w:rsidRPr="000F1C7C">
        <w:rPr>
          <w:rFonts w:ascii="Arial" w:hAnsi="Arial" w:cs="Arial"/>
          <w:sz w:val="20"/>
          <w:szCs w:val="20"/>
          <w:lang w:val="en-US"/>
        </w:rPr>
        <w:t xml:space="preserve">who concluded that rice hull biochar significantly increases potassium availability. </w:t>
      </w:r>
      <w:r w:rsidRPr="006D5977">
        <w:rPr>
          <w:rFonts w:ascii="Arial" w:hAnsi="Arial" w:cs="Arial"/>
          <w:sz w:val="20"/>
          <w:szCs w:val="20"/>
          <w:lang w:val="en-US"/>
        </w:rPr>
        <w:t>Furthermore, Amassa and Manenoi, (2008) cited by</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{"citationID":"PVAF7KLx","properties":{"formattedCitation":"(Atif et al., 2016)","plainCitation":"(Atif et al., 2016)","noteIndex":0},"citationItems":[{"id":2501,"uris":["http://zotero.org/users/local/MzRjPaDh/items/EL8NF3YG","http://zotero.org/users/6654317/items/EL8NF3YG"],"itemData":{"id":2501,"type":"article-journal","abstract":"Effect of peat, compost (vegetable waste) and traditional practicing media (soil, sand and farmyard manure) alone and in combinations, was examined on the quality of tomato seedlings (Lycopersicon esculentum L.) at Directorate of Vegetable, DHRD, NARC, Islamabad, during 2013-14. Germination and several seedling quality variables, like, days to emergence, shoot length, height, vigor index, dry matter accumulation and benefit cost ratio, were monitored. Maximum germination percentage (95), seedlings shoot length (26.67 cm), seedling height (35 cm), seedling vigor index (3325) and minimum days to emergence (15.33) were observed in T 9 (peat, compost and traditional practicing media in 1:1:1 ratio). Maximum dry matter accumulation (34.80%) was recorded in T 1 (peat). Maximum benefit cost ratio (2.70) is calculated for T 0 : traditional practicing media (soil, sand and farmyard manure in 1:1:1 ratio). Optimum growth of tomato seedlings was observed when peat, compost and traditional practicing media were used in equal proportions.","container-title":"Science, Technology and Development","DOI":"10.3923/std.2016.123.127","issue":"3","journalAbbreviation":"Science, Technology and Development","page":"123-127","source":"ResearchGate","title":"Different Growth Media Effect the Germination and Growth of Tomato Seedlings","volume":"35","author":[{"family":"Atif","given":"Muhammad"},{"family":"Jellani","given":"Ghulam"},{"family":"Humair","given":"Muhammad"},{"family":"Ahmed","given":"Humair"},{"family":"Saleem","given":"Noor"},{"family":"Ullah","given":"Hidayat"},{"family":"Khan","given":"Muhammad Zameer"},{"family":"Ikram","given":"Samia"}],"issued":{"date-parts":[["2016",3,1]]}}}],"schema":"https://github.com/citation-style-language/schema/raw/master/csl-citation.json"}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lang w:val="en-US"/>
        </w:rPr>
        <w:t>(Atif et al., 2016)</w:t>
      </w:r>
      <w:r w:rsidR="00F0347E" w:rsidRPr="006D5977">
        <w:rPr>
          <w:rFonts w:ascii="Arial" w:hAnsi="Arial" w:cs="Arial"/>
          <w:sz w:val="20"/>
          <w:szCs w:val="20"/>
          <w:lang w:val="en-US"/>
        </w:rPr>
        <w:fldChar w:fldCharType="end"/>
      </w:r>
      <w:r w:rsidR="00801C46" w:rsidRPr="006D5977">
        <w:rPr>
          <w:rFonts w:ascii="Arial" w:hAnsi="Arial" w:cs="Arial"/>
          <w:sz w:val="20"/>
          <w:szCs w:val="20"/>
          <w:lang w:val="en-US"/>
        </w:rPr>
        <w:t xml:space="preserve"> s</w:t>
      </w:r>
      <w:r w:rsidRPr="006D5977">
        <w:rPr>
          <w:rFonts w:ascii="Arial" w:hAnsi="Arial" w:cs="Arial"/>
          <w:sz w:val="20"/>
          <w:szCs w:val="20"/>
          <w:lang w:val="en-US"/>
        </w:rPr>
        <w:t xml:space="preserve">tudies have shown that organic media have higher levels of phosphorus  and potassium than commercial </w:t>
      </w:r>
      <w:r w:rsidR="0067059E" w:rsidRPr="006D5977">
        <w:rPr>
          <w:rFonts w:ascii="Arial" w:hAnsi="Arial" w:cs="Arial"/>
          <w:sz w:val="20"/>
          <w:szCs w:val="20"/>
          <w:lang w:val="en-US"/>
        </w:rPr>
        <w:t xml:space="preserve">growing </w:t>
      </w:r>
      <w:r w:rsidRPr="006D5977">
        <w:rPr>
          <w:rFonts w:ascii="Arial" w:hAnsi="Arial" w:cs="Arial"/>
          <w:sz w:val="20"/>
          <w:szCs w:val="20"/>
          <w:lang w:val="en-US"/>
        </w:rPr>
        <w:t>media such as peat. It should be noted that, according to standard NF U44-551, the potassium content of any growing medium must not exceed 2</w:t>
      </w:r>
      <w:r w:rsidR="0067059E" w:rsidRPr="006D5977">
        <w:rPr>
          <w:rFonts w:ascii="Arial" w:hAnsi="Arial" w:cs="Arial"/>
          <w:sz w:val="20"/>
          <w:szCs w:val="20"/>
          <w:lang w:val="en-US"/>
        </w:rPr>
        <w:t>,</w:t>
      </w:r>
      <w:r w:rsidRPr="006D5977">
        <w:rPr>
          <w:rFonts w:ascii="Arial" w:hAnsi="Arial" w:cs="Arial"/>
          <w:sz w:val="20"/>
          <w:szCs w:val="20"/>
          <w:lang w:val="en-US"/>
        </w:rPr>
        <w:t xml:space="preserve">5%, meaning that all </w:t>
      </w:r>
      <w:r w:rsidR="00DD0456" w:rsidRPr="006D5977">
        <w:rPr>
          <w:rFonts w:ascii="Arial" w:hAnsi="Arial" w:cs="Arial"/>
          <w:sz w:val="20"/>
          <w:szCs w:val="20"/>
          <w:lang w:val="en-US"/>
        </w:rPr>
        <w:t>growing media</w:t>
      </w:r>
      <w:r w:rsidRPr="006D5977">
        <w:rPr>
          <w:rFonts w:ascii="Arial" w:hAnsi="Arial" w:cs="Arial"/>
          <w:sz w:val="20"/>
          <w:szCs w:val="20"/>
          <w:lang w:val="en-US"/>
        </w:rPr>
        <w:t>s have compliant levels.</w:t>
      </w:r>
    </w:p>
    <w:p w:rsidR="006D6A82" w:rsidRPr="00F1149B" w:rsidRDefault="006D6A82" w:rsidP="00F1149B">
      <w:pPr>
        <w:pStyle w:val="ListParagraph"/>
        <w:numPr>
          <w:ilvl w:val="1"/>
          <w:numId w:val="20"/>
        </w:numPr>
        <w:spacing w:line="240" w:lineRule="auto"/>
        <w:jc w:val="both"/>
        <w:rPr>
          <w:rFonts w:ascii="Arial" w:hAnsi="Arial" w:cs="Arial"/>
          <w:b/>
          <w:lang w:val="en-US"/>
        </w:rPr>
      </w:pPr>
      <w:r w:rsidRPr="00F1149B">
        <w:rPr>
          <w:rFonts w:ascii="Arial" w:hAnsi="Arial" w:cs="Arial"/>
          <w:b/>
          <w:lang w:val="en-US"/>
        </w:rPr>
        <w:t>N + P</w:t>
      </w:r>
      <w:r w:rsidRPr="00F1149B">
        <w:rPr>
          <w:rFonts w:ascii="Arial" w:hAnsi="Arial" w:cs="Arial"/>
          <w:b/>
          <w:vertAlign w:val="subscript"/>
          <w:lang w:val="en-US"/>
        </w:rPr>
        <w:t>2</w:t>
      </w:r>
      <w:r w:rsidRPr="00F1149B">
        <w:rPr>
          <w:rFonts w:ascii="Arial" w:hAnsi="Arial" w:cs="Arial"/>
          <w:b/>
          <w:lang w:val="en-US"/>
        </w:rPr>
        <w:t>O</w:t>
      </w:r>
      <w:r w:rsidRPr="00F1149B">
        <w:rPr>
          <w:rFonts w:ascii="Arial" w:hAnsi="Arial" w:cs="Arial"/>
          <w:b/>
          <w:vertAlign w:val="subscript"/>
          <w:lang w:val="en-US"/>
        </w:rPr>
        <w:t>5</w:t>
      </w:r>
      <w:r w:rsidRPr="00F1149B">
        <w:rPr>
          <w:rFonts w:ascii="Arial" w:hAnsi="Arial" w:cs="Arial"/>
          <w:b/>
          <w:lang w:val="en-US"/>
        </w:rPr>
        <w:t xml:space="preserve"> + K</w:t>
      </w:r>
      <w:r w:rsidRPr="00F1149B">
        <w:rPr>
          <w:rFonts w:ascii="Arial" w:hAnsi="Arial" w:cs="Arial"/>
          <w:b/>
          <w:vertAlign w:val="subscript"/>
          <w:lang w:val="en-US"/>
        </w:rPr>
        <w:t>2</w:t>
      </w:r>
      <w:r w:rsidRPr="00F1149B">
        <w:rPr>
          <w:rFonts w:ascii="Arial" w:hAnsi="Arial" w:cs="Arial"/>
          <w:b/>
          <w:lang w:val="en-US"/>
        </w:rPr>
        <w:t>O</w:t>
      </w:r>
    </w:p>
    <w:p w:rsidR="00724BFE" w:rsidRPr="006D5977" w:rsidRDefault="006D6A82" w:rsidP="005D29FE">
      <w:pPr>
        <w:spacing w:line="240" w:lineRule="auto"/>
        <w:jc w:val="both"/>
        <w:rPr>
          <w:rFonts w:ascii="Arial" w:hAnsi="Arial" w:cs="Arial"/>
          <w:sz w:val="20"/>
          <w:szCs w:val="20"/>
          <w:lang w:val="en-US"/>
        </w:rPr>
      </w:pPr>
      <w:r w:rsidRPr="006D5977">
        <w:rPr>
          <w:rFonts w:ascii="Arial" w:hAnsi="Arial" w:cs="Arial"/>
          <w:sz w:val="20"/>
          <w:szCs w:val="20"/>
          <w:lang w:val="en-US"/>
        </w:rPr>
        <w:t>The results show a relationship between the proportion of Tricho-compost and the richness in major nutrients. Tricho-compost makes a significant contribution of nitrogen, phosphorus, and potassium, essential for plant growth</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{"citationID":"VOBJTBoH","properties":{"formattedCitation":"(Komolafe et al., 2020)","plainCitation":"(Komolafe et al., 2020)","noteIndex":0},"citationItems":[{"id":2246,"uris":["http://zotero.org/users/6654317/items/I2GVDI8F"],"itemData":{"id":2246,"type":"article-journal","abstract":"Abstract\n            \n              Compost maturity is a major factor in its use for nutrient supply without adverse effect on crop germination. Composting may be accelerated with inclusion of some microorganisms as activators. This study was conducted to determine the effect of\n              Trichoderma asperellum\n              and length of composting of different plant materials and cattle manure on compost maturity in Ibadan, Nigeria. Composting of two plant materials with cow dung at ratio 3:1 was done in triplicate with or without\n              Trichoderma\n              activation to obtain twelve heaps of four different types of composts; Panicum-based compost with\n              Trichoderma\n              , Tridax-based compost with\n              Trichoderma\n              , Panicum-based compost without\n              Trichoderma\n              and Tridax-based compost without\n              Trichoderma\n              . The process was a 2×2 factorial experiment, laid out a completely randomized design. The\n              Trichoderma\n              activated compost (TAC) at four weeks of composting (4WC) had 56% total N, 21% organic matter, 38% total K, 51% total P and 66.6% microbial biomass N increase over non-activated compost (NAC). Carbon to nitrogen ratio was within the ideal range (10–20) in TAC while it was greater than it in NAC. Microbial biomass and lignin contents had a 56% and 41% increase, respectively, in NAC over TAC.\n              Trichorderma-\n              activated compost has a potential to hasten maturation and makes the compost ready for field on or before four weeks without posing a threat to crop germination.","container-title":"Agricultura Tropica et Subtropica","DOI":"10.2478/ats-2020-0003","ISSN":"1801-0571","issue":"1","language":"en","license":"http://creativecommons.org/licenses/by-nc-nd/4.0","page":"19-27","source":"DOI.org (Crossref)","title":"Maturity indices of composting plant materials with &lt;i&gt;Trichoderma asperellum&lt;/i&gt; as activator","volume":"53","author":[{"family":"Komolafe","given":"Adenike Fisayo"},{"family":"Adejuyigbe","given":"Christopher Olu"},{"family":"Soretire","given":"Adeniyi Adebowale"},{"family":"Aiyelaagbe","given":"Isaac OreOluwa Olatokunbo"}],"issued":{"date-parts":[["2020",3,1]]}}}],"schema":"https://github.com/citation-style-language/schema/raw/master/csl-citation.json"}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(Komolafe et al., 2020)</w:t>
      </w:r>
      <w:r w:rsidR="00F0347E" w:rsidRPr="006D5977">
        <w:rPr>
          <w:rFonts w:ascii="Arial" w:hAnsi="Arial" w:cs="Arial"/>
          <w:sz w:val="20"/>
          <w:szCs w:val="20"/>
        </w:rPr>
        <w:fldChar w:fldCharType="end"/>
      </w:r>
      <w:r w:rsidR="0067059E" w:rsidRPr="006D5977">
        <w:rPr>
          <w:rFonts w:ascii="Arial" w:hAnsi="Arial" w:cs="Arial"/>
          <w:sz w:val="20"/>
          <w:szCs w:val="20"/>
          <w:lang w:val="en-US"/>
        </w:rPr>
        <w:t xml:space="preserve">. </w:t>
      </w:r>
      <w:r w:rsidR="00724BFE" w:rsidRPr="006D5977">
        <w:rPr>
          <w:rFonts w:ascii="Arial" w:hAnsi="Arial" w:cs="Arial"/>
          <w:sz w:val="20"/>
          <w:szCs w:val="20"/>
          <w:lang w:val="en-US"/>
        </w:rPr>
        <w:t xml:space="preserve">The NF U44-551 standard stipulates that, for growing media, the sum of the total nitrogen, phosphorus, and potassium content must not exceed 5%. Therefore, all </w:t>
      </w:r>
      <w:r w:rsidR="00DD0456" w:rsidRPr="006D5977">
        <w:rPr>
          <w:rFonts w:ascii="Arial" w:hAnsi="Arial" w:cs="Arial"/>
          <w:sz w:val="20"/>
          <w:szCs w:val="20"/>
          <w:lang w:val="en-US"/>
        </w:rPr>
        <w:t>growing media</w:t>
      </w:r>
      <w:r w:rsidR="00724BFE" w:rsidRPr="006D5977">
        <w:rPr>
          <w:rFonts w:ascii="Arial" w:hAnsi="Arial" w:cs="Arial"/>
          <w:sz w:val="20"/>
          <w:szCs w:val="20"/>
          <w:lang w:val="en-US"/>
        </w:rPr>
        <w:t>s comply with this requirement regarding the sum of their percentage content of N + P</w:t>
      </w:r>
      <w:r w:rsidR="00724BFE" w:rsidRPr="006D5977">
        <w:rPr>
          <w:rFonts w:ascii="Arial" w:hAnsi="Arial" w:cs="Arial"/>
          <w:sz w:val="20"/>
          <w:szCs w:val="20"/>
          <w:vertAlign w:val="subscript"/>
          <w:lang w:val="en-US"/>
        </w:rPr>
        <w:t>2</w:t>
      </w:r>
      <w:r w:rsidR="00724BFE" w:rsidRPr="006D5977">
        <w:rPr>
          <w:rFonts w:ascii="Arial" w:hAnsi="Arial" w:cs="Arial"/>
          <w:sz w:val="20"/>
          <w:szCs w:val="20"/>
          <w:lang w:val="en-US"/>
        </w:rPr>
        <w:t>O</w:t>
      </w:r>
      <w:r w:rsidR="00724BFE" w:rsidRPr="006D5977">
        <w:rPr>
          <w:rFonts w:ascii="Arial" w:hAnsi="Arial" w:cs="Arial"/>
          <w:sz w:val="20"/>
          <w:szCs w:val="20"/>
          <w:vertAlign w:val="subscript"/>
          <w:lang w:val="en-US"/>
        </w:rPr>
        <w:t>5</w:t>
      </w:r>
      <w:r w:rsidR="00724BFE" w:rsidRPr="006D5977">
        <w:rPr>
          <w:rFonts w:ascii="Arial" w:hAnsi="Arial" w:cs="Arial"/>
          <w:sz w:val="20"/>
          <w:szCs w:val="20"/>
          <w:lang w:val="en-US"/>
        </w:rPr>
        <w:t xml:space="preserve"> + K</w:t>
      </w:r>
      <w:r w:rsidR="00724BFE" w:rsidRPr="006D5977">
        <w:rPr>
          <w:rFonts w:ascii="Arial" w:hAnsi="Arial" w:cs="Arial"/>
          <w:sz w:val="20"/>
          <w:szCs w:val="20"/>
          <w:vertAlign w:val="subscript"/>
          <w:lang w:val="en-US"/>
        </w:rPr>
        <w:t>2</w:t>
      </w:r>
      <w:r w:rsidR="00724BFE" w:rsidRPr="006D5977">
        <w:rPr>
          <w:rFonts w:ascii="Arial" w:hAnsi="Arial" w:cs="Arial"/>
          <w:sz w:val="20"/>
          <w:szCs w:val="20"/>
          <w:lang w:val="en-US"/>
        </w:rPr>
        <w:t>O.</w:t>
      </w:r>
    </w:p>
    <w:p w:rsidR="00E75CE4" w:rsidRPr="00F1149B" w:rsidRDefault="00E75CE4" w:rsidP="00F1149B">
      <w:pPr>
        <w:pStyle w:val="ListParagraph"/>
        <w:numPr>
          <w:ilvl w:val="1"/>
          <w:numId w:val="20"/>
        </w:numPr>
        <w:spacing w:line="240" w:lineRule="auto"/>
        <w:jc w:val="both"/>
        <w:rPr>
          <w:rFonts w:ascii="Arial" w:hAnsi="Arial" w:cs="Arial"/>
          <w:b/>
          <w:lang w:val="en-US"/>
        </w:rPr>
      </w:pPr>
      <w:r w:rsidRPr="00F1149B">
        <w:rPr>
          <w:rFonts w:ascii="Arial" w:hAnsi="Arial" w:cs="Arial"/>
          <w:b/>
          <w:lang w:val="en-US"/>
        </w:rPr>
        <w:t>Organic matter content</w:t>
      </w:r>
    </w:p>
    <w:p w:rsidR="00740F38" w:rsidRPr="006D5977" w:rsidRDefault="00E75CE4"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 organic matter content is of fundamental importance for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fertility, due to its physical, chemical and biological effects</w:t>
      </w:r>
      <w:r w:rsidR="00F0347E" w:rsidRPr="006D5977">
        <w:rPr>
          <w:rFonts w:ascii="Arial" w:hAnsi="Arial" w:cs="Arial"/>
          <w:sz w:val="20"/>
          <w:szCs w:val="20"/>
        </w:rPr>
        <w:fldChar w:fldCharType="begin"/>
      </w:r>
      <w:r w:rsidR="00E03FC6" w:rsidRPr="006D5977">
        <w:rPr>
          <w:rFonts w:ascii="Arial" w:hAnsi="Arial" w:cs="Arial"/>
          <w:sz w:val="20"/>
          <w:szCs w:val="20"/>
          <w:lang w:val="en-US"/>
        </w:rPr>
        <w:instrText xml:space="preserve"> ADDIN ZOTERO_ITEM CSL_CITATION {"citationID":"C6aNYC7c","properties":{"formattedCitation":"(Bembli &amp; M\\uc0\\u8217{}sadak, 2017)","plainCitation":"(Bembli &amp; M’sadak, 2017)","dontUpdate":true,"noteIndex":0},"citationItems":[{"id":2969,"uris":["http://zotero.org/users/6654317/items/6GCLILE4"],"itemData":{"id":2969,"type":"article-journal","abstract":"La  Tourbe  constitue  le  substrat  de  référence  pour  la  croissance  des  plants  en pépinières  maraîchères.  Cependant,  cette  ressource  ne  cesse  de  poser  des problèmes  en  matière  d’approvisionnement  et  d’hémorragie  de  devises.  À  cet effet,  des  investigations  ont  été  menées  pour  la  substituer  partiellement,  en utilisant  d’autres  ressources  organiques  disponibles  à  moindre  coût.  L’objectif général  consiste  à  mettre  au  point  un  substrat  de  croissance  adapté,  tout  en réalisant des mélanges de Tourbe avec Compost Sylvicole Criblé (CSC, produit sur la plate-forme de compostage  rattachée à  la pépinière  forestière moderne de Chott Mariem, Sousse, Tunisie), tout en évaluant leur comportement physique, chimique et  agronomique  pour  la  production  des  plants  de  Tomate  hors  sol.  Les  résultats obtenus montrent que  le substrat SD1 (60% Tourbe + 40% CSC) et  le substrat SE1 (50%  Tourbe  +  50%  CSC)  ont  enregistré  des  paramètres  physico-chimiques conformes.  Aussi,  ces  substrats  peuvent  être  considérés  comme  des  mélanges adéquats  de  point  de  vue  paramètres  de  germination  des  semences  et  de croissance des plants de  Tomate.  L’incorporation partielle du CSC  avec  la  Tourbe pourrait être intéressante, en appliquant un ratio de 20 à 40%, voire 50%.","container-title":"Agriculture","ISSN":"2588-2155","issue":"1","language":"fr","note":"publisher: ASJP","page":"18-30","source":"asjp.cerist.dz","title":"Évaluations directe et indirecte des substrats de culture issus de tourbe en mélange avec compost sylvicole pour la production des plants de Tomate","volume":"8","author":[{"family":"Bembli","given":"Houda"},{"family":"M'sadak","given":"Youssef"}],"issued":{"date-parts":[["2017",6,30]]}}},{"id":757,"uris":["http://zotero.org/users/6654317/items/HFVE3IQM"],"itemData":{"id":757,"type":"article-journal","container-title":"Algerian Journal of Arid Environment “AJAE”","issue":"1","page":"14","source":"Google Scholar","title":"Comportement hors sol des plants de tomate sur substrats de culture à base de tourbe en mélange avec compost sylvicole","volume":"7","author":[{"family":"Bembli","given":"Houda"},{"family":"M'Sadak","given":"Youssef"}],"issued":{"date-parts":[["2017"]]}}}],"schema":"https://github.com/citation-style-language/schema/raw/master/csl-citation.json"} </w:instrText>
      </w:r>
      <w:r w:rsidR="00F0347E" w:rsidRPr="006D5977">
        <w:rPr>
          <w:rFonts w:ascii="Arial" w:hAnsi="Arial" w:cs="Arial"/>
          <w:sz w:val="20"/>
          <w:szCs w:val="20"/>
        </w:rPr>
        <w:fldChar w:fldCharType="end"/>
      </w:r>
      <w:r w:rsidR="0067059E" w:rsidRPr="006D5977">
        <w:rPr>
          <w:rFonts w:ascii="Arial" w:hAnsi="Arial" w:cs="Arial"/>
          <w:sz w:val="20"/>
          <w:szCs w:val="20"/>
          <w:lang w:val="en-US"/>
        </w:rPr>
        <w:t xml:space="preserve">. </w:t>
      </w:r>
      <w:r w:rsidRPr="006D5977">
        <w:rPr>
          <w:rFonts w:ascii="Arial" w:hAnsi="Arial" w:cs="Arial"/>
          <w:sz w:val="20"/>
          <w:szCs w:val="20"/>
          <w:lang w:val="en-US"/>
        </w:rPr>
        <w:t>The organic matter content of the Tricho-compost (43</w:t>
      </w:r>
      <w:r w:rsidR="0067059E" w:rsidRPr="006D5977">
        <w:rPr>
          <w:rFonts w:ascii="Arial" w:hAnsi="Arial" w:cs="Arial"/>
          <w:sz w:val="20"/>
          <w:szCs w:val="20"/>
          <w:lang w:val="en-US"/>
        </w:rPr>
        <w:t>,</w:t>
      </w:r>
      <w:r w:rsidRPr="006D5977">
        <w:rPr>
          <w:rFonts w:ascii="Arial" w:hAnsi="Arial" w:cs="Arial"/>
          <w:sz w:val="20"/>
          <w:szCs w:val="20"/>
          <w:lang w:val="en-US"/>
        </w:rPr>
        <w:t>67%) testifies to its stability and maturity</w:t>
      </w:r>
      <w:r w:rsidR="0067059E" w:rsidRPr="006D5977">
        <w:rPr>
          <w:rFonts w:ascii="Arial" w:hAnsi="Arial" w:cs="Arial"/>
          <w:sz w:val="20"/>
          <w:szCs w:val="20"/>
          <w:lang w:val="en-US"/>
        </w:rPr>
        <w:t>. A</w:t>
      </w:r>
      <w:r w:rsidRPr="006D5977">
        <w:rPr>
          <w:rFonts w:ascii="Arial" w:hAnsi="Arial" w:cs="Arial"/>
          <w:sz w:val="20"/>
          <w:szCs w:val="20"/>
          <w:lang w:val="en-US"/>
        </w:rPr>
        <w:t>ccording to</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{"citationID":"4WmQOmfC","properties":{"formattedCitation":"(M\\uc0\\u8217{}Sadak Y &amp; Bembli H, 2018)","plainCitation":"(M’Sadak Y &amp; Bembli H, 2018)","noteIndex":0},"citationItems":[{"id":1309,"uris":["http://zotero.org/users/6654317/items/H3Y2TDY8"],"itemData":{"id":1309,"type":"article-journal","abstract":"Le présent travail se propose une tentative d’optimisation du Compost Sylvicole Criblé (CSC), produit \nau niveau de la pépinière forestière hors sol de Chott Mariem (Sousse, Tunisie), en variant son ratio de mélange \navec la Tourbe, en vue de mettre au point un substrat adéquat pour la production hors sol des plants de Gombo. \nLes substrats élaborés ont subi une caractérisation directe (Masse volumique apparente, Porosité, pH, \nConductivité électrique et Matière organique totale) et une caractérisation morphologique indirecte basée sur des \névaluations de germination et de croissance en hauteur des plants produits. Les substrats SB1 (80% Tourbe + \n20% CSC) et SD1 (60% Tourbe + 40% CSC) dévoilent une concordance des paramètres physico-chimiques, \nainsi que des paramètres de germination et de croissance des plants de Gombo (taux moyen de germination \nsupérieur à 96% sur SB1, hauteur moyenne de la partie aérienne dépassant 10 cm sur SD1). Dans l’ensemble, il \nconvient de retenir une incorporation du CSC (âgé de six mois), à raison de 20 à 40%.","ISSN":"2170-1806","issue":"1","language":"fr","note":"Accepted: 2018-07-09T10:38:09Z","page":"80-99","source":"dspace.univ-ouargla.dz","title":"Evaluation physico-chimique et agronomique des substrats en mélange avec compost pour la production des plants de gombo (Abelmoschus esculentus)","volume":"8","author":[{"literal":"M’Sadak Y"},{"literal":"Bembli H"}],"issued":{"date-parts":[["2018",7,9]]}}}],"schema":"https://github.com/citation-style-language/schema/raw/master/csl-citation.json"}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szCs w:val="24"/>
          <w:lang w:val="en-US"/>
        </w:rPr>
        <w:t xml:space="preserve">M’Sadak &amp; Bembli, </w:t>
      </w:r>
      <w:r w:rsidR="000F1C7C">
        <w:rPr>
          <w:rFonts w:ascii="Arial" w:hAnsi="Arial" w:cs="Arial"/>
          <w:sz w:val="20"/>
          <w:szCs w:val="24"/>
          <w:lang w:val="en-US"/>
        </w:rPr>
        <w:t>(</w:t>
      </w:r>
      <w:r w:rsidR="00F1149B" w:rsidRPr="00F1149B">
        <w:rPr>
          <w:rFonts w:ascii="Arial" w:hAnsi="Arial" w:cs="Arial"/>
          <w:sz w:val="20"/>
          <w:szCs w:val="24"/>
          <w:lang w:val="en-US"/>
        </w:rPr>
        <w:t>2018)</w:t>
      </w:r>
      <w:r w:rsidR="00F0347E" w:rsidRPr="006D5977">
        <w:rPr>
          <w:rFonts w:ascii="Arial" w:hAnsi="Arial" w:cs="Arial"/>
          <w:sz w:val="20"/>
          <w:szCs w:val="20"/>
          <w:lang w:val="en-US"/>
        </w:rPr>
        <w:fldChar w:fldCharType="end"/>
      </w:r>
      <w:r w:rsidR="0067059E" w:rsidRPr="006D5977">
        <w:rPr>
          <w:rFonts w:ascii="Arial" w:hAnsi="Arial" w:cs="Arial"/>
          <w:sz w:val="20"/>
          <w:szCs w:val="20"/>
          <w:lang w:val="en-US"/>
        </w:rPr>
        <w:t>, t</w:t>
      </w:r>
      <w:r w:rsidR="008F1473" w:rsidRPr="006D5977">
        <w:rPr>
          <w:rFonts w:ascii="Arial" w:hAnsi="Arial" w:cs="Arial"/>
          <w:sz w:val="20"/>
          <w:szCs w:val="20"/>
          <w:lang w:val="en-US"/>
        </w:rPr>
        <w:t xml:space="preserve">he organic matter content should be between 35% and 45%. </w:t>
      </w:r>
      <w:r w:rsidR="00DD0456" w:rsidRPr="006D5977">
        <w:rPr>
          <w:rFonts w:ascii="Arial" w:hAnsi="Arial" w:cs="Arial"/>
          <w:sz w:val="20"/>
          <w:szCs w:val="20"/>
          <w:lang w:val="en-US"/>
        </w:rPr>
        <w:t>Growing media</w:t>
      </w:r>
      <w:r w:rsidR="008F1473" w:rsidRPr="006D5977">
        <w:rPr>
          <w:rFonts w:ascii="Arial" w:hAnsi="Arial" w:cs="Arial"/>
          <w:sz w:val="20"/>
          <w:szCs w:val="20"/>
          <w:lang w:val="en-US"/>
        </w:rPr>
        <w:t xml:space="preserve">s richer in rice hull biochar (BC, SB, and SC) have higher organic matter levels than </w:t>
      </w:r>
      <w:r w:rsidR="00DD0456" w:rsidRPr="006D5977">
        <w:rPr>
          <w:rFonts w:ascii="Arial" w:hAnsi="Arial" w:cs="Arial"/>
          <w:sz w:val="20"/>
          <w:szCs w:val="20"/>
          <w:lang w:val="en-US"/>
        </w:rPr>
        <w:t>growing media</w:t>
      </w:r>
      <w:r w:rsidR="008F1473" w:rsidRPr="006D5977">
        <w:rPr>
          <w:rFonts w:ascii="Arial" w:hAnsi="Arial" w:cs="Arial"/>
          <w:sz w:val="20"/>
          <w:szCs w:val="20"/>
          <w:lang w:val="en-US"/>
        </w:rPr>
        <w:t>s richer in tricho-compost (SA and SD). This is because composting significantly reduces the organic matter content</w:t>
      </w:r>
      <w:r w:rsidR="00F0347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{"citationID":"6vZLHvMN","properties":{"formattedCitation":"(M\\uc0\\u8217{}Sadak &amp; Ben M\\uc0\\u8217{}barek, 2013)","plainCitation":"(M’Sadak &amp; Ben M’barek, 2013)","noteIndex":0},"citationItems":[{"id":762,"uris":["http://zotero.org/users/local/MzRjPaDh/items/63GIMP76","http://zotero.org/users/6654317/items/63GIMP76"],"itemData":{"id":762,"type":"article-journal","abstract":"La valorisation maraîchère des résidus (ou digestats) de la bio méthanisation industrielle appliquée aux fientes avicoles s’avère écologiquement intéressante. Si l’on tente de résumer les interrogations posées par l’emploi de ces résidus en horticulture, le grand principe discuté était la contribution à trouver des produits alternatifs à la tourbe, qui peuvent se substituer à elle d’abord partiellement en mélange, et dans un avenir plus lointain la remplacer dans la plus grande partie de ses usages horticoles. Le méthacompost avicole (issu de la fermentation anaérobie industrielle des fientes avicoles) peut être utilisable comme substitut partiel de la tourbe dans la confection des substrats de culture. L’effet positif lié à l’utilisation de la MO humifiée des composts mûrs ne peut s’exprimer pleinement et avec sécurité que si l’on a réuni les conditions nécessaires à l’épanouissement de la plante: respect du pH, pourcentage d’aération, bonne hygiènisation par traitement biologique (bio méthanisation et/ou compostage) et teneurs équilibrées en éléments minéraux.","container-title":"Rеvuе des Energies Renouvelables","ISSN":"2716-8247","issue":"1","journalAbbreviation":"JREEN","language":"fr","note":"publisher: ASJP","page":"33-42","source":"www.asjp.cerist.dz","title":"Caractérisation qualitative du digestat solide de la bio méthanisation industrielle des fientes avicoles et alternative de son exploitation agronomique hors sol","volume":"16","author":[{"family":"M’Sadak","given":"Y."},{"family":"Ben M’barek","given":"A."}],"issued":{"date-parts":[["2013",3,31]]}}}],"schema":"https://github.com/citation-style-language/schema/raw/master/csl-citation.json"} </w:instrText>
      </w:r>
      <w:r w:rsidR="00F0347E" w:rsidRPr="006D5977">
        <w:rPr>
          <w:rFonts w:ascii="Arial" w:hAnsi="Arial" w:cs="Arial"/>
          <w:sz w:val="20"/>
          <w:szCs w:val="20"/>
          <w:lang w:val="en-US"/>
        </w:rPr>
        <w:fldChar w:fldCharType="separate"/>
      </w:r>
      <w:r w:rsidR="00F1149B" w:rsidRPr="00F1149B">
        <w:rPr>
          <w:rFonts w:ascii="Arial" w:hAnsi="Arial" w:cs="Arial"/>
          <w:sz w:val="20"/>
          <w:szCs w:val="24"/>
          <w:lang w:val="en-US"/>
        </w:rPr>
        <w:t xml:space="preserve">M’Sadak &amp; Ben M’barek, </w:t>
      </w:r>
      <w:r w:rsidR="000F1C7C">
        <w:rPr>
          <w:rFonts w:ascii="Arial" w:hAnsi="Arial" w:cs="Arial"/>
          <w:sz w:val="20"/>
          <w:szCs w:val="24"/>
          <w:lang w:val="en-US"/>
        </w:rPr>
        <w:t>(</w:t>
      </w:r>
      <w:r w:rsidR="00F1149B" w:rsidRPr="00F1149B">
        <w:rPr>
          <w:rFonts w:ascii="Arial" w:hAnsi="Arial" w:cs="Arial"/>
          <w:sz w:val="20"/>
          <w:szCs w:val="24"/>
          <w:lang w:val="en-US"/>
        </w:rPr>
        <w:t>2013)</w:t>
      </w:r>
      <w:r w:rsidR="00F0347E" w:rsidRPr="006D5977">
        <w:rPr>
          <w:rFonts w:ascii="Arial" w:hAnsi="Arial" w:cs="Arial"/>
          <w:sz w:val="20"/>
          <w:szCs w:val="20"/>
          <w:lang w:val="en-US"/>
        </w:rPr>
        <w:fldChar w:fldCharType="end"/>
      </w:r>
      <w:r w:rsidR="008F1473" w:rsidRPr="006D5977">
        <w:rPr>
          <w:rFonts w:ascii="Arial" w:hAnsi="Arial" w:cs="Arial"/>
          <w:sz w:val="20"/>
          <w:szCs w:val="20"/>
          <w:lang w:val="en-US"/>
        </w:rPr>
        <w:t>, whereas rice hull biochar is rich in stable organic matter</w:t>
      </w:r>
      <w:r w:rsidR="00F0347E"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{"citationID":"AA3No3Zz","properties":{"formattedCitation":"(Ahmadou et al., 2023)","plainCitation":"(Ahmadou et al., 2023)","noteIndex":0},"citationItems":[{"id":2278,"uris":["http://zotero.org/users/6654317/items/825J3I9E"],"itemData":{"id":2278,"type":"article-journal","abstract":"The objective of this study is to evaluate the effects of the application of biochar and rice husk powder combined with mineral fertilizer on the yield of the CMS-9015 variety of maize (Zea mays) and fertility. soils. The field experiment with three replicates covered 18 plots of 2.5 m × 2 m each arranged in a randomized random block design. The base treatment in all plots excepted null control T0 (without fertilizer or amendment) was the fertilizer dose NPK + Urea in full dose and half dose: T1: 100 kg NPK ha-1 + 50 kg N ha-1 (advisable treatment); T2 = 15 t (biochar) ha-1 + 100 kg NPK ha-1 + 50 kg N ha-1; T3 = 15 t (powder) ha- 1 + 100 kg NPK ha-1 + 50 kg N ha-1; T4 = 15 t (biochar) ha-1 + 50 kg NPK ha-1 + 25 kg N ha-1 and T5 = 15 t (powder) ha-1 + 50 kg NPK ha-1 + 25 kg N ha-1. The agronomic parameters of maize and its yield as well as the physico-chemical properties of the soils after harvest were measured in these plots. The results were analyzed by STATGRAPHICS followed by the Fisher multiple comparison test (α = 0.05). The application of biochar and powder on this soil resulted in an increase in maize yield of +54.64%, +38.46% and +45.88% respectively with treatments T2, T3 and T4 compared to the recommended treatment (T1). The same positive effect was observed on the soil after harvest compared to the recommended treatment for available phosphorus: 8.67 ± 0.19 mg/kg (with biochar) and 6.34 ± 0.21 mg/kg (with the powder) together with the CEC: 22 ± 4.94 meq/100 g with the powder. Biochar and rice husk powder help rehabilitate soil fertility and increase agricultural productivity when combined with chemical fertilizers. They can ensure sustainable agricultural production.","container-title":"African and Mediterranean Agricultural Journal - Al Awamia","DOI":"10.34874/IMIST.PRSM/afrimed-i139.41154","ISSN":"2658-9184","issue":"139","language":"fr","license":"(c) Tous droits réservés African and Mediterranean Agricultural Journal - Al Awamia 2023","note":"number: 139","page":"85-104","source":"revues.imist.ma","title":"Effet du biochar et de la poudre des balles de riz sur la productivité du maïs (zea mays) et les sols au Nord Cameroun","author":[{"family":"Ahmadou","given":"Yerima Yaya Alim"},{"family":"Simon","given":"Djakba Basga"},{"family":"Nguetnkam","given":"Jean Pierre"}],"issued":{"date-parts":[["2023",6,27]]}}}],"schema":"https://github.com/citation-style-language/schema/raw/master/csl-citation.json"} </w:instrText>
      </w:r>
      <w:r w:rsidR="00F0347E" w:rsidRPr="006D5977">
        <w:rPr>
          <w:rFonts w:ascii="Arial" w:hAnsi="Arial" w:cs="Arial"/>
          <w:sz w:val="20"/>
          <w:szCs w:val="20"/>
        </w:rPr>
        <w:fldChar w:fldCharType="separate"/>
      </w:r>
      <w:r w:rsidR="00F1149B" w:rsidRPr="00F1149B">
        <w:rPr>
          <w:rFonts w:ascii="Arial" w:hAnsi="Arial" w:cs="Arial"/>
          <w:sz w:val="20"/>
          <w:lang w:val="en-US"/>
        </w:rPr>
        <w:t>(Ahmadou et al., 2023)</w:t>
      </w:r>
      <w:r w:rsidR="00F0347E" w:rsidRPr="006D5977">
        <w:rPr>
          <w:rFonts w:ascii="Arial" w:hAnsi="Arial" w:cs="Arial"/>
          <w:sz w:val="20"/>
          <w:szCs w:val="20"/>
        </w:rPr>
        <w:fldChar w:fldCharType="end"/>
      </w:r>
      <w:r w:rsidR="00740F38" w:rsidRPr="006D5977">
        <w:rPr>
          <w:rFonts w:ascii="Arial" w:hAnsi="Arial" w:cs="Arial"/>
          <w:sz w:val="20"/>
          <w:szCs w:val="20"/>
          <w:lang w:val="en-US"/>
        </w:rPr>
        <w:t xml:space="preserve">. In accordance with the NF U44-551 standard, all </w:t>
      </w:r>
      <w:r w:rsidR="00DD0456" w:rsidRPr="006D5977">
        <w:rPr>
          <w:rFonts w:ascii="Arial" w:hAnsi="Arial" w:cs="Arial"/>
          <w:sz w:val="20"/>
          <w:szCs w:val="20"/>
          <w:lang w:val="en-US"/>
        </w:rPr>
        <w:t>growing media</w:t>
      </w:r>
      <w:r w:rsidR="00740F38" w:rsidRPr="006D5977">
        <w:rPr>
          <w:rFonts w:ascii="Arial" w:hAnsi="Arial" w:cs="Arial"/>
          <w:sz w:val="20"/>
          <w:szCs w:val="20"/>
          <w:lang w:val="en-US"/>
        </w:rPr>
        <w:t>s have compliant organic matter levels, as they are greater than 40%.</w:t>
      </w:r>
    </w:p>
    <w:p w:rsidR="00A007C0" w:rsidRPr="006D5977" w:rsidRDefault="00A007C0" w:rsidP="005D29FE">
      <w:pPr>
        <w:pStyle w:val="Heading1"/>
        <w:numPr>
          <w:ilvl w:val="0"/>
          <w:numId w:val="20"/>
        </w:numPr>
        <w:rPr>
          <w:rFonts w:ascii="Arial" w:hAnsi="Arial" w:cs="Arial"/>
          <w:sz w:val="22"/>
          <w:szCs w:val="22"/>
        </w:rPr>
      </w:pPr>
      <w:bookmarkStart w:id="26" w:name="_Toc208777026"/>
      <w:r w:rsidRPr="006D5977">
        <w:rPr>
          <w:rFonts w:ascii="Arial" w:hAnsi="Arial" w:cs="Arial"/>
          <w:sz w:val="22"/>
          <w:szCs w:val="22"/>
        </w:rPr>
        <w:t>Conclusion</w:t>
      </w:r>
      <w:bookmarkEnd w:id="26"/>
    </w:p>
    <w:p w:rsidR="006B5B1C" w:rsidRPr="006D5977" w:rsidRDefault="006B5B1C"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This study demonstrates that it is possible to replace peat with innovative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s based on Tricho-compost and rice husk biochar. The SB (25% Tricho-compost and 75% rice husk biochar) and SC (50% Tricho-compost and 50% rice husk biochar) mixtures are distinguished by their physicochemical properties, including low bulk density, good porosity, satisfactory water </w:t>
      </w:r>
      <w:r w:rsidR="009E6B91" w:rsidRPr="006D5977">
        <w:rPr>
          <w:rFonts w:ascii="Arial" w:hAnsi="Arial" w:cs="Arial"/>
          <w:sz w:val="20"/>
          <w:szCs w:val="20"/>
          <w:lang w:val="en-US"/>
        </w:rPr>
        <w:t>holding</w:t>
      </w:r>
      <w:r w:rsidRPr="006D5977">
        <w:rPr>
          <w:rFonts w:ascii="Arial" w:hAnsi="Arial" w:cs="Arial"/>
          <w:sz w:val="20"/>
          <w:szCs w:val="20"/>
          <w:lang w:val="en-US"/>
        </w:rPr>
        <w:t xml:space="preserve"> capacity, and balanced nutrient content.</w:t>
      </w:r>
    </w:p>
    <w:p w:rsidR="006B5B1C" w:rsidRPr="006D5977" w:rsidRDefault="006B5B1C"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These formulations utilize local and renewable resources, thus contributing to sustainable agriculture while reducing the environmental impact associated with peat extraction. pH adjustments may be necessary depending on the crop, but these </w:t>
      </w:r>
      <w:r w:rsidR="00DD0456" w:rsidRPr="006D5977">
        <w:rPr>
          <w:rFonts w:ascii="Arial" w:hAnsi="Arial" w:cs="Arial"/>
          <w:sz w:val="20"/>
          <w:szCs w:val="20"/>
          <w:lang w:val="en-US"/>
        </w:rPr>
        <w:t>growing media</w:t>
      </w:r>
      <w:r w:rsidRPr="006D5977">
        <w:rPr>
          <w:rFonts w:ascii="Arial" w:hAnsi="Arial" w:cs="Arial"/>
          <w:sz w:val="20"/>
          <w:szCs w:val="20"/>
          <w:lang w:val="en-US"/>
        </w:rPr>
        <w:t>s could represent a viable and promising alternative for soilless horticultural production.</w:t>
      </w:r>
    </w:p>
    <w:p w:rsidR="006B5B1C" w:rsidRPr="006D5977" w:rsidRDefault="006B5B1C" w:rsidP="005D29FE">
      <w:pPr>
        <w:spacing w:line="240" w:lineRule="auto"/>
        <w:jc w:val="both"/>
        <w:rPr>
          <w:rFonts w:ascii="Arial" w:hAnsi="Arial" w:cs="Arial"/>
          <w:sz w:val="20"/>
          <w:szCs w:val="20"/>
          <w:lang w:val="en-US"/>
        </w:rPr>
      </w:pPr>
      <w:r w:rsidRPr="006D5977">
        <w:rPr>
          <w:rFonts w:ascii="Arial" w:hAnsi="Arial" w:cs="Arial"/>
          <w:sz w:val="20"/>
          <w:szCs w:val="20"/>
          <w:lang w:val="en-US"/>
        </w:rPr>
        <w:lastRenderedPageBreak/>
        <w:t xml:space="preserve">However, it would be essential to confirm these conclusions by a study of the effect of these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s on vegetable crops.  </w:t>
      </w:r>
    </w:p>
    <w:p w:rsidR="00CC2331" w:rsidRDefault="00547624" w:rsidP="005D29FE">
      <w:pPr>
        <w:spacing w:line="240" w:lineRule="auto"/>
        <w:jc w:val="center"/>
        <w:rPr>
          <w:rFonts w:ascii="Arial" w:hAnsi="Arial" w:cs="Arial"/>
          <w:b/>
        </w:rPr>
      </w:pPr>
      <w:r>
        <w:rPr>
          <w:rFonts w:ascii="Arial" w:hAnsi="Arial" w:cs="Arial"/>
          <w:b/>
        </w:rPr>
        <w:t>REFERENCES</w:t>
      </w:r>
    </w:p>
    <w:p w:rsidR="00242B85" w:rsidRPr="00242B85" w:rsidRDefault="00F0347E" w:rsidP="00842FB0">
      <w:pPr>
        <w:pStyle w:val="Bibliography"/>
        <w:spacing w:line="240" w:lineRule="auto"/>
        <w:ind w:left="360" w:firstLine="0"/>
        <w:jc w:val="both"/>
        <w:rPr>
          <w:rFonts w:ascii="Arial" w:hAnsi="Arial" w:cs="Arial"/>
          <w:sz w:val="20"/>
          <w:szCs w:val="20"/>
          <w:lang w:val="en-US"/>
        </w:rPr>
      </w:pPr>
      <w:r w:rsidRPr="00842FB0">
        <w:rPr>
          <w:rFonts w:ascii="Arial" w:hAnsi="Arial" w:cs="Arial"/>
          <w:sz w:val="20"/>
          <w:szCs w:val="20"/>
        </w:rPr>
        <w:fldChar w:fldCharType="begin"/>
      </w:r>
      <w:r w:rsidR="00242B85" w:rsidRPr="00242B85">
        <w:rPr>
          <w:rFonts w:ascii="Arial" w:hAnsi="Arial" w:cs="Arial"/>
          <w:sz w:val="20"/>
          <w:szCs w:val="20"/>
        </w:rPr>
        <w:instrText xml:space="preserve"> ADDIN ZOTERO_BIBL {"uncited":[],"omitted":[],"custom":[]} CSL_BIBLIOGRAPHY </w:instrText>
      </w:r>
      <w:r w:rsidRPr="00842FB0">
        <w:rPr>
          <w:rFonts w:ascii="Arial" w:hAnsi="Arial" w:cs="Arial"/>
          <w:sz w:val="20"/>
          <w:szCs w:val="20"/>
        </w:rPr>
        <w:fldChar w:fldCharType="separate"/>
      </w:r>
      <w:r w:rsidR="001531A0" w:rsidRPr="001531A0">
        <w:rPr>
          <w:rFonts w:ascii="Arial" w:hAnsi="Arial" w:cs="Arial"/>
          <w:sz w:val="20"/>
          <w:szCs w:val="20"/>
        </w:rPr>
        <w:t>Abad, M., Noguera, P., &amp; Burés, S. (2001). National inventory of organic wastes for use as growing media for ornamental potted plant production: Case study in Spain. Bioresource Technology, 77(2), 197–200. https://doi.org/10.1016/s0960-8524(00)00152-8</w:t>
      </w:r>
      <w:r w:rsidR="00242B85" w:rsidRPr="00242B85">
        <w:rPr>
          <w:rFonts w:ascii="Arial" w:hAnsi="Arial" w:cs="Arial"/>
          <w:sz w:val="20"/>
          <w:szCs w:val="20"/>
          <w:lang w:val="en-US"/>
        </w:rPr>
        <w:t xml:space="preserve">. </w:t>
      </w:r>
    </w:p>
    <w:p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Abrishamkesh, S., Gorji, M., Asadi, H., Bagheri-Marandi, G. H., &amp; Pourbabaee, A. A. (2015). Effects of rice husk biochar application on the properties of alkaline soil and lentil growth. Plant, Soil and Environment, 61(11), 475–482 https://doi.org/10.17221/117/2015-PSE</w:t>
      </w:r>
    </w:p>
    <w:p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Ahmadou, Y. Y. A., Simon, D. B., &amp; Nguetnkam, J. P. (2023). Effet du biochar et de la poudre des balles de riz sur la productivité du maïs (zea mays) et les sols au Nord Cameroun. African and Mediterranean Agricultural Journal - Al Awamia, 139, 85-104. https://doi.org/10.34874/IMIST.PRSM/afrimed-i139.41154</w:t>
      </w:r>
    </w:p>
    <w:p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Álvarez, M. L., Gascó, G., Plaza, C., Paz-Ferreiro, J., &amp; Méndez, A. (2017). Hydrochars from Biosolids and Urban Wastes as Substitute Materials for Peat. Land Degradation &amp; Development, 28(7), 2268–2276. https://doi.org/10.1002/ldr.2756</w:t>
      </w:r>
    </w:p>
    <w:p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Anbarasu, M., Gurusamy, A., &amp; Saravanan, S. (2024). Properties of different graded coir pith by Keen-Raczkowski box and Brunauer-Emmett-Teller analysis. Journal of Environmental Biology, 45(3), 357–362. https://doi.org/10.22438/jeb/45/3/MRN-5233</w:t>
      </w:r>
    </w:p>
    <w:p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Asadi, H., Ghorbani, M., Rezaei-Rashti, M., Abrishamkesh, S., Amirahmadi, E., Chengrong, C., &amp; Gorji, M. (2021). Application of Rice Husk Biochar for Achieving Sustainable Agriculture and Environment. Rice Science, 28(4), 325–343. https://doi.org/10.1016/j.rsci.2021.05.004</w:t>
      </w:r>
    </w:p>
    <w:p w:rsidR="001531A0" w:rsidRPr="001531A0" w:rsidRDefault="001531A0" w:rsidP="00842FB0">
      <w:pPr>
        <w:pStyle w:val="Bibliography"/>
        <w:spacing w:line="240" w:lineRule="auto"/>
        <w:ind w:left="360" w:firstLine="0"/>
        <w:jc w:val="both"/>
        <w:rPr>
          <w:rFonts w:ascii="Arial" w:hAnsi="Arial" w:cs="Arial"/>
          <w:sz w:val="20"/>
          <w:szCs w:val="20"/>
        </w:rPr>
      </w:pPr>
      <w:r w:rsidRPr="001531A0">
        <w:rPr>
          <w:rFonts w:ascii="Arial" w:hAnsi="Arial" w:cs="Arial"/>
          <w:sz w:val="20"/>
          <w:szCs w:val="20"/>
          <w:lang w:val="en-US"/>
        </w:rPr>
        <w:t>Atif, M. J., Jellani, G., Malik, M. H. A., Saleem, N., Ullah, H., Khan, M. Z., &amp; Ikram, S. (2016). Different Growth Media Effect the Germination and Growth of Tomato Seedlings. Science, Technology and Development, 35(3), 123–127. https://doi.org/10.3923/std.2016.123.127</w:t>
      </w:r>
    </w:p>
    <w:p w:rsidR="001531A0" w:rsidRDefault="001531A0" w:rsidP="00842FB0">
      <w:pPr>
        <w:pStyle w:val="Bibliography"/>
        <w:spacing w:line="240" w:lineRule="auto"/>
        <w:ind w:left="360" w:firstLine="0"/>
        <w:jc w:val="both"/>
        <w:rPr>
          <w:rFonts w:ascii="Arial" w:hAnsi="Arial" w:cs="Arial"/>
          <w:sz w:val="20"/>
          <w:szCs w:val="20"/>
        </w:rPr>
      </w:pPr>
      <w:r w:rsidRPr="001531A0">
        <w:rPr>
          <w:rFonts w:ascii="Arial" w:hAnsi="Arial" w:cs="Arial"/>
          <w:sz w:val="20"/>
          <w:szCs w:val="20"/>
        </w:rPr>
        <w:t>Atzori, G., Pane, C., Zaccardelli, M., Cacini, S., &amp; Massa, D. (2021). The Role of Peat-Free Organic Substrates in the Sustainable Management of Soilless Cultivations. Agronomy, 11(6), 1236. https://doi.org/10.3390/agronomy11061236</w:t>
      </w:r>
    </w:p>
    <w:p w:rsidR="001531A0" w:rsidRDefault="001531A0" w:rsidP="00842FB0">
      <w:pPr>
        <w:pStyle w:val="Bibliography"/>
        <w:spacing w:line="240" w:lineRule="auto"/>
        <w:ind w:left="360" w:firstLine="0"/>
        <w:jc w:val="both"/>
        <w:rPr>
          <w:rFonts w:ascii="Arial" w:hAnsi="Arial" w:cs="Arial"/>
          <w:sz w:val="20"/>
          <w:szCs w:val="20"/>
        </w:rPr>
      </w:pPr>
      <w:r w:rsidRPr="001531A0">
        <w:rPr>
          <w:rFonts w:ascii="Arial" w:hAnsi="Arial" w:cs="Arial"/>
          <w:sz w:val="20"/>
          <w:szCs w:val="20"/>
        </w:rPr>
        <w:t>Baize, D. (2018). Guide des analyses en pédologie: 3e édition revue et augmentée. Editions Quae. https://www.quae.com/produit/1590/9782759228379/guide-des-analyses-en-pedologie</w:t>
      </w:r>
    </w:p>
    <w:p w:rsidR="001531A0" w:rsidRDefault="001531A0" w:rsidP="00842FB0">
      <w:pPr>
        <w:pStyle w:val="Bibliography"/>
        <w:spacing w:line="240" w:lineRule="auto"/>
        <w:ind w:left="360" w:firstLine="0"/>
        <w:jc w:val="both"/>
        <w:rPr>
          <w:rFonts w:ascii="Arial" w:hAnsi="Arial" w:cs="Arial"/>
          <w:sz w:val="20"/>
          <w:szCs w:val="20"/>
        </w:rPr>
      </w:pPr>
      <w:r w:rsidRPr="001531A0">
        <w:rPr>
          <w:rFonts w:ascii="Arial" w:hAnsi="Arial" w:cs="Arial"/>
          <w:sz w:val="20"/>
          <w:szCs w:val="20"/>
        </w:rPr>
        <w:t>Barrett, G. E., Alexander, P. D., Robinson, J. S., &amp; Bragg, N. C. (2016). Achieving environmentally sustainable growing media for soilless plant cultivation systems – A review. Scientia Horticulturae, 212, 220–234 https://doi.org/10.1016/j.scienta.2016.09.030</w:t>
      </w:r>
    </w:p>
    <w:p w:rsidR="001531A0" w:rsidRDefault="001531A0" w:rsidP="00842FB0">
      <w:pPr>
        <w:pStyle w:val="Bibliography"/>
        <w:spacing w:line="240" w:lineRule="auto"/>
        <w:ind w:left="360" w:firstLine="0"/>
        <w:jc w:val="both"/>
        <w:rPr>
          <w:rFonts w:ascii="Arial" w:hAnsi="Arial" w:cs="Arial"/>
          <w:sz w:val="20"/>
          <w:szCs w:val="20"/>
        </w:rPr>
      </w:pPr>
      <w:r w:rsidRPr="001531A0">
        <w:rPr>
          <w:rFonts w:ascii="Arial" w:hAnsi="Arial" w:cs="Arial"/>
          <w:sz w:val="20"/>
          <w:szCs w:val="20"/>
        </w:rPr>
        <w:t>Bembli, H., &amp; M'sadak, Y. (2017). Comportement Agronomique Hors Sol Des Plants De Tomate Sur Substrats De Culture à Base De Tourbe En Mélange Avec Compost Sylvicole. Algerian Journal of Arid Environment, 7(1), 57-70. https://www.asjp.cerist.dz/en/PresentationRevue/11</w:t>
      </w:r>
    </w:p>
    <w:p w:rsidR="001531A0" w:rsidRDefault="001531A0" w:rsidP="00842FB0">
      <w:pPr>
        <w:pStyle w:val="Bibliography"/>
        <w:spacing w:line="240" w:lineRule="auto"/>
        <w:ind w:left="360" w:firstLine="0"/>
        <w:jc w:val="both"/>
        <w:rPr>
          <w:rFonts w:ascii="Arial" w:hAnsi="Arial" w:cs="Arial"/>
          <w:sz w:val="20"/>
          <w:szCs w:val="20"/>
        </w:rPr>
      </w:pPr>
      <w:r w:rsidRPr="001531A0">
        <w:rPr>
          <w:rFonts w:ascii="Arial" w:hAnsi="Arial" w:cs="Arial"/>
          <w:sz w:val="20"/>
          <w:szCs w:val="20"/>
        </w:rPr>
        <w:t>Bembli, H., &amp; M’sadak, Y. (2017). Évaluations directe et indirecte des substrats de culture issus de tourbe en mélange avec compost sylvicole pour la production des plants de Tomate. Agriculture, 8(1), 18–30. https://www.asjp.cerist.dz/en/article/31380</w:t>
      </w:r>
    </w:p>
    <w:p w:rsidR="001531A0" w:rsidRP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rPr>
        <w:t>Ben Si Said, Z., Derridj, A., Rebbas, K., Adjout, M., Belkacemi, T., &amp; Ramdane, R. (2022). Compostage, alternative pour valoriser les déchets de restauration des collectivités, cas du restaurant universitaire de Tizi-Ouzou (Algérie) [Unpublished doctoral dissertation]. Université Mouloud Mammeri de Tizi-Ouzou. https://hal.archives-ouvertes.fr/hal-03565397</w:t>
      </w:r>
    </w:p>
    <w:p w:rsidR="001531A0" w:rsidRP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rPr>
        <w:t>Brewer, C. E., Chuang, V. J., Masiello, C. A., Gonnermann, H., Gao, X., Dugan, B., Driver, L. E., Panzacchi, P., Zygourakis, K., &amp; Davies, C. A. (2014). New approaches to measuring biochar density and porosity. Biomass and Bioenergy, 66, 176–185. https://doi.org/10.1016/j.biombioe.2014.03.059</w:t>
      </w:r>
    </w:p>
    <w:p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Chrysargyris, A., Antoniou, O., Tzionis, A., Prasad, M., &amp; Tzortzakis, N. (2018). Alternative soilless media using olive-mill and paper waste for growing ornamental plants. Environmental Science and Pollution Research, 25(36), 35915–35927. https://doi.org/10.1007/s11356-017-1187-4</w:t>
      </w:r>
    </w:p>
    <w:p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Dede, O., &amp; Oztekin, M. (2018). Relationship between optical microscopic structure and physical characterization of organic wastes originated peat substitutes. Applied Ecology and Environmental Research. https://doi.org/10.15666/aeer/1602_11731184</w:t>
      </w:r>
    </w:p>
    <w:p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Dispenza, V., De Pasquale, C., Fascella, G., Mammano, M. M., &amp; Alonzo, G. (2016). Use of biochar as peat substitute for growing substrates of Euphorbia × lomi potted plants. Spanish Journal of Agricultural Research. https://doi.org/10.5424/sjar/2016144-9082</w:t>
      </w:r>
    </w:p>
    <w:p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lastRenderedPageBreak/>
        <w:t>El Sharkawi, H. M., Ahmed, M. A., &amp; Hassanein, M. K. (2014). Development of Treated Rice Husk as an Alternative Substrate Medium in Cucumber Soilless Culture. Journal of Agriculture and Environmental Sciences, 3(4), 131–149. https://doi.org/10.15640/jaes.v3n4a10</w:t>
      </w:r>
    </w:p>
    <w:p w:rsidR="00242B85" w:rsidRPr="00242B85" w:rsidRDefault="00242B85" w:rsidP="00842FB0">
      <w:pPr>
        <w:pStyle w:val="Bibliography"/>
        <w:spacing w:line="240" w:lineRule="auto"/>
        <w:ind w:left="360" w:firstLine="0"/>
        <w:jc w:val="both"/>
        <w:rPr>
          <w:rFonts w:ascii="Arial" w:hAnsi="Arial" w:cs="Arial"/>
          <w:sz w:val="20"/>
          <w:szCs w:val="20"/>
          <w:lang w:val="en-US"/>
        </w:rPr>
      </w:pPr>
      <w:r w:rsidRPr="00242B85">
        <w:rPr>
          <w:rFonts w:ascii="Arial" w:hAnsi="Arial" w:cs="Arial"/>
          <w:sz w:val="20"/>
          <w:szCs w:val="20"/>
          <w:lang w:val="en-US"/>
        </w:rPr>
        <w:t xml:space="preserve">Fall, M., Sarr, S. M., &amp; Gueye, N. (2025). </w:t>
      </w:r>
      <w:r w:rsidRPr="00242B85">
        <w:rPr>
          <w:rFonts w:ascii="Arial" w:hAnsi="Arial" w:cs="Arial"/>
          <w:sz w:val="20"/>
          <w:szCs w:val="20"/>
        </w:rPr>
        <w:t xml:space="preserve">Effet combiné de souches de Trichoderma asperellum et de Trichoderma virens sur la durée de maturité du compost. </w:t>
      </w:r>
      <w:r w:rsidRPr="00242B85">
        <w:rPr>
          <w:rFonts w:ascii="Arial" w:hAnsi="Arial" w:cs="Arial"/>
          <w:i/>
          <w:iCs/>
          <w:sz w:val="20"/>
          <w:szCs w:val="20"/>
          <w:lang w:val="en-US"/>
        </w:rPr>
        <w:t>JAPS ELEWA</w:t>
      </w:r>
      <w:r w:rsidRPr="00242B85">
        <w:rPr>
          <w:rFonts w:ascii="Arial" w:hAnsi="Arial" w:cs="Arial"/>
          <w:sz w:val="20"/>
          <w:szCs w:val="20"/>
          <w:lang w:val="en-US"/>
        </w:rPr>
        <w:t xml:space="preserve">, </w:t>
      </w:r>
      <w:r w:rsidRPr="00242B85">
        <w:rPr>
          <w:rFonts w:ascii="Arial" w:hAnsi="Arial" w:cs="Arial"/>
          <w:i/>
          <w:iCs/>
          <w:sz w:val="20"/>
          <w:szCs w:val="20"/>
          <w:lang w:val="en-US"/>
        </w:rPr>
        <w:t>65</w:t>
      </w:r>
      <w:r w:rsidRPr="00242B85">
        <w:rPr>
          <w:rFonts w:ascii="Arial" w:hAnsi="Arial" w:cs="Arial"/>
          <w:sz w:val="20"/>
          <w:szCs w:val="20"/>
          <w:lang w:val="en-US"/>
        </w:rPr>
        <w:t>(3), 12518–12530.</w:t>
      </w:r>
    </w:p>
    <w:p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Fields, J. S., Fonteno, W. C., &amp; Jackson, B. E. (2014). Hydration Efficiency of Traditional and Alternative Greenhouse Substrate Components. HortScience, 49(3), 336–342. https://doi.org/10.21273/HORTSCI.49.3.336</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Govindasamy, P., Mahawer, S. K., Mowrer, J., Bagavathiannan, M., Prasad, M., Ramakrishnan, S., Halli, H. M., Kumar, S., &amp; Chandra, A. (2023). Comparison of Low-Cost Methods for Soil Water Holding Capacity. Communications in Soil Science and Plant Analysis, 54(2), 287–296. https://doi.org/10.1080/00103624.2022.2112216</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Gruda, N. S. (2019). Increasing Sustainability of Growing Media Constituents and Stand-Alone Substrates in Soilless Culture Systems. Agronomy, 9(6), 298. https://doi.org/10.3390/agronomy9060298</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Hazarika, M., Saikia, J., Gogoi, S., Kalita, P., Saikia, L., Phookan, D. B., &amp; Kumar, P. (2022). Different growing media effect on seedling quality and field performance of Tomato (Solanum lycopersicum L.). The Pharma Innovation, 11(11), 308–314. https://www.thepharmajournal.com/archives/2022/vol11issue11/PartE/11-10-100-900.pdf</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Jeyaseeli, D. M., &amp; Raj, S. P. (2010). Physical characteristics of coir pith as a function of its particle size to be used as soilless medium. American-Eurasian Journal of Agricultural and Environmental Science, 8(4), 431-437. https://www.idosi.org/aejaes/8(4)10/contents.htm</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Kim, H. S., Kim, K. R., Yang, J.-E., Ok, Y. S., Kim, W. I., Kunhikrishnan, A., &amp; Kim, K.-H. (2017). Amelioration of Horticultural Growing Media Properties Through Rice Hull Biochar Incorporation. Waste and Biomass Valorization, 8(2), 483–492. https://doi.org/10.1007/s12649-016-9826-4</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Komolafe, A. F., Adejuyigbe, C. O., Soretire, A. A., &amp; Aiyelaagbe, I. O. O. (2020). Maturity indices of composting plant materials with Trichoderma asperellum as activator. Agricultura Tropica et Subtropica, 53(1), 19–27. https://doi.org/10.2478/ats-2020-0003</w:t>
      </w:r>
    </w:p>
    <w:p w:rsidR="004A3B12" w:rsidRPr="004A3B12" w:rsidRDefault="004A3B12" w:rsidP="00842FB0">
      <w:pPr>
        <w:pStyle w:val="Bibliography"/>
        <w:spacing w:line="240" w:lineRule="auto"/>
        <w:ind w:left="360" w:firstLine="0"/>
        <w:jc w:val="both"/>
        <w:rPr>
          <w:rFonts w:ascii="Arial" w:hAnsi="Arial" w:cs="Arial"/>
          <w:sz w:val="20"/>
          <w:szCs w:val="20"/>
        </w:rPr>
      </w:pPr>
      <w:r w:rsidRPr="004A3B12">
        <w:rPr>
          <w:rFonts w:ascii="Arial" w:hAnsi="Arial" w:cs="Arial"/>
          <w:sz w:val="20"/>
          <w:szCs w:val="20"/>
          <w:lang w:val="en-US"/>
        </w:rPr>
        <w:t>Mageshwaran, V., Tripathi, P., Vishvakarma, A. K., &amp; Yadav, A. (2024). Comparative Efficacy Evaluation of Microbial Consortia for Rapid Composting of Paddy Straw. Journal of Pure and Applied Microbiology, 18(4), 2619–2635. https://doi.org/10.22207/JPAM.18.4.34</w:t>
      </w:r>
    </w:p>
    <w:p w:rsidR="004A3B12" w:rsidRPr="004A3B12" w:rsidRDefault="004A3B12" w:rsidP="00842FB0">
      <w:pPr>
        <w:pStyle w:val="Bibliography"/>
        <w:spacing w:line="240" w:lineRule="auto"/>
        <w:ind w:left="360" w:firstLine="0"/>
        <w:jc w:val="both"/>
        <w:rPr>
          <w:rFonts w:ascii="Arial" w:hAnsi="Arial" w:cs="Arial"/>
          <w:sz w:val="20"/>
          <w:szCs w:val="20"/>
        </w:rPr>
      </w:pPr>
      <w:r w:rsidRPr="004A3B12">
        <w:rPr>
          <w:rFonts w:ascii="Arial" w:hAnsi="Arial" w:cs="Arial"/>
          <w:sz w:val="20"/>
          <w:szCs w:val="20"/>
          <w:lang w:val="en-US"/>
        </w:rPr>
        <w:t>Mathowa, T., Tshipinare, K., Mojeremane, W., Legwaila, G. M., &amp; Oagile, O. (2017). Effect of growing media on growth and development of sweet paper (Capsicum annum L.) seedlings. Journal of Applied Horticulture, 19(3), 200–204. https://doi.org/10.37855/jah.2017.v19i03.36</w:t>
      </w:r>
    </w:p>
    <w:p w:rsidR="00242B85" w:rsidRPr="00242B85" w:rsidRDefault="00242B85" w:rsidP="00842FB0">
      <w:pPr>
        <w:pStyle w:val="Bibliography"/>
        <w:spacing w:line="240" w:lineRule="auto"/>
        <w:ind w:left="360" w:firstLine="0"/>
        <w:jc w:val="both"/>
        <w:rPr>
          <w:rFonts w:ascii="Arial" w:hAnsi="Arial" w:cs="Arial"/>
          <w:sz w:val="20"/>
          <w:szCs w:val="20"/>
        </w:rPr>
      </w:pPr>
      <w:r w:rsidRPr="00242B85">
        <w:rPr>
          <w:rFonts w:ascii="Arial" w:hAnsi="Arial" w:cs="Arial"/>
          <w:sz w:val="20"/>
          <w:szCs w:val="20"/>
        </w:rPr>
        <w:t xml:space="preserve">M’Sadak Y &amp; Bembli H. (2018). </w:t>
      </w:r>
      <w:r w:rsidRPr="00242B85">
        <w:rPr>
          <w:rFonts w:ascii="Arial" w:hAnsi="Arial" w:cs="Arial"/>
          <w:i/>
          <w:iCs/>
          <w:sz w:val="20"/>
          <w:szCs w:val="20"/>
        </w:rPr>
        <w:t>Evaluation physico-chimique et agronomique des substrats en mélange avec compost pour la production des plants de gombo (Abelmoschus esculentus)</w:t>
      </w:r>
      <w:r w:rsidRPr="00242B85">
        <w:rPr>
          <w:rFonts w:ascii="Arial" w:hAnsi="Arial" w:cs="Arial"/>
          <w:sz w:val="20"/>
          <w:szCs w:val="20"/>
        </w:rPr>
        <w:t xml:space="preserve">. </w:t>
      </w:r>
      <w:r w:rsidRPr="00242B85">
        <w:rPr>
          <w:rFonts w:ascii="Arial" w:hAnsi="Arial" w:cs="Arial"/>
          <w:i/>
          <w:iCs/>
          <w:sz w:val="20"/>
          <w:szCs w:val="20"/>
        </w:rPr>
        <w:t>8</w:t>
      </w:r>
      <w:r w:rsidRPr="00242B85">
        <w:rPr>
          <w:rFonts w:ascii="Arial" w:hAnsi="Arial" w:cs="Arial"/>
          <w:sz w:val="20"/>
          <w:szCs w:val="20"/>
        </w:rPr>
        <w:t>(1), 80–99.</w:t>
      </w:r>
    </w:p>
    <w:p w:rsidR="004A3B12" w:rsidRP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rPr>
        <w:t>M'Sadak, Y., &amp; Ben M'Barek, A. (2013). Caractérisation qualitative du digestat solide de la bio méthanisation industrielle des fientes avicoles et alternative de son exploitation agronomique hors sol. Revue des Energies Renouvelables, 16(1), 33–42. https://doi.org/10.54966/jreen.v16i1.36133</w:t>
      </w:r>
    </w:p>
    <w:p w:rsidR="004A3B12" w:rsidRPr="004A3B12" w:rsidRDefault="004A3B12" w:rsidP="00842FB0">
      <w:pPr>
        <w:pStyle w:val="Bibliography"/>
        <w:spacing w:line="240" w:lineRule="auto"/>
        <w:ind w:left="360" w:firstLine="0"/>
        <w:jc w:val="both"/>
        <w:rPr>
          <w:rFonts w:ascii="Arial" w:hAnsi="Arial" w:cs="Arial"/>
          <w:sz w:val="20"/>
          <w:szCs w:val="20"/>
        </w:rPr>
      </w:pPr>
      <w:r w:rsidRPr="004A3B12">
        <w:rPr>
          <w:rFonts w:ascii="Arial" w:hAnsi="Arial" w:cs="Arial"/>
          <w:sz w:val="20"/>
          <w:szCs w:val="20"/>
          <w:lang w:val="en-US"/>
        </w:rPr>
        <w:t>M'Sadak, Y., &amp; Bouallegue, A. (2015). Study of opportunities of use of composts cunicoles for the aboveground production of tomato plants in Tunisia. Journal of Fundamental and Applied Sciences, 7(2), 244-259. https://www.asjp.cerist.dz/en/article/1000</w:t>
      </w:r>
    </w:p>
    <w:p w:rsidR="004A3B12" w:rsidRPr="004A3B12" w:rsidRDefault="004A3B12" w:rsidP="00842FB0">
      <w:pPr>
        <w:pStyle w:val="Bibliography"/>
        <w:spacing w:line="240" w:lineRule="auto"/>
        <w:ind w:left="360" w:firstLine="0"/>
        <w:jc w:val="both"/>
        <w:rPr>
          <w:rFonts w:ascii="Arial" w:hAnsi="Arial" w:cs="Arial"/>
          <w:sz w:val="20"/>
          <w:szCs w:val="20"/>
        </w:rPr>
      </w:pPr>
      <w:r w:rsidRPr="004A3B12">
        <w:rPr>
          <w:rFonts w:ascii="Arial" w:hAnsi="Arial" w:cs="Arial"/>
          <w:sz w:val="20"/>
          <w:szCs w:val="20"/>
          <w:lang w:val="en-US"/>
        </w:rPr>
        <w:t>M'Sadak, Y., El Amri, A., Majdoub, R., &amp; El Ghorbali, L. (2016). Comportements physique et hydrique des substrats de culture destinés aux pépinières forestières modernes (Sahel Tunisien). Algerian journal of Arid Environment, 6(1), 96–107. https://dspace.univ-ouargla.dz/jspui/handle/123456789/14000</w:t>
      </w:r>
    </w:p>
    <w:p w:rsidR="004A3B12" w:rsidRP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rPr>
        <w:t>M’Sadak, Y., Elouaer, M.-A., &amp; Dhahri, M. (2013). Production et croissance des plants de Gombo (Abelmoschus esculentus) sur substrats de culture issus d’un mélange de Tourbe et de Compost dans une pépinière maraîchère hors sol en Tunisie. Revue Marocaine des Sciences Agronomiques et Vétérinaires, 1(2), 5–9. https://www.agrimaroc.org/index.php/Actes_IAVH2/article/view/319</w:t>
      </w:r>
    </w:p>
    <w:p w:rsidR="004A3B12" w:rsidRP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rPr>
        <w:t>Munda, S., Nayak, A. K., Mishra, P. N., Bhattacharyya, P., Mohanty, S., Kumar, A., Kumar, U., Baig, M. J., Tripathi, R., Shahid, M., Adak, T., &amp; Thilagam, V. K. (2016). Combined application of rice husk biochar and fly ash improved the yield of lowland rice. Soil Research, 54(4), 451–459. https://doi.org/10.1071/SR15295</w:t>
      </w:r>
    </w:p>
    <w:p w:rsidR="004A3B12" w:rsidRPr="004A3B12" w:rsidRDefault="004A3B12" w:rsidP="00842FB0">
      <w:pPr>
        <w:pStyle w:val="Bibliography"/>
        <w:spacing w:line="240" w:lineRule="auto"/>
        <w:ind w:left="360" w:firstLine="0"/>
        <w:jc w:val="both"/>
        <w:rPr>
          <w:rFonts w:ascii="Arial" w:hAnsi="Arial" w:cs="Arial"/>
          <w:b/>
          <w:bCs/>
          <w:sz w:val="20"/>
          <w:szCs w:val="20"/>
          <w:lang w:val="en-US"/>
        </w:rPr>
      </w:pPr>
      <w:r w:rsidRPr="004A3B12">
        <w:rPr>
          <w:rFonts w:ascii="Arial" w:hAnsi="Arial" w:cs="Arial"/>
          <w:b/>
          <w:bCs/>
          <w:sz w:val="20"/>
          <w:szCs w:val="20"/>
          <w:lang w:val="en-US"/>
        </w:rPr>
        <w:t xml:space="preserve">Nasution, Y., &amp; Fitria, F. (2023). Changes of Soil Density and Water Content at the Treatment of Compost Media and Husk Charcoal on Lettuce Plants in the Land </w:t>
      </w:r>
      <w:r w:rsidRPr="004A3B12">
        <w:rPr>
          <w:rFonts w:ascii="Arial" w:hAnsi="Arial" w:cs="Arial"/>
          <w:b/>
          <w:bCs/>
          <w:sz w:val="20"/>
          <w:szCs w:val="20"/>
          <w:lang w:val="en-US"/>
        </w:rPr>
        <w:lastRenderedPageBreak/>
        <w:t>Degradation. Jurnal Penelitian Pendidikan IPA, 9(6), 4353–4360. https://doi.org/10.29303/jppipa.v9i6.3571</w:t>
      </w:r>
    </w:p>
    <w:p w:rsidR="004A3B12" w:rsidRPr="004A3B12" w:rsidRDefault="004A3B12" w:rsidP="00842FB0">
      <w:pPr>
        <w:pStyle w:val="Bibliography"/>
        <w:spacing w:line="240" w:lineRule="auto"/>
        <w:ind w:left="360" w:firstLine="0"/>
        <w:jc w:val="both"/>
        <w:rPr>
          <w:rFonts w:ascii="Arial" w:hAnsi="Arial" w:cs="Arial"/>
          <w:sz w:val="20"/>
          <w:szCs w:val="20"/>
        </w:rPr>
      </w:pPr>
      <w:r w:rsidRPr="004A3B12">
        <w:rPr>
          <w:rFonts w:ascii="Arial" w:hAnsi="Arial" w:cs="Arial"/>
          <w:sz w:val="20"/>
          <w:szCs w:val="20"/>
          <w:lang w:val="en-US"/>
        </w:rPr>
        <w:t>Nzengue, E., Gnacadja, K. C., Mombo, S., Moundounga Mavouroulou, Q., Mandjedi-Mandjedi, C.-M., Bourobou, D. N., Biroungou, C., Zinga Koumba, C. R., Lépengué, A. N., &amp; Mavoungou, J. F. (2024). Étude de l’impact des substrats locaux sur la germination et la croissance des plants de tomate de la variété BENTO 02 en pépinière au Gabon. Journal of Animal &amp; Plant Sciences, 60(2), 11004–11014. https://doi.org/10.35759/JAnmPlSci.v60-2.1</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Organo, N. D., Granada, S. M. J. M., Pineda, H. G. S., Sandro, J. M., Nguyen, V. H., &amp; Gummert, M. (2022). Assessing the potential of a Trichoderma-based compost activator to hasten the decomposition of incorporated rice straw. Scientific Reports. https://doi.org/10.1038/s41598-021-03828-1</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Pauwels, J. M., Van Ranst, E., Verloo, M., &amp; Mvondo Ze, A. (1992). Manuel de laboratoire de pedologie. Methodes d’ analyses de sols et de plantes, equipement, gestion de stocks de verrerie et de produits chimiques. Publications Agricoles (Belgium). Administration Generale de la Cooperation au Developpement. No. 28. https://agris.fao.org/agris-search/search.do?recordID=XF2015000002</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Prisa, D., &amp; Caro, S. (2023). Alternative substrates in the cultivation of ornamental and vegetable plants. GSC Biological and Pharmaceutical Sciences, 24(1), 209–220. https://doi.org/10.30574/gscbps.2023.24.1.0268</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Raviv, M., Lieth, J. H., &amp; Bar-Tal, A. (2019). Soilless culture: Theory and practice. Academic Press. https://www.elsevier.com/books/soilless-culture/raviv/978-0-444-63696-6</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Raviv, M., Lieth, J. H., &amp; Bar-Tal, A. (2019). Soilless culture: Theory and practice (2nd ed.). Academic Press. https://www.elsevier.com/books/soilless-culture/raviv/978-0-444-63696-6</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Sani, O. M., Ismaila, A. G., Adamou, Z., &amp; Ibrahim, N. (2023). Evaluation de la phytotoxicité d’un compost préparé avec le phosphate calciné de Tahoua (Niger). International Journal of Innovation and Applied Studies, 39(3), 1075–1082. http://www.ijias.issr-journals.org/abstract.php?article=IJIAS-23-088-06</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Sawadogo, J., Coulibaly, P. J. D. A., Traore, B., Bassole, M. S. D., Kabore, A., &amp; Legma, J. B. (2021). Amélioration des propriétés physico-chimiques et microbiologiques des sols par des fertilisants biologiques sous cultures de la tomate en zone Soudano-sahélienne. Afrique SCIENCE, 19(4), 189–202. http://www.afriquescience.net</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Scott, G. J. T., Webster, R., &amp; Nortcliff, S. (1988). The topology of pore structure in cracking clay soil. I. The estimation of numerical density. Journal of Soil Science, 39(3), 303–314. https://doi.org/10.1111/j.1365-2389.1988.tb01217.x</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Siddiquee, S., Shafawati, S. N., &amp; Naher, L. (2017). Effective composting of empty fruit bunches using potential Trichoderma strains. Biotechnology Reports, 13, 1–7. https://doi.org/10.1016/j.btre.2016.11.001</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Singh, A., Singh, A. P., &amp; Purakayastha, T. J. (2019). Characterization of biochar and their influence on microbial activities and potassium availability in an acid soil. Archives of Agronomy and Soil Science, 65(9), 1302–1315. https://doi.org/10.1080/03650340.2018.1563291</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Singh, C., Tiwari, S., &amp; Singh, J. S. (2017). Impact of Rice Husk Biochar on Nitrogen Mineralization and Methanotrophs Community Dynamics in Paddy Soil. International Journal of Pure and Applied Bioscience, 5(5), 428–435. https://doi.org/10.18782/2320-7051.5870</w:t>
      </w:r>
    </w:p>
    <w:p w:rsidR="004A3B12" w:rsidRDefault="004A3B12" w:rsidP="00842FB0">
      <w:pPr>
        <w:pStyle w:val="Bibliography"/>
        <w:spacing w:line="240" w:lineRule="auto"/>
        <w:ind w:left="360" w:firstLine="0"/>
        <w:jc w:val="both"/>
        <w:rPr>
          <w:rFonts w:ascii="Arial" w:hAnsi="Arial" w:cs="Arial"/>
          <w:sz w:val="20"/>
          <w:szCs w:val="20"/>
        </w:rPr>
      </w:pPr>
      <w:r w:rsidRPr="004A3B12">
        <w:rPr>
          <w:rFonts w:ascii="Arial" w:hAnsi="Arial" w:cs="Arial"/>
          <w:sz w:val="20"/>
          <w:szCs w:val="20"/>
        </w:rPr>
        <w:t>Soltner, D. (2017). Les bases de la production végétale. Tome 1: Le sol et son amélioration. Editions Soltner. https://www.soltner.fr/agronomie/les-bases-de-la-production-vegetale-tome-i-le-sol-et-son-amelioration</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Méndez, A., Paz-Ferreiro, J., Gil, E., &amp; Gascó, G. (2015). The effect of paper sludge and biochar addition on brown peat and coir based growing media properties. Scientia Horticulturae, 193, 225–230. https://doi.org/10.1016/j.scienta.2015.07.032</w:t>
      </w:r>
    </w:p>
    <w:p w:rsidR="004A3B12" w:rsidRP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rPr>
        <w:t>Tittarelli, F., Rea, E., Verrastro, V., Pascual, J. A., Canali, S., Ceglie, F. G., Trinchera, A., &amp; Rivera, C. M. (2009). Compost-based Nursery Substrates: Effect of Peat Substitution on Organic Melon Seedlings. Compost Science &amp; Utilization, 17(4), 220–228. https://doi.org/10.1080/1065657x.2009.10702427</w:t>
      </w:r>
    </w:p>
    <w:p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Upadhyay, K. P., Dhami, N. B., Sharma, P. N., Neupane, J. D., &amp; Shrestha, J. (2020). Growth and yield responses of potato (Solanum tuberosum L.) to biochar. Agraarteadus | Journal of Agricultural Science, 31(2), 244–253. https://doi.org/10.15159/jas.20.18</w:t>
      </w:r>
    </w:p>
    <w:p w:rsidR="00F1149B" w:rsidRPr="00842FB0" w:rsidRDefault="004A3B12" w:rsidP="00842FB0">
      <w:pPr>
        <w:spacing w:line="240" w:lineRule="auto"/>
        <w:ind w:left="360"/>
        <w:jc w:val="both"/>
        <w:rPr>
          <w:rFonts w:ascii="Arial" w:hAnsi="Arial" w:cs="Arial"/>
          <w:sz w:val="20"/>
          <w:szCs w:val="20"/>
        </w:rPr>
      </w:pPr>
      <w:r w:rsidRPr="00842FB0">
        <w:rPr>
          <w:rFonts w:ascii="Arial" w:hAnsi="Arial" w:cs="Arial"/>
          <w:sz w:val="20"/>
          <w:szCs w:val="20"/>
          <w:lang w:val="en-US"/>
        </w:rPr>
        <w:t>Wilkinson, K. M., Landis, T. D., Haase, D. L., Daley, B. F., &amp; Dumroese, R. K. (2014). Tropical Nursery Manual: A guide to starting and operating a nursery for native and traditional plants. United States Department of Agriculture Forest Service Agriculture Handbook 732. http://www.RNGR.net/tropical</w:t>
      </w:r>
      <w:r w:rsidR="00F0347E" w:rsidRPr="00842FB0">
        <w:rPr>
          <w:rFonts w:ascii="Arial" w:hAnsi="Arial" w:cs="Arial"/>
          <w:sz w:val="20"/>
          <w:szCs w:val="20"/>
        </w:rPr>
        <w:fldChar w:fldCharType="end"/>
      </w:r>
      <w:r w:rsidRPr="00842FB0">
        <w:rPr>
          <w:rFonts w:ascii="Arial" w:hAnsi="Arial" w:cs="Arial"/>
          <w:sz w:val="20"/>
          <w:szCs w:val="20"/>
        </w:rPr>
        <w:tab/>
      </w:r>
    </w:p>
    <w:sectPr w:rsidR="00F1149B" w:rsidRPr="00842FB0" w:rsidSect="00F0347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D07" w:rsidRDefault="00215D07" w:rsidP="00D53D7C">
      <w:pPr>
        <w:spacing w:after="0" w:line="240" w:lineRule="auto"/>
      </w:pPr>
      <w:r>
        <w:separator/>
      </w:r>
    </w:p>
  </w:endnote>
  <w:endnote w:type="continuationSeparator" w:id="1">
    <w:p w:rsidR="00215D07" w:rsidRDefault="00215D07" w:rsidP="00D53D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7C" w:rsidRDefault="00D53D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7C" w:rsidRDefault="00D53D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7C" w:rsidRDefault="00D53D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D07" w:rsidRDefault="00215D07" w:rsidP="00D53D7C">
      <w:pPr>
        <w:spacing w:after="0" w:line="240" w:lineRule="auto"/>
      </w:pPr>
      <w:r>
        <w:separator/>
      </w:r>
    </w:p>
  </w:footnote>
  <w:footnote w:type="continuationSeparator" w:id="1">
    <w:p w:rsidR="00215D07" w:rsidRDefault="00215D07" w:rsidP="00D53D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7C" w:rsidRDefault="00F0347E">
    <w:pPr>
      <w:pStyle w:val="Header"/>
    </w:pPr>
    <w:r w:rsidRPr="00F0347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780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7C" w:rsidRDefault="00F0347E">
    <w:pPr>
      <w:pStyle w:val="Header"/>
    </w:pPr>
    <w:r w:rsidRPr="00F0347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780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7C" w:rsidRDefault="00F0347E">
    <w:pPr>
      <w:pStyle w:val="Header"/>
    </w:pPr>
    <w:r w:rsidRPr="00F0347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780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BDA"/>
    <w:multiLevelType w:val="hybridMultilevel"/>
    <w:tmpl w:val="36967F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353AA7"/>
    <w:multiLevelType w:val="multilevel"/>
    <w:tmpl w:val="ADEE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11343"/>
    <w:multiLevelType w:val="hybridMultilevel"/>
    <w:tmpl w:val="49B4FFA6"/>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81716E"/>
    <w:multiLevelType w:val="multilevel"/>
    <w:tmpl w:val="93720F20"/>
    <w:lvl w:ilvl="0">
      <w:start w:val="3"/>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11646BED"/>
    <w:multiLevelType w:val="hybridMultilevel"/>
    <w:tmpl w:val="434C1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E21403"/>
    <w:multiLevelType w:val="hybridMultilevel"/>
    <w:tmpl w:val="B2448EFC"/>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3B6FDB"/>
    <w:multiLevelType w:val="multilevel"/>
    <w:tmpl w:val="040C0025"/>
    <w:styleLink w:val="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A3341BA"/>
    <w:multiLevelType w:val="multilevel"/>
    <w:tmpl w:val="995C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0248F"/>
    <w:multiLevelType w:val="multilevel"/>
    <w:tmpl w:val="5ABE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4D1F02"/>
    <w:multiLevelType w:val="hybridMultilevel"/>
    <w:tmpl w:val="7346CFD6"/>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103A8A"/>
    <w:multiLevelType w:val="hybridMultilevel"/>
    <w:tmpl w:val="1DE42ABA"/>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AE7CB5"/>
    <w:multiLevelType w:val="multilevel"/>
    <w:tmpl w:val="E048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FB7E62"/>
    <w:multiLevelType w:val="hybridMultilevel"/>
    <w:tmpl w:val="61D6E7B0"/>
    <w:lvl w:ilvl="0" w:tplc="B98844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2A230C3"/>
    <w:multiLevelType w:val="multilevel"/>
    <w:tmpl w:val="DEAC0110"/>
    <w:styleLink w:val="Style1"/>
    <w:lvl w:ilvl="0">
      <w:start w:val="2"/>
      <w:numFmt w:val="upperRoman"/>
      <w:lvlText w:val="%1."/>
      <w:lvlJc w:val="righ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2EF3576"/>
    <w:multiLevelType w:val="hybridMultilevel"/>
    <w:tmpl w:val="38769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405BF4"/>
    <w:multiLevelType w:val="multilevel"/>
    <w:tmpl w:val="040C0025"/>
    <w:numStyleLink w:val="Style2"/>
  </w:abstractNum>
  <w:abstractNum w:abstractNumId="16">
    <w:nsid w:val="39215924"/>
    <w:multiLevelType w:val="hybridMultilevel"/>
    <w:tmpl w:val="109CACC0"/>
    <w:lvl w:ilvl="0" w:tplc="45A0786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450E72FF"/>
    <w:multiLevelType w:val="multilevel"/>
    <w:tmpl w:val="F03E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F05A36"/>
    <w:multiLevelType w:val="hybridMultilevel"/>
    <w:tmpl w:val="2288120E"/>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9CB4329"/>
    <w:multiLevelType w:val="multilevel"/>
    <w:tmpl w:val="9F22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D14C85"/>
    <w:multiLevelType w:val="hybridMultilevel"/>
    <w:tmpl w:val="84285324"/>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08D6741"/>
    <w:multiLevelType w:val="multilevel"/>
    <w:tmpl w:val="AEE8AFA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50F3398E"/>
    <w:multiLevelType w:val="hybridMultilevel"/>
    <w:tmpl w:val="4F78144C"/>
    <w:lvl w:ilvl="0" w:tplc="AAF2AE5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18F2DB1"/>
    <w:multiLevelType w:val="hybridMultilevel"/>
    <w:tmpl w:val="50BCC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AA655A0"/>
    <w:multiLevelType w:val="multilevel"/>
    <w:tmpl w:val="2500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3C545E"/>
    <w:multiLevelType w:val="hybridMultilevel"/>
    <w:tmpl w:val="9E966446"/>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16D55D1"/>
    <w:multiLevelType w:val="multilevel"/>
    <w:tmpl w:val="1106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6627A78"/>
    <w:multiLevelType w:val="hybridMultilevel"/>
    <w:tmpl w:val="5A20E13A"/>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9ED0462"/>
    <w:multiLevelType w:val="hybridMultilevel"/>
    <w:tmpl w:val="B8D2D3A4"/>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B847D43"/>
    <w:multiLevelType w:val="hybridMultilevel"/>
    <w:tmpl w:val="57C6C134"/>
    <w:lvl w:ilvl="0" w:tplc="B98844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BB97437"/>
    <w:multiLevelType w:val="multilevel"/>
    <w:tmpl w:val="6E82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D96B48"/>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72BA13C7"/>
    <w:multiLevelType w:val="multilevel"/>
    <w:tmpl w:val="FF4C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6E5FA8"/>
    <w:multiLevelType w:val="multilevel"/>
    <w:tmpl w:val="139CB21C"/>
    <w:lvl w:ilvl="0">
      <w:start w:val="1"/>
      <w:numFmt w:val="decimal"/>
      <w:lvlText w:val="%1."/>
      <w:lvlJc w:val="left"/>
      <w:pPr>
        <w:ind w:left="792"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44" w:hanging="1080"/>
      </w:pPr>
      <w:rPr>
        <w:rFonts w:hint="default"/>
      </w:rPr>
    </w:lvl>
    <w:lvl w:ilvl="4">
      <w:start w:val="1"/>
      <w:numFmt w:val="decimal"/>
      <w:isLgl/>
      <w:lvlText w:val="%1.%2.%3.%4.%5."/>
      <w:lvlJc w:val="left"/>
      <w:pPr>
        <w:ind w:left="2448" w:hanging="144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744" w:hanging="2160"/>
      </w:pPr>
      <w:rPr>
        <w:rFonts w:hint="default"/>
      </w:rPr>
    </w:lvl>
  </w:abstractNum>
  <w:abstractNum w:abstractNumId="34">
    <w:nsid w:val="77235043"/>
    <w:multiLevelType w:val="multilevel"/>
    <w:tmpl w:val="D8B2A7EE"/>
    <w:lvl w:ilvl="0">
      <w:start w:val="2"/>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8"/>
  </w:num>
  <w:num w:numId="2">
    <w:abstractNumId w:val="0"/>
  </w:num>
  <w:num w:numId="3">
    <w:abstractNumId w:val="29"/>
  </w:num>
  <w:num w:numId="4">
    <w:abstractNumId w:val="27"/>
  </w:num>
  <w:num w:numId="5">
    <w:abstractNumId w:val="25"/>
  </w:num>
  <w:num w:numId="6">
    <w:abstractNumId w:val="5"/>
  </w:num>
  <w:num w:numId="7">
    <w:abstractNumId w:val="9"/>
  </w:num>
  <w:num w:numId="8">
    <w:abstractNumId w:val="10"/>
  </w:num>
  <w:num w:numId="9">
    <w:abstractNumId w:val="20"/>
  </w:num>
  <w:num w:numId="10">
    <w:abstractNumId w:val="2"/>
  </w:num>
  <w:num w:numId="11">
    <w:abstractNumId w:val="23"/>
  </w:num>
  <w:num w:numId="12">
    <w:abstractNumId w:val="4"/>
  </w:num>
  <w:num w:numId="13">
    <w:abstractNumId w:val="31"/>
  </w:num>
  <w:num w:numId="14">
    <w:abstractNumId w:val="13"/>
  </w:num>
  <w:num w:numId="15">
    <w:abstractNumId w:val="6"/>
  </w:num>
  <w:num w:numId="16">
    <w:abstractNumId w:val="15"/>
  </w:num>
  <w:num w:numId="17">
    <w:abstractNumId w:val="21"/>
  </w:num>
  <w:num w:numId="18">
    <w:abstractNumId w:val="3"/>
  </w:num>
  <w:num w:numId="19">
    <w:abstractNumId w:val="22"/>
  </w:num>
  <w:num w:numId="20">
    <w:abstractNumId w:val="34"/>
  </w:num>
  <w:num w:numId="21">
    <w:abstractNumId w:val="33"/>
  </w:num>
  <w:num w:numId="22">
    <w:abstractNumId w:val="16"/>
  </w:num>
  <w:num w:numId="23">
    <w:abstractNumId w:val="18"/>
  </w:num>
  <w:num w:numId="24">
    <w:abstractNumId w:val="12"/>
  </w:num>
  <w:num w:numId="25">
    <w:abstractNumId w:val="26"/>
  </w:num>
  <w:num w:numId="26">
    <w:abstractNumId w:val="7"/>
  </w:num>
  <w:num w:numId="27">
    <w:abstractNumId w:val="30"/>
  </w:num>
  <w:num w:numId="28">
    <w:abstractNumId w:val="1"/>
  </w:num>
  <w:num w:numId="29">
    <w:abstractNumId w:val="17"/>
  </w:num>
  <w:num w:numId="30">
    <w:abstractNumId w:val="24"/>
  </w:num>
  <w:num w:numId="31">
    <w:abstractNumId w:val="19"/>
  </w:num>
  <w:num w:numId="32">
    <w:abstractNumId w:val="32"/>
  </w:num>
  <w:num w:numId="33">
    <w:abstractNumId w:val="8"/>
  </w:num>
  <w:num w:numId="34">
    <w:abstractNumId w:val="11"/>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007C0"/>
    <w:rsid w:val="00024C49"/>
    <w:rsid w:val="000401CA"/>
    <w:rsid w:val="00043719"/>
    <w:rsid w:val="00064EF8"/>
    <w:rsid w:val="000867E8"/>
    <w:rsid w:val="000C44A7"/>
    <w:rsid w:val="000C665C"/>
    <w:rsid w:val="000D6B69"/>
    <w:rsid w:val="000E1336"/>
    <w:rsid w:val="000E3F5B"/>
    <w:rsid w:val="000F1C7C"/>
    <w:rsid w:val="00117458"/>
    <w:rsid w:val="0013418E"/>
    <w:rsid w:val="001531A0"/>
    <w:rsid w:val="00157B5D"/>
    <w:rsid w:val="0017267C"/>
    <w:rsid w:val="00183A41"/>
    <w:rsid w:val="0018496F"/>
    <w:rsid w:val="00195287"/>
    <w:rsid w:val="001D3595"/>
    <w:rsid w:val="00210804"/>
    <w:rsid w:val="00215D07"/>
    <w:rsid w:val="002163E4"/>
    <w:rsid w:val="00241684"/>
    <w:rsid w:val="00242B85"/>
    <w:rsid w:val="002446B6"/>
    <w:rsid w:val="00251398"/>
    <w:rsid w:val="002547F3"/>
    <w:rsid w:val="0026399A"/>
    <w:rsid w:val="0027166C"/>
    <w:rsid w:val="00286005"/>
    <w:rsid w:val="00296DD2"/>
    <w:rsid w:val="002B2445"/>
    <w:rsid w:val="002C7047"/>
    <w:rsid w:val="002D7011"/>
    <w:rsid w:val="00304590"/>
    <w:rsid w:val="00317012"/>
    <w:rsid w:val="003339F7"/>
    <w:rsid w:val="00354F79"/>
    <w:rsid w:val="003706E5"/>
    <w:rsid w:val="003706FE"/>
    <w:rsid w:val="003728EE"/>
    <w:rsid w:val="003751B7"/>
    <w:rsid w:val="003841FD"/>
    <w:rsid w:val="00384F6C"/>
    <w:rsid w:val="003D7EF0"/>
    <w:rsid w:val="003E059B"/>
    <w:rsid w:val="003F6EB9"/>
    <w:rsid w:val="00401E4F"/>
    <w:rsid w:val="00405823"/>
    <w:rsid w:val="004144EA"/>
    <w:rsid w:val="00444031"/>
    <w:rsid w:val="00485945"/>
    <w:rsid w:val="00495B27"/>
    <w:rsid w:val="004A187E"/>
    <w:rsid w:val="004A3B12"/>
    <w:rsid w:val="00517C41"/>
    <w:rsid w:val="00547624"/>
    <w:rsid w:val="0055038D"/>
    <w:rsid w:val="00564E78"/>
    <w:rsid w:val="005922DB"/>
    <w:rsid w:val="005A3D36"/>
    <w:rsid w:val="005B365C"/>
    <w:rsid w:val="005D29FE"/>
    <w:rsid w:val="005D6008"/>
    <w:rsid w:val="005F1BE6"/>
    <w:rsid w:val="005F2A38"/>
    <w:rsid w:val="006201DD"/>
    <w:rsid w:val="00630E20"/>
    <w:rsid w:val="00642E6B"/>
    <w:rsid w:val="0067059E"/>
    <w:rsid w:val="00681E29"/>
    <w:rsid w:val="006A24E3"/>
    <w:rsid w:val="006B5B1C"/>
    <w:rsid w:val="006C20BF"/>
    <w:rsid w:val="006D5977"/>
    <w:rsid w:val="006D5C07"/>
    <w:rsid w:val="006D6A82"/>
    <w:rsid w:val="006E471A"/>
    <w:rsid w:val="006F5786"/>
    <w:rsid w:val="006F6196"/>
    <w:rsid w:val="00724BFE"/>
    <w:rsid w:val="00736DD0"/>
    <w:rsid w:val="00740F38"/>
    <w:rsid w:val="00745423"/>
    <w:rsid w:val="00752D28"/>
    <w:rsid w:val="00755E93"/>
    <w:rsid w:val="00773C4F"/>
    <w:rsid w:val="007828AE"/>
    <w:rsid w:val="007C618F"/>
    <w:rsid w:val="00801C46"/>
    <w:rsid w:val="008250A7"/>
    <w:rsid w:val="00842FB0"/>
    <w:rsid w:val="0087060E"/>
    <w:rsid w:val="00894176"/>
    <w:rsid w:val="008D0367"/>
    <w:rsid w:val="008F1473"/>
    <w:rsid w:val="00914FB5"/>
    <w:rsid w:val="00955B7C"/>
    <w:rsid w:val="009602C0"/>
    <w:rsid w:val="00963F85"/>
    <w:rsid w:val="00994DB5"/>
    <w:rsid w:val="009A3A06"/>
    <w:rsid w:val="009A7A9C"/>
    <w:rsid w:val="009E2AE8"/>
    <w:rsid w:val="009E6B91"/>
    <w:rsid w:val="009F179D"/>
    <w:rsid w:val="009F1931"/>
    <w:rsid w:val="009F55F6"/>
    <w:rsid w:val="00A007C0"/>
    <w:rsid w:val="00A124D3"/>
    <w:rsid w:val="00A14B88"/>
    <w:rsid w:val="00A51622"/>
    <w:rsid w:val="00A51989"/>
    <w:rsid w:val="00A633D9"/>
    <w:rsid w:val="00AC2FD6"/>
    <w:rsid w:val="00AD08B4"/>
    <w:rsid w:val="00AF3252"/>
    <w:rsid w:val="00B07F2C"/>
    <w:rsid w:val="00B13384"/>
    <w:rsid w:val="00B21E0E"/>
    <w:rsid w:val="00B3117C"/>
    <w:rsid w:val="00B3499F"/>
    <w:rsid w:val="00B652FC"/>
    <w:rsid w:val="00B77FD7"/>
    <w:rsid w:val="00B84769"/>
    <w:rsid w:val="00B9469D"/>
    <w:rsid w:val="00BB375B"/>
    <w:rsid w:val="00BC6D5E"/>
    <w:rsid w:val="00BE2D1D"/>
    <w:rsid w:val="00BF3C87"/>
    <w:rsid w:val="00BF7FDE"/>
    <w:rsid w:val="00C0510E"/>
    <w:rsid w:val="00C07B0F"/>
    <w:rsid w:val="00C53D6E"/>
    <w:rsid w:val="00C716FB"/>
    <w:rsid w:val="00C879C3"/>
    <w:rsid w:val="00CA2945"/>
    <w:rsid w:val="00CB21E7"/>
    <w:rsid w:val="00CC2331"/>
    <w:rsid w:val="00CF7003"/>
    <w:rsid w:val="00D02E5A"/>
    <w:rsid w:val="00D34203"/>
    <w:rsid w:val="00D52DD0"/>
    <w:rsid w:val="00D53D7C"/>
    <w:rsid w:val="00D67B7D"/>
    <w:rsid w:val="00D7686B"/>
    <w:rsid w:val="00D919A5"/>
    <w:rsid w:val="00D94DC5"/>
    <w:rsid w:val="00DB7672"/>
    <w:rsid w:val="00DD0456"/>
    <w:rsid w:val="00DE1D8E"/>
    <w:rsid w:val="00E012D3"/>
    <w:rsid w:val="00E02D6D"/>
    <w:rsid w:val="00E03FC6"/>
    <w:rsid w:val="00E07170"/>
    <w:rsid w:val="00E13DB9"/>
    <w:rsid w:val="00E25FDF"/>
    <w:rsid w:val="00E4191F"/>
    <w:rsid w:val="00E75CE4"/>
    <w:rsid w:val="00E9628E"/>
    <w:rsid w:val="00EB2C28"/>
    <w:rsid w:val="00EB64CC"/>
    <w:rsid w:val="00EC00A0"/>
    <w:rsid w:val="00EC4073"/>
    <w:rsid w:val="00EC6F6F"/>
    <w:rsid w:val="00ED728B"/>
    <w:rsid w:val="00EF328F"/>
    <w:rsid w:val="00F0347E"/>
    <w:rsid w:val="00F1149B"/>
    <w:rsid w:val="00F232D7"/>
    <w:rsid w:val="00F308D0"/>
    <w:rsid w:val="00F56C43"/>
    <w:rsid w:val="00F70B1C"/>
    <w:rsid w:val="00F81CB3"/>
    <w:rsid w:val="00F926D9"/>
    <w:rsid w:val="00F9684A"/>
    <w:rsid w:val="00FA2B4D"/>
    <w:rsid w:val="00FB1225"/>
    <w:rsid w:val="00FF09AA"/>
    <w:rsid w:val="00FF30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C0"/>
  </w:style>
  <w:style w:type="paragraph" w:styleId="Heading1">
    <w:name w:val="heading 1"/>
    <w:basedOn w:val="Normal"/>
    <w:link w:val="Heading1Char"/>
    <w:uiPriority w:val="9"/>
    <w:qFormat/>
    <w:rsid w:val="00A007C0"/>
    <w:pPr>
      <w:numPr>
        <w:numId w:val="13"/>
      </w:numPr>
      <w:spacing w:before="240" w:beforeAutospacing="1" w:after="240" w:afterAutospacing="1" w:line="240" w:lineRule="auto"/>
      <w:outlineLvl w:val="0"/>
    </w:pPr>
    <w:rPr>
      <w:rFonts w:ascii="Times New Roman" w:eastAsia="Times New Roman" w:hAnsi="Times New Roman" w:cs="Times New Roman"/>
      <w:b/>
      <w:bCs/>
      <w:caps/>
      <w:kern w:val="36"/>
      <w:sz w:val="32"/>
      <w:szCs w:val="48"/>
      <w:lang w:eastAsia="fr-FR"/>
    </w:rPr>
  </w:style>
  <w:style w:type="paragraph" w:styleId="Heading2">
    <w:name w:val="heading 2"/>
    <w:basedOn w:val="Normal"/>
    <w:next w:val="Normal"/>
    <w:link w:val="Heading2Char"/>
    <w:uiPriority w:val="9"/>
    <w:unhideWhenUsed/>
    <w:qFormat/>
    <w:rsid w:val="00A007C0"/>
    <w:pPr>
      <w:keepNext/>
      <w:keepLines/>
      <w:numPr>
        <w:ilvl w:val="1"/>
        <w:numId w:val="13"/>
      </w:numPr>
      <w:spacing w:before="360" w:after="360"/>
      <w:outlineLvl w:val="1"/>
    </w:pPr>
    <w:rPr>
      <w:rFonts w:ascii="Times New Roman" w:eastAsiaTheme="majorEastAsia" w:hAnsi="Times New Roman" w:cstheme="majorBidi"/>
      <w:b/>
      <w:color w:val="000000" w:themeColor="text1"/>
      <w:sz w:val="32"/>
      <w:szCs w:val="26"/>
    </w:rPr>
  </w:style>
  <w:style w:type="paragraph" w:styleId="Heading3">
    <w:name w:val="heading 3"/>
    <w:basedOn w:val="Normal"/>
    <w:next w:val="Normal"/>
    <w:link w:val="Heading3Char"/>
    <w:uiPriority w:val="9"/>
    <w:unhideWhenUsed/>
    <w:qFormat/>
    <w:rsid w:val="00A007C0"/>
    <w:pPr>
      <w:keepNext/>
      <w:keepLines/>
      <w:numPr>
        <w:ilvl w:val="2"/>
        <w:numId w:val="13"/>
      </w:numPr>
      <w:spacing w:before="280" w:after="24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A007C0"/>
    <w:pPr>
      <w:keepNext/>
      <w:keepLines/>
      <w:numPr>
        <w:ilvl w:val="3"/>
        <w:numId w:val="13"/>
      </w:numPr>
      <w:spacing w:before="120" w:after="120"/>
      <w:outlineLvl w:val="3"/>
    </w:pPr>
    <w:rPr>
      <w:rFonts w:ascii="Arial" w:eastAsiaTheme="majorEastAsia" w:hAnsi="Arial" w:cstheme="majorBidi"/>
      <w:b/>
      <w:i/>
      <w:iCs/>
      <w:color w:val="000000" w:themeColor="text1"/>
      <w:sz w:val="24"/>
    </w:rPr>
  </w:style>
  <w:style w:type="paragraph" w:styleId="Heading5">
    <w:name w:val="heading 5"/>
    <w:basedOn w:val="Normal"/>
    <w:next w:val="Normal"/>
    <w:link w:val="Heading5Char"/>
    <w:uiPriority w:val="9"/>
    <w:unhideWhenUsed/>
    <w:qFormat/>
    <w:rsid w:val="00A007C0"/>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007C0"/>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007C0"/>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007C0"/>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07C0"/>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C0"/>
    <w:rPr>
      <w:rFonts w:ascii="Times New Roman" w:eastAsia="Times New Roman" w:hAnsi="Times New Roman" w:cs="Times New Roman"/>
      <w:b/>
      <w:bCs/>
      <w:caps/>
      <w:kern w:val="36"/>
      <w:sz w:val="32"/>
      <w:szCs w:val="48"/>
      <w:lang w:eastAsia="fr-FR"/>
    </w:rPr>
  </w:style>
  <w:style w:type="character" w:customStyle="1" w:styleId="Heading2Char">
    <w:name w:val="Heading 2 Char"/>
    <w:basedOn w:val="DefaultParagraphFont"/>
    <w:link w:val="Heading2"/>
    <w:uiPriority w:val="9"/>
    <w:rsid w:val="00A007C0"/>
    <w:rPr>
      <w:rFonts w:ascii="Times New Roman" w:eastAsiaTheme="majorEastAsia" w:hAnsi="Times New Roman" w:cstheme="majorBidi"/>
      <w:b/>
      <w:color w:val="000000" w:themeColor="text1"/>
      <w:sz w:val="32"/>
      <w:szCs w:val="26"/>
    </w:rPr>
  </w:style>
  <w:style w:type="character" w:customStyle="1" w:styleId="Heading3Char">
    <w:name w:val="Heading 3 Char"/>
    <w:basedOn w:val="DefaultParagraphFont"/>
    <w:link w:val="Heading3"/>
    <w:uiPriority w:val="9"/>
    <w:rsid w:val="00A007C0"/>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A007C0"/>
    <w:rPr>
      <w:rFonts w:ascii="Arial" w:eastAsiaTheme="majorEastAsia" w:hAnsi="Arial" w:cstheme="majorBidi"/>
      <w:b/>
      <w:i/>
      <w:iCs/>
      <w:color w:val="000000" w:themeColor="text1"/>
      <w:sz w:val="24"/>
    </w:rPr>
  </w:style>
  <w:style w:type="character" w:customStyle="1" w:styleId="Heading5Char">
    <w:name w:val="Heading 5 Char"/>
    <w:basedOn w:val="DefaultParagraphFont"/>
    <w:link w:val="Heading5"/>
    <w:uiPriority w:val="9"/>
    <w:rsid w:val="00A007C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007C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007C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007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07C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A00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0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C0"/>
  </w:style>
  <w:style w:type="paragraph" w:styleId="Footer">
    <w:name w:val="footer"/>
    <w:basedOn w:val="Normal"/>
    <w:link w:val="FooterChar"/>
    <w:uiPriority w:val="99"/>
    <w:unhideWhenUsed/>
    <w:rsid w:val="00A00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7C0"/>
  </w:style>
  <w:style w:type="paragraph" w:styleId="ListParagraph">
    <w:name w:val="List Paragraph"/>
    <w:basedOn w:val="Normal"/>
    <w:uiPriority w:val="34"/>
    <w:qFormat/>
    <w:rsid w:val="00A007C0"/>
    <w:pPr>
      <w:ind w:left="720"/>
      <w:contextualSpacing/>
    </w:pPr>
  </w:style>
  <w:style w:type="paragraph" w:styleId="NormalWeb">
    <w:name w:val="Normal (Web)"/>
    <w:basedOn w:val="Normal"/>
    <w:uiPriority w:val="99"/>
    <w:unhideWhenUsed/>
    <w:rsid w:val="00A007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A007C0"/>
    <w:rPr>
      <w:i/>
      <w:iCs/>
    </w:rPr>
  </w:style>
  <w:style w:type="character" w:styleId="Hyperlink">
    <w:name w:val="Hyperlink"/>
    <w:basedOn w:val="DefaultParagraphFont"/>
    <w:uiPriority w:val="99"/>
    <w:unhideWhenUsed/>
    <w:rsid w:val="00A007C0"/>
    <w:rPr>
      <w:color w:val="0563C1" w:themeColor="hyperlink"/>
      <w:u w:val="single"/>
    </w:rPr>
  </w:style>
  <w:style w:type="character" w:customStyle="1" w:styleId="Mentionnonrsolue1">
    <w:name w:val="Mention non résolue1"/>
    <w:basedOn w:val="DefaultParagraphFont"/>
    <w:uiPriority w:val="99"/>
    <w:semiHidden/>
    <w:unhideWhenUsed/>
    <w:rsid w:val="00A007C0"/>
    <w:rPr>
      <w:color w:val="605E5C"/>
      <w:shd w:val="clear" w:color="auto" w:fill="E1DFDD"/>
    </w:rPr>
  </w:style>
  <w:style w:type="character" w:customStyle="1" w:styleId="authors">
    <w:name w:val="authors"/>
    <w:basedOn w:val="DefaultParagraphFont"/>
    <w:rsid w:val="00A007C0"/>
  </w:style>
  <w:style w:type="character" w:customStyle="1" w:styleId="arttitle">
    <w:name w:val="art_title"/>
    <w:basedOn w:val="DefaultParagraphFont"/>
    <w:rsid w:val="00A007C0"/>
  </w:style>
  <w:style w:type="character" w:customStyle="1" w:styleId="serialtitle">
    <w:name w:val="serial_title"/>
    <w:basedOn w:val="DefaultParagraphFont"/>
    <w:rsid w:val="00A007C0"/>
  </w:style>
  <w:style w:type="character" w:customStyle="1" w:styleId="pagerange">
    <w:name w:val="page_range"/>
    <w:basedOn w:val="DefaultParagraphFont"/>
    <w:rsid w:val="00A007C0"/>
  </w:style>
  <w:style w:type="character" w:customStyle="1" w:styleId="volumeissue">
    <w:name w:val="volume_issue"/>
    <w:basedOn w:val="DefaultParagraphFont"/>
    <w:rsid w:val="00A007C0"/>
  </w:style>
  <w:style w:type="character" w:customStyle="1" w:styleId="doilink">
    <w:name w:val="doi_link"/>
    <w:basedOn w:val="DefaultParagraphFont"/>
    <w:rsid w:val="00A007C0"/>
  </w:style>
  <w:style w:type="character" w:customStyle="1" w:styleId="fontstyle01">
    <w:name w:val="fontstyle01"/>
    <w:basedOn w:val="DefaultParagraphFont"/>
    <w:rsid w:val="00A007C0"/>
    <w:rPr>
      <w:rFonts w:ascii="Times-Roman" w:hAnsi="Times-Roman" w:hint="default"/>
      <w:b w:val="0"/>
      <w:bCs w:val="0"/>
      <w:i w:val="0"/>
      <w:iCs w:val="0"/>
      <w:color w:val="000000"/>
      <w:sz w:val="20"/>
      <w:szCs w:val="20"/>
    </w:rPr>
  </w:style>
  <w:style w:type="character" w:customStyle="1" w:styleId="fontstyle21">
    <w:name w:val="fontstyle21"/>
    <w:basedOn w:val="DefaultParagraphFont"/>
    <w:rsid w:val="00A007C0"/>
    <w:rPr>
      <w:rFonts w:ascii="TimesNewRoman" w:hAnsi="TimesNewRoman" w:hint="default"/>
      <w:b w:val="0"/>
      <w:bCs w:val="0"/>
      <w:i w:val="0"/>
      <w:iCs w:val="0"/>
      <w:color w:val="000000"/>
      <w:sz w:val="20"/>
      <w:szCs w:val="20"/>
    </w:rPr>
  </w:style>
  <w:style w:type="paragraph" w:styleId="FootnoteText">
    <w:name w:val="footnote text"/>
    <w:basedOn w:val="Normal"/>
    <w:link w:val="FootnoteTextChar"/>
    <w:uiPriority w:val="99"/>
    <w:semiHidden/>
    <w:unhideWhenUsed/>
    <w:rsid w:val="00A007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7C0"/>
    <w:rPr>
      <w:sz w:val="20"/>
      <w:szCs w:val="20"/>
    </w:rPr>
  </w:style>
  <w:style w:type="character" w:styleId="FootnoteReference">
    <w:name w:val="footnote reference"/>
    <w:basedOn w:val="DefaultParagraphFont"/>
    <w:uiPriority w:val="99"/>
    <w:semiHidden/>
    <w:unhideWhenUsed/>
    <w:rsid w:val="00A007C0"/>
    <w:rPr>
      <w:vertAlign w:val="superscript"/>
    </w:rPr>
  </w:style>
  <w:style w:type="paragraph" w:styleId="Bibliography">
    <w:name w:val="Bibliography"/>
    <w:basedOn w:val="Normal"/>
    <w:next w:val="Normal"/>
    <w:uiPriority w:val="37"/>
    <w:unhideWhenUsed/>
    <w:rsid w:val="00A007C0"/>
    <w:pPr>
      <w:spacing w:after="0" w:line="480" w:lineRule="auto"/>
      <w:ind w:left="720" w:hanging="720"/>
    </w:pPr>
  </w:style>
  <w:style w:type="character" w:customStyle="1" w:styleId="html-italic">
    <w:name w:val="html-italic"/>
    <w:basedOn w:val="DefaultParagraphFont"/>
    <w:rsid w:val="00A007C0"/>
  </w:style>
  <w:style w:type="paragraph" w:customStyle="1" w:styleId="justifytxt">
    <w:name w:val="justify_txt"/>
    <w:basedOn w:val="Normal"/>
    <w:rsid w:val="00A007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A007C0"/>
    <w:rPr>
      <w:b/>
      <w:bCs/>
    </w:rPr>
  </w:style>
  <w:style w:type="paragraph" w:customStyle="1" w:styleId="padding-0">
    <w:name w:val="padding-0"/>
    <w:basedOn w:val="Normal"/>
    <w:rsid w:val="00A007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nchor-text">
    <w:name w:val="anchor-text"/>
    <w:basedOn w:val="DefaultParagraphFont"/>
    <w:rsid w:val="00A007C0"/>
  </w:style>
  <w:style w:type="paragraph" w:styleId="TOCHeading">
    <w:name w:val="TOC Heading"/>
    <w:basedOn w:val="Heading1"/>
    <w:next w:val="Normal"/>
    <w:uiPriority w:val="39"/>
    <w:unhideWhenUsed/>
    <w:qFormat/>
    <w:rsid w:val="00A007C0"/>
    <w:pPr>
      <w:keepNext/>
      <w:keepLines/>
      <w:spacing w:beforeAutospacing="0" w:afterAutospacing="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TOC1">
    <w:name w:val="toc 1"/>
    <w:basedOn w:val="Normal"/>
    <w:next w:val="Normal"/>
    <w:autoRedefine/>
    <w:uiPriority w:val="39"/>
    <w:unhideWhenUsed/>
    <w:rsid w:val="00A007C0"/>
    <w:pPr>
      <w:spacing w:after="100"/>
    </w:pPr>
  </w:style>
  <w:style w:type="paragraph" w:styleId="TOC2">
    <w:name w:val="toc 2"/>
    <w:basedOn w:val="Normal"/>
    <w:next w:val="Normal"/>
    <w:autoRedefine/>
    <w:uiPriority w:val="39"/>
    <w:unhideWhenUsed/>
    <w:rsid w:val="00A007C0"/>
    <w:pPr>
      <w:spacing w:after="100"/>
      <w:ind w:left="220"/>
    </w:pPr>
    <w:rPr>
      <w:rFonts w:eastAsiaTheme="minorEastAsia" w:cs="Times New Roman"/>
      <w:lang w:eastAsia="fr-FR"/>
    </w:rPr>
  </w:style>
  <w:style w:type="paragraph" w:styleId="TOC3">
    <w:name w:val="toc 3"/>
    <w:basedOn w:val="Normal"/>
    <w:next w:val="Normal"/>
    <w:autoRedefine/>
    <w:uiPriority w:val="39"/>
    <w:unhideWhenUsed/>
    <w:rsid w:val="00A007C0"/>
    <w:pPr>
      <w:spacing w:after="100"/>
      <w:ind w:left="440"/>
    </w:pPr>
    <w:rPr>
      <w:rFonts w:eastAsiaTheme="minorEastAsia" w:cs="Times New Roman"/>
      <w:lang w:eastAsia="fr-FR"/>
    </w:rPr>
  </w:style>
  <w:style w:type="character" w:styleId="PlaceholderText">
    <w:name w:val="Placeholder Text"/>
    <w:basedOn w:val="DefaultParagraphFont"/>
    <w:uiPriority w:val="99"/>
    <w:semiHidden/>
    <w:rsid w:val="00A007C0"/>
    <w:rPr>
      <w:color w:val="808080"/>
    </w:rPr>
  </w:style>
  <w:style w:type="paragraph" w:styleId="Caption">
    <w:name w:val="caption"/>
    <w:basedOn w:val="Normal"/>
    <w:next w:val="Normal"/>
    <w:uiPriority w:val="35"/>
    <w:unhideWhenUsed/>
    <w:qFormat/>
    <w:rsid w:val="00A007C0"/>
    <w:pPr>
      <w:spacing w:after="200" w:line="240" w:lineRule="auto"/>
    </w:pPr>
    <w:rPr>
      <w:i/>
      <w:iCs/>
      <w:color w:val="44546A" w:themeColor="text2"/>
      <w:sz w:val="18"/>
      <w:szCs w:val="18"/>
    </w:rPr>
  </w:style>
  <w:style w:type="paragraph" w:styleId="NoSpacing">
    <w:name w:val="No Spacing"/>
    <w:aliases w:val="Chapitres"/>
    <w:uiPriority w:val="1"/>
    <w:qFormat/>
    <w:rsid w:val="00A007C0"/>
    <w:pPr>
      <w:spacing w:before="360" w:after="360" w:line="240" w:lineRule="auto"/>
    </w:pPr>
    <w:rPr>
      <w:rFonts w:ascii="Times New Roman" w:hAnsi="Times New Roman"/>
      <w:b/>
      <w:sz w:val="28"/>
    </w:rPr>
  </w:style>
  <w:style w:type="paragraph" w:styleId="TOC4">
    <w:name w:val="toc 4"/>
    <w:basedOn w:val="Normal"/>
    <w:next w:val="Normal"/>
    <w:autoRedefine/>
    <w:uiPriority w:val="39"/>
    <w:unhideWhenUsed/>
    <w:rsid w:val="00A007C0"/>
    <w:pPr>
      <w:spacing w:after="100"/>
      <w:ind w:left="660"/>
    </w:pPr>
  </w:style>
  <w:style w:type="table" w:customStyle="1" w:styleId="TableauGrille4-Accentuation11">
    <w:name w:val="Tableau Grille 4 - Accentuation 11"/>
    <w:basedOn w:val="TableNormal"/>
    <w:uiPriority w:val="49"/>
    <w:rsid w:val="00A007C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itle">
    <w:name w:val="Title"/>
    <w:basedOn w:val="Normal"/>
    <w:next w:val="Normal"/>
    <w:link w:val="TitleChar"/>
    <w:uiPriority w:val="10"/>
    <w:qFormat/>
    <w:rsid w:val="00A007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7C0"/>
    <w:rPr>
      <w:rFonts w:asciiTheme="majorHAnsi" w:eastAsiaTheme="majorEastAsia" w:hAnsiTheme="majorHAnsi" w:cstheme="majorBidi"/>
      <w:spacing w:val="-10"/>
      <w:kern w:val="28"/>
      <w:sz w:val="56"/>
      <w:szCs w:val="56"/>
    </w:rPr>
  </w:style>
  <w:style w:type="numbering" w:customStyle="1" w:styleId="Style1">
    <w:name w:val="Style1"/>
    <w:uiPriority w:val="99"/>
    <w:rsid w:val="00A007C0"/>
    <w:pPr>
      <w:numPr>
        <w:numId w:val="14"/>
      </w:numPr>
    </w:pPr>
  </w:style>
  <w:style w:type="numbering" w:customStyle="1" w:styleId="Style2">
    <w:name w:val="Style2"/>
    <w:uiPriority w:val="99"/>
    <w:rsid w:val="00A007C0"/>
    <w:pPr>
      <w:numPr>
        <w:numId w:val="15"/>
      </w:numPr>
    </w:pPr>
  </w:style>
  <w:style w:type="paragraph" w:styleId="TOC5">
    <w:name w:val="toc 5"/>
    <w:basedOn w:val="Normal"/>
    <w:next w:val="Normal"/>
    <w:autoRedefine/>
    <w:uiPriority w:val="39"/>
    <w:unhideWhenUsed/>
    <w:rsid w:val="00A007C0"/>
    <w:pPr>
      <w:spacing w:after="100"/>
      <w:ind w:left="880"/>
    </w:pPr>
    <w:rPr>
      <w:rFonts w:eastAsiaTheme="minorEastAsia"/>
      <w:kern w:val="2"/>
      <w:lang w:eastAsia="fr-FR"/>
    </w:rPr>
  </w:style>
  <w:style w:type="paragraph" w:styleId="TOC6">
    <w:name w:val="toc 6"/>
    <w:basedOn w:val="Normal"/>
    <w:next w:val="Normal"/>
    <w:autoRedefine/>
    <w:uiPriority w:val="39"/>
    <w:unhideWhenUsed/>
    <w:rsid w:val="00A007C0"/>
    <w:pPr>
      <w:spacing w:after="100"/>
      <w:ind w:left="1100"/>
    </w:pPr>
    <w:rPr>
      <w:rFonts w:eastAsiaTheme="minorEastAsia"/>
      <w:kern w:val="2"/>
      <w:lang w:eastAsia="fr-FR"/>
    </w:rPr>
  </w:style>
  <w:style w:type="paragraph" w:styleId="TOC7">
    <w:name w:val="toc 7"/>
    <w:basedOn w:val="Normal"/>
    <w:next w:val="Normal"/>
    <w:autoRedefine/>
    <w:uiPriority w:val="39"/>
    <w:unhideWhenUsed/>
    <w:rsid w:val="00A007C0"/>
    <w:pPr>
      <w:spacing w:after="100"/>
      <w:ind w:left="1320"/>
    </w:pPr>
    <w:rPr>
      <w:rFonts w:eastAsiaTheme="minorEastAsia"/>
      <w:kern w:val="2"/>
      <w:lang w:eastAsia="fr-FR"/>
    </w:rPr>
  </w:style>
  <w:style w:type="paragraph" w:styleId="TOC8">
    <w:name w:val="toc 8"/>
    <w:basedOn w:val="Normal"/>
    <w:next w:val="Normal"/>
    <w:autoRedefine/>
    <w:uiPriority w:val="39"/>
    <w:unhideWhenUsed/>
    <w:rsid w:val="00A007C0"/>
    <w:pPr>
      <w:spacing w:after="100"/>
      <w:ind w:left="1540"/>
    </w:pPr>
    <w:rPr>
      <w:rFonts w:eastAsiaTheme="minorEastAsia"/>
      <w:kern w:val="2"/>
      <w:lang w:eastAsia="fr-FR"/>
    </w:rPr>
  </w:style>
  <w:style w:type="paragraph" w:styleId="TOC9">
    <w:name w:val="toc 9"/>
    <w:basedOn w:val="Normal"/>
    <w:next w:val="Normal"/>
    <w:autoRedefine/>
    <w:uiPriority w:val="39"/>
    <w:unhideWhenUsed/>
    <w:rsid w:val="00A007C0"/>
    <w:pPr>
      <w:spacing w:after="100"/>
      <w:ind w:left="1760"/>
    </w:pPr>
    <w:rPr>
      <w:rFonts w:eastAsiaTheme="minorEastAsia"/>
      <w:kern w:val="2"/>
      <w:lang w:eastAsia="fr-FR"/>
    </w:rPr>
  </w:style>
  <w:style w:type="character" w:styleId="HTMLCode">
    <w:name w:val="HTML Code"/>
    <w:basedOn w:val="DefaultParagraphFont"/>
    <w:uiPriority w:val="99"/>
    <w:semiHidden/>
    <w:unhideWhenUsed/>
    <w:rsid w:val="00A007C0"/>
    <w:rPr>
      <w:rFonts w:ascii="Courier New" w:eastAsia="Times New Roman" w:hAnsi="Courier New" w:cs="Courier New"/>
      <w:sz w:val="20"/>
      <w:szCs w:val="20"/>
    </w:rPr>
  </w:style>
  <w:style w:type="paragraph" w:customStyle="1" w:styleId="ds-markdown-paragraph">
    <w:name w:val="ds-markdown-paragraph"/>
    <w:basedOn w:val="Normal"/>
    <w:rsid w:val="00A007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
    <w:name w:val="Unresolved Mention"/>
    <w:basedOn w:val="DefaultParagraphFont"/>
    <w:uiPriority w:val="99"/>
    <w:semiHidden/>
    <w:unhideWhenUsed/>
    <w:rsid w:val="00157B5D"/>
    <w:rPr>
      <w:color w:val="605E5C"/>
      <w:shd w:val="clear" w:color="auto" w:fill="E1DFDD"/>
    </w:rPr>
  </w:style>
  <w:style w:type="paragraph" w:styleId="BalloonText">
    <w:name w:val="Balloon Text"/>
    <w:basedOn w:val="Normal"/>
    <w:link w:val="BalloonTextChar"/>
    <w:uiPriority w:val="99"/>
    <w:semiHidden/>
    <w:unhideWhenUsed/>
    <w:rsid w:val="00216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3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366039">
      <w:bodyDiv w:val="1"/>
      <w:marLeft w:val="0"/>
      <w:marRight w:val="0"/>
      <w:marTop w:val="0"/>
      <w:marBottom w:val="0"/>
      <w:divBdr>
        <w:top w:val="none" w:sz="0" w:space="0" w:color="auto"/>
        <w:left w:val="none" w:sz="0" w:space="0" w:color="auto"/>
        <w:bottom w:val="none" w:sz="0" w:space="0" w:color="auto"/>
        <w:right w:val="none" w:sz="0" w:space="0" w:color="auto"/>
      </w:divBdr>
    </w:div>
    <w:div w:id="161574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6E81C-56A2-4070-99E8-F1C60FD8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26638</Words>
  <Characters>151842</Characters>
  <Application>Microsoft Office Word</Application>
  <DocSecurity>0</DocSecurity>
  <Lines>1265</Lines>
  <Paragraphs>356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MBACKE FALL</dc:creator>
  <cp:keywords/>
  <dc:description/>
  <cp:lastModifiedBy>Admin</cp:lastModifiedBy>
  <cp:revision>19</cp:revision>
  <dcterms:created xsi:type="dcterms:W3CDTF">2025-11-24T21:44:00Z</dcterms:created>
  <dcterms:modified xsi:type="dcterms:W3CDTF">2025-12-10T05:48:00Z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id="ofdADCk6"/&gt;&lt;style id="http://www.zotero.org/styles/journal-of-adolescence" hasBibliography="1" bibliographyStyleHasBeenSet="1"/&gt;&lt;prefs&gt;&lt;pref name="fieldType" value="Field"/&gt;&lt;/prefs&gt;&lt;/data&gt;</vt:lpwstr>
  </property>
</Properties>
</file>