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EF65" w14:textId="2BBB7C9A" w:rsidR="00754C9A" w:rsidRDefault="005848B9" w:rsidP="00441B6F">
      <w:pPr>
        <w:pStyle w:val="Title"/>
        <w:spacing w:after="0"/>
        <w:jc w:val="both"/>
        <w:rPr>
          <w:rFonts w:ascii="Arial" w:hAnsi="Arial" w:cs="Arial"/>
        </w:rPr>
      </w:pPr>
      <w:r w:rsidRPr="005848B9">
        <w:rPr>
          <w:rFonts w:ascii="Arial" w:hAnsi="Arial" w:cs="Arial"/>
        </w:rPr>
        <w:t>Short Communication</w:t>
      </w:r>
    </w:p>
    <w:p w14:paraId="65BD3F09" w14:textId="77777777" w:rsidR="005848B9" w:rsidRDefault="005848B9" w:rsidP="00441B6F">
      <w:pPr>
        <w:pStyle w:val="Title"/>
        <w:spacing w:after="0"/>
        <w:jc w:val="both"/>
        <w:rPr>
          <w:rFonts w:ascii="Arial" w:hAnsi="Arial" w:cs="Arial"/>
        </w:rPr>
      </w:pPr>
    </w:p>
    <w:p w14:paraId="627DA34A" w14:textId="5C8FE31B" w:rsidR="00A258C3" w:rsidRPr="00790ADA" w:rsidRDefault="001C29DB" w:rsidP="00441B6F">
      <w:pPr>
        <w:pStyle w:val="Author"/>
        <w:spacing w:line="240" w:lineRule="auto"/>
        <w:jc w:val="both"/>
        <w:rPr>
          <w:rFonts w:ascii="Arial" w:hAnsi="Arial" w:cs="Arial"/>
          <w:sz w:val="36"/>
        </w:rPr>
      </w:pPr>
      <w:r w:rsidRPr="001C29DB">
        <w:rPr>
          <w:rFonts w:ascii="Arial" w:hAnsi="Arial" w:cs="Arial"/>
          <w:bCs/>
          <w:iCs/>
          <w:kern w:val="28"/>
          <w:sz w:val="36"/>
        </w:rPr>
        <w:t xml:space="preserve">Evaluation of glucosinolate variability across elite and exotic accessions of </w:t>
      </w:r>
      <w:r w:rsidRPr="001C29DB">
        <w:rPr>
          <w:rFonts w:ascii="Arial" w:hAnsi="Arial" w:cs="Arial"/>
          <w:bCs/>
          <w:i/>
          <w:kern w:val="28"/>
          <w:sz w:val="36"/>
        </w:rPr>
        <w:t>Moringa oleifera</w:t>
      </w:r>
      <w:r w:rsidRPr="001C29DB">
        <w:rPr>
          <w:rFonts w:ascii="Arial" w:hAnsi="Arial" w:cs="Arial"/>
          <w:bCs/>
          <w:iCs/>
          <w:kern w:val="28"/>
          <w:sz w:val="36"/>
        </w:rPr>
        <w:t xml:space="preserve"> Lam.</w:t>
      </w:r>
    </w:p>
    <w:p w14:paraId="56BCBB00" w14:textId="77777777" w:rsidR="00BF3542" w:rsidRPr="00BF3542" w:rsidRDefault="00BF3542" w:rsidP="00BF3542">
      <w:pPr>
        <w:rPr>
          <w:rFonts w:ascii="Arial" w:hAnsi="Arial" w:cs="Arial"/>
          <w:i/>
          <w:lang w:val="en-GB"/>
        </w:rPr>
      </w:pPr>
    </w:p>
    <w:p w14:paraId="54EEA69A" w14:textId="77777777" w:rsidR="00BF3542" w:rsidRPr="00BF3542" w:rsidRDefault="00BF3542" w:rsidP="00BF3542">
      <w:pPr>
        <w:rPr>
          <w:rFonts w:ascii="Arial" w:hAnsi="Arial" w:cs="Arial"/>
          <w:i/>
          <w:lang w:val="en-GB"/>
        </w:rPr>
      </w:pPr>
    </w:p>
    <w:p w14:paraId="295A5E15" w14:textId="77777777" w:rsidR="00BF3542" w:rsidRPr="001C29DB" w:rsidRDefault="00BF3542" w:rsidP="001C29DB">
      <w:pPr>
        <w:pStyle w:val="Affiliation"/>
        <w:spacing w:after="0"/>
        <w:rPr>
          <w:rFonts w:ascii="Arial" w:hAnsi="Arial" w:cs="Arial"/>
          <w:i/>
          <w:lang w:val="en-GB"/>
        </w:rPr>
      </w:pPr>
    </w:p>
    <w:p w14:paraId="40A79769" w14:textId="6354406C" w:rsidR="00790ADA" w:rsidRDefault="00B01FCD" w:rsidP="001C29DB">
      <w:pPr>
        <w:pStyle w:val="Affiliation"/>
        <w:spacing w:after="0" w:line="240" w:lineRule="auto"/>
        <w:rPr>
          <w:rFonts w:ascii="Arial" w:hAnsi="Arial" w:cs="Arial"/>
        </w:rPr>
      </w:pPr>
      <w:r w:rsidRPr="0083216F">
        <w:rPr>
          <w:rFonts w:ascii="Arial" w:hAnsi="Arial" w:cs="Arial"/>
          <w:i/>
        </w:rPr>
        <w:t xml:space="preserve"> </w:t>
      </w:r>
    </w:p>
    <w:p w14:paraId="78685D20" w14:textId="77777777" w:rsidR="002C57D2" w:rsidRPr="00FB3A86" w:rsidRDefault="002C57D2" w:rsidP="00441B6F">
      <w:pPr>
        <w:pStyle w:val="Affiliation"/>
        <w:spacing w:after="0" w:line="240" w:lineRule="auto"/>
        <w:jc w:val="both"/>
        <w:rPr>
          <w:rFonts w:ascii="Arial" w:hAnsi="Arial" w:cs="Arial"/>
        </w:rPr>
      </w:pPr>
    </w:p>
    <w:p w14:paraId="56C9877D" w14:textId="77777777" w:rsidR="00B01FCD" w:rsidRPr="00FB3A86" w:rsidRDefault="00000000" w:rsidP="00441B6F">
      <w:pPr>
        <w:pStyle w:val="Copyright"/>
        <w:spacing w:after="0" w:line="240" w:lineRule="auto"/>
        <w:jc w:val="both"/>
        <w:rPr>
          <w:rFonts w:ascii="Arial" w:hAnsi="Arial" w:cs="Arial"/>
        </w:rPr>
        <w:sectPr w:rsidR="00B01FCD" w:rsidRPr="00FB3A86" w:rsidSect="009C18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41553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5FB1C9" w14:textId="006851C7" w:rsidR="00B01FCD" w:rsidRDefault="00B01FCD" w:rsidP="00441B6F">
      <w:pPr>
        <w:pStyle w:val="AbstHead"/>
        <w:spacing w:after="0"/>
        <w:jc w:val="both"/>
        <w:rPr>
          <w:rFonts w:ascii="Arial" w:hAnsi="Arial" w:cs="Arial"/>
        </w:rPr>
      </w:pPr>
      <w:commentRangeStart w:id="0"/>
      <w:r w:rsidRPr="00FB3A86">
        <w:rPr>
          <w:rFonts w:ascii="Arial" w:hAnsi="Arial" w:cs="Arial"/>
        </w:rPr>
        <w:t>ABSTRACT</w:t>
      </w:r>
      <w:commentRangeEnd w:id="0"/>
      <w:r w:rsidR="001428F3">
        <w:rPr>
          <w:rStyle w:val="CommentReference"/>
          <w:rFonts w:ascii="Arial" w:hAnsi="Arial" w:cs="Arial"/>
          <w:sz w:val="22"/>
          <w:szCs w:val="20"/>
        </w:rPr>
        <w:commentReference w:id="0"/>
      </w:r>
    </w:p>
    <w:p w14:paraId="4E342A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F5766A" w14:textId="77777777" w:rsidTr="001E44FE">
        <w:tc>
          <w:tcPr>
            <w:tcW w:w="9576" w:type="dxa"/>
            <w:shd w:val="clear" w:color="auto" w:fill="F2F2F2"/>
          </w:tcPr>
          <w:p w14:paraId="441836A7" w14:textId="7649E5E3" w:rsidR="00505F06" w:rsidRPr="001C29DB" w:rsidRDefault="001C29DB" w:rsidP="00441B6F">
            <w:pPr>
              <w:pStyle w:val="Body"/>
              <w:spacing w:after="0"/>
              <w:rPr>
                <w:rFonts w:ascii="Arial" w:eastAsia="Calibri" w:hAnsi="Arial" w:cs="Arial"/>
                <w:szCs w:val="22"/>
                <w:lang w:val="en-IN"/>
              </w:rPr>
            </w:pPr>
            <w:r w:rsidRPr="001C29DB">
              <w:rPr>
                <w:rFonts w:ascii="Arial" w:eastAsia="Calibri" w:hAnsi="Arial" w:cs="Arial"/>
                <w:i/>
                <w:iCs/>
                <w:szCs w:val="22"/>
                <w:lang w:val="en-IN"/>
              </w:rPr>
              <w:t>Moringa oleifera</w:t>
            </w:r>
            <w:r w:rsidRPr="001C29DB">
              <w:rPr>
                <w:rFonts w:ascii="Arial" w:eastAsia="Calibri" w:hAnsi="Arial" w:cs="Arial"/>
                <w:szCs w:val="22"/>
                <w:lang w:val="en-IN"/>
              </w:rPr>
              <w:t xml:space="preserve"> Lam. is a nutritionally and medicinally important vegetable belonging to the family Moringaceae within the order Brassicales. The health-promoting properties of moringa are largely attributed to glucosinolates (GSLs), a group of sulphur and nitrogen containing secondary metabolites characteristic of the Brassicales. In </w:t>
            </w:r>
            <w:r w:rsidRPr="001C29DB">
              <w:rPr>
                <w:rFonts w:ascii="Arial" w:eastAsia="Calibri" w:hAnsi="Arial" w:cs="Arial"/>
                <w:i/>
                <w:iCs/>
                <w:szCs w:val="22"/>
                <w:lang w:val="en-IN"/>
              </w:rPr>
              <w:t>M. oleifera</w:t>
            </w:r>
            <w:r w:rsidRPr="001C29DB">
              <w:rPr>
                <w:rFonts w:ascii="Arial" w:eastAsia="Calibri" w:hAnsi="Arial" w:cs="Arial"/>
                <w:szCs w:val="22"/>
                <w:lang w:val="en-IN"/>
              </w:rPr>
              <w:t xml:space="preserve">, the predominant and unique GSL is rhamnobenzyl glucosinolate, commonly known as glucomoringin, which is responsible for many of its documented biological and therapeutic activities. Glucosinolate accumulation is known to vary substantially among genotypes and is influenced by environmental conditions. In the present study, GSL variability among cultivated and wild moringa accessions was quantified using high-performance liquid chromatography (HPLC). Significant genotype-dependent and tissue-specific variations in GSL content were observed, highlighting the combined influence of genetic makeup and developmental context. </w:t>
            </w:r>
            <w:r w:rsidRPr="001C29DB">
              <w:rPr>
                <w:rFonts w:ascii="Arial" w:eastAsia="Calibri" w:hAnsi="Arial" w:cs="Arial"/>
                <w:szCs w:val="22"/>
                <w:lang w:val="en-GB"/>
              </w:rPr>
              <w:t xml:space="preserve">It was also observed that the elite accessions NPM/17-22, NAM/17-42, and TR local exhibited consistently higher levels of total GSLs, particularly glucomoringin, compared with exotic and wild accessions. </w:t>
            </w:r>
            <w:r w:rsidRPr="001C29DB">
              <w:rPr>
                <w:rFonts w:ascii="Arial" w:eastAsia="Calibri" w:hAnsi="Arial" w:cs="Arial"/>
                <w:szCs w:val="22"/>
                <w:lang w:val="en-IN"/>
              </w:rPr>
              <w:t xml:space="preserve">These findings provide valuable insights into the biochemical diversity of moringa germplasm and identify elite accessions with superior GSL profiles. The results help to establish a foundation for targeted breeding, metabolic engineering, and cultivation strategies aimed at maximizing the health benefits and nutraceutical value of </w:t>
            </w:r>
            <w:r w:rsidRPr="001C29DB">
              <w:rPr>
                <w:rFonts w:ascii="Arial" w:eastAsia="Calibri" w:hAnsi="Arial" w:cs="Arial"/>
                <w:i/>
                <w:iCs/>
                <w:szCs w:val="22"/>
                <w:lang w:val="en-IN"/>
              </w:rPr>
              <w:t>M. oleifera</w:t>
            </w:r>
            <w:r w:rsidRPr="001C29DB">
              <w:rPr>
                <w:rFonts w:ascii="Arial" w:eastAsia="Calibri" w:hAnsi="Arial" w:cs="Arial"/>
                <w:szCs w:val="22"/>
                <w:lang w:val="en-IN"/>
              </w:rPr>
              <w:t>.</w:t>
            </w:r>
          </w:p>
        </w:tc>
      </w:tr>
    </w:tbl>
    <w:p w14:paraId="36CCA0DE" w14:textId="77777777" w:rsidR="00636EB2" w:rsidRDefault="00636EB2" w:rsidP="00441B6F">
      <w:pPr>
        <w:pStyle w:val="Body"/>
        <w:spacing w:after="0"/>
        <w:rPr>
          <w:rFonts w:ascii="Arial" w:hAnsi="Arial" w:cs="Arial"/>
          <w:i/>
        </w:rPr>
      </w:pPr>
    </w:p>
    <w:p w14:paraId="63442EE7" w14:textId="19EF2E1C" w:rsidR="00A24E7E" w:rsidRDefault="00A24E7E" w:rsidP="00441B6F">
      <w:pPr>
        <w:pStyle w:val="Body"/>
        <w:spacing w:after="0"/>
        <w:rPr>
          <w:rFonts w:ascii="Arial" w:hAnsi="Arial" w:cs="Arial"/>
          <w:i/>
        </w:rPr>
      </w:pPr>
      <w:r>
        <w:rPr>
          <w:rFonts w:ascii="Arial" w:hAnsi="Arial" w:cs="Arial"/>
          <w:i/>
        </w:rPr>
        <w:t xml:space="preserve">Keywords: </w:t>
      </w:r>
      <w:r w:rsidR="001C29DB" w:rsidRPr="001C29DB">
        <w:rPr>
          <w:rFonts w:ascii="Arial" w:hAnsi="Arial" w:cs="Arial"/>
          <w:i/>
        </w:rPr>
        <w:t>Moringa, glucosinolate, HPLC, rhamnobenzyl GSL</w:t>
      </w:r>
    </w:p>
    <w:p w14:paraId="49C82DFB" w14:textId="77777777" w:rsidR="00790ADA" w:rsidRDefault="00790ADA" w:rsidP="00441B6F">
      <w:pPr>
        <w:pStyle w:val="Body"/>
        <w:spacing w:after="0"/>
        <w:rPr>
          <w:rFonts w:ascii="Arial" w:hAnsi="Arial" w:cs="Arial"/>
          <w:i/>
        </w:rPr>
      </w:pPr>
    </w:p>
    <w:p w14:paraId="444D3E30" w14:textId="77777777" w:rsidR="0024282C" w:rsidRDefault="0024282C" w:rsidP="00441B6F">
      <w:pPr>
        <w:pStyle w:val="Body"/>
        <w:spacing w:after="0"/>
        <w:rPr>
          <w:rFonts w:ascii="Arial" w:hAnsi="Arial" w:cs="Arial"/>
          <w:i/>
          <w:sz w:val="18"/>
        </w:rPr>
      </w:pPr>
    </w:p>
    <w:p w14:paraId="62579253" w14:textId="77777777" w:rsidR="00505F06" w:rsidRPr="00A24E7E" w:rsidRDefault="00505F06" w:rsidP="00441B6F">
      <w:pPr>
        <w:pStyle w:val="Body"/>
        <w:spacing w:after="0"/>
        <w:rPr>
          <w:rFonts w:ascii="Arial" w:hAnsi="Arial" w:cs="Arial"/>
          <w:i/>
        </w:rPr>
      </w:pPr>
    </w:p>
    <w:p w14:paraId="549560A7" w14:textId="4490726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A9D318" w14:textId="77777777" w:rsidR="00790ADA" w:rsidRPr="00FB3A86" w:rsidRDefault="00790ADA" w:rsidP="00441B6F">
      <w:pPr>
        <w:pStyle w:val="AbstHead"/>
        <w:spacing w:after="0"/>
        <w:jc w:val="both"/>
        <w:rPr>
          <w:rFonts w:ascii="Arial" w:hAnsi="Arial" w:cs="Arial"/>
        </w:rPr>
      </w:pPr>
    </w:p>
    <w:p w14:paraId="62A26405" w14:textId="4BBEF35D" w:rsidR="001C29DB" w:rsidRPr="001C29DB" w:rsidRDefault="001C29DB" w:rsidP="001C29DB">
      <w:pPr>
        <w:pStyle w:val="Body"/>
        <w:rPr>
          <w:rFonts w:ascii="Arial" w:hAnsi="Arial" w:cs="Arial"/>
          <w:lang w:val="en-IN"/>
        </w:rPr>
      </w:pPr>
      <w:r w:rsidRPr="001C29DB">
        <w:rPr>
          <w:rFonts w:ascii="Arial" w:hAnsi="Arial" w:cs="Arial"/>
          <w:lang w:val="en-IN"/>
        </w:rPr>
        <w:t>The nutrient-rich and versatile indigenous tree moringa (</w:t>
      </w:r>
      <w:r w:rsidRPr="001C29DB">
        <w:rPr>
          <w:rFonts w:ascii="Arial" w:hAnsi="Arial" w:cs="Arial"/>
          <w:i/>
          <w:iCs/>
          <w:lang w:val="en-IN"/>
        </w:rPr>
        <w:t>Moringa oleifera</w:t>
      </w:r>
      <w:r w:rsidRPr="001C29DB">
        <w:rPr>
          <w:rFonts w:ascii="Arial" w:hAnsi="Arial" w:cs="Arial"/>
          <w:lang w:val="en-IN"/>
        </w:rPr>
        <w:t xml:space="preserve"> Lam.) is well-known for its many health advantages. Moringa has demonstrated properties that are antipyretic, antiasthmatic, anti-inflammatory, antiarthritic, analgesic, hypocholesterolemic, antitumor, antioxidant, antiperoxidative, antihypertensive, and antihyperglycemic </w:t>
      </w:r>
      <w:r w:rsidRPr="001C29DB">
        <w:rPr>
          <w:rFonts w:ascii="Arial" w:hAnsi="Arial" w:cs="Arial"/>
          <w:lang w:val="en-GB"/>
        </w:rPr>
        <w:t>(Pandey et al., 2012)</w:t>
      </w:r>
      <w:r w:rsidRPr="001C29DB">
        <w:rPr>
          <w:rFonts w:ascii="Arial" w:hAnsi="Arial" w:cs="Arial"/>
          <w:lang w:val="en-IN"/>
        </w:rPr>
        <w:t xml:space="preserve">. Glucosinolates (GSLs) are one such compound present in moringa, which have a number of therapeutic applications. GSLs are produced from sulphur- and nitrogen-rich amino acids that are unique to the order Brassicales. A variable side chain made up of amino acids, a sulfonated aldoxime group, and a β-D-thioglucose group make up the basic structure of GSLs. The breakdown of GSLs is caused by the enzyme myrosinase, the only known β-thioglucosidase. The end result, isothiocyanates (ITCs), has anticarcinogenic, fungicidal, bactericidal, nematocidal, and herbivore-deterrent properties </w:t>
      </w:r>
      <w:r w:rsidRPr="001C29DB">
        <w:rPr>
          <w:rFonts w:ascii="Arial" w:hAnsi="Arial" w:cs="Arial"/>
          <w:lang w:val="en-GB"/>
        </w:rPr>
        <w:t>(Fahey et al., 2001)</w:t>
      </w:r>
      <w:r w:rsidRPr="001C29DB">
        <w:rPr>
          <w:rFonts w:ascii="Arial" w:hAnsi="Arial" w:cs="Arial"/>
          <w:lang w:val="en-IN"/>
        </w:rPr>
        <w:t>. Sulforaphane, the 4-methylsulfinylbutyl glucosinolate isothiocyanate derivative, has been demonstrated to stimulate phase II detoxifying enzymes in cancer cells. Quinone reductase, glutathione-S-transferase, and glucuronosyl transferases are some examples of these enzymes. Furthermore, by inhibiting the cell cycle and encouraging apoptosis, they may stop tumours from growing.</w:t>
      </w:r>
    </w:p>
    <w:p w14:paraId="0AE3F839" w14:textId="77777777" w:rsidR="001C29DB" w:rsidRPr="001C29DB" w:rsidRDefault="001C29DB" w:rsidP="001C29DB">
      <w:pPr>
        <w:pStyle w:val="Body"/>
        <w:spacing w:after="0"/>
        <w:rPr>
          <w:rFonts w:ascii="Arial" w:hAnsi="Arial" w:cs="Arial"/>
          <w:lang w:val="en-GB"/>
        </w:rPr>
      </w:pPr>
      <w:r w:rsidRPr="001C29DB">
        <w:rPr>
          <w:rFonts w:ascii="Arial" w:hAnsi="Arial" w:cs="Arial"/>
          <w:lang w:val="en-GB"/>
        </w:rPr>
        <w:lastRenderedPageBreak/>
        <w:t>GSLs and the breakdown products of these molecules play a key role in controlling the interactions between plants, insects and herbivores. The Brassica GSL-myrosinase system is a powerful biopesticide that directs the oviposition and feeding of specialised insects while also acting as a major defence mechanism against microorganisms and generalist insects. Brassica vegetables have a distinctively pungent flavour that is caused by GSL hydrolytic products (Bhat, 2022). Over 200 GSLs have been discovered so far. These GSLs are categorised into three groups according to the precursor amino acid: aliphatic GSLs (tryptophan), indole GSLs (methionine, isoleucine, leucine, or valine), and aromatic GSLs (phenylalanine or tyrosine) (Sønderby et al., 2010). There are three stages in the synthesis of GSLs:(i) side-chain elongation of precursor amino acid, (ii) core-GSL structure formation and (iii) modification of side group (Halkier and Gershenzon, 2006; Wittstock and Halkier, 2002). The varieties of GSLs that have been identified thus far are the product of the interplay between the initial elongation of the amino acid precursor and additional side chain alterations post-synthesis (Mithen et al., 2010).</w:t>
      </w:r>
    </w:p>
    <w:p w14:paraId="66B66577" w14:textId="77777777" w:rsidR="001C29DB" w:rsidRPr="001C29DB" w:rsidRDefault="001C29DB" w:rsidP="001C29DB">
      <w:pPr>
        <w:pStyle w:val="Body"/>
        <w:spacing w:after="0"/>
        <w:rPr>
          <w:rFonts w:ascii="Arial" w:hAnsi="Arial" w:cs="Arial"/>
          <w:lang w:val="en-IN"/>
        </w:rPr>
      </w:pPr>
      <w:r w:rsidRPr="001C29DB">
        <w:rPr>
          <w:rFonts w:ascii="Arial" w:hAnsi="Arial" w:cs="Arial"/>
          <w:lang w:val="en-IN"/>
        </w:rPr>
        <w:t xml:space="preserve">Glucosinolate content vary from genotype to genotype and also according to the environmental cues. The GSL present in </w:t>
      </w:r>
      <w:r w:rsidRPr="001C29DB">
        <w:rPr>
          <w:rFonts w:ascii="Arial" w:hAnsi="Arial" w:cs="Arial"/>
          <w:i/>
          <w:lang w:val="en-IN"/>
        </w:rPr>
        <w:t>M. oleifera</w:t>
      </w:r>
      <w:r w:rsidRPr="001C29DB">
        <w:rPr>
          <w:rFonts w:ascii="Arial" w:hAnsi="Arial" w:cs="Arial"/>
          <w:lang w:val="en-IN"/>
        </w:rPr>
        <w:t xml:space="preserve"> is predominantly </w:t>
      </w:r>
      <w:r w:rsidRPr="001C29DB">
        <w:rPr>
          <w:rFonts w:ascii="Arial" w:hAnsi="Arial" w:cs="Arial"/>
          <w:lang w:val="en-GB"/>
        </w:rPr>
        <w:t xml:space="preserve">rhamnobenzyl </w:t>
      </w:r>
      <w:r w:rsidRPr="001C29DB">
        <w:rPr>
          <w:rFonts w:ascii="Arial" w:hAnsi="Arial" w:cs="Arial"/>
        </w:rPr>
        <w:t xml:space="preserve">glucosinolate or glucomoringin. This GSL is unique to moringa species. Glucomoringin is the compound which is responsible for health benefits of moringa. Hence it is important to investigate the variability of glucomoringin present in different cultivated and wild varieties if moringa accessions so that the benefits can be exploited to the maximum. </w:t>
      </w:r>
    </w:p>
    <w:p w14:paraId="6B13ECD3" w14:textId="7E5F805C" w:rsidR="001C29DB" w:rsidRDefault="00B95236" w:rsidP="001C29DB">
      <w:pPr>
        <w:pStyle w:val="Body"/>
        <w:spacing w:after="0"/>
        <w:rPr>
          <w:rFonts w:ascii="Arial" w:hAnsi="Arial" w:cs="Arial"/>
        </w:rPr>
      </w:pPr>
      <w:r w:rsidRPr="00B95236">
        <w:rPr>
          <w:rFonts w:ascii="Arial" w:hAnsi="Arial" w:cs="Arial"/>
        </w:rPr>
        <w:t xml:space="preserve"> </w:t>
      </w:r>
    </w:p>
    <w:p w14:paraId="71F74C09" w14:textId="37544705" w:rsidR="00B01FCD" w:rsidRDefault="00B01FCD" w:rsidP="00441B6F">
      <w:pPr>
        <w:pStyle w:val="Body"/>
        <w:spacing w:after="0"/>
        <w:rPr>
          <w:rFonts w:ascii="Arial" w:hAnsi="Arial" w:cs="Arial"/>
        </w:rPr>
      </w:pPr>
    </w:p>
    <w:p w14:paraId="372CF65F" w14:textId="77777777" w:rsidR="00790ADA" w:rsidRPr="00FB3A86" w:rsidRDefault="00790ADA" w:rsidP="00441B6F">
      <w:pPr>
        <w:pStyle w:val="Body"/>
        <w:spacing w:after="0"/>
        <w:rPr>
          <w:rFonts w:ascii="Arial" w:hAnsi="Arial" w:cs="Arial"/>
        </w:rPr>
      </w:pPr>
    </w:p>
    <w:p w14:paraId="52F47327" w14:textId="6192E31F" w:rsidR="007F7B32" w:rsidRDefault="00902823" w:rsidP="00441B6F">
      <w:pPr>
        <w:pStyle w:val="AbstHead"/>
        <w:spacing w:after="0"/>
        <w:jc w:val="both"/>
        <w:rPr>
          <w:rFonts w:ascii="Arial" w:hAnsi="Arial" w:cs="Arial"/>
        </w:rPr>
      </w:pPr>
      <w:commentRangeStart w:id="1"/>
      <w:r>
        <w:rPr>
          <w:rFonts w:ascii="Arial" w:hAnsi="Arial" w:cs="Arial"/>
        </w:rPr>
        <w:t>2. material and method</w:t>
      </w:r>
      <w:r w:rsidR="00000F8F">
        <w:rPr>
          <w:rFonts w:ascii="Arial" w:hAnsi="Arial" w:cs="Arial"/>
        </w:rPr>
        <w:t>s</w:t>
      </w:r>
      <w:commentRangeEnd w:id="1"/>
      <w:r w:rsidR="00A77019">
        <w:rPr>
          <w:rStyle w:val="CommentReference"/>
          <w:rFonts w:ascii="Arial" w:hAnsi="Arial" w:cs="Arial"/>
          <w:sz w:val="22"/>
          <w:szCs w:val="20"/>
        </w:rPr>
        <w:commentReference w:id="1"/>
      </w:r>
    </w:p>
    <w:p w14:paraId="06F27471" w14:textId="77777777" w:rsidR="00790ADA" w:rsidRPr="00FB3A86" w:rsidRDefault="00790ADA" w:rsidP="00441B6F">
      <w:pPr>
        <w:pStyle w:val="AbstHead"/>
        <w:spacing w:after="0"/>
        <w:jc w:val="both"/>
        <w:rPr>
          <w:rFonts w:ascii="Arial" w:hAnsi="Arial" w:cs="Arial"/>
        </w:rPr>
      </w:pPr>
    </w:p>
    <w:p w14:paraId="016F6A69" w14:textId="7C65C732" w:rsidR="001C29DB" w:rsidRPr="001C29DB" w:rsidRDefault="00525EAA" w:rsidP="001C29DB">
      <w:pPr>
        <w:pStyle w:val="Body"/>
        <w:rPr>
          <w:rFonts w:ascii="Arial" w:hAnsi="Arial" w:cs="Arial"/>
          <w:b/>
          <w:sz w:val="22"/>
          <w:szCs w:val="22"/>
          <w:lang w:val="en-GB"/>
        </w:rPr>
      </w:pPr>
      <w:r>
        <w:rPr>
          <w:rFonts w:ascii="Arial" w:hAnsi="Arial" w:cs="Arial"/>
          <w:b/>
          <w:sz w:val="22"/>
          <w:szCs w:val="22"/>
          <w:lang w:val="en-GB"/>
        </w:rPr>
        <w:t xml:space="preserve">2.1 </w:t>
      </w:r>
      <w:r w:rsidR="001C29DB" w:rsidRPr="001C29DB">
        <w:rPr>
          <w:rFonts w:ascii="Arial" w:hAnsi="Arial" w:cs="Arial"/>
          <w:b/>
          <w:sz w:val="22"/>
          <w:szCs w:val="22"/>
          <w:lang w:val="en-GB"/>
        </w:rPr>
        <w:t>Plant materials</w:t>
      </w:r>
    </w:p>
    <w:p w14:paraId="2A51EC4D" w14:textId="77777777" w:rsidR="001C29DB" w:rsidRDefault="001C29DB" w:rsidP="001C29DB">
      <w:pPr>
        <w:pStyle w:val="Body"/>
        <w:spacing w:after="0"/>
        <w:rPr>
          <w:rFonts w:ascii="Arial" w:hAnsi="Arial" w:cs="Arial"/>
          <w:bCs/>
        </w:rPr>
      </w:pPr>
      <w:r w:rsidRPr="001C29DB">
        <w:rPr>
          <w:rFonts w:ascii="Arial" w:hAnsi="Arial" w:cs="Arial"/>
          <w:lang w:val="en-GB"/>
        </w:rPr>
        <w:t xml:space="preserve">Elite and exotic accessions of moringa was collected from NBPGR regional station, Thrissur and Issapur, farm, New Delhi respectively. </w:t>
      </w:r>
      <w:r w:rsidRPr="001C29DB">
        <w:rPr>
          <w:rFonts w:ascii="Arial" w:hAnsi="Arial" w:cs="Arial"/>
          <w:bCs/>
        </w:rPr>
        <w:t xml:space="preserve">Different accessions of moringa were used for GSL profiling. 12 elite and exotic accessions each were used for the study. From these accessions different tissue types like leaf and stem were collected and analyzed for GSLs using HPLC. </w:t>
      </w:r>
    </w:p>
    <w:p w14:paraId="7B2AB408" w14:textId="77777777" w:rsidR="001C29DB" w:rsidRPr="001C29DB" w:rsidRDefault="001C29DB" w:rsidP="001C29DB">
      <w:pPr>
        <w:pStyle w:val="Body"/>
        <w:spacing w:after="0"/>
        <w:rPr>
          <w:rFonts w:ascii="Arial" w:hAnsi="Arial" w:cs="Arial"/>
          <w:lang w:val="en-GB"/>
        </w:rPr>
      </w:pPr>
    </w:p>
    <w:p w14:paraId="25A1725D" w14:textId="16FD3D9D" w:rsidR="00525EAA" w:rsidRPr="001C29DB" w:rsidRDefault="00525EAA" w:rsidP="00525EAA">
      <w:pPr>
        <w:pStyle w:val="Body"/>
        <w:rPr>
          <w:rFonts w:ascii="Arial" w:hAnsi="Arial" w:cs="Arial"/>
          <w:b/>
          <w:sz w:val="22"/>
          <w:szCs w:val="22"/>
          <w:lang w:val="en-GB"/>
        </w:rPr>
      </w:pPr>
      <w:commentRangeStart w:id="2"/>
      <w:r>
        <w:rPr>
          <w:rFonts w:ascii="Arial" w:hAnsi="Arial" w:cs="Arial"/>
          <w:b/>
          <w:sz w:val="22"/>
          <w:szCs w:val="22"/>
          <w:lang w:val="en-GB"/>
        </w:rPr>
        <w:t xml:space="preserve">2.2 </w:t>
      </w:r>
      <w:r w:rsidR="001C29DB" w:rsidRPr="001C29DB">
        <w:rPr>
          <w:rFonts w:ascii="Arial" w:hAnsi="Arial" w:cs="Arial"/>
          <w:b/>
          <w:sz w:val="22"/>
          <w:szCs w:val="22"/>
          <w:lang w:val="en-GB"/>
        </w:rPr>
        <w:t>Estimation of glucosinolates by HPLC analysis</w:t>
      </w:r>
      <w:commentRangeEnd w:id="2"/>
      <w:r w:rsidR="007B69DE" w:rsidRPr="001C29DB">
        <w:rPr>
          <w:rStyle w:val="CommentReference"/>
          <w:rFonts w:ascii="Arial" w:hAnsi="Arial" w:cs="Arial"/>
          <w:b/>
          <w:sz w:val="22"/>
          <w:szCs w:val="22"/>
          <w:lang w:val="en-GB"/>
        </w:rPr>
        <w:commentReference w:id="2"/>
      </w:r>
    </w:p>
    <w:p w14:paraId="5AA752FA" w14:textId="77777777" w:rsidR="001C29DB" w:rsidRPr="001C29DB" w:rsidRDefault="001C29DB" w:rsidP="001C29DB">
      <w:pPr>
        <w:pStyle w:val="Body"/>
        <w:spacing w:after="0"/>
        <w:rPr>
          <w:rFonts w:ascii="Arial" w:hAnsi="Arial" w:cs="Arial"/>
          <w:bCs/>
        </w:rPr>
      </w:pPr>
      <w:r w:rsidRPr="001C29DB">
        <w:rPr>
          <w:rFonts w:ascii="Arial" w:hAnsi="Arial" w:cs="Arial"/>
          <w:bCs/>
        </w:rPr>
        <w:t>The tissue samples were freeze-dried in LAB-KITS FD-10-MR Freeze dryer machine before GSL extraction. The desulpho-</w:t>
      </w:r>
      <w:r w:rsidRPr="001C29DB">
        <w:rPr>
          <w:rFonts w:ascii="Arial" w:hAnsi="Arial" w:cs="Arial"/>
          <w:bCs/>
          <w:lang w:val="en-GB"/>
        </w:rPr>
        <w:t>GSL extraction was performed by modifying the protocol described by Augustine et al. (2013) with minor modifications. Around 20 mg of the pulverised plant sample was extracted with 950 µL of 70% HPLC grade hot methanol (75 °</w:t>
      </w:r>
      <w:r w:rsidRPr="001C29DB">
        <w:rPr>
          <w:rFonts w:ascii="Arial" w:hAnsi="Arial" w:cs="Arial"/>
          <w:bCs/>
        </w:rPr>
        <w:t>C</w:t>
      </w:r>
      <w:r w:rsidRPr="001C29DB">
        <w:rPr>
          <w:rFonts w:ascii="Arial" w:hAnsi="Arial" w:cs="Arial"/>
          <w:bCs/>
          <w:lang w:val="en-GB"/>
        </w:rPr>
        <w:t>). S</w:t>
      </w:r>
      <w:r w:rsidRPr="001C29DB">
        <w:rPr>
          <w:rFonts w:ascii="Arial" w:hAnsi="Arial" w:cs="Arial"/>
          <w:bCs/>
        </w:rPr>
        <w:t xml:space="preserve">inigrin hydrate </w:t>
      </w:r>
      <w:r w:rsidRPr="001C29DB">
        <w:rPr>
          <w:rFonts w:ascii="Arial" w:hAnsi="Arial" w:cs="Arial"/>
          <w:bCs/>
          <w:lang w:val="en-GB"/>
        </w:rPr>
        <w:t xml:space="preserve">(2-propenyl GSL, </w:t>
      </w:r>
      <w:r w:rsidRPr="001C29DB">
        <w:rPr>
          <w:rFonts w:ascii="Arial" w:hAnsi="Arial" w:cs="Arial"/>
          <w:bCs/>
        </w:rPr>
        <w:t>1mM, Sigma-Aldrich)</w:t>
      </w:r>
      <w:r w:rsidRPr="001C29DB">
        <w:rPr>
          <w:rFonts w:ascii="Arial" w:hAnsi="Arial" w:cs="Arial"/>
          <w:bCs/>
          <w:lang w:val="en-GB"/>
        </w:rPr>
        <w:t xml:space="preserve"> was used as the internal standard. 50 µL of 1.0 mM sinigrin was added to each sample. Samples were heated in a water bath maintained at 75 °</w:t>
      </w:r>
      <w:r w:rsidRPr="001C29DB">
        <w:rPr>
          <w:rFonts w:ascii="Arial" w:hAnsi="Arial" w:cs="Arial"/>
          <w:bCs/>
        </w:rPr>
        <w:t>C</w:t>
      </w:r>
      <w:r w:rsidRPr="001C29DB">
        <w:rPr>
          <w:rFonts w:ascii="Arial" w:hAnsi="Arial" w:cs="Arial"/>
          <w:bCs/>
          <w:lang w:val="en-GB"/>
        </w:rPr>
        <w:t xml:space="preserve"> for 10 min. with intermittent mixing by inverting the tubes. The samples were centrifuged at 12,000 rpm for 10 min., and the supernatant was collected in a fresh tube. The supernatant containing GSLs was desulphated on Thermoscientific Nunc</w:t>
      </w:r>
      <w:r w:rsidRPr="001C29DB">
        <w:rPr>
          <w:rFonts w:ascii="Arial" w:hAnsi="Arial" w:cs="Arial"/>
          <w:bCs/>
          <w:vertAlign w:val="superscript"/>
          <w:lang w:val="en-GB"/>
        </w:rPr>
        <w:t>TM</w:t>
      </w:r>
      <w:r w:rsidRPr="001C29DB">
        <w:rPr>
          <w:rFonts w:ascii="Arial" w:hAnsi="Arial" w:cs="Arial"/>
          <w:bCs/>
          <w:lang w:val="en-GB"/>
        </w:rPr>
        <w:t xml:space="preserve"> 96-well fritted filter plate. Uniform loading of supernatants (~700 µL) was done. Filter plates were conditioned prior to loading of samples with DEAE Sephadex-A25, chloride form. After loading the samples, columns were washed two times with 1.0 mL HPLC grade water. The samples were then treated with 50 µL sulphatase solution (25 mgmL</w:t>
      </w:r>
      <w:r w:rsidRPr="001C29DB">
        <w:rPr>
          <w:rFonts w:ascii="Arial" w:hAnsi="Arial" w:cs="Arial"/>
          <w:bCs/>
          <w:vertAlign w:val="superscript"/>
          <w:lang w:val="en-GB"/>
        </w:rPr>
        <w:t>-1</w:t>
      </w:r>
      <w:r w:rsidRPr="001C29DB">
        <w:rPr>
          <w:rFonts w:ascii="Arial" w:hAnsi="Arial" w:cs="Arial"/>
          <w:bCs/>
          <w:lang w:val="en-GB"/>
        </w:rPr>
        <w:t xml:space="preserve">). </w:t>
      </w:r>
    </w:p>
    <w:p w14:paraId="60272975" w14:textId="77777777" w:rsidR="001C29DB" w:rsidRPr="001C29DB" w:rsidRDefault="001C29DB" w:rsidP="001C29DB">
      <w:pPr>
        <w:pStyle w:val="Body"/>
        <w:spacing w:after="0"/>
        <w:rPr>
          <w:rFonts w:ascii="Arial" w:hAnsi="Arial" w:cs="Arial"/>
          <w:lang w:val="en-GB"/>
        </w:rPr>
      </w:pPr>
      <w:r w:rsidRPr="001C29DB">
        <w:rPr>
          <w:rFonts w:ascii="Arial" w:hAnsi="Arial" w:cs="Arial"/>
        </w:rPr>
        <w:t>Loaded columns were sealed and left to incubate at 20</w:t>
      </w:r>
      <w:r w:rsidRPr="001C29DB">
        <w:rPr>
          <w:rFonts w:ascii="Arial" w:hAnsi="Arial" w:cs="Arial"/>
          <w:lang w:val="en-GB"/>
        </w:rPr>
        <w:t xml:space="preserve">°C overnight. The following day, the columns were washed with </w:t>
      </w:r>
      <w:r w:rsidRPr="001C29DB">
        <w:rPr>
          <w:rFonts w:ascii="Arial" w:hAnsi="Arial" w:cs="Arial"/>
        </w:rPr>
        <w:t>500</w:t>
      </w:r>
      <w:r w:rsidRPr="001C29DB">
        <w:rPr>
          <w:rFonts w:ascii="Arial" w:hAnsi="Arial" w:cs="Arial"/>
          <w:lang w:val="en-GB"/>
        </w:rPr>
        <w:t>µ</w:t>
      </w:r>
      <w:r w:rsidRPr="001C29DB">
        <w:rPr>
          <w:rFonts w:ascii="Arial" w:hAnsi="Arial" w:cs="Arial"/>
        </w:rPr>
        <w:t>L HPLC grade water twice to elute the desulpho-glucosinolates. Elutes were stored at 4</w:t>
      </w:r>
      <w:r w:rsidRPr="001C29DB">
        <w:rPr>
          <w:rFonts w:ascii="Arial" w:hAnsi="Arial" w:cs="Arial"/>
          <w:lang w:val="en-GB"/>
        </w:rPr>
        <w:t xml:space="preserve">°C until use. Approximately </w:t>
      </w:r>
      <w:r w:rsidRPr="001C29DB">
        <w:rPr>
          <w:rFonts w:ascii="Arial" w:hAnsi="Arial" w:cs="Arial"/>
        </w:rPr>
        <w:t>10</w:t>
      </w:r>
      <w:r w:rsidRPr="001C29DB">
        <w:rPr>
          <w:rFonts w:ascii="Arial" w:hAnsi="Arial" w:cs="Arial"/>
          <w:lang w:val="en-GB"/>
        </w:rPr>
        <w:t xml:space="preserve"> µ</w:t>
      </w:r>
      <w:r w:rsidRPr="001C29DB">
        <w:rPr>
          <w:rFonts w:ascii="Arial" w:hAnsi="Arial" w:cs="Arial"/>
        </w:rPr>
        <w:t xml:space="preserve">L of eluent was </w:t>
      </w:r>
      <w:r w:rsidRPr="001C29DB">
        <w:rPr>
          <w:rFonts w:ascii="Arial" w:hAnsi="Arial" w:cs="Arial"/>
          <w:lang w:val="en-GB"/>
        </w:rPr>
        <w:t>analyzed using a ShimadZu Prominence i LC2030</w:t>
      </w:r>
      <w:r w:rsidRPr="001C29DB">
        <w:rPr>
          <w:rFonts w:ascii="Arial" w:hAnsi="Arial" w:cs="Arial"/>
        </w:rPr>
        <w:t>C HPLC system and RP-C18 column. The program was set at solvent B (acetonitrile) gradient of 1-19% with respect to solvent A (water) through a 25 min cycle. The flow rate was maintained at 1 mL/min with an oven temperature of 35</w:t>
      </w:r>
      <w:r w:rsidRPr="001C29DB">
        <w:rPr>
          <w:rFonts w:ascii="Arial" w:hAnsi="Arial" w:cs="Arial"/>
          <w:lang w:val="en-GB"/>
        </w:rPr>
        <w:t xml:space="preserve"> °C and detection was made at 229 nm.</w:t>
      </w:r>
      <w:r w:rsidRPr="001C29DB">
        <w:rPr>
          <w:rFonts w:ascii="Arial" w:hAnsi="Arial" w:cs="Arial"/>
        </w:rPr>
        <w:t xml:space="preserve"> </w:t>
      </w:r>
      <w:r w:rsidRPr="001C29DB">
        <w:rPr>
          <w:rFonts w:ascii="Arial" w:hAnsi="Arial" w:cs="Arial"/>
          <w:lang w:val="en-GB"/>
        </w:rPr>
        <w:t xml:space="preserve">Glucosinolate peaks were identified by referring to the literature. </w:t>
      </w:r>
      <w:r w:rsidRPr="001C29DB">
        <w:rPr>
          <w:rFonts w:ascii="Arial" w:hAnsi="Arial" w:cs="Arial"/>
        </w:rPr>
        <w:t>Glucosinolates concentration was determined by identifying the substrate peaks of unknown glucosinolates and referencing them with known internal standard peaks and applying the relative response factors</w:t>
      </w:r>
      <w:r w:rsidRPr="001C29DB">
        <w:rPr>
          <w:rFonts w:ascii="Arial" w:hAnsi="Arial" w:cs="Arial"/>
          <w:lang w:val="en-GB"/>
        </w:rPr>
        <w:t>. The concentration of GSL was calculated using standard formula.</w:t>
      </w:r>
    </w:p>
    <w:p w14:paraId="28E6055C" w14:textId="596E4D90" w:rsidR="00A03B96" w:rsidRDefault="00A03B96" w:rsidP="001C29DB">
      <w:pPr>
        <w:pStyle w:val="Body"/>
        <w:spacing w:after="0"/>
        <w:rPr>
          <w:rFonts w:ascii="Arial" w:hAnsi="Arial" w:cs="Arial"/>
        </w:rPr>
      </w:pPr>
    </w:p>
    <w:p w14:paraId="48778F7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C7CC2E" w14:textId="77777777" w:rsidR="00790ADA" w:rsidRPr="00FB3A86" w:rsidRDefault="00790ADA" w:rsidP="00441B6F">
      <w:pPr>
        <w:pStyle w:val="Head1"/>
        <w:spacing w:after="0"/>
        <w:jc w:val="both"/>
        <w:rPr>
          <w:rFonts w:ascii="Arial" w:hAnsi="Arial" w:cs="Arial"/>
        </w:rPr>
      </w:pPr>
    </w:p>
    <w:p w14:paraId="22863F5D" w14:textId="13C8F162" w:rsidR="00525EAA" w:rsidRPr="00525EAA" w:rsidRDefault="00525EAA" w:rsidP="00525EAA">
      <w:pPr>
        <w:pStyle w:val="Body"/>
        <w:rPr>
          <w:rFonts w:ascii="Arial" w:hAnsi="Arial" w:cs="Arial"/>
        </w:rPr>
      </w:pPr>
      <w:r w:rsidRPr="00525EAA">
        <w:rPr>
          <w:rFonts w:ascii="Arial" w:hAnsi="Arial" w:cs="Arial"/>
        </w:rPr>
        <w:t>The coding used for elite and exotic accessions and their original nomenclature are given in Table 1. The analysis revealed significant variation in GSL content among different moringa accessions.  Predominant glucosinolate detected was 4-rhamnobenzyl GSL ($RBGS). In general, elite accessions exhibited higher GSL concentrations in leaf and stem compared to exotic accessions.  This may be due to the positive selection towards high beneficial GSL. In elite cultivars the leaf 4RBGS levels ranged from 23.49 µmoles/g dry weight to 135.88 µmoles/g dry weight. Among the elite accessions, NPM/17-22 recorded the highest 4RBGS level in leaf and, NPM/17-25 showed lowest level.  Among exotic accessions, leaf 4RBGS levels ranged from 17.67 µmoles/g dry weight to 83.35 µmoles/g dry weight. The highest concentration was observed in IC613368.</w:t>
      </w:r>
    </w:p>
    <w:p w14:paraId="133987C3" w14:textId="77777777" w:rsidR="00525EAA" w:rsidRPr="00525EAA" w:rsidRDefault="00525EAA" w:rsidP="00525EAA">
      <w:pPr>
        <w:pStyle w:val="Body"/>
        <w:spacing w:after="0"/>
        <w:rPr>
          <w:rFonts w:ascii="Arial" w:hAnsi="Arial" w:cs="Arial"/>
        </w:rPr>
      </w:pPr>
      <w:r w:rsidRPr="00525EAA">
        <w:rPr>
          <w:rFonts w:ascii="Arial" w:hAnsi="Arial" w:cs="Arial"/>
        </w:rPr>
        <w:lastRenderedPageBreak/>
        <w:t>Glucosinolate content in stem tissue was found to be higher compared to leaf tissues except for few accessions. In elite cultivars, 4RBGS content ranged from 40.19 µmoles/g dry weight to 157.37 µmoles/g dry weight. The highest level of 4RBGS was observed in NPM/17-22 and NPM/17-25 showed lowest concentration. This was in agreement with the leaf 4RGBS content observed. Among exotic accessions 4RGBS concentration ranged between 19.42 µmoles/g dry weight to 60.82 µmoles/g dry weight (Figure 1). The highest concentration was observed in IC613368 which showed highest level of leaf 4RBGS. NPM/17-22 consistently exhibited high GSL levels across multiple tissues, making it a strong candidate for further research.</w:t>
      </w:r>
    </w:p>
    <w:p w14:paraId="211A076D" w14:textId="5A20F465" w:rsidR="00525EAA" w:rsidRPr="00525EAA" w:rsidRDefault="00525EAA" w:rsidP="00525EAA">
      <w:pPr>
        <w:pStyle w:val="Body"/>
        <w:spacing w:after="0"/>
        <w:rPr>
          <w:rFonts w:ascii="Arial" w:hAnsi="Arial" w:cs="Arial"/>
        </w:rPr>
      </w:pPr>
      <w:r w:rsidRPr="00525EAA">
        <w:rPr>
          <w:rFonts w:ascii="Arial" w:hAnsi="Arial" w:cs="Arial"/>
          <w:noProof/>
          <w:lang w:val="en-GB"/>
        </w:rPr>
        <w:drawing>
          <wp:inline distT="0" distB="0" distL="0" distR="0" wp14:anchorId="04D961B6" wp14:editId="52030D45">
            <wp:extent cx="5212080" cy="3863975"/>
            <wp:effectExtent l="0" t="0" r="0" b="0"/>
            <wp:docPr id="1454307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3863975"/>
                    </a:xfrm>
                    <a:prstGeom prst="rect">
                      <a:avLst/>
                    </a:prstGeom>
                    <a:noFill/>
                    <a:ln>
                      <a:noFill/>
                    </a:ln>
                  </pic:spPr>
                </pic:pic>
              </a:graphicData>
            </a:graphic>
          </wp:inline>
        </w:drawing>
      </w:r>
    </w:p>
    <w:p w14:paraId="7E9BB44A" w14:textId="77777777" w:rsidR="00525EAA" w:rsidRPr="00525EAA" w:rsidRDefault="00525EAA" w:rsidP="00525EAA">
      <w:pPr>
        <w:pStyle w:val="Body"/>
        <w:spacing w:after="0"/>
        <w:rPr>
          <w:rFonts w:ascii="Arial" w:hAnsi="Arial" w:cs="Arial"/>
        </w:rPr>
      </w:pPr>
      <w:r w:rsidRPr="00525EAA">
        <w:rPr>
          <w:rFonts w:ascii="Arial" w:hAnsi="Arial" w:cs="Arial"/>
          <w:b/>
        </w:rPr>
        <w:t xml:space="preserve">Figure 1. Glucosinolate variability across various elite and exotic accessions of </w:t>
      </w:r>
      <w:r w:rsidRPr="00525EAA">
        <w:rPr>
          <w:rFonts w:ascii="Arial" w:hAnsi="Arial" w:cs="Arial"/>
          <w:b/>
          <w:i/>
        </w:rPr>
        <w:t>M. oleifera</w:t>
      </w:r>
      <w:r w:rsidRPr="00525EAA">
        <w:rPr>
          <w:rFonts w:ascii="Arial" w:hAnsi="Arial" w:cs="Arial"/>
        </w:rPr>
        <w:t xml:space="preserve">. Glucosinolates were estimated using HPLC. 4RGBS GSL, which is the major GSL in moringa is shown here. Two replicates were done to finalize the data. Code for acessions are given in graphs. </w:t>
      </w:r>
    </w:p>
    <w:p w14:paraId="366076F7" w14:textId="77777777" w:rsidR="00525EAA" w:rsidRPr="00525EAA" w:rsidRDefault="00525EAA" w:rsidP="00525EAA">
      <w:pPr>
        <w:pStyle w:val="Body"/>
        <w:spacing w:after="0"/>
        <w:rPr>
          <w:rFonts w:ascii="Arial" w:hAnsi="Arial" w:cs="Arial"/>
        </w:rPr>
      </w:pPr>
    </w:p>
    <w:p w14:paraId="2DC0B3C7" w14:textId="77777777" w:rsidR="00525EAA" w:rsidRPr="00525EAA" w:rsidRDefault="00525EAA" w:rsidP="00525EAA">
      <w:pPr>
        <w:pStyle w:val="Body"/>
        <w:spacing w:after="0"/>
        <w:rPr>
          <w:rFonts w:ascii="Arial" w:hAnsi="Arial" w:cs="Arial"/>
          <w:b/>
        </w:rPr>
      </w:pPr>
      <w:r w:rsidRPr="00525EAA">
        <w:rPr>
          <w:rFonts w:ascii="Arial" w:hAnsi="Arial" w:cs="Arial"/>
          <w:b/>
        </w:rPr>
        <w:t>Table 1. Accessions used for analysis with their code and original nomenclature</w:t>
      </w:r>
    </w:p>
    <w:tbl>
      <w:tblPr>
        <w:tblW w:w="510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33"/>
        <w:gridCol w:w="992"/>
        <w:gridCol w:w="1418"/>
      </w:tblGrid>
      <w:tr w:rsidR="00525EAA" w:rsidRPr="00525EAA" w14:paraId="67D0605D" w14:textId="77777777">
        <w:trPr>
          <w:trHeight w:val="300"/>
        </w:trPr>
        <w:tc>
          <w:tcPr>
            <w:tcW w:w="2693" w:type="dxa"/>
            <w:gridSpan w:val="2"/>
            <w:tcBorders>
              <w:top w:val="single" w:sz="4" w:space="0" w:color="auto"/>
              <w:left w:val="single" w:sz="4" w:space="0" w:color="auto"/>
              <w:bottom w:val="single" w:sz="4" w:space="0" w:color="auto"/>
              <w:right w:val="single" w:sz="4" w:space="0" w:color="auto"/>
            </w:tcBorders>
            <w:noWrap/>
            <w:vAlign w:val="bottom"/>
            <w:hideMark/>
          </w:tcPr>
          <w:p w14:paraId="54BDAF29" w14:textId="77777777" w:rsidR="00525EAA" w:rsidRPr="00525EAA" w:rsidRDefault="00525EAA" w:rsidP="00525EAA">
            <w:pPr>
              <w:pStyle w:val="Body"/>
              <w:rPr>
                <w:rFonts w:ascii="Arial" w:hAnsi="Arial" w:cs="Arial"/>
                <w:b/>
                <w:lang w:val="en-GB"/>
              </w:rPr>
            </w:pPr>
            <w:r w:rsidRPr="00525EAA">
              <w:rPr>
                <w:rFonts w:ascii="Arial" w:hAnsi="Arial" w:cs="Arial"/>
                <w:b/>
                <w:lang w:val="en-GB"/>
              </w:rPr>
              <w:t>Elite</w:t>
            </w:r>
          </w:p>
        </w:tc>
        <w:tc>
          <w:tcPr>
            <w:tcW w:w="2410" w:type="dxa"/>
            <w:gridSpan w:val="2"/>
            <w:tcBorders>
              <w:top w:val="single" w:sz="4" w:space="0" w:color="auto"/>
              <w:left w:val="single" w:sz="4" w:space="0" w:color="auto"/>
              <w:bottom w:val="single" w:sz="4" w:space="0" w:color="auto"/>
              <w:right w:val="single" w:sz="4" w:space="0" w:color="auto"/>
            </w:tcBorders>
            <w:vAlign w:val="bottom"/>
            <w:hideMark/>
          </w:tcPr>
          <w:p w14:paraId="0BF597E2" w14:textId="77777777" w:rsidR="00525EAA" w:rsidRPr="00525EAA" w:rsidRDefault="00525EAA" w:rsidP="00525EAA">
            <w:pPr>
              <w:pStyle w:val="Body"/>
              <w:rPr>
                <w:rFonts w:ascii="Arial" w:hAnsi="Arial" w:cs="Arial"/>
                <w:b/>
                <w:lang w:val="en-GB"/>
              </w:rPr>
            </w:pPr>
            <w:r w:rsidRPr="00525EAA">
              <w:rPr>
                <w:rFonts w:ascii="Arial" w:hAnsi="Arial" w:cs="Arial"/>
                <w:b/>
                <w:lang w:val="en-GB"/>
              </w:rPr>
              <w:t>Exotic</w:t>
            </w:r>
          </w:p>
        </w:tc>
      </w:tr>
      <w:tr w:rsidR="00525EAA" w:rsidRPr="00525EAA" w14:paraId="50889045"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00DB085" w14:textId="77777777" w:rsidR="00525EAA" w:rsidRPr="00525EAA" w:rsidRDefault="00525EAA" w:rsidP="00525EAA">
            <w:pPr>
              <w:pStyle w:val="Body"/>
              <w:rPr>
                <w:rFonts w:ascii="Arial" w:hAnsi="Arial" w:cs="Arial"/>
                <w:b/>
                <w:lang w:val="en-IN"/>
              </w:rPr>
            </w:pPr>
            <w:r w:rsidRPr="00525EAA">
              <w:rPr>
                <w:rFonts w:ascii="Arial" w:hAnsi="Arial" w:cs="Arial"/>
                <w:b/>
                <w:lang w:val="en-IN"/>
              </w:rPr>
              <w:t xml:space="preserve">Code </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839A4E6" w14:textId="77777777" w:rsidR="00525EAA" w:rsidRPr="00525EAA" w:rsidRDefault="00525EAA" w:rsidP="00525EAA">
            <w:pPr>
              <w:pStyle w:val="Body"/>
              <w:rPr>
                <w:rFonts w:ascii="Arial" w:hAnsi="Arial" w:cs="Arial"/>
                <w:b/>
                <w:lang w:val="en-GB"/>
              </w:rPr>
            </w:pPr>
            <w:r w:rsidRPr="00525EAA">
              <w:rPr>
                <w:rFonts w:ascii="Arial" w:hAnsi="Arial" w:cs="Arial"/>
                <w:b/>
                <w:lang w:val="en-GB"/>
              </w:rPr>
              <w:t>Accession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0677E972" w14:textId="77777777" w:rsidR="00525EAA" w:rsidRPr="00525EAA" w:rsidRDefault="00525EAA" w:rsidP="00525EAA">
            <w:pPr>
              <w:pStyle w:val="Body"/>
              <w:rPr>
                <w:rFonts w:ascii="Arial" w:hAnsi="Arial" w:cs="Arial"/>
                <w:lang w:val="en-GB"/>
              </w:rPr>
            </w:pPr>
            <w:r w:rsidRPr="00525EAA">
              <w:rPr>
                <w:rFonts w:ascii="Arial" w:hAnsi="Arial" w:cs="Arial"/>
                <w:b/>
                <w:lang w:val="en-IN"/>
              </w:rPr>
              <w:t xml:space="preserve">Code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435E61" w14:textId="77777777" w:rsidR="00525EAA" w:rsidRPr="00525EAA" w:rsidRDefault="00525EAA" w:rsidP="00525EAA">
            <w:pPr>
              <w:pStyle w:val="Body"/>
              <w:rPr>
                <w:rFonts w:ascii="Arial" w:hAnsi="Arial" w:cs="Arial"/>
                <w:lang w:val="en-GB"/>
              </w:rPr>
            </w:pPr>
            <w:r w:rsidRPr="00525EAA">
              <w:rPr>
                <w:rFonts w:ascii="Arial" w:hAnsi="Arial" w:cs="Arial"/>
                <w:b/>
                <w:lang w:val="en-GB"/>
              </w:rPr>
              <w:t>Accession</w:t>
            </w:r>
          </w:p>
        </w:tc>
      </w:tr>
      <w:tr w:rsidR="00525EAA" w:rsidRPr="00525EAA" w14:paraId="165EA38B"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138986" w14:textId="77777777" w:rsidR="00525EAA" w:rsidRPr="00525EAA" w:rsidRDefault="00525EAA" w:rsidP="00525EAA">
            <w:pPr>
              <w:pStyle w:val="Body"/>
              <w:rPr>
                <w:rFonts w:ascii="Arial" w:hAnsi="Arial" w:cs="Arial"/>
                <w:lang w:val="en-IN"/>
              </w:rPr>
            </w:pPr>
            <w:r w:rsidRPr="00525EAA">
              <w:rPr>
                <w:rFonts w:ascii="Arial" w:hAnsi="Arial" w:cs="Arial"/>
                <w:lang w:val="en-IN"/>
              </w:rPr>
              <w:t>EL-1</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28FA714" w14:textId="77777777" w:rsidR="00525EAA" w:rsidRPr="00525EAA" w:rsidRDefault="00525EAA" w:rsidP="00525EAA">
            <w:pPr>
              <w:pStyle w:val="Body"/>
              <w:rPr>
                <w:rFonts w:ascii="Arial" w:hAnsi="Arial" w:cs="Arial"/>
                <w:lang w:val="en-IN"/>
              </w:rPr>
            </w:pPr>
            <w:r w:rsidRPr="00525EAA">
              <w:rPr>
                <w:rFonts w:ascii="Arial" w:hAnsi="Arial" w:cs="Arial"/>
                <w:lang w:val="en-GB"/>
              </w:rPr>
              <w:t>N/17-49</w:t>
            </w:r>
          </w:p>
        </w:tc>
        <w:tc>
          <w:tcPr>
            <w:tcW w:w="992" w:type="dxa"/>
            <w:tcBorders>
              <w:top w:val="single" w:sz="4" w:space="0" w:color="auto"/>
              <w:left w:val="single" w:sz="4" w:space="0" w:color="auto"/>
              <w:bottom w:val="single" w:sz="4" w:space="0" w:color="auto"/>
              <w:right w:val="single" w:sz="4" w:space="0" w:color="auto"/>
            </w:tcBorders>
            <w:vAlign w:val="bottom"/>
            <w:hideMark/>
          </w:tcPr>
          <w:p w14:paraId="3C099C75" w14:textId="77777777" w:rsidR="00525EAA" w:rsidRPr="00525EAA" w:rsidRDefault="00525EAA" w:rsidP="00525EAA">
            <w:pPr>
              <w:pStyle w:val="Body"/>
              <w:rPr>
                <w:rFonts w:ascii="Arial" w:hAnsi="Arial" w:cs="Arial"/>
                <w:lang w:val="en-GB"/>
              </w:rPr>
            </w:pPr>
            <w:r w:rsidRPr="00525EAA">
              <w:rPr>
                <w:rFonts w:ascii="Arial" w:hAnsi="Arial" w:cs="Arial"/>
                <w:lang w:val="en-GB"/>
              </w:rPr>
              <w:t>EX-1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C40773" w14:textId="77777777" w:rsidR="00525EAA" w:rsidRPr="00525EAA" w:rsidRDefault="00525EAA" w:rsidP="00525EAA">
            <w:pPr>
              <w:pStyle w:val="Body"/>
              <w:rPr>
                <w:rFonts w:ascii="Arial" w:hAnsi="Arial" w:cs="Arial"/>
                <w:lang w:val="en-GB"/>
              </w:rPr>
            </w:pPr>
            <w:r w:rsidRPr="00525EAA">
              <w:rPr>
                <w:rFonts w:ascii="Arial" w:hAnsi="Arial" w:cs="Arial"/>
                <w:lang w:val="en-GB"/>
              </w:rPr>
              <w:t>IC613368</w:t>
            </w:r>
          </w:p>
        </w:tc>
      </w:tr>
      <w:tr w:rsidR="00525EAA" w:rsidRPr="00525EAA" w14:paraId="61E5C093"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B4BA07" w14:textId="77777777" w:rsidR="00525EAA" w:rsidRPr="00525EAA" w:rsidRDefault="00525EAA" w:rsidP="00525EAA">
            <w:pPr>
              <w:pStyle w:val="Body"/>
              <w:rPr>
                <w:rFonts w:ascii="Arial" w:hAnsi="Arial" w:cs="Arial"/>
                <w:lang w:val="en-IN"/>
              </w:rPr>
            </w:pPr>
            <w:r w:rsidRPr="00525EAA">
              <w:rPr>
                <w:rFonts w:ascii="Arial" w:hAnsi="Arial" w:cs="Arial"/>
                <w:lang w:val="en-IN"/>
              </w:rPr>
              <w:t>EL-2</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7B5170A9" w14:textId="77777777" w:rsidR="00525EAA" w:rsidRPr="00525EAA" w:rsidRDefault="00525EAA" w:rsidP="00525EAA">
            <w:pPr>
              <w:pStyle w:val="Body"/>
              <w:rPr>
                <w:rFonts w:ascii="Arial" w:hAnsi="Arial" w:cs="Arial"/>
                <w:lang w:val="en-IN"/>
              </w:rPr>
            </w:pPr>
            <w:r w:rsidRPr="00525EAA">
              <w:rPr>
                <w:rFonts w:ascii="Arial" w:hAnsi="Arial" w:cs="Arial"/>
                <w:lang w:val="en-IN"/>
              </w:rPr>
              <w:t>NPM/17-20</w:t>
            </w:r>
          </w:p>
        </w:tc>
        <w:tc>
          <w:tcPr>
            <w:tcW w:w="992" w:type="dxa"/>
            <w:tcBorders>
              <w:top w:val="single" w:sz="4" w:space="0" w:color="auto"/>
              <w:left w:val="single" w:sz="4" w:space="0" w:color="auto"/>
              <w:bottom w:val="single" w:sz="4" w:space="0" w:color="auto"/>
              <w:right w:val="single" w:sz="4" w:space="0" w:color="auto"/>
            </w:tcBorders>
            <w:vAlign w:val="bottom"/>
            <w:hideMark/>
          </w:tcPr>
          <w:p w14:paraId="7E5C0697" w14:textId="77777777" w:rsidR="00525EAA" w:rsidRPr="00525EAA" w:rsidRDefault="00525EAA" w:rsidP="00525EAA">
            <w:pPr>
              <w:pStyle w:val="Body"/>
              <w:rPr>
                <w:rFonts w:ascii="Arial" w:hAnsi="Arial" w:cs="Arial"/>
                <w:lang w:val="en-IN"/>
              </w:rPr>
            </w:pPr>
            <w:r w:rsidRPr="00525EAA">
              <w:rPr>
                <w:rFonts w:ascii="Arial" w:hAnsi="Arial" w:cs="Arial"/>
                <w:lang w:val="en-GB"/>
              </w:rPr>
              <w:t>EX-2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75D128" w14:textId="77777777" w:rsidR="00525EAA" w:rsidRPr="00525EAA" w:rsidRDefault="00525EAA" w:rsidP="00525EAA">
            <w:pPr>
              <w:pStyle w:val="Body"/>
              <w:rPr>
                <w:rFonts w:ascii="Arial" w:hAnsi="Arial" w:cs="Arial"/>
                <w:lang w:val="en-IN"/>
              </w:rPr>
            </w:pPr>
            <w:r w:rsidRPr="00525EAA">
              <w:rPr>
                <w:rFonts w:ascii="Arial" w:hAnsi="Arial" w:cs="Arial"/>
                <w:lang w:val="en-GB"/>
              </w:rPr>
              <w:t>RTS-77</w:t>
            </w:r>
          </w:p>
        </w:tc>
      </w:tr>
      <w:tr w:rsidR="00525EAA" w:rsidRPr="00525EAA" w14:paraId="6806B7F1"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19A776" w14:textId="77777777" w:rsidR="00525EAA" w:rsidRPr="00525EAA" w:rsidRDefault="00525EAA" w:rsidP="00525EAA">
            <w:pPr>
              <w:pStyle w:val="Body"/>
              <w:rPr>
                <w:rFonts w:ascii="Arial" w:hAnsi="Arial" w:cs="Arial"/>
                <w:lang w:val="en-IN"/>
              </w:rPr>
            </w:pPr>
            <w:r w:rsidRPr="00525EAA">
              <w:rPr>
                <w:rFonts w:ascii="Arial" w:hAnsi="Arial" w:cs="Arial"/>
                <w:lang w:val="en-IN"/>
              </w:rPr>
              <w:t>EL-3</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13A2E76" w14:textId="77777777" w:rsidR="00525EAA" w:rsidRPr="00525EAA" w:rsidRDefault="00525EAA" w:rsidP="00525EAA">
            <w:pPr>
              <w:pStyle w:val="Body"/>
              <w:rPr>
                <w:rFonts w:ascii="Arial" w:hAnsi="Arial" w:cs="Arial"/>
                <w:lang w:val="en-IN"/>
              </w:rPr>
            </w:pPr>
            <w:r w:rsidRPr="00525EAA">
              <w:rPr>
                <w:rFonts w:ascii="Arial" w:hAnsi="Arial" w:cs="Arial"/>
                <w:lang w:val="en-IN"/>
              </w:rPr>
              <w:t>NPM/17-29</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15417B" w14:textId="77777777" w:rsidR="00525EAA" w:rsidRPr="00525EAA" w:rsidRDefault="00525EAA" w:rsidP="00525EAA">
            <w:pPr>
              <w:pStyle w:val="Body"/>
              <w:rPr>
                <w:rFonts w:ascii="Arial" w:hAnsi="Arial" w:cs="Arial"/>
                <w:lang w:val="en-IN"/>
              </w:rPr>
            </w:pPr>
            <w:r w:rsidRPr="00525EAA">
              <w:rPr>
                <w:rFonts w:ascii="Arial" w:hAnsi="Arial" w:cs="Arial"/>
                <w:lang w:val="en-GB"/>
              </w:rPr>
              <w:t>EX-3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7DD2A5" w14:textId="77777777" w:rsidR="00525EAA" w:rsidRPr="00525EAA" w:rsidRDefault="00525EAA" w:rsidP="00525EAA">
            <w:pPr>
              <w:pStyle w:val="Body"/>
              <w:rPr>
                <w:rFonts w:ascii="Arial" w:hAnsi="Arial" w:cs="Arial"/>
                <w:lang w:val="en-IN"/>
              </w:rPr>
            </w:pPr>
            <w:r w:rsidRPr="00525EAA">
              <w:rPr>
                <w:rFonts w:ascii="Arial" w:hAnsi="Arial" w:cs="Arial"/>
                <w:lang w:val="en-GB"/>
              </w:rPr>
              <w:t>RTS-85</w:t>
            </w:r>
          </w:p>
        </w:tc>
      </w:tr>
      <w:tr w:rsidR="00525EAA" w:rsidRPr="00525EAA" w14:paraId="6ACF0B47"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CB74A3" w14:textId="77777777" w:rsidR="00525EAA" w:rsidRPr="00525EAA" w:rsidRDefault="00525EAA" w:rsidP="00525EAA">
            <w:pPr>
              <w:pStyle w:val="Body"/>
              <w:rPr>
                <w:rFonts w:ascii="Arial" w:hAnsi="Arial" w:cs="Arial"/>
                <w:lang w:val="en-IN"/>
              </w:rPr>
            </w:pPr>
            <w:r w:rsidRPr="00525EAA">
              <w:rPr>
                <w:rFonts w:ascii="Arial" w:hAnsi="Arial" w:cs="Arial"/>
                <w:lang w:val="en-IN"/>
              </w:rPr>
              <w:t>EL-4</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C46741E" w14:textId="77777777" w:rsidR="00525EAA" w:rsidRPr="00525EAA" w:rsidRDefault="00525EAA" w:rsidP="00525EAA">
            <w:pPr>
              <w:pStyle w:val="Body"/>
              <w:rPr>
                <w:rFonts w:ascii="Arial" w:hAnsi="Arial" w:cs="Arial"/>
                <w:lang w:val="en-IN"/>
              </w:rPr>
            </w:pPr>
            <w:r w:rsidRPr="00525EAA">
              <w:rPr>
                <w:rFonts w:ascii="Arial" w:hAnsi="Arial" w:cs="Arial"/>
                <w:lang w:val="en-IN"/>
              </w:rPr>
              <w:t>NAM/17-37</w:t>
            </w:r>
          </w:p>
        </w:tc>
        <w:tc>
          <w:tcPr>
            <w:tcW w:w="992" w:type="dxa"/>
            <w:tcBorders>
              <w:top w:val="single" w:sz="4" w:space="0" w:color="auto"/>
              <w:left w:val="single" w:sz="4" w:space="0" w:color="auto"/>
              <w:bottom w:val="single" w:sz="4" w:space="0" w:color="auto"/>
              <w:right w:val="single" w:sz="4" w:space="0" w:color="auto"/>
            </w:tcBorders>
            <w:vAlign w:val="bottom"/>
            <w:hideMark/>
          </w:tcPr>
          <w:p w14:paraId="65E19A1B" w14:textId="77777777" w:rsidR="00525EAA" w:rsidRPr="00525EAA" w:rsidRDefault="00525EAA" w:rsidP="00525EAA">
            <w:pPr>
              <w:pStyle w:val="Body"/>
              <w:rPr>
                <w:rFonts w:ascii="Arial" w:hAnsi="Arial" w:cs="Arial"/>
                <w:lang w:val="en-IN"/>
              </w:rPr>
            </w:pPr>
            <w:r w:rsidRPr="00525EAA">
              <w:rPr>
                <w:rFonts w:ascii="Arial" w:hAnsi="Arial" w:cs="Arial"/>
                <w:lang w:val="en-GB"/>
              </w:rPr>
              <w:t>EX-4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E1FDB7" w14:textId="77777777" w:rsidR="00525EAA" w:rsidRPr="00525EAA" w:rsidRDefault="00525EAA" w:rsidP="00525EAA">
            <w:pPr>
              <w:pStyle w:val="Body"/>
              <w:rPr>
                <w:rFonts w:ascii="Arial" w:hAnsi="Arial" w:cs="Arial"/>
                <w:lang w:val="en-IN"/>
              </w:rPr>
            </w:pPr>
            <w:r w:rsidRPr="00525EAA">
              <w:rPr>
                <w:rFonts w:ascii="Arial" w:hAnsi="Arial" w:cs="Arial"/>
                <w:lang w:val="en-GB"/>
              </w:rPr>
              <w:t>RTS-58</w:t>
            </w:r>
          </w:p>
        </w:tc>
      </w:tr>
      <w:tr w:rsidR="00525EAA" w:rsidRPr="00525EAA" w14:paraId="5CCF9632"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3F08CAB" w14:textId="77777777" w:rsidR="00525EAA" w:rsidRPr="00525EAA" w:rsidRDefault="00525EAA" w:rsidP="00525EAA">
            <w:pPr>
              <w:pStyle w:val="Body"/>
              <w:rPr>
                <w:rFonts w:ascii="Arial" w:hAnsi="Arial" w:cs="Arial"/>
                <w:lang w:val="en-IN"/>
              </w:rPr>
            </w:pPr>
            <w:r w:rsidRPr="00525EAA">
              <w:rPr>
                <w:rFonts w:ascii="Arial" w:hAnsi="Arial" w:cs="Arial"/>
                <w:lang w:val="en-IN"/>
              </w:rPr>
              <w:t>EL-5</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5E5148EC" w14:textId="77777777" w:rsidR="00525EAA" w:rsidRPr="00525EAA" w:rsidRDefault="00525EAA" w:rsidP="00525EAA">
            <w:pPr>
              <w:pStyle w:val="Body"/>
              <w:rPr>
                <w:rFonts w:ascii="Arial" w:hAnsi="Arial" w:cs="Arial"/>
                <w:lang w:val="en-IN"/>
              </w:rPr>
            </w:pPr>
            <w:r w:rsidRPr="00525EAA">
              <w:rPr>
                <w:rFonts w:ascii="Arial" w:hAnsi="Arial" w:cs="Arial"/>
                <w:lang w:val="en-IN"/>
              </w:rPr>
              <w:t>SM-18</w:t>
            </w:r>
          </w:p>
        </w:tc>
        <w:tc>
          <w:tcPr>
            <w:tcW w:w="992" w:type="dxa"/>
            <w:tcBorders>
              <w:top w:val="single" w:sz="4" w:space="0" w:color="auto"/>
              <w:left w:val="single" w:sz="4" w:space="0" w:color="auto"/>
              <w:bottom w:val="single" w:sz="4" w:space="0" w:color="auto"/>
              <w:right w:val="single" w:sz="4" w:space="0" w:color="auto"/>
            </w:tcBorders>
            <w:vAlign w:val="bottom"/>
            <w:hideMark/>
          </w:tcPr>
          <w:p w14:paraId="6F67668A" w14:textId="77777777" w:rsidR="00525EAA" w:rsidRPr="00525EAA" w:rsidRDefault="00525EAA" w:rsidP="00525EAA">
            <w:pPr>
              <w:pStyle w:val="Body"/>
              <w:rPr>
                <w:rFonts w:ascii="Arial" w:hAnsi="Arial" w:cs="Arial"/>
                <w:lang w:val="en-IN"/>
              </w:rPr>
            </w:pPr>
            <w:r w:rsidRPr="00525EAA">
              <w:rPr>
                <w:rFonts w:ascii="Arial" w:hAnsi="Arial" w:cs="Arial"/>
                <w:lang w:val="en-GB"/>
              </w:rPr>
              <w:t>EX-5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D5B00B" w14:textId="77777777" w:rsidR="00525EAA" w:rsidRPr="00525EAA" w:rsidRDefault="00525EAA" w:rsidP="00525EAA">
            <w:pPr>
              <w:pStyle w:val="Body"/>
              <w:rPr>
                <w:rFonts w:ascii="Arial" w:hAnsi="Arial" w:cs="Arial"/>
                <w:lang w:val="en-IN"/>
              </w:rPr>
            </w:pPr>
            <w:r w:rsidRPr="00525EAA">
              <w:rPr>
                <w:rFonts w:ascii="Arial" w:hAnsi="Arial" w:cs="Arial"/>
                <w:lang w:val="en-GB"/>
              </w:rPr>
              <w:t>RTS-55</w:t>
            </w:r>
          </w:p>
        </w:tc>
      </w:tr>
      <w:tr w:rsidR="00525EAA" w:rsidRPr="00525EAA" w14:paraId="4C224D97"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C1F447" w14:textId="77777777" w:rsidR="00525EAA" w:rsidRPr="00525EAA" w:rsidRDefault="00525EAA" w:rsidP="00525EAA">
            <w:pPr>
              <w:pStyle w:val="Body"/>
              <w:rPr>
                <w:rFonts w:ascii="Arial" w:hAnsi="Arial" w:cs="Arial"/>
                <w:lang w:val="en-IN"/>
              </w:rPr>
            </w:pPr>
            <w:r w:rsidRPr="00525EAA">
              <w:rPr>
                <w:rFonts w:ascii="Arial" w:hAnsi="Arial" w:cs="Arial"/>
                <w:lang w:val="en-IN"/>
              </w:rPr>
              <w:t>EL-6</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05C501CB" w14:textId="77777777" w:rsidR="00525EAA" w:rsidRPr="00525EAA" w:rsidRDefault="00525EAA" w:rsidP="00525EAA">
            <w:pPr>
              <w:pStyle w:val="Body"/>
              <w:rPr>
                <w:rFonts w:ascii="Arial" w:hAnsi="Arial" w:cs="Arial"/>
                <w:lang w:val="en-IN"/>
              </w:rPr>
            </w:pPr>
            <w:r w:rsidRPr="00525EAA">
              <w:rPr>
                <w:rFonts w:ascii="Arial" w:hAnsi="Arial" w:cs="Arial"/>
                <w:lang w:val="en-IN"/>
              </w:rPr>
              <w:t>NPM/17-28</w:t>
            </w:r>
          </w:p>
        </w:tc>
        <w:tc>
          <w:tcPr>
            <w:tcW w:w="992" w:type="dxa"/>
            <w:tcBorders>
              <w:top w:val="single" w:sz="4" w:space="0" w:color="auto"/>
              <w:left w:val="single" w:sz="4" w:space="0" w:color="auto"/>
              <w:bottom w:val="single" w:sz="4" w:space="0" w:color="auto"/>
              <w:right w:val="single" w:sz="4" w:space="0" w:color="auto"/>
            </w:tcBorders>
            <w:vAlign w:val="bottom"/>
            <w:hideMark/>
          </w:tcPr>
          <w:p w14:paraId="71E26C7C" w14:textId="77777777" w:rsidR="00525EAA" w:rsidRPr="00525EAA" w:rsidRDefault="00525EAA" w:rsidP="00525EAA">
            <w:pPr>
              <w:pStyle w:val="Body"/>
              <w:rPr>
                <w:rFonts w:ascii="Arial" w:hAnsi="Arial" w:cs="Arial"/>
                <w:lang w:val="en-IN"/>
              </w:rPr>
            </w:pPr>
            <w:r w:rsidRPr="00525EAA">
              <w:rPr>
                <w:rFonts w:ascii="Arial" w:hAnsi="Arial" w:cs="Arial"/>
                <w:lang w:val="en-GB"/>
              </w:rPr>
              <w:t>EX-6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68C38A" w14:textId="77777777" w:rsidR="00525EAA" w:rsidRPr="00525EAA" w:rsidRDefault="00525EAA" w:rsidP="00525EAA">
            <w:pPr>
              <w:pStyle w:val="Body"/>
              <w:rPr>
                <w:rFonts w:ascii="Arial" w:hAnsi="Arial" w:cs="Arial"/>
                <w:lang w:val="en-IN"/>
              </w:rPr>
            </w:pPr>
            <w:r w:rsidRPr="00525EAA">
              <w:rPr>
                <w:rFonts w:ascii="Arial" w:hAnsi="Arial" w:cs="Arial"/>
                <w:lang w:val="en-GB"/>
              </w:rPr>
              <w:t>Tag 97</w:t>
            </w:r>
          </w:p>
        </w:tc>
      </w:tr>
      <w:tr w:rsidR="00525EAA" w:rsidRPr="00525EAA" w14:paraId="407E1B3B"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B076622" w14:textId="77777777" w:rsidR="00525EAA" w:rsidRPr="00525EAA" w:rsidRDefault="00525EAA" w:rsidP="00525EAA">
            <w:pPr>
              <w:pStyle w:val="Body"/>
              <w:rPr>
                <w:rFonts w:ascii="Arial" w:hAnsi="Arial" w:cs="Arial"/>
                <w:lang w:val="en-IN"/>
              </w:rPr>
            </w:pPr>
            <w:r w:rsidRPr="00525EAA">
              <w:rPr>
                <w:rFonts w:ascii="Arial" w:hAnsi="Arial" w:cs="Arial"/>
                <w:lang w:val="en-IN"/>
              </w:rPr>
              <w:t>EL-7</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45E5FCBE" w14:textId="77777777" w:rsidR="00525EAA" w:rsidRPr="00525EAA" w:rsidRDefault="00525EAA" w:rsidP="00525EAA">
            <w:pPr>
              <w:pStyle w:val="Body"/>
              <w:rPr>
                <w:rFonts w:ascii="Arial" w:hAnsi="Arial" w:cs="Arial"/>
                <w:lang w:val="en-IN"/>
              </w:rPr>
            </w:pPr>
            <w:r w:rsidRPr="00525EAA">
              <w:rPr>
                <w:rFonts w:ascii="Arial" w:hAnsi="Arial" w:cs="Arial"/>
                <w:lang w:val="en-IN"/>
              </w:rPr>
              <w:t>NAM/17-42</w:t>
            </w:r>
          </w:p>
        </w:tc>
        <w:tc>
          <w:tcPr>
            <w:tcW w:w="992" w:type="dxa"/>
            <w:tcBorders>
              <w:top w:val="single" w:sz="4" w:space="0" w:color="auto"/>
              <w:left w:val="single" w:sz="4" w:space="0" w:color="auto"/>
              <w:bottom w:val="single" w:sz="4" w:space="0" w:color="auto"/>
              <w:right w:val="single" w:sz="4" w:space="0" w:color="auto"/>
            </w:tcBorders>
            <w:vAlign w:val="bottom"/>
            <w:hideMark/>
          </w:tcPr>
          <w:p w14:paraId="231DEF6C" w14:textId="77777777" w:rsidR="00525EAA" w:rsidRPr="00525EAA" w:rsidRDefault="00525EAA" w:rsidP="00525EAA">
            <w:pPr>
              <w:pStyle w:val="Body"/>
              <w:rPr>
                <w:rFonts w:ascii="Arial" w:hAnsi="Arial" w:cs="Arial"/>
                <w:lang w:val="en-IN"/>
              </w:rPr>
            </w:pPr>
            <w:r w:rsidRPr="00525EAA">
              <w:rPr>
                <w:rFonts w:ascii="Arial" w:hAnsi="Arial" w:cs="Arial"/>
                <w:lang w:val="en-GB"/>
              </w:rPr>
              <w:t>EX-7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76D960" w14:textId="77777777" w:rsidR="00525EAA" w:rsidRPr="00525EAA" w:rsidRDefault="00525EAA" w:rsidP="00525EAA">
            <w:pPr>
              <w:pStyle w:val="Body"/>
              <w:rPr>
                <w:rFonts w:ascii="Arial" w:hAnsi="Arial" w:cs="Arial"/>
                <w:lang w:val="en-IN"/>
              </w:rPr>
            </w:pPr>
            <w:r w:rsidRPr="00525EAA">
              <w:rPr>
                <w:rFonts w:ascii="Arial" w:hAnsi="Arial" w:cs="Arial"/>
                <w:lang w:val="en-GB"/>
              </w:rPr>
              <w:t>AC-613</w:t>
            </w:r>
          </w:p>
        </w:tc>
      </w:tr>
      <w:tr w:rsidR="00525EAA" w:rsidRPr="00525EAA" w14:paraId="1331F08B"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0E77ABA" w14:textId="77777777" w:rsidR="00525EAA" w:rsidRPr="00525EAA" w:rsidRDefault="00525EAA" w:rsidP="00525EAA">
            <w:pPr>
              <w:pStyle w:val="Body"/>
              <w:rPr>
                <w:rFonts w:ascii="Arial" w:hAnsi="Arial" w:cs="Arial"/>
                <w:lang w:val="en-IN"/>
              </w:rPr>
            </w:pPr>
            <w:r w:rsidRPr="00525EAA">
              <w:rPr>
                <w:rFonts w:ascii="Arial" w:hAnsi="Arial" w:cs="Arial"/>
                <w:lang w:val="en-IN"/>
              </w:rPr>
              <w:t>EL-8</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0B5C18AD" w14:textId="77777777" w:rsidR="00525EAA" w:rsidRPr="00525EAA" w:rsidRDefault="00525EAA" w:rsidP="00525EAA">
            <w:pPr>
              <w:pStyle w:val="Body"/>
              <w:rPr>
                <w:rFonts w:ascii="Arial" w:hAnsi="Arial" w:cs="Arial"/>
                <w:lang w:val="en-IN"/>
              </w:rPr>
            </w:pPr>
            <w:r w:rsidRPr="00525EAA">
              <w:rPr>
                <w:rFonts w:ascii="Arial" w:hAnsi="Arial" w:cs="Arial"/>
                <w:lang w:val="en-IN"/>
              </w:rPr>
              <w:t>N/17-50</w:t>
            </w:r>
          </w:p>
        </w:tc>
        <w:tc>
          <w:tcPr>
            <w:tcW w:w="992" w:type="dxa"/>
            <w:tcBorders>
              <w:top w:val="single" w:sz="4" w:space="0" w:color="auto"/>
              <w:left w:val="single" w:sz="4" w:space="0" w:color="auto"/>
              <w:bottom w:val="single" w:sz="4" w:space="0" w:color="auto"/>
              <w:right w:val="single" w:sz="4" w:space="0" w:color="auto"/>
            </w:tcBorders>
            <w:vAlign w:val="bottom"/>
            <w:hideMark/>
          </w:tcPr>
          <w:p w14:paraId="672B55EC" w14:textId="77777777" w:rsidR="00525EAA" w:rsidRPr="00525EAA" w:rsidRDefault="00525EAA" w:rsidP="00525EAA">
            <w:pPr>
              <w:pStyle w:val="Body"/>
              <w:rPr>
                <w:rFonts w:ascii="Arial" w:hAnsi="Arial" w:cs="Arial"/>
                <w:lang w:val="en-IN"/>
              </w:rPr>
            </w:pPr>
            <w:r w:rsidRPr="00525EAA">
              <w:rPr>
                <w:rFonts w:ascii="Arial" w:hAnsi="Arial" w:cs="Arial"/>
                <w:lang w:val="en-GB"/>
              </w:rPr>
              <w:t>EX-8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8C3DF7" w14:textId="77777777" w:rsidR="00525EAA" w:rsidRPr="00525EAA" w:rsidRDefault="00525EAA" w:rsidP="00525EAA">
            <w:pPr>
              <w:pStyle w:val="Body"/>
              <w:rPr>
                <w:rFonts w:ascii="Arial" w:hAnsi="Arial" w:cs="Arial"/>
                <w:lang w:val="en-IN"/>
              </w:rPr>
            </w:pPr>
            <w:r w:rsidRPr="00525EAA">
              <w:rPr>
                <w:rFonts w:ascii="Arial" w:hAnsi="Arial" w:cs="Arial"/>
                <w:lang w:val="en-GB"/>
              </w:rPr>
              <w:t>RTS-86</w:t>
            </w:r>
          </w:p>
        </w:tc>
      </w:tr>
      <w:tr w:rsidR="00525EAA" w:rsidRPr="00525EAA" w14:paraId="3193B570"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E5C6BB" w14:textId="77777777" w:rsidR="00525EAA" w:rsidRPr="00525EAA" w:rsidRDefault="00525EAA" w:rsidP="00525EAA">
            <w:pPr>
              <w:pStyle w:val="Body"/>
              <w:rPr>
                <w:rFonts w:ascii="Arial" w:hAnsi="Arial" w:cs="Arial"/>
                <w:lang w:val="en-IN"/>
              </w:rPr>
            </w:pPr>
            <w:r w:rsidRPr="00525EAA">
              <w:rPr>
                <w:rFonts w:ascii="Arial" w:hAnsi="Arial" w:cs="Arial"/>
                <w:lang w:val="en-IN"/>
              </w:rPr>
              <w:lastRenderedPageBreak/>
              <w:t>EL-9</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7305E3A6" w14:textId="77777777" w:rsidR="00525EAA" w:rsidRPr="00525EAA" w:rsidRDefault="00525EAA" w:rsidP="00525EAA">
            <w:pPr>
              <w:pStyle w:val="Body"/>
              <w:rPr>
                <w:rFonts w:ascii="Arial" w:hAnsi="Arial" w:cs="Arial"/>
                <w:lang w:val="en-IN"/>
              </w:rPr>
            </w:pPr>
            <w:r w:rsidRPr="00525EAA">
              <w:rPr>
                <w:rFonts w:ascii="Arial" w:hAnsi="Arial" w:cs="Arial"/>
                <w:lang w:val="en-IN"/>
              </w:rPr>
              <w:t>TCR local</w:t>
            </w:r>
          </w:p>
        </w:tc>
        <w:tc>
          <w:tcPr>
            <w:tcW w:w="992" w:type="dxa"/>
            <w:tcBorders>
              <w:top w:val="single" w:sz="4" w:space="0" w:color="auto"/>
              <w:left w:val="single" w:sz="4" w:space="0" w:color="auto"/>
              <w:bottom w:val="single" w:sz="4" w:space="0" w:color="auto"/>
              <w:right w:val="single" w:sz="4" w:space="0" w:color="auto"/>
            </w:tcBorders>
            <w:vAlign w:val="bottom"/>
            <w:hideMark/>
          </w:tcPr>
          <w:p w14:paraId="43FB50EA" w14:textId="77777777" w:rsidR="00525EAA" w:rsidRPr="00525EAA" w:rsidRDefault="00525EAA" w:rsidP="00525EAA">
            <w:pPr>
              <w:pStyle w:val="Body"/>
              <w:rPr>
                <w:rFonts w:ascii="Arial" w:hAnsi="Arial" w:cs="Arial"/>
                <w:lang w:val="en-IN"/>
              </w:rPr>
            </w:pPr>
            <w:r w:rsidRPr="00525EAA">
              <w:rPr>
                <w:rFonts w:ascii="Arial" w:hAnsi="Arial" w:cs="Arial"/>
                <w:lang w:val="en-GB"/>
              </w:rPr>
              <w:t>EX-9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5BF35B" w14:textId="77777777" w:rsidR="00525EAA" w:rsidRPr="00525EAA" w:rsidRDefault="00525EAA" w:rsidP="00525EAA">
            <w:pPr>
              <w:pStyle w:val="Body"/>
              <w:rPr>
                <w:rFonts w:ascii="Arial" w:hAnsi="Arial" w:cs="Arial"/>
                <w:lang w:val="en-IN"/>
              </w:rPr>
            </w:pPr>
            <w:r w:rsidRPr="00525EAA">
              <w:rPr>
                <w:rFonts w:ascii="Arial" w:hAnsi="Arial" w:cs="Arial"/>
                <w:lang w:val="en-GB"/>
              </w:rPr>
              <w:t>RTS-57</w:t>
            </w:r>
          </w:p>
        </w:tc>
      </w:tr>
      <w:tr w:rsidR="00525EAA" w:rsidRPr="00525EAA" w14:paraId="3E40C7FE"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AA45931" w14:textId="77777777" w:rsidR="00525EAA" w:rsidRPr="00525EAA" w:rsidRDefault="00525EAA" w:rsidP="00525EAA">
            <w:pPr>
              <w:pStyle w:val="Body"/>
              <w:rPr>
                <w:rFonts w:ascii="Arial" w:hAnsi="Arial" w:cs="Arial"/>
                <w:lang w:val="en-IN"/>
              </w:rPr>
            </w:pPr>
            <w:r w:rsidRPr="00525EAA">
              <w:rPr>
                <w:rFonts w:ascii="Arial" w:hAnsi="Arial" w:cs="Arial"/>
                <w:lang w:val="en-IN"/>
              </w:rPr>
              <w:t>EL-10</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5DFE558F" w14:textId="77777777" w:rsidR="00525EAA" w:rsidRPr="00525EAA" w:rsidRDefault="00525EAA" w:rsidP="00525EAA">
            <w:pPr>
              <w:pStyle w:val="Body"/>
              <w:rPr>
                <w:rFonts w:ascii="Arial" w:hAnsi="Arial" w:cs="Arial"/>
                <w:lang w:val="en-IN"/>
              </w:rPr>
            </w:pPr>
            <w:r w:rsidRPr="00525EAA">
              <w:rPr>
                <w:rFonts w:ascii="Arial" w:hAnsi="Arial" w:cs="Arial"/>
                <w:lang w:val="en-IN"/>
              </w:rPr>
              <w:t>NPM/17-11</w:t>
            </w:r>
          </w:p>
        </w:tc>
        <w:tc>
          <w:tcPr>
            <w:tcW w:w="992" w:type="dxa"/>
            <w:tcBorders>
              <w:top w:val="single" w:sz="4" w:space="0" w:color="auto"/>
              <w:left w:val="single" w:sz="4" w:space="0" w:color="auto"/>
              <w:bottom w:val="single" w:sz="4" w:space="0" w:color="auto"/>
              <w:right w:val="single" w:sz="4" w:space="0" w:color="auto"/>
            </w:tcBorders>
            <w:vAlign w:val="bottom"/>
            <w:hideMark/>
          </w:tcPr>
          <w:p w14:paraId="012547F6" w14:textId="77777777" w:rsidR="00525EAA" w:rsidRPr="00525EAA" w:rsidRDefault="00525EAA" w:rsidP="00525EAA">
            <w:pPr>
              <w:pStyle w:val="Body"/>
              <w:rPr>
                <w:rFonts w:ascii="Arial" w:hAnsi="Arial" w:cs="Arial"/>
                <w:lang w:val="en-IN"/>
              </w:rPr>
            </w:pPr>
            <w:r w:rsidRPr="00525EAA">
              <w:rPr>
                <w:rFonts w:ascii="Arial" w:hAnsi="Arial" w:cs="Arial"/>
                <w:lang w:val="en-GB"/>
              </w:rPr>
              <w:t>EX-10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466942" w14:textId="77777777" w:rsidR="00525EAA" w:rsidRPr="00525EAA" w:rsidRDefault="00525EAA" w:rsidP="00525EAA">
            <w:pPr>
              <w:pStyle w:val="Body"/>
              <w:rPr>
                <w:rFonts w:ascii="Arial" w:hAnsi="Arial" w:cs="Arial"/>
                <w:lang w:val="en-IN"/>
              </w:rPr>
            </w:pPr>
            <w:r w:rsidRPr="00525EAA">
              <w:rPr>
                <w:rFonts w:ascii="Arial" w:hAnsi="Arial" w:cs="Arial"/>
                <w:lang w:val="en-GB"/>
              </w:rPr>
              <w:t>IC613365</w:t>
            </w:r>
          </w:p>
        </w:tc>
      </w:tr>
      <w:tr w:rsidR="00525EAA" w:rsidRPr="00525EAA" w14:paraId="59D6D706"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6453766" w14:textId="77777777" w:rsidR="00525EAA" w:rsidRPr="00525EAA" w:rsidRDefault="00525EAA" w:rsidP="00525EAA">
            <w:pPr>
              <w:pStyle w:val="Body"/>
              <w:rPr>
                <w:rFonts w:ascii="Arial" w:hAnsi="Arial" w:cs="Arial"/>
                <w:lang w:val="en-IN"/>
              </w:rPr>
            </w:pPr>
            <w:r w:rsidRPr="00525EAA">
              <w:rPr>
                <w:rFonts w:ascii="Arial" w:hAnsi="Arial" w:cs="Arial"/>
                <w:lang w:val="en-IN"/>
              </w:rPr>
              <w:t>EL-11</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386B173A" w14:textId="77777777" w:rsidR="00525EAA" w:rsidRPr="00525EAA" w:rsidRDefault="00525EAA" w:rsidP="00525EAA">
            <w:pPr>
              <w:pStyle w:val="Body"/>
              <w:rPr>
                <w:rFonts w:ascii="Arial" w:hAnsi="Arial" w:cs="Arial"/>
                <w:lang w:val="en-IN"/>
              </w:rPr>
            </w:pPr>
            <w:r w:rsidRPr="00525EAA">
              <w:rPr>
                <w:rFonts w:ascii="Arial" w:hAnsi="Arial" w:cs="Arial"/>
                <w:lang w:val="en-IN"/>
              </w:rPr>
              <w:t>NPM/17-25</w:t>
            </w:r>
          </w:p>
        </w:tc>
        <w:tc>
          <w:tcPr>
            <w:tcW w:w="992" w:type="dxa"/>
            <w:tcBorders>
              <w:top w:val="single" w:sz="4" w:space="0" w:color="auto"/>
              <w:left w:val="single" w:sz="4" w:space="0" w:color="auto"/>
              <w:bottom w:val="single" w:sz="4" w:space="0" w:color="auto"/>
              <w:right w:val="single" w:sz="4" w:space="0" w:color="auto"/>
            </w:tcBorders>
            <w:vAlign w:val="bottom"/>
            <w:hideMark/>
          </w:tcPr>
          <w:p w14:paraId="7F66D75F" w14:textId="77777777" w:rsidR="00525EAA" w:rsidRPr="00525EAA" w:rsidRDefault="00525EAA" w:rsidP="00525EAA">
            <w:pPr>
              <w:pStyle w:val="Body"/>
              <w:rPr>
                <w:rFonts w:ascii="Arial" w:hAnsi="Arial" w:cs="Arial"/>
                <w:lang w:val="en-IN"/>
              </w:rPr>
            </w:pPr>
            <w:r w:rsidRPr="00525EAA">
              <w:rPr>
                <w:rFonts w:ascii="Arial" w:hAnsi="Arial" w:cs="Arial"/>
                <w:lang w:val="en-GB"/>
              </w:rPr>
              <w:t>EX-11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614668" w14:textId="77777777" w:rsidR="00525EAA" w:rsidRPr="00525EAA" w:rsidRDefault="00525EAA" w:rsidP="00525EAA">
            <w:pPr>
              <w:pStyle w:val="Body"/>
              <w:rPr>
                <w:rFonts w:ascii="Arial" w:hAnsi="Arial" w:cs="Arial"/>
                <w:lang w:val="en-IN"/>
              </w:rPr>
            </w:pPr>
            <w:r w:rsidRPr="00525EAA">
              <w:rPr>
                <w:rFonts w:ascii="Arial" w:hAnsi="Arial" w:cs="Arial"/>
                <w:lang w:val="en-GB"/>
              </w:rPr>
              <w:t>RTS-75</w:t>
            </w:r>
          </w:p>
        </w:tc>
      </w:tr>
      <w:tr w:rsidR="00525EAA" w:rsidRPr="00525EAA" w14:paraId="71F2E582"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03F9D1" w14:textId="77777777" w:rsidR="00525EAA" w:rsidRPr="00525EAA" w:rsidRDefault="00525EAA" w:rsidP="00525EAA">
            <w:pPr>
              <w:pStyle w:val="Body"/>
              <w:rPr>
                <w:rFonts w:ascii="Arial" w:hAnsi="Arial" w:cs="Arial"/>
                <w:lang w:val="en-IN"/>
              </w:rPr>
            </w:pPr>
            <w:r w:rsidRPr="00525EAA">
              <w:rPr>
                <w:rFonts w:ascii="Arial" w:hAnsi="Arial" w:cs="Arial"/>
                <w:lang w:val="en-IN"/>
              </w:rPr>
              <w:t>EL-12</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0D938B57" w14:textId="77777777" w:rsidR="00525EAA" w:rsidRPr="00525EAA" w:rsidRDefault="00525EAA" w:rsidP="00525EAA">
            <w:pPr>
              <w:pStyle w:val="Body"/>
              <w:rPr>
                <w:rFonts w:ascii="Arial" w:hAnsi="Arial" w:cs="Arial"/>
                <w:lang w:val="en-IN"/>
              </w:rPr>
            </w:pPr>
            <w:r w:rsidRPr="00525EAA">
              <w:rPr>
                <w:rFonts w:ascii="Arial" w:hAnsi="Arial" w:cs="Arial"/>
                <w:lang w:val="en-IN"/>
              </w:rPr>
              <w:t>NPM/17-22</w:t>
            </w:r>
          </w:p>
        </w:tc>
        <w:tc>
          <w:tcPr>
            <w:tcW w:w="992" w:type="dxa"/>
            <w:tcBorders>
              <w:top w:val="single" w:sz="4" w:space="0" w:color="auto"/>
              <w:left w:val="single" w:sz="4" w:space="0" w:color="auto"/>
              <w:bottom w:val="single" w:sz="4" w:space="0" w:color="auto"/>
              <w:right w:val="single" w:sz="4" w:space="0" w:color="auto"/>
            </w:tcBorders>
            <w:vAlign w:val="bottom"/>
            <w:hideMark/>
          </w:tcPr>
          <w:p w14:paraId="705535DC" w14:textId="77777777" w:rsidR="00525EAA" w:rsidRPr="00525EAA" w:rsidRDefault="00525EAA" w:rsidP="00525EAA">
            <w:pPr>
              <w:pStyle w:val="Body"/>
              <w:rPr>
                <w:rFonts w:ascii="Arial" w:hAnsi="Arial" w:cs="Arial"/>
                <w:lang w:val="en-IN"/>
              </w:rPr>
            </w:pPr>
            <w:r w:rsidRPr="00525EAA">
              <w:rPr>
                <w:rFonts w:ascii="Arial" w:hAnsi="Arial" w:cs="Arial"/>
                <w:lang w:val="en-GB"/>
              </w:rPr>
              <w:t>EX-12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002E0A" w14:textId="77777777" w:rsidR="00525EAA" w:rsidRPr="00525EAA" w:rsidRDefault="00525EAA" w:rsidP="00525EAA">
            <w:pPr>
              <w:pStyle w:val="Body"/>
              <w:rPr>
                <w:rFonts w:ascii="Arial" w:hAnsi="Arial" w:cs="Arial"/>
                <w:lang w:val="en-IN"/>
              </w:rPr>
            </w:pPr>
            <w:r w:rsidRPr="00525EAA">
              <w:rPr>
                <w:rFonts w:ascii="Arial" w:hAnsi="Arial" w:cs="Arial"/>
                <w:lang w:val="en-GB"/>
              </w:rPr>
              <w:t>AC-22</w:t>
            </w:r>
          </w:p>
        </w:tc>
      </w:tr>
    </w:tbl>
    <w:p w14:paraId="0E5BAF0E" w14:textId="77777777" w:rsidR="00525EAA" w:rsidRPr="00525EAA" w:rsidRDefault="00525EAA" w:rsidP="00525EAA">
      <w:pPr>
        <w:pStyle w:val="Body"/>
        <w:spacing w:after="0"/>
        <w:rPr>
          <w:rFonts w:ascii="Arial" w:hAnsi="Arial" w:cs="Arial"/>
        </w:rPr>
      </w:pPr>
    </w:p>
    <w:p w14:paraId="6E576541" w14:textId="77777777" w:rsidR="00525EAA" w:rsidRPr="00525EAA" w:rsidRDefault="00525EAA" w:rsidP="00525EAA">
      <w:pPr>
        <w:pStyle w:val="Body"/>
        <w:spacing w:after="0"/>
        <w:rPr>
          <w:rFonts w:ascii="Arial" w:hAnsi="Arial" w:cs="Arial"/>
          <w:lang w:val="en-IN"/>
        </w:rPr>
      </w:pPr>
      <w:r w:rsidRPr="00525EAA">
        <w:rPr>
          <w:rFonts w:ascii="Arial" w:hAnsi="Arial" w:cs="Arial"/>
          <w:lang w:val="en-GB"/>
        </w:rPr>
        <w:t xml:space="preserve">According to earlier research by Amaglo </w:t>
      </w:r>
      <w:r w:rsidRPr="00525EAA">
        <w:rPr>
          <w:rFonts w:ascii="Arial" w:hAnsi="Arial" w:cs="Arial"/>
          <w:i/>
          <w:iCs/>
          <w:lang w:val="en-GB"/>
        </w:rPr>
        <w:t>et al</w:t>
      </w:r>
      <w:r w:rsidRPr="00525EAA">
        <w:rPr>
          <w:rFonts w:ascii="Arial" w:hAnsi="Arial" w:cs="Arial"/>
          <w:lang w:val="en-GB"/>
        </w:rPr>
        <w:t xml:space="preserve">. (2010), </w:t>
      </w:r>
      <w:r w:rsidRPr="00525EAA">
        <w:rPr>
          <w:rFonts w:ascii="Arial" w:hAnsi="Arial" w:cs="Arial"/>
          <w:i/>
          <w:iCs/>
          <w:lang w:val="en-GB"/>
        </w:rPr>
        <w:t>M. oleifera</w:t>
      </w:r>
      <w:r w:rsidRPr="00525EAA">
        <w:rPr>
          <w:rFonts w:ascii="Arial" w:hAnsi="Arial" w:cs="Arial"/>
          <w:lang w:val="en-GB"/>
        </w:rPr>
        <w:t xml:space="preserve">'s stem, leaves, flowers, pods, and seeds had higher concentrations of 4RBGS than other GSLs. According to Maldini </w:t>
      </w:r>
      <w:r w:rsidRPr="00525EAA">
        <w:rPr>
          <w:rFonts w:ascii="Arial" w:hAnsi="Arial" w:cs="Arial"/>
          <w:i/>
          <w:iCs/>
          <w:lang w:val="en-GB"/>
        </w:rPr>
        <w:t>et al</w:t>
      </w:r>
      <w:r w:rsidRPr="00525EAA">
        <w:rPr>
          <w:rFonts w:ascii="Arial" w:hAnsi="Arial" w:cs="Arial"/>
          <w:lang w:val="en-GB"/>
        </w:rPr>
        <w:t xml:space="preserve">. (2014), who conducted investigations based on mass spectrometry, 4RBGS is the most prevalent GSL in all of </w:t>
      </w:r>
      <w:r w:rsidRPr="00525EAA">
        <w:rPr>
          <w:rFonts w:ascii="Arial" w:hAnsi="Arial" w:cs="Arial"/>
          <w:i/>
          <w:iCs/>
          <w:lang w:val="en-GB"/>
        </w:rPr>
        <w:t>M. oleifera</w:t>
      </w:r>
      <w:r w:rsidRPr="00525EAA">
        <w:rPr>
          <w:rFonts w:ascii="Arial" w:hAnsi="Arial" w:cs="Arial"/>
          <w:lang w:val="en-GB"/>
        </w:rPr>
        <w:t xml:space="preserve">'s components, particularly the pulp seed, with 4-OHBGS coming in second. When Sibhat et al. (2023) performed reversed-phase high-performance liquid chromatography (RP-HPLC) on </w:t>
      </w:r>
      <w:r w:rsidRPr="00525EAA">
        <w:rPr>
          <w:rFonts w:ascii="Arial" w:hAnsi="Arial" w:cs="Arial"/>
          <w:i/>
          <w:lang w:val="en-GB"/>
        </w:rPr>
        <w:t>Moringa stenopetala</w:t>
      </w:r>
      <w:r w:rsidRPr="00525EAA">
        <w:rPr>
          <w:rFonts w:ascii="Arial" w:hAnsi="Arial" w:cs="Arial"/>
          <w:lang w:val="en-GB"/>
        </w:rPr>
        <w:t xml:space="preserve">, a close relative of </w:t>
      </w:r>
      <w:r w:rsidRPr="00525EAA">
        <w:rPr>
          <w:rFonts w:ascii="Arial" w:hAnsi="Arial" w:cs="Arial"/>
          <w:i/>
          <w:lang w:val="en-GB"/>
        </w:rPr>
        <w:t>M. oleifera</w:t>
      </w:r>
      <w:r w:rsidRPr="00525EAA">
        <w:rPr>
          <w:rFonts w:ascii="Arial" w:hAnsi="Arial" w:cs="Arial"/>
          <w:lang w:val="en-GB"/>
        </w:rPr>
        <w:t xml:space="preserve">, they discovered that the most common GSL among phenolics was 4RBGS (0.2–4.2 mgg-1). A study by Feng et al. (2022) examined the composition and GSL content of the leaf, stem, and flower bud of Chinese flowering cabbage. Their results showed that the total GSL content of flower buds were significantly higher than that of leaves and stalks. When Zhu et al. (2013) examined GSLs in a number of pak choi organs, they discovered that the roots had a significantly greater GSL concentration than the leaves. According to Brown et al. (2003), the quantity of GSLs varies across tissues and developmental stages in </w:t>
      </w:r>
      <w:r w:rsidRPr="00525EAA">
        <w:rPr>
          <w:rFonts w:ascii="Arial" w:hAnsi="Arial" w:cs="Arial"/>
          <w:i/>
          <w:lang w:val="en-GB"/>
        </w:rPr>
        <w:t>A. thaliana</w:t>
      </w:r>
      <w:r w:rsidRPr="00525EAA">
        <w:rPr>
          <w:rFonts w:ascii="Arial" w:hAnsi="Arial" w:cs="Arial"/>
          <w:lang w:val="en-GB"/>
        </w:rPr>
        <w:t xml:space="preserve">. Therefore, it has been demonstrated that the types and amounts of GSL vary among species, cultivars, and even within the same plant's tissues. </w:t>
      </w:r>
    </w:p>
    <w:p w14:paraId="29D45F28" w14:textId="77777777" w:rsidR="00525EAA" w:rsidRPr="00525EAA" w:rsidRDefault="00525EAA" w:rsidP="00525EAA">
      <w:pPr>
        <w:pStyle w:val="Body"/>
        <w:spacing w:after="0"/>
        <w:rPr>
          <w:rFonts w:ascii="Arial" w:hAnsi="Arial" w:cs="Arial"/>
        </w:rPr>
      </w:pPr>
      <w:r w:rsidRPr="00525EAA">
        <w:rPr>
          <w:rFonts w:ascii="Arial" w:hAnsi="Arial" w:cs="Arial"/>
        </w:rPr>
        <w:t>This study provides valuable insights into the variability of glucosinolate (GSL) accumulation in moringa, shaped by both genetic differences among accessions and distinct tissue-specific patterns. The elite accessions NPM/17-22, NAM/17-42, and TR local exhibited notably high GSL levels, making them promising candidates for further research and potential metabolic enhancement.  Across all accessions and tissues, 4RBGS consistently emerged as the dominant glucosinolate, pointing to a genetically conserved biosynthetic pathway in moringa. These findings demonstrate that GSL accumulation is influenced by both genetic background and tissue-specific regulation. Understanding these patterns provides a strong foundation for targeted metabolic engineering to enhance GSL production, particularly in high-yield tissues. With strategic optimization, these insights could pave the way for improved commercial extraction, strengthening moringa’s potential in pharmaceutical and nutraceutical applications.</w:t>
      </w:r>
    </w:p>
    <w:p w14:paraId="0E641836" w14:textId="77777777" w:rsidR="00790ADA" w:rsidRPr="00FB3A86" w:rsidRDefault="00790ADA" w:rsidP="00441B6F">
      <w:pPr>
        <w:pStyle w:val="Body"/>
        <w:spacing w:after="0"/>
        <w:rPr>
          <w:rFonts w:ascii="Arial" w:hAnsi="Arial" w:cs="Arial"/>
        </w:rPr>
      </w:pPr>
    </w:p>
    <w:p w14:paraId="1A76BA14" w14:textId="77777777" w:rsidR="00790ADA" w:rsidRPr="00FB3A86" w:rsidRDefault="00790ADA" w:rsidP="00441B6F">
      <w:pPr>
        <w:pStyle w:val="Body"/>
        <w:spacing w:after="0"/>
        <w:rPr>
          <w:rFonts w:ascii="Arial" w:hAnsi="Arial" w:cs="Arial"/>
        </w:rPr>
      </w:pPr>
    </w:p>
    <w:p w14:paraId="7699E1C3" w14:textId="77777777" w:rsidR="005C784C" w:rsidRDefault="005C784C" w:rsidP="00441B6F">
      <w:pPr>
        <w:pStyle w:val="ReferHead"/>
        <w:spacing w:after="0"/>
        <w:jc w:val="both"/>
        <w:rPr>
          <w:rFonts w:ascii="Arial" w:hAnsi="Arial" w:cs="Arial"/>
          <w:b w:val="0"/>
          <w:caps w:val="0"/>
          <w:sz w:val="20"/>
        </w:rPr>
      </w:pPr>
    </w:p>
    <w:p w14:paraId="50DA809C" w14:textId="77777777" w:rsidR="00B01FCD" w:rsidRDefault="00B01FCD" w:rsidP="00441B6F">
      <w:pPr>
        <w:pStyle w:val="ReferHead"/>
        <w:spacing w:after="0"/>
        <w:jc w:val="both"/>
        <w:rPr>
          <w:rFonts w:ascii="Arial" w:hAnsi="Arial" w:cs="Arial"/>
        </w:rPr>
      </w:pPr>
      <w:commentRangeStart w:id="3"/>
      <w:r w:rsidRPr="00FB3A86">
        <w:rPr>
          <w:rFonts w:ascii="Arial" w:hAnsi="Arial" w:cs="Arial"/>
        </w:rPr>
        <w:t>References</w:t>
      </w:r>
      <w:commentRangeEnd w:id="3"/>
      <w:r w:rsidR="00A77019">
        <w:rPr>
          <w:rStyle w:val="CommentReference"/>
          <w:rFonts w:ascii="Arial" w:hAnsi="Arial" w:cs="Arial"/>
          <w:sz w:val="22"/>
          <w:szCs w:val="20"/>
        </w:rPr>
        <w:commentReference w:id="3"/>
      </w:r>
    </w:p>
    <w:p w14:paraId="6984C36D" w14:textId="77777777" w:rsidR="00790ADA" w:rsidRPr="00FB3A86" w:rsidRDefault="00790ADA" w:rsidP="00441B6F">
      <w:pPr>
        <w:pStyle w:val="ReferHead"/>
        <w:spacing w:after="0"/>
        <w:jc w:val="both"/>
        <w:rPr>
          <w:rFonts w:ascii="Arial" w:hAnsi="Arial" w:cs="Arial"/>
        </w:rPr>
      </w:pPr>
    </w:p>
    <w:p w14:paraId="0E0153E7" w14:textId="12D97724" w:rsidR="00861689" w:rsidRPr="00861689" w:rsidRDefault="00C90730" w:rsidP="00ED3B96">
      <w:pPr>
        <w:pStyle w:val="Body"/>
        <w:spacing w:after="120"/>
        <w:rPr>
          <w:rFonts w:ascii="Arial" w:hAnsi="Arial" w:cs="Arial"/>
          <w:lang w:val="en-GB"/>
        </w:rPr>
      </w:pPr>
      <w:r w:rsidRPr="00C90730">
        <w:rPr>
          <w:rFonts w:ascii="Arial" w:hAnsi="Arial" w:cs="Arial"/>
          <w:lang w:val="en-GB"/>
        </w:rPr>
        <w:t xml:space="preserve">Amaglo, N. K., Bennett, R. N., Lo Curto, R. B., Rosa, E. A. S., Lo Turco, V., Giuffrida, A., Lo Curto, A., Crea, F., &amp; Timpo, G. M. (2010). Profiling selected phytochemicals and nutrients in different tissues of the multipurpose tree Moringa oleifera L., grown in Ghana. Food Chemistry, 122(4), 1047-1054. </w:t>
      </w:r>
      <w:hyperlink r:id="rId19" w:history="1">
        <w:r w:rsidRPr="00D747E6">
          <w:rPr>
            <w:rStyle w:val="Hyperlink"/>
            <w:rFonts w:ascii="Arial" w:hAnsi="Arial" w:cs="Arial"/>
            <w:lang w:val="en-GB"/>
          </w:rPr>
          <w:t>https://doi.org/10.1016/j.foodchem.2010.03.073</w:t>
        </w:r>
      </w:hyperlink>
      <w:r>
        <w:rPr>
          <w:rFonts w:ascii="Arial" w:hAnsi="Arial" w:cs="Arial"/>
          <w:lang w:val="en-GB"/>
        </w:rPr>
        <w:t xml:space="preserve"> </w:t>
      </w:r>
      <w:r w:rsidR="00861689" w:rsidRPr="00861689">
        <w:rPr>
          <w:rFonts w:ascii="Arial" w:hAnsi="Arial" w:cs="Arial"/>
          <w:lang w:val="en-GB"/>
        </w:rPr>
        <w:t>.</w:t>
      </w:r>
    </w:p>
    <w:p w14:paraId="0F7A63F3" w14:textId="04F6DBAF" w:rsidR="00861689" w:rsidRPr="00861689" w:rsidRDefault="00A32ADC" w:rsidP="00ED3B96">
      <w:pPr>
        <w:pStyle w:val="Body"/>
        <w:spacing w:after="120"/>
        <w:rPr>
          <w:rFonts w:ascii="Arial" w:hAnsi="Arial" w:cs="Arial"/>
          <w:lang w:val="en-GB"/>
        </w:rPr>
      </w:pPr>
      <w:r w:rsidRPr="00A32ADC">
        <w:rPr>
          <w:rFonts w:ascii="Arial" w:hAnsi="Arial" w:cs="Arial"/>
          <w:lang w:val="en-GB"/>
        </w:rPr>
        <w:t xml:space="preserve">Augustine, R., Mukhopadhyay, A., &amp; Bisht, N. C. (2013). Targeted silencing of BjMYB28 transcription factor gene directs development of low glucosinolate lines in oilseed Brassica juncea. Plant Biotechnology Journal, 11(7), 855-866. </w:t>
      </w:r>
      <w:hyperlink r:id="rId20" w:history="1">
        <w:r w:rsidRPr="00D747E6">
          <w:rPr>
            <w:rStyle w:val="Hyperlink"/>
            <w:rFonts w:ascii="Arial" w:hAnsi="Arial" w:cs="Arial"/>
            <w:lang w:val="en-GB"/>
          </w:rPr>
          <w:t>https://doi.org/10.1111/pbi.12078</w:t>
        </w:r>
      </w:hyperlink>
      <w:r>
        <w:rPr>
          <w:rFonts w:ascii="Arial" w:hAnsi="Arial" w:cs="Arial"/>
          <w:lang w:val="en-GB"/>
        </w:rPr>
        <w:t xml:space="preserve"> </w:t>
      </w:r>
      <w:r w:rsidR="00861689" w:rsidRPr="00861689">
        <w:rPr>
          <w:rFonts w:ascii="Arial" w:hAnsi="Arial" w:cs="Arial"/>
          <w:lang w:val="en-GB"/>
        </w:rPr>
        <w:t>.</w:t>
      </w:r>
    </w:p>
    <w:p w14:paraId="2C0690B5" w14:textId="799FA43D" w:rsidR="00861689" w:rsidRPr="00861689" w:rsidRDefault="00102714" w:rsidP="00ED3B96">
      <w:pPr>
        <w:pStyle w:val="Body"/>
        <w:spacing w:after="120"/>
        <w:rPr>
          <w:rFonts w:ascii="Arial" w:hAnsi="Arial" w:cs="Arial"/>
          <w:lang w:val="en-GB"/>
        </w:rPr>
      </w:pPr>
      <w:r w:rsidRPr="00102714">
        <w:rPr>
          <w:rFonts w:ascii="Arial" w:hAnsi="Arial" w:cs="Arial"/>
          <w:lang w:val="en-GB"/>
        </w:rPr>
        <w:t xml:space="preserve">Bhat, R. (2022). Glucosinolates. In J. Kour &amp; G. A. Nayik (Eds.), Nutraceuticals and Health Care (pp. 233-243). Elsevier. </w:t>
      </w:r>
      <w:hyperlink r:id="rId21" w:history="1">
        <w:r w:rsidRPr="00D747E6">
          <w:rPr>
            <w:rStyle w:val="Hyperlink"/>
            <w:rFonts w:ascii="Arial" w:hAnsi="Arial" w:cs="Arial"/>
            <w:lang w:val="en-GB"/>
          </w:rPr>
          <w:t>https://doi.org/10.1016/C2020-0-03223-8</w:t>
        </w:r>
      </w:hyperlink>
      <w:r>
        <w:rPr>
          <w:rFonts w:ascii="Arial" w:hAnsi="Arial" w:cs="Arial"/>
          <w:lang w:val="en-GB"/>
        </w:rPr>
        <w:t xml:space="preserve"> </w:t>
      </w:r>
      <w:r w:rsidR="00861689" w:rsidRPr="00861689">
        <w:rPr>
          <w:rFonts w:ascii="Arial" w:hAnsi="Arial" w:cs="Arial"/>
          <w:lang w:val="en-GB"/>
        </w:rPr>
        <w:t>.</w:t>
      </w:r>
    </w:p>
    <w:p w14:paraId="12EA391D" w14:textId="6A86D187" w:rsidR="00861689" w:rsidRPr="00861689" w:rsidRDefault="00476772" w:rsidP="00ED3B96">
      <w:pPr>
        <w:pStyle w:val="Body"/>
        <w:spacing w:after="120"/>
        <w:rPr>
          <w:rFonts w:ascii="Arial" w:hAnsi="Arial" w:cs="Arial"/>
          <w:lang w:val="en-GB"/>
        </w:rPr>
      </w:pPr>
      <w:r w:rsidRPr="00476772">
        <w:rPr>
          <w:rFonts w:ascii="Arial" w:hAnsi="Arial" w:cs="Arial"/>
          <w:lang w:val="en-GB"/>
        </w:rPr>
        <w:t xml:space="preserve">Brown, P. D., Tokuhisa, J. G., Reichelt, M., &amp; Gershenzon, J. (2003). Variation of glucosinolate accumulation among different organs and developmental stages of Arabidopsis thaliana. Phytochemistry, 62(3), 471-481. </w:t>
      </w:r>
      <w:hyperlink r:id="rId22" w:history="1">
        <w:r w:rsidRPr="00D747E6">
          <w:rPr>
            <w:rStyle w:val="Hyperlink"/>
            <w:rFonts w:ascii="Arial" w:hAnsi="Arial" w:cs="Arial"/>
            <w:lang w:val="en-GB"/>
          </w:rPr>
          <w:t>https://doi.org/10.1016/s0031-9422(02)00549-6</w:t>
        </w:r>
      </w:hyperlink>
      <w:r>
        <w:rPr>
          <w:rFonts w:ascii="Arial" w:hAnsi="Arial" w:cs="Arial"/>
          <w:lang w:val="en-GB"/>
        </w:rPr>
        <w:t xml:space="preserve"> </w:t>
      </w:r>
      <w:r w:rsidR="00861689" w:rsidRPr="00861689">
        <w:rPr>
          <w:rFonts w:ascii="Arial" w:hAnsi="Arial" w:cs="Arial"/>
          <w:lang w:val="en-GB"/>
        </w:rPr>
        <w:t>.</w:t>
      </w:r>
    </w:p>
    <w:p w14:paraId="3E9DBA58" w14:textId="31AEFC98" w:rsidR="00861689" w:rsidRPr="00861689" w:rsidRDefault="00DB2EF5" w:rsidP="00ED3B96">
      <w:pPr>
        <w:pStyle w:val="Body"/>
        <w:spacing w:after="120"/>
        <w:rPr>
          <w:rFonts w:ascii="Arial" w:hAnsi="Arial" w:cs="Arial"/>
          <w:lang w:val="en-GB"/>
        </w:rPr>
      </w:pPr>
      <w:r w:rsidRPr="00DB2EF5">
        <w:rPr>
          <w:rFonts w:ascii="Arial" w:hAnsi="Arial" w:cs="Arial"/>
          <w:lang w:val="en-GB"/>
        </w:rPr>
        <w:t xml:space="preserve">Fahey, J. W., Zalcmann, A. T., &amp; Talalay, P. (2001). The chemical diversity and distribution of glucosinolates and isothiocyanates among plants. Phytochemistry, 56(1), 5–51. </w:t>
      </w:r>
      <w:hyperlink r:id="rId23" w:history="1">
        <w:r w:rsidRPr="00D747E6">
          <w:rPr>
            <w:rStyle w:val="Hyperlink"/>
            <w:rFonts w:ascii="Arial" w:hAnsi="Arial" w:cs="Arial"/>
            <w:lang w:val="en-GB"/>
          </w:rPr>
          <w:t>https://doi.org/10.1016/s0031-9422(00)00316-2</w:t>
        </w:r>
      </w:hyperlink>
      <w:r>
        <w:rPr>
          <w:rFonts w:ascii="Arial" w:hAnsi="Arial" w:cs="Arial"/>
          <w:lang w:val="en-GB"/>
        </w:rPr>
        <w:t xml:space="preserve"> </w:t>
      </w:r>
      <w:r w:rsidR="00861689" w:rsidRPr="00861689">
        <w:rPr>
          <w:rFonts w:ascii="Arial" w:hAnsi="Arial" w:cs="Arial"/>
          <w:lang w:val="en-GB"/>
        </w:rPr>
        <w:t>.</w:t>
      </w:r>
    </w:p>
    <w:p w14:paraId="44028D46" w14:textId="157295C1" w:rsidR="00861689" w:rsidRPr="00861689" w:rsidRDefault="00730073" w:rsidP="00ED3B96">
      <w:pPr>
        <w:pStyle w:val="Body"/>
        <w:spacing w:after="120"/>
        <w:rPr>
          <w:rFonts w:ascii="Arial" w:hAnsi="Arial" w:cs="Arial"/>
          <w:lang w:val="en-GB"/>
        </w:rPr>
      </w:pPr>
      <w:r w:rsidRPr="00730073">
        <w:rPr>
          <w:rFonts w:ascii="Arial" w:hAnsi="Arial" w:cs="Arial"/>
          <w:lang w:val="en-GB"/>
        </w:rPr>
        <w:t xml:space="preserve">Feng, X., Ma, J., Liu, Z., Li, X., Wu, Y., Hou, L., &amp; Li, M. (2022). Analysis of glucosinolate content and metabolism related genes in different parts of Chinese flowering cabbage. Frontiers in Plant Science, 12, 767898. </w:t>
      </w:r>
      <w:hyperlink r:id="rId24" w:history="1">
        <w:r w:rsidRPr="00D747E6">
          <w:rPr>
            <w:rStyle w:val="Hyperlink"/>
            <w:rFonts w:ascii="Arial" w:hAnsi="Arial" w:cs="Arial"/>
            <w:lang w:val="en-GB"/>
          </w:rPr>
          <w:t>https://doi.org/10.3389/fpls.2021.767898</w:t>
        </w:r>
      </w:hyperlink>
      <w:r>
        <w:rPr>
          <w:rFonts w:ascii="Arial" w:hAnsi="Arial" w:cs="Arial"/>
          <w:lang w:val="en-GB"/>
        </w:rPr>
        <w:t xml:space="preserve"> </w:t>
      </w:r>
      <w:r w:rsidR="00861689" w:rsidRPr="00861689">
        <w:rPr>
          <w:rFonts w:ascii="Arial" w:hAnsi="Arial" w:cs="Arial"/>
          <w:lang w:val="en-GB"/>
        </w:rPr>
        <w:t>.</w:t>
      </w:r>
    </w:p>
    <w:p w14:paraId="30F27EF6" w14:textId="4BEDABAD" w:rsidR="00861689" w:rsidRPr="00861689" w:rsidRDefault="00D2254C" w:rsidP="00ED3B96">
      <w:pPr>
        <w:pStyle w:val="Body"/>
        <w:spacing w:after="120"/>
        <w:rPr>
          <w:rFonts w:ascii="Arial" w:hAnsi="Arial" w:cs="Arial"/>
          <w:lang w:val="en-GB"/>
        </w:rPr>
      </w:pPr>
      <w:r w:rsidRPr="00D2254C">
        <w:rPr>
          <w:rFonts w:ascii="Arial" w:hAnsi="Arial" w:cs="Arial"/>
          <w:lang w:val="en-GB"/>
        </w:rPr>
        <w:t xml:space="preserve">Halkier, B. A., &amp; Gershenzon, J. (2006). Biology and biochemistry of glucosinolates. Annual Review of Plant Biology, 57, 303–333. </w:t>
      </w:r>
      <w:hyperlink r:id="rId25" w:history="1">
        <w:r w:rsidRPr="00D747E6">
          <w:rPr>
            <w:rStyle w:val="Hyperlink"/>
            <w:rFonts w:ascii="Arial" w:hAnsi="Arial" w:cs="Arial"/>
            <w:lang w:val="en-GB"/>
          </w:rPr>
          <w:t>https://doi.org/10.1146/annurev.arplant.57.032905.105228</w:t>
        </w:r>
      </w:hyperlink>
      <w:r>
        <w:rPr>
          <w:rFonts w:ascii="Arial" w:hAnsi="Arial" w:cs="Arial"/>
          <w:lang w:val="en-GB"/>
        </w:rPr>
        <w:t xml:space="preserve"> </w:t>
      </w:r>
      <w:r w:rsidR="00861689" w:rsidRPr="00861689">
        <w:rPr>
          <w:rFonts w:ascii="Arial" w:hAnsi="Arial" w:cs="Arial"/>
          <w:lang w:val="en-GB"/>
        </w:rPr>
        <w:t>.</w:t>
      </w:r>
    </w:p>
    <w:p w14:paraId="61FD769C" w14:textId="6E0FF80C" w:rsidR="00861689" w:rsidRPr="00861689" w:rsidRDefault="003E05E5" w:rsidP="00ED3B96">
      <w:pPr>
        <w:pStyle w:val="Body"/>
        <w:spacing w:after="120"/>
        <w:rPr>
          <w:rFonts w:ascii="Arial" w:hAnsi="Arial" w:cs="Arial"/>
          <w:lang w:val="en-GB"/>
        </w:rPr>
      </w:pPr>
      <w:r w:rsidRPr="003E05E5">
        <w:rPr>
          <w:rFonts w:ascii="Arial" w:hAnsi="Arial" w:cs="Arial"/>
          <w:lang w:val="en-GB"/>
        </w:rPr>
        <w:t xml:space="preserve">Maldini, M., Maksoud, S. A., Natella, F., Montoro, P., Petretto, G. L., Foddai, M., De Nicola, G. R., Chessa, M., &amp; Pintore, G. (2014). Moringa oleifera: study of phenolics and glucosinolates by mass spectrometry. Journal of Mass Spectrometry, 49(9), 900-910. </w:t>
      </w:r>
      <w:hyperlink r:id="rId26" w:history="1">
        <w:r w:rsidRPr="00D747E6">
          <w:rPr>
            <w:rStyle w:val="Hyperlink"/>
            <w:rFonts w:ascii="Arial" w:hAnsi="Arial" w:cs="Arial"/>
            <w:lang w:val="en-GB"/>
          </w:rPr>
          <w:t>https://doi.org/10.1002/jms.3437</w:t>
        </w:r>
      </w:hyperlink>
      <w:r>
        <w:rPr>
          <w:rFonts w:ascii="Arial" w:hAnsi="Arial" w:cs="Arial"/>
          <w:lang w:val="en-GB"/>
        </w:rPr>
        <w:t xml:space="preserve"> </w:t>
      </w:r>
      <w:r w:rsidR="00861689" w:rsidRPr="00861689">
        <w:rPr>
          <w:rFonts w:ascii="Arial" w:hAnsi="Arial" w:cs="Arial"/>
          <w:lang w:val="en-GB"/>
        </w:rPr>
        <w:t>.</w:t>
      </w:r>
    </w:p>
    <w:p w14:paraId="53BC374E" w14:textId="2F7117E6" w:rsidR="00861689" w:rsidRPr="00861689" w:rsidRDefault="00A95AE0" w:rsidP="00ED3B96">
      <w:pPr>
        <w:pStyle w:val="Body"/>
        <w:spacing w:after="120"/>
        <w:rPr>
          <w:rFonts w:ascii="Arial" w:hAnsi="Arial" w:cs="Arial"/>
          <w:lang w:val="en-GB"/>
        </w:rPr>
      </w:pPr>
      <w:r w:rsidRPr="00A95AE0">
        <w:rPr>
          <w:rFonts w:ascii="Arial" w:hAnsi="Arial" w:cs="Arial"/>
          <w:lang w:val="en-GB"/>
        </w:rPr>
        <w:lastRenderedPageBreak/>
        <w:t xml:space="preserve">Mithen, R. F., Dekker, M., Verkerk, R., Rabot, S., &amp; Johnson, I. T. (2000). The nutritional significance, biosynthesis and bioavailability of glucosinolates in human foods. Journal of the Science of Food and Agriculture, 80(7), 967-984. </w:t>
      </w:r>
      <w:hyperlink r:id="rId27" w:history="1">
        <w:r w:rsidRPr="00D747E6">
          <w:rPr>
            <w:rStyle w:val="Hyperlink"/>
            <w:rFonts w:ascii="Arial" w:hAnsi="Arial" w:cs="Arial"/>
            <w:lang w:val="en-GB"/>
          </w:rPr>
          <w:t>https://doi.org/10.1002/(SICI)1097-0010(20000515)80:7&lt;967::AID-JSFA597&gt;3.0.CO;2-V</w:t>
        </w:r>
      </w:hyperlink>
      <w:r>
        <w:rPr>
          <w:rFonts w:ascii="Arial" w:hAnsi="Arial" w:cs="Arial"/>
          <w:lang w:val="en-GB"/>
        </w:rPr>
        <w:t xml:space="preserve"> </w:t>
      </w:r>
      <w:r w:rsidR="00861689" w:rsidRPr="00861689">
        <w:rPr>
          <w:rFonts w:ascii="Arial" w:hAnsi="Arial" w:cs="Arial"/>
          <w:lang w:val="en-GB"/>
        </w:rPr>
        <w:t>.</w:t>
      </w:r>
    </w:p>
    <w:p w14:paraId="76A2961B" w14:textId="42FF4227" w:rsidR="00861689" w:rsidRPr="00861689" w:rsidRDefault="00A64DD1" w:rsidP="00ED3B96">
      <w:pPr>
        <w:pStyle w:val="Body"/>
        <w:spacing w:after="120"/>
        <w:rPr>
          <w:rFonts w:ascii="Arial" w:hAnsi="Arial" w:cs="Arial"/>
          <w:lang w:val="en-GB"/>
        </w:rPr>
      </w:pPr>
      <w:r w:rsidRPr="00A64DD1">
        <w:rPr>
          <w:rFonts w:ascii="Arial" w:hAnsi="Arial" w:cs="Arial"/>
          <w:lang w:val="en-GB"/>
        </w:rPr>
        <w:t xml:space="preserve">Pandey, A., Pandey, R. D., Tripathi, P., Gupta, P. P., Haider, J., Bhatt, S., &amp; Singh, A. V. (2012). Moringa oleifera Lam. (Sahijan)-A plant with a plethora of diverse therapeutic benefits: An updated retrospection. Medicinal &amp; Aromatic Plants, 1(1), 1-8. </w:t>
      </w:r>
      <w:hyperlink r:id="rId28" w:history="1">
        <w:r w:rsidRPr="00D747E6">
          <w:rPr>
            <w:rStyle w:val="Hyperlink"/>
            <w:rFonts w:ascii="Arial" w:hAnsi="Arial" w:cs="Arial"/>
            <w:lang w:val="en-GB"/>
          </w:rPr>
          <w:t>https://doi.org/10.4172/2167-0412.1000101</w:t>
        </w:r>
      </w:hyperlink>
      <w:r>
        <w:rPr>
          <w:rFonts w:ascii="Arial" w:hAnsi="Arial" w:cs="Arial"/>
          <w:lang w:val="en-GB"/>
        </w:rPr>
        <w:t xml:space="preserve"> </w:t>
      </w:r>
      <w:r w:rsidR="00861689" w:rsidRPr="00861689">
        <w:rPr>
          <w:rFonts w:ascii="Arial" w:hAnsi="Arial" w:cs="Arial"/>
          <w:lang w:val="en-GB"/>
        </w:rPr>
        <w:t>.</w:t>
      </w:r>
    </w:p>
    <w:p w14:paraId="566583CA" w14:textId="37E8ECC7" w:rsidR="00861689" w:rsidRPr="00861689" w:rsidRDefault="00B85769" w:rsidP="00ED3B96">
      <w:pPr>
        <w:pStyle w:val="Body"/>
        <w:spacing w:after="120"/>
        <w:rPr>
          <w:rFonts w:ascii="Arial" w:hAnsi="Arial" w:cs="Arial"/>
          <w:lang w:val="en-GB"/>
        </w:rPr>
      </w:pPr>
      <w:r w:rsidRPr="00B85769">
        <w:rPr>
          <w:rFonts w:ascii="Arial" w:hAnsi="Arial" w:cs="Arial"/>
          <w:lang w:val="en-GB"/>
        </w:rPr>
        <w:t xml:space="preserve">Sibhat, G., Kahsay, G., Van Schepdael, A., &amp; Adams, E. (2023). Fast RP-HPLC method for analysis of glucosinolates and phenolics in Moringa stenopetala leaf powder preparations. Chromatographia, 86(6), 425–435. </w:t>
      </w:r>
      <w:hyperlink r:id="rId29" w:history="1">
        <w:r w:rsidRPr="00D747E6">
          <w:rPr>
            <w:rStyle w:val="Hyperlink"/>
            <w:rFonts w:ascii="Arial" w:hAnsi="Arial" w:cs="Arial"/>
            <w:lang w:val="en-GB"/>
          </w:rPr>
          <w:t>https://doi.org/10.1007/s10337-023-04256-1</w:t>
        </w:r>
      </w:hyperlink>
      <w:r>
        <w:rPr>
          <w:rFonts w:ascii="Arial" w:hAnsi="Arial" w:cs="Arial"/>
          <w:lang w:val="en-GB"/>
        </w:rPr>
        <w:t xml:space="preserve"> </w:t>
      </w:r>
    </w:p>
    <w:p w14:paraId="0F7DD180" w14:textId="264738FD" w:rsidR="00861689" w:rsidRPr="00861689" w:rsidRDefault="009E14BC" w:rsidP="00ED3B96">
      <w:pPr>
        <w:pStyle w:val="Body"/>
        <w:spacing w:after="120"/>
        <w:rPr>
          <w:rFonts w:ascii="Arial" w:hAnsi="Arial" w:cs="Arial"/>
          <w:lang w:val="en-GB"/>
        </w:rPr>
      </w:pPr>
      <w:r w:rsidRPr="009E14BC">
        <w:rPr>
          <w:rFonts w:ascii="Arial" w:hAnsi="Arial" w:cs="Arial"/>
          <w:lang w:val="en-GB"/>
        </w:rPr>
        <w:t xml:space="preserve">Sønderby, I. E., Geu-Flores, F., &amp; Halkier, B. A. (2010). Biosynthesis of glucosinolates–gene discovery and beyond. Trends in Plant Science, 15(5), 283-290. </w:t>
      </w:r>
      <w:hyperlink r:id="rId30" w:history="1">
        <w:r w:rsidRPr="00D747E6">
          <w:rPr>
            <w:rStyle w:val="Hyperlink"/>
            <w:rFonts w:ascii="Arial" w:hAnsi="Arial" w:cs="Arial"/>
            <w:lang w:val="en-GB"/>
          </w:rPr>
          <w:t>https://doi.org/10.1016/j.tplants.2010.02.005</w:t>
        </w:r>
      </w:hyperlink>
      <w:r>
        <w:rPr>
          <w:rFonts w:ascii="Arial" w:hAnsi="Arial" w:cs="Arial"/>
          <w:lang w:val="en-GB"/>
        </w:rPr>
        <w:t xml:space="preserve"> </w:t>
      </w:r>
      <w:r w:rsidR="00861689" w:rsidRPr="00861689">
        <w:rPr>
          <w:rFonts w:ascii="Arial" w:hAnsi="Arial" w:cs="Arial"/>
          <w:lang w:val="en-GB"/>
        </w:rPr>
        <w:t>.</w:t>
      </w:r>
    </w:p>
    <w:p w14:paraId="68DACB4D" w14:textId="56F9DC41" w:rsidR="00861689" w:rsidRPr="00861689" w:rsidRDefault="009B6600" w:rsidP="00ED3B96">
      <w:pPr>
        <w:pStyle w:val="Body"/>
        <w:spacing w:after="120"/>
        <w:rPr>
          <w:rFonts w:ascii="Arial" w:hAnsi="Arial" w:cs="Arial"/>
          <w:lang w:val="en-GB"/>
        </w:rPr>
      </w:pPr>
      <w:r w:rsidRPr="009B6600">
        <w:rPr>
          <w:rFonts w:ascii="Arial" w:hAnsi="Arial" w:cs="Arial"/>
          <w:lang w:val="en-GB"/>
        </w:rPr>
        <w:t xml:space="preserve">Widemann, E., Bruinsma, K., Walshe-Roussel, B., Rioja, C., Arbona, V., Saha, R. K., Letwin, D., Zhurov, V., Gómez-Cadenas, A., Bernards, M. A., Grbić, M., &amp; Grbić, V. (2021). Multiple indole glucosinolates and myrosinases defend Arabidopsis against Tetranychus urticae herbivory. Plant Physiology, 187(1), 116-132. </w:t>
      </w:r>
      <w:hyperlink r:id="rId31" w:history="1">
        <w:r w:rsidRPr="00D747E6">
          <w:rPr>
            <w:rStyle w:val="Hyperlink"/>
            <w:rFonts w:ascii="Arial" w:hAnsi="Arial" w:cs="Arial"/>
            <w:lang w:val="en-GB"/>
          </w:rPr>
          <w:t>https://doi.org/10.1093/plphys/kiab247</w:t>
        </w:r>
      </w:hyperlink>
      <w:r>
        <w:rPr>
          <w:rFonts w:ascii="Arial" w:hAnsi="Arial" w:cs="Arial"/>
          <w:lang w:val="en-GB"/>
        </w:rPr>
        <w:t xml:space="preserve"> </w:t>
      </w:r>
      <w:r w:rsidR="00861689" w:rsidRPr="00861689">
        <w:rPr>
          <w:rFonts w:ascii="Arial" w:hAnsi="Arial" w:cs="Arial"/>
          <w:lang w:val="en-GB"/>
        </w:rPr>
        <w:t>.</w:t>
      </w:r>
    </w:p>
    <w:p w14:paraId="2CB644D5" w14:textId="4BCF5C1B" w:rsidR="00861689" w:rsidRPr="00861689" w:rsidRDefault="00475661" w:rsidP="00ED3B96">
      <w:pPr>
        <w:pStyle w:val="Body"/>
        <w:spacing w:after="120"/>
        <w:rPr>
          <w:rFonts w:ascii="Arial" w:hAnsi="Arial" w:cs="Arial"/>
          <w:lang w:val="en-GB"/>
        </w:rPr>
      </w:pPr>
      <w:r w:rsidRPr="00475661">
        <w:rPr>
          <w:rFonts w:ascii="Arial" w:hAnsi="Arial" w:cs="Arial"/>
          <w:lang w:val="en-GB"/>
        </w:rPr>
        <w:t xml:space="preserve">Wittstock, U., &amp; Halkier, B. A. (2002). Glucosinolate research in the Arabidopsis era. Trends in Plant Science, 7(6), 263-270. </w:t>
      </w:r>
      <w:hyperlink r:id="rId32" w:history="1">
        <w:r w:rsidRPr="00D747E6">
          <w:rPr>
            <w:rStyle w:val="Hyperlink"/>
            <w:rFonts w:ascii="Arial" w:hAnsi="Arial" w:cs="Arial"/>
            <w:lang w:val="en-GB"/>
          </w:rPr>
          <w:t>https://doi.org/10.1016/s1360-1385(02)02273-2</w:t>
        </w:r>
      </w:hyperlink>
      <w:r>
        <w:rPr>
          <w:rFonts w:ascii="Arial" w:hAnsi="Arial" w:cs="Arial"/>
          <w:lang w:val="en-GB"/>
        </w:rPr>
        <w:t xml:space="preserve"> </w:t>
      </w:r>
      <w:r w:rsidR="00861689" w:rsidRPr="00861689">
        <w:rPr>
          <w:rFonts w:ascii="Arial" w:hAnsi="Arial" w:cs="Arial"/>
          <w:lang w:val="en-GB"/>
        </w:rPr>
        <w:t>.</w:t>
      </w:r>
    </w:p>
    <w:p w14:paraId="677B5C85" w14:textId="355FD233" w:rsidR="00861689" w:rsidRPr="00861689" w:rsidRDefault="008304E4" w:rsidP="00ED3B96">
      <w:pPr>
        <w:pStyle w:val="Body"/>
        <w:spacing w:after="120"/>
        <w:rPr>
          <w:rFonts w:ascii="Arial" w:hAnsi="Arial" w:cs="Arial"/>
          <w:lang w:val="en-GB"/>
        </w:rPr>
      </w:pPr>
      <w:r w:rsidRPr="008304E4">
        <w:rPr>
          <w:rFonts w:ascii="Arial" w:hAnsi="Arial" w:cs="Arial"/>
          <w:lang w:val="en-GB"/>
        </w:rPr>
        <w:t xml:space="preserve">Zhu, B., Yang, J., &amp; Zhu, Z. J. (2013). Variation in glucosinolates in pak choi cultivars and various organs at different stages of vegetative growth during the harvest period. J. Zhejiang Univ. Sci. B, 14, 309-317. </w:t>
      </w:r>
      <w:hyperlink r:id="rId33" w:history="1">
        <w:r w:rsidRPr="00D747E6">
          <w:rPr>
            <w:rStyle w:val="Hyperlink"/>
            <w:rFonts w:ascii="Arial" w:hAnsi="Arial" w:cs="Arial"/>
            <w:lang w:val="en-GB"/>
          </w:rPr>
          <w:t>https://doi.org/10.1631/jzus.B1200213</w:t>
        </w:r>
      </w:hyperlink>
      <w:r>
        <w:rPr>
          <w:rFonts w:ascii="Arial" w:hAnsi="Arial" w:cs="Arial"/>
          <w:lang w:val="en-GB"/>
        </w:rPr>
        <w:t xml:space="preserve"> </w:t>
      </w:r>
      <w:r w:rsidR="00861689" w:rsidRPr="00861689">
        <w:rPr>
          <w:rFonts w:ascii="Arial" w:hAnsi="Arial" w:cs="Arial"/>
          <w:lang w:val="en-GB"/>
        </w:rPr>
        <w:t>.</w:t>
      </w:r>
    </w:p>
    <w:p w14:paraId="520DC129" w14:textId="77777777" w:rsidR="00790ADA" w:rsidRPr="002C57D2" w:rsidRDefault="00790ADA" w:rsidP="00441B6F">
      <w:pPr>
        <w:pStyle w:val="Body"/>
        <w:spacing w:after="0"/>
        <w:rPr>
          <w:rFonts w:ascii="Arial" w:hAnsi="Arial" w:cs="Arial"/>
        </w:rPr>
      </w:pPr>
    </w:p>
    <w:p w14:paraId="2B8B5ABE" w14:textId="77777777" w:rsidR="00284C4C" w:rsidRPr="00284C4C" w:rsidRDefault="00284C4C" w:rsidP="00441B6F">
      <w:pPr>
        <w:pStyle w:val="Body"/>
        <w:spacing w:after="0"/>
        <w:rPr>
          <w:rFonts w:ascii="Arial" w:hAnsi="Arial" w:cs="Arial"/>
          <w:i/>
          <w:u w:val="single"/>
        </w:rPr>
      </w:pPr>
    </w:p>
    <w:p w14:paraId="4B95B2D5" w14:textId="77777777" w:rsidR="00B01FCD" w:rsidRPr="00FB3A86" w:rsidRDefault="00B01FCD" w:rsidP="00441B6F">
      <w:pPr>
        <w:pStyle w:val="Appendix"/>
        <w:spacing w:after="0"/>
        <w:jc w:val="both"/>
        <w:rPr>
          <w:rFonts w:ascii="Arial" w:hAnsi="Arial" w:cs="Arial"/>
          <w:b w:val="0"/>
        </w:rPr>
      </w:pPr>
    </w:p>
    <w:sectPr w:rsidR="00B01FCD" w:rsidRPr="00FB3A86" w:rsidSect="009C1878">
      <w:headerReference w:type="even" r:id="rId34"/>
      <w:headerReference w:type="default" r:id="rId35"/>
      <w:footerReference w:type="default" r:id="rId36"/>
      <w:headerReference w:type="first" r:id="rId3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hannad Ayad" w:date="2025-12-10T20:20:00Z" w:initials="MA">
    <w:p w14:paraId="2F01D7AF" w14:textId="0CC95DD8" w:rsidR="001428F3" w:rsidRDefault="001428F3">
      <w:pPr>
        <w:pStyle w:val="CommentText"/>
      </w:pPr>
      <w:r>
        <w:rPr>
          <w:rStyle w:val="CommentReference"/>
        </w:rPr>
        <w:annotationRef/>
      </w:r>
      <w:r w:rsidRPr="001428F3">
        <w:t>The abstract should state the importance of the research in one sentence. The research problem should be stated directly. How can the problem be addressed? The action plan should be included in the abstract. What has been achieved by the study compared to previous studies?</w:t>
      </w:r>
    </w:p>
  </w:comment>
  <w:comment w:id="1" w:author="Muhannad Ayad" w:date="2025-12-10T19:59:00Z" w:initials="MA">
    <w:p w14:paraId="2EBB52D2" w14:textId="77777777" w:rsidR="00A77019" w:rsidRDefault="00A77019" w:rsidP="00A77019">
      <w:pPr>
        <w:pStyle w:val="CommentText"/>
      </w:pPr>
      <w:r>
        <w:rPr>
          <w:rStyle w:val="CommentReference"/>
        </w:rPr>
        <w:annotationRef/>
      </w:r>
      <w:r>
        <w:t>The optimal conditions for working with HPLC should be noted, which are as follows:</w:t>
      </w:r>
    </w:p>
    <w:p w14:paraId="63651DA0" w14:textId="77777777" w:rsidR="00A77019" w:rsidRDefault="00A77019" w:rsidP="00A77019">
      <w:pPr>
        <w:pStyle w:val="CommentText"/>
      </w:pPr>
      <w:r>
        <w:t>Sample Preparation:</w:t>
      </w:r>
    </w:p>
    <w:p w14:paraId="392E6D13" w14:textId="77777777" w:rsidR="00A77019" w:rsidRDefault="00A77019" w:rsidP="00A77019">
      <w:pPr>
        <w:pStyle w:val="CommentText"/>
      </w:pPr>
      <w:r>
        <w:t>The sample must be free of particles and sediment.</w:t>
      </w:r>
    </w:p>
    <w:p w14:paraId="451B4599" w14:textId="77777777" w:rsidR="00A77019" w:rsidRDefault="00A77019" w:rsidP="00A77019">
      <w:pPr>
        <w:pStyle w:val="CommentText"/>
      </w:pPr>
      <w:r>
        <w:t>Filter it using a 0.22 µm filter.</w:t>
      </w:r>
    </w:p>
    <w:p w14:paraId="4249D44D" w14:textId="77777777" w:rsidR="00A77019" w:rsidRDefault="00A77019" w:rsidP="00A77019">
      <w:pPr>
        <w:pStyle w:val="CommentText"/>
      </w:pPr>
      <w:r>
        <w:t>Typical concentration: Approximately 1 mg/mL, preferably increasing the concentration rather than the injection volume to increase efficiency.</w:t>
      </w:r>
    </w:p>
    <w:p w14:paraId="25626005" w14:textId="77777777" w:rsidR="00A77019" w:rsidRDefault="00A77019" w:rsidP="00A77019">
      <w:pPr>
        <w:pStyle w:val="CommentText"/>
      </w:pPr>
      <w:r>
        <w:t>Mobile Phase (Solvent):</w:t>
      </w:r>
    </w:p>
    <w:p w14:paraId="4A0A75AF" w14:textId="77777777" w:rsidR="00A77019" w:rsidRDefault="00A77019" w:rsidP="00A77019">
      <w:pPr>
        <w:pStyle w:val="CommentText"/>
      </w:pPr>
      <w:r>
        <w:t>Use HPLC-grade purified solvents, and avoid "pro-analysis" solvents if the detection is sensitive.</w:t>
      </w:r>
    </w:p>
    <w:p w14:paraId="0E519A90" w14:textId="77777777" w:rsidR="00A77019" w:rsidRDefault="00A77019" w:rsidP="00A77019">
      <w:pPr>
        <w:pStyle w:val="CommentText"/>
      </w:pPr>
      <w:r>
        <w:t>Degassing and filtering the mobile phase reduces baseline noise and increases stability.</w:t>
      </w:r>
    </w:p>
    <w:p w14:paraId="6BA32D93" w14:textId="77777777" w:rsidR="00A77019" w:rsidRDefault="00A77019" w:rsidP="00A77019">
      <w:pPr>
        <w:pStyle w:val="CommentText"/>
      </w:pPr>
      <w:r>
        <w:t>Optimize the mobile phase composition (especially in step washing) to ensure thorough separation of all components.</w:t>
      </w:r>
    </w:p>
    <w:p w14:paraId="6E184122" w14:textId="77777777" w:rsidR="00A77019" w:rsidRDefault="00A77019" w:rsidP="00A77019">
      <w:pPr>
        <w:pStyle w:val="CommentText"/>
      </w:pPr>
      <w:r>
        <w:t>Column:</w:t>
      </w:r>
    </w:p>
    <w:p w14:paraId="3387A260" w14:textId="77777777" w:rsidR="00A77019" w:rsidRDefault="00A77019" w:rsidP="00A77019">
      <w:pPr>
        <w:pStyle w:val="CommentText"/>
      </w:pPr>
      <w:r>
        <w:t>Use smaller particle sizes for better separation and higher sensitivity (especially in UHPLC), paying attention to increasing pressure.</w:t>
      </w:r>
    </w:p>
    <w:p w14:paraId="756CFB70" w14:textId="77777777" w:rsidR="00A77019" w:rsidRDefault="00A77019" w:rsidP="00A77019">
      <w:pPr>
        <w:pStyle w:val="CommentText"/>
      </w:pPr>
      <w:r>
        <w:t>Pot size is important for particle penetration and interaction with the internal surface.</w:t>
      </w:r>
    </w:p>
    <w:p w14:paraId="70F6EB39" w14:textId="77777777" w:rsidR="00A77019" w:rsidRDefault="00A77019" w:rsidP="00A77019">
      <w:pPr>
        <w:pStyle w:val="CommentText"/>
      </w:pPr>
      <w:r>
        <w:t>Maintain a constant column temperature (typically 25–35°C) to ensure reproducibility. Flow Rate:</w:t>
      </w:r>
    </w:p>
    <w:p w14:paraId="4BAAED81" w14:textId="77777777" w:rsidR="00A77019" w:rsidRDefault="00A77019" w:rsidP="00A77019">
      <w:pPr>
        <w:pStyle w:val="CommentText"/>
      </w:pPr>
      <w:r>
        <w:t>Must be constant and repeatable.</w:t>
      </w:r>
    </w:p>
    <w:p w14:paraId="77665B2E" w14:textId="77777777" w:rsidR="00A77019" w:rsidRDefault="00A77019" w:rsidP="00A77019">
      <w:pPr>
        <w:pStyle w:val="CommentText"/>
      </w:pPr>
    </w:p>
    <w:p w14:paraId="2CC4F470" w14:textId="77777777" w:rsidR="00A77019" w:rsidRDefault="00A77019" w:rsidP="00A77019">
      <w:pPr>
        <w:pStyle w:val="CommentText"/>
      </w:pPr>
      <w:r>
        <w:t>It typically ranges from 0.4–1 mL/min for standard systems, but varies depending on the particle size used in the column.</w:t>
      </w:r>
    </w:p>
    <w:p w14:paraId="1AE248ED" w14:textId="77777777" w:rsidR="00A77019" w:rsidRDefault="00A77019" w:rsidP="00A77019">
      <w:pPr>
        <w:pStyle w:val="CommentText"/>
      </w:pPr>
      <w:r>
        <w:t>Injection Volume:</w:t>
      </w:r>
    </w:p>
    <w:p w14:paraId="76147693" w14:textId="77777777" w:rsidR="00A77019" w:rsidRDefault="00A77019" w:rsidP="00A77019">
      <w:pPr>
        <w:pStyle w:val="CommentText"/>
      </w:pPr>
      <w:r>
        <w:t>Must be small (less than 2% of the column volume) for higher efficiency and accuracy, and must not exceed the recommended limits.</w:t>
      </w:r>
    </w:p>
    <w:p w14:paraId="0A15D460" w14:textId="77777777" w:rsidR="00A77019" w:rsidRDefault="00A77019" w:rsidP="00A77019">
      <w:pPr>
        <w:pStyle w:val="CommentText"/>
      </w:pPr>
      <w:r>
        <w:t>Pressure:</w:t>
      </w:r>
    </w:p>
    <w:p w14:paraId="02811ACE" w14:textId="77777777" w:rsidR="00A77019" w:rsidRDefault="00A77019" w:rsidP="00A77019">
      <w:pPr>
        <w:pStyle w:val="CommentText"/>
      </w:pPr>
      <w:r>
        <w:t>Monitor the back pressure of the column and avoid exceeding the pump's maximum recommended limits.</w:t>
      </w:r>
    </w:p>
    <w:p w14:paraId="2DEDFF98" w14:textId="77777777" w:rsidR="00A77019" w:rsidRDefault="00A77019" w:rsidP="00A77019">
      <w:pPr>
        <w:pStyle w:val="CommentText"/>
      </w:pPr>
      <w:r>
        <w:t>System and Detector:</w:t>
      </w:r>
    </w:p>
    <w:p w14:paraId="1E732AE3" w14:textId="77777777" w:rsidR="00A77019" w:rsidRDefault="00A77019" w:rsidP="00A77019">
      <w:pPr>
        <w:pStyle w:val="CommentText"/>
      </w:pPr>
      <w:r>
        <w:t>Ensure the system is clean and free of air and impurities, and regularly maintain components (such as the detector lamp and detector cell).</w:t>
      </w:r>
    </w:p>
    <w:p w14:paraId="43410794" w14:textId="77777777" w:rsidR="00A77019" w:rsidRDefault="00A77019" w:rsidP="00A77019">
      <w:pPr>
        <w:pStyle w:val="CommentText"/>
      </w:pPr>
    </w:p>
    <w:p w14:paraId="50D4062C" w14:textId="30CC8CB0" w:rsidR="00A77019" w:rsidRDefault="00A77019" w:rsidP="00A77019">
      <w:pPr>
        <w:pStyle w:val="CommentText"/>
      </w:pPr>
      <w:r>
        <w:t>Select the appropriate detector wavelength and avoid interference from solvents.</w:t>
      </w:r>
    </w:p>
  </w:comment>
  <w:comment w:id="2" w:author="Muhannad Ayad" w:date="2025-12-10T20:08:00Z" w:initials="MA">
    <w:p w14:paraId="5F393C64" w14:textId="77777777" w:rsidR="007B69DE" w:rsidRDefault="007B69DE" w:rsidP="007B69DE">
      <w:pPr>
        <w:pStyle w:val="CommentText"/>
      </w:pPr>
      <w:r>
        <w:rPr>
          <w:rStyle w:val="CommentReference"/>
        </w:rPr>
        <w:annotationRef/>
      </w:r>
      <w:r>
        <w:t>Additional analyses are recommended to confirm the validity of the separation, including:</w:t>
      </w:r>
    </w:p>
    <w:p w14:paraId="31CEC3BC" w14:textId="77777777" w:rsidR="007B69DE" w:rsidRDefault="007B69DE" w:rsidP="007B69DE">
      <w:pPr>
        <w:pStyle w:val="CommentText"/>
      </w:pPr>
    </w:p>
    <w:p w14:paraId="6437E35A" w14:textId="77777777" w:rsidR="007B69DE" w:rsidRDefault="007B69DE" w:rsidP="007B69DE">
      <w:pPr>
        <w:pStyle w:val="CommentText"/>
      </w:pPr>
      <w:r>
        <w:t>LC-MS/LC-MS-MS Mass Spectrometry:</w:t>
      </w:r>
    </w:p>
    <w:p w14:paraId="4F19EEA7" w14:textId="77777777" w:rsidR="007B69DE" w:rsidRDefault="007B69DE" w:rsidP="007B69DE">
      <w:pPr>
        <w:pStyle w:val="CommentText"/>
      </w:pPr>
    </w:p>
    <w:p w14:paraId="30E55948" w14:textId="77777777" w:rsidR="007B69DE" w:rsidRDefault="007B69DE" w:rsidP="007B69DE">
      <w:pPr>
        <w:pStyle w:val="CommentText"/>
      </w:pPr>
      <w:r>
        <w:t>Provides molecular weight and ion fractionation information, confirming the identity of the compound and accurately identifying unknown impurities.</w:t>
      </w:r>
    </w:p>
    <w:p w14:paraId="699EE61C" w14:textId="77777777" w:rsidR="007B69DE" w:rsidRDefault="007B69DE" w:rsidP="007B69DE">
      <w:pPr>
        <w:pStyle w:val="CommentText"/>
      </w:pPr>
    </w:p>
    <w:p w14:paraId="0FEEC0E7" w14:textId="77777777" w:rsidR="007B69DE" w:rsidRDefault="007B69DE" w:rsidP="007B69DE">
      <w:pPr>
        <w:pStyle w:val="CommentText"/>
      </w:pPr>
      <w:r>
        <w:t>Used in conjunction with LC-DAD-UV to enhance component identification.</w:t>
      </w:r>
    </w:p>
    <w:p w14:paraId="556B13A4" w14:textId="77777777" w:rsidR="007B69DE" w:rsidRDefault="007B69DE" w:rsidP="007B69DE">
      <w:pPr>
        <w:pStyle w:val="CommentText"/>
      </w:pPr>
    </w:p>
    <w:p w14:paraId="07DD5D7D" w14:textId="77777777" w:rsidR="007B69DE" w:rsidRDefault="007B69DE" w:rsidP="007B69DE">
      <w:pPr>
        <w:pStyle w:val="CommentText"/>
      </w:pPr>
      <w:r>
        <w:t>LC-DAD-UV Photodiode Array Detector:</w:t>
      </w:r>
    </w:p>
    <w:p w14:paraId="52582EE5" w14:textId="77777777" w:rsidR="007B69DE" w:rsidRDefault="007B69DE" w:rsidP="007B69DE">
      <w:pPr>
        <w:pStyle w:val="CommentText"/>
      </w:pPr>
      <w:r>
        <w:t>Gives a full absorption spectrum, aiding in verifying peak purity and identifying impurities that may interfere with the main peak.</w:t>
      </w:r>
    </w:p>
    <w:p w14:paraId="1C0BE0A9" w14:textId="77777777" w:rsidR="007B69DE" w:rsidRDefault="007B69DE" w:rsidP="007B69DE">
      <w:pPr>
        <w:pStyle w:val="CommentText"/>
      </w:pPr>
    </w:p>
    <w:p w14:paraId="319AC424" w14:textId="0EB6623A" w:rsidR="007B69DE" w:rsidRDefault="007B69DE" w:rsidP="007B69DE">
      <w:pPr>
        <w:pStyle w:val="CommentText"/>
      </w:pPr>
      <w:r>
        <w:t>Allows verification of the method's linearity over a wide concentration range.</w:t>
      </w:r>
    </w:p>
  </w:comment>
  <w:comment w:id="3" w:author="Muhannad Ayad" w:date="2025-12-10T19:44:00Z" w:initials="MA">
    <w:p w14:paraId="7B224E66" w14:textId="3FB46F82" w:rsidR="00A77019" w:rsidRDefault="00A77019">
      <w:pPr>
        <w:pStyle w:val="CommentText"/>
        <w:rPr>
          <w:rFonts w:hint="cs"/>
          <w:rtl/>
          <w:lang w:bidi="ar-IQ"/>
        </w:rPr>
      </w:pPr>
      <w:r>
        <w:rPr>
          <w:rStyle w:val="CommentReference"/>
        </w:rPr>
        <w:annotationRef/>
      </w:r>
      <w:r w:rsidRPr="00A77019">
        <w:rPr>
          <w:lang w:bidi="ar-IQ"/>
        </w:rPr>
        <w:t>References need updating; references from the last five years should be included to keep pace with scientific developments.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1D7AF" w15:done="0"/>
  <w15:commentEx w15:paraId="50D4062C" w15:done="0"/>
  <w15:commentEx w15:paraId="319AC424" w15:done="0"/>
  <w15:commentEx w15:paraId="7B224E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902A8B" w16cex:dateUtc="2025-12-10T17:20:00Z"/>
  <w16cex:commentExtensible w16cex:durableId="2A5FD05C" w16cex:dateUtc="2025-12-10T16:59:00Z"/>
  <w16cex:commentExtensible w16cex:durableId="75FCC12E" w16cex:dateUtc="2025-12-10T17:08:00Z"/>
  <w16cex:commentExtensible w16cex:durableId="716FC974" w16cex:dateUtc="2025-12-10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1D7AF" w16cid:durableId="21902A8B"/>
  <w16cid:commentId w16cid:paraId="50D4062C" w16cid:durableId="2A5FD05C"/>
  <w16cid:commentId w16cid:paraId="319AC424" w16cid:durableId="75FCC12E"/>
  <w16cid:commentId w16cid:paraId="7B224E66" w16cid:durableId="716FC9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DA9C" w14:textId="77777777" w:rsidR="008521A6" w:rsidRDefault="008521A6" w:rsidP="00C37E61">
      <w:r>
        <w:separator/>
      </w:r>
    </w:p>
  </w:endnote>
  <w:endnote w:type="continuationSeparator" w:id="0">
    <w:p w14:paraId="7A59BEAB" w14:textId="77777777" w:rsidR="008521A6" w:rsidRDefault="008521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D748" w14:textId="77777777" w:rsidR="009C1878" w:rsidRDefault="009C1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8E98" w14:textId="77777777" w:rsidR="009C1878" w:rsidRDefault="009C1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1FD9" w14:textId="77777777" w:rsidR="009E048A" w:rsidRDefault="009E048A">
    <w:pPr>
      <w:pStyle w:val="Footer"/>
      <w:rPr>
        <w:rFonts w:ascii="Arial" w:hAnsi="Arial" w:cs="Arial"/>
        <w:sz w:val="16"/>
      </w:rPr>
    </w:pPr>
  </w:p>
  <w:p w14:paraId="0AECC85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8CE5280" w14:textId="77777777" w:rsidR="009E048A" w:rsidRDefault="009E048A">
    <w:pPr>
      <w:pStyle w:val="Footer"/>
      <w:rPr>
        <w:rFonts w:ascii="Arial" w:hAnsi="Arial" w:cs="Arial"/>
        <w:sz w:val="16"/>
      </w:rPr>
    </w:pPr>
  </w:p>
  <w:p w14:paraId="5E3FC85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EA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3912" w14:textId="77777777" w:rsidR="008521A6" w:rsidRDefault="008521A6" w:rsidP="00C37E61">
      <w:r>
        <w:separator/>
      </w:r>
    </w:p>
  </w:footnote>
  <w:footnote w:type="continuationSeparator" w:id="0">
    <w:p w14:paraId="462F6ADD" w14:textId="77777777" w:rsidR="008521A6" w:rsidRDefault="008521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6139" w14:textId="2742C635" w:rsidR="009C1878" w:rsidRDefault="00000000">
    <w:pPr>
      <w:pStyle w:val="Header"/>
    </w:pPr>
    <w:r>
      <w:rPr>
        <w:noProof/>
      </w:rPr>
      <w:pict w14:anchorId="44310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4"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6577" w14:textId="1DF941F4" w:rsidR="009C1878" w:rsidRDefault="00000000">
    <w:pPr>
      <w:pStyle w:val="Header"/>
    </w:pPr>
    <w:r>
      <w:rPr>
        <w:noProof/>
      </w:rPr>
      <w:pict w14:anchorId="182D5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5"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C5FF" w14:textId="42B8C625" w:rsidR="00296529" w:rsidRPr="00296529" w:rsidRDefault="00000000" w:rsidP="00296529">
    <w:pPr>
      <w:ind w:left="2160"/>
      <w:jc w:val="center"/>
      <w:rPr>
        <w:rFonts w:ascii="Times New Roman" w:eastAsia="Calibri" w:hAnsi="Times New Roman"/>
        <w:i/>
        <w:sz w:val="18"/>
        <w:szCs w:val="22"/>
      </w:rPr>
    </w:pPr>
    <w:r>
      <w:rPr>
        <w:noProof/>
      </w:rPr>
      <w:pict w14:anchorId="255B8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3"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0E74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AA23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32CB4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199A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4A80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21CC9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A15B" w14:textId="2A4FD7E5" w:rsidR="009C1878" w:rsidRDefault="00000000">
    <w:pPr>
      <w:pStyle w:val="Header"/>
    </w:pPr>
    <w:r>
      <w:rPr>
        <w:noProof/>
      </w:rPr>
      <w:pict w14:anchorId="7362A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7"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9E09" w14:textId="1862E6D9" w:rsidR="009C1878" w:rsidRDefault="00000000">
    <w:pPr>
      <w:pStyle w:val="Header"/>
    </w:pPr>
    <w:r>
      <w:rPr>
        <w:noProof/>
      </w:rPr>
      <w:pict w14:anchorId="5481F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8"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530F" w14:textId="6C0A5213" w:rsidR="009C1878" w:rsidRDefault="00000000">
    <w:pPr>
      <w:pStyle w:val="Header"/>
    </w:pPr>
    <w:r>
      <w:rPr>
        <w:noProof/>
      </w:rPr>
      <w:pict w14:anchorId="16FFB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6"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C8456A"/>
    <w:multiLevelType w:val="hybridMultilevel"/>
    <w:tmpl w:val="508A2F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470292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5188265">
    <w:abstractNumId w:val="16"/>
  </w:num>
  <w:num w:numId="3" w16cid:durableId="117337436">
    <w:abstractNumId w:val="24"/>
  </w:num>
  <w:num w:numId="4" w16cid:durableId="176337752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06610643">
    <w:abstractNumId w:val="7"/>
  </w:num>
  <w:num w:numId="6" w16cid:durableId="1138915527">
    <w:abstractNumId w:val="6"/>
  </w:num>
  <w:num w:numId="7" w16cid:durableId="1095781062">
    <w:abstractNumId w:val="1"/>
  </w:num>
  <w:num w:numId="8" w16cid:durableId="879827716">
    <w:abstractNumId w:val="12"/>
  </w:num>
  <w:num w:numId="9" w16cid:durableId="919103362">
    <w:abstractNumId w:val="26"/>
  </w:num>
  <w:num w:numId="10" w16cid:durableId="306085179">
    <w:abstractNumId w:val="2"/>
  </w:num>
  <w:num w:numId="11" w16cid:durableId="454296593">
    <w:abstractNumId w:val="19"/>
  </w:num>
  <w:num w:numId="12" w16cid:durableId="1651401954">
    <w:abstractNumId w:val="3"/>
  </w:num>
  <w:num w:numId="13" w16cid:durableId="593828124">
    <w:abstractNumId w:val="18"/>
  </w:num>
  <w:num w:numId="14" w16cid:durableId="1800491721">
    <w:abstractNumId w:val="8"/>
  </w:num>
  <w:num w:numId="15" w16cid:durableId="616790252">
    <w:abstractNumId w:val="22"/>
  </w:num>
  <w:num w:numId="16" w16cid:durableId="47263355">
    <w:abstractNumId w:val="5"/>
  </w:num>
  <w:num w:numId="17" w16cid:durableId="834998839">
    <w:abstractNumId w:val="23"/>
  </w:num>
  <w:num w:numId="18" w16cid:durableId="1166627542">
    <w:abstractNumId w:val="14"/>
  </w:num>
  <w:num w:numId="19" w16cid:durableId="116412110">
    <w:abstractNumId w:val="29"/>
  </w:num>
  <w:num w:numId="20" w16cid:durableId="937711221">
    <w:abstractNumId w:val="11"/>
  </w:num>
  <w:num w:numId="21" w16cid:durableId="1361273385">
    <w:abstractNumId w:val="9"/>
  </w:num>
  <w:num w:numId="22" w16cid:durableId="266012419">
    <w:abstractNumId w:val="13"/>
  </w:num>
  <w:num w:numId="23" w16cid:durableId="103765630">
    <w:abstractNumId w:val="20"/>
  </w:num>
  <w:num w:numId="24" w16cid:durableId="566838423">
    <w:abstractNumId w:val="27"/>
  </w:num>
  <w:num w:numId="25" w16cid:durableId="57216283">
    <w:abstractNumId w:val="4"/>
  </w:num>
  <w:num w:numId="26" w16cid:durableId="443767193">
    <w:abstractNumId w:val="17"/>
  </w:num>
  <w:num w:numId="27" w16cid:durableId="1587034891">
    <w:abstractNumId w:val="21"/>
  </w:num>
  <w:num w:numId="28" w16cid:durableId="1934194523">
    <w:abstractNumId w:val="28"/>
  </w:num>
  <w:num w:numId="29" w16cid:durableId="1572691843">
    <w:abstractNumId w:val="25"/>
  </w:num>
  <w:num w:numId="30" w16cid:durableId="1485658818">
    <w:abstractNumId w:val="10"/>
  </w:num>
  <w:num w:numId="31" w16cid:durableId="185854418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nnad Ayad">
    <w15:presenceInfo w15:providerId="Windows Live" w15:userId="0831e65f38ad70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2714"/>
    <w:rsid w:val="00103357"/>
    <w:rsid w:val="00123C9F"/>
    <w:rsid w:val="00126190"/>
    <w:rsid w:val="00130F17"/>
    <w:rsid w:val="001320BF"/>
    <w:rsid w:val="001428F3"/>
    <w:rsid w:val="00154A7D"/>
    <w:rsid w:val="00163BC4"/>
    <w:rsid w:val="00191062"/>
    <w:rsid w:val="00192B72"/>
    <w:rsid w:val="001A29D8"/>
    <w:rsid w:val="001A5CAA"/>
    <w:rsid w:val="001B0427"/>
    <w:rsid w:val="001C29D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D0F"/>
    <w:rsid w:val="002B27FB"/>
    <w:rsid w:val="002B685A"/>
    <w:rsid w:val="002C09C7"/>
    <w:rsid w:val="002C57D2"/>
    <w:rsid w:val="002E0D56"/>
    <w:rsid w:val="00315186"/>
    <w:rsid w:val="0033343E"/>
    <w:rsid w:val="003512C2"/>
    <w:rsid w:val="00371FB6"/>
    <w:rsid w:val="003763C1"/>
    <w:rsid w:val="00376BBE"/>
    <w:rsid w:val="0039224F"/>
    <w:rsid w:val="003A43A4"/>
    <w:rsid w:val="003A7E18"/>
    <w:rsid w:val="003C4C86"/>
    <w:rsid w:val="003C6258"/>
    <w:rsid w:val="003E05E5"/>
    <w:rsid w:val="003E2904"/>
    <w:rsid w:val="00401927"/>
    <w:rsid w:val="0041027F"/>
    <w:rsid w:val="00412475"/>
    <w:rsid w:val="00423789"/>
    <w:rsid w:val="00440F43"/>
    <w:rsid w:val="00441B6F"/>
    <w:rsid w:val="00446221"/>
    <w:rsid w:val="00450E62"/>
    <w:rsid w:val="004539DB"/>
    <w:rsid w:val="00471A80"/>
    <w:rsid w:val="00475661"/>
    <w:rsid w:val="00476772"/>
    <w:rsid w:val="004D305E"/>
    <w:rsid w:val="004D4277"/>
    <w:rsid w:val="004E35FE"/>
    <w:rsid w:val="00502516"/>
    <w:rsid w:val="00505F06"/>
    <w:rsid w:val="00506828"/>
    <w:rsid w:val="00525EAA"/>
    <w:rsid w:val="0053056E"/>
    <w:rsid w:val="00554FDA"/>
    <w:rsid w:val="005848B9"/>
    <w:rsid w:val="005C784C"/>
    <w:rsid w:val="005D17F6"/>
    <w:rsid w:val="005E5539"/>
    <w:rsid w:val="00602BF5"/>
    <w:rsid w:val="00617FDD"/>
    <w:rsid w:val="006260CF"/>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0073"/>
    <w:rsid w:val="007369E6"/>
    <w:rsid w:val="00746E59"/>
    <w:rsid w:val="00754C9A"/>
    <w:rsid w:val="0075599A"/>
    <w:rsid w:val="00761D52"/>
    <w:rsid w:val="0077749E"/>
    <w:rsid w:val="00790ADA"/>
    <w:rsid w:val="007B69DE"/>
    <w:rsid w:val="007D2288"/>
    <w:rsid w:val="007E088F"/>
    <w:rsid w:val="007F7B32"/>
    <w:rsid w:val="00804BC2"/>
    <w:rsid w:val="0081431A"/>
    <w:rsid w:val="008304E4"/>
    <w:rsid w:val="0083216F"/>
    <w:rsid w:val="008521A6"/>
    <w:rsid w:val="00860000"/>
    <w:rsid w:val="00861689"/>
    <w:rsid w:val="00863BD3"/>
    <w:rsid w:val="008641ED"/>
    <w:rsid w:val="00866D66"/>
    <w:rsid w:val="008671C6"/>
    <w:rsid w:val="00870A0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6600"/>
    <w:rsid w:val="009C1878"/>
    <w:rsid w:val="009C2465"/>
    <w:rsid w:val="009D35A0"/>
    <w:rsid w:val="009D7EB7"/>
    <w:rsid w:val="009E048A"/>
    <w:rsid w:val="009E08E9"/>
    <w:rsid w:val="009E14BC"/>
    <w:rsid w:val="009E3DB9"/>
    <w:rsid w:val="009E6E35"/>
    <w:rsid w:val="009F0EDA"/>
    <w:rsid w:val="00A03B96"/>
    <w:rsid w:val="00A05B19"/>
    <w:rsid w:val="00A1134E"/>
    <w:rsid w:val="00A24E7E"/>
    <w:rsid w:val="00A258C3"/>
    <w:rsid w:val="00A32ADC"/>
    <w:rsid w:val="00A347C0"/>
    <w:rsid w:val="00A42AC5"/>
    <w:rsid w:val="00A51431"/>
    <w:rsid w:val="00A539AD"/>
    <w:rsid w:val="00A64DD1"/>
    <w:rsid w:val="00A76C2A"/>
    <w:rsid w:val="00A77019"/>
    <w:rsid w:val="00A94063"/>
    <w:rsid w:val="00A95AE0"/>
    <w:rsid w:val="00AA6219"/>
    <w:rsid w:val="00AA74E0"/>
    <w:rsid w:val="00AB703F"/>
    <w:rsid w:val="00AC6BB8"/>
    <w:rsid w:val="00AD37BF"/>
    <w:rsid w:val="00AE008F"/>
    <w:rsid w:val="00B01FCD"/>
    <w:rsid w:val="00B1776C"/>
    <w:rsid w:val="00B52583"/>
    <w:rsid w:val="00B52896"/>
    <w:rsid w:val="00B85769"/>
    <w:rsid w:val="00B95236"/>
    <w:rsid w:val="00B96BD9"/>
    <w:rsid w:val="00BA1B01"/>
    <w:rsid w:val="00BA2641"/>
    <w:rsid w:val="00BB37AA"/>
    <w:rsid w:val="00BC53A0"/>
    <w:rsid w:val="00BE62AD"/>
    <w:rsid w:val="00BF121F"/>
    <w:rsid w:val="00BF1F80"/>
    <w:rsid w:val="00BF3542"/>
    <w:rsid w:val="00C166EF"/>
    <w:rsid w:val="00C17EB0"/>
    <w:rsid w:val="00C27F5F"/>
    <w:rsid w:val="00C30A0F"/>
    <w:rsid w:val="00C37E61"/>
    <w:rsid w:val="00C70F1B"/>
    <w:rsid w:val="00C71A47"/>
    <w:rsid w:val="00C7464C"/>
    <w:rsid w:val="00C76357"/>
    <w:rsid w:val="00C85588"/>
    <w:rsid w:val="00C90730"/>
    <w:rsid w:val="00CA1F17"/>
    <w:rsid w:val="00CD6755"/>
    <w:rsid w:val="00CD6856"/>
    <w:rsid w:val="00CE0089"/>
    <w:rsid w:val="00CE793C"/>
    <w:rsid w:val="00CF193C"/>
    <w:rsid w:val="00D173F1"/>
    <w:rsid w:val="00D2254C"/>
    <w:rsid w:val="00D74CB0"/>
    <w:rsid w:val="00D8295D"/>
    <w:rsid w:val="00DB2EF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3B96"/>
    <w:rsid w:val="00EE52CB"/>
    <w:rsid w:val="00EF581D"/>
    <w:rsid w:val="00EF7FD8"/>
    <w:rsid w:val="00F06F59"/>
    <w:rsid w:val="00F17988"/>
    <w:rsid w:val="00F36DCD"/>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4606E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A77019"/>
    <w:rPr>
      <w:rFonts w:ascii="Helvetica" w:hAnsi="Helvetica"/>
      <w:b/>
      <w:bCs/>
      <w:lang w:val="en-US" w:eastAsia="en-US"/>
    </w:rPr>
  </w:style>
  <w:style w:type="character" w:customStyle="1" w:styleId="CommentSubjectChar">
    <w:name w:val="Comment Subject Char"/>
    <w:basedOn w:val="CommentTextChar"/>
    <w:link w:val="CommentSubject"/>
    <w:semiHidden/>
    <w:rsid w:val="00A7701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hyperlink" Target="https://doi.org/10.1002/jms.3437" TargetMode="External"/><Relationship Id="rId39" Type="http://schemas.microsoft.com/office/2011/relationships/people" Target="people.xml"/><Relationship Id="rId21" Type="http://schemas.openxmlformats.org/officeDocument/2006/relationships/hyperlink" Target="https://doi.org/10.1016/C2020-0-03223-8"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146/annurev.arplant.57.032905.105228" TargetMode="External"/><Relationship Id="rId33" Type="http://schemas.openxmlformats.org/officeDocument/2006/relationships/hyperlink" Target="https://doi.org/10.1631/jzus.B12002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111/pbi.12078" TargetMode="External"/><Relationship Id="rId29" Type="http://schemas.openxmlformats.org/officeDocument/2006/relationships/hyperlink" Target="https://doi.org/10.1007/s10337-023-0425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pls.2021.767898" TargetMode="External"/><Relationship Id="rId32" Type="http://schemas.openxmlformats.org/officeDocument/2006/relationships/hyperlink" Target="https://doi.org/10.1016/s1360-1385(02)02273-2"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16/s0031-9422(00)00316-2" TargetMode="External"/><Relationship Id="rId28" Type="http://schemas.openxmlformats.org/officeDocument/2006/relationships/hyperlink" Target="https://doi.org/10.4172/2167-0412.1000101"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foodchem.2010.03.073" TargetMode="External"/><Relationship Id="rId31" Type="http://schemas.openxmlformats.org/officeDocument/2006/relationships/hyperlink" Target="https://doi.org/10.1093/plphys/kiab24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s0031-9422(02)00549-6" TargetMode="External"/><Relationship Id="rId27" Type="http://schemas.openxmlformats.org/officeDocument/2006/relationships/hyperlink" Target="https://doi.org/10.1002/(SICI)1097-0010(20000515)80:7%3c967::AID-JSFA597%3e3.0.CO;2-V" TargetMode="External"/><Relationship Id="rId30" Type="http://schemas.openxmlformats.org/officeDocument/2006/relationships/hyperlink" Target="https://doi.org/10.1016/j.tplants.2010.02.005"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38F9-BF80-4270-94A2-E732D250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5</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16778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Muhannad Ayad</cp:lastModifiedBy>
  <cp:revision>33</cp:revision>
  <cp:lastPrinted>1999-07-06T11:00:00Z</cp:lastPrinted>
  <dcterms:created xsi:type="dcterms:W3CDTF">2014-10-25T14:34:00Z</dcterms:created>
  <dcterms:modified xsi:type="dcterms:W3CDTF">2025-12-10T17:21:00Z</dcterms:modified>
</cp:coreProperties>
</file>