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0C" w:rsidRPr="0003750C" w:rsidRDefault="0003750C" w:rsidP="0003750C">
      <w:pPr>
        <w:rPr>
          <w:rFonts w:ascii="Times New Roman" w:hAnsi="Times New Roman" w:cs="Times New Roman"/>
          <w:b/>
          <w:bCs/>
          <w:u w:val="single"/>
        </w:rPr>
      </w:pPr>
      <w:r w:rsidRPr="0003750C">
        <w:rPr>
          <w:rFonts w:ascii="Times New Roman" w:hAnsi="Times New Roman" w:cs="Times New Roman"/>
          <w:b/>
          <w:bCs/>
          <w:u w:val="single"/>
        </w:rPr>
        <w:t>Review Article</w:t>
      </w:r>
    </w:p>
    <w:p w:rsidR="00345E08" w:rsidRDefault="00345E08" w:rsidP="000C2E83">
      <w:pPr>
        <w:jc w:val="center"/>
        <w:rPr>
          <w:rFonts w:ascii="Times New Roman" w:hAnsi="Times New Roman" w:cs="Times New Roman"/>
          <w:b/>
          <w:bCs/>
        </w:rPr>
      </w:pPr>
      <w:r w:rsidRPr="000C2E83">
        <w:rPr>
          <w:rFonts w:ascii="Times New Roman" w:hAnsi="Times New Roman" w:cs="Times New Roman"/>
          <w:b/>
          <w:bCs/>
        </w:rPr>
        <w:t>Sustainable Livestock Production Strategies for Climate Adaptation- A review</w:t>
      </w:r>
    </w:p>
    <w:p w:rsidR="00E215A4" w:rsidRDefault="00E215A4" w:rsidP="000C2E83">
      <w:pPr>
        <w:jc w:val="center"/>
        <w:rPr>
          <w:rFonts w:ascii="Times New Roman" w:hAnsi="Times New Roman" w:cs="Times New Roman"/>
          <w:b/>
          <w:bCs/>
        </w:rPr>
      </w:pPr>
      <w:bookmarkStart w:id="0" w:name="_GoBack"/>
      <w:bookmarkEnd w:id="0"/>
    </w:p>
    <w:p w:rsidR="00E215A4" w:rsidRDefault="00E215A4" w:rsidP="000C2E83">
      <w:pPr>
        <w:jc w:val="center"/>
        <w:rPr>
          <w:rFonts w:ascii="Times New Roman" w:hAnsi="Times New Roman" w:cs="Times New Roman"/>
          <w:b/>
          <w:bCs/>
        </w:rPr>
      </w:pPr>
    </w:p>
    <w:p w:rsidR="00543A3B" w:rsidRPr="000C2E83" w:rsidRDefault="00B15C63" w:rsidP="000C2E83">
      <w:pPr>
        <w:jc w:val="center"/>
        <w:rPr>
          <w:rFonts w:ascii="Times New Roman" w:hAnsi="Times New Roman" w:cs="Times New Roman"/>
          <w:b/>
          <w:bCs/>
        </w:rPr>
      </w:pPr>
      <w:r w:rsidRPr="000C2E83">
        <w:rPr>
          <w:rFonts w:ascii="Times New Roman" w:hAnsi="Times New Roman" w:cs="Times New Roman"/>
          <w:b/>
          <w:bCs/>
        </w:rPr>
        <w:t>Abstract</w:t>
      </w:r>
    </w:p>
    <w:p w:rsidR="000C2E83" w:rsidRPr="000C2E83" w:rsidRDefault="000C2E83" w:rsidP="000C2E83">
      <w:pPr>
        <w:jc w:val="both"/>
        <w:rPr>
          <w:rFonts w:ascii="Times New Roman" w:hAnsi="Times New Roman" w:cs="Times New Roman"/>
        </w:rPr>
      </w:pPr>
      <w:r w:rsidRPr="000C2E83">
        <w:rPr>
          <w:rFonts w:ascii="Times New Roman" w:hAnsi="Times New Roman" w:cs="Times New Roman"/>
        </w:rPr>
        <w:t>Climate-driven disruptions, including rising temperature–humidity indices, erratic rainfall, prolonged droughts, and emerging vector-borne pathogens, are reshaping global livestock production and challenging long-term sustainability. Livestock systems face substantial productivity losses due to heat-induced declines in feed intake, reduced fertility, altered metabolic pathways, and compromised immune responses. These pressures intensify demand for adaptive strategies that safeguard animal welfare while reducing environmental impacts. Climate-smart livestock production integrates a multidimensional framework involving resilient genetic resources, diversified feed systems, precision nutrition, water-efficient technologies, and advanced environmental management approaches. Innovations such as precision livestock farming tools, wearable biosensors, automated feeding systems, robotics, remote-sensing-based forage mapping, and decision-support platforms enhance real-time monitoring, improve disease detection accuracy, and optimize resource allocation. Sustainable grazing methods—rotational, strip, and holistic grazing</w:t>
      </w:r>
      <w:r w:rsidR="00044CCD">
        <w:rPr>
          <w:rFonts w:ascii="Times New Roman" w:hAnsi="Times New Roman" w:cs="Times New Roman"/>
        </w:rPr>
        <w:t xml:space="preserve"> </w:t>
      </w:r>
      <w:r w:rsidRPr="000C2E83">
        <w:rPr>
          <w:rFonts w:ascii="Times New Roman" w:hAnsi="Times New Roman" w:cs="Times New Roman"/>
        </w:rPr>
        <w:t>combined with enriched pastures, silvo-pastoral models, and soil carbon restoration strengthen ecological resilience and enhance fodder stability. Integrated crop–livestock and agroforestry systems facilitate circular nutrient flows, reduce reliance on external inputs, and enhance system productivity while contributing to carbon sequestration. Socio-economic dimensions, including livelihood vulnerability, gender equity, cost–benefit evaluations, and community-based adaptation, shape the feasibility and scalability of climate-resilient livestock interventions. Policy frameworks and global climate commitments emphasize methane mitigation, adaptive housing, improved veterinary surveillance, and ecosystem-based land management, supported by institutional coordination and targeted investment. Collectively, these strategies provide a robust foundation for developing sustainable, low-emission, welfare-oriented livestock systems capable of maintaining productivity under accelerating climatic uncertainty. The review synthesizes scientific evidence, technological advancements, socio-economic insights, and policy implications to propose an integrated pathway for livestock sectors striving to enhance resilience and environmental performance in a rapidly changing global climate.</w:t>
      </w:r>
    </w:p>
    <w:p w:rsidR="000C2E83" w:rsidRDefault="000C2E83" w:rsidP="000C2E83">
      <w:pPr>
        <w:jc w:val="both"/>
        <w:rPr>
          <w:rFonts w:ascii="Times New Roman" w:hAnsi="Times New Roman" w:cs="Times New Roman"/>
        </w:rPr>
      </w:pPr>
      <w:r w:rsidRPr="000C2E83">
        <w:rPr>
          <w:rFonts w:ascii="Times New Roman" w:hAnsi="Times New Roman" w:cs="Times New Roman"/>
          <w:b/>
          <w:bCs/>
        </w:rPr>
        <w:t>Keywords</w:t>
      </w:r>
      <w:r>
        <w:rPr>
          <w:rFonts w:ascii="Times New Roman" w:hAnsi="Times New Roman" w:cs="Times New Roman"/>
          <w:b/>
          <w:bCs/>
        </w:rPr>
        <w:t xml:space="preserve">:  </w:t>
      </w:r>
      <w:r w:rsidRPr="000C2E83">
        <w:rPr>
          <w:rFonts w:ascii="Times New Roman" w:hAnsi="Times New Roman" w:cs="Times New Roman"/>
          <w:i/>
          <w:iCs/>
        </w:rPr>
        <w:t>Climate-smart, Precision, Grazing, Integration, Methane, Genetics, Biosecurity</w:t>
      </w:r>
    </w:p>
    <w:p w:rsidR="000F75CC" w:rsidRPr="000F75CC" w:rsidRDefault="000F75CC" w:rsidP="000C2E83">
      <w:pPr>
        <w:jc w:val="both"/>
        <w:rPr>
          <w:rFonts w:ascii="Times New Roman" w:hAnsi="Times New Roman" w:cs="Times New Roman"/>
        </w:rPr>
      </w:pPr>
      <w:r w:rsidRPr="000F75CC">
        <w:rPr>
          <w:rFonts w:ascii="Times New Roman" w:hAnsi="Times New Roman" w:cs="Times New Roman"/>
          <w:b/>
          <w:bCs/>
        </w:rPr>
        <w:t>I. Introduction</w:t>
      </w:r>
      <w:r w:rsidRPr="000F75CC">
        <w:rPr>
          <w:rFonts w:ascii="Times New Roman" w:hAnsi="Times New Roman" w:cs="Times New Roman"/>
        </w:rPr>
        <w:br/>
        <w:t>Climate-driven disruptions are reshaping livestock production systems by altering temperature regimes, precipitation cycles, forage composition, disease eco</w:t>
      </w:r>
      <w:r w:rsidR="00FD6BE7">
        <w:rPr>
          <w:rFonts w:ascii="Times New Roman" w:hAnsi="Times New Roman" w:cs="Times New Roman"/>
        </w:rPr>
        <w:t xml:space="preserve">logy, and resource availability (Harun </w:t>
      </w:r>
      <w:r w:rsidR="00FD6BE7" w:rsidRPr="00FD6BE7">
        <w:rPr>
          <w:rFonts w:ascii="Times New Roman" w:hAnsi="Times New Roman" w:cs="Times New Roman"/>
          <w:i/>
        </w:rPr>
        <w:t>et.al.,</w:t>
      </w:r>
      <w:r w:rsidR="00FD6BE7">
        <w:rPr>
          <w:rFonts w:ascii="Times New Roman" w:hAnsi="Times New Roman" w:cs="Times New Roman"/>
        </w:rPr>
        <w:t xml:space="preserve"> 2025).</w:t>
      </w:r>
      <w:r w:rsidRPr="000F75CC">
        <w:rPr>
          <w:rFonts w:ascii="Times New Roman" w:hAnsi="Times New Roman" w:cs="Times New Roman"/>
        </w:rPr>
        <w:t xml:space="preserve"> Rising global surface temperature has already surpassed 1.1°C above pre-industrial levels, intensifying the frequency of heatwaves, drought</w:t>
      </w:r>
      <w:r w:rsidR="00F849DE">
        <w:rPr>
          <w:rFonts w:ascii="Times New Roman" w:hAnsi="Times New Roman" w:cs="Times New Roman"/>
        </w:rPr>
        <w:t>s, and extreme rainfall events</w:t>
      </w:r>
      <w:r w:rsidRPr="000F75CC">
        <w:rPr>
          <w:rFonts w:ascii="Times New Roman" w:hAnsi="Times New Roman" w:cs="Times New Roman"/>
        </w:rPr>
        <w:t xml:space="preserve">. Livestock species experience substantial declines in productivity under thermal stress; dairy cattle exposed to temperature–humidity indices above 72 exhibit drops </w:t>
      </w:r>
      <w:r w:rsidR="00F849DE">
        <w:rPr>
          <w:rFonts w:ascii="Times New Roman" w:hAnsi="Times New Roman" w:cs="Times New Roman"/>
        </w:rPr>
        <w:t>of 10–25% in milk yield</w:t>
      </w:r>
      <w:r w:rsidRPr="000F75CC">
        <w:rPr>
          <w:rFonts w:ascii="Times New Roman" w:hAnsi="Times New Roman" w:cs="Times New Roman"/>
        </w:rPr>
        <w:t>. Heat stress also elevates maintenance energy requirements by nearly 20%, reduces feed intake by 8–12%, and depresses reproductive performance through impaired follicular developmen</w:t>
      </w:r>
      <w:r w:rsidR="00F849DE">
        <w:rPr>
          <w:rFonts w:ascii="Times New Roman" w:hAnsi="Times New Roman" w:cs="Times New Roman"/>
        </w:rPr>
        <w:t>t and reduced conception rates</w:t>
      </w:r>
      <w:r w:rsidRPr="000F75CC">
        <w:rPr>
          <w:rFonts w:ascii="Times New Roman" w:hAnsi="Times New Roman" w:cs="Times New Roman"/>
        </w:rPr>
        <w:t>.</w:t>
      </w:r>
      <w:r w:rsidR="00044CCD">
        <w:rPr>
          <w:rFonts w:ascii="Times New Roman" w:hAnsi="Times New Roman" w:cs="Times New Roman"/>
        </w:rPr>
        <w:t xml:space="preserve"> </w:t>
      </w:r>
      <w:r w:rsidRPr="000F75CC">
        <w:rPr>
          <w:rFonts w:ascii="Times New Roman" w:hAnsi="Times New Roman" w:cs="Times New Roman"/>
        </w:rPr>
        <w:t xml:space="preserve">Shifting agro-ecological conditions are altering pasture dynamics and fodder quality. Climate projections indicate a potential decline of 5–25% in tropical forage nutritive value due to elevated </w:t>
      </w:r>
      <w:r w:rsidRPr="000F75CC">
        <w:rPr>
          <w:rFonts w:ascii="Times New Roman" w:hAnsi="Times New Roman" w:cs="Times New Roman"/>
        </w:rPr>
        <w:lastRenderedPageBreak/>
        <w:t>CO₂ and warming, primarily driven by increased lignificat</w:t>
      </w:r>
      <w:r w:rsidR="00F849DE">
        <w:rPr>
          <w:rFonts w:ascii="Times New Roman" w:hAnsi="Times New Roman" w:cs="Times New Roman"/>
        </w:rPr>
        <w:t>ion and reduced crude protein</w:t>
      </w:r>
      <w:r w:rsidRPr="000F75CC">
        <w:rPr>
          <w:rFonts w:ascii="Times New Roman" w:hAnsi="Times New Roman" w:cs="Times New Roman"/>
        </w:rPr>
        <w:t>. Water scarcity compounds these risks; livestock water demand is expected to rise by 40% by 2050, while global freshwater availability faces a projected decline of 20% under mid-range climate scenarios. These constraints reduce the capacity of both intensive and extensive systems to maintain stable production.Global emission patterns further emphasize the urgenc</w:t>
      </w:r>
      <w:r w:rsidR="00FD6BE7">
        <w:rPr>
          <w:rFonts w:ascii="Times New Roman" w:hAnsi="Times New Roman" w:cs="Times New Roman"/>
        </w:rPr>
        <w:t>y of sustainable transformation (Pulina</w:t>
      </w:r>
      <w:r w:rsidR="00044CCD">
        <w:rPr>
          <w:rFonts w:ascii="Times New Roman" w:hAnsi="Times New Roman" w:cs="Times New Roman"/>
        </w:rPr>
        <w:t xml:space="preserve"> </w:t>
      </w:r>
      <w:r w:rsidR="00FD6BE7" w:rsidRPr="00FD6BE7">
        <w:rPr>
          <w:rFonts w:ascii="Times New Roman" w:hAnsi="Times New Roman" w:cs="Times New Roman"/>
          <w:i/>
        </w:rPr>
        <w:t>et.al.,</w:t>
      </w:r>
      <w:r w:rsidR="00FD6BE7">
        <w:rPr>
          <w:rFonts w:ascii="Times New Roman" w:hAnsi="Times New Roman" w:cs="Times New Roman"/>
        </w:rPr>
        <w:t xml:space="preserve"> 2017).</w:t>
      </w:r>
      <w:r w:rsidRPr="000F75CC">
        <w:rPr>
          <w:rFonts w:ascii="Times New Roman" w:hAnsi="Times New Roman" w:cs="Times New Roman"/>
        </w:rPr>
        <w:t xml:space="preserve"> Ruminants contribute approximately 3.4 gigatonnes of CO₂-eq annually through enteric methane, accounting for nearly 40% of emission</w:t>
      </w:r>
      <w:r w:rsidR="00F849DE">
        <w:rPr>
          <w:rFonts w:ascii="Times New Roman" w:hAnsi="Times New Roman" w:cs="Times New Roman"/>
        </w:rPr>
        <w:t>s from the agricultural sector</w:t>
      </w:r>
      <w:r w:rsidRPr="000F75CC">
        <w:rPr>
          <w:rFonts w:ascii="Times New Roman" w:hAnsi="Times New Roman" w:cs="Times New Roman"/>
        </w:rPr>
        <w:t>. Methane possesses a global warming potential 28 times higher than CO₂ over a 100-year horizon, increasing the clima</w:t>
      </w:r>
      <w:r w:rsidR="00F849DE">
        <w:rPr>
          <w:rFonts w:ascii="Times New Roman" w:hAnsi="Times New Roman" w:cs="Times New Roman"/>
        </w:rPr>
        <w:t>te burden of livestock systems</w:t>
      </w:r>
      <w:r w:rsidRPr="000F75CC">
        <w:rPr>
          <w:rFonts w:ascii="Times New Roman" w:hAnsi="Times New Roman" w:cs="Times New Roman"/>
        </w:rPr>
        <w:t>. Intensification without sustainability safeguards magnifies land degradation, nutrient losses, and biodiversity pressures, while resource-poor systems face higher vulnerability due to limited adaptive buffers.These converging challenges align with the global need to reconfigure livestock production toward resilience-oriented, low-emission, resource-efficient paradigms. Climate-adaptive livestock strategies emphasize genetic robustness, diversified feeding systems, precision health monitoring, efficient housing design</w:t>
      </w:r>
      <w:r w:rsidR="00F849DE">
        <w:rPr>
          <w:rFonts w:ascii="Times New Roman" w:hAnsi="Times New Roman" w:cs="Times New Roman"/>
        </w:rPr>
        <w:t>s, and circular nutrient flows</w:t>
      </w:r>
      <w:r w:rsidRPr="000F75CC">
        <w:rPr>
          <w:rFonts w:ascii="Times New Roman" w:hAnsi="Times New Roman" w:cs="Times New Roman"/>
        </w:rPr>
        <w:t>. Sustainable adaptation pathways offer the dual benefits of protecting livelihoods dependent on livestock while contributing to climate mitigation goals laid out under the Paris Agreement.</w:t>
      </w:r>
    </w:p>
    <w:p w:rsidR="000F75CC" w:rsidRPr="000F75CC" w:rsidRDefault="000F75CC" w:rsidP="000C2E83">
      <w:pPr>
        <w:jc w:val="both"/>
        <w:rPr>
          <w:rFonts w:ascii="Times New Roman" w:hAnsi="Times New Roman" w:cs="Times New Roman"/>
        </w:rPr>
      </w:pPr>
      <w:r w:rsidRPr="000F75CC">
        <w:rPr>
          <w:rFonts w:ascii="Times New Roman" w:hAnsi="Times New Roman" w:cs="Times New Roman"/>
          <w:b/>
          <w:bCs/>
        </w:rPr>
        <w:t>II. Climate Change Impacts on Livestock Production Systems</w:t>
      </w:r>
      <w:r w:rsidRPr="000F75CC">
        <w:rPr>
          <w:rFonts w:ascii="Times New Roman" w:hAnsi="Times New Roman" w:cs="Times New Roman"/>
        </w:rPr>
        <w:br/>
        <w:t xml:space="preserve">Thermal stress and shifting climatic regimes are generating multifaceted disruptions </w:t>
      </w:r>
      <w:r w:rsidR="00FD6BE7">
        <w:rPr>
          <w:rFonts w:ascii="Times New Roman" w:hAnsi="Times New Roman" w:cs="Times New Roman"/>
        </w:rPr>
        <w:t>across global livestock systems (Henry et.al., 2018).</w:t>
      </w:r>
      <w:r w:rsidRPr="000F75CC">
        <w:rPr>
          <w:rFonts w:ascii="Times New Roman" w:hAnsi="Times New Roman" w:cs="Times New Roman"/>
        </w:rPr>
        <w:t xml:space="preserve"> Rising atmospheric temperatures intensify heat load on cattle, sheep, goats, pigs, and poultry, altering physiological responses, productivity, and overall metabolic stability. Dairy cattle exposed to temperature–humidity indices above 72 experience marked declines in feed intake, with reductions ranging from 8% to 15%, which directly contribute to a 10–25% decre</w:t>
      </w:r>
      <w:r w:rsidR="00F849DE">
        <w:rPr>
          <w:rFonts w:ascii="Times New Roman" w:hAnsi="Times New Roman" w:cs="Times New Roman"/>
        </w:rPr>
        <w:t>ase in milk yield</w:t>
      </w:r>
      <w:r w:rsidRPr="000F75CC">
        <w:rPr>
          <w:rFonts w:ascii="Times New Roman" w:hAnsi="Times New Roman" w:cs="Times New Roman"/>
        </w:rPr>
        <w:t>. Heat stress elevates respiration rates beyond 80 breaths per minute and increases rectal temperature by 0.5–1.5°C, re</w:t>
      </w:r>
      <w:r w:rsidR="00F849DE">
        <w:rPr>
          <w:rFonts w:ascii="Times New Roman" w:hAnsi="Times New Roman" w:cs="Times New Roman"/>
        </w:rPr>
        <w:t>flecting high metabolic strain</w:t>
      </w:r>
      <w:r w:rsidRPr="000F75CC">
        <w:rPr>
          <w:rFonts w:ascii="Times New Roman" w:hAnsi="Times New Roman" w:cs="Times New Roman"/>
        </w:rPr>
        <w:t>. In beef cattle, daily weight gain can fall by nearly</w:t>
      </w:r>
      <w:r w:rsidR="00F849DE">
        <w:rPr>
          <w:rFonts w:ascii="Times New Roman" w:hAnsi="Times New Roman" w:cs="Times New Roman"/>
        </w:rPr>
        <w:t xml:space="preserve"> 40% under chronic heat exposure</w:t>
      </w:r>
      <w:r w:rsidRPr="000F75CC">
        <w:rPr>
          <w:rFonts w:ascii="Times New Roman" w:hAnsi="Times New Roman" w:cs="Times New Roman"/>
        </w:rPr>
        <w:t xml:space="preserve">. Small ruminants, though relatively more tolerant, exhibit reduced grazing time, elevated cortisol levels, and compromised immune function during prolonged </w:t>
      </w:r>
      <w:r w:rsidR="00F849DE">
        <w:rPr>
          <w:rFonts w:ascii="Times New Roman" w:hAnsi="Times New Roman" w:cs="Times New Roman"/>
        </w:rPr>
        <w:t>heat episodes</w:t>
      </w:r>
      <w:r w:rsidRPr="000F75CC">
        <w:rPr>
          <w:rFonts w:ascii="Times New Roman" w:hAnsi="Times New Roman" w:cs="Times New Roman"/>
        </w:rPr>
        <w:t>. Pigs demonstrate considerable sensitivity due to limited sweat gland activity; thermal environments above 25°C reduce voluntary feed intake by 50–80 g per °C rise, impairing muscle deposition and reproductive performanc</w:t>
      </w:r>
      <w:r w:rsidR="00F849DE">
        <w:rPr>
          <w:rFonts w:ascii="Times New Roman" w:hAnsi="Times New Roman" w:cs="Times New Roman"/>
        </w:rPr>
        <w:t>e</w:t>
      </w:r>
      <w:r w:rsidRPr="000F75CC">
        <w:rPr>
          <w:rFonts w:ascii="Times New Roman" w:hAnsi="Times New Roman" w:cs="Times New Roman"/>
        </w:rPr>
        <w:t>. Poultry systems face high mortality risks during heatwaves, with broiler death rates increasing by 3–5% per °C rise be</w:t>
      </w:r>
      <w:r w:rsidR="00F849DE">
        <w:rPr>
          <w:rFonts w:ascii="Times New Roman" w:hAnsi="Times New Roman" w:cs="Times New Roman"/>
        </w:rPr>
        <w:t>yond thermo-neutral conditions</w:t>
      </w:r>
      <w:r w:rsidRPr="000F75CC">
        <w:rPr>
          <w:rFonts w:ascii="Times New Roman" w:hAnsi="Times New Roman" w:cs="Times New Roman"/>
        </w:rPr>
        <w:t>.Altered feed quality represents another critical const</w:t>
      </w:r>
      <w:r w:rsidR="00FD6BE7">
        <w:rPr>
          <w:rFonts w:ascii="Times New Roman" w:hAnsi="Times New Roman" w:cs="Times New Roman"/>
        </w:rPr>
        <w:t xml:space="preserve">raint (Webb </w:t>
      </w:r>
      <w:r w:rsidR="00FD6BE7" w:rsidRPr="00FD6BE7">
        <w:rPr>
          <w:rFonts w:ascii="Times New Roman" w:hAnsi="Times New Roman" w:cs="Times New Roman"/>
          <w:i/>
        </w:rPr>
        <w:t>et.al.,</w:t>
      </w:r>
      <w:r w:rsidR="00FD6BE7">
        <w:rPr>
          <w:rFonts w:ascii="Times New Roman" w:hAnsi="Times New Roman" w:cs="Times New Roman"/>
        </w:rPr>
        <w:t xml:space="preserve"> 2010).</w:t>
      </w:r>
      <w:r w:rsidRPr="000F75CC">
        <w:rPr>
          <w:rFonts w:ascii="Times New Roman" w:hAnsi="Times New Roman" w:cs="Times New Roman"/>
        </w:rPr>
        <w:t xml:space="preserve"> Rising CO₂ concentrations accelerate plant biomass production but reduce crude protein levels by 10–15% and elevate fiber con</w:t>
      </w:r>
      <w:r w:rsidR="00F849DE">
        <w:rPr>
          <w:rFonts w:ascii="Times New Roman" w:hAnsi="Times New Roman" w:cs="Times New Roman"/>
        </w:rPr>
        <w:t>tent, decreasing digestibility</w:t>
      </w:r>
      <w:r w:rsidRPr="000F75CC">
        <w:rPr>
          <w:rFonts w:ascii="Times New Roman" w:hAnsi="Times New Roman" w:cs="Times New Roman"/>
        </w:rPr>
        <w:t>. Forage digestible energy availability in tropical grasslands is projected to d</w:t>
      </w:r>
      <w:r w:rsidR="00F849DE">
        <w:rPr>
          <w:rFonts w:ascii="Times New Roman" w:hAnsi="Times New Roman" w:cs="Times New Roman"/>
        </w:rPr>
        <w:t>ecline by 5–25% by mid-century</w:t>
      </w:r>
      <w:r w:rsidRPr="000F75CC">
        <w:rPr>
          <w:rFonts w:ascii="Times New Roman" w:hAnsi="Times New Roman" w:cs="Times New Roman"/>
        </w:rPr>
        <w:t>. Such shifts negatively influence rumen function, microbial activity, and methane emissions per unit of animal product. Water scarcity compounds feed challenges; livestock water demand is expected to increase by nearly 40% by 2050, while arid and semi-arid regions face declining groundwater recharge and evaporative losses rising by 10–20% under warming scenarios. Reduced drinking water access elevates dehydration stress, suppresses feed intake, and disrupts thermoregulation.</w:t>
      </w:r>
    </w:p>
    <w:p w:rsidR="000F75CC" w:rsidRPr="000F75CC" w:rsidRDefault="000F75CC" w:rsidP="000C2E83">
      <w:pPr>
        <w:jc w:val="both"/>
        <w:rPr>
          <w:rFonts w:ascii="Times New Roman" w:hAnsi="Times New Roman" w:cs="Times New Roman"/>
        </w:rPr>
      </w:pPr>
      <w:r w:rsidRPr="000F75CC">
        <w:rPr>
          <w:rFonts w:ascii="Times New Roman" w:hAnsi="Times New Roman" w:cs="Times New Roman"/>
        </w:rPr>
        <w:t>Disease patterns are being reshaped by chan</w:t>
      </w:r>
      <w:r w:rsidR="00FD6BE7">
        <w:rPr>
          <w:rFonts w:ascii="Times New Roman" w:hAnsi="Times New Roman" w:cs="Times New Roman"/>
        </w:rPr>
        <w:t xml:space="preserve">ges in temperature and humidity (Zhang </w:t>
      </w:r>
      <w:r w:rsidR="00FD6BE7" w:rsidRPr="00FD6BE7">
        <w:rPr>
          <w:rFonts w:ascii="Times New Roman" w:hAnsi="Times New Roman" w:cs="Times New Roman"/>
          <w:i/>
        </w:rPr>
        <w:t>et.al.,</w:t>
      </w:r>
      <w:r w:rsidR="00FD6BE7">
        <w:rPr>
          <w:rFonts w:ascii="Times New Roman" w:hAnsi="Times New Roman" w:cs="Times New Roman"/>
        </w:rPr>
        <w:t xml:space="preserve"> 2024).</w:t>
      </w:r>
      <w:r w:rsidRPr="000F75CC">
        <w:rPr>
          <w:rFonts w:ascii="Times New Roman" w:hAnsi="Times New Roman" w:cs="Times New Roman"/>
        </w:rPr>
        <w:t xml:space="preserve"> Vector-borne pathogens such as </w:t>
      </w:r>
      <w:r w:rsidRPr="000F75CC">
        <w:rPr>
          <w:rFonts w:ascii="Times New Roman" w:hAnsi="Times New Roman" w:cs="Times New Roman"/>
          <w:i/>
          <w:iCs/>
        </w:rPr>
        <w:t>Trypanosoma</w:t>
      </w:r>
      <w:r w:rsidRPr="000F75CC">
        <w:rPr>
          <w:rFonts w:ascii="Times New Roman" w:hAnsi="Times New Roman" w:cs="Times New Roman"/>
        </w:rPr>
        <w:t xml:space="preserve">, </w:t>
      </w:r>
      <w:r w:rsidRPr="000F75CC">
        <w:rPr>
          <w:rFonts w:ascii="Times New Roman" w:hAnsi="Times New Roman" w:cs="Times New Roman"/>
          <w:i/>
          <w:iCs/>
        </w:rPr>
        <w:t>Theileria</w:t>
      </w:r>
      <w:r w:rsidRPr="000F75CC">
        <w:rPr>
          <w:rFonts w:ascii="Times New Roman" w:hAnsi="Times New Roman" w:cs="Times New Roman"/>
        </w:rPr>
        <w:t xml:space="preserve">, </w:t>
      </w:r>
      <w:r w:rsidRPr="000F75CC">
        <w:rPr>
          <w:rFonts w:ascii="Times New Roman" w:hAnsi="Times New Roman" w:cs="Times New Roman"/>
          <w:i/>
          <w:iCs/>
        </w:rPr>
        <w:t>Anaplasma</w:t>
      </w:r>
      <w:r w:rsidRPr="000F75CC">
        <w:rPr>
          <w:rFonts w:ascii="Times New Roman" w:hAnsi="Times New Roman" w:cs="Times New Roman"/>
        </w:rPr>
        <w:t xml:space="preserve">, and </w:t>
      </w:r>
      <w:r w:rsidRPr="000F75CC">
        <w:rPr>
          <w:rFonts w:ascii="Times New Roman" w:hAnsi="Times New Roman" w:cs="Times New Roman"/>
          <w:i/>
          <w:iCs/>
        </w:rPr>
        <w:t>Bluetongue virus</w:t>
      </w:r>
      <w:r w:rsidRPr="000F75CC">
        <w:rPr>
          <w:rFonts w:ascii="Times New Roman" w:hAnsi="Times New Roman" w:cs="Times New Roman"/>
        </w:rPr>
        <w:t xml:space="preserve"> are expanding into new ecological zones due to enhanced vector sur</w:t>
      </w:r>
      <w:r w:rsidR="00F849DE">
        <w:rPr>
          <w:rFonts w:ascii="Times New Roman" w:hAnsi="Times New Roman" w:cs="Times New Roman"/>
        </w:rPr>
        <w:t>vival and altered distribution</w:t>
      </w:r>
      <w:r w:rsidRPr="000F75CC">
        <w:rPr>
          <w:rFonts w:ascii="Times New Roman" w:hAnsi="Times New Roman" w:cs="Times New Roman"/>
        </w:rPr>
        <w:t xml:space="preserve">. Ticks of the </w:t>
      </w:r>
      <w:r w:rsidRPr="000F75CC">
        <w:rPr>
          <w:rFonts w:ascii="Times New Roman" w:hAnsi="Times New Roman" w:cs="Times New Roman"/>
          <w:i/>
          <w:iCs/>
        </w:rPr>
        <w:t>Rhipicephalus</w:t>
      </w:r>
      <w:r w:rsidRPr="000F75CC">
        <w:rPr>
          <w:rFonts w:ascii="Times New Roman" w:hAnsi="Times New Roman" w:cs="Times New Roman"/>
        </w:rPr>
        <w:t xml:space="preserve"> genus demonstrate nearly year-round activity in many warming regions, increasing dise</w:t>
      </w:r>
      <w:r w:rsidR="00F849DE">
        <w:rPr>
          <w:rFonts w:ascii="Times New Roman" w:hAnsi="Times New Roman" w:cs="Times New Roman"/>
        </w:rPr>
        <w:t>ase transmission probabilities</w:t>
      </w:r>
      <w:r w:rsidRPr="000F75CC">
        <w:rPr>
          <w:rFonts w:ascii="Times New Roman" w:hAnsi="Times New Roman" w:cs="Times New Roman"/>
        </w:rPr>
        <w:t xml:space="preserve">. Heat stress suppresses both innate and adaptive immunity, raising susceptibility to mastitis, respiratory diseases, and gastrointestinal infections in cattle and small </w:t>
      </w:r>
      <w:r w:rsidRPr="000F75CC">
        <w:rPr>
          <w:rFonts w:ascii="Times New Roman" w:hAnsi="Times New Roman" w:cs="Times New Roman"/>
        </w:rPr>
        <w:lastRenderedPageBreak/>
        <w:t>ruminants.Reproductive performance is deeply affected as well. High-temperature exposure lowers conception</w:t>
      </w:r>
      <w:r w:rsidR="00C13A55">
        <w:rPr>
          <w:rFonts w:ascii="Times New Roman" w:hAnsi="Times New Roman" w:cs="Times New Roman"/>
        </w:rPr>
        <w:t xml:space="preserve"> </w:t>
      </w:r>
      <w:r w:rsidRPr="000F75CC">
        <w:rPr>
          <w:rFonts w:ascii="Times New Roman" w:hAnsi="Times New Roman" w:cs="Times New Roman"/>
        </w:rPr>
        <w:t>rates by 20–30% in dairy cattle, disrupts oocyte maturation, and increases early embryonic loss. In pigs, heat stress reduces litter size by 1–2 piglets per farrowing cycle and depresses boar semen qualit</w:t>
      </w:r>
      <w:r w:rsidR="00F849DE">
        <w:rPr>
          <w:rFonts w:ascii="Times New Roman" w:hAnsi="Times New Roman" w:cs="Times New Roman"/>
        </w:rPr>
        <w:t>y</w:t>
      </w:r>
      <w:r w:rsidRPr="000F75CC">
        <w:rPr>
          <w:rFonts w:ascii="Times New Roman" w:hAnsi="Times New Roman" w:cs="Times New Roman"/>
        </w:rPr>
        <w:t>. Poultry eggs show reduced hatchability at temperatures above 27°C due to impaired shell forma</w:t>
      </w:r>
      <w:r w:rsidR="00F849DE">
        <w:rPr>
          <w:rFonts w:ascii="Times New Roman" w:hAnsi="Times New Roman" w:cs="Times New Roman"/>
        </w:rPr>
        <w:t>tion and embryonic development</w:t>
      </w:r>
      <w:r w:rsidRPr="000F75CC">
        <w:rPr>
          <w:rFonts w:ascii="Times New Roman" w:hAnsi="Times New Roman" w:cs="Times New Roman"/>
        </w:rPr>
        <w:t>.</w:t>
      </w:r>
      <w:r w:rsidR="00C13A55">
        <w:rPr>
          <w:rFonts w:ascii="Times New Roman" w:hAnsi="Times New Roman" w:cs="Times New Roman"/>
        </w:rPr>
        <w:t xml:space="preserve"> </w:t>
      </w:r>
      <w:r w:rsidRPr="000F75CC">
        <w:rPr>
          <w:rFonts w:ascii="Times New Roman" w:hAnsi="Times New Roman" w:cs="Times New Roman"/>
        </w:rPr>
        <w:t>Metabolic disruptions further limit livestock productivity. Heat load shifts nutrient partitioning away from growth and production toward maintenance, raising energy requirements by up to 20%</w:t>
      </w:r>
      <w:r w:rsidR="00FD6BE7">
        <w:rPr>
          <w:rFonts w:ascii="Times New Roman" w:hAnsi="Times New Roman" w:cs="Times New Roman"/>
        </w:rPr>
        <w:t xml:space="preserve"> (Mishra </w:t>
      </w:r>
      <w:r w:rsidR="00FD6BE7" w:rsidRPr="00FD6BE7">
        <w:rPr>
          <w:rFonts w:ascii="Times New Roman" w:hAnsi="Times New Roman" w:cs="Times New Roman"/>
          <w:i/>
        </w:rPr>
        <w:t>et.al.,</w:t>
      </w:r>
      <w:r w:rsidR="00FD6BE7">
        <w:rPr>
          <w:rFonts w:ascii="Times New Roman" w:hAnsi="Times New Roman" w:cs="Times New Roman"/>
        </w:rPr>
        <w:t xml:space="preserve"> 2023).</w:t>
      </w:r>
      <w:r w:rsidRPr="000F75CC">
        <w:rPr>
          <w:rFonts w:ascii="Times New Roman" w:hAnsi="Times New Roman" w:cs="Times New Roman"/>
        </w:rPr>
        <w:t xml:space="preserve"> Ruminal acidosis, oxidative stress, and electrolyte imbalance become more common as animals struggle to dissipate accumulated heat. Chronic stress reduces antioxidant capacity, elevates lipid peroxidation, an</w:t>
      </w:r>
      <w:r w:rsidR="00F849DE">
        <w:rPr>
          <w:rFonts w:ascii="Times New Roman" w:hAnsi="Times New Roman" w:cs="Times New Roman"/>
        </w:rPr>
        <w:t>d impairs endocrine regulation</w:t>
      </w:r>
      <w:r w:rsidRPr="000F75CC">
        <w:rPr>
          <w:rFonts w:ascii="Times New Roman" w:hAnsi="Times New Roman" w:cs="Times New Roman"/>
        </w:rPr>
        <w:t>.</w:t>
      </w:r>
      <w:r w:rsidR="00C13A55">
        <w:rPr>
          <w:rFonts w:ascii="Times New Roman" w:hAnsi="Times New Roman" w:cs="Times New Roman"/>
        </w:rPr>
        <w:t xml:space="preserve"> </w:t>
      </w:r>
      <w:r w:rsidRPr="000F75CC">
        <w:rPr>
          <w:rFonts w:ascii="Times New Roman" w:hAnsi="Times New Roman" w:cs="Times New Roman"/>
        </w:rPr>
        <w:t xml:space="preserve">Regional productivity shifts illustrate the broad-scale consequences of climate change. Tropical and subtropical zones are projected to experience a 15–30% decline in livestock productivity by 2050 under high-emission scenarios, largely driven by thermal stress, pasture degradation, </w:t>
      </w:r>
      <w:r w:rsidR="00F849DE">
        <w:rPr>
          <w:rFonts w:ascii="Times New Roman" w:hAnsi="Times New Roman" w:cs="Times New Roman"/>
        </w:rPr>
        <w:t>and increased disease pressure</w:t>
      </w:r>
      <w:r w:rsidRPr="000F75CC">
        <w:rPr>
          <w:rFonts w:ascii="Times New Roman" w:hAnsi="Times New Roman" w:cs="Times New Roman"/>
        </w:rPr>
        <w:t>. Temperate areas may initially see minor productivity gains due to extended grazing seasons, but these benefits diminish with rising frequency of heat extremes and water shortages.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III. Greenhouse Gas Emissions and Environmental Footprint of Livestock</w:t>
      </w:r>
      <w:r w:rsidRPr="00B518F4">
        <w:rPr>
          <w:rFonts w:ascii="Times New Roman" w:hAnsi="Times New Roman" w:cs="Times New Roman"/>
        </w:rPr>
        <w:br/>
        <w:t>Livestock production contributes significantly to global greenhouse gas (GHG) emissions through enteric methane release, manure-derived nitrous oxide, land-use change, and energy c</w:t>
      </w:r>
      <w:r w:rsidR="00FD6BE7">
        <w:rPr>
          <w:rFonts w:ascii="Times New Roman" w:hAnsi="Times New Roman" w:cs="Times New Roman"/>
        </w:rPr>
        <w:t xml:space="preserve">onsumption across supply chains (Gerber </w:t>
      </w:r>
      <w:r w:rsidR="00FD6BE7" w:rsidRPr="00FD6BE7">
        <w:rPr>
          <w:rFonts w:ascii="Times New Roman" w:hAnsi="Times New Roman" w:cs="Times New Roman"/>
          <w:i/>
        </w:rPr>
        <w:t xml:space="preserve">et.al., </w:t>
      </w:r>
      <w:r w:rsidR="00FD6BE7">
        <w:rPr>
          <w:rFonts w:ascii="Times New Roman" w:hAnsi="Times New Roman" w:cs="Times New Roman"/>
        </w:rPr>
        <w:t>2013).</w:t>
      </w:r>
      <w:r w:rsidRPr="00B518F4">
        <w:rPr>
          <w:rFonts w:ascii="Times New Roman" w:hAnsi="Times New Roman" w:cs="Times New Roman"/>
        </w:rPr>
        <w:t xml:space="preserve"> Enteric methane (CH₄) remains the dominant emission source: ruminants contribute nearly 3.4 gigatonnes CO₂-eq annually, representing about 40%</w:t>
      </w:r>
      <w:r w:rsidR="00F849DE">
        <w:rPr>
          <w:rFonts w:ascii="Times New Roman" w:hAnsi="Times New Roman" w:cs="Times New Roman"/>
        </w:rPr>
        <w:t xml:space="preserve"> of all agricultural emissions</w:t>
      </w:r>
      <w:r w:rsidRPr="00B518F4">
        <w:rPr>
          <w:rFonts w:ascii="Times New Roman" w:hAnsi="Times New Roman" w:cs="Times New Roman"/>
        </w:rPr>
        <w:t>. Methane is produced through enteric fermentation by rumen microbes, with cattle responsible for nearly 65% of global livestock CH₄ output due to high forage intake and extended diges</w:t>
      </w:r>
      <w:r w:rsidR="00F849DE">
        <w:rPr>
          <w:rFonts w:ascii="Times New Roman" w:hAnsi="Times New Roman" w:cs="Times New Roman"/>
        </w:rPr>
        <w:t>tive retention time</w:t>
      </w:r>
      <w:r w:rsidRPr="00B518F4">
        <w:rPr>
          <w:rFonts w:ascii="Times New Roman" w:hAnsi="Times New Roman" w:cs="Times New Roman"/>
        </w:rPr>
        <w:t>. Global warming potential (GWP₁₀₀) for methane is 28 times higher than CO₂, amplifying the climatic im</w:t>
      </w:r>
      <w:r w:rsidR="00F849DE">
        <w:rPr>
          <w:rFonts w:ascii="Times New Roman" w:hAnsi="Times New Roman" w:cs="Times New Roman"/>
        </w:rPr>
        <w:t>pact of ruminant-based systems</w:t>
      </w:r>
      <w:r w:rsidRPr="00B518F4">
        <w:rPr>
          <w:rFonts w:ascii="Times New Roman" w:hAnsi="Times New Roman" w:cs="Times New Roman"/>
        </w:rPr>
        <w:t>. Dietary fiber quality, feed conversion efficiency, and rumen microbiome composition strongly influence methane yield, with low-digestibility forages elevating CH₄ production by 20–35% p</w:t>
      </w:r>
      <w:r w:rsidR="00F849DE">
        <w:rPr>
          <w:rFonts w:ascii="Times New Roman" w:hAnsi="Times New Roman" w:cs="Times New Roman"/>
        </w:rPr>
        <w:t>er unit of dry matter consumed.</w:t>
      </w:r>
      <w:r w:rsidR="00C13A55">
        <w:rPr>
          <w:rFonts w:ascii="Times New Roman" w:hAnsi="Times New Roman" w:cs="Times New Roman"/>
        </w:rPr>
        <w:t xml:space="preserve"> </w:t>
      </w:r>
      <w:r w:rsidRPr="00B518F4">
        <w:rPr>
          <w:rFonts w:ascii="Times New Roman" w:hAnsi="Times New Roman" w:cs="Times New Roman"/>
        </w:rPr>
        <w:t>Nitrous oxide (N₂O) from manure management adds another high-impact emission category. N₂O exhibits a GWP₁₀₀ nearly 265–298 times greater than CO₂, making even modest quantiti</w:t>
      </w:r>
      <w:r w:rsidR="00F849DE">
        <w:rPr>
          <w:rFonts w:ascii="Times New Roman" w:hAnsi="Times New Roman" w:cs="Times New Roman"/>
        </w:rPr>
        <w:t>es environmentally significant</w:t>
      </w:r>
      <w:r w:rsidRPr="00B518F4">
        <w:rPr>
          <w:rFonts w:ascii="Times New Roman" w:hAnsi="Times New Roman" w:cs="Times New Roman"/>
        </w:rPr>
        <w:t>. Manure storage under anaerobic conditions promotes nitrification–denitrification pathways, producing substantial N₂O losses. Liquid manure systems generate nearly 25–45% higher GHG emissions relative to solid storage due to elevated methane output and potential N₂O r</w:t>
      </w:r>
      <w:r w:rsidR="00F849DE">
        <w:rPr>
          <w:rFonts w:ascii="Times New Roman" w:hAnsi="Times New Roman" w:cs="Times New Roman"/>
        </w:rPr>
        <w:t>elease during land application</w:t>
      </w:r>
      <w:r w:rsidRPr="00B518F4">
        <w:rPr>
          <w:rFonts w:ascii="Times New Roman" w:hAnsi="Times New Roman" w:cs="Times New Roman"/>
        </w:rPr>
        <w:t>. Global estimates indicate that manure contributes about 0.7 gigatonnes CO₂-eq annually, with emission intensity shaped by moisture content, storage duration, temper</w:t>
      </w:r>
      <w:r w:rsidR="00F849DE">
        <w:rPr>
          <w:rFonts w:ascii="Times New Roman" w:hAnsi="Times New Roman" w:cs="Times New Roman"/>
        </w:rPr>
        <w:t>ature, and microbial processes</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The carbon footprint of intensive versus extensi</w:t>
      </w:r>
      <w:r w:rsidR="00FD6BE7">
        <w:rPr>
          <w:rFonts w:ascii="Times New Roman" w:hAnsi="Times New Roman" w:cs="Times New Roman"/>
        </w:rPr>
        <w:t xml:space="preserve">ve systems varies substantially (Chen </w:t>
      </w:r>
      <w:r w:rsidR="00FD6BE7" w:rsidRPr="00FD6BE7">
        <w:rPr>
          <w:rFonts w:ascii="Times New Roman" w:hAnsi="Times New Roman" w:cs="Times New Roman"/>
          <w:i/>
        </w:rPr>
        <w:t>et.al.,</w:t>
      </w:r>
      <w:r w:rsidR="00FD6BE7">
        <w:rPr>
          <w:rFonts w:ascii="Times New Roman" w:hAnsi="Times New Roman" w:cs="Times New Roman"/>
        </w:rPr>
        <w:t xml:space="preserve"> 2020).</w:t>
      </w:r>
      <w:r w:rsidRPr="00B518F4">
        <w:rPr>
          <w:rFonts w:ascii="Times New Roman" w:hAnsi="Times New Roman" w:cs="Times New Roman"/>
        </w:rPr>
        <w:t xml:space="preserve"> Intensive dairy and beef operations can produce higher total emissions due to energy use, feed transport, and manure accumulation; yet, they often exhibit lower emission intensity per unit of product because of improved feed conversion, genetic potential, and reproductive</w:t>
      </w:r>
      <w:r w:rsidR="00F849DE">
        <w:rPr>
          <w:rFonts w:ascii="Times New Roman" w:hAnsi="Times New Roman" w:cs="Times New Roman"/>
        </w:rPr>
        <w:t xml:space="preserve"> efficiency</w:t>
      </w:r>
      <w:r w:rsidRPr="00B518F4">
        <w:rPr>
          <w:rFonts w:ascii="Times New Roman" w:hAnsi="Times New Roman" w:cs="Times New Roman"/>
        </w:rPr>
        <w:t>. Extensive grazing systems generate lower energy-related emissions but higher enteric methane per unit of output due to slower growth rat</w:t>
      </w:r>
      <w:r w:rsidR="00F849DE">
        <w:rPr>
          <w:rFonts w:ascii="Times New Roman" w:hAnsi="Times New Roman" w:cs="Times New Roman"/>
        </w:rPr>
        <w:t>es and reduced dietary quality</w:t>
      </w:r>
      <w:r w:rsidRPr="00B518F4">
        <w:rPr>
          <w:rFonts w:ascii="Times New Roman" w:hAnsi="Times New Roman" w:cs="Times New Roman"/>
        </w:rPr>
        <w:t>. Land-use change linked with livestock grazing and feed crop cultivation contributes large carbon losses; pasture expansion drives about 50–60% of tropical deforestation, releasing 0</w:t>
      </w:r>
      <w:r w:rsidR="00F849DE">
        <w:rPr>
          <w:rFonts w:ascii="Times New Roman" w:hAnsi="Times New Roman" w:cs="Times New Roman"/>
        </w:rPr>
        <w:t>.8–1.0 gigatonnes CO₂ annually</w:t>
      </w:r>
      <w:r w:rsidRPr="00B518F4">
        <w:rPr>
          <w:rFonts w:ascii="Times New Roman" w:hAnsi="Times New Roman" w:cs="Times New Roman"/>
        </w:rPr>
        <w:t>. Soil carbon depletion under unmanaged grazing can reduce organic carbon stocks by 12–30%, while well-managed systems can sequester 0.3–3.0 tonn</w:t>
      </w:r>
      <w:r w:rsidR="00F849DE">
        <w:rPr>
          <w:rFonts w:ascii="Times New Roman" w:hAnsi="Times New Roman" w:cs="Times New Roman"/>
        </w:rPr>
        <w:t>es carbon per hectare per year</w:t>
      </w:r>
      <w:r w:rsidRPr="00B518F4">
        <w:rPr>
          <w:rFonts w:ascii="Times New Roman" w:hAnsi="Times New Roman" w:cs="Times New Roman"/>
        </w:rPr>
        <w:t>.</w:t>
      </w:r>
      <w:r w:rsidR="00B57BDC">
        <w:rPr>
          <w:rFonts w:ascii="Times New Roman" w:hAnsi="Times New Roman" w:cs="Times New Roman"/>
        </w:rPr>
        <w:t xml:space="preserve"> </w:t>
      </w:r>
      <w:r w:rsidRPr="00B518F4">
        <w:rPr>
          <w:rFonts w:ascii="Times New Roman" w:hAnsi="Times New Roman" w:cs="Times New Roman"/>
        </w:rPr>
        <w:t xml:space="preserve">Emission intensity indicators provide standardized metrics for evaluating sustainability across species and production </w:t>
      </w:r>
      <w:r w:rsidRPr="00B518F4">
        <w:rPr>
          <w:rFonts w:ascii="Times New Roman" w:hAnsi="Times New Roman" w:cs="Times New Roman"/>
        </w:rPr>
        <w:lastRenderedPageBreak/>
        <w:t>systems. Dairy systems report 1.2–2.4 kg CO₂-eq per liter of milk, depending on feed efficiency,</w:t>
      </w:r>
      <w:r w:rsidR="00F849DE">
        <w:rPr>
          <w:rFonts w:ascii="Times New Roman" w:hAnsi="Times New Roman" w:cs="Times New Roman"/>
        </w:rPr>
        <w:t xml:space="preserve"> manure practices, and climate</w:t>
      </w:r>
      <w:r w:rsidRPr="00B518F4">
        <w:rPr>
          <w:rFonts w:ascii="Times New Roman" w:hAnsi="Times New Roman" w:cs="Times New Roman"/>
        </w:rPr>
        <w:t xml:space="preserve">. Beef emission intensity ranges from 20–90 kg CO₂-eq per kilogram of meat, with the highest values </w:t>
      </w:r>
      <w:r w:rsidR="00F849DE">
        <w:rPr>
          <w:rFonts w:ascii="Times New Roman" w:hAnsi="Times New Roman" w:cs="Times New Roman"/>
        </w:rPr>
        <w:t>in low-input pastoral systems</w:t>
      </w:r>
      <w:r w:rsidRPr="00B518F4">
        <w:rPr>
          <w:rFonts w:ascii="Times New Roman" w:hAnsi="Times New Roman" w:cs="Times New Roman"/>
        </w:rPr>
        <w:t>. Monogastric species such as pigs and poultry exhibit much lower CH₄ emissions, averaging 3.5–6.0 kg CO₂-eq per kilogram of pork and 2.5–4.5 kg CO₂-e</w:t>
      </w:r>
      <w:r w:rsidR="00F849DE">
        <w:rPr>
          <w:rFonts w:ascii="Times New Roman" w:hAnsi="Times New Roman" w:cs="Times New Roman"/>
        </w:rPr>
        <w:t>q per kilogram of poultry meat</w:t>
      </w:r>
      <w:r w:rsidRPr="00B518F4">
        <w:rPr>
          <w:rFonts w:ascii="Times New Roman" w:hAnsi="Times New Roman" w:cs="Times New Roman"/>
        </w:rPr>
        <w:t>. These indicators help identify mitigation priorities, including dietary modifications, manure management optimization, feed additives, and breeding for enhanced feed conversion efficiency.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Global mitigation benchmarks outline clear technological and management pathways</w:t>
      </w:r>
      <w:r w:rsidR="00FD6BE7">
        <w:rPr>
          <w:rFonts w:ascii="Times New Roman" w:hAnsi="Times New Roman" w:cs="Times New Roman"/>
        </w:rPr>
        <w:t xml:space="preserve"> (Aldy </w:t>
      </w:r>
      <w:r w:rsidR="00FD6BE7" w:rsidRPr="00034B6B">
        <w:rPr>
          <w:rFonts w:ascii="Times New Roman" w:hAnsi="Times New Roman" w:cs="Times New Roman"/>
          <w:i/>
        </w:rPr>
        <w:t>et.al.,</w:t>
      </w:r>
      <w:r w:rsidR="00FD6BE7">
        <w:rPr>
          <w:rFonts w:ascii="Times New Roman" w:hAnsi="Times New Roman" w:cs="Times New Roman"/>
        </w:rPr>
        <w:t xml:space="preserve"> 2017</w:t>
      </w:r>
      <w:r w:rsidR="00034B6B">
        <w:rPr>
          <w:rFonts w:ascii="Times New Roman" w:hAnsi="Times New Roman" w:cs="Times New Roman"/>
        </w:rPr>
        <w:t>).</w:t>
      </w:r>
      <w:r w:rsidRPr="00B518F4">
        <w:rPr>
          <w:rFonts w:ascii="Times New Roman" w:hAnsi="Times New Roman" w:cs="Times New Roman"/>
        </w:rPr>
        <w:t xml:space="preserve"> Adoption of feed additives such as 3-nitrooxypropanol (3-NOP) can reduce methane emissions by 30–45% in dairy cattle; red seaweed (</w:t>
      </w:r>
      <w:r w:rsidRPr="00B518F4">
        <w:rPr>
          <w:rFonts w:ascii="Times New Roman" w:hAnsi="Times New Roman" w:cs="Times New Roman"/>
          <w:i/>
          <w:iCs/>
        </w:rPr>
        <w:t>Asparagopsistaxiformis</w:t>
      </w:r>
      <w:r w:rsidRPr="00B518F4">
        <w:rPr>
          <w:rFonts w:ascii="Times New Roman" w:hAnsi="Times New Roman" w:cs="Times New Roman"/>
        </w:rPr>
        <w:t>) demonstrates reductions of up t</w:t>
      </w:r>
      <w:r w:rsidR="00F849DE">
        <w:rPr>
          <w:rFonts w:ascii="Times New Roman" w:hAnsi="Times New Roman" w:cs="Times New Roman"/>
        </w:rPr>
        <w:t>o 60–80% in controlled studies</w:t>
      </w:r>
      <w:r w:rsidRPr="00B518F4">
        <w:rPr>
          <w:rFonts w:ascii="Times New Roman" w:hAnsi="Times New Roman" w:cs="Times New Roman"/>
        </w:rPr>
        <w:t>. Advanced manure systems such as anaerobic digesters capture methane for renewable energy, reducing emissions by 50–80% and gener</w:t>
      </w:r>
      <w:r w:rsidR="00F849DE">
        <w:rPr>
          <w:rFonts w:ascii="Times New Roman" w:hAnsi="Times New Roman" w:cs="Times New Roman"/>
        </w:rPr>
        <w:t xml:space="preserve">ating biogas-based electricity. </w:t>
      </w:r>
      <w:r w:rsidRPr="00B518F4">
        <w:rPr>
          <w:rFonts w:ascii="Times New Roman" w:hAnsi="Times New Roman" w:cs="Times New Roman"/>
        </w:rPr>
        <w:t>Improved grazing management enhances soil carbon sequestration, contributing substantial offset potential. Breeding strategies targeting low-methane-emitting genotypes also show promise, with heritability estim</w:t>
      </w:r>
      <w:r w:rsidR="00F849DE">
        <w:rPr>
          <w:rFonts w:ascii="Times New Roman" w:hAnsi="Times New Roman" w:cs="Times New Roman"/>
        </w:rPr>
        <w:t>ates ranging from 0.12 to 0.30</w:t>
      </w:r>
      <w:r w:rsidRPr="00B518F4">
        <w:rPr>
          <w:rFonts w:ascii="Times New Roman" w:hAnsi="Times New Roman" w:cs="Times New Roman"/>
        </w:rPr>
        <w:t>. Climate-smart benchmarks emphasize integrated approaches, linking dietary innovations, improved housing design, manure-to-energy systems, and circular nutrient management to lower the environmental footprint of livestock systems while maintaining productivity and livelihood resilience.</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IV. Climate-Resilient Breeds and Genetic Improvement Strategies</w:t>
      </w:r>
      <w:r w:rsidRPr="00B518F4">
        <w:rPr>
          <w:rFonts w:ascii="Times New Roman" w:hAnsi="Times New Roman" w:cs="Times New Roman"/>
        </w:rPr>
        <w:br/>
        <w:t>Climate-resilient livestock development plays a central role in sustaining productivity under rising temperatures, erratic precipitation, and evolving disease pressures. Genetic adaptability determines an animal’s capacity to maintain performance while coping with thermal load, feed scarcity, pathogen shifts, and environmental challenges. Global studies predict that climate-induced stressors may reduce livestock productivity by 15–30% by mid-century, highlighting the urgency of developing resilient breeds a</w:t>
      </w:r>
      <w:r w:rsidR="00F849DE">
        <w:rPr>
          <w:rFonts w:ascii="Times New Roman" w:hAnsi="Times New Roman" w:cs="Times New Roman"/>
        </w:rPr>
        <w:t>nd advanced genetic strategies</w:t>
      </w:r>
      <w:r w:rsidRPr="00B518F4">
        <w:rPr>
          <w:rFonts w:ascii="Times New Roman" w:hAnsi="Times New Roman" w:cs="Times New Roman"/>
        </w:rPr>
        <w:t>. Integrating indigenous genetic resources, genomic tools, structured crossbreeding programs, and modern reproductive biotechnology offers a strong foundation for building adaptive livestock systems capable of withstanding environmental shocks.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Indigenous and climate-tolerant breeds</w:t>
      </w:r>
      <w:r w:rsidRPr="00B518F4">
        <w:rPr>
          <w:rFonts w:ascii="Times New Roman" w:hAnsi="Times New Roman" w:cs="Times New Roman"/>
        </w:rPr>
        <w:br/>
        <w:t>Indigenous breeds exhibit long-term natural selection traits that confer adaptability to thermal extremes, seasonal feed fluctuations, and endemi</w:t>
      </w:r>
      <w:r w:rsidR="00034B6B">
        <w:rPr>
          <w:rFonts w:ascii="Times New Roman" w:hAnsi="Times New Roman" w:cs="Times New Roman"/>
        </w:rPr>
        <w:t xml:space="preserve">c diseases (Oke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These breeds often possess superior heat tolerance due to efficient sweating capacity, darker skin pigmentation, higher density of sweat glands, and en</w:t>
      </w:r>
      <w:r w:rsidR="00F849DE">
        <w:rPr>
          <w:rFonts w:ascii="Times New Roman" w:hAnsi="Times New Roman" w:cs="Times New Roman"/>
        </w:rPr>
        <w:t>hanced thermoregulatory traits</w:t>
      </w:r>
      <w:r w:rsidRPr="00B518F4">
        <w:rPr>
          <w:rFonts w:ascii="Times New Roman" w:hAnsi="Times New Roman" w:cs="Times New Roman"/>
        </w:rPr>
        <w:t xml:space="preserve">. For example, Zebu cattle maintain stable body temperature under heat load exceeding 40°C, while Bos taurus breeds demonstrate productivity declines after crossing </w:t>
      </w:r>
      <w:r w:rsidR="00F849DE">
        <w:rPr>
          <w:rFonts w:ascii="Times New Roman" w:hAnsi="Times New Roman" w:cs="Times New Roman"/>
        </w:rPr>
        <w:t>25–28°C temperature thresholds</w:t>
      </w:r>
      <w:r w:rsidRPr="00B518F4">
        <w:rPr>
          <w:rFonts w:ascii="Times New Roman" w:hAnsi="Times New Roman" w:cs="Times New Roman"/>
        </w:rPr>
        <w:t>. Small ruminants such as Red Maasai sheep and Boer goats show resilience against gastrointestinal nematodes, reducing parasite-associated pro</w:t>
      </w:r>
      <w:r w:rsidR="00F849DE">
        <w:rPr>
          <w:rFonts w:ascii="Times New Roman" w:hAnsi="Times New Roman" w:cs="Times New Roman"/>
        </w:rPr>
        <w:t>ductivity losses by nearly 40%</w:t>
      </w:r>
      <w:r w:rsidRPr="00B518F4">
        <w:rPr>
          <w:rFonts w:ascii="Times New Roman" w:hAnsi="Times New Roman" w:cs="Times New Roman"/>
        </w:rPr>
        <w:t>.</w:t>
      </w:r>
      <w:r w:rsidR="00B57BDC">
        <w:rPr>
          <w:rFonts w:ascii="Times New Roman" w:hAnsi="Times New Roman" w:cs="Times New Roman"/>
        </w:rPr>
        <w:t xml:space="preserve"> </w:t>
      </w:r>
      <w:r w:rsidRPr="00B518F4">
        <w:rPr>
          <w:rFonts w:ascii="Times New Roman" w:hAnsi="Times New Roman" w:cs="Times New Roman"/>
        </w:rPr>
        <w:t>Indigenous poultry breeds contribute strong behavioral and physiological adaptations. Breeds like Fayoumi retain stable laying rates at temperatures surpassing 32°C and exhibit low mortality under heat stress due to enhance</w:t>
      </w:r>
      <w:r w:rsidR="00F849DE">
        <w:rPr>
          <w:rFonts w:ascii="Times New Roman" w:hAnsi="Times New Roman" w:cs="Times New Roman"/>
        </w:rPr>
        <w:t>d antioxidant enzyme activity</w:t>
      </w:r>
      <w:r w:rsidRPr="00B518F4">
        <w:rPr>
          <w:rFonts w:ascii="Times New Roman" w:hAnsi="Times New Roman" w:cs="Times New Roman"/>
        </w:rPr>
        <w:t>. Adapted pig breeds such as the Creole pig exhibit higher tolerance to tropical humidity and possess strong immunity</w:t>
      </w:r>
      <w:r w:rsidR="00F849DE">
        <w:rPr>
          <w:rFonts w:ascii="Times New Roman" w:hAnsi="Times New Roman" w:cs="Times New Roman"/>
        </w:rPr>
        <w:t xml:space="preserve"> against vector-borne diseases</w:t>
      </w:r>
      <w:r w:rsidRPr="00B518F4">
        <w:rPr>
          <w:rFonts w:ascii="Times New Roman" w:hAnsi="Times New Roman" w:cs="Times New Roman"/>
        </w:rPr>
        <w:t>. Conservation of these genetic resources is emphasized by FAO’s Global Plan of Action for Animal Genetic Resources, highlighting thei</w:t>
      </w:r>
      <w:r w:rsidR="00F849DE">
        <w:rPr>
          <w:rFonts w:ascii="Times New Roman" w:hAnsi="Times New Roman" w:cs="Times New Roman"/>
        </w:rPr>
        <w:t>r value for climate adaptation</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Genomic selection and marker-assisted breeding</w:t>
      </w:r>
      <w:r w:rsidRPr="00B518F4">
        <w:rPr>
          <w:rFonts w:ascii="Times New Roman" w:hAnsi="Times New Roman" w:cs="Times New Roman"/>
        </w:rPr>
        <w:br/>
        <w:t xml:space="preserve">Genomic tools accelerate the identification of adaptive traits such as heat tolerance, high feed </w:t>
      </w:r>
      <w:r w:rsidRPr="00B518F4">
        <w:rPr>
          <w:rFonts w:ascii="Times New Roman" w:hAnsi="Times New Roman" w:cs="Times New Roman"/>
        </w:rPr>
        <w:lastRenderedPageBreak/>
        <w:t>eff</w:t>
      </w:r>
      <w:r w:rsidR="00034B6B">
        <w:rPr>
          <w:rFonts w:ascii="Times New Roman" w:hAnsi="Times New Roman" w:cs="Times New Roman"/>
        </w:rPr>
        <w:t xml:space="preserve">iciency, and disease resistance (Sinha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Genomic selection (GS) increases accuracy of breeding value estimates by nearly 30–50% compared to convent</w:t>
      </w:r>
      <w:r w:rsidR="00F849DE">
        <w:rPr>
          <w:rFonts w:ascii="Times New Roman" w:hAnsi="Times New Roman" w:cs="Times New Roman"/>
        </w:rPr>
        <w:t>ional pedigree-based selection</w:t>
      </w:r>
      <w:r w:rsidRPr="00B518F4">
        <w:rPr>
          <w:rFonts w:ascii="Times New Roman" w:hAnsi="Times New Roman" w:cs="Times New Roman"/>
        </w:rPr>
        <w:t>. Functional markers linked to heat shock protein (HSP70), slick hair gene (</w:t>
      </w:r>
      <w:r w:rsidRPr="00B518F4">
        <w:rPr>
          <w:rFonts w:ascii="Times New Roman" w:hAnsi="Times New Roman" w:cs="Times New Roman"/>
          <w:i/>
          <w:iCs/>
        </w:rPr>
        <w:t>PRLR</w:t>
      </w:r>
      <w:r w:rsidRPr="00B518F4">
        <w:rPr>
          <w:rFonts w:ascii="Times New Roman" w:hAnsi="Times New Roman" w:cs="Times New Roman"/>
        </w:rPr>
        <w:t>), and oxidative stress pathways play crucial roles in heat tolerance. The slick hair mutation reduces body temperature by 0.5–1.0°C in dairy cattle, enhancing m</w:t>
      </w:r>
      <w:r w:rsidR="00F849DE">
        <w:rPr>
          <w:rFonts w:ascii="Times New Roman" w:hAnsi="Times New Roman" w:cs="Times New Roman"/>
        </w:rPr>
        <w:t>ilk production under heat load</w:t>
      </w:r>
      <w:r w:rsidRPr="00B518F4">
        <w:rPr>
          <w:rFonts w:ascii="Times New Roman" w:hAnsi="Times New Roman" w:cs="Times New Roman"/>
        </w:rPr>
        <w:t>.</w:t>
      </w:r>
      <w:r w:rsidR="00DD6EB1">
        <w:rPr>
          <w:rFonts w:ascii="Times New Roman" w:hAnsi="Times New Roman" w:cs="Times New Roman"/>
        </w:rPr>
        <w:t xml:space="preserve"> </w:t>
      </w:r>
      <w:r w:rsidRPr="00B518F4">
        <w:rPr>
          <w:rFonts w:ascii="Times New Roman" w:hAnsi="Times New Roman" w:cs="Times New Roman"/>
        </w:rPr>
        <w:t>Marker-assisted selection (MAS) supports targeted improvement of host resistance to diseases such as mastitis, trypanosomiasis, and tick infestation. Quantitative trait loci (QTL) associated with somatic cell score, immune response, and skin barrier traits have been integrated into breeding prog</w:t>
      </w:r>
      <w:r w:rsidR="00F849DE">
        <w:rPr>
          <w:rFonts w:ascii="Times New Roman" w:hAnsi="Times New Roman" w:cs="Times New Roman"/>
        </w:rPr>
        <w:t>rams in dairy cattle and sheep</w:t>
      </w:r>
      <w:r w:rsidRPr="00B518F4">
        <w:rPr>
          <w:rFonts w:ascii="Times New Roman" w:hAnsi="Times New Roman" w:cs="Times New Roman"/>
        </w:rPr>
        <w:t>. Genomic evaluations in pigs reveal heritable heat tolerance traits with estimated heritability values between 0.10 and 0.25, supporting selection for thermotolerant lines.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Crossbreeding for heat tolerance, disease resistance, and productivity stability</w:t>
      </w:r>
      <w:r w:rsidRPr="00B518F4">
        <w:rPr>
          <w:rFonts w:ascii="Times New Roman" w:hAnsi="Times New Roman" w:cs="Times New Roman"/>
        </w:rPr>
        <w:br/>
        <w:t>Crossbreeding combines adaptability traits of resilient indigenous breeds with productivity traits o</w:t>
      </w:r>
      <w:r w:rsidR="00034B6B">
        <w:rPr>
          <w:rFonts w:ascii="Times New Roman" w:hAnsi="Times New Roman" w:cs="Times New Roman"/>
        </w:rPr>
        <w:t>f high-performing exotic breeds (Caradus</w:t>
      </w:r>
      <w:r w:rsidR="00DD6EB1">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2021).</w:t>
      </w:r>
      <w:r w:rsidRPr="00B518F4">
        <w:rPr>
          <w:rFonts w:ascii="Times New Roman" w:hAnsi="Times New Roman" w:cs="Times New Roman"/>
        </w:rPr>
        <w:t xml:space="preserve"> Such programs aim to balance milk yield, growth rate, reproductive efficiency, and thermal tolerance. For instance, crossbred dairy cattle integrating Bos indicus genetics exhibit 10–20% higher heat tolerance and stable milk yield under temperature–humidity index (THI) values above 80 c</w:t>
      </w:r>
      <w:r w:rsidR="00F849DE">
        <w:rPr>
          <w:rFonts w:ascii="Times New Roman" w:hAnsi="Times New Roman" w:cs="Times New Roman"/>
        </w:rPr>
        <w:t>ompared to pure Holstein lines</w:t>
      </w:r>
      <w:r w:rsidRPr="00B518F4">
        <w:rPr>
          <w:rFonts w:ascii="Times New Roman" w:hAnsi="Times New Roman" w:cs="Times New Roman"/>
        </w:rPr>
        <w:t>. Crossbred goats reflecting blends of Nubian and local desert breeds show improved heat dissipation and enhanced reproductive per</w:t>
      </w:r>
      <w:r w:rsidR="00F849DE">
        <w:rPr>
          <w:rFonts w:ascii="Times New Roman" w:hAnsi="Times New Roman" w:cs="Times New Roman"/>
        </w:rPr>
        <w:t>formance under arid conditions</w:t>
      </w:r>
      <w:r w:rsidRPr="00B518F4">
        <w:rPr>
          <w:rFonts w:ascii="Times New Roman" w:hAnsi="Times New Roman" w:cs="Times New Roman"/>
        </w:rPr>
        <w:t>.</w:t>
      </w:r>
      <w:r w:rsidR="00DD6EB1">
        <w:rPr>
          <w:rFonts w:ascii="Times New Roman" w:hAnsi="Times New Roman" w:cs="Times New Roman"/>
        </w:rPr>
        <w:t xml:space="preserve"> </w:t>
      </w:r>
      <w:r w:rsidRPr="00B518F4">
        <w:rPr>
          <w:rFonts w:ascii="Times New Roman" w:hAnsi="Times New Roman" w:cs="Times New Roman"/>
        </w:rPr>
        <w:t>Disease resistance gains from crossbreeding are significant. Trypanotolerant breeds such as N’Dama enhance resilience when crossed with susceptible breeds, reducing disea</w:t>
      </w:r>
      <w:r w:rsidR="00F849DE">
        <w:rPr>
          <w:rFonts w:ascii="Times New Roman" w:hAnsi="Times New Roman" w:cs="Times New Roman"/>
        </w:rPr>
        <w:t>se-induced mortality by 30–50%</w:t>
      </w:r>
      <w:r w:rsidRPr="00B518F4">
        <w:rPr>
          <w:rFonts w:ascii="Times New Roman" w:hAnsi="Times New Roman" w:cs="Times New Roman"/>
        </w:rPr>
        <w:t>. Sheep crossbreeding programs integrating parasite-resistant local breeds with Merino lines have achieved up to 35%</w:t>
      </w:r>
      <w:r w:rsidR="00F849DE">
        <w:rPr>
          <w:rFonts w:ascii="Times New Roman" w:hAnsi="Times New Roman" w:cs="Times New Roman"/>
        </w:rPr>
        <w:t xml:space="preserve"> reductions in nematode burden</w:t>
      </w:r>
      <w:r w:rsidRPr="00B518F4">
        <w:rPr>
          <w:rFonts w:ascii="Times New Roman" w:hAnsi="Times New Roman" w:cs="Times New Roman"/>
        </w:rPr>
        <w:t>. These hybrid genotypes also adapt better to fluctuations in feed resources by maintaining higher metabolic efficiency.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Biotechnology and reproductive tools for adaptive genetic gains</w:t>
      </w:r>
      <w:r w:rsidRPr="00B518F4">
        <w:rPr>
          <w:rFonts w:ascii="Times New Roman" w:hAnsi="Times New Roman" w:cs="Times New Roman"/>
        </w:rPr>
        <w:br/>
        <w:t>Biotechnological tools expand opportunities for large-scale dissemination of c</w:t>
      </w:r>
      <w:r w:rsidR="00034B6B">
        <w:rPr>
          <w:rFonts w:ascii="Times New Roman" w:hAnsi="Times New Roman" w:cs="Times New Roman"/>
        </w:rPr>
        <w:t xml:space="preserve">limate-resilient genetic traits (Kumar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Artificial insemination (AI), embryo transfer (ET), and in vitro fertilization (IVF) accelerate propagation of elite resilient genotypes and support the rapid multiplication of adaptable germplasm. Cryopreservation of semen and embryos preserves genetic diversity and enables long-term conservation of adaptive breeds.</w:t>
      </w:r>
      <w:r w:rsidR="00DD6EB1">
        <w:rPr>
          <w:rFonts w:ascii="Times New Roman" w:hAnsi="Times New Roman" w:cs="Times New Roman"/>
        </w:rPr>
        <w:t xml:space="preserve"> </w:t>
      </w:r>
      <w:r w:rsidRPr="00B518F4">
        <w:rPr>
          <w:rFonts w:ascii="Times New Roman" w:hAnsi="Times New Roman" w:cs="Times New Roman"/>
        </w:rPr>
        <w:t>Advanced technologies such as genome editing (CRISPR-Cas9) provide new avenues for developing disease-resistant and thermotolerant animals. Gene edits targeting PRNP enhance scrapie resistance in sheep, while edits in CD163 confer immunity against porcine reprodu</w:t>
      </w:r>
      <w:r w:rsidR="00F849DE">
        <w:rPr>
          <w:rFonts w:ascii="Times New Roman" w:hAnsi="Times New Roman" w:cs="Times New Roman"/>
        </w:rPr>
        <w:t>ctive and respiratory syndrome</w:t>
      </w:r>
      <w:r w:rsidRPr="00B518F4">
        <w:rPr>
          <w:rFonts w:ascii="Times New Roman" w:hAnsi="Times New Roman" w:cs="Times New Roman"/>
        </w:rPr>
        <w:t>. Gene expression studies reveal that modulation of heat shock proteins (HSP90, HSP40), cortisol regulation genes, and mitochondrial efficiency pathways contribute to superior thermal resilience.</w:t>
      </w:r>
      <w:r w:rsidR="00DD6EB1">
        <w:rPr>
          <w:rFonts w:ascii="Times New Roman" w:hAnsi="Times New Roman" w:cs="Times New Roman"/>
        </w:rPr>
        <w:t xml:space="preserve"> </w:t>
      </w:r>
      <w:r w:rsidRPr="00B518F4">
        <w:rPr>
          <w:rFonts w:ascii="Times New Roman" w:hAnsi="Times New Roman" w:cs="Times New Roman"/>
        </w:rPr>
        <w:t>Precision breeding programs integrating genomic data, reproductive biotechnology, and phenotypic records establish scalable frameworks for improving livestock resilience under accelerating climate variability. These approaches strengthen productivity, minimize mortality, and improve stability of livestock supply chains under environmental stress.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 Sustainable Nutrition and Feeding Approaches for Climate Adaptation</w:t>
      </w:r>
      <w:r w:rsidRPr="00B518F4">
        <w:rPr>
          <w:rFonts w:ascii="Times New Roman" w:hAnsi="Times New Roman" w:cs="Times New Roman"/>
        </w:rPr>
        <w:br/>
        <w:t>Sustainable feeding practices are central to strengthening livestock resilience under rising temperatures, declining forage quality, unpredictable rainfall patterns, and intensifying feed–water competi</w:t>
      </w:r>
      <w:r w:rsidR="00034B6B">
        <w:rPr>
          <w:rFonts w:ascii="Times New Roman" w:hAnsi="Times New Roman" w:cs="Times New Roman"/>
        </w:rPr>
        <w:t xml:space="preserve">tion (Tamboli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Climate change is projected to reduce global forage nutritive value by 5–25% due to rising CO₂ concentrations, increased lignification, and reduced crude protein content, requiring diversified a</w:t>
      </w:r>
      <w:r w:rsidR="00F849DE">
        <w:rPr>
          <w:rFonts w:ascii="Times New Roman" w:hAnsi="Times New Roman" w:cs="Times New Roman"/>
        </w:rPr>
        <w:t>nd adaptive feeding approaches</w:t>
      </w:r>
      <w:r w:rsidRPr="00B518F4">
        <w:rPr>
          <w:rFonts w:ascii="Times New Roman" w:hAnsi="Times New Roman" w:cs="Times New Roman"/>
        </w:rPr>
        <w:t xml:space="preserve">. Integrating high-quality forages, </w:t>
      </w:r>
      <w:r w:rsidRPr="00B518F4">
        <w:rPr>
          <w:rFonts w:ascii="Times New Roman" w:hAnsi="Times New Roman" w:cs="Times New Roman"/>
        </w:rPr>
        <w:lastRenderedPageBreak/>
        <w:t>resilient fodder species, methane-reducing dietary strategies, precision nutrition, and alternative protein sources supports stable productivity while lowering the environmental footprint of livestock systems.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High-quality forages and fodder diversification</w:t>
      </w:r>
      <w:r w:rsidRPr="00B518F4">
        <w:rPr>
          <w:rFonts w:ascii="Times New Roman" w:hAnsi="Times New Roman" w:cs="Times New Roman"/>
        </w:rPr>
        <w:br/>
        <w:t xml:space="preserve">High-quality forages enhance digestibility, reduce enteric methane intensity, and support stable productivity under climatic stress. Forage diversification improves nutrient availability, stabilizes feed supply, and reduces reliance on single-species systems vulnerable to climatic extremes. Legume-rich forages such as </w:t>
      </w:r>
      <w:r w:rsidRPr="00B518F4">
        <w:rPr>
          <w:rFonts w:ascii="Times New Roman" w:hAnsi="Times New Roman" w:cs="Times New Roman"/>
          <w:i/>
          <w:iCs/>
        </w:rPr>
        <w:t>Leucaena leucocephala</w:t>
      </w:r>
      <w:r w:rsidRPr="00B518F4">
        <w:rPr>
          <w:rFonts w:ascii="Times New Roman" w:hAnsi="Times New Roman" w:cs="Times New Roman"/>
        </w:rPr>
        <w:t xml:space="preserve">, </w:t>
      </w:r>
      <w:r w:rsidRPr="00B518F4">
        <w:rPr>
          <w:rFonts w:ascii="Times New Roman" w:hAnsi="Times New Roman" w:cs="Times New Roman"/>
          <w:i/>
          <w:iCs/>
        </w:rPr>
        <w:t>Desmodiumintortum</w:t>
      </w:r>
      <w:r w:rsidRPr="00B518F4">
        <w:rPr>
          <w:rFonts w:ascii="Times New Roman" w:hAnsi="Times New Roman" w:cs="Times New Roman"/>
        </w:rPr>
        <w:t xml:space="preserve">, and </w:t>
      </w:r>
      <w:r w:rsidRPr="00B518F4">
        <w:rPr>
          <w:rFonts w:ascii="Times New Roman" w:hAnsi="Times New Roman" w:cs="Times New Roman"/>
          <w:i/>
          <w:iCs/>
        </w:rPr>
        <w:t>Stylosantheshamata</w:t>
      </w:r>
      <w:r w:rsidRPr="00B518F4">
        <w:rPr>
          <w:rFonts w:ascii="Times New Roman" w:hAnsi="Times New Roman" w:cs="Times New Roman"/>
        </w:rPr>
        <w:t xml:space="preserve"> contribute more than 18–22% crude protein and signific</w:t>
      </w:r>
      <w:r w:rsidR="00F849DE">
        <w:rPr>
          <w:rFonts w:ascii="Times New Roman" w:hAnsi="Times New Roman" w:cs="Times New Roman"/>
        </w:rPr>
        <w:t>antly improve rumen efficiency</w:t>
      </w:r>
      <w:r w:rsidRPr="00B518F4">
        <w:rPr>
          <w:rFonts w:ascii="Times New Roman" w:hAnsi="Times New Roman" w:cs="Times New Roman"/>
        </w:rPr>
        <w:t>. Inclusion of legumes reduces methane emissions by 10–18% due to condensed tannins that</w:t>
      </w:r>
      <w:r w:rsidR="00F849DE">
        <w:rPr>
          <w:rFonts w:ascii="Times New Roman" w:hAnsi="Times New Roman" w:cs="Times New Roman"/>
        </w:rPr>
        <w:t xml:space="preserve"> suppress methanogenic archaea</w:t>
      </w:r>
      <w:r w:rsidRPr="00B518F4">
        <w:rPr>
          <w:rFonts w:ascii="Times New Roman" w:hAnsi="Times New Roman" w:cs="Times New Roman"/>
        </w:rPr>
        <w:t>.</w:t>
      </w:r>
      <w:r w:rsidR="00DD6EB1">
        <w:rPr>
          <w:rFonts w:ascii="Times New Roman" w:hAnsi="Times New Roman" w:cs="Times New Roman"/>
        </w:rPr>
        <w:t xml:space="preserve"> </w:t>
      </w:r>
      <w:r w:rsidRPr="00B518F4">
        <w:rPr>
          <w:rFonts w:ascii="Times New Roman" w:hAnsi="Times New Roman" w:cs="Times New Roman"/>
        </w:rPr>
        <w:t xml:space="preserve">High-digestibility grasses such as </w:t>
      </w:r>
      <w:r w:rsidRPr="00B518F4">
        <w:rPr>
          <w:rFonts w:ascii="Times New Roman" w:hAnsi="Times New Roman" w:cs="Times New Roman"/>
          <w:i/>
          <w:iCs/>
        </w:rPr>
        <w:t>Cenchrus ciliaris</w:t>
      </w:r>
      <w:r w:rsidRPr="00B518F4">
        <w:rPr>
          <w:rFonts w:ascii="Times New Roman" w:hAnsi="Times New Roman" w:cs="Times New Roman"/>
        </w:rPr>
        <w:t xml:space="preserve"> and </w:t>
      </w:r>
      <w:r w:rsidRPr="00B518F4">
        <w:rPr>
          <w:rFonts w:ascii="Times New Roman" w:hAnsi="Times New Roman" w:cs="Times New Roman"/>
          <w:i/>
          <w:iCs/>
        </w:rPr>
        <w:t>Panicum maximum</w:t>
      </w:r>
      <w:r w:rsidRPr="00B518F4">
        <w:rPr>
          <w:rFonts w:ascii="Times New Roman" w:hAnsi="Times New Roman" w:cs="Times New Roman"/>
        </w:rPr>
        <w:t xml:space="preserve"> maintain biomass production under heat stress and offer improved dry matter digestibility exceedin</w:t>
      </w:r>
      <w:r w:rsidR="00F849DE">
        <w:rPr>
          <w:rFonts w:ascii="Times New Roman" w:hAnsi="Times New Roman" w:cs="Times New Roman"/>
        </w:rPr>
        <w:t>g 60% under semi-arid climates</w:t>
      </w:r>
      <w:r w:rsidR="00034B6B">
        <w:rPr>
          <w:rFonts w:ascii="Times New Roman" w:hAnsi="Times New Roman" w:cs="Times New Roman"/>
        </w:rPr>
        <w:t xml:space="preserve"> (Ghorbel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Multi-species forage systems enhance resilience by distributing climatic risk, extending grazing seasons, and enhancing soil fertility through nitrogen fixation.</w:t>
      </w:r>
    </w:p>
    <w:p w:rsidR="00B518F4" w:rsidRDefault="00B518F4" w:rsidP="000C2E83">
      <w:pPr>
        <w:jc w:val="both"/>
        <w:rPr>
          <w:rFonts w:ascii="Times New Roman" w:hAnsi="Times New Roman" w:cs="Times New Roman"/>
        </w:rPr>
      </w:pPr>
      <w:r w:rsidRPr="00B518F4">
        <w:rPr>
          <w:rFonts w:ascii="Times New Roman" w:hAnsi="Times New Roman" w:cs="Times New Roman"/>
          <w:b/>
          <w:bCs/>
          <w:i/>
          <w:iCs/>
        </w:rPr>
        <w:t>B. Drought-resilient fodder crops and silvi-pasture systems</w:t>
      </w:r>
      <w:r w:rsidRPr="00B518F4">
        <w:rPr>
          <w:rFonts w:ascii="Times New Roman" w:hAnsi="Times New Roman" w:cs="Times New Roman"/>
        </w:rPr>
        <w:br/>
        <w:t>Drought-resilient fodder crops mitigate feed scarcity during heatwaves and prolonged dry periods. Sorghum, pearl millet, cowpea, and napier hybrids tolerate high temperatures, low soil moisture, and salinity while maintaining dry matter yields of 8–18 t/ha under water-limited conditions. Fodder sorghum varieties enriched with stay-green traits exhibit 15–25% higher biomass during term</w:t>
      </w:r>
      <w:r w:rsidR="00F849DE">
        <w:rPr>
          <w:rFonts w:ascii="Times New Roman" w:hAnsi="Times New Roman" w:cs="Times New Roman"/>
        </w:rPr>
        <w:t>inal drought conditions</w:t>
      </w:r>
      <w:r w:rsidRPr="00B518F4">
        <w:rPr>
          <w:rFonts w:ascii="Times New Roman" w:hAnsi="Times New Roman" w:cs="Times New Roman"/>
        </w:rPr>
        <w:t>.</w:t>
      </w:r>
      <w:r w:rsidR="008B3FEA">
        <w:rPr>
          <w:rFonts w:ascii="Times New Roman" w:hAnsi="Times New Roman" w:cs="Times New Roman"/>
        </w:rPr>
        <w:t xml:space="preserve"> </w:t>
      </w:r>
      <w:r w:rsidRPr="00B518F4">
        <w:rPr>
          <w:rFonts w:ascii="Times New Roman" w:hAnsi="Times New Roman" w:cs="Times New Roman"/>
        </w:rPr>
        <w:t xml:space="preserve">Silvi-pasture systems integrate trees with grasses or legumes, improving microclimate, soil organic carbon, water retention, and year-round fodder availability. Trees such as </w:t>
      </w:r>
      <w:r w:rsidRPr="00B518F4">
        <w:rPr>
          <w:rFonts w:ascii="Times New Roman" w:hAnsi="Times New Roman" w:cs="Times New Roman"/>
          <w:i/>
          <w:iCs/>
        </w:rPr>
        <w:t>Acacia tortilis</w:t>
      </w:r>
      <w:r w:rsidRPr="00B518F4">
        <w:rPr>
          <w:rFonts w:ascii="Times New Roman" w:hAnsi="Times New Roman" w:cs="Times New Roman"/>
        </w:rPr>
        <w:t xml:space="preserve">, </w:t>
      </w:r>
      <w:r w:rsidRPr="00B518F4">
        <w:rPr>
          <w:rFonts w:ascii="Times New Roman" w:hAnsi="Times New Roman" w:cs="Times New Roman"/>
          <w:i/>
          <w:iCs/>
        </w:rPr>
        <w:t>Prosopis juliflora</w:t>
      </w:r>
      <w:r w:rsidRPr="00B518F4">
        <w:rPr>
          <w:rFonts w:ascii="Times New Roman" w:hAnsi="Times New Roman" w:cs="Times New Roman"/>
        </w:rPr>
        <w:t xml:space="preserve">, and </w:t>
      </w:r>
      <w:r w:rsidRPr="00B518F4">
        <w:rPr>
          <w:rFonts w:ascii="Times New Roman" w:hAnsi="Times New Roman" w:cs="Times New Roman"/>
          <w:i/>
          <w:iCs/>
        </w:rPr>
        <w:t>Albizialebbeck</w:t>
      </w:r>
      <w:r w:rsidRPr="00B518F4">
        <w:rPr>
          <w:rFonts w:ascii="Times New Roman" w:hAnsi="Times New Roman" w:cs="Times New Roman"/>
        </w:rPr>
        <w:t xml:space="preserve"> enhance shade provision and reduce animal heat load by</w:t>
      </w:r>
      <w:r w:rsidR="00F849DE">
        <w:rPr>
          <w:rFonts w:ascii="Times New Roman" w:hAnsi="Times New Roman" w:cs="Times New Roman"/>
        </w:rPr>
        <w:t xml:space="preserve"> 3–4°C under tropical climates</w:t>
      </w:r>
      <w:r w:rsidRPr="00B518F4">
        <w:rPr>
          <w:rFonts w:ascii="Times New Roman" w:hAnsi="Times New Roman" w:cs="Times New Roman"/>
        </w:rPr>
        <w:t>. Silvi-pasture systems can increase total fodder output by 20–35% and sequester up to 2.5–4.0 t C/ha/year, strengthening both climate mi</w:t>
      </w:r>
      <w:r w:rsidR="00F849DE">
        <w:rPr>
          <w:rFonts w:ascii="Times New Roman" w:hAnsi="Times New Roman" w:cs="Times New Roman"/>
        </w:rPr>
        <w:t>tigation and adaptive capacity</w:t>
      </w:r>
      <w:r w:rsidRPr="00B518F4">
        <w:rPr>
          <w:rFonts w:ascii="Times New Roman" w:hAnsi="Times New Roman" w:cs="Times New Roman"/>
        </w:rPr>
        <w:t>.</w:t>
      </w:r>
    </w:p>
    <w:p w:rsidR="00CE49C6" w:rsidRPr="00CE49C6" w:rsidRDefault="00CE49C6" w:rsidP="000C2E83">
      <w:pPr>
        <w:jc w:val="both"/>
        <w:rPr>
          <w:rFonts w:ascii="Times New Roman" w:hAnsi="Times New Roman" w:cs="Times New Roman"/>
          <w:color w:val="FF0000"/>
        </w:rPr>
      </w:pPr>
      <w:r>
        <w:rPr>
          <w:rFonts w:ascii="Times New Roman" w:hAnsi="Times New Roman" w:cs="Times New Roman"/>
        </w:rPr>
        <w:t xml:space="preserve"> </w:t>
      </w: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Methane-reducing feed additives and probiotics</w:t>
      </w:r>
      <w:r w:rsidRPr="00B518F4">
        <w:rPr>
          <w:rFonts w:ascii="Times New Roman" w:hAnsi="Times New Roman" w:cs="Times New Roman"/>
        </w:rPr>
        <w:br/>
        <w:t>Methane mitigation through dietary interventions is an essential strategy for improvi</w:t>
      </w:r>
      <w:r w:rsidR="00034B6B">
        <w:rPr>
          <w:rFonts w:ascii="Times New Roman" w:hAnsi="Times New Roman" w:cs="Times New Roman"/>
        </w:rPr>
        <w:t xml:space="preserve">ng environmental sustainability (Caro </w:t>
      </w:r>
      <w:r w:rsidR="00034B6B" w:rsidRPr="00034B6B">
        <w:rPr>
          <w:rFonts w:ascii="Times New Roman" w:hAnsi="Times New Roman" w:cs="Times New Roman"/>
          <w:i/>
        </w:rPr>
        <w:t>et.al.,</w:t>
      </w:r>
      <w:r w:rsidR="00034B6B">
        <w:rPr>
          <w:rFonts w:ascii="Times New Roman" w:hAnsi="Times New Roman" w:cs="Times New Roman"/>
        </w:rPr>
        <w:t xml:space="preserve"> 2016).</w:t>
      </w:r>
      <w:r w:rsidRPr="00B518F4">
        <w:rPr>
          <w:rFonts w:ascii="Times New Roman" w:hAnsi="Times New Roman" w:cs="Times New Roman"/>
        </w:rPr>
        <w:t xml:space="preserve"> Scientific trials show that feed additives such as 3-nitrooxypropanol (3-NOP) reduce enteric methane by 30–45% in dairy cattle by inhibiting methyl-coenzyme M reductase, th</w:t>
      </w:r>
      <w:r w:rsidR="00F849DE">
        <w:rPr>
          <w:rFonts w:ascii="Times New Roman" w:hAnsi="Times New Roman" w:cs="Times New Roman"/>
        </w:rPr>
        <w:t>e key enzyme in methanogenesis</w:t>
      </w:r>
      <w:r w:rsidRPr="00B518F4">
        <w:rPr>
          <w:rFonts w:ascii="Times New Roman" w:hAnsi="Times New Roman" w:cs="Times New Roman"/>
        </w:rPr>
        <w:t>. Red seaweed (</w:t>
      </w:r>
      <w:r w:rsidRPr="00B518F4">
        <w:rPr>
          <w:rFonts w:ascii="Times New Roman" w:hAnsi="Times New Roman" w:cs="Times New Roman"/>
          <w:i/>
          <w:iCs/>
        </w:rPr>
        <w:t>Asparagopsistaxiformis</w:t>
      </w:r>
      <w:r w:rsidRPr="00B518F4">
        <w:rPr>
          <w:rFonts w:ascii="Times New Roman" w:hAnsi="Times New Roman" w:cs="Times New Roman"/>
        </w:rPr>
        <w:t>) supplementation yields reductions of 50–80% due to bromoform-mediated su</w:t>
      </w:r>
      <w:r w:rsidR="00F849DE">
        <w:rPr>
          <w:rFonts w:ascii="Times New Roman" w:hAnsi="Times New Roman" w:cs="Times New Roman"/>
        </w:rPr>
        <w:t>ppression of rumen methanogens</w:t>
      </w:r>
      <w:r w:rsidRPr="00B518F4">
        <w:rPr>
          <w:rFonts w:ascii="Times New Roman" w:hAnsi="Times New Roman" w:cs="Times New Roman"/>
        </w:rPr>
        <w:t xml:space="preserve">. Tannin-rich plants such as </w:t>
      </w:r>
      <w:r w:rsidRPr="00B518F4">
        <w:rPr>
          <w:rFonts w:ascii="Times New Roman" w:hAnsi="Times New Roman" w:cs="Times New Roman"/>
          <w:i/>
          <w:iCs/>
        </w:rPr>
        <w:t>Acacia mearnsii</w:t>
      </w:r>
      <w:r w:rsidRPr="00B518F4">
        <w:rPr>
          <w:rFonts w:ascii="Times New Roman" w:hAnsi="Times New Roman" w:cs="Times New Roman"/>
        </w:rPr>
        <w:t xml:space="preserve"> and saponin-rich supplements lower methane emissions by 8–20% while </w:t>
      </w:r>
      <w:r w:rsidR="00F849DE">
        <w:rPr>
          <w:rFonts w:ascii="Times New Roman" w:hAnsi="Times New Roman" w:cs="Times New Roman"/>
        </w:rPr>
        <w:t>improving nitrogen utilization</w:t>
      </w:r>
      <w:r w:rsidRPr="00B518F4">
        <w:rPr>
          <w:rFonts w:ascii="Times New Roman" w:hAnsi="Times New Roman" w:cs="Times New Roman"/>
        </w:rPr>
        <w:t>.</w:t>
      </w:r>
      <w:r w:rsidR="008B3FEA">
        <w:rPr>
          <w:rFonts w:ascii="Times New Roman" w:hAnsi="Times New Roman" w:cs="Times New Roman"/>
        </w:rPr>
        <w:t xml:space="preserve"> </w:t>
      </w:r>
      <w:r w:rsidRPr="00B518F4">
        <w:rPr>
          <w:rFonts w:ascii="Times New Roman" w:hAnsi="Times New Roman" w:cs="Times New Roman"/>
        </w:rPr>
        <w:t xml:space="preserve">Probiotics including </w:t>
      </w:r>
      <w:r w:rsidRPr="00B518F4">
        <w:rPr>
          <w:rFonts w:ascii="Times New Roman" w:hAnsi="Times New Roman" w:cs="Times New Roman"/>
          <w:i/>
          <w:iCs/>
        </w:rPr>
        <w:t>Saccharomyces cerevisiae</w:t>
      </w:r>
      <w:r w:rsidRPr="00B518F4">
        <w:rPr>
          <w:rFonts w:ascii="Times New Roman" w:hAnsi="Times New Roman" w:cs="Times New Roman"/>
        </w:rPr>
        <w:t xml:space="preserve">, </w:t>
      </w:r>
      <w:r w:rsidRPr="00B518F4">
        <w:rPr>
          <w:rFonts w:ascii="Times New Roman" w:hAnsi="Times New Roman" w:cs="Times New Roman"/>
          <w:i/>
          <w:iCs/>
        </w:rPr>
        <w:t>Lactobacillus rhamnosus</w:t>
      </w:r>
      <w:r w:rsidRPr="00B518F4">
        <w:rPr>
          <w:rFonts w:ascii="Times New Roman" w:hAnsi="Times New Roman" w:cs="Times New Roman"/>
        </w:rPr>
        <w:t xml:space="preserve">, and </w:t>
      </w:r>
      <w:r w:rsidRPr="00B518F4">
        <w:rPr>
          <w:rFonts w:ascii="Times New Roman" w:hAnsi="Times New Roman" w:cs="Times New Roman"/>
          <w:i/>
          <w:iCs/>
        </w:rPr>
        <w:t>Bacillus subtilis</w:t>
      </w:r>
      <w:r w:rsidRPr="00B518F4">
        <w:rPr>
          <w:rFonts w:ascii="Times New Roman" w:hAnsi="Times New Roman" w:cs="Times New Roman"/>
        </w:rPr>
        <w:t xml:space="preserve"> enhance rumen microbial balance, stabilize pH, and improve fiber digestibility. Inclusion of probiotics can increase milk yield by 5–8% and reduce methane intensity by 4–10% due to en</w:t>
      </w:r>
      <w:r w:rsidR="00F849DE">
        <w:rPr>
          <w:rFonts w:ascii="Times New Roman" w:hAnsi="Times New Roman" w:cs="Times New Roman"/>
        </w:rPr>
        <w:t>hanced fermentation efficiency</w:t>
      </w:r>
      <w:r w:rsidRPr="00B518F4">
        <w:rPr>
          <w:rFonts w:ascii="Times New Roman" w:hAnsi="Times New Roman" w:cs="Times New Roman"/>
        </w:rPr>
        <w:t>. Ionophores such as monensin modulate rumen fermentation to reduce CH₄ output by 5–10%, though their regulatory acceptance varies globally.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Precision feeding and ration balancing to reduce emission intensity</w:t>
      </w:r>
      <w:r w:rsidRPr="00B518F4">
        <w:rPr>
          <w:rFonts w:ascii="Times New Roman" w:hAnsi="Times New Roman" w:cs="Times New Roman"/>
        </w:rPr>
        <w:br/>
        <w:t>Precision feeding aligns nutrient intake with physiological requirements, minimizing waste, optimizing feed conversion efficiency, and reducing GH</w:t>
      </w:r>
      <w:r w:rsidR="00034B6B">
        <w:rPr>
          <w:rFonts w:ascii="Times New Roman" w:hAnsi="Times New Roman" w:cs="Times New Roman"/>
        </w:rPr>
        <w:t xml:space="preserve">G emissions per unit of product (Prathap </w:t>
      </w:r>
      <w:r w:rsidR="00034B6B" w:rsidRPr="00034B6B">
        <w:rPr>
          <w:rFonts w:ascii="Times New Roman" w:hAnsi="Times New Roman" w:cs="Times New Roman"/>
          <w:i/>
        </w:rPr>
        <w:t>et.al.,</w:t>
      </w:r>
      <w:r w:rsidR="00034B6B">
        <w:rPr>
          <w:rFonts w:ascii="Times New Roman" w:hAnsi="Times New Roman" w:cs="Times New Roman"/>
        </w:rPr>
        <w:t xml:space="preserve"> 2021).</w:t>
      </w:r>
      <w:r w:rsidRPr="00B518F4">
        <w:rPr>
          <w:rFonts w:ascii="Times New Roman" w:hAnsi="Times New Roman" w:cs="Times New Roman"/>
        </w:rPr>
        <w:t xml:space="preserve"> Precision nutrition technologies such as automated feeders, NIR-based forage analysis, </w:t>
      </w:r>
      <w:r w:rsidRPr="00B518F4">
        <w:rPr>
          <w:rFonts w:ascii="Times New Roman" w:hAnsi="Times New Roman" w:cs="Times New Roman"/>
        </w:rPr>
        <w:lastRenderedPageBreak/>
        <w:t>and digital ration formulation tools improve nutrie</w:t>
      </w:r>
      <w:r w:rsidR="00F849DE">
        <w:rPr>
          <w:rFonts w:ascii="Times New Roman" w:hAnsi="Times New Roman" w:cs="Times New Roman"/>
        </w:rPr>
        <w:t>nt delivery accuracy by 10–20%</w:t>
      </w:r>
      <w:r w:rsidRPr="00B518F4">
        <w:rPr>
          <w:rFonts w:ascii="Times New Roman" w:hAnsi="Times New Roman" w:cs="Times New Roman"/>
        </w:rPr>
        <w:t>. Balanced rations incorporating optimized protein-to-energy ratios reduce nitrogen excretion by 15–25% and cut nitro</w:t>
      </w:r>
      <w:r w:rsidR="00F849DE">
        <w:rPr>
          <w:rFonts w:ascii="Times New Roman" w:hAnsi="Times New Roman" w:cs="Times New Roman"/>
        </w:rPr>
        <w:t>us oxide emissions from manure</w:t>
      </w:r>
      <w:r w:rsidRPr="00B518F4">
        <w:rPr>
          <w:rFonts w:ascii="Times New Roman" w:hAnsi="Times New Roman" w:cs="Times New Roman"/>
        </w:rPr>
        <w:t>.Precision feeding in dairy cattle improves milk yield by 8–12% and lowers methane intensity by 5–15% due to enhanced digesti</w:t>
      </w:r>
      <w:r w:rsidR="00F849DE">
        <w:rPr>
          <w:rFonts w:ascii="Times New Roman" w:hAnsi="Times New Roman" w:cs="Times New Roman"/>
        </w:rPr>
        <w:t>bility and reduced overfeeding</w:t>
      </w:r>
      <w:r w:rsidRPr="00B518F4">
        <w:rPr>
          <w:rFonts w:ascii="Times New Roman" w:hAnsi="Times New Roman" w:cs="Times New Roman"/>
        </w:rPr>
        <w:t>. Monitoring tools such as rumen sensors, infrared thermography, and automated bunk management systems detect deviations in feed intake patterns and optimize nutrient allocation under thermal stress.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E. Alternative protein sources: insects, algae, and agro-industrial by-products</w:t>
      </w:r>
      <w:r w:rsidRPr="00B518F4">
        <w:rPr>
          <w:rFonts w:ascii="Times New Roman" w:hAnsi="Times New Roman" w:cs="Times New Roman"/>
        </w:rPr>
        <w:br/>
        <w:t>Alternative protein sources diversify feed resources, reduce land pressure, and offer climate-res</w:t>
      </w:r>
      <w:r w:rsidR="00034B6B">
        <w:rPr>
          <w:rFonts w:ascii="Times New Roman" w:hAnsi="Times New Roman" w:cs="Times New Roman"/>
        </w:rPr>
        <w:t xml:space="preserve">ilient nutrient supply pathways (Matias </w:t>
      </w:r>
      <w:r w:rsidR="00034B6B" w:rsidRPr="00034B6B">
        <w:rPr>
          <w:rFonts w:ascii="Times New Roman" w:hAnsi="Times New Roman" w:cs="Times New Roman"/>
          <w:i/>
        </w:rPr>
        <w:t>et.al.,</w:t>
      </w:r>
      <w:r w:rsidR="00034B6B">
        <w:rPr>
          <w:rFonts w:ascii="Times New Roman" w:hAnsi="Times New Roman" w:cs="Times New Roman"/>
        </w:rPr>
        <w:t xml:space="preserve"> 2024).</w:t>
      </w:r>
      <w:r w:rsidRPr="00B518F4">
        <w:rPr>
          <w:rFonts w:ascii="Times New Roman" w:hAnsi="Times New Roman" w:cs="Times New Roman"/>
        </w:rPr>
        <w:t xml:space="preserve"> Insect meals derived from black soldier fly larvae (</w:t>
      </w:r>
      <w:r w:rsidRPr="00B518F4">
        <w:rPr>
          <w:rFonts w:ascii="Times New Roman" w:hAnsi="Times New Roman" w:cs="Times New Roman"/>
          <w:i/>
          <w:iCs/>
        </w:rPr>
        <w:t>Hermetiaillucens</w:t>
      </w:r>
      <w:r w:rsidRPr="00B518F4">
        <w:rPr>
          <w:rFonts w:ascii="Times New Roman" w:hAnsi="Times New Roman" w:cs="Times New Roman"/>
        </w:rPr>
        <w:t>) contain 35–45% crude protein and have feed conversion efficiencies 2–5 times higher than conventional protei</w:t>
      </w:r>
      <w:r w:rsidR="00F849DE">
        <w:rPr>
          <w:rFonts w:ascii="Times New Roman" w:hAnsi="Times New Roman" w:cs="Times New Roman"/>
        </w:rPr>
        <w:t>n sources such as soybean meal</w:t>
      </w:r>
      <w:r w:rsidRPr="00B518F4">
        <w:rPr>
          <w:rFonts w:ascii="Times New Roman" w:hAnsi="Times New Roman" w:cs="Times New Roman"/>
        </w:rPr>
        <w:t xml:space="preserve">. Including insect meal can replace 10–30% of protein in poultry and pig diets without compromising growth performance.Microalgae such as </w:t>
      </w:r>
      <w:r w:rsidRPr="00B518F4">
        <w:rPr>
          <w:rFonts w:ascii="Times New Roman" w:hAnsi="Times New Roman" w:cs="Times New Roman"/>
          <w:i/>
          <w:iCs/>
        </w:rPr>
        <w:t>Spirulina platensis</w:t>
      </w:r>
      <w:r w:rsidRPr="00B518F4">
        <w:rPr>
          <w:rFonts w:ascii="Times New Roman" w:hAnsi="Times New Roman" w:cs="Times New Roman"/>
        </w:rPr>
        <w:t xml:space="preserve">, </w:t>
      </w:r>
      <w:r w:rsidRPr="00B518F4">
        <w:rPr>
          <w:rFonts w:ascii="Times New Roman" w:hAnsi="Times New Roman" w:cs="Times New Roman"/>
          <w:i/>
          <w:iCs/>
        </w:rPr>
        <w:t>Chlorella vulgaris</w:t>
      </w:r>
      <w:r w:rsidRPr="00B518F4">
        <w:rPr>
          <w:rFonts w:ascii="Times New Roman" w:hAnsi="Times New Roman" w:cs="Times New Roman"/>
        </w:rPr>
        <w:t xml:space="preserve">, and </w:t>
      </w:r>
      <w:r w:rsidRPr="00B518F4">
        <w:rPr>
          <w:rFonts w:ascii="Times New Roman" w:hAnsi="Times New Roman" w:cs="Times New Roman"/>
          <w:i/>
          <w:iCs/>
        </w:rPr>
        <w:t>Schizochytrium</w:t>
      </w:r>
      <w:r w:rsidRPr="00B518F4">
        <w:rPr>
          <w:rFonts w:ascii="Times New Roman" w:hAnsi="Times New Roman" w:cs="Times New Roman"/>
        </w:rPr>
        <w:t xml:space="preserve"> sp. contain 50–70% crude protein and high omega-3 fatty acids, supporting immune enhancemen</w:t>
      </w:r>
      <w:r w:rsidR="00F849DE">
        <w:rPr>
          <w:rFonts w:ascii="Times New Roman" w:hAnsi="Times New Roman" w:cs="Times New Roman"/>
        </w:rPr>
        <w:t>t and improved feed efficiency</w:t>
      </w:r>
      <w:r w:rsidRPr="00B518F4">
        <w:rPr>
          <w:rFonts w:ascii="Times New Roman" w:hAnsi="Times New Roman" w:cs="Times New Roman"/>
        </w:rPr>
        <w:t>. Seaweed meals reduce enteric methane by 10–30% due to secondary metabolites while adding mineral-rich nutrients.Agro-industrial by-products such as rice bran, brewers’ spent grains, molasses, citrus pulp, and oilseed cakes offer cost-effective feed alternatives a</w:t>
      </w:r>
      <w:r w:rsidR="00034B6B">
        <w:rPr>
          <w:rFonts w:ascii="Times New Roman" w:hAnsi="Times New Roman" w:cs="Times New Roman"/>
        </w:rPr>
        <w:t xml:space="preserve">nd reduce food–feed competition (Shah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Their inclusion can reduce feed costs by 20–40% while supporting c</w:t>
      </w:r>
      <w:r w:rsidR="00F849DE">
        <w:rPr>
          <w:rFonts w:ascii="Times New Roman" w:hAnsi="Times New Roman" w:cs="Times New Roman"/>
        </w:rPr>
        <w:t>ircular bio-economy frameworks</w:t>
      </w:r>
      <w:r w:rsidRPr="00B518F4">
        <w:rPr>
          <w:rFonts w:ascii="Times New Roman" w:hAnsi="Times New Roman" w:cs="Times New Roman"/>
        </w:rPr>
        <w:t>. Processing technologies such as fermentation and extrusion improve digestibility, reduce anti-nutritional factors, and stabilize nutrient profiles, making these by-products valuable under resource-limited conditions.</w:t>
      </w:r>
    </w:p>
    <w:p w:rsidR="00B518F4" w:rsidRDefault="00B518F4" w:rsidP="000C2E83">
      <w:pPr>
        <w:jc w:val="both"/>
        <w:rPr>
          <w:rFonts w:ascii="Times New Roman" w:hAnsi="Times New Roman" w:cs="Times New Roman"/>
        </w:rPr>
      </w:pPr>
      <w:r w:rsidRPr="00B518F4">
        <w:rPr>
          <w:rFonts w:ascii="Times New Roman" w:hAnsi="Times New Roman" w:cs="Times New Roman"/>
          <w:b/>
          <w:bCs/>
        </w:rPr>
        <w:t>VI. Climate-Smart Housing, Shelter Management, and Micro-Environment Control</w:t>
      </w:r>
      <w:r w:rsidRPr="00B518F4">
        <w:rPr>
          <w:rFonts w:ascii="Times New Roman" w:hAnsi="Times New Roman" w:cs="Times New Roman"/>
        </w:rPr>
        <w:br/>
        <w:t>Climate-smart livestock housing systems are essential for reducing thermal load, improving welfare, stabilizing feed efficiency, and maintaining productivity under rising global temperatures. Livestock exposed to temperature–humidity index (THI) values above 72 exhibit measurable physiological stress, including elevated respiration rates, reduced feed intake, impaired endocrine responses, and economic losses exceeding USD 1.2–1.7 billion annu</w:t>
      </w:r>
      <w:r w:rsidR="00F849DE">
        <w:rPr>
          <w:rFonts w:ascii="Times New Roman" w:hAnsi="Times New Roman" w:cs="Times New Roman"/>
        </w:rPr>
        <w:t>ally in the dairy sector alone</w:t>
      </w:r>
      <w:r w:rsidRPr="00B518F4">
        <w:rPr>
          <w:rFonts w:ascii="Times New Roman" w:hAnsi="Times New Roman" w:cs="Times New Roman"/>
        </w:rPr>
        <w:t>. Climate-resilient housing integrates structural modifications, environmental control systems, renewable energy technologies, and sustainable waste management to create stable micro-environments that mitigate heat stress and reduce the environmental footprint of livestock operations.</w:t>
      </w:r>
    </w:p>
    <w:p w:rsidR="00EB5F0B" w:rsidRDefault="00EB5F0B" w:rsidP="000C2E83">
      <w:pPr>
        <w:jc w:val="both"/>
        <w:rPr>
          <w:rFonts w:ascii="Times New Roman" w:hAnsi="Times New Roman" w:cs="Times New Roman"/>
        </w:rPr>
      </w:pP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Thermal-modified housing designs</w:t>
      </w:r>
      <w:r w:rsidR="00EB5F0B">
        <w:rPr>
          <w:rFonts w:ascii="Times New Roman" w:hAnsi="Times New Roman" w:cs="Times New Roman"/>
          <w:b/>
          <w:bCs/>
          <w:i/>
          <w:iCs/>
        </w:rPr>
        <w:t xml:space="preserve"> </w:t>
      </w:r>
      <w:r w:rsidRPr="00B518F4">
        <w:rPr>
          <w:rFonts w:ascii="Times New Roman" w:hAnsi="Times New Roman" w:cs="Times New Roman"/>
        </w:rPr>
        <w:br/>
        <w:t>Thermal-modified livestock shelters incorporate structural and material innovations to reduce heat accumulat</w:t>
      </w:r>
      <w:r w:rsidR="00034B6B">
        <w:rPr>
          <w:rFonts w:ascii="Times New Roman" w:hAnsi="Times New Roman" w:cs="Times New Roman"/>
        </w:rPr>
        <w:t xml:space="preserve">ion and enhance passive cooling (Sandak </w:t>
      </w:r>
      <w:r w:rsidR="00034B6B" w:rsidRPr="00034B6B">
        <w:rPr>
          <w:rFonts w:ascii="Times New Roman" w:hAnsi="Times New Roman" w:cs="Times New Roman"/>
          <w:i/>
        </w:rPr>
        <w:t>et.al.,</w:t>
      </w:r>
      <w:r w:rsidR="00034B6B">
        <w:rPr>
          <w:rFonts w:ascii="Times New Roman" w:hAnsi="Times New Roman" w:cs="Times New Roman"/>
        </w:rPr>
        <w:t xml:space="preserve"> 2019).</w:t>
      </w:r>
      <w:r w:rsidRPr="00B518F4">
        <w:rPr>
          <w:rFonts w:ascii="Times New Roman" w:hAnsi="Times New Roman" w:cs="Times New Roman"/>
        </w:rPr>
        <w:t xml:space="preserve"> Housing orientation, roof slope, and surface reflectivity significantly influence internal temperature dynamics. Reflective roofing materials such as white-coated galvanized sheets or insulated sandwich panels can reduce roof surface temperature by 10–18°C and decrease indoor temperature by 3–</w:t>
      </w:r>
      <w:r w:rsidR="00F849DE">
        <w:rPr>
          <w:rFonts w:ascii="Times New Roman" w:hAnsi="Times New Roman" w:cs="Times New Roman"/>
        </w:rPr>
        <w:t>5°C under high solar radiation</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Roof insulation using polyurethane foam, expanded polystyrene, or natural fibers lowers heat gain by 20–40% and stabilizes animal core temperatures. Raised platform housing promotes airflow beneath the structure, reducing internal humidity and microbial load. Shading structures using trees or artificial shade nets lower radiant heat load by 30–50% and reduce body surface temperature by 1.5–2.5°C</w:t>
      </w:r>
      <w:r w:rsidR="00F849DE">
        <w:rPr>
          <w:rFonts w:ascii="Times New Roman" w:hAnsi="Times New Roman" w:cs="Times New Roman"/>
        </w:rPr>
        <w:t xml:space="preserve"> in cattle and small ruminants</w:t>
      </w:r>
      <w:r w:rsidRPr="00B518F4">
        <w:rPr>
          <w:rFonts w:ascii="Times New Roman" w:hAnsi="Times New Roman" w:cs="Times New Roman"/>
        </w:rPr>
        <w:t xml:space="preserve">. Flooring modifications using high-thermal-emissivity materials </w:t>
      </w:r>
      <w:r w:rsidRPr="00B518F4">
        <w:rPr>
          <w:rFonts w:ascii="Times New Roman" w:hAnsi="Times New Roman" w:cs="Times New Roman"/>
        </w:rPr>
        <w:lastRenderedPageBreak/>
        <w:t>and bedding with low conductive heat retention (e.g., sand or chopped straw) further enhance thermo-neutrality.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Ventilation, cooling systems, and heat stress relief technologies</w:t>
      </w:r>
      <w:r w:rsidRPr="00B518F4">
        <w:rPr>
          <w:rFonts w:ascii="Times New Roman" w:hAnsi="Times New Roman" w:cs="Times New Roman"/>
        </w:rPr>
        <w:br/>
        <w:t>Ventilation plays a pivotal role in mitigating heat accumulation and en</w:t>
      </w:r>
      <w:r w:rsidR="00034B6B">
        <w:rPr>
          <w:rFonts w:ascii="Times New Roman" w:hAnsi="Times New Roman" w:cs="Times New Roman"/>
        </w:rPr>
        <w:t xml:space="preserve">hancing gaseous exchange (Shalaby </w:t>
      </w:r>
      <w:r w:rsidR="00034B6B" w:rsidRPr="00034B6B">
        <w:rPr>
          <w:rFonts w:ascii="Times New Roman" w:hAnsi="Times New Roman" w:cs="Times New Roman"/>
          <w:i/>
        </w:rPr>
        <w:t>et.al.,</w:t>
      </w:r>
      <w:r w:rsidR="00034B6B">
        <w:rPr>
          <w:rFonts w:ascii="Times New Roman" w:hAnsi="Times New Roman" w:cs="Times New Roman"/>
        </w:rPr>
        <w:t xml:space="preserve"> 2020).</w:t>
      </w:r>
      <w:r w:rsidRPr="00B518F4">
        <w:rPr>
          <w:rFonts w:ascii="Times New Roman" w:hAnsi="Times New Roman" w:cs="Times New Roman"/>
        </w:rPr>
        <w:t xml:space="preserve"> Natural ventilation systems incorporating ridge ventilation, sidewall openings, and adjustable curtains maintain air exchange rates of 40–60 air changes per hour under peak heat load conditions. Mechanical ventilation using exhaust fans and tunnel ventilation systems lowers interior temperature by 4–8°C and reduces heat stress-relat</w:t>
      </w:r>
      <w:r w:rsidR="00F849DE">
        <w:rPr>
          <w:rFonts w:ascii="Times New Roman" w:hAnsi="Times New Roman" w:cs="Times New Roman"/>
        </w:rPr>
        <w:t>ed productivity loss by 15–25%</w:t>
      </w:r>
      <w:r w:rsidRPr="00B518F4">
        <w:rPr>
          <w:rFonts w:ascii="Times New Roman" w:hAnsi="Times New Roman" w:cs="Times New Roman"/>
        </w:rPr>
        <w:t>.Evaporative cooling systems—such as foggers, sprinklers, and high-pressure misting—reduce ambient temperature by 6–12°C depending on relative humidity. Sprinkler systems combined with forced ventilation enhance evaporative heat loss, improving milk yield in dairy cattle by 1</w:t>
      </w:r>
      <w:r w:rsidR="00F849DE">
        <w:rPr>
          <w:rFonts w:ascii="Times New Roman" w:hAnsi="Times New Roman" w:cs="Times New Roman"/>
        </w:rPr>
        <w:t>0–15% under severe heat stress</w:t>
      </w:r>
      <w:r w:rsidRPr="00B518F4">
        <w:rPr>
          <w:rFonts w:ascii="Times New Roman" w:hAnsi="Times New Roman" w:cs="Times New Roman"/>
        </w:rPr>
        <w:t>. Poultry cooling pads decrease broiler mort</w:t>
      </w:r>
      <w:r w:rsidR="00F849DE">
        <w:rPr>
          <w:rFonts w:ascii="Times New Roman" w:hAnsi="Times New Roman" w:cs="Times New Roman"/>
        </w:rPr>
        <w:t>ality by 3–6% during heatwaves</w:t>
      </w:r>
      <w:r w:rsidRPr="00B518F4">
        <w:rPr>
          <w:rFonts w:ascii="Times New Roman" w:hAnsi="Times New Roman" w:cs="Times New Roman"/>
        </w:rPr>
        <w:t>.</w:t>
      </w:r>
      <w:r w:rsidR="00444568">
        <w:rPr>
          <w:rFonts w:ascii="Times New Roman" w:hAnsi="Times New Roman" w:cs="Times New Roman"/>
        </w:rPr>
        <w:t xml:space="preserve"> </w:t>
      </w:r>
      <w:r w:rsidRPr="00B518F4">
        <w:rPr>
          <w:rFonts w:ascii="Times New Roman" w:hAnsi="Times New Roman" w:cs="Times New Roman"/>
        </w:rPr>
        <w:t>Advanced technologies such as infrared thermography, wearable temperature sensors, and automated heat-stress alerts support real-time monitoring and rapid intervention. These systems help maintain animals within the thermo-neutral zone, reducing oxidative stress and improving immune function.</w:t>
      </w:r>
    </w:p>
    <w:p w:rsidR="00B518F4" w:rsidRDefault="00B518F4" w:rsidP="000C2E83">
      <w:pPr>
        <w:jc w:val="both"/>
        <w:rPr>
          <w:rFonts w:ascii="Times New Roman" w:hAnsi="Times New Roman" w:cs="Times New Roman"/>
        </w:rPr>
      </w:pPr>
      <w:r w:rsidRPr="00B518F4">
        <w:rPr>
          <w:rFonts w:ascii="Times New Roman" w:hAnsi="Times New Roman" w:cs="Times New Roman"/>
          <w:b/>
          <w:bCs/>
          <w:i/>
          <w:iCs/>
        </w:rPr>
        <w:t>C. Waste management, manure composting, and biogas systems</w:t>
      </w:r>
      <w:r w:rsidRPr="00B518F4">
        <w:rPr>
          <w:rFonts w:ascii="Times New Roman" w:hAnsi="Times New Roman" w:cs="Times New Roman"/>
        </w:rPr>
        <w:br/>
        <w:t>Climate-resilient livestock housing includes efficient manure management systems that reduce greenhouse gas emissions, improve hygiene,</w:t>
      </w:r>
      <w:r w:rsidR="00034B6B">
        <w:rPr>
          <w:rFonts w:ascii="Times New Roman" w:hAnsi="Times New Roman" w:cs="Times New Roman"/>
        </w:rPr>
        <w:t xml:space="preserve"> and enhance nutrient recycling (Singh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Manure contributes nearly 0.7 gigatonnes CO₂-eq annually and is a substantial source of methan</w:t>
      </w:r>
      <w:r w:rsidR="00F849DE">
        <w:rPr>
          <w:rFonts w:ascii="Times New Roman" w:hAnsi="Times New Roman" w:cs="Times New Roman"/>
        </w:rPr>
        <w:t>e and nitrous oxide emissions</w:t>
      </w:r>
      <w:r w:rsidRPr="00B518F4">
        <w:rPr>
          <w:rFonts w:ascii="Times New Roman" w:hAnsi="Times New Roman" w:cs="Times New Roman"/>
        </w:rPr>
        <w:t>. Solid–liquid separation lowers methane formation by reducing anaerobic zones. Aerobic composting of manure reduces methane emissions by 40–60% compared to anaerobic storage and produces stable organic fertilizers enriched with nitrogen, phosphorus, and micronutrien</w:t>
      </w:r>
      <w:r w:rsidR="00F849DE">
        <w:rPr>
          <w:rFonts w:ascii="Times New Roman" w:hAnsi="Times New Roman" w:cs="Times New Roman"/>
        </w:rPr>
        <w:t>ts</w:t>
      </w:r>
      <w:r w:rsidRPr="00B518F4">
        <w:rPr>
          <w:rFonts w:ascii="Times New Roman" w:hAnsi="Times New Roman" w:cs="Times New Roman"/>
        </w:rPr>
        <w:t>.</w:t>
      </w:r>
      <w:r w:rsidR="00444568">
        <w:rPr>
          <w:rFonts w:ascii="Times New Roman" w:hAnsi="Times New Roman" w:cs="Times New Roman"/>
        </w:rPr>
        <w:t xml:space="preserve"> </w:t>
      </w:r>
      <w:r w:rsidRPr="00B518F4">
        <w:rPr>
          <w:rFonts w:ascii="Times New Roman" w:hAnsi="Times New Roman" w:cs="Times New Roman"/>
        </w:rPr>
        <w:t>Biogas digesters convert manure into methane-rich biogas, reducing emissions by 50–80% and supplying renewable energy for heating,</w:t>
      </w:r>
      <w:r w:rsidR="00F849DE">
        <w:rPr>
          <w:rFonts w:ascii="Times New Roman" w:hAnsi="Times New Roman" w:cs="Times New Roman"/>
        </w:rPr>
        <w:t xml:space="preserve"> lighting, and feed processing</w:t>
      </w:r>
      <w:r w:rsidRPr="00B518F4">
        <w:rPr>
          <w:rFonts w:ascii="Times New Roman" w:hAnsi="Times New Roman" w:cs="Times New Roman"/>
        </w:rPr>
        <w:t xml:space="preserve">. A cubic meter of biogas replaces nearly 0.7 liters of diesel or 1.4 kWh of electricity, supporting low-carbon livestock operations. Digestate from biogas units contains 20–30% higher nutrient availability than raw manure and reduces pathogen </w:t>
      </w:r>
      <w:r w:rsidR="00F849DE">
        <w:rPr>
          <w:rFonts w:ascii="Times New Roman" w:hAnsi="Times New Roman" w:cs="Times New Roman"/>
        </w:rPr>
        <w:t>load, enhancing soil fertility</w:t>
      </w:r>
      <w:r w:rsidRPr="00B518F4">
        <w:rPr>
          <w:rFonts w:ascii="Times New Roman" w:hAnsi="Times New Roman" w:cs="Times New Roman"/>
        </w:rPr>
        <w:t>. Proper housing designs integrate manure channels, slope-based drainage, urine collection pits, and floor grooves to optimize waste movement and minimize nutrient leaching.</w:t>
      </w:r>
    </w:p>
    <w:p w:rsidR="00EB5F0B" w:rsidRPr="00B518F4" w:rsidRDefault="00EB5F0B" w:rsidP="000C2E83">
      <w:pPr>
        <w:jc w:val="both"/>
        <w:rPr>
          <w:rFonts w:ascii="Times New Roman" w:hAnsi="Times New Roman" w:cs="Times New Roman"/>
        </w:rPr>
      </w:pP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p>
    <w:p w:rsidR="00B518F4" w:rsidRDefault="00B518F4" w:rsidP="000C2E83">
      <w:pPr>
        <w:jc w:val="both"/>
        <w:rPr>
          <w:rFonts w:ascii="Times New Roman" w:hAnsi="Times New Roman" w:cs="Times New Roman"/>
        </w:rPr>
      </w:pPr>
      <w:r w:rsidRPr="00B518F4">
        <w:rPr>
          <w:rFonts w:ascii="Times New Roman" w:hAnsi="Times New Roman" w:cs="Times New Roman"/>
          <w:b/>
          <w:bCs/>
          <w:i/>
          <w:iCs/>
        </w:rPr>
        <w:t>D. Renewable-energy-supported farm infrastructure</w:t>
      </w:r>
      <w:r w:rsidR="00EB5F0B">
        <w:rPr>
          <w:rFonts w:ascii="Times New Roman" w:hAnsi="Times New Roman" w:cs="Times New Roman"/>
          <w:b/>
          <w:bCs/>
          <w:i/>
          <w:iCs/>
        </w:rPr>
        <w:t xml:space="preserve"> </w:t>
      </w:r>
      <w:r w:rsidRPr="00B518F4">
        <w:rPr>
          <w:rFonts w:ascii="Times New Roman" w:hAnsi="Times New Roman" w:cs="Times New Roman"/>
        </w:rPr>
        <w:br/>
        <w:t>Renewable energy integration enhances sustainability by reducing reliance on fossil fuels and stabilizing farm-level energy costs. Solar photovoltaic (PV) systems power ventilation fans, automatic feeding machines, lighting units, and water pumps. On-farm solar installations reduce operational energy emissions by 2</w:t>
      </w:r>
      <w:r w:rsidR="00FD6BE7">
        <w:rPr>
          <w:rFonts w:ascii="Times New Roman" w:hAnsi="Times New Roman" w:cs="Times New Roman"/>
        </w:rPr>
        <w:t>5–60% depending on system size</w:t>
      </w:r>
      <w:r w:rsidRPr="00B518F4">
        <w:rPr>
          <w:rFonts w:ascii="Times New Roman" w:hAnsi="Times New Roman" w:cs="Times New Roman"/>
        </w:rPr>
        <w:t>. Solar thermal units supply warm water for cleaning, dairy processing, and maintaining sanitation.Wind turbines supply supplementary power for remote livestock shelters facing unstable grid supply. Biomass gasifiers convert crop residues into energy for heating pig and poultry houses, improving winter thermoregula</w:t>
      </w:r>
      <w:r w:rsidR="00FD6BE7">
        <w:rPr>
          <w:rFonts w:ascii="Times New Roman" w:hAnsi="Times New Roman" w:cs="Times New Roman"/>
        </w:rPr>
        <w:t>tion and reducing firewood use</w:t>
      </w:r>
      <w:r w:rsidRPr="00B518F4">
        <w:rPr>
          <w:rFonts w:ascii="Times New Roman" w:hAnsi="Times New Roman" w:cs="Times New Roman"/>
        </w:rPr>
        <w:t>.Hybrid microgrids combining solar, biogas, and battery storage sustain continuous operation of ventilation, cooling, and real-time monitoring systems during peak heat periods. Renewable integration improves the resilience of climate-sensitive livestock systems, reduces emissions, and lowers long-term operational costs.</w:t>
      </w:r>
    </w:p>
    <w:p w:rsidR="00EB5F0B" w:rsidRPr="00B518F4" w:rsidRDefault="00EB5F0B" w:rsidP="000C2E83">
      <w:pPr>
        <w:jc w:val="both"/>
        <w:rPr>
          <w:rFonts w:ascii="Times New Roman" w:hAnsi="Times New Roman" w:cs="Times New Roman"/>
        </w:rPr>
      </w:pP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lastRenderedPageBreak/>
        <w:t>VII. Water Resource Management in Livestock Production</w:t>
      </w:r>
      <w:r w:rsidR="00EB5F0B">
        <w:rPr>
          <w:rFonts w:ascii="Times New Roman" w:hAnsi="Times New Roman" w:cs="Times New Roman"/>
          <w:b/>
          <w:bCs/>
        </w:rPr>
        <w:t xml:space="preserve"> </w:t>
      </w:r>
      <w:r w:rsidRPr="00B518F4">
        <w:rPr>
          <w:rFonts w:ascii="Times New Roman" w:hAnsi="Times New Roman" w:cs="Times New Roman"/>
        </w:rPr>
        <w:br/>
        <w:t>Water scarcity poses a major constraint for livestock systems as rising temperatures, extended dry seasons, shrinking groundwater reserves, and declining surface water</w:t>
      </w:r>
      <w:r w:rsidR="003C33DB">
        <w:rPr>
          <w:rFonts w:ascii="Times New Roman" w:hAnsi="Times New Roman" w:cs="Times New Roman"/>
        </w:rPr>
        <w:t xml:space="preserve"> quality reduce reliable supply (Naqvi </w:t>
      </w:r>
      <w:r w:rsidR="003C33DB" w:rsidRPr="003C33DB">
        <w:rPr>
          <w:rFonts w:ascii="Times New Roman" w:hAnsi="Times New Roman" w:cs="Times New Roman"/>
          <w:i/>
        </w:rPr>
        <w:t>et.al.,</w:t>
      </w:r>
      <w:r w:rsidR="003C33DB">
        <w:rPr>
          <w:rFonts w:ascii="Times New Roman" w:hAnsi="Times New Roman" w:cs="Times New Roman"/>
        </w:rPr>
        <w:t xml:space="preserve"> 2015).</w:t>
      </w:r>
      <w:r w:rsidRPr="00B518F4">
        <w:rPr>
          <w:rFonts w:ascii="Times New Roman" w:hAnsi="Times New Roman" w:cs="Times New Roman"/>
        </w:rPr>
        <w:t xml:space="preserve"> Livestock water demand is projected to increase by nearly 40% by 2050, while global freshwater availability is expected to decline by 20% und</w:t>
      </w:r>
      <w:r w:rsidR="00FD6BE7">
        <w:rPr>
          <w:rFonts w:ascii="Times New Roman" w:hAnsi="Times New Roman" w:cs="Times New Roman"/>
        </w:rPr>
        <w:t>er mid-range climate scenarios</w:t>
      </w:r>
      <w:r w:rsidRPr="00B518F4">
        <w:rPr>
          <w:rFonts w:ascii="Times New Roman" w:hAnsi="Times New Roman" w:cs="Times New Roman"/>
        </w:rPr>
        <w:t>. Cattle require 40–70 liters of water per day, dairy cattle often exceeding 100 liters during peak lactation, while sheep and goats require 4–10 liters depending on temperature, feed</w:t>
      </w:r>
      <w:r w:rsidR="00FD6BE7">
        <w:rPr>
          <w:rFonts w:ascii="Times New Roman" w:hAnsi="Times New Roman" w:cs="Times New Roman"/>
        </w:rPr>
        <w:t xml:space="preserve"> type, and physiological state</w:t>
      </w:r>
      <w:r w:rsidRPr="00B518F4">
        <w:rPr>
          <w:rFonts w:ascii="Times New Roman" w:hAnsi="Times New Roman" w:cs="Times New Roman"/>
        </w:rPr>
        <w:t>. High ambient temperatures elevate water intake by 20–30% as animals attempt to maintain thermal balance. Effective water management strategies—including efficient drinking systems, wastewater reuse, irrigation optimization, and targeted hydration protocols—are essential for sustaining productivity, reducing heat stress mortality, and strengthening climate resilience.</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Water-efficient drinking and cooling technologies</w:t>
      </w:r>
      <w:r w:rsidRPr="00B518F4">
        <w:rPr>
          <w:rFonts w:ascii="Times New Roman" w:hAnsi="Times New Roman" w:cs="Times New Roman"/>
        </w:rPr>
        <w:br/>
        <w:t>Water-efficient drinking systems reduce losses from spillage, evaporation, and contamination. Optimized trough designs with float valves reduce wastage by 25–40% and maintain clean water availability, improv</w:t>
      </w:r>
      <w:r w:rsidR="00FD6BE7">
        <w:rPr>
          <w:rFonts w:ascii="Times New Roman" w:hAnsi="Times New Roman" w:cs="Times New Roman"/>
        </w:rPr>
        <w:t>ing feed intake and milk yield</w:t>
      </w:r>
      <w:r w:rsidRPr="00B518F4">
        <w:rPr>
          <w:rFonts w:ascii="Times New Roman" w:hAnsi="Times New Roman" w:cs="Times New Roman"/>
        </w:rPr>
        <w:t>. Nose-pump systems that draw groundwater on demand reduce total water use by nearly 35% and mi</w:t>
      </w:r>
      <w:r w:rsidR="00FD6BE7">
        <w:rPr>
          <w:rFonts w:ascii="Times New Roman" w:hAnsi="Times New Roman" w:cs="Times New Roman"/>
        </w:rPr>
        <w:t>nimize microbial contamination</w:t>
      </w:r>
      <w:r w:rsidRPr="00B518F4">
        <w:rPr>
          <w:rFonts w:ascii="Times New Roman" w:hAnsi="Times New Roman" w:cs="Times New Roman"/>
        </w:rPr>
        <w:t>.Automated waterers using thermostatic control maintain water temperature within 15–20°C, enhancing intake during extreme heat. Cooling technologies such as foggers, sprinklers, and evaporative pads support thermoregulation; fogging systems reduce air temperature by 5–10°C depending on humidity levels. Dairy cattle housed with sprinkler-and-fan systems exhibit 10–15% higher milk yield during heatwaves due to reduced dehydration and improv</w:t>
      </w:r>
      <w:r w:rsidR="00FD6BE7">
        <w:rPr>
          <w:rFonts w:ascii="Times New Roman" w:hAnsi="Times New Roman" w:cs="Times New Roman"/>
        </w:rPr>
        <w:t>ed body temperature regulation</w:t>
      </w:r>
      <w:r w:rsidRPr="00B518F4">
        <w:rPr>
          <w:rFonts w:ascii="Times New Roman" w:hAnsi="Times New Roman" w:cs="Times New Roman"/>
        </w:rPr>
        <w:t>.Water-saving nipple drinkers for pigs and poultry reduce wastage by 50–60% compared to open troughs, improving hygiene</w:t>
      </w:r>
      <w:r w:rsidR="00FD6BE7">
        <w:rPr>
          <w:rFonts w:ascii="Times New Roman" w:hAnsi="Times New Roman" w:cs="Times New Roman"/>
        </w:rPr>
        <w:t xml:space="preserve"> and lowering ammonia production</w:t>
      </w:r>
      <w:r w:rsidR="003C33DB">
        <w:rPr>
          <w:rFonts w:ascii="Times New Roman" w:hAnsi="Times New Roman" w:cs="Times New Roman"/>
        </w:rPr>
        <w:t xml:space="preserve"> (Nyachoti</w:t>
      </w:r>
      <w:r w:rsidR="00DA11B0">
        <w:rPr>
          <w:rFonts w:ascii="Times New Roman" w:hAnsi="Times New Roman" w:cs="Times New Roman"/>
        </w:rPr>
        <w:t xml:space="preserve"> </w:t>
      </w:r>
      <w:r w:rsidR="003C33DB" w:rsidRPr="003C33DB">
        <w:rPr>
          <w:rFonts w:ascii="Times New Roman" w:hAnsi="Times New Roman" w:cs="Times New Roman"/>
          <w:i/>
        </w:rPr>
        <w:t>et.al.,</w:t>
      </w:r>
      <w:r w:rsidR="003C33DB">
        <w:rPr>
          <w:rFonts w:ascii="Times New Roman" w:hAnsi="Times New Roman" w:cs="Times New Roman"/>
        </w:rPr>
        <w:t xml:space="preserve"> 2022).</w:t>
      </w:r>
      <w:r w:rsidRPr="00B518F4">
        <w:rPr>
          <w:rFonts w:ascii="Times New Roman" w:hAnsi="Times New Roman" w:cs="Times New Roman"/>
        </w:rPr>
        <w:t xml:space="preserve"> Precision water meters help identify leakage, quantify per-animal consumption, and optimize water-use efficiency.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Reuse and recycling of wastewater</w:t>
      </w:r>
      <w:r w:rsidRPr="00B518F4">
        <w:rPr>
          <w:rFonts w:ascii="Times New Roman" w:hAnsi="Times New Roman" w:cs="Times New Roman"/>
        </w:rPr>
        <w:br/>
        <w:t>Wastewater recycling reduces competition for freshwater resources and enhances circular water use within livestock farms. Greywater derived from washing, cooling, and cleaning operations can be reused for irrigation, floor flushing, and biogas slurry dilution after simple filtration or sedimentation. Recycled water use in livestock facilities can reduce freshwater demand by 20–</w:t>
      </w:r>
      <w:r w:rsidR="00FD6BE7">
        <w:rPr>
          <w:rFonts w:ascii="Times New Roman" w:hAnsi="Times New Roman" w:cs="Times New Roman"/>
        </w:rPr>
        <w:t>45% depending on system design</w:t>
      </w:r>
      <w:r w:rsidRPr="00B518F4">
        <w:rPr>
          <w:rFonts w:ascii="Times New Roman" w:hAnsi="Times New Roman" w:cs="Times New Roman"/>
        </w:rPr>
        <w:t>.</w:t>
      </w:r>
      <w:r w:rsidR="00DA11B0">
        <w:rPr>
          <w:rFonts w:ascii="Times New Roman" w:hAnsi="Times New Roman" w:cs="Times New Roman"/>
        </w:rPr>
        <w:t xml:space="preserve"> </w:t>
      </w:r>
      <w:r w:rsidRPr="00B518F4">
        <w:rPr>
          <w:rFonts w:ascii="Times New Roman" w:hAnsi="Times New Roman" w:cs="Times New Roman"/>
        </w:rPr>
        <w:t>Advanced treatment systems such as constructed wetlands, anaerobic filters, and membrane bioreactors remove biological contaminants, nitrogen, and chemical residues, producing water suitable for fodder irrigation and non-potable farm operations. Constructed wetlands can remove 70–90% of suspended solids, 40–60% of nitrogen, and nearly 80% of patho</w:t>
      </w:r>
      <w:r w:rsidR="00FD6BE7">
        <w:rPr>
          <w:rFonts w:ascii="Times New Roman" w:hAnsi="Times New Roman" w:cs="Times New Roman"/>
        </w:rPr>
        <w:t>gens from livestock wastewater</w:t>
      </w:r>
      <w:r w:rsidRPr="00B518F4">
        <w:rPr>
          <w:rFonts w:ascii="Times New Roman" w:hAnsi="Times New Roman" w:cs="Times New Roman"/>
        </w:rPr>
        <w:t>.</w:t>
      </w:r>
      <w:r w:rsidR="00DA11B0">
        <w:rPr>
          <w:rFonts w:ascii="Times New Roman" w:hAnsi="Times New Roman" w:cs="Times New Roman"/>
        </w:rPr>
        <w:t xml:space="preserve"> </w:t>
      </w:r>
      <w:r w:rsidRPr="00B518F4">
        <w:rPr>
          <w:rFonts w:ascii="Times New Roman" w:hAnsi="Times New Roman" w:cs="Times New Roman"/>
        </w:rPr>
        <w:t>Slurry from biogas digesters offers additional opportunities: digestate contains 20–30% higher nutrient availability compared to raw manure, reducing fertilizer dependence and improving soil microbial functi</w:t>
      </w:r>
      <w:r w:rsidR="00FD6BE7">
        <w:rPr>
          <w:rFonts w:ascii="Times New Roman" w:hAnsi="Times New Roman" w:cs="Times New Roman"/>
        </w:rPr>
        <w:t>oning when used for irrigation</w:t>
      </w:r>
      <w:r w:rsidRPr="00B518F4">
        <w:rPr>
          <w:rFonts w:ascii="Times New Roman" w:hAnsi="Times New Roman" w:cs="Times New Roman"/>
        </w:rPr>
        <w:t>. Efficient water recycling reduces pollution, lowers operational costs, and enhances sustainability.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Conservation practices in fodder and pasture irrigation</w:t>
      </w:r>
      <w:r w:rsidRPr="00B518F4">
        <w:rPr>
          <w:rFonts w:ascii="Times New Roman" w:hAnsi="Times New Roman" w:cs="Times New Roman"/>
        </w:rPr>
        <w:br/>
        <w:t>Water-efficient irrigation strategies are essential for forage cultiv</w:t>
      </w:r>
      <w:r w:rsidR="003C33DB">
        <w:rPr>
          <w:rFonts w:ascii="Times New Roman" w:hAnsi="Times New Roman" w:cs="Times New Roman"/>
        </w:rPr>
        <w:t xml:space="preserve">ation under climate variability (Jha </w:t>
      </w:r>
      <w:r w:rsidR="003C33DB" w:rsidRPr="003C33DB">
        <w:rPr>
          <w:rFonts w:ascii="Times New Roman" w:hAnsi="Times New Roman" w:cs="Times New Roman"/>
          <w:i/>
        </w:rPr>
        <w:t>et.al.,</w:t>
      </w:r>
      <w:r w:rsidR="003C33DB">
        <w:rPr>
          <w:rFonts w:ascii="Times New Roman" w:hAnsi="Times New Roman" w:cs="Times New Roman"/>
        </w:rPr>
        <w:t xml:space="preserve"> 2016).</w:t>
      </w:r>
      <w:r w:rsidRPr="00B518F4">
        <w:rPr>
          <w:rFonts w:ascii="Times New Roman" w:hAnsi="Times New Roman" w:cs="Times New Roman"/>
        </w:rPr>
        <w:t xml:space="preserve"> Drip irrigation reduces water use by 30–60% and increases biomass yield in fodder crops such as napier grass, alfalfa, and sorghum due to </w:t>
      </w:r>
      <w:r w:rsidR="00FD6BE7">
        <w:rPr>
          <w:rFonts w:ascii="Times New Roman" w:hAnsi="Times New Roman" w:cs="Times New Roman"/>
        </w:rPr>
        <w:t>precise delivery at root zones</w:t>
      </w:r>
      <w:r w:rsidRPr="00B518F4">
        <w:rPr>
          <w:rFonts w:ascii="Times New Roman" w:hAnsi="Times New Roman" w:cs="Times New Roman"/>
        </w:rPr>
        <w:t>. Sprinkler systems enhance uniformity while reducing water losses from deep percolation and runoff.</w:t>
      </w:r>
      <w:r w:rsidR="00DA11B0">
        <w:rPr>
          <w:rFonts w:ascii="Times New Roman" w:hAnsi="Times New Roman" w:cs="Times New Roman"/>
        </w:rPr>
        <w:t xml:space="preserve"> </w:t>
      </w:r>
      <w:r w:rsidRPr="00B518F4">
        <w:rPr>
          <w:rFonts w:ascii="Times New Roman" w:hAnsi="Times New Roman" w:cs="Times New Roman"/>
        </w:rPr>
        <w:t xml:space="preserve">Deficit irrigation strategies—where water application is reduced during non-critical growth stages—maintain fodder productivity with 15–25% water savings in sorghum, cowpea, and maize forage systems. Soil </w:t>
      </w:r>
      <w:r w:rsidRPr="00B518F4">
        <w:rPr>
          <w:rFonts w:ascii="Times New Roman" w:hAnsi="Times New Roman" w:cs="Times New Roman"/>
        </w:rPr>
        <w:lastRenderedPageBreak/>
        <w:t>moisture sensors, tensiometers, and remote-sensing-based evapotranspiration tools provide real-time irrigation recommendations, improv</w:t>
      </w:r>
      <w:r w:rsidR="00FD6BE7">
        <w:rPr>
          <w:rFonts w:ascii="Times New Roman" w:hAnsi="Times New Roman" w:cs="Times New Roman"/>
        </w:rPr>
        <w:t>ing water efficiency by 20–35%</w:t>
      </w:r>
      <w:r w:rsidRPr="00B518F4">
        <w:rPr>
          <w:rFonts w:ascii="Times New Roman" w:hAnsi="Times New Roman" w:cs="Times New Roman"/>
        </w:rPr>
        <w:t>.</w:t>
      </w:r>
      <w:r w:rsidR="00DA11B0">
        <w:rPr>
          <w:rFonts w:ascii="Times New Roman" w:hAnsi="Times New Roman" w:cs="Times New Roman"/>
        </w:rPr>
        <w:t xml:space="preserve"> </w:t>
      </w:r>
      <w:r w:rsidRPr="00B518F4">
        <w:rPr>
          <w:rFonts w:ascii="Times New Roman" w:hAnsi="Times New Roman" w:cs="Times New Roman"/>
        </w:rPr>
        <w:t>Pasture water conservation through mulching, contour bunding, and reduced tillage enhances soil moisture retention by 8–15% and increases forage availability during drought periods. Rotational grazing improves soil carbon storage, water infiltration, and ground cover, leading to improved moisture availability and reduced erosion.</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Hydration strategies during heat stress periods</w:t>
      </w:r>
      <w:r w:rsidRPr="00B518F4">
        <w:rPr>
          <w:rFonts w:ascii="Times New Roman" w:hAnsi="Times New Roman" w:cs="Times New Roman"/>
        </w:rPr>
        <w:br/>
        <w:t>Hydration protocols become critical during heat stress, when water loss rises due to elevated respirat</w:t>
      </w:r>
      <w:r w:rsidR="003C33DB">
        <w:rPr>
          <w:rFonts w:ascii="Times New Roman" w:hAnsi="Times New Roman" w:cs="Times New Roman"/>
        </w:rPr>
        <w:t>ion rate, sweating, and panting (Sawka et.al., 2001).</w:t>
      </w:r>
      <w:r w:rsidRPr="00B518F4">
        <w:rPr>
          <w:rFonts w:ascii="Times New Roman" w:hAnsi="Times New Roman" w:cs="Times New Roman"/>
        </w:rPr>
        <w:t xml:space="preserve"> Heat-stressed dairy cattle may lose 2–4 liters per hour through evaporative cooling, requiring rapid repl</w:t>
      </w:r>
      <w:r w:rsidR="00FD6BE7">
        <w:rPr>
          <w:rFonts w:ascii="Times New Roman" w:hAnsi="Times New Roman" w:cs="Times New Roman"/>
        </w:rPr>
        <w:t>enishment to avoid dehydration</w:t>
      </w:r>
      <w:r w:rsidRPr="00B518F4">
        <w:rPr>
          <w:rFonts w:ascii="Times New Roman" w:hAnsi="Times New Roman" w:cs="Times New Roman"/>
        </w:rPr>
        <w:t>. Providing unrestricted access to clean water reduces rectal temperature by 0.3–0.8°C and stabilizes feed intake.</w:t>
      </w:r>
      <w:r w:rsidR="00290A51">
        <w:rPr>
          <w:rFonts w:ascii="Times New Roman" w:hAnsi="Times New Roman" w:cs="Times New Roman"/>
        </w:rPr>
        <w:t xml:space="preserve"> </w:t>
      </w:r>
      <w:r w:rsidRPr="00B518F4">
        <w:rPr>
          <w:rFonts w:ascii="Times New Roman" w:hAnsi="Times New Roman" w:cs="Times New Roman"/>
        </w:rPr>
        <w:t>Strategically placed water points reduce walking distance, conserving energy and preventing dehydration. Studies show that cattle walking more than 1 km to water sources experience 10–18% declines in grazing time and</w:t>
      </w:r>
      <w:r w:rsidR="00FD6BE7">
        <w:rPr>
          <w:rFonts w:ascii="Times New Roman" w:hAnsi="Times New Roman" w:cs="Times New Roman"/>
        </w:rPr>
        <w:t xml:space="preserve"> 8–12% lower daily weight gain</w:t>
      </w:r>
      <w:r w:rsidRPr="00B518F4">
        <w:rPr>
          <w:rFonts w:ascii="Times New Roman" w:hAnsi="Times New Roman" w:cs="Times New Roman"/>
        </w:rPr>
        <w:t>.</w:t>
      </w:r>
      <w:r w:rsidR="00290A51">
        <w:rPr>
          <w:rFonts w:ascii="Times New Roman" w:hAnsi="Times New Roman" w:cs="Times New Roman"/>
        </w:rPr>
        <w:t xml:space="preserve"> </w:t>
      </w:r>
      <w:r w:rsidRPr="00B518F4">
        <w:rPr>
          <w:rFonts w:ascii="Times New Roman" w:hAnsi="Times New Roman" w:cs="Times New Roman"/>
        </w:rPr>
        <w:t>Electrolyte supplementation using sodium, potassium, and bicarbonate improves plasma volume, stabilizes acid–base balance, and reduces heat-induced metabolic acidosis. Poultry provided electrolyte-fortified water show reductions in heat stress mortality by 15–25%</w:t>
      </w:r>
      <w:r w:rsidR="00FD6BE7">
        <w:rPr>
          <w:rFonts w:ascii="Times New Roman" w:hAnsi="Times New Roman" w:cs="Times New Roman"/>
        </w:rPr>
        <w:t xml:space="preserve"> during periods exceeding 32°C</w:t>
      </w:r>
      <w:r w:rsidRPr="00B518F4">
        <w:rPr>
          <w:rFonts w:ascii="Times New Roman" w:hAnsi="Times New Roman" w:cs="Times New Roman"/>
        </w:rPr>
        <w:t>. Shade above water troughs reduces water temperature and improves intake during peak heat hours.</w:t>
      </w:r>
      <w:r w:rsidR="00290A51">
        <w:rPr>
          <w:rFonts w:ascii="Times New Roman" w:hAnsi="Times New Roman" w:cs="Times New Roman"/>
        </w:rPr>
        <w:t xml:space="preserve"> </w:t>
      </w:r>
      <w:r w:rsidRPr="00B518F4">
        <w:rPr>
          <w:rFonts w:ascii="Times New Roman" w:hAnsi="Times New Roman" w:cs="Times New Roman"/>
        </w:rPr>
        <w:t>Hydration strategies integrated with cooling technologies, adequate shade, and precision monitoring significantly reduce heat stress severity and mortality in cattle, sheep, goats, poultry, and swine.</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VIII. Health, Biosecurity, and Disease Management under Changing Climates</w:t>
      </w:r>
      <w:r w:rsidRPr="00B518F4">
        <w:rPr>
          <w:rFonts w:ascii="Times New Roman" w:hAnsi="Times New Roman" w:cs="Times New Roman"/>
        </w:rPr>
        <w:br/>
        <w:t>Shifts in temperature, humidity, precipitation patterns, and extreme weather events significantly influence livestock disease dynamics, pathogen su</w:t>
      </w:r>
      <w:r w:rsidR="003C33DB">
        <w:rPr>
          <w:rFonts w:ascii="Times New Roman" w:hAnsi="Times New Roman" w:cs="Times New Roman"/>
        </w:rPr>
        <w:t xml:space="preserve">rvival, and vector distribution (Bett </w:t>
      </w:r>
      <w:r w:rsidR="003C33DB" w:rsidRPr="003C33DB">
        <w:rPr>
          <w:rFonts w:ascii="Times New Roman" w:hAnsi="Times New Roman" w:cs="Times New Roman"/>
          <w:i/>
        </w:rPr>
        <w:t>et.al.,</w:t>
      </w:r>
      <w:r w:rsidR="003C33DB">
        <w:rPr>
          <w:rFonts w:ascii="Times New Roman" w:hAnsi="Times New Roman" w:cs="Times New Roman"/>
        </w:rPr>
        <w:t xml:space="preserve"> 2017).</w:t>
      </w:r>
      <w:r w:rsidRPr="00B518F4">
        <w:rPr>
          <w:rFonts w:ascii="Times New Roman" w:hAnsi="Times New Roman" w:cs="Times New Roman"/>
        </w:rPr>
        <w:t xml:space="preserve"> Climate projections indicate that warming of 1.5–2°C is expected to expand the geographic suitability of multiple livestock pathogens and vectors, increasing disease transmission risk by 10–50% across d</w:t>
      </w:r>
      <w:r w:rsidR="00FD6BE7">
        <w:rPr>
          <w:rFonts w:ascii="Times New Roman" w:hAnsi="Times New Roman" w:cs="Times New Roman"/>
        </w:rPr>
        <w:t>iverse agro-ecological systems</w:t>
      </w:r>
      <w:r w:rsidRPr="00B518F4">
        <w:rPr>
          <w:rFonts w:ascii="Times New Roman" w:hAnsi="Times New Roman" w:cs="Times New Roman"/>
        </w:rPr>
        <w:t>. Livestock health challenges under climate stress include altered immune competence, elevated pathogen replication rates, prolonged vector activity, and increased exposure to water- and feed-borne contaminants. Strengthened health management and biosecurity systems, supported by advanced diagnostics, vaccination, and real-time monitoring, are essential for minimizing losses and safeguarding productivity.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Climate-sensitive disease vectors and emerging pathogens</w:t>
      </w:r>
      <w:r w:rsidRPr="00B518F4">
        <w:rPr>
          <w:rFonts w:ascii="Times New Roman" w:hAnsi="Times New Roman" w:cs="Times New Roman"/>
        </w:rPr>
        <w:br/>
        <w:t xml:space="preserve">Climate variability affects the survival, reproduction, and distribution of key livestock vectors. Warmer temperatures accelerate vector life cycles; for example, the reproductive rate of </w:t>
      </w:r>
      <w:r w:rsidRPr="00B518F4">
        <w:rPr>
          <w:rFonts w:ascii="Times New Roman" w:hAnsi="Times New Roman" w:cs="Times New Roman"/>
          <w:i/>
          <w:iCs/>
        </w:rPr>
        <w:t>Culicoides</w:t>
      </w:r>
      <w:r w:rsidRPr="00B518F4">
        <w:rPr>
          <w:rFonts w:ascii="Times New Roman" w:hAnsi="Times New Roman" w:cs="Times New Roman"/>
        </w:rPr>
        <w:t xml:space="preserve"> midges responsible for Bluetongue virus transmission increases by 30–40% und</w:t>
      </w:r>
      <w:r w:rsidR="00FD6BE7">
        <w:rPr>
          <w:rFonts w:ascii="Times New Roman" w:hAnsi="Times New Roman" w:cs="Times New Roman"/>
        </w:rPr>
        <w:t>er temperatures exceeding 25°C</w:t>
      </w:r>
      <w:r w:rsidRPr="00B518F4">
        <w:rPr>
          <w:rFonts w:ascii="Times New Roman" w:hAnsi="Times New Roman" w:cs="Times New Roman"/>
        </w:rPr>
        <w:t>. Bluetongue has expanded into northern Europe due to rising temperatures, with outbreaks causing mortality rates of 20–7</w:t>
      </w:r>
      <w:r w:rsidR="00FD6BE7">
        <w:rPr>
          <w:rFonts w:ascii="Times New Roman" w:hAnsi="Times New Roman" w:cs="Times New Roman"/>
        </w:rPr>
        <w:t>0% in susceptible sheep breeds</w:t>
      </w:r>
      <w:r w:rsidRPr="00B518F4">
        <w:rPr>
          <w:rFonts w:ascii="Times New Roman" w:hAnsi="Times New Roman" w:cs="Times New Roman"/>
        </w:rPr>
        <w:t xml:space="preserve">.Ticks of the </w:t>
      </w:r>
      <w:r w:rsidRPr="00B518F4">
        <w:rPr>
          <w:rFonts w:ascii="Times New Roman" w:hAnsi="Times New Roman" w:cs="Times New Roman"/>
          <w:i/>
          <w:iCs/>
        </w:rPr>
        <w:t>Rhipicephalus</w:t>
      </w:r>
      <w:r w:rsidRPr="00B518F4">
        <w:rPr>
          <w:rFonts w:ascii="Times New Roman" w:hAnsi="Times New Roman" w:cs="Times New Roman"/>
        </w:rPr>
        <w:t xml:space="preserve"> and </w:t>
      </w:r>
      <w:r w:rsidRPr="00B518F4">
        <w:rPr>
          <w:rFonts w:ascii="Times New Roman" w:hAnsi="Times New Roman" w:cs="Times New Roman"/>
          <w:i/>
          <w:iCs/>
        </w:rPr>
        <w:t>Amblyomma</w:t>
      </w:r>
      <w:r w:rsidRPr="00B518F4">
        <w:rPr>
          <w:rFonts w:ascii="Times New Roman" w:hAnsi="Times New Roman" w:cs="Times New Roman"/>
        </w:rPr>
        <w:t xml:space="preserve"> genera demonstrate extended seasonal activity, raising the incidence of tick-borne diseases such as East Coast fever, babesiosis, and anaplasmosis. Models predict a 10–17% increase in tick habitat suitability by 2050 under moderate warming scenarios. Temperature-driven expansion of </w:t>
      </w:r>
      <w:r w:rsidRPr="00B518F4">
        <w:rPr>
          <w:rFonts w:ascii="Times New Roman" w:hAnsi="Times New Roman" w:cs="Times New Roman"/>
          <w:i/>
          <w:iCs/>
        </w:rPr>
        <w:t>Tsetse</w:t>
      </w:r>
      <w:r w:rsidRPr="00B518F4">
        <w:rPr>
          <w:rFonts w:ascii="Times New Roman" w:hAnsi="Times New Roman" w:cs="Times New Roman"/>
        </w:rPr>
        <w:t xml:space="preserve"> fly populations increases the risk of trypanosomiasis in cattle, reducing productivity by 30–40% and costing sub-Saharan livestock sectors more</w:t>
      </w:r>
      <w:r w:rsidR="00FD6BE7">
        <w:rPr>
          <w:rFonts w:ascii="Times New Roman" w:hAnsi="Times New Roman" w:cs="Times New Roman"/>
        </w:rPr>
        <w:t xml:space="preserve"> than USD 4.6 billion annually.</w:t>
      </w:r>
      <w:r w:rsidRPr="00B518F4">
        <w:rPr>
          <w:rFonts w:ascii="Times New Roman" w:hAnsi="Times New Roman" w:cs="Times New Roman"/>
        </w:rPr>
        <w:t>Water-logged conditions and extreme rainfall support the spread of leptospirosis, liver fluke (</w:t>
      </w:r>
      <w:r w:rsidRPr="00B518F4">
        <w:rPr>
          <w:rFonts w:ascii="Times New Roman" w:hAnsi="Times New Roman" w:cs="Times New Roman"/>
          <w:i/>
          <w:iCs/>
        </w:rPr>
        <w:t>Fasciola hepatica</w:t>
      </w:r>
      <w:r w:rsidRPr="00B518F4">
        <w:rPr>
          <w:rFonts w:ascii="Times New Roman" w:hAnsi="Times New Roman" w:cs="Times New Roman"/>
        </w:rPr>
        <w:t xml:space="preserve">), and hemorrhagicsepticemia. Heat-induced immune suppression increases vulnerability to mastitis, respiratory infections, and gastrointestinal diseases. Feed scarcity during drought elevates aflatoxin </w:t>
      </w:r>
      <w:r w:rsidRPr="00B518F4">
        <w:rPr>
          <w:rFonts w:ascii="Times New Roman" w:hAnsi="Times New Roman" w:cs="Times New Roman"/>
        </w:rPr>
        <w:lastRenderedPageBreak/>
        <w:t>contamination in stored grains by 20–35%, impairing growth, immunity</w:t>
      </w:r>
      <w:r w:rsidR="00FD6BE7">
        <w:rPr>
          <w:rFonts w:ascii="Times New Roman" w:hAnsi="Times New Roman" w:cs="Times New Roman"/>
        </w:rPr>
        <w:t>, and reproductive performance</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Strengthening veterinary surveillance and early-warning systems</w:t>
      </w:r>
      <w:r w:rsidRPr="00B518F4">
        <w:rPr>
          <w:rFonts w:ascii="Times New Roman" w:hAnsi="Times New Roman" w:cs="Times New Roman"/>
        </w:rPr>
        <w:br/>
        <w:t>Effective surveillance systems are essential for detecting outbreaks early, monitoring pathogen</w:t>
      </w:r>
      <w:r w:rsidR="003C33DB">
        <w:rPr>
          <w:rFonts w:ascii="Times New Roman" w:hAnsi="Times New Roman" w:cs="Times New Roman"/>
        </w:rPr>
        <w:t xml:space="preserve"> spread, and reducing mortality (Maddah </w:t>
      </w:r>
      <w:r w:rsidR="003C33DB" w:rsidRPr="003C33DB">
        <w:rPr>
          <w:rFonts w:ascii="Times New Roman" w:hAnsi="Times New Roman" w:cs="Times New Roman"/>
          <w:i/>
        </w:rPr>
        <w:t>et.al.,</w:t>
      </w:r>
      <w:r w:rsidR="003C33DB">
        <w:rPr>
          <w:rFonts w:ascii="Times New Roman" w:hAnsi="Times New Roman" w:cs="Times New Roman"/>
        </w:rPr>
        <w:t xml:space="preserve"> 2023).</w:t>
      </w:r>
      <w:r w:rsidRPr="00B518F4">
        <w:rPr>
          <w:rFonts w:ascii="Times New Roman" w:hAnsi="Times New Roman" w:cs="Times New Roman"/>
        </w:rPr>
        <w:t xml:space="preserve"> Early-warning systems based on climatic indicators, remote sensing, and epidemiological models predict vector surges and disease risk zones. Climate-driven disease prediction models for Rift Valley fever incorporate rainfall anomalies, vegetation indices, and temperature data, enabling up to 80% acc</w:t>
      </w:r>
      <w:r w:rsidR="00FD6BE7">
        <w:rPr>
          <w:rFonts w:ascii="Times New Roman" w:hAnsi="Times New Roman" w:cs="Times New Roman"/>
        </w:rPr>
        <w:t>uracy in forecasting outbreaks</w:t>
      </w:r>
      <w:r w:rsidRPr="00B518F4">
        <w:rPr>
          <w:rFonts w:ascii="Times New Roman" w:hAnsi="Times New Roman" w:cs="Times New Roman"/>
        </w:rPr>
        <w:t>.</w:t>
      </w:r>
      <w:r w:rsidR="00C92AAE">
        <w:rPr>
          <w:rFonts w:ascii="Times New Roman" w:hAnsi="Times New Roman" w:cs="Times New Roman"/>
        </w:rPr>
        <w:t xml:space="preserve"> </w:t>
      </w:r>
      <w:r w:rsidRPr="00B518F4">
        <w:rPr>
          <w:rFonts w:ascii="Times New Roman" w:hAnsi="Times New Roman" w:cs="Times New Roman"/>
        </w:rPr>
        <w:t>Strengthening laboratory capacity, cold-chain networks, and diagnostic tools enhances rapid response. Molecular diagnostics such as PCR, loop-mediated isothermal amplification (LAMP), and portable immunoassays reduce detection time from days t</w:t>
      </w:r>
      <w:r w:rsidR="00FD6BE7">
        <w:rPr>
          <w:rFonts w:ascii="Times New Roman" w:hAnsi="Times New Roman" w:cs="Times New Roman"/>
        </w:rPr>
        <w:t>o hours, improving containment</w:t>
      </w:r>
      <w:r w:rsidRPr="00B518F4">
        <w:rPr>
          <w:rFonts w:ascii="Times New Roman" w:hAnsi="Times New Roman" w:cs="Times New Roman"/>
        </w:rPr>
        <w:t>. Digital reporting platforms and mobile-based surveillance applications improve data flow, enabling timely intervention and coordinated control strategies.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Vaccination strategies and herd health protocols</w:t>
      </w:r>
      <w:r w:rsidRPr="00B518F4">
        <w:rPr>
          <w:rFonts w:ascii="Times New Roman" w:hAnsi="Times New Roman" w:cs="Times New Roman"/>
        </w:rPr>
        <w:br/>
        <w:t>Vaccination remains the cornerstone of disease prevention under changing climatic conditions. Heat stress weakens immune responses, reducing vaccine efficacy by 10–20% when animals are vacci</w:t>
      </w:r>
      <w:r w:rsidR="00FD6BE7">
        <w:rPr>
          <w:rFonts w:ascii="Times New Roman" w:hAnsi="Times New Roman" w:cs="Times New Roman"/>
        </w:rPr>
        <w:t>nated during peak thermal load</w:t>
      </w:r>
      <w:r w:rsidRPr="00B518F4">
        <w:rPr>
          <w:rFonts w:ascii="Times New Roman" w:hAnsi="Times New Roman" w:cs="Times New Roman"/>
        </w:rPr>
        <w:t>. Adjusting vaccination schedules, ensuring cold-chain integrity, and selecting thermostable vaccines strengthen herd immunity.Thermostable formulations for Peste des Petits Ruminants (PPR) and Newcastle disease have demonstrated high stability under temperature fluctuations and a</w:t>
      </w:r>
      <w:r w:rsidR="00FD6BE7">
        <w:rPr>
          <w:rFonts w:ascii="Times New Roman" w:hAnsi="Times New Roman" w:cs="Times New Roman"/>
        </w:rPr>
        <w:t>re suitable for remote regions</w:t>
      </w:r>
      <w:r w:rsidRPr="00B518F4">
        <w:rPr>
          <w:rFonts w:ascii="Times New Roman" w:hAnsi="Times New Roman" w:cs="Times New Roman"/>
        </w:rPr>
        <w:t>. Strategic vaccination programs for foot-and-mouth disease, hemorrhagic</w:t>
      </w:r>
      <w:r w:rsidR="00C92AAE">
        <w:rPr>
          <w:rFonts w:ascii="Times New Roman" w:hAnsi="Times New Roman" w:cs="Times New Roman"/>
        </w:rPr>
        <w:t xml:space="preserve"> </w:t>
      </w:r>
      <w:r w:rsidRPr="00B518F4">
        <w:rPr>
          <w:rFonts w:ascii="Times New Roman" w:hAnsi="Times New Roman" w:cs="Times New Roman"/>
        </w:rPr>
        <w:t>septicemia, and brucellosis reduce mortality by 30–60% when align</w:t>
      </w:r>
      <w:r w:rsidR="00FD6BE7">
        <w:rPr>
          <w:rFonts w:ascii="Times New Roman" w:hAnsi="Times New Roman" w:cs="Times New Roman"/>
        </w:rPr>
        <w:t>ed with seasonal disease peaks</w:t>
      </w:r>
      <w:r w:rsidRPr="00B518F4">
        <w:rPr>
          <w:rFonts w:ascii="Times New Roman" w:hAnsi="Times New Roman" w:cs="Times New Roman"/>
        </w:rPr>
        <w:t>.</w:t>
      </w:r>
      <w:r w:rsidR="00C92AAE">
        <w:rPr>
          <w:rFonts w:ascii="Times New Roman" w:hAnsi="Times New Roman" w:cs="Times New Roman"/>
        </w:rPr>
        <w:t xml:space="preserve"> </w:t>
      </w:r>
      <w:r w:rsidRPr="00B518F4">
        <w:rPr>
          <w:rFonts w:ascii="Times New Roman" w:hAnsi="Times New Roman" w:cs="Times New Roman"/>
        </w:rPr>
        <w:t>Herd health protocols incorporating routine deworming, parasite management, colostrum feeding guidelines, and biosecurity assessments minimize disease introduction and spread. Quarantine of new animals for 21–30 days reduces the risk of infecti</w:t>
      </w:r>
      <w:r w:rsidR="00FD6BE7">
        <w:rPr>
          <w:rFonts w:ascii="Times New Roman" w:hAnsi="Times New Roman" w:cs="Times New Roman"/>
        </w:rPr>
        <w:t>ous disease entry by up to 80%</w:t>
      </w:r>
      <w:r w:rsidRPr="00B518F4">
        <w:rPr>
          <w:rFonts w:ascii="Times New Roman" w:hAnsi="Times New Roman" w:cs="Times New Roman"/>
        </w:rPr>
        <w:t>. Regular livestock movement monitoring and improved hygiene in feeding and watering systems further strengthen preventive health.</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Precision livestock health monitoring tools (sensors, wearables)</w:t>
      </w:r>
      <w:r w:rsidRPr="00B518F4">
        <w:rPr>
          <w:rFonts w:ascii="Times New Roman" w:hAnsi="Times New Roman" w:cs="Times New Roman"/>
        </w:rPr>
        <w:br/>
        <w:t xml:space="preserve">Precision livestock farming (PLF) technologies enhance disease detection through continuous real-time monitoring of physiological </w:t>
      </w:r>
      <w:r w:rsidR="003C33DB">
        <w:rPr>
          <w:rFonts w:ascii="Times New Roman" w:hAnsi="Times New Roman" w:cs="Times New Roman"/>
        </w:rPr>
        <w:t xml:space="preserve">and behavioral parameters (Singh </w:t>
      </w:r>
      <w:r w:rsidR="003C33DB" w:rsidRPr="003C33DB">
        <w:rPr>
          <w:rFonts w:ascii="Times New Roman" w:hAnsi="Times New Roman" w:cs="Times New Roman"/>
          <w:i/>
        </w:rPr>
        <w:t>et.al.,</w:t>
      </w:r>
      <w:r w:rsidR="003C33DB">
        <w:rPr>
          <w:rFonts w:ascii="Times New Roman" w:hAnsi="Times New Roman" w:cs="Times New Roman"/>
        </w:rPr>
        <w:t xml:space="preserve"> 2025).</w:t>
      </w:r>
      <w:r w:rsidRPr="00B518F4">
        <w:rPr>
          <w:rFonts w:ascii="Times New Roman" w:hAnsi="Times New Roman" w:cs="Times New Roman"/>
        </w:rPr>
        <w:t xml:space="preserve"> Wearable sensors, radio-frequency identification (RFID) tags, accelerometers, and rumen boluses record temperature, heart rate, rumination time, activity level, and feed intake, generating ale</w:t>
      </w:r>
      <w:r w:rsidR="00FD6BE7">
        <w:rPr>
          <w:rFonts w:ascii="Times New Roman" w:hAnsi="Times New Roman" w:cs="Times New Roman"/>
        </w:rPr>
        <w:t>rts during early disease onset</w:t>
      </w:r>
      <w:r w:rsidRPr="00B518F4">
        <w:rPr>
          <w:rFonts w:ascii="Times New Roman" w:hAnsi="Times New Roman" w:cs="Times New Roman"/>
        </w:rPr>
        <w:t>.</w:t>
      </w:r>
      <w:r w:rsidR="00C92AAE">
        <w:rPr>
          <w:rFonts w:ascii="Times New Roman" w:hAnsi="Times New Roman" w:cs="Times New Roman"/>
        </w:rPr>
        <w:t xml:space="preserve"> </w:t>
      </w:r>
      <w:r w:rsidRPr="00B518F4">
        <w:rPr>
          <w:rFonts w:ascii="Times New Roman" w:hAnsi="Times New Roman" w:cs="Times New Roman"/>
        </w:rPr>
        <w:t>Rumen temperature boluses detect fever associated with mastitis, metritis, or respiratory infections 12–24 hours before visible symptoms, allowing timely treatment and reducing productivity loss. Accelerometer-based lameness detection systems identify gait abnormalities with up to 85% accuracy, reducing c</w:t>
      </w:r>
      <w:r w:rsidR="00FD6BE7">
        <w:rPr>
          <w:rFonts w:ascii="Times New Roman" w:hAnsi="Times New Roman" w:cs="Times New Roman"/>
        </w:rPr>
        <w:t>hronic mobility-related losses</w:t>
      </w:r>
      <w:r w:rsidRPr="00B518F4">
        <w:rPr>
          <w:rFonts w:ascii="Times New Roman" w:hAnsi="Times New Roman" w:cs="Times New Roman"/>
        </w:rPr>
        <w:t>.</w:t>
      </w:r>
      <w:r w:rsidR="00C92AAE">
        <w:rPr>
          <w:rFonts w:ascii="Times New Roman" w:hAnsi="Times New Roman" w:cs="Times New Roman"/>
        </w:rPr>
        <w:t xml:space="preserve"> </w:t>
      </w:r>
      <w:r w:rsidRPr="00B518F4">
        <w:rPr>
          <w:rFonts w:ascii="Times New Roman" w:hAnsi="Times New Roman" w:cs="Times New Roman"/>
        </w:rPr>
        <w:t>Infrared thermography aids in heat stress monitoring by measuring su</w:t>
      </w:r>
      <w:r w:rsidR="003C33DB">
        <w:rPr>
          <w:rFonts w:ascii="Times New Roman" w:hAnsi="Times New Roman" w:cs="Times New Roman"/>
        </w:rPr>
        <w:t xml:space="preserve">rface temperature distribution (Zhang et.al., 2020). </w:t>
      </w:r>
      <w:r w:rsidRPr="00B518F4">
        <w:rPr>
          <w:rFonts w:ascii="Times New Roman" w:hAnsi="Times New Roman" w:cs="Times New Roman"/>
        </w:rPr>
        <w:t>Machine-learning models interpret sensor data to predict disease outbreaks, optimize treatment interventions, and identify animals requiring immediate attention. Integration of PLF tools with farm management software improves traceability, health record-keeping, and decision-making under climate-induced stress conditions.</w:t>
      </w:r>
    </w:p>
    <w:p w:rsidR="00B518F4" w:rsidRPr="00B518F4" w:rsidRDefault="00B518F4" w:rsidP="000C2E83">
      <w:pPr>
        <w:jc w:val="both"/>
        <w:rPr>
          <w:rFonts w:ascii="Times New Roman" w:hAnsi="Times New Roman" w:cs="Times New Roman"/>
          <w:b/>
          <w:bCs/>
        </w:rPr>
      </w:pPr>
      <w:r w:rsidRPr="00B518F4">
        <w:rPr>
          <w:rFonts w:ascii="Times New Roman" w:hAnsi="Times New Roman" w:cs="Times New Roman"/>
          <w:b/>
          <w:bCs/>
        </w:rPr>
        <w:t>IX. Sustainable Grazing, Pasture Management, and Land Use Strategies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 xml:space="preserve">Sustainable grazing and land management strengthen forage productivity, regulate ecological functions, and enhance climate resilience. Grazing systems influence nutrient cycling, soil structure, vegetation diversity, and carbon sequestration potential. Estimates indicate that improved grassland </w:t>
      </w:r>
      <w:r w:rsidRPr="00B518F4">
        <w:rPr>
          <w:rFonts w:ascii="Times New Roman" w:hAnsi="Times New Roman" w:cs="Times New Roman"/>
        </w:rPr>
        <w:lastRenderedPageBreak/>
        <w:t xml:space="preserve">management can sequester 0.3–3.0 t C/ha/year and reduce enteric methane intensity through better forage </w:t>
      </w:r>
      <w:r w:rsidR="00FD6BE7">
        <w:rPr>
          <w:rFonts w:ascii="Times New Roman" w:hAnsi="Times New Roman" w:cs="Times New Roman"/>
        </w:rPr>
        <w:t>quality and grazing efficiency</w:t>
      </w:r>
      <w:r w:rsidRPr="00B518F4">
        <w:rPr>
          <w:rFonts w:ascii="Times New Roman" w:hAnsi="Times New Roman" w:cs="Times New Roman"/>
        </w:rPr>
        <w:t>. Climate-driven changes in precipitation patterns and rising temperature extremes require adaptive grazing regimes that stabilize biomass availability, prevent pasture degradation, and support long-term ecosystem functioning.</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Rotational, strip, and holistic grazing</w:t>
      </w:r>
      <w:r w:rsidRPr="00B518F4">
        <w:rPr>
          <w:rFonts w:ascii="Times New Roman" w:hAnsi="Times New Roman" w:cs="Times New Roman"/>
        </w:rPr>
        <w:br/>
        <w:t>Rotational grazing divides pastures into paddocks, allowing vegetation recovery between grazing intervals. This system enhances forage biomass by 15–35%, increases root depth, a</w:t>
      </w:r>
      <w:r w:rsidR="00FD6BE7">
        <w:rPr>
          <w:rFonts w:ascii="Times New Roman" w:hAnsi="Times New Roman" w:cs="Times New Roman"/>
        </w:rPr>
        <w:t>nd improves water infiltration</w:t>
      </w:r>
      <w:r w:rsidRPr="00B518F4">
        <w:rPr>
          <w:rFonts w:ascii="Times New Roman" w:hAnsi="Times New Roman" w:cs="Times New Roman"/>
        </w:rPr>
        <w:t xml:space="preserve">. Rotationally grazed cattle exhibit 10–20% higher average daily gain due to better forage regrowth and nutrient density. Strip grazing, where narrow sections are allocated periodically, improves pasture utilization efficiency by 30–45% and reduces trampling losses </w:t>
      </w:r>
      <w:r w:rsidR="00FD6BE7">
        <w:rPr>
          <w:rFonts w:ascii="Times New Roman" w:hAnsi="Times New Roman" w:cs="Times New Roman"/>
        </w:rPr>
        <w:t>compared to continuous grazing</w:t>
      </w:r>
      <w:r w:rsidRPr="00B518F4">
        <w:rPr>
          <w:rFonts w:ascii="Times New Roman" w:hAnsi="Times New Roman" w:cs="Times New Roman"/>
        </w:rPr>
        <w:t>. Holistic planned grazing incorporates stocking rate adjustments, rest periods, and ecological monitoring. Studies from semi-arid rangelands demonstrate 25–40% greater vegetation cover and 20–32% reduced erosi</w:t>
      </w:r>
      <w:r w:rsidR="00FD6BE7">
        <w:rPr>
          <w:rFonts w:ascii="Times New Roman" w:hAnsi="Times New Roman" w:cs="Times New Roman"/>
        </w:rPr>
        <w:t>on risk under holistic systems</w:t>
      </w:r>
      <w:r w:rsidRPr="00B518F4">
        <w:rPr>
          <w:rFonts w:ascii="Times New Roman" w:hAnsi="Times New Roman" w:cs="Times New Roman"/>
        </w:rPr>
        <w:t>. Grasslands managed under adaptive grazing support higher biodiversity indices and exhibit improved resilience during drought cycles.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Pasture enrichment with legumes and deep-rooted species</w:t>
      </w:r>
      <w:r w:rsidRPr="00B518F4">
        <w:rPr>
          <w:rFonts w:ascii="Times New Roman" w:hAnsi="Times New Roman" w:cs="Times New Roman"/>
        </w:rPr>
        <w:br/>
        <w:t xml:space="preserve">Pasture enrichment enhances forage nutritive value and stabilizes biomass production under variable climate conditions. Leguminous species such as </w:t>
      </w:r>
      <w:r w:rsidRPr="00B518F4">
        <w:rPr>
          <w:rFonts w:ascii="Times New Roman" w:hAnsi="Times New Roman" w:cs="Times New Roman"/>
          <w:i/>
          <w:iCs/>
        </w:rPr>
        <w:t>Stylosantheshamata</w:t>
      </w:r>
      <w:r w:rsidRPr="00B518F4">
        <w:rPr>
          <w:rFonts w:ascii="Times New Roman" w:hAnsi="Times New Roman" w:cs="Times New Roman"/>
        </w:rPr>
        <w:t xml:space="preserve">, </w:t>
      </w:r>
      <w:r w:rsidRPr="00B518F4">
        <w:rPr>
          <w:rFonts w:ascii="Times New Roman" w:hAnsi="Times New Roman" w:cs="Times New Roman"/>
          <w:i/>
          <w:iCs/>
        </w:rPr>
        <w:t>Desmodiumintortum</w:t>
      </w:r>
      <w:r w:rsidRPr="00B518F4">
        <w:rPr>
          <w:rFonts w:ascii="Times New Roman" w:hAnsi="Times New Roman" w:cs="Times New Roman"/>
        </w:rPr>
        <w:t xml:space="preserve">, and </w:t>
      </w:r>
      <w:r w:rsidRPr="00B518F4">
        <w:rPr>
          <w:rFonts w:ascii="Times New Roman" w:hAnsi="Times New Roman" w:cs="Times New Roman"/>
          <w:i/>
          <w:iCs/>
        </w:rPr>
        <w:t>Lotus corniculatus</w:t>
      </w:r>
      <w:r w:rsidRPr="00B518F4">
        <w:rPr>
          <w:rFonts w:ascii="Times New Roman" w:hAnsi="Times New Roman" w:cs="Times New Roman"/>
        </w:rPr>
        <w:t xml:space="preserve"> contribute crude protein levels exceeding 18–24% and improve nitrogen cycling through biological nitrogen f</w:t>
      </w:r>
      <w:r w:rsidR="00FD6BE7">
        <w:rPr>
          <w:rFonts w:ascii="Times New Roman" w:hAnsi="Times New Roman" w:cs="Times New Roman"/>
        </w:rPr>
        <w:t>ixation of 50–250 kg N/ha/year</w:t>
      </w:r>
      <w:r w:rsidRPr="00B518F4">
        <w:rPr>
          <w:rFonts w:ascii="Times New Roman" w:hAnsi="Times New Roman" w:cs="Times New Roman"/>
        </w:rPr>
        <w:t xml:space="preserve">. Condensed tannins in legumes increase rumen efficiency and reduce methane emissions by </w:t>
      </w:r>
      <w:r w:rsidR="00FD6BE7">
        <w:rPr>
          <w:rFonts w:ascii="Times New Roman" w:hAnsi="Times New Roman" w:cs="Times New Roman"/>
        </w:rPr>
        <w:t>8–18%</w:t>
      </w:r>
      <w:r w:rsidRPr="00B518F4">
        <w:rPr>
          <w:rFonts w:ascii="Times New Roman" w:hAnsi="Times New Roman" w:cs="Times New Roman"/>
        </w:rPr>
        <w:t>.</w:t>
      </w:r>
      <w:r w:rsidR="00BB3D8F">
        <w:rPr>
          <w:rFonts w:ascii="Times New Roman" w:hAnsi="Times New Roman" w:cs="Times New Roman"/>
        </w:rPr>
        <w:t xml:space="preserve"> </w:t>
      </w:r>
      <w:r w:rsidRPr="00B518F4">
        <w:rPr>
          <w:rFonts w:ascii="Times New Roman" w:hAnsi="Times New Roman" w:cs="Times New Roman"/>
        </w:rPr>
        <w:t xml:space="preserve">Deep-rooted perennial grasses such as </w:t>
      </w:r>
      <w:r w:rsidRPr="00B518F4">
        <w:rPr>
          <w:rFonts w:ascii="Times New Roman" w:hAnsi="Times New Roman" w:cs="Times New Roman"/>
          <w:i/>
          <w:iCs/>
        </w:rPr>
        <w:t>Panicum maximum</w:t>
      </w:r>
      <w:r w:rsidRPr="00B518F4">
        <w:rPr>
          <w:rFonts w:ascii="Times New Roman" w:hAnsi="Times New Roman" w:cs="Times New Roman"/>
        </w:rPr>
        <w:t xml:space="preserve">, </w:t>
      </w:r>
      <w:r w:rsidRPr="00B518F4">
        <w:rPr>
          <w:rFonts w:ascii="Times New Roman" w:hAnsi="Times New Roman" w:cs="Times New Roman"/>
          <w:i/>
          <w:iCs/>
        </w:rPr>
        <w:t>Chloris gayana</w:t>
      </w:r>
      <w:r w:rsidRPr="00B518F4">
        <w:rPr>
          <w:rFonts w:ascii="Times New Roman" w:hAnsi="Times New Roman" w:cs="Times New Roman"/>
        </w:rPr>
        <w:t xml:space="preserve">, and </w:t>
      </w:r>
      <w:r w:rsidRPr="00B518F4">
        <w:rPr>
          <w:rFonts w:ascii="Times New Roman" w:hAnsi="Times New Roman" w:cs="Times New Roman"/>
          <w:i/>
          <w:iCs/>
        </w:rPr>
        <w:t>Brachiariabrizantha</w:t>
      </w:r>
      <w:r w:rsidRPr="00B518F4">
        <w:rPr>
          <w:rFonts w:ascii="Times New Roman" w:hAnsi="Times New Roman" w:cs="Times New Roman"/>
        </w:rPr>
        <w:t xml:space="preserve"> enhance soil structure, access subsoil moisture, and provide biomass during extended dry periods. </w:t>
      </w:r>
      <w:r w:rsidRPr="00B518F4">
        <w:rPr>
          <w:rFonts w:ascii="Times New Roman" w:hAnsi="Times New Roman" w:cs="Times New Roman"/>
          <w:i/>
          <w:iCs/>
        </w:rPr>
        <w:t>Brachiaria</w:t>
      </w:r>
      <w:r w:rsidRPr="00B518F4">
        <w:rPr>
          <w:rFonts w:ascii="Times New Roman" w:hAnsi="Times New Roman" w:cs="Times New Roman"/>
        </w:rPr>
        <w:t xml:space="preserve"> species reduce nitrification rates through biological nitrification inhibition (BNI), limiting nit</w:t>
      </w:r>
      <w:r w:rsidR="00FD6BE7">
        <w:rPr>
          <w:rFonts w:ascii="Times New Roman" w:hAnsi="Times New Roman" w:cs="Times New Roman"/>
        </w:rPr>
        <w:t>rous oxide emissions by 30–45%</w:t>
      </w:r>
      <w:r w:rsidRPr="00B518F4">
        <w:rPr>
          <w:rFonts w:ascii="Times New Roman" w:hAnsi="Times New Roman" w:cs="Times New Roman"/>
        </w:rPr>
        <w:t>. Enriched pastures maintain greener cover during thermal stress and increase annual carrying capacity by 20–40%.</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Soil carbon enhancement through grassland restoration</w:t>
      </w:r>
      <w:r w:rsidRPr="00B518F4">
        <w:rPr>
          <w:rFonts w:ascii="Times New Roman" w:hAnsi="Times New Roman" w:cs="Times New Roman"/>
        </w:rPr>
        <w:br/>
        <w:t>Degraded grasslands contribute to declining producti</w:t>
      </w:r>
      <w:r w:rsidR="003C33DB">
        <w:rPr>
          <w:rFonts w:ascii="Times New Roman" w:hAnsi="Times New Roman" w:cs="Times New Roman"/>
        </w:rPr>
        <w:t xml:space="preserve">vity and soil carbon depletion (Liu </w:t>
      </w:r>
      <w:r w:rsidR="003C33DB" w:rsidRPr="003C33DB">
        <w:rPr>
          <w:rFonts w:ascii="Times New Roman" w:hAnsi="Times New Roman" w:cs="Times New Roman"/>
          <w:i/>
        </w:rPr>
        <w:t>et.al.,</w:t>
      </w:r>
      <w:r w:rsidR="003C33DB">
        <w:rPr>
          <w:rFonts w:ascii="Times New Roman" w:hAnsi="Times New Roman" w:cs="Times New Roman"/>
        </w:rPr>
        <w:t xml:space="preserve"> 2018). </w:t>
      </w:r>
      <w:r w:rsidRPr="00B518F4">
        <w:rPr>
          <w:rFonts w:ascii="Times New Roman" w:hAnsi="Times New Roman" w:cs="Times New Roman"/>
        </w:rPr>
        <w:t>Grassland restoration through reseeding, erosion control, and controlled stocking rebuilds carbon stocks in both soil organic matter and root biomass. Studies show that restored grasslands can increase soil organic ca</w:t>
      </w:r>
      <w:r w:rsidR="00FD6BE7">
        <w:rPr>
          <w:rFonts w:ascii="Times New Roman" w:hAnsi="Times New Roman" w:cs="Times New Roman"/>
        </w:rPr>
        <w:t>rbon by 12–30% over 5–10 years</w:t>
      </w:r>
      <w:r w:rsidRPr="00B518F4">
        <w:rPr>
          <w:rFonts w:ascii="Times New Roman" w:hAnsi="Times New Roman" w:cs="Times New Roman"/>
        </w:rPr>
        <w:t>. Perennial grasses contribute extensive belowground biomass, with root-to-shoot ratios exceeding 2:1, enhancing carbon storage stability.</w:t>
      </w:r>
      <w:r w:rsidR="00BB3D8F">
        <w:rPr>
          <w:rFonts w:ascii="Times New Roman" w:hAnsi="Times New Roman" w:cs="Times New Roman"/>
        </w:rPr>
        <w:t xml:space="preserve"> </w:t>
      </w:r>
      <w:r w:rsidRPr="00B518F4">
        <w:rPr>
          <w:rFonts w:ascii="Times New Roman" w:hAnsi="Times New Roman" w:cs="Times New Roman"/>
        </w:rPr>
        <w:t>Managed grazing reduces wildfire risks, supports carbon input through dung distribution, and improves microbial activity. Restoration initiatives using native species increase pollinator diversity, improve hydrological regulation, and promote nutrient retention. Global assessments estimate that grassland restoration could store as much as 6 Gt CO₂-eq by 2050 if implemen</w:t>
      </w:r>
      <w:r w:rsidR="00FD6BE7">
        <w:rPr>
          <w:rFonts w:ascii="Times New Roman" w:hAnsi="Times New Roman" w:cs="Times New Roman"/>
        </w:rPr>
        <w:t>ted across suitable landscapes</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Integration of trees and livestock under silvo-pastoral systems</w:t>
      </w:r>
      <w:r w:rsidRPr="00B518F4">
        <w:rPr>
          <w:rFonts w:ascii="Times New Roman" w:hAnsi="Times New Roman" w:cs="Times New Roman"/>
        </w:rPr>
        <w:br/>
        <w:t>Silvo-pastoral systems combine trees, shrubs, and forage species with livestock to enhance microclimate, diversify feed s</w:t>
      </w:r>
      <w:r w:rsidR="003C33DB">
        <w:rPr>
          <w:rFonts w:ascii="Times New Roman" w:hAnsi="Times New Roman" w:cs="Times New Roman"/>
        </w:rPr>
        <w:t xml:space="preserve">ources, and improve soil health (Kumar </w:t>
      </w:r>
      <w:r w:rsidR="003C33DB" w:rsidRPr="003C33DB">
        <w:rPr>
          <w:rFonts w:ascii="Times New Roman" w:hAnsi="Times New Roman" w:cs="Times New Roman"/>
          <w:i/>
        </w:rPr>
        <w:t>et.al.,</w:t>
      </w:r>
      <w:r w:rsidR="003C33DB">
        <w:rPr>
          <w:rFonts w:ascii="Times New Roman" w:hAnsi="Times New Roman" w:cs="Times New Roman"/>
        </w:rPr>
        <w:t xml:space="preserve"> 2025).</w:t>
      </w:r>
      <w:r w:rsidRPr="00B518F4">
        <w:rPr>
          <w:rFonts w:ascii="Times New Roman" w:hAnsi="Times New Roman" w:cs="Times New Roman"/>
        </w:rPr>
        <w:t xml:space="preserve"> Trees reduce radiant heat load, lowering cattle body surface temperature by 2–4°C and reducing heat-rela</w:t>
      </w:r>
      <w:r w:rsidR="00FD6BE7">
        <w:rPr>
          <w:rFonts w:ascii="Times New Roman" w:hAnsi="Times New Roman" w:cs="Times New Roman"/>
        </w:rPr>
        <w:t>ted stress</w:t>
      </w:r>
      <w:r w:rsidRPr="00B518F4">
        <w:rPr>
          <w:rFonts w:ascii="Times New Roman" w:hAnsi="Times New Roman" w:cs="Times New Roman"/>
        </w:rPr>
        <w:t xml:space="preserve">. Fodder trees such as </w:t>
      </w:r>
      <w:r w:rsidRPr="00B518F4">
        <w:rPr>
          <w:rFonts w:ascii="Times New Roman" w:hAnsi="Times New Roman" w:cs="Times New Roman"/>
          <w:i/>
          <w:iCs/>
        </w:rPr>
        <w:t>Leucaena leucocephala</w:t>
      </w:r>
      <w:r w:rsidRPr="00B518F4">
        <w:rPr>
          <w:rFonts w:ascii="Times New Roman" w:hAnsi="Times New Roman" w:cs="Times New Roman"/>
        </w:rPr>
        <w:t xml:space="preserve">, </w:t>
      </w:r>
      <w:r w:rsidRPr="00B518F4">
        <w:rPr>
          <w:rFonts w:ascii="Times New Roman" w:hAnsi="Times New Roman" w:cs="Times New Roman"/>
          <w:i/>
          <w:iCs/>
        </w:rPr>
        <w:t>Gliricidiasepium</w:t>
      </w:r>
      <w:r w:rsidRPr="00B518F4">
        <w:rPr>
          <w:rFonts w:ascii="Times New Roman" w:hAnsi="Times New Roman" w:cs="Times New Roman"/>
        </w:rPr>
        <w:t xml:space="preserve">, and </w:t>
      </w:r>
      <w:r w:rsidRPr="00B518F4">
        <w:rPr>
          <w:rFonts w:ascii="Times New Roman" w:hAnsi="Times New Roman" w:cs="Times New Roman"/>
          <w:i/>
          <w:iCs/>
        </w:rPr>
        <w:t>Morus alba</w:t>
      </w:r>
      <w:r w:rsidRPr="00B518F4">
        <w:rPr>
          <w:rFonts w:ascii="Times New Roman" w:hAnsi="Times New Roman" w:cs="Times New Roman"/>
        </w:rPr>
        <w:t xml:space="preserve"> provide crude protein levels exceeding 20–28%, improving diet quality during feed scarcity.</w:t>
      </w:r>
      <w:r w:rsidR="00D4217B">
        <w:rPr>
          <w:rFonts w:ascii="Times New Roman" w:hAnsi="Times New Roman" w:cs="Times New Roman"/>
        </w:rPr>
        <w:t xml:space="preserve"> </w:t>
      </w:r>
      <w:r w:rsidRPr="00B518F4">
        <w:rPr>
          <w:rFonts w:ascii="Times New Roman" w:hAnsi="Times New Roman" w:cs="Times New Roman"/>
        </w:rPr>
        <w:t>Tree–grass–livestock integration increases total biomass production by 20–35% and supports soil carb</w:t>
      </w:r>
      <w:r w:rsidR="00FD6BE7">
        <w:rPr>
          <w:rFonts w:ascii="Times New Roman" w:hAnsi="Times New Roman" w:cs="Times New Roman"/>
        </w:rPr>
        <w:t>on gain of 2.5–4.0 t C/ha/year</w:t>
      </w:r>
      <w:r w:rsidRPr="00B518F4">
        <w:rPr>
          <w:rFonts w:ascii="Times New Roman" w:hAnsi="Times New Roman" w:cs="Times New Roman"/>
        </w:rPr>
        <w:t xml:space="preserve">. Shade-grown pastures show 10–18% higher moisture retention and lower evapotranspiration. Silvo-pastoral systems promote biodiversity, support habitat connectivity, and </w:t>
      </w:r>
      <w:r w:rsidRPr="00B518F4">
        <w:rPr>
          <w:rFonts w:ascii="Times New Roman" w:hAnsi="Times New Roman" w:cs="Times New Roman"/>
        </w:rPr>
        <w:lastRenderedPageBreak/>
        <w:t>reduce erosion. Livestock manure enhances nutrient cycling, while deep-rooted tree species increase subsoil carbon sequestration and improve nutrient capture.</w:t>
      </w:r>
    </w:p>
    <w:p w:rsidR="00B518F4" w:rsidRPr="00B518F4" w:rsidRDefault="00B518F4" w:rsidP="000C2E83">
      <w:pPr>
        <w:jc w:val="both"/>
        <w:rPr>
          <w:rFonts w:ascii="Times New Roman" w:hAnsi="Times New Roman" w:cs="Times New Roman"/>
          <w:b/>
          <w:bCs/>
        </w:rPr>
      </w:pPr>
      <w:r w:rsidRPr="00B518F4">
        <w:rPr>
          <w:rFonts w:ascii="Times New Roman" w:hAnsi="Times New Roman" w:cs="Times New Roman"/>
          <w:b/>
          <w:bCs/>
        </w:rPr>
        <w:t>X. Integration of Livestock with Crop and Agroforestry Systems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Integrated crop–livestock and agroforestry systems improve productivity, optimize resource flows, and strengthen resilience un</w:t>
      </w:r>
      <w:r w:rsidR="003C33DB">
        <w:rPr>
          <w:rFonts w:ascii="Times New Roman" w:hAnsi="Times New Roman" w:cs="Times New Roman"/>
        </w:rPr>
        <w:t>der changing climate conditions (Keprate</w:t>
      </w:r>
      <w:r w:rsidR="00D4217B">
        <w:rPr>
          <w:rFonts w:ascii="Times New Roman" w:hAnsi="Times New Roman" w:cs="Times New Roman"/>
        </w:rPr>
        <w:t xml:space="preserve"> </w:t>
      </w:r>
      <w:r w:rsidR="003C33DB" w:rsidRPr="003C33DB">
        <w:rPr>
          <w:rFonts w:ascii="Times New Roman" w:hAnsi="Times New Roman" w:cs="Times New Roman"/>
          <w:i/>
        </w:rPr>
        <w:t>et.al.,</w:t>
      </w:r>
      <w:r w:rsidR="003C33DB">
        <w:rPr>
          <w:rFonts w:ascii="Times New Roman" w:hAnsi="Times New Roman" w:cs="Times New Roman"/>
        </w:rPr>
        <w:t xml:space="preserve"> 2024).</w:t>
      </w:r>
      <w:r w:rsidRPr="00B518F4">
        <w:rPr>
          <w:rFonts w:ascii="Times New Roman" w:hAnsi="Times New Roman" w:cs="Times New Roman"/>
        </w:rPr>
        <w:t xml:space="preserve"> Combined systems reduce external input needs, improve soil fertility, stabilize fodder supply, and support diversified income streams. Global assessments show that integrated crop–livestock systems can increase overall system productivity by 20–60% and reduce GHG emissions through nutrient recycling and improved land-use efficiency. Integrating trees, crops, and livestock supports climate adaptation through microclimate regulation, year-round biomass, and resilience to extreme weather.</w:t>
      </w:r>
    </w:p>
    <w:p w:rsidR="00B518F4" w:rsidRDefault="00B518F4" w:rsidP="000C2E83">
      <w:pPr>
        <w:jc w:val="both"/>
        <w:rPr>
          <w:rFonts w:ascii="Times New Roman" w:hAnsi="Times New Roman" w:cs="Times New Roman"/>
        </w:rPr>
      </w:pPr>
      <w:r w:rsidRPr="00B518F4">
        <w:rPr>
          <w:rFonts w:ascii="Times New Roman" w:hAnsi="Times New Roman" w:cs="Times New Roman"/>
          <w:b/>
          <w:bCs/>
          <w:i/>
          <w:iCs/>
        </w:rPr>
        <w:t>Mixed crop–livestock systems</w:t>
      </w:r>
      <w:r w:rsidRPr="00B518F4">
        <w:rPr>
          <w:rFonts w:ascii="Times New Roman" w:hAnsi="Times New Roman" w:cs="Times New Roman"/>
        </w:rPr>
        <w:br/>
        <w:t>Mixed systems enhance interactions between crops and livestock through joint use of land, labor, and nutrient flows. Crop residues contribute 15–40% of total ruminant feed in many mixed systems and offer stable roughage supply du</w:t>
      </w:r>
      <w:r w:rsidR="00FD6BE7">
        <w:rPr>
          <w:rFonts w:ascii="Times New Roman" w:hAnsi="Times New Roman" w:cs="Times New Roman"/>
        </w:rPr>
        <w:t>ring seasonal fodder shortages</w:t>
      </w:r>
      <w:r w:rsidRPr="00B518F4">
        <w:rPr>
          <w:rFonts w:ascii="Times New Roman" w:hAnsi="Times New Roman" w:cs="Times New Roman"/>
        </w:rPr>
        <w:t>. Livestock manure improves soil nutrient status, increasing nitrogen and phosphorus availability and supporting crop yield improvements of 10–25% compared to non-integrated systems. Mixed systems reduce erosion risk by maintaining year-round soil cover and improving organic matter inputs.</w:t>
      </w:r>
    </w:p>
    <w:p w:rsidR="00EB5F0B" w:rsidRPr="00B518F4" w:rsidRDefault="00EB5F0B" w:rsidP="000C2E83">
      <w:pPr>
        <w:jc w:val="both"/>
        <w:rPr>
          <w:rFonts w:ascii="Times New Roman" w:hAnsi="Times New Roman" w:cs="Times New Roman"/>
        </w:rPr>
      </w:pP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r>
        <w:rPr>
          <w:rFonts w:ascii="Times New Roman" w:hAnsi="Times New Roman" w:cs="Times New Roman"/>
          <w:color w:val="FF0000"/>
        </w:rPr>
        <w:t xml:space="preserve"> </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Nutrient cycling and residue utilization</w:t>
      </w:r>
      <w:r w:rsidRPr="00B518F4">
        <w:rPr>
          <w:rFonts w:ascii="Times New Roman" w:hAnsi="Times New Roman" w:cs="Times New Roman"/>
        </w:rPr>
        <w:br/>
        <w:t>Livestock manure provides valuable nutrients, adding 4–7 t/ha/year of organi</w:t>
      </w:r>
      <w:r w:rsidR="00FD6BE7">
        <w:rPr>
          <w:rFonts w:ascii="Times New Roman" w:hAnsi="Times New Roman" w:cs="Times New Roman"/>
        </w:rPr>
        <w:t xml:space="preserve">c matter when properly </w:t>
      </w:r>
      <w:r w:rsidR="00983E03">
        <w:rPr>
          <w:rFonts w:ascii="Times New Roman" w:hAnsi="Times New Roman" w:cs="Times New Roman"/>
        </w:rPr>
        <w:t xml:space="preserve">managed (Mamo </w:t>
      </w:r>
      <w:r w:rsidR="00983E03" w:rsidRPr="00983E03">
        <w:rPr>
          <w:rFonts w:ascii="Times New Roman" w:hAnsi="Times New Roman" w:cs="Times New Roman"/>
          <w:i/>
        </w:rPr>
        <w:t>et.al.,</w:t>
      </w:r>
      <w:r w:rsidR="00983E03">
        <w:rPr>
          <w:rFonts w:ascii="Times New Roman" w:hAnsi="Times New Roman" w:cs="Times New Roman"/>
        </w:rPr>
        <w:t xml:space="preserve"> 1993).</w:t>
      </w:r>
      <w:r w:rsidRPr="00B518F4">
        <w:rPr>
          <w:rFonts w:ascii="Times New Roman" w:hAnsi="Times New Roman" w:cs="Times New Roman"/>
        </w:rPr>
        <w:t xml:space="preserve"> Manure application increases soil microbial activity, enhances nutrient mineralization, and improves water retention. Crop residues such as maize stover, sorghum stalks, and wheat straw supply structural carbohydrates essential for rumination. Composting and controlled decomposition improve digestibility, reduce anti-nutritional factors, and stabilize feed quality. Efficient residue management also reduces open-field burning, lowering emissions of particulate matter and CO₂.</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Circular bio-economy models</w:t>
      </w:r>
      <w:r w:rsidRPr="00B518F4">
        <w:rPr>
          <w:rFonts w:ascii="Times New Roman" w:hAnsi="Times New Roman" w:cs="Times New Roman"/>
        </w:rPr>
        <w:br/>
        <w:t>Circular livestock systems emphasize recycling of nutrients, energy, and biomass. Anaerobic digesters convert manure and crop waste into biogas, reducing methane emissions by 50–80% and supplying renewa</w:t>
      </w:r>
      <w:r w:rsidR="00FD6BE7">
        <w:rPr>
          <w:rFonts w:ascii="Times New Roman" w:hAnsi="Times New Roman" w:cs="Times New Roman"/>
        </w:rPr>
        <w:t>ble energy for farm operations</w:t>
      </w:r>
      <w:r w:rsidRPr="00B518F4">
        <w:rPr>
          <w:rFonts w:ascii="Times New Roman" w:hAnsi="Times New Roman" w:cs="Times New Roman"/>
        </w:rPr>
        <w:t>. Digestate from biogas units contains nutrients with higher bioavailability, replacing synthetic fertilizers and improving soil carbon stocks. Circular models integrate feed production, manure recycling, and energy generation, lowering system-wide environmental impacts and enhancing economic viability.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Agroforestry–livestock synergies</w:t>
      </w:r>
      <w:r w:rsidRPr="00B518F4">
        <w:rPr>
          <w:rFonts w:ascii="Times New Roman" w:hAnsi="Times New Roman" w:cs="Times New Roman"/>
        </w:rPr>
        <w:br/>
        <w:t>Agroforestry systems provide shade, fodder, soil fertility enhancement, and h</w:t>
      </w:r>
      <w:r w:rsidR="00983E03">
        <w:rPr>
          <w:rFonts w:ascii="Times New Roman" w:hAnsi="Times New Roman" w:cs="Times New Roman"/>
        </w:rPr>
        <w:t xml:space="preserve">abitat for beneficial organisms (Fahad </w:t>
      </w:r>
      <w:r w:rsidR="00983E03" w:rsidRPr="00983E03">
        <w:rPr>
          <w:rFonts w:ascii="Times New Roman" w:hAnsi="Times New Roman" w:cs="Times New Roman"/>
          <w:i/>
        </w:rPr>
        <w:t>et.al.,</w:t>
      </w:r>
      <w:r w:rsidR="00983E03">
        <w:rPr>
          <w:rFonts w:ascii="Times New Roman" w:hAnsi="Times New Roman" w:cs="Times New Roman"/>
        </w:rPr>
        <w:t xml:space="preserve"> 2022).</w:t>
      </w:r>
      <w:r w:rsidRPr="00B518F4">
        <w:rPr>
          <w:rFonts w:ascii="Times New Roman" w:hAnsi="Times New Roman" w:cs="Times New Roman"/>
        </w:rPr>
        <w:t xml:space="preserve"> Trees stabilize microclimate, reducing heat load on grazing livestock and improving animal welfare. Fodder trees contribute high-protein biomass, reducing reliance on purchased feed. Their deep rooting systems recycle nutrients from subsoil layers, improving nutrient retention and reducing leaching losses. Research demonstrates that agroforestry-based livestock systems increase total biomass by 15–30% and improve carbon sequestration due to tree–soil–animal interactions. Agroforestry also enhances drought resilience by improving water infiltration and reducing evapotranspiration.</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lastRenderedPageBreak/>
        <w:t>Resilience benefits</w:t>
      </w:r>
      <w:r w:rsidRPr="00B518F4">
        <w:rPr>
          <w:rFonts w:ascii="Times New Roman" w:hAnsi="Times New Roman" w:cs="Times New Roman"/>
        </w:rPr>
        <w:br/>
        <w:t>Integrated systems strengthen resilience against climate stress by diversifying production, stabilizing feed supply, and improving ecological balance. Crop–livestock–tree integration enhances soil organic carbon, increases water-holding capacity, and supports continuous nutrient cycling. These systems reduce vulnerability to drought, pest outbreaks, and market fluctuations. Long-term studies show that diversified integrated systems enhance profitability by 20–35% and improve adaptation capacity through ecosystem bu</w:t>
      </w:r>
      <w:r w:rsidR="00FD6BE7">
        <w:rPr>
          <w:rFonts w:ascii="Times New Roman" w:hAnsi="Times New Roman" w:cs="Times New Roman"/>
        </w:rPr>
        <w:t>ffering and diversified income</w:t>
      </w:r>
      <w:r w:rsidRPr="00B518F4">
        <w:rPr>
          <w:rFonts w:ascii="Times New Roman" w:hAnsi="Times New Roman" w:cs="Times New Roman"/>
        </w:rPr>
        <w:t>.</w:t>
      </w:r>
    </w:p>
    <w:p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t>XI. Climate-Smart Technologies and Digital Innovations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rPr>
        <w:t>Climate-smart technologies elevate efficiency, animal welfare, and adaptive capacity under rapid</w:t>
      </w:r>
      <w:r w:rsidR="00983E03">
        <w:rPr>
          <w:rFonts w:ascii="Times New Roman" w:hAnsi="Times New Roman" w:cs="Times New Roman"/>
        </w:rPr>
        <w:t xml:space="preserve">ly changing climatic conditions (Dayoub </w:t>
      </w:r>
      <w:r w:rsidR="00983E03" w:rsidRPr="00983E03">
        <w:rPr>
          <w:rFonts w:ascii="Times New Roman" w:hAnsi="Times New Roman" w:cs="Times New Roman"/>
          <w:i/>
        </w:rPr>
        <w:t>et.al.,</w:t>
      </w:r>
      <w:r w:rsidR="00983E03">
        <w:rPr>
          <w:rFonts w:ascii="Times New Roman" w:hAnsi="Times New Roman" w:cs="Times New Roman"/>
        </w:rPr>
        <w:t xml:space="preserve"> 2024).</w:t>
      </w:r>
      <w:r w:rsidRPr="00493EBE">
        <w:rPr>
          <w:rFonts w:ascii="Times New Roman" w:hAnsi="Times New Roman" w:cs="Times New Roman"/>
        </w:rPr>
        <w:t xml:space="preserve"> Digital innovations are transforming livestock systems through real-time data collection, automated decision-making, predictive modelling, and resource optimization. Global analyses show that adoption of digital livestock technologies can increase productivity by 15–25%, reduce emission intensity by 10–40%, and improve animal welfare indicators through early disease detection an</w:t>
      </w:r>
      <w:r w:rsidR="00FD6BE7">
        <w:rPr>
          <w:rFonts w:ascii="Times New Roman" w:hAnsi="Times New Roman" w:cs="Times New Roman"/>
        </w:rPr>
        <w:t>d better environmental control</w:t>
      </w:r>
      <w:r w:rsidRPr="00493EBE">
        <w:rPr>
          <w:rFonts w:ascii="Times New Roman" w:hAnsi="Times New Roman" w:cs="Times New Roman"/>
        </w:rPr>
        <w:t>. These technologies support resilience by minimizing heat stress impacts, stabilizing feed intake, and improving reproductive and health outcomes.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A. Precision livestock farming tools (PLF)</w:t>
      </w:r>
      <w:r w:rsidRPr="00493EBE">
        <w:rPr>
          <w:rFonts w:ascii="Times New Roman" w:hAnsi="Times New Roman" w:cs="Times New Roman"/>
        </w:rPr>
        <w:br/>
        <w:t xml:space="preserve">Precision livestock farming integrates real-time data acquisition, automated monitoring, and algorithm-driven decision systems. PLF tools measure physiological, </w:t>
      </w:r>
      <w:r w:rsidR="001A4AB2" w:rsidRPr="00493EBE">
        <w:rPr>
          <w:rFonts w:ascii="Times New Roman" w:hAnsi="Times New Roman" w:cs="Times New Roman"/>
        </w:rPr>
        <w:t>behavioural</w:t>
      </w:r>
      <w:r w:rsidRPr="00493EBE">
        <w:rPr>
          <w:rFonts w:ascii="Times New Roman" w:hAnsi="Times New Roman" w:cs="Times New Roman"/>
        </w:rPr>
        <w:t xml:space="preserve">, and environmental parameters with high accuracy. Studies show that PLF adoption reduces mortality by 10–18% in dairy and poultry systems and improves feed conversion efficiency by 5–12% due </w:t>
      </w:r>
      <w:r w:rsidR="00FD6BE7">
        <w:rPr>
          <w:rFonts w:ascii="Times New Roman" w:hAnsi="Times New Roman" w:cs="Times New Roman"/>
        </w:rPr>
        <w:t>to optimized feeding responses</w:t>
      </w:r>
      <w:r w:rsidRPr="00493EBE">
        <w:rPr>
          <w:rFonts w:ascii="Times New Roman" w:hAnsi="Times New Roman" w:cs="Times New Roman"/>
        </w:rPr>
        <w:t>. Automated weight sensors, camera-based behavior analysis, and milk conductivity meters detect mastitis, lameness, or respiratory syndromes several hours before clinical signs appear. Intelligent weighing platforms monitor growth curves in beef cattle, reducing variability and supporting targeted supplementation programs.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B. Sensors, automation, and wearable monitoring</w:t>
      </w:r>
      <w:r w:rsidRPr="00493EBE">
        <w:rPr>
          <w:rFonts w:ascii="Times New Roman" w:hAnsi="Times New Roman" w:cs="Times New Roman"/>
        </w:rPr>
        <w:br/>
        <w:t>Wearable technologies record body temperature, heart rate, rumination, movement patterns, and feeding cycles. Ruminal boluses detect temperature changes linked to fever, rumen acidosis, or heat stress with accu</w:t>
      </w:r>
      <w:r w:rsidR="00FD6BE7">
        <w:rPr>
          <w:rFonts w:ascii="Times New Roman" w:hAnsi="Times New Roman" w:cs="Times New Roman"/>
        </w:rPr>
        <w:t>racy exceeding 90%</w:t>
      </w:r>
      <w:r w:rsidRPr="00493EBE">
        <w:rPr>
          <w:rFonts w:ascii="Times New Roman" w:hAnsi="Times New Roman" w:cs="Times New Roman"/>
        </w:rPr>
        <w:t>. Accelerometers identify lameness, estrus, and abnormal behav</w:t>
      </w:r>
      <w:r w:rsidR="00FD6BE7">
        <w:rPr>
          <w:rFonts w:ascii="Times New Roman" w:hAnsi="Times New Roman" w:cs="Times New Roman"/>
        </w:rPr>
        <w:t>ior with up to 85–95% accuracy</w:t>
      </w:r>
      <w:r w:rsidRPr="00493EBE">
        <w:rPr>
          <w:rFonts w:ascii="Times New Roman" w:hAnsi="Times New Roman" w:cs="Times New Roman"/>
        </w:rPr>
        <w:t>. Automated milking systems measure somatic cell count, fat–protein ratio, and milk flow patterns, enabling early disease detection.</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rPr>
        <w:t>Automation technologies</w:t>
      </w:r>
      <w:r w:rsidR="001A4AB2">
        <w:rPr>
          <w:rFonts w:ascii="Times New Roman" w:hAnsi="Times New Roman" w:cs="Times New Roman"/>
        </w:rPr>
        <w:t xml:space="preserve"> </w:t>
      </w:r>
      <w:r w:rsidRPr="00493EBE">
        <w:rPr>
          <w:rFonts w:ascii="Times New Roman" w:hAnsi="Times New Roman" w:cs="Times New Roman"/>
        </w:rPr>
        <w:t>including robotic feeders, automatic climate control units, and machine-vision-based monitoring</w:t>
      </w:r>
      <w:r w:rsidR="001A4AB2">
        <w:rPr>
          <w:rFonts w:ascii="Times New Roman" w:hAnsi="Times New Roman" w:cs="Times New Roman"/>
        </w:rPr>
        <w:t xml:space="preserve"> </w:t>
      </w:r>
      <w:r w:rsidRPr="00493EBE">
        <w:rPr>
          <w:rFonts w:ascii="Times New Roman" w:hAnsi="Times New Roman" w:cs="Times New Roman"/>
        </w:rPr>
        <w:t>reduce labor requirements by 25–40% and e</w:t>
      </w:r>
      <w:r w:rsidR="00983E03">
        <w:rPr>
          <w:rFonts w:ascii="Times New Roman" w:hAnsi="Times New Roman" w:cs="Times New Roman"/>
        </w:rPr>
        <w:t xml:space="preserve">nsure consistent animal welfare (Han </w:t>
      </w:r>
      <w:r w:rsidR="00983E03" w:rsidRPr="00983E03">
        <w:rPr>
          <w:rFonts w:ascii="Times New Roman" w:hAnsi="Times New Roman" w:cs="Times New Roman"/>
          <w:i/>
        </w:rPr>
        <w:t>et.al.,</w:t>
      </w:r>
      <w:r w:rsidR="00983E03">
        <w:rPr>
          <w:rFonts w:ascii="Times New Roman" w:hAnsi="Times New Roman" w:cs="Times New Roman"/>
        </w:rPr>
        <w:t xml:space="preserve"> 2025).</w:t>
      </w:r>
      <w:r w:rsidRPr="00493EBE">
        <w:rPr>
          <w:rFonts w:ascii="Times New Roman" w:hAnsi="Times New Roman" w:cs="Times New Roman"/>
        </w:rPr>
        <w:t xml:space="preserve"> Environmental sensors track temperature–humidity index (THI), ammonia levels, and ventilation efficiency, generating alerts to prevent heat stress.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C. Decision-support systems and farm-level climate advisory</w:t>
      </w:r>
      <w:r w:rsidRPr="00493EBE">
        <w:rPr>
          <w:rFonts w:ascii="Times New Roman" w:hAnsi="Times New Roman" w:cs="Times New Roman"/>
        </w:rPr>
        <w:br/>
        <w:t>Decision-support systems (DSS) integrate weather forecasts, animal performance data, soil moisture profiles, and feed inventory to guide real-time farm management. Climate-smart DSS improve heat stress mitigation, optimize irrigation for fodder crops, and support disease prevention. Machine learning models predict milk yield fluctuations under thermal load with 80–92% accuracy and suggest targeted interventions such as ration modifi</w:t>
      </w:r>
      <w:r w:rsidR="00FD6BE7">
        <w:rPr>
          <w:rFonts w:ascii="Times New Roman" w:hAnsi="Times New Roman" w:cs="Times New Roman"/>
        </w:rPr>
        <w:t>cations or cooling adjustments</w:t>
      </w:r>
      <w:r w:rsidRPr="00493EBE">
        <w:rPr>
          <w:rFonts w:ascii="Times New Roman" w:hAnsi="Times New Roman" w:cs="Times New Roman"/>
        </w:rPr>
        <w:t>.</w:t>
      </w:r>
      <w:r w:rsidR="001A4AB2">
        <w:rPr>
          <w:rFonts w:ascii="Times New Roman" w:hAnsi="Times New Roman" w:cs="Times New Roman"/>
        </w:rPr>
        <w:t xml:space="preserve"> </w:t>
      </w:r>
      <w:r w:rsidRPr="00493EBE">
        <w:rPr>
          <w:rFonts w:ascii="Times New Roman" w:hAnsi="Times New Roman" w:cs="Times New Roman"/>
        </w:rPr>
        <w:t xml:space="preserve">Digital climate advisory tools provide proactive alerts on disease vectors, heatwave intensity, and water scarcity. Predictive </w:t>
      </w:r>
      <w:r w:rsidRPr="00493EBE">
        <w:rPr>
          <w:rFonts w:ascii="Times New Roman" w:hAnsi="Times New Roman" w:cs="Times New Roman"/>
        </w:rPr>
        <w:lastRenderedPageBreak/>
        <w:t>disease models for Rift Valley fever, Bluetongue, and tick-borne diseases combine climatic variables with historical disease patterns to enhance preparedness and reduce mortality.</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D. Remote sensing and GIS for pasture and health monitoring</w:t>
      </w:r>
      <w:r w:rsidRPr="00493EBE">
        <w:rPr>
          <w:rFonts w:ascii="Times New Roman" w:hAnsi="Times New Roman" w:cs="Times New Roman"/>
        </w:rPr>
        <w:br/>
        <w:t>Remote sensing technologies using Landsat, Sentinel, and MODIS datasets support pasture biomass estimation, water stress detection, and rangeland condition mapping. Vegetation indices such as NDVI, SAVI, and EVI correlate strongly with forage availability and quality. Studies demonstrate that remote-sensing-based forage prediction improves grazing allocation efficiency by 20–35%.GIS platforms support spatial analysis of disease outbreaks, vector hotspots, and grazing patterns. Spatiotemporal maps help optimize livestock movement, reduce overgrazing, and identify a</w:t>
      </w:r>
      <w:r w:rsidR="00983E03">
        <w:rPr>
          <w:rFonts w:ascii="Times New Roman" w:hAnsi="Times New Roman" w:cs="Times New Roman"/>
        </w:rPr>
        <w:t xml:space="preserve">reas vulnerable to degradation (Wang </w:t>
      </w:r>
      <w:r w:rsidR="00983E03" w:rsidRPr="00983E03">
        <w:rPr>
          <w:rFonts w:ascii="Times New Roman" w:hAnsi="Times New Roman" w:cs="Times New Roman"/>
          <w:i/>
        </w:rPr>
        <w:t>et.al.,</w:t>
      </w:r>
      <w:r w:rsidR="00983E03">
        <w:rPr>
          <w:rFonts w:ascii="Times New Roman" w:hAnsi="Times New Roman" w:cs="Times New Roman"/>
        </w:rPr>
        <w:t xml:space="preserve"> 2024). </w:t>
      </w:r>
      <w:r w:rsidRPr="00493EBE">
        <w:rPr>
          <w:rFonts w:ascii="Times New Roman" w:hAnsi="Times New Roman" w:cs="Times New Roman"/>
        </w:rPr>
        <w:t>Integration of drones enables high-resolution monitoring of herd distribution, pasture recovery, and environmental hazards.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E. Robotics and automated milking systems</w:t>
      </w:r>
      <w:r w:rsidRPr="00493EBE">
        <w:rPr>
          <w:rFonts w:ascii="Times New Roman" w:hAnsi="Times New Roman" w:cs="Times New Roman"/>
        </w:rPr>
        <w:br/>
        <w:t>Robotics introduce high precision in livestock operations, reducing labor constraints and improving consistency. Robotic milking systems (RMS) enhance milk yield by 6–12% due to improved udder health, reduced stress, and individ</w:t>
      </w:r>
      <w:r w:rsidR="00FD6BE7">
        <w:rPr>
          <w:rFonts w:ascii="Times New Roman" w:hAnsi="Times New Roman" w:cs="Times New Roman"/>
        </w:rPr>
        <w:t>ualized milking schedules</w:t>
      </w:r>
      <w:r w:rsidRPr="00493EBE">
        <w:rPr>
          <w:rFonts w:ascii="Times New Roman" w:hAnsi="Times New Roman" w:cs="Times New Roman"/>
        </w:rPr>
        <w:t>. Automated feeding robots reduce feed wastage by 10–20% and adjust rations based on real-time intake.</w:t>
      </w:r>
      <w:r w:rsidR="001A4AB2">
        <w:rPr>
          <w:rFonts w:ascii="Times New Roman" w:hAnsi="Times New Roman" w:cs="Times New Roman"/>
        </w:rPr>
        <w:t xml:space="preserve"> </w:t>
      </w:r>
      <w:r w:rsidRPr="00493EBE">
        <w:rPr>
          <w:rFonts w:ascii="Times New Roman" w:hAnsi="Times New Roman" w:cs="Times New Roman"/>
        </w:rPr>
        <w:t>Robotic herding systems using autonomous ground vehicles or drones support livestock surveillance under harsh climates, reducing herder workload and improving safety. Robotic manure scrapers improve hygiene, reduce ammonia emissions, and support better hoof health. Automation reduces human–animal contact stress and enhances welfare during extreme heat events.</w:t>
      </w:r>
    </w:p>
    <w:p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t>XII. Socio-Economic Dimensions of Climate-Adaptive Livestock Production</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rPr>
        <w:t>Socio-economic drivers determine the success of climate-re</w:t>
      </w:r>
      <w:r w:rsidR="00983E03">
        <w:rPr>
          <w:rFonts w:ascii="Times New Roman" w:hAnsi="Times New Roman" w:cs="Times New Roman"/>
        </w:rPr>
        <w:t xml:space="preserve">silient livestock interventions (Jasna </w:t>
      </w:r>
      <w:r w:rsidR="00983E03" w:rsidRPr="00983E03">
        <w:rPr>
          <w:rFonts w:ascii="Times New Roman" w:hAnsi="Times New Roman" w:cs="Times New Roman"/>
          <w:i/>
        </w:rPr>
        <w:t>et.al.,</w:t>
      </w:r>
      <w:r w:rsidR="00983E03">
        <w:rPr>
          <w:rFonts w:ascii="Times New Roman" w:hAnsi="Times New Roman" w:cs="Times New Roman"/>
        </w:rPr>
        <w:t xml:space="preserve"> 2014).</w:t>
      </w:r>
      <w:r w:rsidRPr="00493EBE">
        <w:rPr>
          <w:rFonts w:ascii="Times New Roman" w:hAnsi="Times New Roman" w:cs="Times New Roman"/>
        </w:rPr>
        <w:t xml:space="preserve"> Livelihood security, technology affordability, gender equity, and community knowledge systems influence adaptive capacity across diverse production environments. Climate shocks—such as prolonged droughts, heatwaves, and vector-borne disease outbreaks—can reduce household livestock income by 25–45% and elevate food insecurity in vulnerable areas. Effective climate-smart livestock systems integrate inclusive strategies that enhance resilience, encourage equitable participation, and strengthen local institutions.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A. Livelihood vulnerability and resilience of livestock-dependent communities</w:t>
      </w:r>
      <w:r w:rsidRPr="00493EBE">
        <w:rPr>
          <w:rFonts w:ascii="Times New Roman" w:hAnsi="Times New Roman" w:cs="Times New Roman"/>
        </w:rPr>
        <w:br/>
        <w:t>Livestock-dependent households often face high sensitivity to climate stress due to reliance on natural pastures, limited capital reserves, and increase</w:t>
      </w:r>
      <w:r w:rsidR="00983E03">
        <w:rPr>
          <w:rFonts w:ascii="Times New Roman" w:hAnsi="Times New Roman" w:cs="Times New Roman"/>
        </w:rPr>
        <w:t xml:space="preserve">d exposure to disease outbreaks (Osman </w:t>
      </w:r>
      <w:r w:rsidR="00983E03" w:rsidRPr="00983E03">
        <w:rPr>
          <w:rFonts w:ascii="Times New Roman" w:hAnsi="Times New Roman" w:cs="Times New Roman"/>
          <w:i/>
        </w:rPr>
        <w:t>et.al.,</w:t>
      </w:r>
      <w:r w:rsidR="00983E03">
        <w:rPr>
          <w:rFonts w:ascii="Times New Roman" w:hAnsi="Times New Roman" w:cs="Times New Roman"/>
        </w:rPr>
        <w:t xml:space="preserve"> 2018).</w:t>
      </w:r>
      <w:r w:rsidRPr="00493EBE">
        <w:rPr>
          <w:rFonts w:ascii="Times New Roman" w:hAnsi="Times New Roman" w:cs="Times New Roman"/>
        </w:rPr>
        <w:t xml:space="preserve"> Drought-induced fodder shortages reduce herd size by 20–60% in vulnerable regions, undermining long-term resilience. Heat stress decreases milk output, reproductive efficiency, and weight gain, reducing annual revenue by 10–25%.</w:t>
      </w:r>
      <w:r w:rsidR="009C11BB">
        <w:rPr>
          <w:rFonts w:ascii="Times New Roman" w:hAnsi="Times New Roman" w:cs="Times New Roman"/>
        </w:rPr>
        <w:t xml:space="preserve"> </w:t>
      </w:r>
      <w:r w:rsidRPr="00493EBE">
        <w:rPr>
          <w:rFonts w:ascii="Times New Roman" w:hAnsi="Times New Roman" w:cs="Times New Roman"/>
        </w:rPr>
        <w:t>Adaptive capacity improves through diversified income sources, access to extension services, micro-insurance, and social protection programs. Livestock diversification</w:t>
      </w:r>
      <w:r w:rsidR="009C11BB">
        <w:rPr>
          <w:rFonts w:ascii="Times New Roman" w:hAnsi="Times New Roman" w:cs="Times New Roman"/>
        </w:rPr>
        <w:t xml:space="preserve"> </w:t>
      </w:r>
      <w:r w:rsidRPr="00493EBE">
        <w:rPr>
          <w:rFonts w:ascii="Times New Roman" w:hAnsi="Times New Roman" w:cs="Times New Roman"/>
        </w:rPr>
        <w:t>combining cattle, goats, sheep, and poultry</w:t>
      </w:r>
      <w:r w:rsidR="009C11BB">
        <w:rPr>
          <w:rFonts w:ascii="Times New Roman" w:hAnsi="Times New Roman" w:cs="Times New Roman"/>
        </w:rPr>
        <w:t xml:space="preserve"> </w:t>
      </w:r>
      <w:r w:rsidRPr="00493EBE">
        <w:rPr>
          <w:rFonts w:ascii="Times New Roman" w:hAnsi="Times New Roman" w:cs="Times New Roman"/>
        </w:rPr>
        <w:t>reduces climate-relat</w:t>
      </w:r>
      <w:r w:rsidR="00FD6BE7">
        <w:rPr>
          <w:rFonts w:ascii="Times New Roman" w:hAnsi="Times New Roman" w:cs="Times New Roman"/>
        </w:rPr>
        <w:t>ed income volatility by 15–30%</w:t>
      </w:r>
      <w:r w:rsidRPr="00493EBE">
        <w:rPr>
          <w:rFonts w:ascii="Times New Roman" w:hAnsi="Times New Roman" w:cs="Times New Roman"/>
        </w:rPr>
        <w:t>. Strengthening market links, veterinary access, and financial services enhances resilience.</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B. Cost–benefit assessment of climate-smart interventions</w:t>
      </w:r>
      <w:r w:rsidRPr="00493EBE">
        <w:rPr>
          <w:rFonts w:ascii="Times New Roman" w:hAnsi="Times New Roman" w:cs="Times New Roman"/>
        </w:rPr>
        <w:br/>
        <w:t>Economic assessment guides investment in climate-smart livestock interventions. Cooling systems, improved housing, and feed innovations yield cost–benefit ratios of 1.5–3.0 due to higher pr</w:t>
      </w:r>
      <w:r w:rsidR="00FD6BE7">
        <w:rPr>
          <w:rFonts w:ascii="Times New Roman" w:hAnsi="Times New Roman" w:cs="Times New Roman"/>
        </w:rPr>
        <w:t xml:space="preserve">oductivity and lower mortality. </w:t>
      </w:r>
      <w:r w:rsidRPr="00493EBE">
        <w:rPr>
          <w:rFonts w:ascii="Times New Roman" w:hAnsi="Times New Roman" w:cs="Times New Roman"/>
        </w:rPr>
        <w:t>Biogas systems reduce fuel expenditure by 40–60% and provide organic fertilizers that</w:t>
      </w:r>
      <w:r w:rsidR="00FD6BE7">
        <w:rPr>
          <w:rFonts w:ascii="Times New Roman" w:hAnsi="Times New Roman" w:cs="Times New Roman"/>
        </w:rPr>
        <w:t xml:space="preserve"> increase crop yield by 10–20%</w:t>
      </w:r>
      <w:r w:rsidRPr="00493EBE">
        <w:rPr>
          <w:rFonts w:ascii="Times New Roman" w:hAnsi="Times New Roman" w:cs="Times New Roman"/>
        </w:rPr>
        <w:t>.</w:t>
      </w:r>
      <w:r w:rsidR="009C11BB">
        <w:rPr>
          <w:rFonts w:ascii="Times New Roman" w:hAnsi="Times New Roman" w:cs="Times New Roman"/>
        </w:rPr>
        <w:t xml:space="preserve"> </w:t>
      </w:r>
      <w:r w:rsidRPr="00493EBE">
        <w:rPr>
          <w:rFonts w:ascii="Times New Roman" w:hAnsi="Times New Roman" w:cs="Times New Roman"/>
        </w:rPr>
        <w:t xml:space="preserve">Precision technologies reduce medical costs and losses </w:t>
      </w:r>
      <w:r w:rsidRPr="00493EBE">
        <w:rPr>
          <w:rFonts w:ascii="Times New Roman" w:hAnsi="Times New Roman" w:cs="Times New Roman"/>
        </w:rPr>
        <w:lastRenderedPageBreak/>
        <w:t>from delayed detection. Early disease diagnosis technologies save up to USD 50–120 per dairy cow annually by preventing production loss. Sustainable grazing and improved forage systems reduce feed expenses by 15–35% over long-term cycles.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C. Gender roles, youth participation, and equity considerations</w:t>
      </w:r>
      <w:r w:rsidRPr="00493EBE">
        <w:rPr>
          <w:rFonts w:ascii="Times New Roman" w:hAnsi="Times New Roman" w:cs="Times New Roman"/>
        </w:rPr>
        <w:br/>
        <w:t>Climate-adaptive livestock strategies require equity-based participation. Women contribute significantly to small ruminant and dairy production, often managing feeding, milking, and health care. Empowering women through training, credit access, and digital extension improves adoption of</w:t>
      </w:r>
      <w:r w:rsidR="009C11BB">
        <w:rPr>
          <w:rFonts w:ascii="Times New Roman" w:hAnsi="Times New Roman" w:cs="Times New Roman"/>
        </w:rPr>
        <w:t xml:space="preserve"> </w:t>
      </w:r>
      <w:r w:rsidR="00FD6BE7">
        <w:rPr>
          <w:rFonts w:ascii="Times New Roman" w:hAnsi="Times New Roman" w:cs="Times New Roman"/>
        </w:rPr>
        <w:t>resilient practices by 20–50%</w:t>
      </w:r>
      <w:r w:rsidRPr="00493EBE">
        <w:rPr>
          <w:rFonts w:ascii="Times New Roman" w:hAnsi="Times New Roman" w:cs="Times New Roman"/>
        </w:rPr>
        <w:t>.</w:t>
      </w:r>
      <w:r w:rsidR="009C11BB">
        <w:rPr>
          <w:rFonts w:ascii="Times New Roman" w:hAnsi="Times New Roman" w:cs="Times New Roman"/>
        </w:rPr>
        <w:t xml:space="preserve"> </w:t>
      </w:r>
      <w:r w:rsidRPr="00493EBE">
        <w:rPr>
          <w:rFonts w:ascii="Times New Roman" w:hAnsi="Times New Roman" w:cs="Times New Roman"/>
        </w:rPr>
        <w:t>Youth involvement enhances innovation, especially in digital technologies. Engagement in robotics, PLF tools, and ICT-based advisory services strengthens adaptation skills and reduces rural–urban migration. Equity frameworks ensure inclusive benefits and reduce socio-economic disparities.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D. Community-based adaptation models and knowledge sharing</w:t>
      </w:r>
      <w:r w:rsidRPr="00493EBE">
        <w:rPr>
          <w:rFonts w:ascii="Times New Roman" w:hAnsi="Times New Roman" w:cs="Times New Roman"/>
        </w:rPr>
        <w:br/>
        <w:t>Community-driven adaptation strengthens collective resilience. Pastoral cooperatives, grazing groups, and farmer networks support shared resource governance, drought pla</w:t>
      </w:r>
      <w:r w:rsidR="00983E03">
        <w:rPr>
          <w:rFonts w:ascii="Times New Roman" w:hAnsi="Times New Roman" w:cs="Times New Roman"/>
        </w:rPr>
        <w:t>nning, and disease surveillance (Orindi</w:t>
      </w:r>
      <w:r w:rsidR="00983E03" w:rsidRPr="00983E03">
        <w:rPr>
          <w:rFonts w:ascii="Times New Roman" w:hAnsi="Times New Roman" w:cs="Times New Roman"/>
          <w:i/>
        </w:rPr>
        <w:t>et.al.,</w:t>
      </w:r>
      <w:r w:rsidR="00983E03">
        <w:rPr>
          <w:rFonts w:ascii="Times New Roman" w:hAnsi="Times New Roman" w:cs="Times New Roman"/>
        </w:rPr>
        <w:t xml:space="preserve"> 2007).</w:t>
      </w:r>
      <w:r w:rsidRPr="00493EBE">
        <w:rPr>
          <w:rFonts w:ascii="Times New Roman" w:hAnsi="Times New Roman" w:cs="Times New Roman"/>
        </w:rPr>
        <w:t xml:space="preserve"> Participatory rangeland management increases forage availability, reduces conflict, and impr</w:t>
      </w:r>
      <w:r w:rsidR="00FD6BE7">
        <w:rPr>
          <w:rFonts w:ascii="Times New Roman" w:hAnsi="Times New Roman" w:cs="Times New Roman"/>
        </w:rPr>
        <w:t>oves ecological sustainability</w:t>
      </w:r>
      <w:r w:rsidRPr="00493EBE">
        <w:rPr>
          <w:rFonts w:ascii="Times New Roman" w:hAnsi="Times New Roman" w:cs="Times New Roman"/>
        </w:rPr>
        <w:t>.</w:t>
      </w:r>
      <w:r w:rsidR="009C11BB">
        <w:rPr>
          <w:rFonts w:ascii="Times New Roman" w:hAnsi="Times New Roman" w:cs="Times New Roman"/>
        </w:rPr>
        <w:t xml:space="preserve"> </w:t>
      </w:r>
      <w:r w:rsidRPr="00493EBE">
        <w:rPr>
          <w:rFonts w:ascii="Times New Roman" w:hAnsi="Times New Roman" w:cs="Times New Roman"/>
        </w:rPr>
        <w:t>Knowledge-sharing models</w:t>
      </w:r>
      <w:r w:rsidR="009C11BB">
        <w:rPr>
          <w:rFonts w:ascii="Times New Roman" w:hAnsi="Times New Roman" w:cs="Times New Roman"/>
        </w:rPr>
        <w:t xml:space="preserve"> </w:t>
      </w:r>
      <w:r w:rsidRPr="00493EBE">
        <w:rPr>
          <w:rFonts w:ascii="Times New Roman" w:hAnsi="Times New Roman" w:cs="Times New Roman"/>
        </w:rPr>
        <w:t>demonstration farms, digital knowledge hubs, and mobile advisory platforms</w:t>
      </w:r>
      <w:r w:rsidR="009C11BB">
        <w:rPr>
          <w:rFonts w:ascii="Times New Roman" w:hAnsi="Times New Roman" w:cs="Times New Roman"/>
        </w:rPr>
        <w:t xml:space="preserve"> </w:t>
      </w:r>
      <w:r w:rsidRPr="00493EBE">
        <w:rPr>
          <w:rFonts w:ascii="Times New Roman" w:hAnsi="Times New Roman" w:cs="Times New Roman"/>
        </w:rPr>
        <w:t>improve dissemination of climate-smart innovations. Social learning increases adoption of adaptive practices by 20–40% according to multi-country studies. Community engagement enhances trust, ensures cultural relevance, and accelerates climate adaptation.</w:t>
      </w:r>
    </w:p>
    <w:p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t>XIII. Policies, Institutional Frameworks, and Global Climate Commitments</w:t>
      </w:r>
    </w:p>
    <w:p w:rsidR="00493EBE" w:rsidRDefault="00493EBE" w:rsidP="000C2E83">
      <w:pPr>
        <w:jc w:val="both"/>
        <w:rPr>
          <w:rFonts w:ascii="Times New Roman" w:hAnsi="Times New Roman" w:cs="Times New Roman"/>
        </w:rPr>
      </w:pPr>
      <w:r w:rsidRPr="00493EBE">
        <w:rPr>
          <w:rFonts w:ascii="Times New Roman" w:hAnsi="Times New Roman" w:cs="Times New Roman"/>
        </w:rPr>
        <w:t>Policy frameworks support transformation of livestock systems toward climate resilience, low emission</w:t>
      </w:r>
      <w:r w:rsidR="00983E03">
        <w:rPr>
          <w:rFonts w:ascii="Times New Roman" w:hAnsi="Times New Roman" w:cs="Times New Roman"/>
        </w:rPr>
        <w:t xml:space="preserve">s, and sustainable resource use (Singh </w:t>
      </w:r>
      <w:r w:rsidR="00983E03" w:rsidRPr="00983E03">
        <w:rPr>
          <w:rFonts w:ascii="Times New Roman" w:hAnsi="Times New Roman" w:cs="Times New Roman"/>
          <w:i/>
        </w:rPr>
        <w:t>et.al.,</w:t>
      </w:r>
      <w:r w:rsidR="00983E03">
        <w:rPr>
          <w:rFonts w:ascii="Times New Roman" w:hAnsi="Times New Roman" w:cs="Times New Roman"/>
        </w:rPr>
        <w:t xml:space="preserve"> 2023).</w:t>
      </w:r>
      <w:r w:rsidRPr="00493EBE">
        <w:rPr>
          <w:rFonts w:ascii="Times New Roman" w:hAnsi="Times New Roman" w:cs="Times New Roman"/>
        </w:rPr>
        <w:t xml:space="preserve"> Global livestock emissions contribute nearly 3.4 Gt CO₂-eq annually, necessitating strong institutional governance, coordinated mitigation actions, and compliance with in</w:t>
      </w:r>
      <w:r w:rsidR="00FD6BE7">
        <w:rPr>
          <w:rFonts w:ascii="Times New Roman" w:hAnsi="Times New Roman" w:cs="Times New Roman"/>
        </w:rPr>
        <w:t>ternational climate agreements</w:t>
      </w:r>
      <w:r w:rsidRPr="00493EBE">
        <w:rPr>
          <w:rFonts w:ascii="Times New Roman" w:hAnsi="Times New Roman" w:cs="Times New Roman"/>
        </w:rPr>
        <w:t>. Policies emphasize improving feed efficiency, managing manure sustainably, adopting renewable energy, enhancing genetic resilience, and strengthening veterinary infrastructure.</w:t>
      </w:r>
      <w:r w:rsidR="009C11BB">
        <w:rPr>
          <w:rFonts w:ascii="Times New Roman" w:hAnsi="Times New Roman" w:cs="Times New Roman"/>
        </w:rPr>
        <w:t xml:space="preserve"> </w:t>
      </w:r>
      <w:r w:rsidRPr="00493EBE">
        <w:rPr>
          <w:rFonts w:ascii="Times New Roman" w:hAnsi="Times New Roman" w:cs="Times New Roman"/>
        </w:rPr>
        <w:t>National livestock development programs promote sustainable feed resources, disease control, capacity-building, and market access. Policy instruments such as credit schemes, risk-transfer tools, and climate-resilient infrastructure investments reduce vulnerability and encourage adoption of adaptive technologies. National adaptation plans integrate livestock measures such as heat-stress early-warning systems, pasture rehabilitation, and methane mitigation through feed additives and manure management innovations.</w:t>
      </w:r>
      <w:r w:rsidR="009C11BB">
        <w:rPr>
          <w:rFonts w:ascii="Times New Roman" w:hAnsi="Times New Roman" w:cs="Times New Roman"/>
        </w:rPr>
        <w:t xml:space="preserve"> </w:t>
      </w:r>
      <w:r w:rsidRPr="00493EBE">
        <w:rPr>
          <w:rFonts w:ascii="Times New Roman" w:hAnsi="Times New Roman" w:cs="Times New Roman"/>
        </w:rPr>
        <w:t>Emission reduction targets outlined through nationally determined contributions (NDCs) highlight livestock as a major sector for mitigation. Targets include methane reduction of 20–45%, soil carbon restoration, circular nutrient systems</w:t>
      </w:r>
      <w:r w:rsidR="00FD6BE7">
        <w:rPr>
          <w:rFonts w:ascii="Times New Roman" w:hAnsi="Times New Roman" w:cs="Times New Roman"/>
        </w:rPr>
        <w:t>, and low-carbon supply chains</w:t>
      </w:r>
      <w:r w:rsidR="00EB31D2">
        <w:rPr>
          <w:rFonts w:ascii="Times New Roman" w:hAnsi="Times New Roman" w:cs="Times New Roman"/>
        </w:rPr>
        <w:t xml:space="preserve"> (Costa </w:t>
      </w:r>
      <w:r w:rsidR="00EB31D2" w:rsidRPr="00EB31D2">
        <w:rPr>
          <w:rFonts w:ascii="Times New Roman" w:hAnsi="Times New Roman" w:cs="Times New Roman"/>
          <w:i/>
        </w:rPr>
        <w:t>et.al.,</w:t>
      </w:r>
      <w:r w:rsidR="00EB31D2">
        <w:rPr>
          <w:rFonts w:ascii="Times New Roman" w:hAnsi="Times New Roman" w:cs="Times New Roman"/>
        </w:rPr>
        <w:t xml:space="preserve"> 2022).</w:t>
      </w:r>
      <w:r w:rsidRPr="00493EBE">
        <w:rPr>
          <w:rFonts w:ascii="Times New Roman" w:hAnsi="Times New Roman" w:cs="Times New Roman"/>
        </w:rPr>
        <w:t xml:space="preserve"> International frameworks such as the Paris Agreement, Global Methane Pledge, and FAO’s Global Livestock Environmental Assessment Model (GLEAM) provide guidelines to assess emissions and evaluate mitigation potential.</w:t>
      </w:r>
      <w:r w:rsidR="009C11BB">
        <w:rPr>
          <w:rFonts w:ascii="Times New Roman" w:hAnsi="Times New Roman" w:cs="Times New Roman"/>
        </w:rPr>
        <w:t xml:space="preserve"> </w:t>
      </w:r>
      <w:r w:rsidRPr="00493EBE">
        <w:rPr>
          <w:rFonts w:ascii="Times New Roman" w:hAnsi="Times New Roman" w:cs="Times New Roman"/>
        </w:rPr>
        <w:t>Adaptation guidelines support climate-resilient production through improved housing, drought-resilient fodder crops, integrated crop–livestock systems, and strengthened animal health surveillance. Global institutions—FAO, OIE, CGIAR, UNEP—coordinate research, capacity-building, and policy harmonization for sustainable livestock governance. Strong institutional frameworks enhance resilience by promoting cross-sector engagement, supporting farmers with extension services, and enabling climate-smart innovations across value chains.</w:t>
      </w:r>
    </w:p>
    <w:p w:rsidR="00B15C63" w:rsidRDefault="00543A3B" w:rsidP="000C2E83">
      <w:pPr>
        <w:jc w:val="both"/>
        <w:rPr>
          <w:rFonts w:ascii="Times New Roman" w:hAnsi="Times New Roman" w:cs="Times New Roman"/>
          <w:b/>
          <w:bCs/>
        </w:rPr>
      </w:pPr>
      <w:r w:rsidRPr="00543A3B">
        <w:rPr>
          <w:rFonts w:ascii="Times New Roman" w:hAnsi="Times New Roman" w:cs="Times New Roman"/>
          <w:b/>
          <w:bCs/>
        </w:rPr>
        <w:lastRenderedPageBreak/>
        <w:t>Conclusion</w:t>
      </w:r>
    </w:p>
    <w:p w:rsidR="00543A3B" w:rsidRPr="00543A3B" w:rsidRDefault="00B15C63" w:rsidP="000C2E83">
      <w:pPr>
        <w:jc w:val="both"/>
        <w:rPr>
          <w:rFonts w:ascii="Times New Roman" w:hAnsi="Times New Roman" w:cs="Times New Roman"/>
        </w:rPr>
      </w:pPr>
      <w:r w:rsidRPr="00B15C63">
        <w:rPr>
          <w:rFonts w:ascii="Times New Roman" w:hAnsi="Times New Roman" w:cs="Times New Roman"/>
        </w:rPr>
        <w:t>The evolving pressures of rising temperature extremes, shifting rainfall patterns, emerging pathogens, and escalating resource constraints highlight the necessity of transforming livestock systems through climate-smart, resilient, and resource-efficient strategies. Integrating adaptive genetics, diversified fodder resources, precision nutrition, innovative housing designs, and advanced digital technologies significantly enhances production stability while reducing emission intensity and environmental degradation. Strengthened surveillance systems, inclusive socio-economic frameworks, and well-aligned policy mechanisms support communities in navigating climate-related shocks and safeguarding livelihoods dependent on livestock. Sustainable grazing, integrated crop–livestock systems, silvo-pastoral models, and circular bio-economy pathways reinforce ecological resilience and optimize nutrient flows. Collective adoption of these strategies</w:t>
      </w:r>
      <w:r w:rsidR="00CE49C6">
        <w:rPr>
          <w:rFonts w:ascii="Times New Roman" w:hAnsi="Times New Roman" w:cs="Times New Roman"/>
        </w:rPr>
        <w:t xml:space="preserve"> </w:t>
      </w:r>
      <w:r w:rsidRPr="00B15C63">
        <w:rPr>
          <w:rFonts w:ascii="Times New Roman" w:hAnsi="Times New Roman" w:cs="Times New Roman"/>
        </w:rPr>
        <w:t>supported by global climate commitments, institutional cooperation, and community-driven knowledge systems</w:t>
      </w:r>
      <w:r w:rsidR="00CE49C6">
        <w:rPr>
          <w:rFonts w:ascii="Times New Roman" w:hAnsi="Times New Roman" w:cs="Times New Roman"/>
        </w:rPr>
        <w:t xml:space="preserve"> </w:t>
      </w:r>
      <w:r w:rsidRPr="00B15C63">
        <w:rPr>
          <w:rFonts w:ascii="Times New Roman" w:hAnsi="Times New Roman" w:cs="Times New Roman"/>
        </w:rPr>
        <w:t>creates a robust foundation for adaptable, low-carbon, and welfare-oriented livestock production that remains productive under accelerating climatic uncertainty.</w:t>
      </w:r>
    </w:p>
    <w:p w:rsidR="00AC6442" w:rsidRDefault="00AC6442" w:rsidP="000C2E83">
      <w:pPr>
        <w:jc w:val="both"/>
        <w:rPr>
          <w:rFonts w:ascii="Times New Roman" w:hAnsi="Times New Roman" w:cs="Times New Roman"/>
          <w:b/>
          <w:bCs/>
        </w:rPr>
      </w:pPr>
    </w:p>
    <w:p w:rsidR="00AC6442" w:rsidRPr="00AC6442" w:rsidRDefault="00AC6442" w:rsidP="00AC6442">
      <w:pPr>
        <w:spacing w:after="200" w:line="276" w:lineRule="auto"/>
        <w:jc w:val="both"/>
        <w:outlineLvl w:val="0"/>
        <w:rPr>
          <w:rFonts w:ascii="Arial" w:eastAsia="Times New Roman" w:hAnsi="Arial" w:cs="Arial"/>
          <w:kern w:val="0"/>
          <w:lang w:val="en-GB" w:eastAsia="en-GB"/>
        </w:rPr>
      </w:pPr>
      <w:r w:rsidRPr="00AC6442">
        <w:rPr>
          <w:rFonts w:ascii="Arial" w:eastAsia="Times New Roman" w:hAnsi="Arial" w:cs="Arial"/>
          <w:b/>
          <w:bCs/>
          <w:kern w:val="0"/>
          <w:lang w:val="en-GB" w:eastAsia="en-GB"/>
        </w:rPr>
        <w:t>COMPETING INTERESTS DISCLAIMER:</w:t>
      </w:r>
    </w:p>
    <w:p w:rsidR="00AC6442" w:rsidRPr="00AC6442" w:rsidRDefault="00AC6442" w:rsidP="00AC6442">
      <w:pPr>
        <w:spacing w:after="200" w:line="276" w:lineRule="auto"/>
        <w:rPr>
          <w:rFonts w:eastAsia="Times New Roman" w:cs="Times New Roman"/>
          <w:kern w:val="0"/>
          <w:lang w:val="en-GB" w:eastAsia="en-GB"/>
        </w:rPr>
      </w:pPr>
      <w:r w:rsidRPr="00AC6442">
        <w:rPr>
          <w:rFonts w:eastAsia="Times New Roman" w:cs="Times New Roman"/>
          <w:kern w:val="0"/>
          <w:lang w:val="en-GB" w:eastAsia="en-GB"/>
        </w:rPr>
        <w:t>Authors have declared that they have no known competing financial interests OR non-financial interests OR personal relationships that could have appeared to influence the work reported in this paper.</w:t>
      </w:r>
    </w:p>
    <w:p w:rsidR="00AC6442" w:rsidRDefault="00AC6442" w:rsidP="000C2E83">
      <w:pPr>
        <w:jc w:val="both"/>
        <w:rPr>
          <w:rFonts w:ascii="Times New Roman" w:hAnsi="Times New Roman" w:cs="Times New Roman"/>
          <w:b/>
          <w:bCs/>
        </w:rPr>
      </w:pPr>
    </w:p>
    <w:p w:rsidR="00AC6442" w:rsidRDefault="00AC6442" w:rsidP="000C2E83">
      <w:pPr>
        <w:jc w:val="both"/>
        <w:rPr>
          <w:rFonts w:ascii="Times New Roman" w:hAnsi="Times New Roman" w:cs="Times New Roman"/>
          <w:b/>
          <w:bCs/>
        </w:rPr>
      </w:pPr>
    </w:p>
    <w:p w:rsidR="00AC6442" w:rsidRDefault="00AC6442" w:rsidP="000C2E83">
      <w:pPr>
        <w:jc w:val="both"/>
        <w:rPr>
          <w:rFonts w:ascii="Times New Roman" w:hAnsi="Times New Roman" w:cs="Times New Roman"/>
          <w:b/>
          <w:bCs/>
        </w:rPr>
      </w:pPr>
    </w:p>
    <w:p w:rsidR="00543A3B" w:rsidRDefault="00030167" w:rsidP="000C2E83">
      <w:pPr>
        <w:jc w:val="both"/>
        <w:rPr>
          <w:rFonts w:ascii="Times New Roman" w:hAnsi="Times New Roman" w:cs="Times New Roman"/>
          <w:b/>
          <w:bCs/>
        </w:rPr>
      </w:pPr>
      <w:r w:rsidRPr="00030167">
        <w:rPr>
          <w:rFonts w:ascii="Times New Roman" w:hAnsi="Times New Roman" w:cs="Times New Roman"/>
          <w:b/>
          <w:bCs/>
        </w:rPr>
        <w:t xml:space="preserve">References </w:t>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Harun, H., &amp;Shafi, K. M. (2025). Environmental Change and Its Impact on Animal Well-being and Production: A Concise Overview. Indo-American Journal of Agricultural and Veterinary Sciences, 13(1), 12-20.</w:t>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Pulina, G., Francesconi, A. H. D., Stefanon, B., Sevi, A., Calamari, L., Lacetera, N., Dell'Orto, V., Pilla, F., Ajmone Marsan, P., Mele, M., Rossi, F., Bertoni, G., Crovetto, G. M., &amp; Ronchi, B. (2017). Sustainable ruminant production to help feed the planet. Italian Journal of Animal Science, 16(1), 140-171. </w:t>
      </w:r>
      <w:hyperlink r:id="rId7" w:history="1">
        <w:r w:rsidRPr="00AF14FB">
          <w:rPr>
            <w:rStyle w:val="Hyperlink"/>
            <w:rFonts w:ascii="Times New Roman" w:hAnsi="Times New Roman" w:cs="Times New Roman"/>
            <w:shd w:val="clear" w:color="auto" w:fill="FFFFFF"/>
          </w:rPr>
          <w:t>https://doi.org/10.1080/1828051X.2016.1260500</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Henry, B. K., Eckard, R. J., &amp;Beauchemin, K. A. (2018). Review: Adaptation of ruminant livestock production systems to climate changes. Animal, 12(s2), s445-s456. </w:t>
      </w:r>
      <w:hyperlink r:id="rId8" w:history="1">
        <w:r w:rsidRPr="00AF14FB">
          <w:rPr>
            <w:rStyle w:val="Hyperlink"/>
            <w:rFonts w:ascii="Times New Roman" w:hAnsi="Times New Roman" w:cs="Times New Roman"/>
            <w:shd w:val="clear" w:color="auto" w:fill="FFFFFF"/>
          </w:rPr>
          <w:t>https://doi.org/10.1017/S1751731118001301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Webb, E. C., &amp; Casey, N. H. (2010). Physiological limits to growth and the related effects on meat quality. Livestock Science, 130(1-3), 33-40. </w:t>
      </w:r>
      <w:hyperlink r:id="rId9" w:history="1">
        <w:r w:rsidRPr="00AF14FB">
          <w:rPr>
            <w:rStyle w:val="Hyperlink"/>
            <w:rFonts w:ascii="Times New Roman" w:hAnsi="Times New Roman" w:cs="Times New Roman"/>
            <w:shd w:val="clear" w:color="auto" w:fill="FFFFFF"/>
          </w:rPr>
          <w:t>https://doi.org/10.1016/j.livsci.2010.02.008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Zhang, L., Lv, C., Guo, W., &amp; Li, Z. (2024). Temperature and humidity as drivers for the transmission of zoonotic diseases. Animal Research and One Health, 2(3), 323-336. </w:t>
      </w:r>
      <w:hyperlink r:id="rId10" w:history="1">
        <w:r w:rsidRPr="00AF14FB">
          <w:rPr>
            <w:rStyle w:val="Hyperlink"/>
            <w:rFonts w:ascii="Times New Roman" w:hAnsi="Times New Roman" w:cs="Times New Roman"/>
            <w:shd w:val="clear" w:color="auto" w:fill="FFFFFF"/>
          </w:rPr>
          <w:t>https://doi.org/10.1002/aro2.75</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lastRenderedPageBreak/>
        <w:t xml:space="preserve">Mishra, S., Spaccarotella, K., Gido, J., Samanta, I., &amp; Chowdhary, G. (2023). Effects of heat stress on plant-nutrient relations: An update on nutrient uptake, transport, and assimilation. International Journal of Molecular Sciences, 24(21), 15670. </w:t>
      </w:r>
      <w:hyperlink r:id="rId11" w:history="1">
        <w:r w:rsidRPr="00AF14FB">
          <w:rPr>
            <w:rStyle w:val="Hyperlink"/>
            <w:rFonts w:ascii="Times New Roman" w:hAnsi="Times New Roman" w:cs="Times New Roman"/>
            <w:shd w:val="clear" w:color="auto" w:fill="FFFFFF"/>
          </w:rPr>
          <w:t>https://doi.org/10.3390/ijms242115670</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Gerber, P. J., Hristov, A. N., Henderson, B., Makkar, H., Oh, J., Lee, C., Meinen, R., Montes, F., Ott, T., Firkins, J., Rotz, A., Dell, C., Adesogan, A. T., Yang, W. Z., Tricarico, J. M., Kebreab, E., Waghorn, G., Dijkstra, J., &amp;Oosting, S. (2013). Technical options for the mitigation of direct methane and nitrous oxide emissions from livestock: a review. animal, 7(s2), 220-234. </w:t>
      </w:r>
      <w:hyperlink r:id="rId12" w:history="1">
        <w:r w:rsidRPr="00AF14FB">
          <w:rPr>
            <w:rStyle w:val="Hyperlink"/>
            <w:rFonts w:ascii="Times New Roman" w:hAnsi="Times New Roman" w:cs="Times New Roman"/>
            <w:shd w:val="clear" w:color="auto" w:fill="FFFFFF"/>
          </w:rPr>
          <w:t>https://doi.org/10.1017/S1751731113000876</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Chen, S., Long, H., Chen, B., Feng, K., &amp;Hubacek, K. (2020). Urban carbon footprints across scale: Important considerations for choosing system boundaries. Applied Energy. </w:t>
      </w:r>
      <w:hyperlink r:id="rId13" w:history="1">
        <w:r w:rsidRPr="00AF14FB">
          <w:rPr>
            <w:rStyle w:val="Hyperlink"/>
            <w:rFonts w:ascii="Times New Roman" w:hAnsi="Times New Roman" w:cs="Times New Roman"/>
            <w:shd w:val="clear" w:color="auto" w:fill="FFFFFF"/>
          </w:rPr>
          <w:t>https://doi.org/10.1016/j.apenergy.2019.114201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Aldy, J. E., Pizer, W. A., &amp; Akimoto, K. (2017). </w:t>
      </w:r>
      <w:r w:rsidRPr="00CB4A09">
        <w:rPr>
          <w:rFonts w:ascii="Times New Roman" w:hAnsi="Times New Roman" w:cs="Times New Roman"/>
          <w:color w:val="222222"/>
          <w:shd w:val="clear" w:color="auto" w:fill="FFFFFF"/>
        </w:rPr>
        <w:t xml:space="preserve">Comparing emissions mitigation efforts across countries. Climate Policy, 17(4), 501-515. </w:t>
      </w:r>
      <w:hyperlink r:id="rId14" w:history="1">
        <w:r w:rsidRPr="00AF14FB">
          <w:rPr>
            <w:rStyle w:val="Hyperlink"/>
            <w:rFonts w:ascii="Times New Roman" w:hAnsi="Times New Roman" w:cs="Times New Roman"/>
            <w:shd w:val="clear" w:color="auto" w:fill="FFFFFF"/>
          </w:rPr>
          <w:t>https://doi.org/10.1080/14693062.2015.1119098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Oke, O. E., Akosile, O. A., Oliyide, K. M., Ibigbami, D. J., Adeniran, D. A., Oni, A. I., Opowoye, I. O., &amp; Oluwatosin, B. O. (2025). Resilience and adaptation of indigenous cattle to harsh environments: a case study of the Muturu breed. Journal of Applied Animal Research, 53(1), 2568562. </w:t>
      </w:r>
      <w:hyperlink r:id="rId15" w:history="1">
        <w:r w:rsidRPr="00AF14FB">
          <w:rPr>
            <w:rStyle w:val="Hyperlink"/>
            <w:rFonts w:ascii="Times New Roman" w:hAnsi="Times New Roman" w:cs="Times New Roman"/>
            <w:shd w:val="clear" w:color="auto" w:fill="FFFFFF"/>
            <w:lang w:val="fi-FI"/>
          </w:rPr>
          <w:t>https://doi.org/10.1080/09712119.2025.2568562</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Sinha, D., Maurya, A. K., Abdi, G., Majeed, M., Agarwal, R., Mukherjee, R., Ganguly, S., Aziz, R., Bhatia, M., Majgaonkar, A., Seal, S., Das, M., Banerjee, S., Chowdhury, S., Adeyemi, S. B., &amp; Chen, J. T. (2023). Integrated genomic selection for accelerating breeding programs of climate-smart cereals. Genes, 14(7), 1484. </w:t>
      </w:r>
      <w:hyperlink r:id="rId16" w:history="1">
        <w:r w:rsidRPr="00AF14FB">
          <w:rPr>
            <w:rStyle w:val="Hyperlink"/>
            <w:rFonts w:ascii="Times New Roman" w:hAnsi="Times New Roman" w:cs="Times New Roman"/>
            <w:shd w:val="clear" w:color="auto" w:fill="FFFFFF"/>
          </w:rPr>
          <w:t>https://doi.org/10.3390/genes14071484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Caradus, J., Bouton, J., Brummer, C., Faville, M., Hume, D., Inch, C., Kerr, G., Montel, S., Stewart, A., &amp; Woodfield, D. (2021). Plant breeding for resilient pastures. NZGA: Research and Practice Series, 17, 81–104. </w:t>
      </w:r>
      <w:hyperlink r:id="rId17" w:history="1">
        <w:r w:rsidRPr="00AF14FB">
          <w:rPr>
            <w:rStyle w:val="Hyperlink"/>
            <w:rFonts w:ascii="Times New Roman" w:hAnsi="Times New Roman" w:cs="Times New Roman"/>
            <w:shd w:val="clear" w:color="auto" w:fill="FFFFFF"/>
          </w:rPr>
          <w:t>https://doi.org/10.33584/rps.17.2021.3441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Kumar, H., &amp; S, G. P. (2025). Buffalo Breeds and Breeding Policies for Enhanced Meat Production: A Global Perspective. In Buffalo (Bubalusbubalis) Meat: Production, Processing and Quality (pp. 69-92). Springer Nature Singapore. </w:t>
      </w:r>
      <w:hyperlink r:id="rId18" w:history="1">
        <w:r w:rsidRPr="00AF14FB">
          <w:rPr>
            <w:rStyle w:val="Hyperlink"/>
            <w:rFonts w:ascii="Times New Roman" w:hAnsi="Times New Roman" w:cs="Times New Roman"/>
            <w:shd w:val="clear" w:color="auto" w:fill="FFFFFF"/>
          </w:rPr>
          <w:t>https://doi.org/10.1007/978-981-96-8552-3</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Tamboli, P., Chaurasiya, A. K., Upadhyay, D., &amp; Kumar, A. (2023). Climate change impact on forage characteristics: an appraisal for livestock production. In Molecular interventions for developing climate-smart crops: a forage perspective (pp. 183-196). Springer Nature Singapore. </w:t>
      </w:r>
      <w:hyperlink r:id="rId19" w:history="1">
        <w:r w:rsidRPr="00AF14FB">
          <w:rPr>
            <w:rStyle w:val="Hyperlink"/>
            <w:rFonts w:ascii="Times New Roman" w:hAnsi="Times New Roman" w:cs="Times New Roman"/>
            <w:shd w:val="clear" w:color="auto" w:fill="FFFFFF"/>
            <w:lang w:val="fi-FI"/>
          </w:rPr>
          <w:t>https://doi.org/10.1007/978-981-99-1858-4_10</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Ghorbel, M., Alghamdi, A., Brini, F., Hawamda, A. I. M., &amp;Mseddi, K. (2025). Mitigating Water Loss in Arid Lands: Buffelgrass as a Potential Replacement for Alfalfa in Livestock Feed. Agronomy, 15(2), 371. </w:t>
      </w:r>
      <w:hyperlink r:id="rId20" w:history="1">
        <w:r w:rsidRPr="00AF14FB">
          <w:rPr>
            <w:rStyle w:val="Hyperlink"/>
            <w:rFonts w:ascii="Times New Roman" w:hAnsi="Times New Roman" w:cs="Times New Roman"/>
            <w:shd w:val="clear" w:color="auto" w:fill="FFFFFF"/>
          </w:rPr>
          <w:t>https://doi.org/10.3390/agronomy15020371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Caro, D., Kebreab, E., &amp;Mitloehner, F. M. (2016). Mitigation of enteric methane emissions from global livestock systems through nutrition strategies. Climatic Change, 137(3), 467-480. </w:t>
      </w:r>
      <w:hyperlink r:id="rId21" w:history="1">
        <w:r w:rsidRPr="00AF14FB">
          <w:rPr>
            <w:rStyle w:val="Hyperlink"/>
            <w:rFonts w:ascii="Times New Roman" w:hAnsi="Times New Roman" w:cs="Times New Roman"/>
            <w:shd w:val="clear" w:color="auto" w:fill="FFFFFF"/>
          </w:rPr>
          <w:t>https://doi.org/10.1007/s10584-016-1686-1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lastRenderedPageBreak/>
        <w:t xml:space="preserve">Prathap, P., Chauhan, S. S., Leury, B. J., Cottrell, J. J., &amp;Dunshea, F. R. (2021). Towards sustainable livestock production: Estimation of methane emissions and dietary interventions for mitigation. </w:t>
      </w:r>
      <w:r w:rsidRPr="00CB4A09">
        <w:rPr>
          <w:rFonts w:ascii="Times New Roman" w:hAnsi="Times New Roman" w:cs="Times New Roman"/>
          <w:color w:val="222222"/>
          <w:shd w:val="clear" w:color="auto" w:fill="FFFFFF"/>
          <w:lang w:val="pt-BR"/>
        </w:rPr>
        <w:t xml:space="preserve">Sustainability, 13(11), 6081. </w:t>
      </w:r>
      <w:hyperlink r:id="rId22" w:history="1">
        <w:r w:rsidRPr="00AF14FB">
          <w:rPr>
            <w:rStyle w:val="Hyperlink"/>
            <w:rFonts w:ascii="Times New Roman" w:hAnsi="Times New Roman" w:cs="Times New Roman"/>
            <w:shd w:val="clear" w:color="auto" w:fill="FFFFFF"/>
            <w:lang w:val="pt-BR"/>
          </w:rPr>
          <w:t>https://doi.org/10.3390/su13116081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Matías, J., Rodríguez, M. J., Carrillo-Vico, A., Casals, J., Fondevilla, S., Haros, C. M., Pedroche, J., Aparicio, N., Fernández-García, N., Aguiló-Aguayo, I., Soler-Rivas, C., Caballero, P. A., Morte, A., Rico, D., &amp; Reguera, M. (2024). </w:t>
      </w:r>
      <w:r w:rsidRPr="00CB4A09">
        <w:rPr>
          <w:rFonts w:ascii="Times New Roman" w:hAnsi="Times New Roman" w:cs="Times New Roman"/>
          <w:color w:val="222222"/>
          <w:shd w:val="clear" w:color="auto" w:fill="FFFFFF"/>
        </w:rPr>
        <w:t xml:space="preserve">From ‘Farm to Fork’: Exploring the Potential of Nutrient-Rich and Stress-Resilient Emergent Crops for Sustainable and Healthy Food in the Mediterranean Region in the Face of Climate Change Challenges. Plants, 13(14), 1914. </w:t>
      </w:r>
      <w:hyperlink r:id="rId23" w:history="1">
        <w:r w:rsidRPr="00AF14FB">
          <w:rPr>
            <w:rStyle w:val="Hyperlink"/>
            <w:rFonts w:ascii="Times New Roman" w:hAnsi="Times New Roman" w:cs="Times New Roman"/>
            <w:shd w:val="clear" w:color="auto" w:fill="FFFFFF"/>
          </w:rPr>
          <w:t>https://doi.org/10.3390/plants13141914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Shah, A. M., Zhang, H., Shahid, M., Ghazal, H., Shah, A. R., Niaz, M., Naz, T., Ghimire, K., Goswami, N., Shi, W., Xia, D., &amp; Zhao, H. (2025). The Vital Roles of Agricultural Crop Residues and Agro-Industrial By-Products to Support Sustainable Livestock Productivity in Subtropical Regions. Animals, 15(8), 1184. </w:t>
      </w:r>
      <w:hyperlink r:id="rId24" w:history="1">
        <w:r w:rsidRPr="00AF14FB">
          <w:rPr>
            <w:rStyle w:val="Hyperlink"/>
            <w:rFonts w:ascii="Times New Roman" w:hAnsi="Times New Roman" w:cs="Times New Roman"/>
            <w:shd w:val="clear" w:color="auto" w:fill="FFFFFF"/>
          </w:rPr>
          <w:t>https://doi.org/10.3390/ani15081184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Sandak, A., Sandak, J., Brzezicki, M., &amp;Kutnar, A. (2019). Bio-based building skin. Springer Nature. </w:t>
      </w:r>
      <w:hyperlink r:id="rId25" w:history="1">
        <w:r w:rsidRPr="00AF14FB">
          <w:rPr>
            <w:rStyle w:val="Hyperlink"/>
            <w:rFonts w:ascii="Times New Roman" w:hAnsi="Times New Roman" w:cs="Times New Roman"/>
            <w:shd w:val="clear" w:color="auto" w:fill="FFFFFF"/>
          </w:rPr>
          <w:t>https://doi.org/10.1007/978-981-13-3747-5</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Shalaby, G., Abo El Enein, O. M., Saif, A. M., &amp; El Gheznawy, D. (2020). Smart Breathing Wall for Integrated Ventilation: Heat Exchange and Indoor Air Quality Improvement. Port-Said Engineering Research Journal, 24(2), 10-17. </w:t>
      </w:r>
      <w:hyperlink r:id="rId26" w:history="1">
        <w:r w:rsidRPr="00AF14FB">
          <w:rPr>
            <w:rStyle w:val="Hyperlink"/>
            <w:rFonts w:ascii="Times New Roman" w:hAnsi="Times New Roman" w:cs="Times New Roman"/>
            <w:shd w:val="clear" w:color="auto" w:fill="FFFFFF"/>
          </w:rPr>
          <w:t>https://doi.org/10.21608/pserj.2020.25973.1038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r-FR"/>
        </w:rPr>
        <w:t xml:space="preserve">Singh, R., Maiti, S., &amp; Garai, S. (2023). </w:t>
      </w:r>
      <w:r w:rsidRPr="00CB4A09">
        <w:rPr>
          <w:rFonts w:ascii="Times New Roman" w:hAnsi="Times New Roman" w:cs="Times New Roman"/>
          <w:color w:val="222222"/>
          <w:shd w:val="clear" w:color="auto" w:fill="FFFFFF"/>
        </w:rPr>
        <w:t xml:space="preserve">Sustainable Intensification – Reaching Towards Climate Resilience Livestock Production System – A Review. </w:t>
      </w:r>
      <w:r w:rsidRPr="00CB4A09">
        <w:rPr>
          <w:rFonts w:ascii="Times New Roman" w:hAnsi="Times New Roman" w:cs="Times New Roman"/>
          <w:color w:val="222222"/>
          <w:shd w:val="clear" w:color="auto" w:fill="FFFFFF"/>
          <w:lang w:val="fr-FR"/>
        </w:rPr>
        <w:t xml:space="preserve">Annals of Animal Science, 23(4), 1037-1047. </w:t>
      </w:r>
      <w:hyperlink r:id="rId27" w:history="1">
        <w:r w:rsidRPr="00AF14FB">
          <w:rPr>
            <w:rStyle w:val="Hyperlink"/>
            <w:rFonts w:ascii="Times New Roman" w:hAnsi="Times New Roman" w:cs="Times New Roman"/>
            <w:shd w:val="clear" w:color="auto" w:fill="FFFFFF"/>
            <w:lang w:val="fr-FR"/>
          </w:rPr>
          <w:t>https://doi.org/10.2478/aoas-2023-0027</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Naqvi, S. M. K., Kumar, D., De, K., &amp; Sejian, V. (2015). </w:t>
      </w:r>
      <w:r w:rsidRPr="00CB4A09">
        <w:rPr>
          <w:rFonts w:ascii="Times New Roman" w:hAnsi="Times New Roman" w:cs="Times New Roman"/>
          <w:color w:val="222222"/>
          <w:shd w:val="clear" w:color="auto" w:fill="FFFFFF"/>
        </w:rPr>
        <w:t xml:space="preserve">Climate change and water availability for livestock: Impact on both quality and quantity. In Climate change impact on livestock: Adaptation and mitigation (pp. 81-95). </w:t>
      </w:r>
      <w:r w:rsidRPr="00CB4A09">
        <w:rPr>
          <w:rFonts w:ascii="Times New Roman" w:hAnsi="Times New Roman" w:cs="Times New Roman"/>
          <w:color w:val="222222"/>
          <w:shd w:val="clear" w:color="auto" w:fill="FFFFFF"/>
          <w:lang w:val="pt-BR"/>
        </w:rPr>
        <w:t xml:space="preserve">Springer India. </w:t>
      </w:r>
      <w:hyperlink r:id="rId28" w:history="1">
        <w:r w:rsidRPr="00AF14FB">
          <w:rPr>
            <w:rStyle w:val="Hyperlink"/>
            <w:rFonts w:ascii="Times New Roman" w:hAnsi="Times New Roman" w:cs="Times New Roman"/>
            <w:shd w:val="clear" w:color="auto" w:fill="FFFFFF"/>
            <w:lang w:val="pt-BR"/>
          </w:rPr>
          <w:t>https://doi.org/10.1007/978-81-322-2716-0_5</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Nyachoti, C. M., Regassa, A., &amp; Patience, J. F. (2022). Water in Swine Nutrition. In L. I. Chiba (Ed.), Sustainable Swine Nutrition (pp. 37-63). Wiley. </w:t>
      </w:r>
      <w:hyperlink r:id="rId29" w:history="1">
        <w:r w:rsidRPr="00AF14FB">
          <w:rPr>
            <w:rStyle w:val="Hyperlink"/>
            <w:rFonts w:ascii="Times New Roman" w:hAnsi="Times New Roman" w:cs="Times New Roman"/>
            <w:shd w:val="clear" w:color="auto" w:fill="FFFFFF"/>
          </w:rPr>
          <w:t>https://doi.org/10.1002/9781119583998.ch2</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Jha, A. K., Malla, R., Sharma, M., Panthi, J., Lakhankar, T., Krakauer, N. Y., Pradhanang, S. M., Dahal, P., &amp; Shrestha, M. L. (2016). Impact of irrigation method on water use efficiency and productivity of fodder crops in Nepal. Climate, 4(1), 4. </w:t>
      </w:r>
      <w:hyperlink r:id="rId30" w:history="1">
        <w:r w:rsidRPr="00AF14FB">
          <w:rPr>
            <w:rStyle w:val="Hyperlink"/>
            <w:rFonts w:ascii="Times New Roman" w:hAnsi="Times New Roman" w:cs="Times New Roman"/>
            <w:shd w:val="clear" w:color="auto" w:fill="FFFFFF"/>
            <w:lang w:val="fi-FI"/>
          </w:rPr>
          <w:t>https://doi.org/10.3390/cli4010004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Sawka, M. N., Montain, S. J., &amp; Latzka, W. A. (2001). Hydration effects on thermoregulation and performance in the heat. Comparative Biochemistry and Physiology Part A: Molecular &amp; Integrative Physiology, 128(4), 679-690. </w:t>
      </w:r>
      <w:hyperlink r:id="rId31" w:history="1">
        <w:r w:rsidRPr="00AF14FB">
          <w:rPr>
            <w:rStyle w:val="Hyperlink"/>
            <w:rFonts w:ascii="Times New Roman" w:hAnsi="Times New Roman" w:cs="Times New Roman"/>
            <w:shd w:val="clear" w:color="auto" w:fill="FFFFFF"/>
            <w:lang w:val="fi-FI"/>
          </w:rPr>
          <w:t>https://doi.org/10.1016/s1095-6433(01)00274-4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Bett, B., Kiunga, P., Gachohi, J., Sindato, C., Mbotha, D., Robinson, T., Lindahl, J., &amp; Grace, D. (2017). </w:t>
      </w:r>
      <w:r w:rsidRPr="00CB4A09">
        <w:rPr>
          <w:rFonts w:ascii="Times New Roman" w:hAnsi="Times New Roman" w:cs="Times New Roman"/>
          <w:color w:val="222222"/>
          <w:shd w:val="clear" w:color="auto" w:fill="FFFFFF"/>
        </w:rPr>
        <w:t xml:space="preserve">Effects of climate change on the occurrence and distribution of livestock diseases. </w:t>
      </w:r>
      <w:r w:rsidRPr="00CB4A09">
        <w:rPr>
          <w:rFonts w:ascii="Times New Roman" w:hAnsi="Times New Roman" w:cs="Times New Roman"/>
          <w:color w:val="222222"/>
          <w:shd w:val="clear" w:color="auto" w:fill="FFFFFF"/>
          <w:lang w:val="pt-BR"/>
        </w:rPr>
        <w:t xml:space="preserve">Preventive Veterinary Medicine, 137, 119-129. </w:t>
      </w:r>
      <w:hyperlink r:id="rId32" w:history="1">
        <w:r w:rsidRPr="00AF14FB">
          <w:rPr>
            <w:rStyle w:val="Hyperlink"/>
            <w:rFonts w:ascii="Times New Roman" w:hAnsi="Times New Roman" w:cs="Times New Roman"/>
            <w:shd w:val="clear" w:color="auto" w:fill="FFFFFF"/>
            <w:lang w:val="pt-BR"/>
          </w:rPr>
          <w:t>https://doi.org/10.1016/j.prevetmed.2016.11.019</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Maddah, N., Verma, A., Almashmoum, M., &amp; Ainsworth, J. (2023). Effectiveness of public health digital surveillance systems for infectious disease prevention and control at mass </w:t>
      </w:r>
      <w:r w:rsidRPr="00CB4A09">
        <w:rPr>
          <w:rFonts w:ascii="Times New Roman" w:hAnsi="Times New Roman" w:cs="Times New Roman"/>
          <w:color w:val="222222"/>
          <w:shd w:val="clear" w:color="auto" w:fill="FFFFFF"/>
        </w:rPr>
        <w:lastRenderedPageBreak/>
        <w:t xml:space="preserve">gatherings: Systematic review. Journal of Medical Internet Research, 25, e44649 </w:t>
      </w:r>
      <w:hyperlink r:id="rId33" w:history="1">
        <w:r w:rsidRPr="00AF14FB">
          <w:rPr>
            <w:rStyle w:val="Hyperlink"/>
            <w:rFonts w:ascii="Times New Roman" w:hAnsi="Times New Roman" w:cs="Times New Roman"/>
            <w:shd w:val="clear" w:color="auto" w:fill="FFFFFF"/>
          </w:rPr>
          <w:t>https://doi.org/10.2196/44649</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Singh, D., Singh, R., Gehlot, A., &amp; Pandey, P. S. (2025). Precision Livestock Farming and Cattle Health Management. In S. Kumar, R. T. Bye, &amp; M. Prasad (Eds.), *Proceedings of International Conference on Information Technology and Artificial Intelligence* (pp. 323-333). Springer Nature Singapore. </w:t>
      </w:r>
      <w:hyperlink r:id="rId34" w:history="1">
        <w:r w:rsidRPr="00AF14FB">
          <w:rPr>
            <w:rStyle w:val="Hyperlink"/>
            <w:rFonts w:ascii="Times New Roman" w:hAnsi="Times New Roman" w:cs="Times New Roman"/>
            <w:shd w:val="clear" w:color="auto" w:fill="FFFFFF"/>
          </w:rPr>
          <w:t>https://doi.org/10.1007/978-981-96-8694-0_24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Zhang, C., Xiao, D., Yang, Q., Wen, Z., &amp;Lv, L. (2020). Review: Application of Infrared Thermography in Livestock Monitoring. Transactions of the ASABE, 63(2), 389-399. </w:t>
      </w:r>
      <w:hyperlink r:id="rId35" w:history="1">
        <w:r w:rsidRPr="00AF14FB">
          <w:rPr>
            <w:rStyle w:val="Hyperlink"/>
            <w:rFonts w:ascii="Times New Roman" w:hAnsi="Times New Roman" w:cs="Times New Roman"/>
            <w:shd w:val="clear" w:color="auto" w:fill="FFFFFF"/>
          </w:rPr>
          <w:t>https://doi.org/10.13031/trans.13068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Liu, S., Zamanian, K., Schleuss, P. M., Zarebanadkouki, M., &amp;Kuzyakov, Y. (2018). Degradation of Tibetan grasslands: Consequences for carbon and nutrient cycles. Agriculture, Ecosystems &amp; Environment, 252, 93-104. </w:t>
      </w:r>
      <w:hyperlink r:id="rId36" w:history="1">
        <w:r w:rsidRPr="00AF14FB">
          <w:rPr>
            <w:rStyle w:val="Hyperlink"/>
            <w:rFonts w:ascii="Times New Roman" w:hAnsi="Times New Roman" w:cs="Times New Roman"/>
            <w:shd w:val="clear" w:color="auto" w:fill="FFFFFF"/>
          </w:rPr>
          <w:t>https://doi.org/10.1016/j.agee.2017.10.011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Kumar, A., Vaishnav, R., Deori, C., Timung, B., Roy, S., Pradhan, R., Prakash, R., &amp;Bochalya, R. S. (2025). Silvopastoral Systems in India for Fodder Production and Livestock Sustainability: A Review. Journal of Experimental Agriculture International, 47(3), 112-135. </w:t>
      </w:r>
      <w:hyperlink r:id="rId37" w:history="1">
        <w:r w:rsidRPr="00AF14FB">
          <w:rPr>
            <w:rStyle w:val="Hyperlink"/>
            <w:rFonts w:ascii="Times New Roman" w:hAnsi="Times New Roman" w:cs="Times New Roman"/>
            <w:shd w:val="clear" w:color="auto" w:fill="FFFFFF"/>
          </w:rPr>
          <w:t>https://doi.org/10.9734/jeai/2025/v47i33321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Keprate, A., Bhardwaj, D. R., Sharma, P., Verma, K., Abbas, G., Sharma, V., &amp; Janju, S. (2024). </w:t>
      </w:r>
      <w:r w:rsidRPr="00CB4A09">
        <w:rPr>
          <w:rFonts w:ascii="Times New Roman" w:hAnsi="Times New Roman" w:cs="Times New Roman"/>
          <w:color w:val="222222"/>
          <w:shd w:val="clear" w:color="auto" w:fill="FFFFFF"/>
        </w:rPr>
        <w:t xml:space="preserve">Climate resilient agroforestry systems for sustainable land use and livelihood. In Transforming agricultural management for a sustainable future: climate change and machine learning perspectives (pp. 141-161). </w:t>
      </w:r>
      <w:r w:rsidRPr="00CB4A09">
        <w:rPr>
          <w:rFonts w:ascii="Times New Roman" w:hAnsi="Times New Roman" w:cs="Times New Roman"/>
          <w:color w:val="222222"/>
          <w:shd w:val="clear" w:color="auto" w:fill="FFFFFF"/>
          <w:lang w:val="pt-BR"/>
        </w:rPr>
        <w:t xml:space="preserve">Cham: Springer Nature Switzerland. </w:t>
      </w:r>
      <w:hyperlink r:id="rId38" w:history="1">
        <w:r w:rsidRPr="00AF14FB">
          <w:rPr>
            <w:rStyle w:val="Hyperlink"/>
            <w:rFonts w:ascii="Times New Roman" w:hAnsi="Times New Roman" w:cs="Times New Roman"/>
            <w:shd w:val="clear" w:color="auto" w:fill="FFFFFF"/>
            <w:lang w:val="pt-BR"/>
          </w:rPr>
          <w:t>https://doi.org/10.1007/978-3-031-63430-7_7</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Mamo, T., Astatke, A., Srivastava, K. L., &amp; Dibabe, A. (1993). Improved management of Vertisols for sustainable crop-livestock production in the Ethiopian highlands: Synthesis report 1986-92. Technical Committee of the Joint Vertisol Project. </w:t>
      </w:r>
      <w:hyperlink r:id="rId39" w:history="1">
        <w:r w:rsidRPr="00AF14FB">
          <w:rPr>
            <w:rStyle w:val="Hyperlink"/>
            <w:rFonts w:ascii="Times New Roman" w:hAnsi="Times New Roman" w:cs="Times New Roman"/>
            <w:shd w:val="clear" w:color="auto" w:fill="FFFFFF"/>
            <w:lang w:val="fi-FI"/>
          </w:rPr>
          <w:t>https://hdl.handle.net/10568/49986</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Fahad, S., Chavan, S. B., Chichaghare, A. R., Uthappa, A. R., Kumar, M., Kakade, V., Pradhan, A., Jinger, D., Rawale, G., Yadav, D. K., Kumar, V., Farooq, T. H., Ali, B., Sawant, A. V., Saud, S., Chen, S., &amp;Poczai, P. (2022). Agroforestry systems for soil health improvement and maintenance. Sustainability, 14(22), 14877. </w:t>
      </w:r>
      <w:hyperlink r:id="rId40" w:history="1">
        <w:r w:rsidRPr="00AF14FB">
          <w:rPr>
            <w:rStyle w:val="Hyperlink"/>
            <w:rFonts w:ascii="Times New Roman" w:hAnsi="Times New Roman" w:cs="Times New Roman"/>
            <w:shd w:val="clear" w:color="auto" w:fill="FFFFFF"/>
          </w:rPr>
          <w:t>https://doi.org/10.3390/su142214877</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Dayoub, M., Shnaigat, S., Tarawneh, R. A., Al-Yacoub, A. N., Al-Barakeh, F., &amp; Al-Najjar, K. (2024). Enhancing animal production through smart agriculture: Possibilities, hurdles, resolutions, and advantages. Ruminants, 4(1), 22-46. </w:t>
      </w:r>
      <w:hyperlink r:id="rId41" w:history="1">
        <w:r w:rsidRPr="00AF14FB">
          <w:rPr>
            <w:rStyle w:val="Hyperlink"/>
            <w:rFonts w:ascii="Times New Roman" w:hAnsi="Times New Roman" w:cs="Times New Roman"/>
            <w:shd w:val="clear" w:color="auto" w:fill="FFFFFF"/>
          </w:rPr>
          <w:t>https://doi.org/10.3390/ruminants4010003</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Han, Y., Wang, L., Jiang, W., &amp; Wang, H. (2025). Death Detection and Removal in High-Density Animal Farming: Technologies, Integration, Challenges, and Prospects. Agriculture, 15(21), 2249. </w:t>
      </w:r>
      <w:hyperlink r:id="rId42" w:history="1">
        <w:r w:rsidRPr="00AF14FB">
          <w:rPr>
            <w:rStyle w:val="Hyperlink"/>
            <w:rFonts w:ascii="Times New Roman" w:hAnsi="Times New Roman" w:cs="Times New Roman"/>
            <w:shd w:val="clear" w:color="auto" w:fill="FFFFFF"/>
          </w:rPr>
          <w:t>https://doi.org/10.3390/agriculture15212249</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Wang, N., Naz, I., Aslam, R. W., Quddoos, A., Soufan, W., Raza, D., Ishaq, T., &amp; Ahmed, B. (2024). Spatio-Temporal Dynamics of Rangeland Transformation using machine learning algorithms and Remote sensing data. Rangeland Ecology &amp; Management, 94, 106–118. </w:t>
      </w:r>
      <w:hyperlink r:id="rId43" w:history="1">
        <w:r w:rsidRPr="00AF14FB">
          <w:rPr>
            <w:rStyle w:val="Hyperlink"/>
            <w:rFonts w:ascii="Times New Roman" w:hAnsi="Times New Roman" w:cs="Times New Roman"/>
            <w:shd w:val="clear" w:color="auto" w:fill="FFFFFF"/>
          </w:rPr>
          <w:t>https://doi.org/10.1016/j.rama.2024.02.008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lastRenderedPageBreak/>
        <w:t xml:space="preserve">Jasna, V. K., Som, S., Burman, R. R., Padaria, R. N., &amp; Sharma, J. P. (2014). Socio economic impact of climate resilient technologies. International Journal of Agriculture and Food Science Technology, 5(3), 185-190. </w:t>
      </w:r>
      <w:hyperlink r:id="rId44" w:history="1">
        <w:r w:rsidRPr="00AF14FB">
          <w:rPr>
            <w:rStyle w:val="Hyperlink"/>
            <w:rFonts w:ascii="Times New Roman" w:hAnsi="Times New Roman" w:cs="Times New Roman"/>
            <w:shd w:val="clear" w:color="auto" w:fill="FFFFFF"/>
            <w:lang w:val="fi-FI"/>
          </w:rPr>
          <w:t>http://www.ripublication.com/ijafst/ijafstv5n3.htm</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Osman, A. M. K., Olesambu, E., &amp; Balfroid, C. (2018). Pastoralism in Africa's drylands: Reducing risks, addressing vulnerability and enhancing resilience. FAO. </w:t>
      </w:r>
      <w:hyperlink r:id="rId45" w:history="1">
        <w:r w:rsidRPr="00AF14FB">
          <w:rPr>
            <w:rStyle w:val="Hyperlink"/>
            <w:rFonts w:ascii="Times New Roman" w:hAnsi="Times New Roman" w:cs="Times New Roman"/>
            <w:shd w:val="clear" w:color="auto" w:fill="FFFFFF"/>
            <w:lang w:val="fi-FI"/>
          </w:rPr>
          <w:t>http://www.fao.org/3/CA1312EN/ca1312en.pdf</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Orindi, V., Nyong, A., &amp; Herrero, M. (2007). Pastoral livelihood adaptation to drought and institutional interventions in Kenya. UNDP Human Development Report Office Occasional Paper 2007/54. </w:t>
      </w:r>
      <w:hyperlink r:id="rId46" w:history="1">
        <w:r w:rsidRPr="00AF14FB">
          <w:rPr>
            <w:rStyle w:val="Hyperlink"/>
            <w:rFonts w:ascii="Times New Roman" w:hAnsi="Times New Roman" w:cs="Times New Roman"/>
            <w:shd w:val="clear" w:color="auto" w:fill="FFFFFF"/>
          </w:rPr>
          <w:t>http://hdr.undp.org/en/reports/global/hdr2007-2008/papers/Orindi_Nyong_Herrero.pdf</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r-FR"/>
        </w:rPr>
        <w:t xml:space="preserve">Singh, R., Maiti, S., &amp; Garai, S. (2023). </w:t>
      </w:r>
      <w:r w:rsidRPr="00CB4A09">
        <w:rPr>
          <w:rFonts w:ascii="Times New Roman" w:hAnsi="Times New Roman" w:cs="Times New Roman"/>
          <w:color w:val="222222"/>
          <w:shd w:val="clear" w:color="auto" w:fill="FFFFFF"/>
        </w:rPr>
        <w:t xml:space="preserve">Sustainable Intensification – Reaching Towards Climate Resilience Livestock Production System – A Review. Annals of Animal Science. </w:t>
      </w:r>
      <w:hyperlink r:id="rId47" w:history="1">
        <w:r w:rsidRPr="00AF14FB">
          <w:rPr>
            <w:rStyle w:val="Hyperlink"/>
            <w:rFonts w:ascii="Times New Roman" w:hAnsi="Times New Roman" w:cs="Times New Roman"/>
            <w:shd w:val="clear" w:color="auto" w:fill="FFFFFF"/>
          </w:rPr>
          <w:t>https://doi.org/10.2478/aoas-2023-0027</w:t>
        </w:r>
      </w:hyperlink>
    </w:p>
    <w:p w:rsidR="00030167" w:rsidRPr="00CB4A09" w:rsidRDefault="00CB4A09" w:rsidP="00CB4A09">
      <w:pPr>
        <w:pStyle w:val="ListParagraph"/>
        <w:numPr>
          <w:ilvl w:val="0"/>
          <w:numId w:val="4"/>
        </w:numPr>
        <w:jc w:val="both"/>
        <w:rPr>
          <w:rFonts w:ascii="Times New Roman" w:hAnsi="Times New Roman" w:cs="Times New Roman"/>
          <w:color w:val="222222"/>
          <w:shd w:val="clear" w:color="auto" w:fill="FFFFFF"/>
        </w:rPr>
      </w:pPr>
      <w:r w:rsidRPr="00CB4A09">
        <w:rPr>
          <w:rFonts w:ascii="Times New Roman" w:hAnsi="Times New Roman" w:cs="Times New Roman"/>
          <w:color w:val="222222"/>
          <w:shd w:val="clear" w:color="auto" w:fill="FFFFFF"/>
        </w:rPr>
        <w:t xml:space="preserve">Costa Jr, C., Wollenberg, E., Benitez, M., Newman, R., Gardner, N., &amp;Bellone, F. (2022). Roadmap for achieving net-zero emissions in global food systems by 2050. Scientific Reports, 12(1), 15064. </w:t>
      </w:r>
      <w:hyperlink r:id="rId48" w:history="1">
        <w:r w:rsidRPr="00CB4A09">
          <w:rPr>
            <w:rStyle w:val="Hyperlink"/>
            <w:rFonts w:ascii="Times New Roman" w:hAnsi="Times New Roman" w:cs="Times New Roman"/>
            <w:shd w:val="clear" w:color="auto" w:fill="FFFFFF"/>
          </w:rPr>
          <w:t>https://doi.org/10.1038/s41598-022-18601-1</w:t>
        </w:r>
      </w:hyperlink>
    </w:p>
    <w:p w:rsidR="00CB4A09" w:rsidRPr="00030167" w:rsidRDefault="00CB4A09" w:rsidP="000C2E83">
      <w:pPr>
        <w:jc w:val="both"/>
        <w:rPr>
          <w:rFonts w:ascii="Times New Roman" w:hAnsi="Times New Roman" w:cs="Times New Roman"/>
        </w:rPr>
      </w:pPr>
    </w:p>
    <w:sectPr w:rsidR="00CB4A09" w:rsidRPr="00030167" w:rsidSect="00543A3B">
      <w:headerReference w:type="even" r:id="rId49"/>
      <w:headerReference w:type="default" r:id="rId50"/>
      <w:footerReference w:type="even" r:id="rId51"/>
      <w:footerReference w:type="default" r:id="rId52"/>
      <w:headerReference w:type="first" r:id="rId53"/>
      <w:footerReference w:type="first" r:id="rId54"/>
      <w:pgSz w:w="11906" w:h="16838" w:code="9"/>
      <w:pgMar w:top="2160" w:right="1440" w:bottom="216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F7C" w:rsidRDefault="00561F7C" w:rsidP="00D150B4">
      <w:pPr>
        <w:spacing w:after="0" w:line="240" w:lineRule="auto"/>
      </w:pPr>
      <w:r>
        <w:separator/>
      </w:r>
    </w:p>
  </w:endnote>
  <w:endnote w:type="continuationSeparator" w:id="1">
    <w:p w:rsidR="00561F7C" w:rsidRDefault="00561F7C" w:rsidP="00D15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B4" w:rsidRDefault="00D150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B4" w:rsidRDefault="00D150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B4" w:rsidRDefault="00D150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F7C" w:rsidRDefault="00561F7C" w:rsidP="00D150B4">
      <w:pPr>
        <w:spacing w:after="0" w:line="240" w:lineRule="auto"/>
      </w:pPr>
      <w:r>
        <w:separator/>
      </w:r>
    </w:p>
  </w:footnote>
  <w:footnote w:type="continuationSeparator" w:id="1">
    <w:p w:rsidR="00561F7C" w:rsidRDefault="00561F7C" w:rsidP="00D150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B4" w:rsidRDefault="00BE61B4">
    <w:pPr>
      <w:pStyle w:val="Header"/>
    </w:pPr>
    <w:r w:rsidRPr="00BE61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B4" w:rsidRDefault="00BE61B4">
    <w:pPr>
      <w:pStyle w:val="Header"/>
    </w:pPr>
    <w:r w:rsidRPr="00BE61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B4" w:rsidRDefault="00BE61B4">
    <w:pPr>
      <w:pStyle w:val="Header"/>
    </w:pPr>
    <w:r w:rsidRPr="00BE61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6D7E"/>
    <w:multiLevelType w:val="hybridMultilevel"/>
    <w:tmpl w:val="B9D4A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074090"/>
    <w:multiLevelType w:val="hybridMultilevel"/>
    <w:tmpl w:val="C360B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7E2A29"/>
    <w:multiLevelType w:val="multilevel"/>
    <w:tmpl w:val="40AE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2F2B26"/>
    <w:multiLevelType w:val="hybridMultilevel"/>
    <w:tmpl w:val="F2E28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5265FF"/>
    <w:rsid w:val="00030167"/>
    <w:rsid w:val="00034B6B"/>
    <w:rsid w:val="0003750C"/>
    <w:rsid w:val="00044CCD"/>
    <w:rsid w:val="0007739E"/>
    <w:rsid w:val="000C2E83"/>
    <w:rsid w:val="000F75CC"/>
    <w:rsid w:val="001A4AB2"/>
    <w:rsid w:val="00215291"/>
    <w:rsid w:val="002201EC"/>
    <w:rsid w:val="00262B1E"/>
    <w:rsid w:val="00284599"/>
    <w:rsid w:val="00290A51"/>
    <w:rsid w:val="00295CB3"/>
    <w:rsid w:val="002A01BA"/>
    <w:rsid w:val="002C5609"/>
    <w:rsid w:val="0033521C"/>
    <w:rsid w:val="00345E08"/>
    <w:rsid w:val="003A320D"/>
    <w:rsid w:val="003C33DB"/>
    <w:rsid w:val="0040017F"/>
    <w:rsid w:val="00444568"/>
    <w:rsid w:val="00493EBE"/>
    <w:rsid w:val="004A6B13"/>
    <w:rsid w:val="004F0CA5"/>
    <w:rsid w:val="005265FF"/>
    <w:rsid w:val="00543A3B"/>
    <w:rsid w:val="00545730"/>
    <w:rsid w:val="00561F7C"/>
    <w:rsid w:val="005E2E6B"/>
    <w:rsid w:val="00706770"/>
    <w:rsid w:val="007174D9"/>
    <w:rsid w:val="00845B0D"/>
    <w:rsid w:val="008B3FEA"/>
    <w:rsid w:val="008E33B4"/>
    <w:rsid w:val="00971742"/>
    <w:rsid w:val="00983E03"/>
    <w:rsid w:val="009C11BB"/>
    <w:rsid w:val="009E66A5"/>
    <w:rsid w:val="00AB6524"/>
    <w:rsid w:val="00AC6442"/>
    <w:rsid w:val="00AF0207"/>
    <w:rsid w:val="00B15C63"/>
    <w:rsid w:val="00B16B7A"/>
    <w:rsid w:val="00B30AAC"/>
    <w:rsid w:val="00B518F4"/>
    <w:rsid w:val="00B57BDC"/>
    <w:rsid w:val="00B64BE9"/>
    <w:rsid w:val="00B75E9C"/>
    <w:rsid w:val="00BB3D8F"/>
    <w:rsid w:val="00BE61B4"/>
    <w:rsid w:val="00C13A55"/>
    <w:rsid w:val="00C1496C"/>
    <w:rsid w:val="00C578B2"/>
    <w:rsid w:val="00C64860"/>
    <w:rsid w:val="00C92AAE"/>
    <w:rsid w:val="00CB4A09"/>
    <w:rsid w:val="00CE49C6"/>
    <w:rsid w:val="00D150B4"/>
    <w:rsid w:val="00D254DF"/>
    <w:rsid w:val="00D4217B"/>
    <w:rsid w:val="00DA11B0"/>
    <w:rsid w:val="00DD28A2"/>
    <w:rsid w:val="00DD6EB1"/>
    <w:rsid w:val="00E215A4"/>
    <w:rsid w:val="00E53C0E"/>
    <w:rsid w:val="00E70A9C"/>
    <w:rsid w:val="00EB31D2"/>
    <w:rsid w:val="00EB5F0B"/>
    <w:rsid w:val="00F5199B"/>
    <w:rsid w:val="00F849DE"/>
    <w:rsid w:val="00F84B26"/>
    <w:rsid w:val="00F9033C"/>
    <w:rsid w:val="00FD6B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08"/>
    <w:pPr>
      <w:spacing w:line="256" w:lineRule="auto"/>
    </w:pPr>
    <w:rPr>
      <w:rFonts w:ascii="Calibri" w:eastAsia="Calibri" w:hAnsi="Calibri" w:cs="Mangal"/>
    </w:rPr>
  </w:style>
  <w:style w:type="paragraph" w:styleId="Heading1">
    <w:name w:val="heading 1"/>
    <w:basedOn w:val="Normal"/>
    <w:next w:val="Normal"/>
    <w:link w:val="Heading1Char"/>
    <w:uiPriority w:val="9"/>
    <w:qFormat/>
    <w:rsid w:val="005265F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5F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5F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5FF"/>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65FF"/>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65FF"/>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5FF"/>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5FF"/>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5FF"/>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FF"/>
    <w:rPr>
      <w:rFonts w:eastAsiaTheme="majorEastAsia" w:cstheme="majorBidi"/>
      <w:color w:val="272727" w:themeColor="text1" w:themeTint="D8"/>
    </w:rPr>
  </w:style>
  <w:style w:type="paragraph" w:styleId="Title">
    <w:name w:val="Title"/>
    <w:basedOn w:val="Normal"/>
    <w:next w:val="Normal"/>
    <w:link w:val="TitleChar"/>
    <w:uiPriority w:val="10"/>
    <w:qFormat/>
    <w:rsid w:val="00526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FF"/>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FF"/>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265FF"/>
    <w:rPr>
      <w:i/>
      <w:iCs/>
      <w:color w:val="404040" w:themeColor="text1" w:themeTint="BF"/>
    </w:rPr>
  </w:style>
  <w:style w:type="paragraph" w:styleId="ListParagraph">
    <w:name w:val="List Paragraph"/>
    <w:basedOn w:val="Normal"/>
    <w:uiPriority w:val="34"/>
    <w:qFormat/>
    <w:rsid w:val="005265FF"/>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5265FF"/>
    <w:rPr>
      <w:i/>
      <w:iCs/>
      <w:color w:val="2F5496" w:themeColor="accent1" w:themeShade="BF"/>
    </w:rPr>
  </w:style>
  <w:style w:type="paragraph" w:styleId="IntenseQuote">
    <w:name w:val="Intense Quote"/>
    <w:basedOn w:val="Normal"/>
    <w:next w:val="Normal"/>
    <w:link w:val="IntenseQuoteChar"/>
    <w:uiPriority w:val="30"/>
    <w:qFormat/>
    <w:rsid w:val="005265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5265FF"/>
    <w:rPr>
      <w:i/>
      <w:iCs/>
      <w:color w:val="2F5496" w:themeColor="accent1" w:themeShade="BF"/>
    </w:rPr>
  </w:style>
  <w:style w:type="character" w:styleId="IntenseReference">
    <w:name w:val="Intense Reference"/>
    <w:basedOn w:val="DefaultParagraphFont"/>
    <w:uiPriority w:val="32"/>
    <w:qFormat/>
    <w:rsid w:val="005265FF"/>
    <w:rPr>
      <w:b/>
      <w:bCs/>
      <w:smallCaps/>
      <w:color w:val="2F5496" w:themeColor="accent1" w:themeShade="BF"/>
      <w:spacing w:val="5"/>
    </w:rPr>
  </w:style>
  <w:style w:type="character" w:styleId="Hyperlink">
    <w:name w:val="Hyperlink"/>
    <w:basedOn w:val="DefaultParagraphFont"/>
    <w:uiPriority w:val="99"/>
    <w:unhideWhenUsed/>
    <w:rsid w:val="007174D9"/>
    <w:rPr>
      <w:color w:val="0563C1" w:themeColor="hyperlink"/>
      <w:u w:val="single"/>
    </w:rPr>
  </w:style>
  <w:style w:type="character" w:customStyle="1" w:styleId="UnresolvedMention">
    <w:name w:val="Unresolved Mention"/>
    <w:basedOn w:val="DefaultParagraphFont"/>
    <w:uiPriority w:val="99"/>
    <w:semiHidden/>
    <w:unhideWhenUsed/>
    <w:rsid w:val="007174D9"/>
    <w:rPr>
      <w:color w:val="605E5C"/>
      <w:shd w:val="clear" w:color="auto" w:fill="E1DFDD"/>
    </w:rPr>
  </w:style>
  <w:style w:type="table" w:styleId="TableGrid">
    <w:name w:val="Table Grid"/>
    <w:basedOn w:val="TableNormal"/>
    <w:uiPriority w:val="39"/>
    <w:rsid w:val="00E215A4"/>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lliihq">
    <w:name w:val="x1lliihq"/>
    <w:basedOn w:val="DefaultParagraphFont"/>
    <w:rsid w:val="00E215A4"/>
  </w:style>
  <w:style w:type="paragraph" w:styleId="Header">
    <w:name w:val="header"/>
    <w:basedOn w:val="Normal"/>
    <w:link w:val="HeaderChar"/>
    <w:uiPriority w:val="99"/>
    <w:unhideWhenUsed/>
    <w:rsid w:val="00D1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0B4"/>
    <w:rPr>
      <w:rFonts w:ascii="Calibri" w:eastAsia="Calibri" w:hAnsi="Calibri" w:cs="Mangal"/>
    </w:rPr>
  </w:style>
  <w:style w:type="paragraph" w:styleId="Footer">
    <w:name w:val="footer"/>
    <w:basedOn w:val="Normal"/>
    <w:link w:val="FooterChar"/>
    <w:uiPriority w:val="99"/>
    <w:unhideWhenUsed/>
    <w:rsid w:val="00D1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0B4"/>
    <w:rPr>
      <w:rFonts w:ascii="Calibri" w:eastAsia="Calibri" w:hAnsi="Calibri" w:cs="Mang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penergy.2019.114201" TargetMode="External"/><Relationship Id="rId18" Type="http://schemas.openxmlformats.org/officeDocument/2006/relationships/hyperlink" Target="https://doi.org/10.1007/978-981-96-8552-3" TargetMode="External"/><Relationship Id="rId26" Type="http://schemas.openxmlformats.org/officeDocument/2006/relationships/hyperlink" Target="https://doi.org/10.21608/pserj.2020.25973.1038" TargetMode="External"/><Relationship Id="rId39" Type="http://schemas.openxmlformats.org/officeDocument/2006/relationships/hyperlink" Target="https://hdl.handle.net/10568/49986" TargetMode="External"/><Relationship Id="rId21" Type="http://schemas.openxmlformats.org/officeDocument/2006/relationships/hyperlink" Target="https://doi.org/10.1007/s10584-016-1686-1" TargetMode="External"/><Relationship Id="rId34" Type="http://schemas.openxmlformats.org/officeDocument/2006/relationships/hyperlink" Target="https://doi.org/10.1007/978-981-96-8694-0_24" TargetMode="External"/><Relationship Id="rId42" Type="http://schemas.openxmlformats.org/officeDocument/2006/relationships/hyperlink" Target="https://doi.org/10.3390/agriculture15212249" TargetMode="External"/><Relationship Id="rId47" Type="http://schemas.openxmlformats.org/officeDocument/2006/relationships/hyperlink" Target="https://doi.org/10.2478/aoas-2023-0027"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doi.org/10.1080/1828051X.2016.1260500" TargetMode="External"/><Relationship Id="rId12" Type="http://schemas.openxmlformats.org/officeDocument/2006/relationships/hyperlink" Target="https://doi.org/10.1017/S1751731113000876" TargetMode="External"/><Relationship Id="rId17" Type="http://schemas.openxmlformats.org/officeDocument/2006/relationships/hyperlink" Target="https://doi.org/10.33584/rps.17.2021.3441" TargetMode="External"/><Relationship Id="rId25" Type="http://schemas.openxmlformats.org/officeDocument/2006/relationships/hyperlink" Target="https://doi.org/10.1007/978-981-13-3747-5" TargetMode="External"/><Relationship Id="rId33" Type="http://schemas.openxmlformats.org/officeDocument/2006/relationships/hyperlink" Target="https://doi.org/10.2196/44649" TargetMode="External"/><Relationship Id="rId38" Type="http://schemas.openxmlformats.org/officeDocument/2006/relationships/hyperlink" Target="https://doi.org/10.1007/978-3-031-63430-7_7" TargetMode="External"/><Relationship Id="rId46" Type="http://schemas.openxmlformats.org/officeDocument/2006/relationships/hyperlink" Target="http://hdr.undp.org/en/reports/global/hdr2007-2008/papers/Orindi_Nyong_Herrero.pdf" TargetMode="External"/><Relationship Id="rId2" Type="http://schemas.openxmlformats.org/officeDocument/2006/relationships/styles" Target="styles.xml"/><Relationship Id="rId16" Type="http://schemas.openxmlformats.org/officeDocument/2006/relationships/hyperlink" Target="https://doi.org/10.3390/genes14071484" TargetMode="External"/><Relationship Id="rId20" Type="http://schemas.openxmlformats.org/officeDocument/2006/relationships/hyperlink" Target="https://doi.org/10.3390/agronomy15020371" TargetMode="External"/><Relationship Id="rId29" Type="http://schemas.openxmlformats.org/officeDocument/2006/relationships/hyperlink" Target="https://doi.org/10.1002/9781119583998.ch2" TargetMode="External"/><Relationship Id="rId41" Type="http://schemas.openxmlformats.org/officeDocument/2006/relationships/hyperlink" Target="https://doi.org/10.3390/ruminants4010003"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ms242115670" TargetMode="External"/><Relationship Id="rId24" Type="http://schemas.openxmlformats.org/officeDocument/2006/relationships/hyperlink" Target="https://doi.org/10.3390/ani15081184" TargetMode="External"/><Relationship Id="rId32" Type="http://schemas.openxmlformats.org/officeDocument/2006/relationships/hyperlink" Target="https://doi.org/10.1016/j.prevetmed.2016.11.019" TargetMode="External"/><Relationship Id="rId37" Type="http://schemas.openxmlformats.org/officeDocument/2006/relationships/hyperlink" Target="https://doi.org/10.9734/jeai/2025/v47i33321" TargetMode="External"/><Relationship Id="rId40" Type="http://schemas.openxmlformats.org/officeDocument/2006/relationships/hyperlink" Target="https://doi.org/10.3390/su142214877" TargetMode="External"/><Relationship Id="rId45" Type="http://schemas.openxmlformats.org/officeDocument/2006/relationships/hyperlink" Target="http://www.fao.org/3/CA1312EN/ca1312en.pdf" TargetMode="Externa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09712119.2025.2568562" TargetMode="External"/><Relationship Id="rId23" Type="http://schemas.openxmlformats.org/officeDocument/2006/relationships/hyperlink" Target="https://doi.org/10.3390/plants13141914" TargetMode="External"/><Relationship Id="rId28" Type="http://schemas.openxmlformats.org/officeDocument/2006/relationships/hyperlink" Target="https://doi.org/10.1007/978-81-322-2716-0_5" TargetMode="External"/><Relationship Id="rId36" Type="http://schemas.openxmlformats.org/officeDocument/2006/relationships/hyperlink" Target="https://doi.org/10.1016/j.agee.2017.10.011" TargetMode="External"/><Relationship Id="rId49" Type="http://schemas.openxmlformats.org/officeDocument/2006/relationships/header" Target="header1.xml"/><Relationship Id="rId10" Type="http://schemas.openxmlformats.org/officeDocument/2006/relationships/hyperlink" Target="https://doi.org/10.1002/aro2.75" TargetMode="External"/><Relationship Id="rId19" Type="http://schemas.openxmlformats.org/officeDocument/2006/relationships/hyperlink" Target="https://doi.org/10.1007/978-981-99-1858-4_10" TargetMode="External"/><Relationship Id="rId31" Type="http://schemas.openxmlformats.org/officeDocument/2006/relationships/hyperlink" Target="https://doi.org/10.1016/s1095-6433(01)00274-4" TargetMode="External"/><Relationship Id="rId44" Type="http://schemas.openxmlformats.org/officeDocument/2006/relationships/hyperlink" Target="http://www.ripublication.com/ijafst/ijafstv5n3.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livsci.2010.02.008" TargetMode="External"/><Relationship Id="rId14" Type="http://schemas.openxmlformats.org/officeDocument/2006/relationships/hyperlink" Target="https://doi.org/10.1080/14693062.2015.1119098" TargetMode="External"/><Relationship Id="rId22" Type="http://schemas.openxmlformats.org/officeDocument/2006/relationships/hyperlink" Target="https://doi.org/10.3390/su13116081" TargetMode="External"/><Relationship Id="rId27" Type="http://schemas.openxmlformats.org/officeDocument/2006/relationships/hyperlink" Target="https://doi.org/10.2478/aoas-2023-0027" TargetMode="External"/><Relationship Id="rId30" Type="http://schemas.openxmlformats.org/officeDocument/2006/relationships/hyperlink" Target="https://doi.org/10.3390/cli4010004" TargetMode="External"/><Relationship Id="rId35" Type="http://schemas.openxmlformats.org/officeDocument/2006/relationships/hyperlink" Target="https://doi.org/10.13031/trans.13068" TargetMode="External"/><Relationship Id="rId43" Type="http://schemas.openxmlformats.org/officeDocument/2006/relationships/hyperlink" Target="https://doi.org/10.1016/j.rama.2024.02.008" TargetMode="External"/><Relationship Id="rId48" Type="http://schemas.openxmlformats.org/officeDocument/2006/relationships/hyperlink" Target="https://doi.org/10.1038/s41598-022-18601-1" TargetMode="External"/><Relationship Id="rId56" Type="http://schemas.openxmlformats.org/officeDocument/2006/relationships/theme" Target="theme/theme1.xml"/><Relationship Id="rId8" Type="http://schemas.openxmlformats.org/officeDocument/2006/relationships/hyperlink" Target="https://doi.org/10.1017/S1751731118001301" TargetMode="External"/><Relationship Id="rId51"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21</Pages>
  <Words>11656</Words>
  <Characters>66444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R P S TOMAR</cp:lastModifiedBy>
  <cp:revision>3</cp:revision>
  <dcterms:created xsi:type="dcterms:W3CDTF">2025-12-04T09:35:00Z</dcterms:created>
  <dcterms:modified xsi:type="dcterms:W3CDTF">2025-12-04T12:02:00Z</dcterms:modified>
</cp:coreProperties>
</file>