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Phytochemical screening, nutrients analysis and antioxidant activities of nanari root </w:t>
      </w:r>
      <w:r w:rsidDel="00000000" w:rsidR="00000000" w:rsidRPr="00000000">
        <w:rPr>
          <w:rFonts w:ascii="Times New Roman" w:cs="Times New Roman" w:eastAsia="Times New Roman" w:hAnsi="Times New Roman"/>
          <w:b w:val="1"/>
          <w:i w:val="1"/>
          <w:sz w:val="24"/>
          <w:szCs w:val="24"/>
          <w:rtl w:val="0"/>
        </w:rPr>
        <w:t xml:space="preserve">(Hemidesmus indicus)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sz w:val="24"/>
          <w:szCs w:val="24"/>
        </w:rPr>
      </w:pPr>
      <w:commentRangeStart w:id="0"/>
      <w:r w:rsidDel="00000000" w:rsidR="00000000" w:rsidRPr="00000000">
        <w:rPr>
          <w:rFonts w:ascii="Times New Roman" w:cs="Times New Roman" w:eastAsia="Times New Roman" w:hAnsi="Times New Roman"/>
          <w:b w:val="1"/>
          <w:sz w:val="24"/>
          <w:szCs w:val="24"/>
          <w:rtl w:val="0"/>
        </w:rPr>
        <w:t xml:space="preserve">Abstract</w:t>
      </w:r>
      <w:commentRangeEnd w:id="0"/>
      <w:r w:rsidDel="00000000" w:rsidR="00000000" w:rsidRPr="00000000">
        <w:commentReference w:id="0"/>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4">
      <w:pPr>
        <w:spacing w:after="0" w:line="48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i w:val="1"/>
          <w:sz w:val="24"/>
          <w:szCs w:val="24"/>
          <w:rtl w:val="0"/>
        </w:rPr>
        <w:t xml:space="preserve">Hemidesmus indicus </w:t>
      </w:r>
      <w:r w:rsidDel="00000000" w:rsidR="00000000" w:rsidRPr="00000000">
        <w:rPr>
          <w:rFonts w:ascii="Times New Roman" w:cs="Times New Roman" w:eastAsia="Times New Roman" w:hAnsi="Times New Roman"/>
          <w:sz w:val="24"/>
          <w:szCs w:val="24"/>
          <w:rtl w:val="0"/>
        </w:rPr>
        <w:t xml:space="preserve">belongs to the Apocynaceae is a twining shrub, slender, laticiferous, and is distributed widely in the Indian subcontinent has national and international Pharmacopoeia. The drink prepared from roots is locally called nannari or sarsaparilla and provides a cooling sensation, improve appetite, and purify the blood. present study was carried out for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phytochemical screening, nutrients analysis and antioxidant studies of nannari root (</w:t>
      </w:r>
      <w:r w:rsidDel="00000000" w:rsidR="00000000" w:rsidRPr="00000000">
        <w:rPr>
          <w:rFonts w:ascii="Times New Roman" w:cs="Times New Roman" w:eastAsia="Times New Roman" w:hAnsi="Times New Roman"/>
          <w:i w:val="1"/>
          <w:sz w:val="24"/>
          <w:szCs w:val="24"/>
          <w:rtl w:val="0"/>
        </w:rPr>
        <w:t xml:space="preserve">Hemidesmus indicus</w:t>
      </w:r>
      <w:r w:rsidDel="00000000" w:rsidR="00000000" w:rsidRPr="00000000">
        <w:rPr>
          <w:rFonts w:ascii="Times New Roman" w:cs="Times New Roman" w:eastAsia="Times New Roman" w:hAnsi="Times New Roman"/>
          <w:sz w:val="24"/>
          <w:szCs w:val="24"/>
          <w:rtl w:val="0"/>
        </w:rPr>
        <w:t xml:space="preserve">). The findings underscore the promising properties of the </w:t>
      </w:r>
      <w:r w:rsidDel="00000000" w:rsidR="00000000" w:rsidRPr="00000000">
        <w:rPr>
          <w:rFonts w:ascii="Times New Roman" w:cs="Times New Roman" w:eastAsia="Times New Roman" w:hAnsi="Times New Roman"/>
          <w:i w:val="1"/>
          <w:sz w:val="25"/>
          <w:szCs w:val="25"/>
          <w:rtl w:val="0"/>
        </w:rPr>
        <w:t xml:space="preserve">Hemidesmus indicus</w:t>
      </w:r>
      <w:r w:rsidDel="00000000" w:rsidR="00000000" w:rsidRPr="00000000">
        <w:rPr>
          <w:rFonts w:ascii="Times New Roman" w:cs="Times New Roman" w:eastAsia="Times New Roman" w:hAnsi="Times New Roman"/>
          <w:sz w:val="24"/>
          <w:szCs w:val="24"/>
          <w:rtl w:val="0"/>
        </w:rPr>
        <w:t xml:space="preserve">. The roots are potential source of phytochemicals and </w:t>
      </w:r>
      <w:r w:rsidDel="00000000" w:rsidR="00000000" w:rsidRPr="00000000">
        <w:rPr>
          <w:rFonts w:ascii="Times New Roman" w:cs="Times New Roman" w:eastAsia="Times New Roman" w:hAnsi="Times New Roman"/>
          <w:color w:val="000000"/>
          <w:sz w:val="24"/>
          <w:szCs w:val="24"/>
          <w:rtl w:val="0"/>
        </w:rPr>
        <w:t xml:space="preserve">articulated potential antioxidant properties. </w:t>
      </w:r>
      <w:r w:rsidDel="00000000" w:rsidR="00000000" w:rsidRPr="00000000">
        <w:rPr>
          <w:rFonts w:ascii="Times New Roman" w:cs="Times New Roman" w:eastAsia="Times New Roman" w:hAnsi="Times New Roman"/>
          <w:sz w:val="25"/>
          <w:szCs w:val="25"/>
          <w:rtl w:val="0"/>
        </w:rPr>
        <w:t xml:space="preserve">The observed nutritional profile, including adequate moisture, ash, and fiber content, further enhances its suitability for medicinal and nutraceutical applications.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5"/>
          <w:szCs w:val="25"/>
          <w:rtl w:val="0"/>
        </w:rPr>
        <w:t xml:space="preserve">Aqueous extracts consistently outperformed juice and chloroform extracts across various assays, including DPPH radical scavenging, total antioxidant capacity, catalase and peroxidase activity, and anti-inflammatory tests. The extract’s ability to inhibit protein denaturation and stabilize lysosomal membranes supports its use in inflammation management.</w:t>
      </w:r>
    </w:p>
    <w:p w:rsidR="00000000" w:rsidDel="00000000" w:rsidP="00000000" w:rsidRDefault="00000000" w:rsidRPr="00000000" w14:paraId="0000000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5"/>
          <w:szCs w:val="25"/>
          <w:rtl w:val="0"/>
        </w:rPr>
        <w:t xml:space="preserve">Key words:</w:t>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i w:val="1"/>
          <w:sz w:val="24"/>
          <w:szCs w:val="24"/>
          <w:rtl w:val="0"/>
        </w:rPr>
        <w:t xml:space="preserve">Hemidesmus indicus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5"/>
          <w:szCs w:val="25"/>
          <w:rtl w:val="0"/>
        </w:rPr>
        <w:t xml:space="preserve"> Nannari, Antioxidants, Anti-inflimatory, Proximate </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Hemidesmus indicus </w:t>
      </w:r>
      <w:r w:rsidDel="00000000" w:rsidR="00000000" w:rsidRPr="00000000">
        <w:rPr>
          <w:rFonts w:ascii="Times New Roman" w:cs="Times New Roman" w:eastAsia="Times New Roman" w:hAnsi="Times New Roman"/>
          <w:sz w:val="24"/>
          <w:szCs w:val="24"/>
          <w:rtl w:val="0"/>
        </w:rPr>
        <w:t xml:space="preserve">belongs to the Apocynaceae is a twining shrub, slender, laticiferous, and is distributed widely in the Indian subcontinent (1). The plant with national and international Pharmacopoeia (2) is used traditionally for several conditions such as inflammation, diabetes, cancer, respiratory disorders, anorexia, fever, syphilis, sexually transmitted diseases, skin diseases, abdominal colic, snakebites, urinary diseases, rheumatism, scorpion stings, dyspnea, leprosy, menorrhagia, pyrosis,  dysentery, diarrhea, cough, bronchitis, blood purifier, body coolant and diuretic (3,4,1). Morphologically as well as chemically the plant resembles African Liane called </w:t>
      </w:r>
      <w:r w:rsidDel="00000000" w:rsidR="00000000" w:rsidRPr="00000000">
        <w:rPr>
          <w:rFonts w:ascii="Times New Roman" w:cs="Times New Roman" w:eastAsia="Times New Roman" w:hAnsi="Times New Roman"/>
          <w:i w:val="1"/>
          <w:sz w:val="24"/>
          <w:szCs w:val="24"/>
          <w:rtl w:val="0"/>
        </w:rPr>
        <w:t xml:space="preserve">Mondia whitei (Hook F.) Skeels</w:t>
      </w:r>
      <w:r w:rsidDel="00000000" w:rsidR="00000000" w:rsidRPr="00000000">
        <w:rPr>
          <w:rFonts w:ascii="Times New Roman" w:cs="Times New Roman" w:eastAsia="Times New Roman" w:hAnsi="Times New Roman"/>
          <w:sz w:val="24"/>
          <w:szCs w:val="24"/>
          <w:rtl w:val="0"/>
        </w:rPr>
        <w:t xml:space="preserve">. Both have similar ethnobotanical uses and presence of 2-hydroxy-4 methoxy-benzaldehyde an isomer of vanillin is reported from the plants. The drink prepared from roots is locally called nannari or sarsaparilla. This root-based drink is formulated to provide a cooling sensation, improve appetite, and purify the blood. This is poor man’s drink of the states of North West Karnataka, Andhra Pradesh, and Telangana. Chutney and pickle using lemon juice are prepared from the roots by the rural people and it taste like ginger pickle and consumed. The use of the root may be one of the factors for the absence of gastric and intestinal disorders.  Because of its colossal medicinal status, the National Medicinal Plant Board (NMPB) of India has recognized it as a “highly traded (500-1000 million tonnes/year) medicinal plant” (5,6). Thus, present study was carried out for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phytochemical screening, nutrients analysis and antioxidant studies of nanari root (</w:t>
      </w:r>
      <w:r w:rsidDel="00000000" w:rsidR="00000000" w:rsidRPr="00000000">
        <w:rPr>
          <w:rFonts w:ascii="Times New Roman" w:cs="Times New Roman" w:eastAsia="Times New Roman" w:hAnsi="Times New Roman"/>
          <w:i w:val="1"/>
          <w:sz w:val="24"/>
          <w:szCs w:val="24"/>
          <w:rtl w:val="0"/>
        </w:rPr>
        <w:t xml:space="preserve">Hemidesmus indicus</w:t>
      </w:r>
      <w:r w:rsidDel="00000000" w:rsidR="00000000" w:rsidRPr="00000000">
        <w:rPr>
          <w:rFonts w:ascii="Times New Roman" w:cs="Times New Roman" w:eastAsia="Times New Roman" w:hAnsi="Times New Roman"/>
          <w:sz w:val="24"/>
          <w:szCs w:val="24"/>
          <w:rtl w:val="0"/>
        </w:rPr>
        <w:t xml:space="preserve">) an important body coolant drink of Ballari district of Karnataka.</w:t>
      </w:r>
    </w:p>
    <w:p w:rsidR="00000000" w:rsidDel="00000000" w:rsidP="00000000" w:rsidRDefault="00000000" w:rsidRPr="00000000" w14:paraId="0000000E">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Materials and Methods</w:t>
      </w:r>
    </w:p>
    <w:p w:rsidR="00000000" w:rsidDel="00000000" w:rsidP="00000000" w:rsidRDefault="00000000" w:rsidRPr="00000000" w14:paraId="00000013">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Collection of Samples</w:t>
      </w:r>
    </w:p>
    <w:p w:rsidR="00000000" w:rsidDel="00000000" w:rsidP="00000000" w:rsidRDefault="00000000" w:rsidRPr="00000000" w14:paraId="00000014">
      <w:pPr>
        <w:spacing w:after="0" w:line="36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Hemidesmus indicus </w:t>
      </w:r>
      <w:r w:rsidDel="00000000" w:rsidR="00000000" w:rsidRPr="00000000">
        <w:rPr>
          <w:rFonts w:ascii="Times New Roman" w:cs="Times New Roman" w:eastAsia="Times New Roman" w:hAnsi="Times New Roman"/>
          <w:color w:val="000000"/>
          <w:sz w:val="24"/>
          <w:szCs w:val="24"/>
          <w:rtl w:val="0"/>
        </w:rPr>
        <w:t xml:space="preserve">root was collected from Bellari market and the roots were washed; shade dried and then milled into coarse powder using a mechanical grinder. The powder was stored in sterile container for further studies. Nutrient analysis was carried out with such powdered sample and for phytochemical and antioxidant studies, three extracts were prepared as follows. The powdered material mixed with water (10g in 100mL) and chloroform (10g in 100mL) was called as aqueous and chloroform extract respectively. The two extracts were subjected to cold extraction overnight in a 250 mL conical flask and filtered through whatman no 1 filter paper. The resulted extracts were used for further analysis. The third sample, commercially available nannari juice was collected from local market of Bellari. </w:t>
      </w:r>
      <w:r w:rsidDel="00000000" w:rsidR="00000000" w:rsidRPr="00000000">
        <w:rPr>
          <w:rFonts w:ascii="Times New Roman" w:cs="Times New Roman" w:eastAsia="Times New Roman" w:hAnsi="Times New Roman"/>
          <w:sz w:val="25"/>
          <w:szCs w:val="25"/>
          <w:rtl w:val="0"/>
        </w:rPr>
        <w:t xml:space="preserve">All the extracts were stored at 4°C until use.</w:t>
      </w: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Nutrient analysis </w:t>
      </w:r>
    </w:p>
    <w:p w:rsidR="00000000" w:rsidDel="00000000" w:rsidP="00000000" w:rsidRDefault="00000000" w:rsidRPr="00000000" w14:paraId="00000017">
      <w:pPr>
        <w:spacing w:after="0" w:line="360" w:lineRule="auto"/>
        <w:ind w:right="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moisture, fiber, ash and crude fats, of the samples were determined by proximate analyses </w:t>
      </w: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Moisture was determined by oven dehydration method at 105 </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C up to the constant weight. Crude fat was determined by ether extraction method using soxhlet apparatus. Crude fiber was determined by acid digestion and alkali digestion method. Ash content was determined in muffle furnace at 550 </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C for 6h. The protein was determined by Lowery’s method against Bovine serum albumin standard, reducing sugar by DNS method with glucose standard, total sugar by anthrone method with glucose standard, Six Minerals viz., sodium calcium and Iron, manganese, Zinc, Copper (based on the literature) in the present study were estimated by Induction couple plasma optical emission spectroscopy (ICP-OES) (Thermo Scientific iCAP 7000 Series) and were quantified using reference standard (Agilent Technologies, Bangalore, India) calibration and generated standard curves. Vitamin C was estimated by the dye binding method of 2, 6 di chloro phenol indophenol blue titration procedure as described by (8).</w:t>
      </w:r>
    </w:p>
    <w:p w:rsidR="00000000" w:rsidDel="00000000" w:rsidP="00000000" w:rsidRDefault="00000000" w:rsidRPr="00000000" w14:paraId="00000018">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Quantitive phytochemical analysis</w:t>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phenolic content was determined using the procedure proposed by (9), using gallic acid as a standard. Breifly, 100 µL of each extract were mixed with 8.9 mL of distilled water and 1 mL of Folin–Ciocalteu’s (FC) reagent. After 5 min of shaking, 10 mL of 7% Na</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CO</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and 4.9 mL of distilled water were added for a total volume of 25 mL. The absorbance was measured at 750 nm after 90 min of incubation at room temperature. Total phenol concentrations were reported as </w:t>
      </w:r>
      <w:r w:rsidDel="00000000" w:rsidR="00000000" w:rsidRPr="00000000">
        <w:rPr>
          <w:rFonts w:ascii="Times New Roman" w:cs="Times New Roman" w:eastAsia="Times New Roman" w:hAnsi="Times New Roman"/>
          <w:sz w:val="25"/>
          <w:szCs w:val="25"/>
          <w:rtl w:val="0"/>
        </w:rPr>
        <w:t xml:space="preserve">µg</w:t>
      </w:r>
      <w:r w:rsidDel="00000000" w:rsidR="00000000" w:rsidRPr="00000000">
        <w:rPr>
          <w:rFonts w:ascii="Times New Roman" w:cs="Times New Roman" w:eastAsia="Times New Roman" w:hAnsi="Times New Roman"/>
          <w:vertAlign w:val="superscript"/>
          <w:rtl w:val="0"/>
        </w:rPr>
        <w:t xml:space="preserve"> -gm</w:t>
      </w:r>
      <w:r w:rsidDel="00000000" w:rsidR="00000000" w:rsidRPr="00000000">
        <w:rPr>
          <w:rFonts w:ascii="Times New Roman" w:cs="Times New Roman" w:eastAsia="Times New Roman" w:hAnsi="Times New Roman"/>
          <w:sz w:val="24"/>
          <w:szCs w:val="24"/>
          <w:rtl w:val="0"/>
        </w:rPr>
        <w:t xml:space="preserve"> of gallic acid</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equivalents (GAEs). </w:t>
      </w:r>
    </w:p>
    <w:p w:rsidR="00000000" w:rsidDel="00000000" w:rsidP="00000000" w:rsidRDefault="00000000" w:rsidRPr="00000000" w14:paraId="0000001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flavonoid concentration was determined using a quercetin standard in the aluminum chloride colorimetric assay as described by (9). 1 mL of each sample was added to a 10 mL volumetric flask containing 4 mL distilled water. After five min, 0.3 mL 5 % NaNO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was added to the flask, followed by 0.3 mL 10 % AlCl</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After five min, 2 mL 1M NaOH was added, followed by distilled water to increase the volume to 10 mL. The content was mixed and absorbance was measured at 510 nm against a blank.</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Total flavonoid was expressed in </w:t>
      </w:r>
      <w:r w:rsidDel="00000000" w:rsidR="00000000" w:rsidRPr="00000000">
        <w:rPr>
          <w:rFonts w:ascii="Times New Roman" w:cs="Times New Roman" w:eastAsia="Times New Roman" w:hAnsi="Times New Roman"/>
          <w:sz w:val="25"/>
          <w:szCs w:val="25"/>
          <w:rtl w:val="0"/>
        </w:rPr>
        <w:t xml:space="preserve">µg</w:t>
      </w:r>
      <w:r w:rsidDel="00000000" w:rsidR="00000000" w:rsidRPr="00000000">
        <w:rPr>
          <w:rFonts w:ascii="Times New Roman" w:cs="Times New Roman" w:eastAsia="Times New Roman" w:hAnsi="Times New Roman"/>
          <w:vertAlign w:val="superscript"/>
          <w:rtl w:val="0"/>
        </w:rPr>
        <w:t xml:space="preserve"> -gm</w:t>
      </w:r>
      <w:r w:rsidDel="00000000" w:rsidR="00000000" w:rsidRPr="00000000">
        <w:rPr>
          <w:rFonts w:ascii="Times New Roman" w:cs="Times New Roman" w:eastAsia="Times New Roman" w:hAnsi="Times New Roman"/>
          <w:sz w:val="24"/>
          <w:szCs w:val="24"/>
          <w:rtl w:val="0"/>
        </w:rPr>
        <w:t xml:space="preserve">   quercetin equivalents (QE). </w:t>
      </w:r>
    </w:p>
    <w:p w:rsidR="00000000" w:rsidDel="00000000" w:rsidP="00000000" w:rsidRDefault="00000000" w:rsidRPr="00000000" w14:paraId="0000001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tannins were determined by the Folin-Ciocalteu method, with minor modifications  (9). 0.1ml of the extract solution with added 7.5ml of distilled water, 0.5 ml of Folin-Ciocalteu phenol reagent, and 1ml of 35% sodium carbonate solution and was then diluted to 10 ml with distilled water. The mixure was shaken well and kept at room temperature for 30 min, and the absorbance was recorded at 700 nm against the blank. Total tannin was expressed in </w:t>
      </w:r>
      <w:r w:rsidDel="00000000" w:rsidR="00000000" w:rsidRPr="00000000">
        <w:rPr>
          <w:rFonts w:ascii="Times New Roman" w:cs="Times New Roman" w:eastAsia="Times New Roman" w:hAnsi="Times New Roman"/>
          <w:sz w:val="25"/>
          <w:szCs w:val="25"/>
          <w:rtl w:val="0"/>
        </w:rPr>
        <w:t xml:space="preserve">µg</w:t>
      </w:r>
      <w:r w:rsidDel="00000000" w:rsidR="00000000" w:rsidRPr="00000000">
        <w:rPr>
          <w:rFonts w:ascii="Times New Roman" w:cs="Times New Roman" w:eastAsia="Times New Roman" w:hAnsi="Times New Roman"/>
          <w:vertAlign w:val="superscript"/>
          <w:rtl w:val="0"/>
        </w:rPr>
        <w:t xml:space="preserve"> -gm</w:t>
      </w:r>
      <w:r w:rsidDel="00000000" w:rsidR="00000000" w:rsidRPr="00000000">
        <w:rPr>
          <w:rFonts w:ascii="Times New Roman" w:cs="Times New Roman" w:eastAsia="Times New Roman" w:hAnsi="Times New Roman"/>
          <w:sz w:val="24"/>
          <w:szCs w:val="24"/>
          <w:rtl w:val="0"/>
        </w:rPr>
        <w:t xml:space="preserve"> of tannic acid equivalens (TAE). </w:t>
      </w:r>
    </w:p>
    <w:p w:rsidR="00000000" w:rsidDel="00000000" w:rsidP="00000000" w:rsidRDefault="00000000" w:rsidRPr="00000000" w14:paraId="0000001C">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Antioxidant studies</w:t>
      </w:r>
    </w:p>
    <w:p w:rsidR="00000000" w:rsidDel="00000000" w:rsidP="00000000" w:rsidRDefault="00000000" w:rsidRPr="00000000" w14:paraId="0000001D">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Determination of Total Antioxidant Activity (TAA)</w:t>
      </w:r>
    </w:p>
    <w:p w:rsidR="00000000" w:rsidDel="00000000" w:rsidP="00000000" w:rsidRDefault="00000000" w:rsidRPr="00000000" w14:paraId="0000001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Total antioxidant activity was studied as described by (10), with appropriate modifications. 0.5 mL of each extract of the samples was mixed in TAA mixture (2ml 0.6 M H</w:t>
      </w:r>
      <w:r w:rsidDel="00000000" w:rsidR="00000000" w:rsidRPr="00000000">
        <w:rPr>
          <w:rFonts w:ascii="Times New Roman" w:cs="Times New Roman" w:eastAsia="Times New Roman" w:hAnsi="Times New Roman"/>
          <w:color w:val="000000"/>
          <w:sz w:val="24"/>
          <w:szCs w:val="24"/>
          <w:vertAlign w:val="subscript"/>
          <w:rtl w:val="0"/>
        </w:rPr>
        <w:t xml:space="preserve">2</w:t>
      </w:r>
      <w:r w:rsidDel="00000000" w:rsidR="00000000" w:rsidRPr="00000000">
        <w:rPr>
          <w:rFonts w:ascii="Times New Roman" w:cs="Times New Roman" w:eastAsia="Times New Roman" w:hAnsi="Times New Roman"/>
          <w:color w:val="000000"/>
          <w:sz w:val="24"/>
          <w:szCs w:val="24"/>
          <w:rtl w:val="0"/>
        </w:rPr>
        <w:t xml:space="preserve">SO</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solution + 2ml of 4 mM ammonium molybdate + 1.5ml of 28 mM Sodium phosphate buffer) and to that 1ml of dimethyl sulphoxide solution was added. The blank was prepared with 0.5 mL water instead of sample. The mixture was incubated in boiling water for 30mins. Then the absorbance was recorded at 695nm in the Spectrophotometer (make). Total antioxidant activity was calculated by using the formula Total Antioxidant activity =   ([A </w:t>
      </w:r>
      <w:r w:rsidDel="00000000" w:rsidR="00000000" w:rsidRPr="00000000">
        <w:rPr>
          <w:rFonts w:ascii="Times New Roman" w:cs="Times New Roman" w:eastAsia="Times New Roman" w:hAnsi="Times New Roman"/>
          <w:i w:val="1"/>
          <w:color w:val="000000"/>
          <w:sz w:val="24"/>
          <w:szCs w:val="24"/>
          <w:vertAlign w:val="subscript"/>
          <w:rtl w:val="0"/>
        </w:rPr>
        <w:t xml:space="preserve">control</w:t>
      </w:r>
      <w:r w:rsidDel="00000000" w:rsidR="00000000" w:rsidRPr="00000000">
        <w:rPr>
          <w:rFonts w:ascii="Times New Roman" w:cs="Times New Roman" w:eastAsia="Times New Roman" w:hAnsi="Times New Roman"/>
          <w:color w:val="000000"/>
          <w:sz w:val="24"/>
          <w:szCs w:val="24"/>
          <w:rtl w:val="0"/>
        </w:rPr>
        <w:t xml:space="preserve"> – A </w:t>
      </w:r>
      <w:r w:rsidDel="00000000" w:rsidR="00000000" w:rsidRPr="00000000">
        <w:rPr>
          <w:rFonts w:ascii="Times New Roman" w:cs="Times New Roman" w:eastAsia="Times New Roman" w:hAnsi="Times New Roman"/>
          <w:i w:val="1"/>
          <w:color w:val="000000"/>
          <w:sz w:val="24"/>
          <w:szCs w:val="24"/>
          <w:vertAlign w:val="subscript"/>
          <w:rtl w:val="0"/>
        </w:rPr>
        <w:t xml:space="preserve">Sample </w:t>
      </w:r>
      <w:r w:rsidDel="00000000" w:rsidR="00000000" w:rsidRPr="00000000">
        <w:rPr>
          <w:rFonts w:ascii="Times New Roman" w:cs="Times New Roman" w:eastAsia="Times New Roman" w:hAnsi="Times New Roman"/>
          <w:color w:val="000000"/>
          <w:sz w:val="24"/>
          <w:szCs w:val="24"/>
          <w:rtl w:val="0"/>
        </w:rPr>
        <w:t xml:space="preserve">] / A </w:t>
      </w:r>
      <w:r w:rsidDel="00000000" w:rsidR="00000000" w:rsidRPr="00000000">
        <w:rPr>
          <w:rFonts w:ascii="Times New Roman" w:cs="Times New Roman" w:eastAsia="Times New Roman" w:hAnsi="Times New Roman"/>
          <w:i w:val="1"/>
          <w:color w:val="000000"/>
          <w:sz w:val="24"/>
          <w:szCs w:val="24"/>
          <w:vertAlign w:val="subscript"/>
          <w:rtl w:val="0"/>
        </w:rPr>
        <w:t xml:space="preserve">Blank</w:t>
      </w:r>
      <w:r w:rsidDel="00000000" w:rsidR="00000000" w:rsidRPr="00000000">
        <w:rPr>
          <w:rFonts w:ascii="Times New Roman" w:cs="Times New Roman" w:eastAsia="Times New Roman" w:hAnsi="Times New Roman"/>
          <w:color w:val="000000"/>
          <w:sz w:val="24"/>
          <w:szCs w:val="24"/>
          <w:rtl w:val="0"/>
        </w:rPr>
        <w:t xml:space="preserve">)×100  and expressed in percentage (%) Where A</w:t>
      </w:r>
      <w:r w:rsidDel="00000000" w:rsidR="00000000" w:rsidRPr="00000000">
        <w:rPr>
          <w:rFonts w:ascii="Times New Roman" w:cs="Times New Roman" w:eastAsia="Times New Roman" w:hAnsi="Times New Roman"/>
          <w:i w:val="1"/>
          <w:color w:val="000000"/>
          <w:sz w:val="24"/>
          <w:szCs w:val="24"/>
          <w:vertAlign w:val="subscript"/>
          <w:rtl w:val="0"/>
        </w:rPr>
        <w:t xml:space="preserve">sample  </w:t>
      </w:r>
      <w:r w:rsidDel="00000000" w:rsidR="00000000" w:rsidRPr="00000000">
        <w:rPr>
          <w:rFonts w:ascii="Times New Roman" w:cs="Times New Roman" w:eastAsia="Times New Roman" w:hAnsi="Times New Roman"/>
          <w:color w:val="000000"/>
          <w:sz w:val="24"/>
          <w:szCs w:val="24"/>
          <w:rtl w:val="0"/>
        </w:rPr>
        <w:t xml:space="preserve">is the absorbance of the ammonium molybdate mixed with the sample, A</w:t>
      </w:r>
      <w:r w:rsidDel="00000000" w:rsidR="00000000" w:rsidRPr="00000000">
        <w:rPr>
          <w:rFonts w:ascii="Times New Roman" w:cs="Times New Roman" w:eastAsia="Times New Roman" w:hAnsi="Times New Roman"/>
          <w:i w:val="1"/>
          <w:color w:val="000000"/>
          <w:sz w:val="24"/>
          <w:szCs w:val="24"/>
          <w:vertAlign w:val="subscript"/>
          <w:rtl w:val="0"/>
        </w:rPr>
        <w:t xml:space="preserve">control</w:t>
      </w:r>
      <w:r w:rsidDel="00000000" w:rsidR="00000000" w:rsidRPr="00000000">
        <w:rPr>
          <w:rFonts w:ascii="Times New Roman" w:cs="Times New Roman" w:eastAsia="Times New Roman" w:hAnsi="Times New Roman"/>
          <w:color w:val="000000"/>
          <w:sz w:val="24"/>
          <w:szCs w:val="24"/>
          <w:rtl w:val="0"/>
        </w:rPr>
        <w:t xml:space="preserve"> is the absorbance of the ammonium molybdate mixed with deionized water, and A</w:t>
      </w:r>
      <w:r w:rsidDel="00000000" w:rsidR="00000000" w:rsidRPr="00000000">
        <w:rPr>
          <w:rFonts w:ascii="Times New Roman" w:cs="Times New Roman" w:eastAsia="Times New Roman" w:hAnsi="Times New Roman"/>
          <w:i w:val="1"/>
          <w:color w:val="000000"/>
          <w:sz w:val="24"/>
          <w:szCs w:val="24"/>
          <w:vertAlign w:val="subscript"/>
          <w:rtl w:val="0"/>
        </w:rPr>
        <w:t xml:space="preserve">blank</w:t>
      </w:r>
      <w:r w:rsidDel="00000000" w:rsidR="00000000" w:rsidRPr="00000000">
        <w:rPr>
          <w:rFonts w:ascii="Times New Roman" w:cs="Times New Roman" w:eastAsia="Times New Roman" w:hAnsi="Times New Roman"/>
          <w:color w:val="000000"/>
          <w:sz w:val="24"/>
          <w:szCs w:val="24"/>
          <w:rtl w:val="0"/>
        </w:rPr>
        <w:t xml:space="preserve"> is the absorbance of the sample mixed with deionized water.</w:t>
      </w:r>
    </w:p>
    <w:p w:rsidR="00000000" w:rsidDel="00000000" w:rsidP="00000000" w:rsidRDefault="00000000" w:rsidRPr="00000000" w14:paraId="0000001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DPPH Free Radical Scavenging Assay</w:t>
      </w:r>
    </w:p>
    <w:p w:rsidR="00000000" w:rsidDel="00000000" w:rsidP="00000000" w:rsidRDefault="00000000" w:rsidRPr="00000000" w14:paraId="0000002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DPPH radical scavenging activity was measured as described by (11) with appropriate modification. 1 mL of each extract was added to 5 mL freshly prepared solution of 0.2 mmol</w:t>
      </w:r>
      <w:r w:rsidDel="00000000" w:rsidR="00000000" w:rsidRPr="00000000">
        <w:rPr>
          <w:rFonts w:ascii="Times New Roman" w:cs="Times New Roman" w:eastAsia="Times New Roman" w:hAnsi="Times New Roman"/>
          <w:sz w:val="24"/>
          <w:szCs w:val="24"/>
          <w:vertAlign w:val="superscript"/>
          <w:rtl w:val="0"/>
        </w:rPr>
        <w:t xml:space="preserve">-L</w:t>
      </w:r>
      <w:r w:rsidDel="00000000" w:rsidR="00000000" w:rsidRPr="00000000">
        <w:rPr>
          <w:rFonts w:ascii="Times New Roman" w:cs="Times New Roman" w:eastAsia="Times New Roman" w:hAnsi="Times New Roman"/>
          <w:sz w:val="24"/>
          <w:szCs w:val="24"/>
          <w:rtl w:val="0"/>
        </w:rPr>
        <w:t xml:space="preserve"> methanolic solution of DPPH. The control sample contained 1 mL methanol without extract plus methanolic solution of DPPH (5 mL). The absorbance of mixtures was detected at 517nm. The values of DPPH radical scavenging of the samples were calculated according to the following equation: DPPH radical scavenging capacity =   ([A </w:t>
      </w:r>
      <w:r w:rsidDel="00000000" w:rsidR="00000000" w:rsidRPr="00000000">
        <w:rPr>
          <w:rFonts w:ascii="Times New Roman" w:cs="Times New Roman" w:eastAsia="Times New Roman" w:hAnsi="Times New Roman"/>
          <w:i w:val="1"/>
          <w:sz w:val="24"/>
          <w:szCs w:val="24"/>
          <w:vertAlign w:val="subscript"/>
          <w:rtl w:val="0"/>
        </w:rPr>
        <w:t xml:space="preserve">control</w:t>
      </w:r>
      <w:r w:rsidDel="00000000" w:rsidR="00000000" w:rsidRPr="00000000">
        <w:rPr>
          <w:rFonts w:ascii="Times New Roman" w:cs="Times New Roman" w:eastAsia="Times New Roman" w:hAnsi="Times New Roman"/>
          <w:sz w:val="24"/>
          <w:szCs w:val="24"/>
          <w:rtl w:val="0"/>
        </w:rPr>
        <w:t xml:space="preserve"> – A </w:t>
      </w:r>
      <w:r w:rsidDel="00000000" w:rsidR="00000000" w:rsidRPr="00000000">
        <w:rPr>
          <w:rFonts w:ascii="Times New Roman" w:cs="Times New Roman" w:eastAsia="Times New Roman" w:hAnsi="Times New Roman"/>
          <w:i w:val="1"/>
          <w:sz w:val="24"/>
          <w:szCs w:val="24"/>
          <w:vertAlign w:val="subscript"/>
          <w:rtl w:val="0"/>
        </w:rPr>
        <w:t xml:space="preserve">Sample</w:t>
      </w:r>
      <w:r w:rsidDel="00000000" w:rsidR="00000000" w:rsidRPr="00000000">
        <w:rPr>
          <w:rFonts w:ascii="Times New Roman" w:cs="Times New Roman" w:eastAsia="Times New Roman" w:hAnsi="Times New Roman"/>
          <w:sz w:val="24"/>
          <w:szCs w:val="24"/>
          <w:rtl w:val="0"/>
        </w:rPr>
        <w:t xml:space="preserve">] / A </w:t>
      </w:r>
      <w:r w:rsidDel="00000000" w:rsidR="00000000" w:rsidRPr="00000000">
        <w:rPr>
          <w:rFonts w:ascii="Times New Roman" w:cs="Times New Roman" w:eastAsia="Times New Roman" w:hAnsi="Times New Roman"/>
          <w:i w:val="1"/>
          <w:sz w:val="24"/>
          <w:szCs w:val="24"/>
          <w:vertAlign w:val="subscript"/>
          <w:rtl w:val="0"/>
        </w:rPr>
        <w:t xml:space="preserve">control</w:t>
      </w:r>
      <w:r w:rsidDel="00000000" w:rsidR="00000000" w:rsidRPr="00000000">
        <w:rPr>
          <w:rFonts w:ascii="Times New Roman" w:cs="Times New Roman" w:eastAsia="Times New Roman" w:hAnsi="Times New Roman"/>
          <w:sz w:val="24"/>
          <w:szCs w:val="24"/>
          <w:rtl w:val="0"/>
        </w:rPr>
        <w:t xml:space="preserve">) × 100 and expressed in percentage (%) Where A</w:t>
      </w:r>
      <w:r w:rsidDel="00000000" w:rsidR="00000000" w:rsidRPr="00000000">
        <w:rPr>
          <w:rFonts w:ascii="Times New Roman" w:cs="Times New Roman" w:eastAsia="Times New Roman" w:hAnsi="Times New Roman"/>
          <w:i w:val="1"/>
          <w:sz w:val="24"/>
          <w:szCs w:val="24"/>
          <w:vertAlign w:val="subscript"/>
          <w:rtl w:val="0"/>
        </w:rPr>
        <w:t xml:space="preserve">sample</w:t>
      </w:r>
      <w:r w:rsidDel="00000000" w:rsidR="00000000" w:rsidRPr="00000000">
        <w:rPr>
          <w:rFonts w:ascii="Times New Roman" w:cs="Times New Roman" w:eastAsia="Times New Roman" w:hAnsi="Times New Roman"/>
          <w:sz w:val="24"/>
          <w:szCs w:val="24"/>
          <w:rtl w:val="0"/>
        </w:rPr>
        <w:t xml:space="preserve"> is the absorbance of DPPH mixed with sampls and A</w:t>
      </w:r>
      <w:r w:rsidDel="00000000" w:rsidR="00000000" w:rsidRPr="00000000">
        <w:rPr>
          <w:rFonts w:ascii="Times New Roman" w:cs="Times New Roman" w:eastAsia="Times New Roman" w:hAnsi="Times New Roman"/>
          <w:i w:val="1"/>
          <w:sz w:val="24"/>
          <w:szCs w:val="24"/>
          <w:vertAlign w:val="subscript"/>
          <w:rtl w:val="0"/>
        </w:rPr>
        <w:t xml:space="preserve">control</w:t>
      </w:r>
      <w:r w:rsidDel="00000000" w:rsidR="00000000" w:rsidRPr="00000000">
        <w:rPr>
          <w:rFonts w:ascii="Times New Roman" w:cs="Times New Roman" w:eastAsia="Times New Roman" w:hAnsi="Times New Roman"/>
          <w:sz w:val="24"/>
          <w:szCs w:val="24"/>
          <w:rtl w:val="0"/>
        </w:rPr>
        <w:t xml:space="preserve"> is the absorbance of DPPH in which sample has been replaced with methanol.</w:t>
      </w:r>
      <w:r w:rsidDel="00000000" w:rsidR="00000000" w:rsidRPr="00000000">
        <w:rPr>
          <w:rtl w:val="0"/>
        </w:rPr>
      </w:r>
    </w:p>
    <w:p w:rsidR="00000000" w:rsidDel="00000000" w:rsidP="00000000" w:rsidRDefault="00000000" w:rsidRPr="00000000" w14:paraId="00000021">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Catalase (CAT) activity</w:t>
      </w:r>
    </w:p>
    <w:p w:rsidR="00000000" w:rsidDel="00000000" w:rsidP="00000000" w:rsidRDefault="00000000" w:rsidRPr="00000000" w14:paraId="0000002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Catalase (CAT) activity was measured spectrophotometrically (Shimadzu UV-160) by monitoring the decrease in absorbance at 240 nm resulting in the decomposition of H</w:t>
      </w:r>
      <w:r w:rsidDel="00000000" w:rsidR="00000000" w:rsidRPr="00000000">
        <w:rPr>
          <w:rFonts w:ascii="Times New Roman" w:cs="Times New Roman" w:eastAsia="Times New Roman" w:hAnsi="Times New Roman"/>
          <w:color w:val="000000"/>
          <w:sz w:val="24"/>
          <w:szCs w:val="24"/>
          <w:vertAlign w:val="subscript"/>
          <w:rtl w:val="0"/>
        </w:rPr>
        <w:t xml:space="preserve">2</w:t>
      </w:r>
      <w:r w:rsidDel="00000000" w:rsidR="00000000" w:rsidRPr="00000000">
        <w:rPr>
          <w:rFonts w:ascii="Times New Roman" w:cs="Times New Roman" w:eastAsia="Times New Roman" w:hAnsi="Times New Roman"/>
          <w:color w:val="000000"/>
          <w:sz w:val="24"/>
          <w:szCs w:val="24"/>
          <w:rtl w:val="0"/>
        </w:rPr>
        <w:t xml:space="preserve">O</w:t>
      </w:r>
      <w:r w:rsidDel="00000000" w:rsidR="00000000" w:rsidRPr="00000000">
        <w:rPr>
          <w:rFonts w:ascii="Times New Roman" w:cs="Times New Roman" w:eastAsia="Times New Roman" w:hAnsi="Times New Roman"/>
          <w:color w:val="000000"/>
          <w:sz w:val="24"/>
          <w:szCs w:val="24"/>
          <w:vertAlign w:val="subscript"/>
          <w:rtl w:val="0"/>
        </w:rPr>
        <w:t xml:space="preserve">2 </w:t>
      </w: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One unit (U) of catalase activity was expressed as the amount of enzyme that caused an absorbance change of 0.001 per min under assay conditions. The reaction mixture contained 100 mM sodium phosphate buffer (pH 7.0), 30 mM H</w:t>
      </w:r>
      <w:r w:rsidDel="00000000" w:rsidR="00000000" w:rsidRPr="00000000">
        <w:rPr>
          <w:rFonts w:ascii="Times New Roman" w:cs="Times New Roman" w:eastAsia="Times New Roman" w:hAnsi="Times New Roman"/>
          <w:color w:val="000000"/>
          <w:sz w:val="24"/>
          <w:szCs w:val="24"/>
          <w:vertAlign w:val="subscript"/>
          <w:rtl w:val="0"/>
        </w:rPr>
        <w:t xml:space="preserve">2</w:t>
      </w:r>
      <w:r w:rsidDel="00000000" w:rsidR="00000000" w:rsidRPr="00000000">
        <w:rPr>
          <w:rFonts w:ascii="Times New Roman" w:cs="Times New Roman" w:eastAsia="Times New Roman" w:hAnsi="Times New Roman"/>
          <w:color w:val="000000"/>
          <w:sz w:val="24"/>
          <w:szCs w:val="24"/>
          <w:rtl w:val="0"/>
        </w:rPr>
        <w:t xml:space="preserve">O</w:t>
      </w:r>
      <w:r w:rsidDel="00000000" w:rsidR="00000000" w:rsidRPr="00000000">
        <w:rPr>
          <w:rFonts w:ascii="Times New Roman" w:cs="Times New Roman" w:eastAsia="Times New Roman" w:hAnsi="Times New Roman"/>
          <w:color w:val="000000"/>
          <w:sz w:val="24"/>
          <w:szCs w:val="24"/>
          <w:vertAlign w:val="subscript"/>
          <w:rtl w:val="0"/>
        </w:rPr>
        <w:t xml:space="preserve">2 </w:t>
      </w:r>
      <w:r w:rsidDel="00000000" w:rsidR="00000000" w:rsidRPr="00000000">
        <w:rPr>
          <w:rFonts w:ascii="Times New Roman" w:cs="Times New Roman" w:eastAsia="Times New Roman" w:hAnsi="Times New Roman"/>
          <w:color w:val="000000"/>
          <w:sz w:val="24"/>
          <w:szCs w:val="24"/>
          <w:rtl w:val="0"/>
        </w:rPr>
        <w:t xml:space="preserve">and 100 µl of sample extract in a total volume of 3.0 ml. The reaction mixture without the sample extract served as a control and the buffer was used as blank.</w:t>
      </w:r>
    </w:p>
    <w:p w:rsidR="00000000" w:rsidDel="00000000" w:rsidP="00000000" w:rsidRDefault="00000000" w:rsidRPr="00000000" w14:paraId="00000023">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Peroxidase activity (POD)</w:t>
      </w:r>
    </w:p>
    <w:p w:rsidR="00000000" w:rsidDel="00000000" w:rsidP="00000000" w:rsidRDefault="00000000" w:rsidRPr="00000000" w14:paraId="0000002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peroxidase activity was determined using 4-methylcatechol as substrate. The increase in the absorption caused by oxidation of 4-methylcatechol by H</w:t>
      </w:r>
      <w:r w:rsidDel="00000000" w:rsidR="00000000" w:rsidRPr="00000000">
        <w:rPr>
          <w:rFonts w:ascii="Times New Roman" w:cs="Times New Roman" w:eastAsia="Times New Roman" w:hAnsi="Times New Roman"/>
          <w:color w:val="000000"/>
          <w:sz w:val="24"/>
          <w:szCs w:val="24"/>
          <w:vertAlign w:val="subscript"/>
          <w:rtl w:val="0"/>
        </w:rPr>
        <w:t xml:space="preserve">2</w:t>
      </w:r>
      <w:r w:rsidDel="00000000" w:rsidR="00000000" w:rsidRPr="00000000">
        <w:rPr>
          <w:rFonts w:ascii="Times New Roman" w:cs="Times New Roman" w:eastAsia="Times New Roman" w:hAnsi="Times New Roman"/>
          <w:color w:val="000000"/>
          <w:sz w:val="24"/>
          <w:szCs w:val="24"/>
          <w:rtl w:val="0"/>
        </w:rPr>
        <w:t xml:space="preserve">O</w:t>
      </w:r>
      <w:r w:rsidDel="00000000" w:rsidR="00000000" w:rsidRPr="00000000">
        <w:rPr>
          <w:rFonts w:ascii="Times New Roman" w:cs="Times New Roman" w:eastAsia="Times New Roman" w:hAnsi="Times New Roman"/>
          <w:color w:val="000000"/>
          <w:sz w:val="24"/>
          <w:szCs w:val="24"/>
          <w:vertAlign w:val="subscript"/>
          <w:rtl w:val="0"/>
        </w:rPr>
        <w:t xml:space="preserve">2 </w:t>
      </w:r>
      <w:r w:rsidDel="00000000" w:rsidR="00000000" w:rsidRPr="00000000">
        <w:rPr>
          <w:rFonts w:ascii="Times New Roman" w:cs="Times New Roman" w:eastAsia="Times New Roman" w:hAnsi="Times New Roman"/>
          <w:color w:val="000000"/>
          <w:sz w:val="24"/>
          <w:szCs w:val="24"/>
          <w:rtl w:val="0"/>
        </w:rPr>
        <w:t xml:space="preserve">was measured at 420 nm spectrophotometrically Shimadzu UV-160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4"/>
          <w:szCs w:val="24"/>
          <w:rtl w:val="0"/>
        </w:rPr>
        <w:t xml:space="preserve">. The reaction mixture contained 100 mM sodium phosphate buffer (pH 7.0), 5 mM 4methylcatechol, 5 mM H</w:t>
      </w:r>
      <w:r w:rsidDel="00000000" w:rsidR="00000000" w:rsidRPr="00000000">
        <w:rPr>
          <w:rFonts w:ascii="Times New Roman" w:cs="Times New Roman" w:eastAsia="Times New Roman" w:hAnsi="Times New Roman"/>
          <w:color w:val="000000"/>
          <w:sz w:val="24"/>
          <w:szCs w:val="24"/>
          <w:vertAlign w:val="subscript"/>
          <w:rtl w:val="0"/>
        </w:rPr>
        <w:t xml:space="preserve">2</w:t>
      </w:r>
      <w:r w:rsidDel="00000000" w:rsidR="00000000" w:rsidRPr="00000000">
        <w:rPr>
          <w:rFonts w:ascii="Times New Roman" w:cs="Times New Roman" w:eastAsia="Times New Roman" w:hAnsi="Times New Roman"/>
          <w:color w:val="000000"/>
          <w:sz w:val="24"/>
          <w:szCs w:val="24"/>
          <w:rtl w:val="0"/>
        </w:rPr>
        <w:t xml:space="preserve">O</w:t>
      </w:r>
      <w:r w:rsidDel="00000000" w:rsidR="00000000" w:rsidRPr="00000000">
        <w:rPr>
          <w:rFonts w:ascii="Times New Roman" w:cs="Times New Roman" w:eastAsia="Times New Roman" w:hAnsi="Times New Roman"/>
          <w:color w:val="000000"/>
          <w:sz w:val="24"/>
          <w:szCs w:val="24"/>
          <w:vertAlign w:val="subscript"/>
          <w:rtl w:val="0"/>
        </w:rPr>
        <w:t xml:space="preserve">2 </w:t>
      </w:r>
      <w:r w:rsidDel="00000000" w:rsidR="00000000" w:rsidRPr="00000000">
        <w:rPr>
          <w:rFonts w:ascii="Times New Roman" w:cs="Times New Roman" w:eastAsia="Times New Roman" w:hAnsi="Times New Roman"/>
          <w:color w:val="000000"/>
          <w:sz w:val="24"/>
          <w:szCs w:val="24"/>
          <w:rtl w:val="0"/>
        </w:rPr>
        <w:t xml:space="preserve">and 500 µl of sample extract in a total volume of 3.0 ml at room temperature. The reaction mixture without the sample extract served as a control and the buffer was used as blank.</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4"/>
          <w:szCs w:val="24"/>
          <w:rtl w:val="0"/>
        </w:rPr>
        <w:t xml:space="preserve">The incubation time was 5 minutes at room temperature. One unit of enzyme activity was defined as 0.001 change in absorbance per min, under assay conditions.</w:t>
      </w:r>
    </w:p>
    <w:p w:rsidR="00000000" w:rsidDel="00000000" w:rsidP="00000000" w:rsidRDefault="00000000" w:rsidRPr="00000000" w14:paraId="00000025">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Superoxide Dismutase (SOD) avtivity</w:t>
      </w:r>
    </w:p>
    <w:p w:rsidR="00000000" w:rsidDel="00000000" w:rsidP="00000000" w:rsidRDefault="00000000" w:rsidRPr="00000000" w14:paraId="0000002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SOD activity was determined by measuring the inhibition in photoreduction of nitro blue tetrazolium (NBT) by sample extract (14</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 reaction mixture contained 50 mM sodium phosphate buffer (pH 7.6), 0.1 mM EDTA, 50 mM sodium carbonate, 12 mM L-methionine, 50 µM NBT, 10 µM riboflavin and 100 µl of sample extract in a final volume of 3.0 ml. A control reaction was performed without sample extract and the buffer was used as blank. The SOD reaction was carried out by exposing the reaction mixture to white light for 15 min at room temperature. After 15 min incubation, absorbance was recorded at 560 nm using a spectrophotometer. One unit (U) of SOD activity was defined as the amount of enzyme causing 50% inhibition of photochemical reduction of NBT.</w:t>
      </w:r>
    </w:p>
    <w:p w:rsidR="00000000" w:rsidDel="00000000" w:rsidP="00000000" w:rsidRDefault="00000000" w:rsidRPr="00000000" w14:paraId="00000027">
      <w:pPr>
        <w:ind w:right="-188"/>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i w:val="1"/>
          <w:sz w:val="25"/>
          <w:szCs w:val="25"/>
          <w:rtl w:val="0"/>
        </w:rPr>
        <w:t xml:space="preserve">In vitro</w:t>
      </w:r>
      <w:r w:rsidDel="00000000" w:rsidR="00000000" w:rsidRPr="00000000">
        <w:rPr>
          <w:rFonts w:ascii="Times New Roman" w:cs="Times New Roman" w:eastAsia="Times New Roman" w:hAnsi="Times New Roman"/>
          <w:b w:val="1"/>
          <w:sz w:val="25"/>
          <w:szCs w:val="25"/>
          <w:rtl w:val="0"/>
        </w:rPr>
        <w:t xml:space="preserve"> anti-inflammatory activity</w:t>
      </w:r>
      <w:r w:rsidDel="00000000" w:rsidR="00000000" w:rsidRPr="00000000">
        <w:rPr>
          <w:rFonts w:ascii="Times New Roman" w:cs="Times New Roman" w:eastAsia="Times New Roman" w:hAnsi="Times New Roman"/>
          <w:sz w:val="25"/>
          <w:szCs w:val="25"/>
          <w:rtl w:val="0"/>
        </w:rPr>
        <w:t xml:space="preserve">.</w:t>
      </w:r>
    </w:p>
    <w:p w:rsidR="00000000" w:rsidDel="00000000" w:rsidP="00000000" w:rsidRDefault="00000000" w:rsidRPr="00000000" w14:paraId="00000028">
      <w:pPr>
        <w:spacing w:after="0" w:line="480" w:lineRule="auto"/>
        <w:ind w:right="-187" w:firstLine="432"/>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The </w:t>
      </w:r>
      <w:r w:rsidDel="00000000" w:rsidR="00000000" w:rsidRPr="00000000">
        <w:rPr>
          <w:rFonts w:ascii="Times New Roman" w:cs="Times New Roman" w:eastAsia="Times New Roman" w:hAnsi="Times New Roman"/>
          <w:i w:val="1"/>
          <w:sz w:val="25"/>
          <w:szCs w:val="25"/>
          <w:rtl w:val="0"/>
        </w:rPr>
        <w:t xml:space="preserve">in vitro</w:t>
      </w:r>
      <w:r w:rsidDel="00000000" w:rsidR="00000000" w:rsidRPr="00000000">
        <w:rPr>
          <w:rFonts w:ascii="Times New Roman" w:cs="Times New Roman" w:eastAsia="Times New Roman" w:hAnsi="Times New Roman"/>
          <w:sz w:val="25"/>
          <w:szCs w:val="25"/>
          <w:rtl w:val="0"/>
        </w:rPr>
        <w:t xml:space="preserve"> anti-inflammatory activity of the extract was investigated using the method described by (15) with modifications. The egg albumin was extracted from freshly laid hen eggs. Different concentrations of the extract and standard (diclofenac) at concentrations (100,200,300, 400,500,600 μg/ml) was) were prepared. The test tubes were filled with 5 mL of the reagent mixture which contained 0.2 mL of egg albumin, 2.8 mL of phosphate buffered saline (PBS, pH 6.4) and 2 mL of extract/standard drug. Double-distilled water was used as the control (blank). The mixtures were mixed slowly by shaking the test tubes and incubated at 37°C for 15 min and then kept in water bath at 70°C for 5 min. The mixture was cooled and 200 µL pipetted into wells of 96-well plate and the absorbance was measured at 660 nm. The % inhibition of was estimated by considering denaturation in control as 100% and calculated by using the formula: % inhibition = (C-S/S)100.</w:t>
      </w:r>
    </w:p>
    <w:p w:rsidR="00000000" w:rsidDel="00000000" w:rsidP="00000000" w:rsidRDefault="00000000" w:rsidRPr="00000000" w14:paraId="00000029">
      <w:pPr>
        <w:spacing w:after="0" w:line="480" w:lineRule="auto"/>
        <w:ind w:right="-187"/>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Hemagglutination: </w:t>
      </w:r>
      <w:r w:rsidDel="00000000" w:rsidR="00000000" w:rsidRPr="00000000">
        <w:rPr>
          <w:rtl w:val="0"/>
        </w:rPr>
      </w:r>
    </w:p>
    <w:p w:rsidR="00000000" w:rsidDel="00000000" w:rsidP="00000000" w:rsidRDefault="00000000" w:rsidRPr="00000000" w14:paraId="0000002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5"/>
          <w:szCs w:val="25"/>
          <w:rtl w:val="0"/>
        </w:rPr>
        <w:t xml:space="preserve">The Hemagglutination test is used to detect the presence of lectins in plant extracts, which can bind to erythrocytes (red blood cells) and cause agglutination. To perform the test, a plant extract is prepared by homogenizing the sample in phosphate-buffered saline (PBS) and centrifuging it to collect the supernatant. A 2% suspension of washed animal erythrocytes is mixed with equal volumes of the plant extract in a microtiter plate. The plate is incubated at room temperature for about 30–60 minutes.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5"/>
          <w:szCs w:val="25"/>
          <w:rtl w:val="0"/>
        </w:rPr>
        <w:t xml:space="preserve">The hemagglutination activity of </w:t>
      </w:r>
      <w:r w:rsidDel="00000000" w:rsidR="00000000" w:rsidRPr="00000000">
        <w:rPr>
          <w:rFonts w:ascii="Times New Roman" w:cs="Times New Roman" w:eastAsia="Times New Roman" w:hAnsi="Times New Roman"/>
          <w:i w:val="1"/>
          <w:sz w:val="25"/>
          <w:szCs w:val="25"/>
          <w:rtl w:val="0"/>
        </w:rPr>
        <w:t xml:space="preserve">Hemidesmus indicus</w:t>
      </w:r>
      <w:r w:rsidDel="00000000" w:rsidR="00000000" w:rsidRPr="00000000">
        <w:rPr>
          <w:rFonts w:ascii="Times New Roman" w:cs="Times New Roman" w:eastAsia="Times New Roman" w:hAnsi="Times New Roman"/>
          <w:sz w:val="25"/>
          <w:szCs w:val="25"/>
          <w:rtl w:val="0"/>
        </w:rPr>
        <w:t xml:space="preserve"> extracts (Juice, Aqueous, and Chloroform) was determined using a microtiter plate-based hemagglutination assay, which detects the presence of lectin-like proteins capable of agglutinating erythrocytes. The assay was performed using chicken red blood cells (RBCs) as the indicator system (16). </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and Discussion:</w:t>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Nutrient analysis </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proximate analysis of the powdered sample of </w:t>
      </w:r>
      <w:r w:rsidDel="00000000" w:rsidR="00000000" w:rsidRPr="00000000">
        <w:rPr>
          <w:rFonts w:ascii="Times New Roman" w:cs="Times New Roman" w:eastAsia="Times New Roman" w:hAnsi="Times New Roman"/>
          <w:i w:val="1"/>
          <w:color w:val="000000"/>
          <w:sz w:val="24"/>
          <w:szCs w:val="24"/>
          <w:rtl w:val="0"/>
        </w:rPr>
        <w:t xml:space="preserve">Hemidesmus indicus </w:t>
      </w:r>
      <w:r w:rsidDel="00000000" w:rsidR="00000000" w:rsidRPr="00000000">
        <w:rPr>
          <w:rFonts w:ascii="Times New Roman" w:cs="Times New Roman" w:eastAsia="Times New Roman" w:hAnsi="Times New Roman"/>
          <w:color w:val="000000"/>
          <w:sz w:val="24"/>
          <w:szCs w:val="24"/>
          <w:rtl w:val="0"/>
        </w:rPr>
        <w:t xml:space="preserve">root</w:t>
      </w:r>
      <w:r w:rsidDel="00000000" w:rsidR="00000000" w:rsidRPr="00000000">
        <w:rPr>
          <w:rFonts w:ascii="Times New Roman" w:cs="Times New Roman" w:eastAsia="Times New Roman" w:hAnsi="Times New Roman"/>
          <w:sz w:val="24"/>
          <w:szCs w:val="24"/>
          <w:rtl w:val="0"/>
        </w:rPr>
        <w:t xml:space="preserve"> is shown in (Table 1). The values for moisture content showed 9.5 %. The moisture content plays a significant role in determining the shelf life and taste characteristics (17,14). The ash content was 4.21 %. </w:t>
      </w:r>
      <w:r w:rsidDel="00000000" w:rsidR="00000000" w:rsidRPr="00000000">
        <w:rPr>
          <w:rFonts w:ascii="Times New Roman" w:cs="Times New Roman" w:eastAsia="Times New Roman" w:hAnsi="Times New Roman"/>
          <w:color w:val="000000"/>
          <w:sz w:val="24"/>
          <w:szCs w:val="24"/>
          <w:rtl w:val="0"/>
        </w:rPr>
        <w:t xml:space="preserve">The high ash content is a reflection of the mineral </w:t>
      </w:r>
      <w:r w:rsidDel="00000000" w:rsidR="00000000" w:rsidRPr="00000000">
        <w:rPr>
          <w:rFonts w:ascii="Times New Roman" w:cs="Times New Roman" w:eastAsia="Times New Roman" w:hAnsi="Times New Roman"/>
          <w:sz w:val="24"/>
          <w:szCs w:val="24"/>
          <w:rtl w:val="0"/>
        </w:rPr>
        <w:t xml:space="preserve">(18) and </w:t>
      </w:r>
      <w:r w:rsidDel="00000000" w:rsidR="00000000" w:rsidRPr="00000000">
        <w:rPr>
          <w:rFonts w:ascii="Times New Roman" w:cs="Times New Roman" w:eastAsia="Times New Roman" w:hAnsi="Times New Roman"/>
          <w:color w:val="000000"/>
          <w:sz w:val="24"/>
          <w:szCs w:val="24"/>
          <w:rtl w:val="0"/>
        </w:rPr>
        <w:t xml:space="preserve">the results suggest a good deposit of mineral elements.</w:t>
      </w:r>
      <w:r w:rsidDel="00000000" w:rsidR="00000000" w:rsidRPr="00000000">
        <w:rPr>
          <w:rFonts w:ascii="Times New Roman" w:cs="Times New Roman" w:eastAsia="Times New Roman" w:hAnsi="Times New Roman"/>
          <w:sz w:val="24"/>
          <w:szCs w:val="24"/>
          <w:rtl w:val="0"/>
        </w:rPr>
        <w:t xml:space="preserve"> The concentration of fiber with 1.11 % makes it a more encouraging</w:t>
      </w:r>
      <w:r w:rsidDel="00000000" w:rsidR="00000000" w:rsidRPr="00000000">
        <w:rPr>
          <w:rFonts w:ascii="Times New Roman" w:cs="Times New Roman" w:eastAsia="Times New Roman" w:hAnsi="Times New Roman"/>
          <w:color w:val="000000"/>
          <w:sz w:val="24"/>
          <w:szCs w:val="24"/>
          <w:rtl w:val="0"/>
        </w:rPr>
        <w:t xml:space="preserve"> as the presence of fiber in the diet </w:t>
      </w:r>
      <w:r w:rsidDel="00000000" w:rsidR="00000000" w:rsidRPr="00000000">
        <w:rPr>
          <w:rFonts w:ascii="Times New Roman" w:cs="Times New Roman" w:eastAsia="Times New Roman" w:hAnsi="Times New Roman"/>
          <w:sz w:val="24"/>
          <w:szCs w:val="24"/>
          <w:rtl w:val="0"/>
        </w:rPr>
        <w:t xml:space="preserve">help in digestion and constipation</w:t>
      </w:r>
      <w:r w:rsidDel="00000000" w:rsidR="00000000" w:rsidRPr="00000000">
        <w:rPr>
          <w:rFonts w:ascii="Times New Roman" w:cs="Times New Roman" w:eastAsia="Times New Roman" w:hAnsi="Times New Roman"/>
          <w:color w:val="000000"/>
          <w:sz w:val="24"/>
          <w:szCs w:val="24"/>
          <w:rtl w:val="0"/>
        </w:rPr>
        <w:t xml:space="preserve">, which has a laxative effect in the gut </w:t>
      </w:r>
      <w:r w:rsidDel="00000000" w:rsidR="00000000" w:rsidRPr="00000000">
        <w:rPr>
          <w:rFonts w:ascii="Times New Roman" w:cs="Times New Roman" w:eastAsia="Times New Roman" w:hAnsi="Times New Roman"/>
          <w:sz w:val="24"/>
          <w:szCs w:val="24"/>
          <w:rtl w:val="0"/>
        </w:rPr>
        <w:t xml:space="preserve">(19). In the present study the estimated reducing sugar content was found to be </w:t>
      </w:r>
      <w:r w:rsidDel="00000000" w:rsidR="00000000" w:rsidRPr="00000000">
        <w:rPr>
          <w:rFonts w:ascii="Times New Roman" w:cs="Times New Roman" w:eastAsia="Times New Roman" w:hAnsi="Times New Roman"/>
          <w:sz w:val="25"/>
          <w:szCs w:val="25"/>
          <w:rtl w:val="0"/>
        </w:rPr>
        <w:t xml:space="preserve">35.2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and Total sugar content was </w:t>
      </w:r>
      <w:r w:rsidDel="00000000" w:rsidR="00000000" w:rsidRPr="00000000">
        <w:rPr>
          <w:rFonts w:ascii="Times New Roman" w:cs="Times New Roman" w:eastAsia="Times New Roman" w:hAnsi="Times New Roman"/>
          <w:sz w:val="25"/>
          <w:szCs w:val="25"/>
          <w:rtl w:val="0"/>
        </w:rPr>
        <w:t xml:space="preserve">60.4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fat present is a good source of essential fatty acids and does not contain cholesterol </w:t>
      </w: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Fonts w:ascii="Times New Roman" w:cs="Times New Roman" w:eastAsia="Times New Roman" w:hAnsi="Times New Roman"/>
          <w:sz w:val="24"/>
          <w:szCs w:val="24"/>
          <w:rtl w:val="0"/>
        </w:rPr>
        <w:t xml:space="preserve">. Crude fat content were 0.73 %.  The total protein was found to be </w:t>
      </w:r>
      <w:r w:rsidDel="00000000" w:rsidR="00000000" w:rsidRPr="00000000">
        <w:rPr>
          <w:rFonts w:ascii="Times New Roman" w:cs="Times New Roman" w:eastAsia="Times New Roman" w:hAnsi="Times New Roman"/>
          <w:sz w:val="25"/>
          <w:szCs w:val="25"/>
          <w:rtl w:val="0"/>
        </w:rPr>
        <w:t xml:space="preserve">0.10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Fonts w:ascii="Times New Roman" w:cs="Times New Roman" w:eastAsia="Times New Roman" w:hAnsi="Times New Roman"/>
          <w:sz w:val="24"/>
          <w:szCs w:val="24"/>
          <w:rtl w:val="0"/>
        </w:rPr>
        <w:t xml:space="preserve">. Vitamin C (L-ascorbic acid) is a key antioxidant for both plants and animals </w:t>
      </w:r>
      <w:r w:rsidDel="00000000" w:rsidR="00000000" w:rsidRPr="00000000">
        <w:rPr>
          <w:rFonts w:ascii="Times New Roman" w:cs="Times New Roman" w:eastAsia="Times New Roman" w:hAnsi="Times New Roman"/>
          <w:sz w:val="28"/>
          <w:szCs w:val="28"/>
          <w:rtl w:val="0"/>
        </w:rPr>
        <w:t xml:space="preserve">(21)</w:t>
      </w:r>
      <w:r w:rsidDel="00000000" w:rsidR="00000000" w:rsidRPr="00000000">
        <w:rPr>
          <w:rFonts w:ascii="Times New Roman" w:cs="Times New Roman" w:eastAsia="Times New Roman" w:hAnsi="Times New Roman"/>
          <w:sz w:val="24"/>
          <w:szCs w:val="24"/>
          <w:rtl w:val="0"/>
        </w:rPr>
        <w:t xml:space="preserve"> and its concentration was found to be </w:t>
      </w:r>
      <w:r w:rsidDel="00000000" w:rsidR="00000000" w:rsidRPr="00000000">
        <w:rPr>
          <w:rFonts w:ascii="Times New Roman" w:cs="Times New Roman" w:eastAsia="Times New Roman" w:hAnsi="Times New Roman"/>
          <w:rtl w:val="0"/>
        </w:rPr>
        <w:t xml:space="preserve">0.87 </w:t>
      </w:r>
      <w:r w:rsidDel="00000000" w:rsidR="00000000" w:rsidRPr="00000000">
        <w:rPr>
          <w:rFonts w:ascii="Times New Roman" w:cs="Times New Roman" w:eastAsia="Times New Roman" w:hAnsi="Times New Roman"/>
          <w:sz w:val="25"/>
          <w:szCs w:val="25"/>
          <w:rtl w:val="0"/>
        </w:rPr>
        <w:t xml:space="preserve">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Fonts w:ascii="Times New Roman" w:cs="Times New Roman" w:eastAsia="Times New Roman" w:hAnsi="Times New Roman"/>
          <w:sz w:val="24"/>
          <w:szCs w:val="24"/>
          <w:rtl w:val="0"/>
        </w:rPr>
        <w:t xml:space="preserve">. Minerals are renowned essential nutrients and provide a vital portion in the effective functioning of the body activity (22). The mineral profile estimated in the present study is shown in Table 4. The results unravel that calcium was found to be highest with </w:t>
      </w:r>
      <w:r w:rsidDel="00000000" w:rsidR="00000000" w:rsidRPr="00000000">
        <w:rPr>
          <w:rFonts w:ascii="Times New Roman" w:cs="Times New Roman" w:eastAsia="Times New Roman" w:hAnsi="Times New Roman"/>
          <w:rtl w:val="0"/>
        </w:rPr>
        <w:t xml:space="preserve">46.10 </w:t>
      </w:r>
      <w:r w:rsidDel="00000000" w:rsidR="00000000" w:rsidRPr="00000000">
        <w:rPr>
          <w:rFonts w:ascii="Times New Roman" w:cs="Times New Roman" w:eastAsia="Times New Roman" w:hAnsi="Times New Roman"/>
          <w:sz w:val="25"/>
          <w:szCs w:val="25"/>
          <w:rtl w:val="0"/>
        </w:rPr>
        <w:t xml:space="preserve">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Fonts w:ascii="Times New Roman" w:cs="Times New Roman" w:eastAsia="Times New Roman" w:hAnsi="Times New Roman"/>
          <w:sz w:val="24"/>
          <w:szCs w:val="24"/>
          <w:rtl w:val="0"/>
        </w:rPr>
        <w:t xml:space="preserve"> followed by Zinc with </w:t>
      </w:r>
      <w:r w:rsidDel="00000000" w:rsidR="00000000" w:rsidRPr="00000000">
        <w:rPr>
          <w:rFonts w:ascii="Times New Roman" w:cs="Times New Roman" w:eastAsia="Times New Roman" w:hAnsi="Times New Roman"/>
          <w:rtl w:val="0"/>
        </w:rPr>
        <w:t xml:space="preserve">27.5</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Fonts w:ascii="Times New Roman" w:cs="Times New Roman" w:eastAsia="Times New Roman" w:hAnsi="Times New Roman"/>
          <w:sz w:val="24"/>
          <w:szCs w:val="24"/>
          <w:rtl w:val="0"/>
        </w:rPr>
        <w:t xml:space="preserve"> and Sodium with </w:t>
      </w:r>
      <w:r w:rsidDel="00000000" w:rsidR="00000000" w:rsidRPr="00000000">
        <w:rPr>
          <w:rFonts w:ascii="Times New Roman" w:cs="Times New Roman" w:eastAsia="Times New Roman" w:hAnsi="Times New Roman"/>
          <w:rtl w:val="0"/>
        </w:rPr>
        <w:t xml:space="preserve">13.12</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Fonts w:ascii="Times New Roman" w:cs="Times New Roman" w:eastAsia="Times New Roman" w:hAnsi="Times New Roman"/>
          <w:sz w:val="25"/>
          <w:szCs w:val="25"/>
          <w:rtl w:val="0"/>
        </w:rPr>
        <w:t xml:space="preserve">.</w:t>
      </w:r>
      <w:r w:rsidDel="00000000" w:rsidR="00000000" w:rsidRPr="00000000">
        <w:rPr>
          <w:rFonts w:ascii="Times New Roman" w:cs="Times New Roman" w:eastAsia="Times New Roman" w:hAnsi="Times New Roman"/>
          <w:sz w:val="24"/>
          <w:szCs w:val="24"/>
          <w:rtl w:val="0"/>
        </w:rPr>
        <w:t xml:space="preserve"> Iron, manganese and Copper were found in the concentration of </w:t>
      </w:r>
      <w:r w:rsidDel="00000000" w:rsidR="00000000" w:rsidRPr="00000000">
        <w:rPr>
          <w:rFonts w:ascii="Times New Roman" w:cs="Times New Roman" w:eastAsia="Times New Roman" w:hAnsi="Times New Roman"/>
          <w:rtl w:val="0"/>
        </w:rPr>
        <w:t xml:space="preserve">0.18</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rtl w:val="0"/>
        </w:rPr>
        <w:t xml:space="preserve">4.16 mg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Fonts w:ascii="Times New Roman" w:cs="Times New Roman" w:eastAsia="Times New Roman" w:hAnsi="Times New Roman"/>
          <w:sz w:val="25"/>
          <w:szCs w:val="25"/>
          <w:rtl w:val="0"/>
        </w:rPr>
        <w:t xml:space="preserve"> and </w:t>
      </w:r>
      <w:r w:rsidDel="00000000" w:rsidR="00000000" w:rsidRPr="00000000">
        <w:rPr>
          <w:rFonts w:ascii="Times New Roman" w:cs="Times New Roman" w:eastAsia="Times New Roman" w:hAnsi="Times New Roman"/>
          <w:rtl w:val="0"/>
        </w:rPr>
        <w:t xml:space="preserve">8.20</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Fonts w:ascii="Times New Roman" w:cs="Times New Roman" w:eastAsia="Times New Roman" w:hAnsi="Times New Roman"/>
          <w:sz w:val="25"/>
          <w:szCs w:val="25"/>
          <w:rtl w:val="0"/>
        </w:rPr>
        <w:t xml:space="preserve"> respectively.</w:t>
      </w:r>
      <w:r w:rsidDel="00000000" w:rsidR="00000000" w:rsidRPr="00000000">
        <w:rPr>
          <w:rtl w:val="0"/>
        </w:rPr>
      </w:r>
    </w:p>
    <w:p w:rsidR="00000000" w:rsidDel="00000000" w:rsidP="00000000" w:rsidRDefault="00000000" w:rsidRPr="00000000" w14:paraId="0000002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Quantitive phytochemical analysis</w:t>
      </w:r>
      <w:r w:rsidDel="00000000" w:rsidR="00000000" w:rsidRPr="00000000">
        <w:rPr>
          <w:rtl w:val="0"/>
        </w:rPr>
      </w:r>
    </w:p>
    <w:p w:rsidR="00000000" w:rsidDel="00000000" w:rsidP="00000000" w:rsidRDefault="00000000" w:rsidRPr="00000000" w14:paraId="0000002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Plants are the source of various kinds of chemical constituents includes phenol,</w:t>
      </w:r>
      <w:r w:rsidDel="00000000" w:rsidR="00000000" w:rsidRPr="00000000">
        <w:rPr>
          <w:rFonts w:ascii="Times New Roman" w:cs="Times New Roman" w:eastAsia="Times New Roman" w:hAnsi="Times New Roman"/>
          <w:sz w:val="24"/>
          <w:szCs w:val="24"/>
          <w:rtl w:val="0"/>
        </w:rPr>
        <w:t xml:space="preserve"> alkaloids,</w:t>
      </w:r>
      <w:r w:rsidDel="00000000" w:rsidR="00000000" w:rsidRPr="00000000">
        <w:rPr>
          <w:rFonts w:ascii="Times New Roman" w:cs="Times New Roman" w:eastAsia="Times New Roman" w:hAnsi="Times New Roman"/>
          <w:color w:val="000000"/>
          <w:sz w:val="24"/>
          <w:szCs w:val="24"/>
          <w:rtl w:val="0"/>
        </w:rPr>
        <w:t xml:space="preserve"> </w:t>
      </w:r>
      <w:hyperlink r:id="rId7">
        <w:r w:rsidDel="00000000" w:rsidR="00000000" w:rsidRPr="00000000">
          <w:rPr>
            <w:rFonts w:ascii="Times New Roman" w:cs="Times New Roman" w:eastAsia="Times New Roman" w:hAnsi="Times New Roman"/>
            <w:color w:val="000000"/>
            <w:sz w:val="24"/>
            <w:szCs w:val="24"/>
            <w:u w:val="none"/>
            <w:rtl w:val="0"/>
          </w:rPr>
          <w:t xml:space="preserve">terpenoids</w:t>
        </w:r>
      </w:hyperlink>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000000"/>
            <w:sz w:val="24"/>
            <w:szCs w:val="24"/>
            <w:u w:val="none"/>
            <w:rtl w:val="0"/>
          </w:rPr>
          <w:t xml:space="preserve">flavonoids</w:t>
        </w:r>
      </w:hyperlink>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000000"/>
            <w:sz w:val="24"/>
            <w:szCs w:val="24"/>
            <w:u w:val="none"/>
            <w:rtl w:val="0"/>
          </w:rPr>
          <w:t xml:space="preserve">saponins</w:t>
        </w:r>
      </w:hyperlink>
      <w:r w:rsidDel="00000000" w:rsidR="00000000" w:rsidRPr="00000000">
        <w:rPr>
          <w:rFonts w:ascii="Times New Roman" w:cs="Times New Roman" w:eastAsia="Times New Roman" w:hAnsi="Times New Roman"/>
          <w:sz w:val="24"/>
          <w:szCs w:val="24"/>
          <w:rtl w:val="0"/>
        </w:rPr>
        <w:t xml:space="preserve">, etc.,. These molecules are known to </w:t>
      </w:r>
      <w:r w:rsidDel="00000000" w:rsidR="00000000" w:rsidRPr="00000000">
        <w:rPr>
          <w:rFonts w:ascii="Times New Roman" w:cs="Times New Roman" w:eastAsia="Times New Roman" w:hAnsi="Times New Roman"/>
          <w:color w:val="000000"/>
          <w:sz w:val="24"/>
          <w:szCs w:val="24"/>
          <w:rtl w:val="0"/>
        </w:rPr>
        <w:t xml:space="preserve">enhance wellness and decrease health risk aspect. Their use is gradually growing due to their efficacy against several physiological threats. Phytochemical screening not only helps to reveal the constituents of the plant extracts but also is helpful in searching for bioactive agents that can be used as dietary supplement (21). From study it is revealed that the aqueous extracts has the larger phenol content </w:t>
      </w:r>
      <w:r w:rsidDel="00000000" w:rsidR="00000000" w:rsidRPr="00000000">
        <w:rPr>
          <w:rFonts w:ascii="Times New Roman" w:cs="Times New Roman" w:eastAsia="Times New Roman" w:hAnsi="Times New Roman"/>
          <w:rtl w:val="0"/>
        </w:rPr>
        <w:t xml:space="preserve">180.20 </w:t>
      </w:r>
      <w:r w:rsidDel="00000000" w:rsidR="00000000" w:rsidRPr="00000000">
        <w:rPr>
          <w:rFonts w:ascii="Times New Roman" w:cs="Times New Roman" w:eastAsia="Times New Roman" w:hAnsi="Times New Roman"/>
          <w:sz w:val="25"/>
          <w:szCs w:val="25"/>
          <w:rtl w:val="0"/>
        </w:rPr>
        <w:t xml:space="preserve">µg</w:t>
      </w:r>
      <w:r w:rsidDel="00000000" w:rsidR="00000000" w:rsidRPr="00000000">
        <w:rPr>
          <w:rFonts w:ascii="Times New Roman" w:cs="Times New Roman" w:eastAsia="Times New Roman" w:hAnsi="Times New Roman"/>
          <w:vertAlign w:val="superscript"/>
          <w:rtl w:val="0"/>
        </w:rPr>
        <w:t xml:space="preserve"> -gm</w:t>
      </w:r>
      <w:r w:rsidDel="00000000" w:rsidR="00000000" w:rsidRPr="00000000">
        <w:rPr>
          <w:rFonts w:ascii="Times New Roman" w:cs="Times New Roman" w:eastAsia="Times New Roman" w:hAnsi="Times New Roman"/>
          <w:color w:val="000000"/>
          <w:sz w:val="24"/>
          <w:szCs w:val="24"/>
          <w:rtl w:val="0"/>
        </w:rPr>
        <w:t xml:space="preserve"> than to juice with </w:t>
      </w:r>
      <w:r w:rsidDel="00000000" w:rsidR="00000000" w:rsidRPr="00000000">
        <w:rPr>
          <w:rFonts w:ascii="Times New Roman" w:cs="Times New Roman" w:eastAsia="Times New Roman" w:hAnsi="Times New Roman"/>
          <w:rtl w:val="0"/>
        </w:rPr>
        <w:t xml:space="preserve">160.50 </w:t>
      </w:r>
      <w:r w:rsidDel="00000000" w:rsidR="00000000" w:rsidRPr="00000000">
        <w:rPr>
          <w:rFonts w:ascii="Times New Roman" w:cs="Times New Roman" w:eastAsia="Times New Roman" w:hAnsi="Times New Roman"/>
          <w:sz w:val="25"/>
          <w:szCs w:val="25"/>
          <w:rtl w:val="0"/>
        </w:rPr>
        <w:t xml:space="preserve">µg</w:t>
      </w:r>
      <w:r w:rsidDel="00000000" w:rsidR="00000000" w:rsidRPr="00000000">
        <w:rPr>
          <w:rFonts w:ascii="Times New Roman" w:cs="Times New Roman" w:eastAsia="Times New Roman" w:hAnsi="Times New Roman"/>
          <w:vertAlign w:val="superscript"/>
          <w:rtl w:val="0"/>
        </w:rPr>
        <w:t xml:space="preserve">–gm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lastly chloroform extract with</w:t>
      </w:r>
      <w:r w:rsidDel="00000000" w:rsidR="00000000" w:rsidRPr="00000000">
        <w:rPr>
          <w:rFonts w:ascii="Times New Roman" w:cs="Times New Roman" w:eastAsia="Times New Roman" w:hAnsi="Times New Roman"/>
          <w:rtl w:val="0"/>
        </w:rPr>
        <w:t xml:space="preserve"> 130.40 µg</w:t>
      </w:r>
      <w:r w:rsidDel="00000000" w:rsidR="00000000" w:rsidRPr="00000000">
        <w:rPr>
          <w:rFonts w:ascii="Times New Roman" w:cs="Times New Roman" w:eastAsia="Times New Roman" w:hAnsi="Times New Roman"/>
          <w:vertAlign w:val="superscript"/>
          <w:rtl w:val="0"/>
        </w:rPr>
        <w:t xml:space="preserve">-gm</w:t>
      </w:r>
      <w:r w:rsidDel="00000000" w:rsidR="00000000" w:rsidRPr="00000000">
        <w:rPr>
          <w:rFonts w:ascii="Times New Roman" w:cs="Times New Roman" w:eastAsia="Times New Roman" w:hAnsi="Times New Roman"/>
          <w:color w:val="000000"/>
          <w:sz w:val="24"/>
          <w:szCs w:val="24"/>
          <w:rtl w:val="0"/>
        </w:rPr>
        <w:t xml:space="preserve">. The total flavonoid content was estimated by folins-ciocalteau method. Of the three extracts flavonoid were greater in aqueous extracts has the larger phenol content </w:t>
      </w:r>
      <w:r w:rsidDel="00000000" w:rsidR="00000000" w:rsidRPr="00000000">
        <w:rPr>
          <w:rFonts w:ascii="Times New Roman" w:cs="Times New Roman" w:eastAsia="Times New Roman" w:hAnsi="Times New Roman"/>
          <w:rtl w:val="0"/>
        </w:rPr>
        <w:t xml:space="preserve">41.33 </w:t>
      </w:r>
      <w:r w:rsidDel="00000000" w:rsidR="00000000" w:rsidRPr="00000000">
        <w:rPr>
          <w:rFonts w:ascii="Times New Roman" w:cs="Times New Roman" w:eastAsia="Times New Roman" w:hAnsi="Times New Roman"/>
          <w:sz w:val="25"/>
          <w:szCs w:val="25"/>
          <w:rtl w:val="0"/>
        </w:rPr>
        <w:t xml:space="preserve">µg</w:t>
      </w:r>
      <w:r w:rsidDel="00000000" w:rsidR="00000000" w:rsidRPr="00000000">
        <w:rPr>
          <w:rFonts w:ascii="Times New Roman" w:cs="Times New Roman" w:eastAsia="Times New Roman" w:hAnsi="Times New Roman"/>
          <w:vertAlign w:val="superscript"/>
          <w:rtl w:val="0"/>
        </w:rPr>
        <w:t xml:space="preserve">-gm</w:t>
      </w:r>
      <w:r w:rsidDel="00000000" w:rsidR="00000000" w:rsidRPr="00000000">
        <w:rPr>
          <w:rFonts w:ascii="Times New Roman" w:cs="Times New Roman" w:eastAsia="Times New Roman" w:hAnsi="Times New Roman"/>
          <w:color w:val="000000"/>
          <w:sz w:val="24"/>
          <w:szCs w:val="24"/>
          <w:rtl w:val="0"/>
        </w:rPr>
        <w:t xml:space="preserve"> than to </w:t>
      </w:r>
      <w:r w:rsidDel="00000000" w:rsidR="00000000" w:rsidRPr="00000000">
        <w:rPr>
          <w:rFonts w:ascii="Times New Roman" w:cs="Times New Roman" w:eastAsia="Times New Roman" w:hAnsi="Times New Roman"/>
          <w:sz w:val="24"/>
          <w:szCs w:val="24"/>
          <w:rtl w:val="0"/>
        </w:rPr>
        <w:t xml:space="preserve">chloroform</w:t>
      </w:r>
      <w:r w:rsidDel="00000000" w:rsidR="00000000" w:rsidRPr="00000000">
        <w:rPr>
          <w:rFonts w:ascii="Times New Roman" w:cs="Times New Roman" w:eastAsia="Times New Roman" w:hAnsi="Times New Roman"/>
          <w:color w:val="000000"/>
          <w:sz w:val="24"/>
          <w:szCs w:val="24"/>
          <w:rtl w:val="0"/>
        </w:rPr>
        <w:t xml:space="preserve"> with </w:t>
      </w:r>
      <w:r w:rsidDel="00000000" w:rsidR="00000000" w:rsidRPr="00000000">
        <w:rPr>
          <w:rFonts w:ascii="Times New Roman" w:cs="Times New Roman" w:eastAsia="Times New Roman" w:hAnsi="Times New Roman"/>
          <w:rtl w:val="0"/>
        </w:rPr>
        <w:t xml:space="preserve">36.12 </w:t>
      </w:r>
      <w:r w:rsidDel="00000000" w:rsidR="00000000" w:rsidRPr="00000000">
        <w:rPr>
          <w:rFonts w:ascii="Times New Roman" w:cs="Times New Roman" w:eastAsia="Times New Roman" w:hAnsi="Times New Roman"/>
          <w:sz w:val="25"/>
          <w:szCs w:val="25"/>
          <w:rtl w:val="0"/>
        </w:rPr>
        <w:t xml:space="preserve">µg</w:t>
      </w:r>
      <w:r w:rsidDel="00000000" w:rsidR="00000000" w:rsidRPr="00000000">
        <w:rPr>
          <w:rFonts w:ascii="Times New Roman" w:cs="Times New Roman" w:eastAsia="Times New Roman" w:hAnsi="Times New Roman"/>
          <w:vertAlign w:val="superscript"/>
          <w:rtl w:val="0"/>
        </w:rPr>
        <w:t xml:space="preserve">-gm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lastly </w:t>
      </w:r>
      <w:r w:rsidDel="00000000" w:rsidR="00000000" w:rsidRPr="00000000">
        <w:rPr>
          <w:rFonts w:ascii="Times New Roman" w:cs="Times New Roman" w:eastAsia="Times New Roman" w:hAnsi="Times New Roman"/>
          <w:color w:val="000000"/>
          <w:sz w:val="24"/>
          <w:szCs w:val="24"/>
          <w:rtl w:val="0"/>
        </w:rPr>
        <w:t xml:space="preserve">juice</w:t>
      </w:r>
      <w:r w:rsidDel="00000000" w:rsidR="00000000" w:rsidRPr="00000000">
        <w:rPr>
          <w:rFonts w:ascii="Times New Roman" w:cs="Times New Roman" w:eastAsia="Times New Roman" w:hAnsi="Times New Roman"/>
          <w:sz w:val="24"/>
          <w:szCs w:val="24"/>
          <w:rtl w:val="0"/>
        </w:rPr>
        <w:t xml:space="preserve"> extract with</w:t>
      </w:r>
      <w:r w:rsidDel="00000000" w:rsidR="00000000" w:rsidRPr="00000000">
        <w:rPr>
          <w:rFonts w:ascii="Times New Roman" w:cs="Times New Roman" w:eastAsia="Times New Roman" w:hAnsi="Times New Roman"/>
          <w:rtl w:val="0"/>
        </w:rPr>
        <w:t xml:space="preserve"> 34.26 </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vertAlign w:val="superscript"/>
          <w:rtl w:val="0"/>
        </w:rPr>
        <w:t xml:space="preserve">-gm</w:t>
      </w:r>
      <w:r w:rsidDel="00000000" w:rsidR="00000000" w:rsidRPr="00000000">
        <w:rPr>
          <w:rFonts w:ascii="Times New Roman" w:cs="Times New Roman" w:eastAsia="Times New Roman" w:hAnsi="Times New Roman"/>
          <w:color w:val="000000"/>
          <w:sz w:val="24"/>
          <w:szCs w:val="24"/>
          <w:rtl w:val="0"/>
        </w:rPr>
        <w:t xml:space="preserve">. The total tannin estimated in the present study were found to be </w:t>
      </w:r>
      <w:r w:rsidDel="00000000" w:rsidR="00000000" w:rsidRPr="00000000">
        <w:rPr>
          <w:rFonts w:ascii="Times New Roman" w:cs="Times New Roman" w:eastAsia="Times New Roman" w:hAnsi="Times New Roman"/>
          <w:rtl w:val="0"/>
        </w:rPr>
        <w:t xml:space="preserve">74.66 </w:t>
      </w:r>
      <w:r w:rsidDel="00000000" w:rsidR="00000000" w:rsidRPr="00000000">
        <w:rPr>
          <w:rFonts w:ascii="Times New Roman" w:cs="Times New Roman" w:eastAsia="Times New Roman" w:hAnsi="Times New Roman"/>
          <w:sz w:val="25"/>
          <w:szCs w:val="25"/>
          <w:rtl w:val="0"/>
        </w:rPr>
        <w:t xml:space="preserve">µg</w:t>
      </w:r>
      <w:r w:rsidDel="00000000" w:rsidR="00000000" w:rsidRPr="00000000">
        <w:rPr>
          <w:rFonts w:ascii="Times New Roman" w:cs="Times New Roman" w:eastAsia="Times New Roman" w:hAnsi="Times New Roman"/>
          <w:vertAlign w:val="superscript"/>
          <w:rtl w:val="0"/>
        </w:rPr>
        <w:t xml:space="preserve">–gm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in the aqueous extract, followed by Juice and chloroform extract with 68.25 µg</w:t>
      </w:r>
      <w:r w:rsidDel="00000000" w:rsidR="00000000" w:rsidRPr="00000000">
        <w:rPr>
          <w:rFonts w:ascii="Times New Roman" w:cs="Times New Roman" w:eastAsia="Times New Roman" w:hAnsi="Times New Roman"/>
          <w:sz w:val="24"/>
          <w:szCs w:val="24"/>
          <w:vertAlign w:val="superscript"/>
          <w:rtl w:val="0"/>
        </w:rPr>
        <w:t xml:space="preserve">–gm</w:t>
      </w:r>
      <w:r w:rsidDel="00000000" w:rsidR="00000000" w:rsidRPr="00000000">
        <w:rPr>
          <w:rFonts w:ascii="Times New Roman" w:cs="Times New Roman" w:eastAsia="Times New Roman" w:hAnsi="Times New Roman"/>
          <w:sz w:val="24"/>
          <w:szCs w:val="24"/>
          <w:rtl w:val="0"/>
        </w:rPr>
        <w:t xml:space="preserve"> and 63.34  µg</w:t>
      </w:r>
      <w:r w:rsidDel="00000000" w:rsidR="00000000" w:rsidRPr="00000000">
        <w:rPr>
          <w:rFonts w:ascii="Times New Roman" w:cs="Times New Roman" w:eastAsia="Times New Roman" w:hAnsi="Times New Roman"/>
          <w:sz w:val="24"/>
          <w:szCs w:val="24"/>
          <w:vertAlign w:val="superscript"/>
          <w:rtl w:val="0"/>
        </w:rPr>
        <w:t xml:space="preserve">–gm</w:t>
      </w:r>
      <w:r w:rsidDel="00000000" w:rsidR="00000000" w:rsidRPr="00000000">
        <w:rPr>
          <w:rFonts w:ascii="Times New Roman" w:cs="Times New Roman" w:eastAsia="Times New Roman" w:hAnsi="Times New Roman"/>
          <w:sz w:val="24"/>
          <w:szCs w:val="24"/>
          <w:rtl w:val="0"/>
        </w:rPr>
        <w:t xml:space="preserve"> respectively</w:t>
      </w:r>
      <w:r w:rsidDel="00000000" w:rsidR="00000000" w:rsidRPr="00000000">
        <w:rPr>
          <w:rFonts w:ascii="Times New Roman" w:cs="Times New Roman" w:eastAsia="Times New Roman" w:hAnsi="Times New Roman"/>
          <w:color w:val="000000"/>
          <w:sz w:val="24"/>
          <w:szCs w:val="24"/>
          <w:rtl w:val="0"/>
        </w:rPr>
        <w:t xml:space="preserve"> These bioactive compounds may in part be reason for the seeds to possess higher free radical scavenging activity influencing superior healthy effects. Now days, fruits or any foods are attaining importances which are having high levels of useful phytochemicals.</w:t>
      </w:r>
    </w:p>
    <w:p w:rsidR="00000000" w:rsidDel="00000000" w:rsidP="00000000" w:rsidRDefault="00000000" w:rsidRPr="00000000" w14:paraId="0000003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Antioxidant studies</w:t>
      </w:r>
    </w:p>
    <w:p w:rsidR="00000000" w:rsidDel="00000000" w:rsidP="00000000" w:rsidRDefault="00000000" w:rsidRPr="00000000" w14:paraId="000000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Antioxidant activity</w:t>
      </w:r>
    </w:p>
    <w:p w:rsidR="00000000" w:rsidDel="00000000" w:rsidP="00000000" w:rsidRDefault="00000000" w:rsidRPr="00000000" w14:paraId="00000033">
      <w:pPr>
        <w:spacing w:after="0"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From our study results it is evident that aqueous extract has reported increased levels total antioxidant activity of </w:t>
      </w:r>
      <w:r w:rsidDel="00000000" w:rsidR="00000000" w:rsidRPr="00000000">
        <w:rPr>
          <w:rFonts w:ascii="Times New Roman" w:cs="Times New Roman" w:eastAsia="Times New Roman" w:hAnsi="Times New Roman"/>
          <w:sz w:val="25"/>
          <w:szCs w:val="25"/>
          <w:rtl w:val="0"/>
        </w:rPr>
        <w:t xml:space="preserve">63.5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followed by juice with </w:t>
      </w:r>
      <w:r w:rsidDel="00000000" w:rsidR="00000000" w:rsidRPr="00000000">
        <w:rPr>
          <w:rFonts w:ascii="Times New Roman" w:cs="Times New Roman" w:eastAsia="Times New Roman" w:hAnsi="Times New Roman"/>
          <w:sz w:val="25"/>
          <w:szCs w:val="25"/>
          <w:rtl w:val="0"/>
        </w:rPr>
        <w:t xml:space="preserve">36.1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and chloroform extract with </w:t>
      </w:r>
      <w:r w:rsidDel="00000000" w:rsidR="00000000" w:rsidRPr="00000000">
        <w:rPr>
          <w:rFonts w:ascii="Times New Roman" w:cs="Times New Roman" w:eastAsia="Times New Roman" w:hAnsi="Times New Roman"/>
          <w:sz w:val="25"/>
          <w:szCs w:val="25"/>
          <w:rtl w:val="0"/>
        </w:rPr>
        <w:t xml:space="preserve">30.5</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(Table 2).</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TAA activity has also been reported by (23, 24) in different parts of the plants and has showed that </w:t>
      </w:r>
      <w:r w:rsidDel="00000000" w:rsidR="00000000" w:rsidRPr="00000000">
        <w:rPr>
          <w:rFonts w:ascii="Times New Roman" w:cs="Times New Roman" w:eastAsia="Times New Roman" w:hAnsi="Times New Roman"/>
          <w:color w:val="000000"/>
          <w:sz w:val="24"/>
          <w:szCs w:val="24"/>
          <w:highlight w:val="white"/>
          <w:rtl w:val="0"/>
        </w:rPr>
        <w:t xml:space="preserve">the total antioxidant activity varies depending on the part of the plant and the method used to measure it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DDPH scavenging activity</w:t>
      </w:r>
      <w:r w:rsidDel="00000000" w:rsidR="00000000" w:rsidRPr="00000000">
        <w:rPr>
          <w:rtl w:val="0"/>
        </w:rPr>
      </w:r>
    </w:p>
    <w:p w:rsidR="00000000" w:rsidDel="00000000" w:rsidP="00000000" w:rsidRDefault="00000000" w:rsidRPr="00000000" w14:paraId="0000003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antioxidant property by DPPH radical scavenging assay of the two extracts with that of the reference standard is depicted in (Table 2). The present results revealed the aqueous extract expressed </w:t>
      </w:r>
      <w:r w:rsidDel="00000000" w:rsidR="00000000" w:rsidRPr="00000000">
        <w:rPr>
          <w:rFonts w:ascii="Times New Roman" w:cs="Times New Roman" w:eastAsia="Times New Roman" w:hAnsi="Times New Roman"/>
          <w:sz w:val="25"/>
          <w:szCs w:val="25"/>
          <w:rtl w:val="0"/>
        </w:rPr>
        <w:t xml:space="preserve">70.5%</w:t>
      </w:r>
      <w:r w:rsidDel="00000000" w:rsidR="00000000" w:rsidRPr="00000000">
        <w:rPr>
          <w:rFonts w:ascii="Times New Roman" w:cs="Times New Roman" w:eastAsia="Times New Roman" w:hAnsi="Times New Roman"/>
          <w:sz w:val="24"/>
          <w:szCs w:val="24"/>
          <w:rtl w:val="0"/>
        </w:rPr>
        <w:t xml:space="preserve"> when compared to Juice and chloroform extract with </w:t>
      </w:r>
      <w:r w:rsidDel="00000000" w:rsidR="00000000" w:rsidRPr="00000000">
        <w:rPr>
          <w:rFonts w:ascii="Times New Roman" w:cs="Times New Roman" w:eastAsia="Times New Roman" w:hAnsi="Times New Roman"/>
          <w:sz w:val="25"/>
          <w:szCs w:val="25"/>
          <w:rtl w:val="0"/>
        </w:rPr>
        <w:t xml:space="preserve">61.76% and 38.23% respectively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Among the three, there were positive correlations among the bioactive compound content, and that of DPPH inhibition (25)</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DPPH activity in </w:t>
      </w:r>
      <w:r w:rsidDel="00000000" w:rsidR="00000000" w:rsidRPr="00000000">
        <w:rPr>
          <w:rFonts w:ascii="Times New Roman" w:cs="Times New Roman" w:eastAsia="Times New Roman" w:hAnsi="Times New Roman"/>
          <w:i w:val="1"/>
          <w:sz w:val="25"/>
          <w:szCs w:val="25"/>
          <w:rtl w:val="0"/>
        </w:rPr>
        <w:t xml:space="preserve">Hemidesmus indicus</w:t>
      </w:r>
      <w:r w:rsidDel="00000000" w:rsidR="00000000" w:rsidRPr="00000000">
        <w:rPr>
          <w:rFonts w:ascii="Times New Roman" w:cs="Times New Roman" w:eastAsia="Times New Roman" w:hAnsi="Times New Roman"/>
          <w:color w:val="000000"/>
          <w:sz w:val="24"/>
          <w:szCs w:val="24"/>
          <w:rtl w:val="0"/>
        </w:rPr>
        <w:t xml:space="preserve"> has also been reported by </w:t>
      </w:r>
      <w:r w:rsidDel="00000000" w:rsidR="00000000" w:rsidRPr="00000000">
        <w:rPr>
          <w:rFonts w:ascii="Times New Roman" w:cs="Times New Roman" w:eastAsia="Times New Roman" w:hAnsi="Times New Roman"/>
          <w:color w:val="000000"/>
          <w:sz w:val="28"/>
          <w:szCs w:val="28"/>
          <w:rtl w:val="0"/>
        </w:rPr>
        <w:t xml:space="preserve">(26, 27</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36">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Catalase (CAT) activity</w:t>
      </w:r>
    </w:p>
    <w:p w:rsidR="00000000" w:rsidDel="00000000" w:rsidP="00000000" w:rsidRDefault="00000000" w:rsidRPr="00000000" w14:paraId="00000037">
      <w:pPr>
        <w:spacing w:after="0"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The CAT activity assayed in the present study is shown in (</w:t>
      </w:r>
      <w:r w:rsidDel="00000000" w:rsidR="00000000" w:rsidRPr="00000000">
        <w:rPr>
          <w:rFonts w:ascii="Times New Roman" w:cs="Times New Roman" w:eastAsia="Times New Roman" w:hAnsi="Times New Roman"/>
          <w:sz w:val="24"/>
          <w:szCs w:val="24"/>
          <w:rtl w:val="0"/>
        </w:rPr>
        <w:t xml:space="preserve">Table 2)</w:t>
      </w:r>
      <w:r w:rsidDel="00000000" w:rsidR="00000000" w:rsidRPr="00000000">
        <w:rPr>
          <w:rFonts w:ascii="Times New Roman" w:cs="Times New Roman" w:eastAsia="Times New Roman" w:hAnsi="Times New Roman"/>
          <w:color w:val="000000"/>
          <w:sz w:val="24"/>
          <w:szCs w:val="24"/>
          <w:rtl w:val="0"/>
        </w:rPr>
        <w:t xml:space="preserve">. It is seen that the aqueous extract has the activity of </w:t>
      </w:r>
      <w:r w:rsidDel="00000000" w:rsidR="00000000" w:rsidRPr="00000000">
        <w:rPr>
          <w:rFonts w:ascii="Times New Roman" w:cs="Times New Roman" w:eastAsia="Times New Roman" w:hAnsi="Times New Roman"/>
          <w:rtl w:val="0"/>
        </w:rPr>
        <w:t xml:space="preserve">0.68±0.10 Umol</w:t>
      </w:r>
      <w:r w:rsidDel="00000000" w:rsidR="00000000" w:rsidRPr="00000000">
        <w:rPr>
          <w:rFonts w:ascii="Times New Roman" w:cs="Times New Roman" w:eastAsia="Times New Roman" w:hAnsi="Times New Roman"/>
          <w:vertAlign w:val="superscript"/>
          <w:rtl w:val="0"/>
        </w:rPr>
        <w:t xml:space="preserve">-ml</w:t>
      </w:r>
      <w:r w:rsidDel="00000000" w:rsidR="00000000" w:rsidRPr="00000000">
        <w:rPr>
          <w:rFonts w:ascii="Times New Roman" w:cs="Times New Roman" w:eastAsia="Times New Roman" w:hAnsi="Times New Roman"/>
          <w:sz w:val="24"/>
          <w:szCs w:val="24"/>
          <w:rtl w:val="0"/>
        </w:rPr>
        <w:t xml:space="preserve"> comparatively higher to chloroform extract with </w:t>
      </w:r>
      <w:r w:rsidDel="00000000" w:rsidR="00000000" w:rsidRPr="00000000">
        <w:rPr>
          <w:rFonts w:ascii="Times New Roman" w:cs="Times New Roman" w:eastAsia="Times New Roman" w:hAnsi="Times New Roman"/>
          <w:rtl w:val="0"/>
        </w:rPr>
        <w:t xml:space="preserve">0.27±0.09 </w:t>
      </w:r>
      <w:r w:rsidDel="00000000" w:rsidR="00000000" w:rsidRPr="00000000">
        <w:rPr>
          <w:rFonts w:ascii="Times New Roman" w:cs="Times New Roman" w:eastAsia="Times New Roman" w:hAnsi="Times New Roman"/>
          <w:sz w:val="24"/>
          <w:szCs w:val="24"/>
          <w:rtl w:val="0"/>
        </w:rPr>
        <w:t xml:space="preserve">Umol</w:t>
      </w:r>
      <w:r w:rsidDel="00000000" w:rsidR="00000000" w:rsidRPr="00000000">
        <w:rPr>
          <w:rFonts w:ascii="Times New Roman" w:cs="Times New Roman" w:eastAsia="Times New Roman" w:hAnsi="Times New Roman"/>
          <w:sz w:val="24"/>
          <w:szCs w:val="24"/>
          <w:vertAlign w:val="superscript"/>
          <w:rtl w:val="0"/>
        </w:rPr>
        <w:t xml:space="preserve">-ml</w:t>
      </w:r>
      <w:r w:rsidDel="00000000" w:rsidR="00000000" w:rsidRPr="00000000">
        <w:rPr>
          <w:rFonts w:ascii="Times New Roman" w:cs="Times New Roman" w:eastAsia="Times New Roman" w:hAnsi="Times New Roman"/>
          <w:sz w:val="24"/>
          <w:szCs w:val="24"/>
          <w:rtl w:val="0"/>
        </w:rPr>
        <w:t xml:space="preserve"> followed by juice with 0.21±0.02 Umol</w:t>
      </w:r>
      <w:r w:rsidDel="00000000" w:rsidR="00000000" w:rsidRPr="00000000">
        <w:rPr>
          <w:rFonts w:ascii="Times New Roman" w:cs="Times New Roman" w:eastAsia="Times New Roman" w:hAnsi="Times New Roman"/>
          <w:sz w:val="24"/>
          <w:szCs w:val="24"/>
          <w:vertAlign w:val="superscript"/>
          <w:rtl w:val="0"/>
        </w:rPr>
        <w:t xml:space="preserve">-ml</w:t>
      </w:r>
      <w:r w:rsidDel="00000000" w:rsidR="00000000" w:rsidRPr="00000000">
        <w:rPr>
          <w:rFonts w:ascii="Times New Roman" w:cs="Times New Roman" w:eastAsia="Times New Roman" w:hAnsi="Times New Roman"/>
          <w:sz w:val="24"/>
          <w:szCs w:val="24"/>
          <w:rtl w:val="0"/>
        </w:rPr>
        <w:t xml:space="preserve">. The CAT is one of the crucial antioxidant enzymes that make oxidative stress to a considerable extent by destroying cellular hydrogen peroxide to produce water and oxygen </w:t>
      </w:r>
      <w:r w:rsidDel="00000000" w:rsidR="00000000" w:rsidRPr="00000000">
        <w:rPr>
          <w:rFonts w:ascii="Times New Roman" w:cs="Times New Roman" w:eastAsia="Times New Roman" w:hAnsi="Times New Roman"/>
          <w:sz w:val="28"/>
          <w:szCs w:val="28"/>
          <w:rtl w:val="0"/>
        </w:rPr>
        <w:t xml:space="preserve">(28)</w:t>
      </w:r>
      <w:r w:rsidDel="00000000" w:rsidR="00000000" w:rsidRPr="00000000">
        <w:rPr>
          <w:rFonts w:ascii="Times New Roman" w:cs="Times New Roman" w:eastAsia="Times New Roman" w:hAnsi="Times New Roman"/>
          <w:sz w:val="24"/>
          <w:szCs w:val="24"/>
          <w:rtl w:val="0"/>
        </w:rPr>
        <w:t xml:space="preserve">. These enzymes are said to be one of the highest turnover rates for all enzymes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8"/>
          <w:szCs w:val="28"/>
          <w:rtl w:val="0"/>
        </w:rPr>
        <w:t xml:space="preserve">(29</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38">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Peroxidase activity (POD)</w:t>
      </w:r>
    </w:p>
    <w:p w:rsidR="00000000" w:rsidDel="00000000" w:rsidP="00000000" w:rsidRDefault="00000000" w:rsidRPr="00000000" w14:paraId="0000003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POD activity was also greater in aqeous extract with </w:t>
      </w:r>
      <w:r w:rsidDel="00000000" w:rsidR="00000000" w:rsidRPr="00000000">
        <w:rPr>
          <w:rFonts w:ascii="Times New Roman" w:cs="Times New Roman" w:eastAsia="Times New Roman" w:hAnsi="Times New Roman"/>
          <w:sz w:val="24"/>
          <w:szCs w:val="24"/>
          <w:rtl w:val="0"/>
        </w:rPr>
        <w:t xml:space="preserve">4.6±0.21 Umol</w:t>
      </w:r>
      <w:r w:rsidDel="00000000" w:rsidR="00000000" w:rsidRPr="00000000">
        <w:rPr>
          <w:rFonts w:ascii="Times New Roman" w:cs="Times New Roman" w:eastAsia="Times New Roman" w:hAnsi="Times New Roman"/>
          <w:sz w:val="24"/>
          <w:szCs w:val="24"/>
          <w:vertAlign w:val="superscript"/>
          <w:rtl w:val="0"/>
        </w:rPr>
        <w:t xml:space="preserve">- min</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when compared to chloroform extract and juice with 2.73±0.15 Umol</w:t>
      </w:r>
      <w:r w:rsidDel="00000000" w:rsidR="00000000" w:rsidRPr="00000000">
        <w:rPr>
          <w:rFonts w:ascii="Times New Roman" w:cs="Times New Roman" w:eastAsia="Times New Roman" w:hAnsi="Times New Roman"/>
          <w:sz w:val="24"/>
          <w:szCs w:val="24"/>
          <w:vertAlign w:val="superscript"/>
          <w:rtl w:val="0"/>
        </w:rPr>
        <w:t xml:space="preserve">-min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rtl w:val="0"/>
        </w:rPr>
        <w:t xml:space="preserve">1.93±0.51 Umol</w:t>
      </w:r>
      <w:r w:rsidDel="00000000" w:rsidR="00000000" w:rsidRPr="00000000">
        <w:rPr>
          <w:rFonts w:ascii="Times New Roman" w:cs="Times New Roman" w:eastAsia="Times New Roman" w:hAnsi="Times New Roman"/>
          <w:vertAlign w:val="superscript"/>
          <w:rtl w:val="0"/>
        </w:rPr>
        <w:t xml:space="preserve">-min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respectively (Table 2). POD can convert toxic hydrogen peroxide (H</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into harmless H</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O with a series of changes in activity, so it is widely used to evaluate the stress tolerance of plants </w:t>
      </w:r>
      <w:r w:rsidDel="00000000" w:rsidR="00000000" w:rsidRPr="00000000">
        <w:rPr>
          <w:rFonts w:ascii="Times New Roman" w:cs="Times New Roman" w:eastAsia="Times New Roman" w:hAnsi="Times New Roman"/>
          <w:sz w:val="28"/>
          <w:szCs w:val="28"/>
          <w:rtl w:val="0"/>
        </w:rPr>
        <w:t xml:space="preserve">(30,31)</w:t>
      </w:r>
      <w:r w:rsidDel="00000000" w:rsidR="00000000" w:rsidRPr="00000000">
        <w:rPr>
          <w:rFonts w:ascii="Times New Roman" w:cs="Times New Roman" w:eastAsia="Times New Roman" w:hAnsi="Times New Roman"/>
          <w:sz w:val="24"/>
          <w:szCs w:val="24"/>
          <w:rtl w:val="0"/>
        </w:rPr>
        <w:t xml:space="preserve">. They also serve to reclaim lipid peroxidation which is formed during ROS (32). </w:t>
      </w:r>
      <w:r w:rsidDel="00000000" w:rsidR="00000000" w:rsidRPr="00000000">
        <w:rPr>
          <w:rtl w:val="0"/>
        </w:rPr>
      </w:r>
    </w:p>
    <w:p w:rsidR="00000000" w:rsidDel="00000000" w:rsidP="00000000" w:rsidRDefault="00000000" w:rsidRPr="00000000" w14:paraId="0000003A">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Superoxide Dismutase (SOD) avtivity</w:t>
      </w:r>
    </w:p>
    <w:p w:rsidR="00000000" w:rsidDel="00000000" w:rsidP="00000000" w:rsidRDefault="00000000" w:rsidRPr="00000000" w14:paraId="0000003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SOD activity in chloroform, juice and aqueous extracts were </w:t>
      </w:r>
      <w:r w:rsidDel="00000000" w:rsidR="00000000" w:rsidRPr="00000000">
        <w:rPr>
          <w:rFonts w:ascii="Times New Roman" w:cs="Times New Roman" w:eastAsia="Times New Roman" w:hAnsi="Times New Roman"/>
          <w:rtl w:val="0"/>
        </w:rPr>
        <w:t xml:space="preserve">0.72±0.07Umol</w:t>
      </w:r>
      <w:r w:rsidDel="00000000" w:rsidR="00000000" w:rsidRPr="00000000">
        <w:rPr>
          <w:rFonts w:ascii="Times New Roman" w:cs="Times New Roman" w:eastAsia="Times New Roman" w:hAnsi="Times New Roman"/>
          <w:vertAlign w:val="superscript"/>
          <w:rtl w:val="0"/>
        </w:rPr>
        <w:t xml:space="preserve">-ml</w:t>
      </w:r>
      <w:r w:rsidDel="00000000" w:rsidR="00000000" w:rsidRPr="00000000">
        <w:rPr>
          <w:rFonts w:ascii="Times New Roman" w:cs="Times New Roman" w:eastAsia="Times New Roman" w:hAnsi="Times New Roman"/>
          <w:rtl w:val="0"/>
        </w:rPr>
        <w:t xml:space="preserve">, 0.42±0.02Umol</w:t>
      </w:r>
      <w:r w:rsidDel="00000000" w:rsidR="00000000" w:rsidRPr="00000000">
        <w:rPr>
          <w:rFonts w:ascii="Times New Roman" w:cs="Times New Roman" w:eastAsia="Times New Roman" w:hAnsi="Times New Roman"/>
          <w:vertAlign w:val="superscript"/>
          <w:rtl w:val="0"/>
        </w:rPr>
        <w:t xml:space="preserve">-ml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rtl w:val="0"/>
        </w:rPr>
        <w:t xml:space="preserve">0.15±0.01 Umol</w:t>
      </w:r>
      <w:r w:rsidDel="00000000" w:rsidR="00000000" w:rsidRPr="00000000">
        <w:rPr>
          <w:rFonts w:ascii="Times New Roman" w:cs="Times New Roman" w:eastAsia="Times New Roman" w:hAnsi="Times New Roman"/>
          <w:vertAlign w:val="superscript"/>
          <w:rtl w:val="0"/>
        </w:rPr>
        <w:t xml:space="preserve">-ml</w:t>
      </w:r>
      <w:r w:rsidDel="00000000" w:rsidR="00000000" w:rsidRPr="00000000">
        <w:rPr>
          <w:rFonts w:ascii="Times New Roman" w:cs="Times New Roman" w:eastAsia="Times New Roman" w:hAnsi="Times New Roman"/>
          <w:sz w:val="24"/>
          <w:szCs w:val="24"/>
          <w:rtl w:val="0"/>
        </w:rPr>
        <w:t xml:space="preserve"> respectively</w:t>
      </w:r>
      <w:r w:rsidDel="00000000" w:rsidR="00000000" w:rsidRPr="00000000">
        <w:rPr>
          <w:rFonts w:ascii="Times New Roman" w:cs="Times New Roman" w:eastAsia="Times New Roman" w:hAnsi="Times New Roman"/>
          <w:color w:val="000000"/>
          <w:sz w:val="24"/>
          <w:szCs w:val="24"/>
          <w:rtl w:val="0"/>
        </w:rPr>
        <w:t xml:space="preserve"> indicating the chloroform extract has higher activity than juice and aqueous extract (</w:t>
      </w:r>
      <w:r w:rsidDel="00000000" w:rsidR="00000000" w:rsidRPr="00000000">
        <w:rPr>
          <w:rFonts w:ascii="Times New Roman" w:cs="Times New Roman" w:eastAsia="Times New Roman" w:hAnsi="Times New Roman"/>
          <w:sz w:val="24"/>
          <w:szCs w:val="24"/>
          <w:rtl w:val="0"/>
        </w:rPr>
        <w:t xml:space="preserve">Table 2</w:t>
      </w:r>
      <w:r w:rsidDel="00000000" w:rsidR="00000000" w:rsidRPr="00000000">
        <w:rPr>
          <w:rFonts w:ascii="Times New Roman" w:cs="Times New Roman" w:eastAsia="Times New Roman" w:hAnsi="Times New Roman"/>
          <w:color w:val="000000"/>
          <w:sz w:val="24"/>
          <w:szCs w:val="24"/>
          <w:rtl w:val="0"/>
        </w:rPr>
        <w:t xml:space="preserve">). SOD is implicated in contending oxidative stress caused due to various abiotic stresses and plays an indispensable role in plant survival by providing protection against the oxidative burst </w:t>
      </w:r>
      <w:r w:rsidDel="00000000" w:rsidR="00000000" w:rsidRPr="00000000">
        <w:rPr>
          <w:rFonts w:ascii="Times New Roman" w:cs="Times New Roman" w:eastAsia="Times New Roman" w:hAnsi="Times New Roman"/>
          <w:color w:val="000000"/>
          <w:sz w:val="28"/>
          <w:szCs w:val="28"/>
          <w:rtl w:val="0"/>
        </w:rPr>
        <w:t xml:space="preserve">(33, 34, 35, 36)</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Anti-inflammatory Activity:</w:t>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48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anti-inflammatory potential of </w:t>
      </w:r>
      <w:r w:rsidDel="00000000" w:rsidR="00000000" w:rsidRPr="00000000">
        <w:rPr>
          <w:rFonts w:ascii="Times New Roman" w:cs="Times New Roman" w:eastAsia="Times New Roman" w:hAnsi="Times New Roman"/>
          <w:i w:val="1"/>
          <w:sz w:val="25"/>
          <w:szCs w:val="25"/>
          <w:rtl w:val="0"/>
        </w:rPr>
        <w:t xml:space="preserve">Hemidesmus indicus</w:t>
      </w:r>
      <w:r w:rsidDel="00000000" w:rsidR="00000000" w:rsidRPr="00000000">
        <w:rPr>
          <w:rFonts w:ascii="Times New Roman" w:cs="Times New Roman" w:eastAsia="Times New Roman" w:hAnsi="Times New Roman"/>
          <w:sz w:val="25"/>
          <w:szCs w:val="25"/>
          <w:rtl w:val="0"/>
        </w:rPr>
        <w:t xml:space="preserve"> extracts was assessed using the protein denaturation inhibition method or membrane stabilization assay, both of which are widely accepted </w:t>
      </w:r>
      <w:r w:rsidDel="00000000" w:rsidR="00000000" w:rsidRPr="00000000">
        <w:rPr>
          <w:rFonts w:ascii="Times New Roman" w:cs="Times New Roman" w:eastAsia="Times New Roman" w:hAnsi="Times New Roman"/>
          <w:i w:val="1"/>
          <w:sz w:val="25"/>
          <w:szCs w:val="25"/>
          <w:rtl w:val="0"/>
        </w:rPr>
        <w:t xml:space="preserve">in vitro</w:t>
      </w:r>
      <w:r w:rsidDel="00000000" w:rsidR="00000000" w:rsidRPr="00000000">
        <w:rPr>
          <w:rFonts w:ascii="Times New Roman" w:cs="Times New Roman" w:eastAsia="Times New Roman" w:hAnsi="Times New Roman"/>
          <w:sz w:val="25"/>
          <w:szCs w:val="25"/>
          <w:rtl w:val="0"/>
        </w:rPr>
        <w:t xml:space="preserve"> models for evaluating anti-inflammatory activity. The results are expressed as percentage inhibition of protein denaturation or membrane lysis and it is described graphically in</w:t>
      </w:r>
      <w:r w:rsidDel="00000000" w:rsidR="00000000" w:rsidRPr="00000000">
        <w:rPr>
          <w:sz w:val="25"/>
          <w:szCs w:val="25"/>
          <w:rtl w:val="0"/>
        </w:rPr>
        <w:t xml:space="preserve"> </w:t>
      </w:r>
      <w:r w:rsidDel="00000000" w:rsidR="00000000" w:rsidRPr="00000000">
        <w:rPr>
          <w:rFonts w:ascii="Times New Roman" w:cs="Times New Roman" w:eastAsia="Times New Roman" w:hAnsi="Times New Roman"/>
          <w:b w:val="1"/>
          <w:sz w:val="25"/>
          <w:szCs w:val="25"/>
          <w:rtl w:val="0"/>
        </w:rPr>
        <w:t xml:space="preserve">Fig.1.</w:t>
      </w:r>
      <w:r w:rsidDel="00000000" w:rsidR="00000000" w:rsidRPr="00000000">
        <w:rPr>
          <w:rFonts w:ascii="Times New Roman" w:cs="Times New Roman" w:eastAsia="Times New Roman" w:hAnsi="Times New Roman"/>
          <w:sz w:val="25"/>
          <w:szCs w:val="25"/>
          <w:rtl w:val="0"/>
        </w:rPr>
        <w:t xml:space="preserve"> The aqueous extract displayed the strongest anti-inflammatory activity, achieving 62.8% inhibition at 600 µg</w:t>
      </w:r>
      <w:r w:rsidDel="00000000" w:rsidR="00000000" w:rsidRPr="00000000">
        <w:rPr>
          <w:rFonts w:ascii="Times New Roman" w:cs="Times New Roman" w:eastAsia="Times New Roman" w:hAnsi="Times New Roman"/>
          <w:sz w:val="25"/>
          <w:szCs w:val="25"/>
          <w:vertAlign w:val="superscript"/>
          <w:rtl w:val="0"/>
        </w:rPr>
        <w:t xml:space="preserve">-ml</w:t>
      </w:r>
      <w:r w:rsidDel="00000000" w:rsidR="00000000" w:rsidRPr="00000000">
        <w:rPr>
          <w:rFonts w:ascii="Times New Roman" w:cs="Times New Roman" w:eastAsia="Times New Roman" w:hAnsi="Times New Roman"/>
          <w:sz w:val="25"/>
          <w:szCs w:val="25"/>
          <w:rtl w:val="0"/>
        </w:rPr>
        <w:t xml:space="preserve">. This could be due to the high content of water-soluble phytoconstituents such as flavonoids, saponins, and polyphenols known to stabilize lysosomal membranes and inhibit pro-inflammatory pathways. The juice extract showed moderate anti-inflammatory effects, with 43.5% inhibition at the 600 µg</w:t>
      </w:r>
      <w:r w:rsidDel="00000000" w:rsidR="00000000" w:rsidRPr="00000000">
        <w:rPr>
          <w:rFonts w:ascii="Times New Roman" w:cs="Times New Roman" w:eastAsia="Times New Roman" w:hAnsi="Times New Roman"/>
          <w:sz w:val="25"/>
          <w:szCs w:val="25"/>
          <w:vertAlign w:val="superscript"/>
          <w:rtl w:val="0"/>
        </w:rPr>
        <w:t xml:space="preserve">-ml</w:t>
      </w:r>
      <w:r w:rsidDel="00000000" w:rsidR="00000000" w:rsidRPr="00000000">
        <w:rPr>
          <w:rFonts w:ascii="Times New Roman" w:cs="Times New Roman" w:eastAsia="Times New Roman" w:hAnsi="Times New Roman"/>
          <w:sz w:val="25"/>
          <w:szCs w:val="25"/>
          <w:rtl w:val="0"/>
        </w:rPr>
        <w:t xml:space="preserve">. Although the fresh juice contains naturally occurring bioactive, the concentration and stability of active anti-inflammatory compounds may be lower than in the aqueous extract. The chloroform extract demonstrated the least activity, with only 34.6% inhibition at 600 µg</w:t>
      </w:r>
      <w:r w:rsidDel="00000000" w:rsidR="00000000" w:rsidRPr="00000000">
        <w:rPr>
          <w:rFonts w:ascii="Times New Roman" w:cs="Times New Roman" w:eastAsia="Times New Roman" w:hAnsi="Times New Roman"/>
          <w:sz w:val="25"/>
          <w:szCs w:val="25"/>
          <w:vertAlign w:val="superscript"/>
          <w:rtl w:val="0"/>
        </w:rPr>
        <w:t xml:space="preserve">-ml</w:t>
      </w:r>
      <w:r w:rsidDel="00000000" w:rsidR="00000000" w:rsidRPr="00000000">
        <w:rPr>
          <w:rFonts w:ascii="Times New Roman" w:cs="Times New Roman" w:eastAsia="Times New Roman" w:hAnsi="Times New Roman"/>
          <w:sz w:val="25"/>
          <w:szCs w:val="25"/>
          <w:rtl w:val="0"/>
        </w:rPr>
        <w:t xml:space="preserve">. Chloroform is less efficient at extracting polar bioactive responsible for anti-inflammatory effects, which explains the comparatively weaker inhibition.</w:t>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Hemagglutination Activity:</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5"/>
          <w:szCs w:val="25"/>
          <w:rtl w:val="0"/>
        </w:rPr>
        <w:t xml:space="preserve">The hemagglutination activity was assessed by incubating serial dilutions of the extracts with a 2% suspension of erythrocytes (chicken red blood cells) and observing for visible agglutination (Table 3). The hemagglutination titer is defined as the highest dilution at which agglutination is still observed, indicating the presence of lectin-like proteins or other carbohydrate-binding components</w:t>
      </w: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sz w:val="25"/>
          <w:szCs w:val="25"/>
          <w:rtl w:val="0"/>
        </w:rPr>
        <w:t xml:space="preserve">The aqueous extract showed the strongest hemagglutination activity, with a titer value of 1:12. This suggests a high concentration of lectin-like proteins or polysaccharides that can bind to specific carbohydrate moieties on erythrocyte membranes, causing agglutination. These compounds are usually water-soluble, explaining the superior performance of the aqueous extract. The juice extract exhibited moderate agglutination activity, with a titer of 1:32. This indicates that native hemagglutinating proteins are present in fresh plant material, though possibly in lower or less stable concentrations than in the aqueous extract.The chloroform extract demonstrated minimal activity, with a titer of 1:80, suggesting that non-polar solvents do not efficiently extract hemagglutinating factors, which are typically polar or proteinaceous in nature.</w:t>
      </w:r>
      <w:r w:rsidDel="00000000" w:rsidR="00000000" w:rsidRPr="00000000">
        <w:rPr>
          <w:rtl w:val="0"/>
        </w:rPr>
      </w:r>
    </w:p>
    <w:p w:rsidR="00000000" w:rsidDel="00000000" w:rsidP="00000000" w:rsidRDefault="00000000" w:rsidRPr="00000000" w14:paraId="00000042">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spacing w:after="314"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044">
      <w:pPr>
        <w:spacing w:after="0" w:line="48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4"/>
          <w:szCs w:val="24"/>
          <w:rtl w:val="0"/>
        </w:rPr>
        <w:t xml:space="preserve">Our findings underscore the promising properties of the </w:t>
      </w:r>
      <w:r w:rsidDel="00000000" w:rsidR="00000000" w:rsidRPr="00000000">
        <w:rPr>
          <w:rFonts w:ascii="Times New Roman" w:cs="Times New Roman" w:eastAsia="Times New Roman" w:hAnsi="Times New Roman"/>
          <w:i w:val="1"/>
          <w:sz w:val="25"/>
          <w:szCs w:val="25"/>
          <w:rtl w:val="0"/>
        </w:rPr>
        <w:t xml:space="preserve">Hemidesmus indicus</w:t>
      </w:r>
      <w:r w:rsidDel="00000000" w:rsidR="00000000" w:rsidRPr="00000000">
        <w:rPr>
          <w:rFonts w:ascii="Times New Roman" w:cs="Times New Roman" w:eastAsia="Times New Roman" w:hAnsi="Times New Roman"/>
          <w:sz w:val="24"/>
          <w:szCs w:val="24"/>
          <w:rtl w:val="0"/>
        </w:rPr>
        <w:t xml:space="preserve">. The roots are potential source of phytochemicals and </w:t>
      </w:r>
      <w:r w:rsidDel="00000000" w:rsidR="00000000" w:rsidRPr="00000000">
        <w:rPr>
          <w:rFonts w:ascii="Times New Roman" w:cs="Times New Roman" w:eastAsia="Times New Roman" w:hAnsi="Times New Roman"/>
          <w:color w:val="000000"/>
          <w:sz w:val="24"/>
          <w:szCs w:val="24"/>
          <w:rtl w:val="0"/>
        </w:rPr>
        <w:t xml:space="preserve">articulated potential antioxidant properties.</w:t>
      </w:r>
      <w:r w:rsidDel="00000000" w:rsidR="00000000" w:rsidRPr="00000000">
        <w:rPr>
          <w:rFonts w:ascii="Times New Roman" w:cs="Times New Roman" w:eastAsia="Times New Roman" w:hAnsi="Times New Roman"/>
          <w:sz w:val="25"/>
          <w:szCs w:val="25"/>
          <w:rtl w:val="0"/>
        </w:rPr>
        <w:t xml:space="preserve">The extracted root samples, particularly those prepared using aqueous solvents, exhibited high levels of phenolic and flavonoid content—two key classes of phytochemicals known for their strong antioxidant and anti-inflammatory properties. Aqueous extracts consistently outperformed juice and chloroform extracts across various assays, including DPPH radical scavenging, total antioxidant capacity, catalase and peroxidase activity, and anti-inflammatory tests. The observed nutritional profile, including adequate moisture, ash, and fiber content, further enhances its suitability for medicinal and nutraceutical applications. The extract’s ability to inhibit protein denaturation and stabilize lysosomal membranes supports its use in inflammation management. Future studies involving compound isolation, in vivo models, and clinical trials would provide deeper insights into its pharmacological mechanisms and broaden its applications in modern medicine.</w:t>
      </w:r>
    </w:p>
    <w:p w:rsidR="00000000" w:rsidDel="00000000" w:rsidP="00000000" w:rsidRDefault="00000000" w:rsidRPr="00000000" w14:paraId="00000045">
      <w:pPr>
        <w:spacing w:after="314"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Nandy S, Mukherjee A, Pandey DK, Ray P, Dey A. Indian Sarsaparilla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Hemidesmus indicus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recent progress in research on ethnobotany, phytochemistry and pharmacology. J Ethnopharmacol. 2020; (23):254:112609 </w:t>
      </w:r>
      <w:hyperlink r:id="rId10">
        <w:r w:rsidDel="00000000" w:rsidR="00000000" w:rsidRPr="00000000">
          <w:rPr>
            <w:rFonts w:ascii="Arial" w:cs="Arial" w:eastAsia="Arial" w:hAnsi="Arial"/>
            <w:b w:val="0"/>
            <w:i w:val="0"/>
            <w:smallCaps w:val="0"/>
            <w:strike w:val="0"/>
            <w:color w:val="4f46e5"/>
            <w:sz w:val="24"/>
            <w:szCs w:val="24"/>
            <w:highlight w:val="white"/>
            <w:u w:val="single"/>
            <w:vertAlign w:val="baseline"/>
            <w:rtl w:val="0"/>
          </w:rPr>
          <w:t xml:space="preserve">10.1016/j.jep.2020.112609</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Manohar A, Kumar PV, Ahamed AJ, Ravikumar A, Vinoth A, Priyadharshan M. Investigation of the morphological, optical and antimicrobial properties of Nd-doped ZnO nanoparticles using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Hemidesmus indicus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 R. Br. root extracts. J Adv Appl Sci Res. 2023;75(1):21–33. </w:t>
      </w:r>
      <w:hyperlink r:id="rId11">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10.46947/joaasr512023463</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Das S, Singh Bisht S. The bioactive and therapeutic potential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Hemidesmus indicus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Br. (Indian Sarsaparilla) root. Phytother Res. 2013 Jun;27(6):791–801. </w:t>
      </w:r>
      <w:hyperlink r:id="rId12">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10.1002/ptr.4788</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Chakrabortty S, Choudhary 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Hemidesmus indicus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(anantmool): rare herb of Chhattisgarh. Indian J Sci Res. 2014;4(1):89–93.</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NMPB. Demand and supply of medicinal plants. National Medicinal Plants Board (NMPB).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https://nmpb</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nic.in/medicinal_list. Accessed on 27.07.2020.</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Gowthami R, Neelam Sharm, Ruchira Pandey, Anuradha Agrawal. Status and consolidated list of threatened medicinal plants of India. Genet Resour Crop Evol. 2021; (68):2235–2263 </w:t>
      </w:r>
      <w:hyperlink r:id="rId14">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10.1007/s10722-021-01199-0</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AOAC. Official Methods of Analysis. Association of Official Analytical Chemists. 1984.14th Edition, AOAC, Arlington.</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Sadasivam S, Manickam A. Biochemical Methods. New Age International Publishers, New Delhi.2023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Madhusudana Somegowda, Raghavendra S, Shankarappa Sridhara, Achur N Rajeshwara, Siddanakoppalu N Pramod, Shivashankar S, Feng Lin, Tarek K, Zin E Abedin, Shabir Hussain Wani, and Hosam O Elansary. Defensive Mechanisms in Cucurbits against Melon Fly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Bactrocera cucurbitae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Infestation through Excessive Production of Defensive Enzymes and Antioxidants.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Molecules.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 26:6345. </w:t>
      </w:r>
      <w:hyperlink r:id="rId15">
        <w:r w:rsidDel="00000000" w:rsidR="00000000" w:rsidRPr="00000000">
          <w:rPr>
            <w:rFonts w:ascii="Arial" w:cs="Arial" w:eastAsia="Arial" w:hAnsi="Arial"/>
            <w:b w:val="0"/>
            <w:i w:val="0"/>
            <w:smallCaps w:val="0"/>
            <w:strike w:val="0"/>
            <w:color w:val="4f46e5"/>
            <w:sz w:val="24"/>
            <w:szCs w:val="24"/>
            <w:highlight w:val="white"/>
            <w:u w:val="single"/>
            <w:vertAlign w:val="baseline"/>
            <w:rtl w:val="0"/>
          </w:rPr>
          <w:t xml:space="preserve">10.3390/molecules26216345</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Cynthia L, Peraldi A, Patrick FD, Mottiar Y, Santoro N. Effects of Phenylalanine Ammonia Lyase (PAL) knockdown on cell wall composition, biomass digestibility and biotic and abiotic stress responses in Brachypodium.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Experimental Botany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.2015; 66(14): 4317–4335  </w:t>
      </w:r>
      <w:hyperlink r:id="rId16">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10.1093/jxb/erv269</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Antuani, Rafael. Baptistella. Fabio, Junior. Sarmento. Karina, Ribeiro. da Silva. Shaline, Ferla. Baptistella. Marcelo, Taglietti. Radamés, Ádamo. Zuquelloe. &amp; João, Rogério. Nunes. Filhoa. (2018). Predictive factors of weaning from mechanical ventilation and extubation outcome: A systematic review.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Critical Care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48: 56–62  </w:t>
      </w:r>
      <w:hyperlink r:id="rId17">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10.1016/j.jcrc.2018.08.023</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Anwesha BAG. Evaluation of Synergistic Antibacterial and Antioxidant Efficacy of Essential Oils of Spices and Herbs in Combination.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PLoS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2019;10:e0131321 </w:t>
      </w:r>
      <w:r w:rsidDel="00000000" w:rsidR="00000000" w:rsidRPr="00000000">
        <w:rPr>
          <w:rtl w:val="0"/>
        </w:rPr>
      </w:r>
    </w:p>
    <w:p w:rsidR="00000000" w:rsidDel="00000000" w:rsidP="00000000" w:rsidRDefault="00000000" w:rsidRPr="00000000" w14:paraId="00000062">
      <w:pPr>
        <w:shd w:fill="ffffff" w:val="clear"/>
        <w:spacing w:after="280" w:before="280" w:line="240" w:lineRule="auto"/>
        <w:ind w:left="720" w:firstLine="0"/>
        <w:rPr>
          <w:rFonts w:ascii="Helvetica Neue" w:cs="Helvetica Neue" w:eastAsia="Helvetica Neue" w:hAnsi="Helvetica Neue"/>
          <w:color w:val="606060"/>
          <w:sz w:val="20"/>
          <w:szCs w:val="20"/>
        </w:rPr>
      </w:pPr>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Arial" w:cs="Arial" w:eastAsia="Arial" w:hAnsi="Arial"/>
            <w:color w:val="4f46e5"/>
            <w:highlight w:val="white"/>
            <w:u w:val="single"/>
            <w:rtl w:val="0"/>
          </w:rPr>
          <w:t xml:space="preserve">10.1371/journal.pone.0131321</w:t>
        </w:r>
      </w:hyperlink>
      <w:r w:rsidDel="00000000" w:rsidR="00000000" w:rsidRPr="00000000">
        <w:rPr>
          <w:rtl w:val="0"/>
        </w:rPr>
      </w:r>
    </w:p>
    <w:p w:rsidR="00000000" w:rsidDel="00000000" w:rsidP="00000000" w:rsidRDefault="00000000" w:rsidRPr="00000000" w14:paraId="00000063">
      <w:pPr>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Naima S, Muhammad RK, &amp; Shabbir M. Antioxidant activity, total phenolic and total flavonoid contents of whole plant extracts Torilis leptophylla L. BMC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Complementary and Alternative Medicine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2012; 7(4):18-29  </w:t>
      </w:r>
      <w:hyperlink r:id="rId19">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10.1186/1472-6882-12-221</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Raghavendra S, Kumar V, Ramesh CK, Parmesha M, Moinuddin Khan MH. Characterization of Poly Phenol Oxidase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vitro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regenerated two Cultivars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Mucuna: Mucuna pruriens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Mucuna prurita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Turkish Journal of Biology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2011; </w:t>
      </w:r>
      <w:hyperlink r:id="rId20">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10.3906/biy-0912-26</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Chandra S, Chatterjee  P, Dey P, Bhattacharya S.  Evaluation of in vitro antiinflammatory activity of coffee against the denaturation of protein. Asian Pac. J. Trop. Biomed. 2012; S178–S180. Che   </w:t>
      </w:r>
      <w:hyperlink r:id="rId21">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10.1016/s2221-1691(12)60154-3</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Vigneshwaran V, Prabhu Thirusangua, Madhusudana S, Krishnac V, Siddanakoppalu N. Pramodb, Prabhakara BT. The latex sap of the ‘Old World Plant’ Lagenaria siceraria with potent lectin activity mitigates neoplastic malignancy targeting neovasculature and cell death. International Immunopharmacology .2016; (39):158–171  </w:t>
      </w:r>
      <w:hyperlink r:id="rId22">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10.1016/j.intimp.2016.07.024</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Ebuehi OAT, Oyewole AC. Effect of cooking and soaking on physical characteristics, nutrient composition and sensory evaluation of indigenous rice and foreign rice varieties in Nigeria. Afr J Biote chu, 2008;6(8): 1016–1020  </w:t>
      </w:r>
      <w:hyperlink r:id="rId23">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10.4314/AJB.V6I8.57040</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Zheng Lan. Use of Functional Feed Additives to Enhance Intestinal Health and Growth of Nursery Pigs. A PhD dissertation submitted to the Graduate Faculty of North Carolina State University Under the direction of Dr. Sung Woo Kim.2007.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Ratna Priya T S, Ann Raeboline Lincy Eliazer Nelson, Kavitha Ravichandran, Usha Antony. Nutritional and functional properties ofcoloured rice varieties of South India: a review Rathna Priya et al. Journal of Ethnic Foods.2019; (6):11 </w:t>
      </w:r>
      <w:hyperlink r:id="rId24">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10.1186/s42779-019-0017-3</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Eggum BO. The nutritional value of rice in comparison with other cereals. In: Proceedings of Workshop on Chemical Aspects of Rice Grain Quality, Los Banos, Laguna. The Philippines &amp; IRRI. 1979; 91-111 </w:t>
      </w:r>
      <w:hyperlink r:id="rId2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https://doi.org/10.1002/jsfa.2740301206</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Abdul Ghani, Mujahid Hussain, Muhammad Ikram, Noor Muhammad Iftikhar Ahmad, Ameer Khan, Mishal Iftikhar, Muhammad Imran, Khuram Shahzad, Muhammad Farooq, and Tahira Hameed. Comparative Analysis of Ascorbic Acid Concentration in Two Varieties of  Citrus (Citrus sinensis, Citrus limetta) Collected from Different Tehsils of District Sargodha, Pakistan. Vitam Miner. 2016; 5: 138. </w:t>
      </w:r>
      <w:hyperlink r:id="rId26">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10.4172/2376-1318.1000138</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Admasu Abera, Mihret Tilahun, Saba Gebremichael Tekele, and Melaku Ashagrie Belete. Prevalence, Antimicrobial Susceptibility Patterns, and Risk Factors Associated with Enterococci among Pediatric Patients at Dessie Referral Hospital, Northeastern Ethiopia. Hindawi BioMed Research International Volume 2021; Article ID 5549847, 9 pages  </w:t>
      </w:r>
      <w:hyperlink r:id="rId27">
        <w:r w:rsidDel="00000000" w:rsidR="00000000" w:rsidRPr="00000000">
          <w:rPr>
            <w:rFonts w:ascii="Arial" w:cs="Arial" w:eastAsia="Arial" w:hAnsi="Arial"/>
            <w:b w:val="0"/>
            <w:i w:val="0"/>
            <w:smallCaps w:val="0"/>
            <w:strike w:val="0"/>
            <w:color w:val="4f46e5"/>
            <w:sz w:val="24"/>
            <w:szCs w:val="24"/>
            <w:highlight w:val="white"/>
            <w:u w:val="single"/>
            <w:vertAlign w:val="baseline"/>
            <w:rtl w:val="0"/>
          </w:rPr>
          <w:t xml:space="preserve">10.1155/2021/5549847</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 Ghasemzadeh Hawa, Jaafar ZE, &amp; Asmah Rahmat. Changes in antioxidant and antibacterial activities as well as phytochemical constituents associated with ginger storage and polyphenol oxidase activity. BMC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Complementary and Alternative Medicine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2016;(16):382  </w:t>
      </w:r>
      <w:hyperlink r:id="rId28">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10.1186/s12906-016-1352-1</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Jayarathna MKNW,  Dharmakeerthi RS, &amp; Igalavithana AD. Effects of Biochar Based N Fertilizer Application on Ammonia Volatilization from a Rice Growing Soil: A Laboratory Scale Closed Chamber Study.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Tropical Agricultural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20245;35(1):34-45  </w:t>
      </w:r>
      <w:hyperlink r:id="rId29">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10.4038/tar.v35i1.8702</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hyperlink r:id="rId3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Ankita Nandi</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3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Liang-Jun Yan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3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Chandan, Kumar Jana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&amp; </w:t>
      </w:r>
      <w:hyperlink r:id="rId3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Nilanjana Das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Role of Catalase in Oxidative Stress- and Age-Associated Degenerative Diseases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Oxidative Medicine and Cellular Longevity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2019;(11):9613090.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767676"/>
          <w:sz w:val="21"/>
          <w:szCs w:val="21"/>
          <w:highlight w:val="white"/>
          <w:rtl w:val="0"/>
        </w:rPr>
        <w:t xml:space="preserve">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4">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10.1155/2019/9613090</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Jayalakshmi B, Kruthika L, Amruthesh KN. Phytochemical study and antioxidant property of (L) R. Br. roots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Hemidesmus indicus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Asian Journal of Pharmacy and Pharmacology. 2018;4(5):719-723.  </w:t>
      </w:r>
      <w:hyperlink r:id="rId35">
        <w:r w:rsidDel="00000000" w:rsidR="00000000" w:rsidRPr="00000000">
          <w:rPr>
            <w:rFonts w:ascii="Arial" w:cs="Arial" w:eastAsia="Arial" w:hAnsi="Arial"/>
            <w:b w:val="0"/>
            <w:i w:val="0"/>
            <w:smallCaps w:val="0"/>
            <w:strike w:val="0"/>
            <w:color w:val="4f46e5"/>
            <w:sz w:val="24"/>
            <w:szCs w:val="24"/>
            <w:highlight w:val="white"/>
            <w:u w:val="single"/>
            <w:vertAlign w:val="baseline"/>
            <w:rtl w:val="0"/>
          </w:rPr>
          <w:t xml:space="preserve">10.31024/ajpp.2018.4.5.27</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Zahin M, Aqil F, Ahmad I.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vitro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antioxidant activity and total phenolic content of four Indian medicinal plants. International Journal of pharmacy and pharmaceutical Sciences. 2009;1(1):88-95. </w:t>
      </w:r>
      <w:hyperlink r:id="rId3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researchgate.net/profile/Maryam-Zahin-2/publication/228936871_The_in_vitro_antioxidant_activity_and_total_phenolic_content_of_four_Indian_medicinal_plants/links/560d558308ae2aa0be4a30aa/The-in-vitro-antioxidant-activity-and-total-phenolic-content-of-four-Indian-medicinal-plants.pdf</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Chen L, Hu JY,  Wang SQ. The role of antioxidants in photoprotection: a critical review.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the American Academy of Dermatology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2012;(67):1013–1024 </w:t>
      </w:r>
      <w:hyperlink r:id="rId37">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10.1016/j.jaad.2012.02.009</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Biczak R. Quaternary ammonium salts with tetra fluoro borate anion: Phytotoxicity and oxidative stress in terrestrial plants.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Hazardous Materials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2016; (304):173–185 </w:t>
      </w:r>
      <w:hyperlink r:id="rId38">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10.1016/j.jhazmat.2015.10.055</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Young IS, Woodside JV. Antioxidants in health and disease.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Clinical Pathology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2001; (54): 176–186 </w:t>
      </w:r>
      <w:hyperlink r:id="rId39">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10.1136/jcp.54.3.176</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Pacher P, Beckman JS, Liaudet L. Nitric oxide and peroxynitrite in health and disease.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Physiological Reviews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2007; 87: 315–424  </w:t>
      </w:r>
      <w:hyperlink r:id="rId40">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10.1152/physrev.00029.2006</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Azzouzi N, Bouchaib A, Britel MR, Maurady A. Characterization of Polyphenol Oxidase (PPO) from Blackberry Thorny Wild Rubus Fruticosus and its Inhibition using Natural Extracts.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Research in Nutrition and Food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2022; 10(3):doi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41">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10.12944/CRNFSJ.10.3.33</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Heim KE, Tagliaferro AR, Bobilya DJ. Flavonoid antioxidants: Chemistry, metabolism and structure–activity relationships.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Nutritional Biochemistry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2022;(13): 572–584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42">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10.1016/S0955-2863(02)00208-5</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Rufeng Wang, Yi Ding, Ruining Liu, Lan Xiang, Lijun Du. Pomegranate: Constituents, Bioactivities and Pharmacokinetics Fruit, Vegetable and Cereal Science and Biotechnology. Global Science Books. 2010. https://www.researchgate.net/publication/228474896_Pomegranate_Constituents_Bioactivities_and_Pharmacokinetics</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Jing Chen, Chunling Liao, Xiaolu Ouyang, Ibrahim Kahramanoglu, Yudi Gan, Mingxi Li.  Antimicrobial Activity of Pomegranate Peel and Its Applications on Food Preservation.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Food Quality.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2020;ID 8850339 </w:t>
      </w:r>
      <w:r w:rsidDel="00000000" w:rsidR="00000000" w:rsidRPr="00000000">
        <w:rPr>
          <w:rtl w:val="0"/>
        </w:rPr>
      </w:r>
    </w:p>
    <w:p w:rsidR="00000000" w:rsidDel="00000000" w:rsidP="00000000" w:rsidRDefault="00000000" w:rsidRPr="00000000" w14:paraId="00000084">
      <w:pP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767676"/>
          <w:sz w:val="21"/>
          <w:szCs w:val="21"/>
          <w:highlight w:val="white"/>
          <w:rtl w:val="0"/>
        </w:rPr>
        <w:t xml:space="preserve"> </w:t>
      </w: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hyperlink r:id="rId43">
        <w:r w:rsidDel="00000000" w:rsidR="00000000" w:rsidRPr="00000000">
          <w:rPr>
            <w:rFonts w:ascii="Arial" w:cs="Arial" w:eastAsia="Arial" w:hAnsi="Arial"/>
            <w:color w:val="4f46e5"/>
            <w:highlight w:val="white"/>
            <w:u w:val="single"/>
            <w:rtl w:val="0"/>
          </w:rPr>
          <w:t xml:space="preserve">10.1155/2020/8850339</w:t>
        </w:r>
      </w:hyperlink>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Opalovic Mirko, Knezevic Ljubica, Ivanovic Sasa Gacnik, Maja Mikulic-Petkovsek. Phytochemical screening of wild pomegranate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Punica granatum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 juices from the market.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Food Composition and 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 100: 103933 </w:t>
      </w:r>
      <w:hyperlink r:id="rId44">
        <w:r w:rsidDel="00000000" w:rsidR="00000000" w:rsidRPr="00000000">
          <w:rPr>
            <w:rFonts w:ascii="Arial" w:cs="Arial" w:eastAsia="Arial" w:hAnsi="Arial"/>
            <w:b w:val="0"/>
            <w:i w:val="0"/>
            <w:smallCaps w:val="0"/>
            <w:strike w:val="0"/>
            <w:color w:val="4f46e5"/>
            <w:sz w:val="22"/>
            <w:szCs w:val="22"/>
            <w:highlight w:val="white"/>
            <w:u w:val="single"/>
            <w:vertAlign w:val="baseline"/>
            <w:rtl w:val="0"/>
          </w:rPr>
          <w:t xml:space="preserve">10.1016/j.jfca.2021.103933</w:t>
        </w:r>
      </w:hyperlink>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Times New Roman" w:cs="Times New Roman" w:eastAsia="Times New Roman" w:hAnsi="Times New Roman"/>
          <w:i w:val="0"/>
          <w:smallCaps w:val="0"/>
          <w:strike w:val="0"/>
          <w:sz w:val="24"/>
          <w:szCs w:val="24"/>
          <w:u w:val="none"/>
          <w:shd w:fill="auto" w:val="clear"/>
          <w:vertAlign w:val="baseline"/>
        </w:rPr>
      </w:pPr>
      <w:commentRangeStart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bdul Ghani, Mujahid</w:t>
      </w:r>
      <w:commentRangeEnd w:id="1"/>
      <w:r w:rsidDel="00000000" w:rsidR="00000000" w:rsidRPr="00000000">
        <w:commentReference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Hussain*, Muhammad Ikram, Noor Muhammad Iftikhar Ahmad, Ameer Khan, Mishal Iftikhar, Muhammad Imran, </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Khuram Shahzad, Muhammad Farooq and Tahira Hameed</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Abdul Ghani, Mujahid Hussain*, Muhammad Ikram, Noor Muhammad Iftikhar Ahmad, Ameer Khan, Mishal Iftikhar, Muhammad Imran, </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Khuram Shahzad, Muhammad Farooq and Tahira Hameed</w:t>
      </w:r>
      <w:r w:rsidDel="00000000" w:rsidR="00000000" w:rsidRPr="00000000">
        <w:rPr>
          <w:rtl w:val="0"/>
        </w:rPr>
      </w:r>
    </w:p>
    <w:p w:rsidR="00000000" w:rsidDel="00000000" w:rsidP="00000000" w:rsidRDefault="00000000" w:rsidRPr="00000000" w14:paraId="00000091">
      <w:pPr>
        <w:shd w:fill="ffffff" w:val="clear"/>
        <w:spacing w:after="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color w:val="131413"/>
          <w:rtl w:val="0"/>
        </w:rPr>
        <w:t xml:space="preserve">unctional properties of</w:t>
      </w:r>
    </w:p>
    <w:p w:rsidR="00000000" w:rsidDel="00000000" w:rsidP="00000000" w:rsidRDefault="00000000" w:rsidRPr="00000000" w14:paraId="00000092">
      <w:pPr>
        <w:shd w:fill="ffffff" w:val="clear"/>
        <w:spacing w:after="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color w:val="131413"/>
          <w:rtl w:val="0"/>
        </w:rPr>
        <w:t xml:space="preserve">coloured rice varieties of South India: a</w:t>
      </w:r>
    </w:p>
    <w:p w:rsidR="00000000" w:rsidDel="00000000" w:rsidP="00000000" w:rsidRDefault="00000000" w:rsidRPr="00000000" w14:paraId="00000093">
      <w:pPr>
        <w:shd w:fill="ffffff" w:val="clear"/>
        <w:spacing w:after="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color w:val="131413"/>
          <w:rtl w:val="0"/>
        </w:rPr>
        <w:t xml:space="preserve">review</w:t>
      </w:r>
    </w:p>
    <w:p w:rsidR="00000000" w:rsidDel="00000000" w:rsidP="00000000" w:rsidRDefault="00000000" w:rsidRPr="00000000" w14:paraId="00000094">
      <w:pPr>
        <w:shd w:fill="ffffff" w:val="clear"/>
        <w:spacing w:after="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color w:val="131413"/>
          <w:rtl w:val="0"/>
        </w:rPr>
        <w:t xml:space="preserve">Rathna Priya T. S., Ann Raeboline Lincy Eliazer Nelson, Kavitha Ravichandran</w:t>
      </w:r>
    </w:p>
    <w:p w:rsidR="00000000" w:rsidDel="00000000" w:rsidP="00000000" w:rsidRDefault="00000000" w:rsidRPr="00000000" w14:paraId="00000095">
      <w:pPr>
        <w:shd w:fill="ffffff" w:val="clear"/>
        <w:spacing w:after="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color w:val="131413"/>
          <w:rtl w:val="0"/>
        </w:rPr>
        <w:t xml:space="preserve">*</w:t>
      </w:r>
    </w:p>
    <w:p w:rsidR="00000000" w:rsidDel="00000000" w:rsidP="00000000" w:rsidRDefault="00000000" w:rsidRPr="00000000" w14:paraId="00000096">
      <w:pPr>
        <w:shd w:fill="ffffff" w:val="clear"/>
        <w:spacing w:after="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color w:val="131413"/>
          <w:rtl w:val="0"/>
        </w:rPr>
        <w:t xml:space="preserve">and Usha Antony</w:t>
      </w:r>
    </w:p>
    <w:p w:rsidR="00000000" w:rsidDel="00000000" w:rsidP="00000000" w:rsidRDefault="00000000" w:rsidRPr="00000000" w14:paraId="00000097">
      <w:pPr>
        <w:shd w:fill="ffffff" w:val="clear"/>
        <w:spacing w:after="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color w:val="131413"/>
          <w:rtl w:val="0"/>
        </w:rPr>
        <w:t xml:space="preserve">Nutritional and functional properties of</w:t>
      </w:r>
    </w:p>
    <w:p w:rsidR="00000000" w:rsidDel="00000000" w:rsidP="00000000" w:rsidRDefault="00000000" w:rsidRPr="00000000" w14:paraId="00000098">
      <w:pPr>
        <w:shd w:fill="ffffff" w:val="clear"/>
        <w:spacing w:after="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color w:val="131413"/>
          <w:rtl w:val="0"/>
        </w:rPr>
        <w:t xml:space="preserve">coloured rice varieties of South India: a</w:t>
      </w:r>
    </w:p>
    <w:p w:rsidR="00000000" w:rsidDel="00000000" w:rsidP="00000000" w:rsidRDefault="00000000" w:rsidRPr="00000000" w14:paraId="00000099">
      <w:pPr>
        <w:shd w:fill="ffffff" w:val="clear"/>
        <w:spacing w:after="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color w:val="131413"/>
          <w:rtl w:val="0"/>
        </w:rPr>
        <w:t xml:space="preserve">review</w:t>
      </w:r>
    </w:p>
    <w:p w:rsidR="00000000" w:rsidDel="00000000" w:rsidP="00000000" w:rsidRDefault="00000000" w:rsidRPr="00000000" w14:paraId="0000009A">
      <w:pPr>
        <w:shd w:fill="ffffff" w:val="clear"/>
        <w:spacing w:after="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color w:val="131413"/>
          <w:rtl w:val="0"/>
        </w:rPr>
        <w:t xml:space="preserve">Rathna Priya T. S., Ann Raeboline Lincy Eliazer Nelson, Kavitha Ravichandran</w:t>
      </w:r>
    </w:p>
    <w:p w:rsidR="00000000" w:rsidDel="00000000" w:rsidP="00000000" w:rsidRDefault="00000000" w:rsidRPr="00000000" w14:paraId="0000009B">
      <w:pPr>
        <w:shd w:fill="ffffff" w:val="clear"/>
        <w:spacing w:after="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color w:val="131413"/>
          <w:rtl w:val="0"/>
        </w:rPr>
        <w:t xml:space="preserve">*</w:t>
      </w:r>
    </w:p>
    <w:p w:rsidR="00000000" w:rsidDel="00000000" w:rsidP="00000000" w:rsidRDefault="00000000" w:rsidRPr="00000000" w14:paraId="0000009C">
      <w:pPr>
        <w:shd w:fill="ffffff" w:val="clear"/>
        <w:spacing w:after="0" w:lineRule="auto"/>
        <w:rPr>
          <w:rFonts w:ascii="Times New Roman" w:cs="Times New Roman" w:eastAsia="Times New Roman" w:hAnsi="Times New Roman"/>
          <w:color w:val="131413"/>
        </w:rPr>
      </w:pPr>
      <w:r w:rsidDel="00000000" w:rsidR="00000000" w:rsidRPr="00000000">
        <w:rPr>
          <w:rFonts w:ascii="Times New Roman" w:cs="Times New Roman" w:eastAsia="Times New Roman" w:hAnsi="Times New Roman"/>
          <w:color w:val="131413"/>
          <w:rtl w:val="0"/>
        </w:rPr>
        <w:t xml:space="preserve">and Usha Antony</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5zcdta58kimk" w:id="0"/>
      <w:bookmarkEnd w:id="0"/>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tabs>
          <w:tab w:val="left" w:leader="none" w:pos="0"/>
        </w:tabs>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color w:val="000000"/>
          <w:rtl w:val="0"/>
        </w:rPr>
        <w:t xml:space="preserve">Table 1</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i w:val="1"/>
          <w:rtl w:val="0"/>
        </w:rPr>
        <w:t xml:space="preserve">Nutrient analysisof Hemidesmus indicus</w:t>
      </w:r>
      <w:r w:rsidDel="00000000" w:rsidR="00000000" w:rsidRPr="00000000">
        <w:rPr>
          <w:rtl w:val="0"/>
        </w:rPr>
      </w:r>
    </w:p>
    <w:tbl>
      <w:tblPr>
        <w:tblStyle w:val="Table1"/>
        <w:tblpPr w:leftFromText="180" w:rightFromText="180" w:topFromText="0" w:bottomFromText="0" w:vertAnchor="text" w:horzAnchor="text" w:tblpX="2408.5" w:tblpY="272"/>
        <w:tblW w:w="454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6"/>
        <w:gridCol w:w="2455"/>
        <w:gridCol w:w="1652"/>
        <w:tblGridChange w:id="0">
          <w:tblGrid>
            <w:gridCol w:w="436"/>
            <w:gridCol w:w="2455"/>
            <w:gridCol w:w="1652"/>
          </w:tblGrid>
        </w:tblGridChange>
      </w:tblGrid>
      <w:tr>
        <w:trPr>
          <w:cantSplit w:val="0"/>
          <w:tblHeader w:val="0"/>
        </w:trPr>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Proximate Analysis</w:t>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Moisture</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w:t>
            </w:r>
          </w:p>
        </w:tc>
      </w:tr>
      <w:tr>
        <w:trPr>
          <w:cantSplit w:val="0"/>
          <w:tblHeader w:val="0"/>
        </w:trPr>
        <w:tc>
          <w:tcPr/>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w:t>
            </w:r>
          </w:p>
        </w:tc>
        <w:tc>
          <w:tcPr/>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Crude fat</w:t>
            </w:r>
          </w:p>
        </w:tc>
        <w:tc>
          <w:tcPr/>
          <w:p w:rsidR="00000000" w:rsidDel="00000000" w:rsidP="00000000" w:rsidRDefault="00000000" w:rsidRPr="00000000" w14:paraId="000000A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0.73%</w:t>
            </w:r>
          </w:p>
        </w:tc>
      </w:tr>
      <w:tr>
        <w:trPr>
          <w:cantSplit w:val="0"/>
          <w:tblHeader w:val="0"/>
        </w:trPr>
        <w:tc>
          <w:tcPr/>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w:t>
            </w:r>
          </w:p>
        </w:tc>
        <w:tc>
          <w:tcPr/>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Crude Fiber</w:t>
            </w:r>
          </w:p>
        </w:tc>
        <w:tc>
          <w:tcPr/>
          <w:p w:rsidR="00000000" w:rsidDel="00000000" w:rsidP="00000000" w:rsidRDefault="00000000" w:rsidRPr="00000000" w14:paraId="000000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r>
          </w:p>
        </w:tc>
      </w:tr>
      <w:tr>
        <w:trPr>
          <w:cantSplit w:val="0"/>
          <w:tblHeader w:val="0"/>
        </w:trPr>
        <w:tc>
          <w:tcPr/>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w:t>
            </w:r>
          </w:p>
        </w:tc>
        <w:tc>
          <w:tcPr/>
          <w:p w:rsidR="00000000" w:rsidDel="00000000" w:rsidP="00000000" w:rsidRDefault="00000000" w:rsidRPr="00000000" w14:paraId="000000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w:t>
            </w:r>
          </w:p>
        </w:tc>
        <w:tc>
          <w:tcPr/>
          <w:p w:rsidR="00000000" w:rsidDel="00000000" w:rsidP="00000000" w:rsidRDefault="00000000" w:rsidRPr="00000000" w14:paraId="000000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w:t>
            </w:r>
          </w:p>
        </w:tc>
      </w:tr>
      <w:tr>
        <w:trPr>
          <w:cantSplit w:val="0"/>
          <w:tblHeader w:val="0"/>
        </w:trPr>
        <w:tc>
          <w:tcPr/>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c>
          <w:tcPr/>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Reducing Sugar</w:t>
            </w:r>
          </w:p>
        </w:tc>
        <w:tc>
          <w:tcPr/>
          <w:p w:rsidR="00000000" w:rsidDel="00000000" w:rsidP="00000000" w:rsidRDefault="00000000" w:rsidRPr="00000000" w14:paraId="000000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5"/>
                <w:szCs w:val="25"/>
                <w:rtl w:val="0"/>
              </w:rPr>
              <w:t xml:space="preserve">35.2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tl w:val="0"/>
              </w:rPr>
            </w:r>
          </w:p>
        </w:tc>
      </w:tr>
      <w:tr>
        <w:trPr>
          <w:cantSplit w:val="0"/>
          <w:trHeight w:val="468" w:hRule="atLeast"/>
          <w:tblHeader w:val="0"/>
        </w:trPr>
        <w:tc>
          <w:tcPr/>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w:t>
            </w:r>
          </w:p>
        </w:tc>
        <w:tc>
          <w:tcPr/>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Sugar</w:t>
            </w:r>
          </w:p>
        </w:tc>
        <w:tc>
          <w:tcPr/>
          <w:p w:rsidR="00000000" w:rsidDel="00000000" w:rsidP="00000000" w:rsidRDefault="00000000" w:rsidRPr="00000000" w14:paraId="000000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5"/>
                <w:szCs w:val="25"/>
                <w:rtl w:val="0"/>
              </w:rPr>
              <w:t xml:space="preserve">60.4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tl w:val="0"/>
              </w:rPr>
            </w:r>
          </w:p>
        </w:tc>
      </w:tr>
      <w:tr>
        <w:trPr>
          <w:cantSplit w:val="0"/>
          <w:trHeight w:val="468" w:hRule="atLeast"/>
          <w:tblHeader w:val="0"/>
        </w:trPr>
        <w:tc>
          <w:tcPr/>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w:t>
            </w:r>
          </w:p>
        </w:tc>
        <w:tc>
          <w:tcPr/>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Protein</w:t>
            </w:r>
          </w:p>
        </w:tc>
        <w:tc>
          <w:tcPr/>
          <w:p w:rsidR="00000000" w:rsidDel="00000000" w:rsidP="00000000" w:rsidRDefault="00000000" w:rsidRPr="00000000" w14:paraId="000000BB">
            <w:pPr>
              <w:jc w:val="cente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0.10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tl w:val="0"/>
              </w:rPr>
            </w:r>
          </w:p>
        </w:tc>
      </w:tr>
      <w:tr>
        <w:trPr>
          <w:cantSplit w:val="0"/>
          <w:tblHeader w:val="0"/>
        </w:trPr>
        <w:tc>
          <w:tcPr/>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w:t>
            </w:r>
          </w:p>
        </w:tc>
        <w:tc>
          <w:tcPr/>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Vitamin C</w:t>
            </w:r>
          </w:p>
        </w:tc>
        <w:tc>
          <w:tcPr/>
          <w:p w:rsidR="00000000" w:rsidDel="00000000" w:rsidP="00000000" w:rsidRDefault="00000000" w:rsidRPr="00000000" w14:paraId="000000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Micronutrient Characterization</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Sodium</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13.12</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Iron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 </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Calcium</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46.10 </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Manganese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 mg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p w:rsidR="00000000" w:rsidDel="00000000" w:rsidP="00000000" w:rsidRDefault="00000000" w:rsidRPr="00000000" w14:paraId="000000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Zinc</w:t>
            </w:r>
          </w:p>
          <w:p w:rsidR="00000000" w:rsidDel="00000000" w:rsidP="00000000" w:rsidRDefault="00000000" w:rsidRPr="00000000" w14:paraId="000000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Copper </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8.2</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27.5 </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sz w:val="25"/>
                <w:szCs w:val="25"/>
                <w:vertAlign w:val="superscript"/>
                <w:rtl w:val="0"/>
              </w:rPr>
              <w:t xml:space="preserve">-g</w:t>
            </w:r>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E">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Table 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Antioxidant studies of Punica granatum L. seeds</w:t>
      </w:r>
    </w:p>
    <w:tbl>
      <w:tblPr>
        <w:tblStyle w:val="Table2"/>
        <w:tblW w:w="957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78"/>
        <w:gridCol w:w="1736"/>
        <w:gridCol w:w="2261"/>
        <w:gridCol w:w="2488"/>
        <w:gridCol w:w="2413"/>
        <w:tblGridChange w:id="0">
          <w:tblGrid>
            <w:gridCol w:w="678"/>
            <w:gridCol w:w="1736"/>
            <w:gridCol w:w="2261"/>
            <w:gridCol w:w="2488"/>
            <w:gridCol w:w="2413"/>
          </w:tblGrid>
        </w:tblGridChange>
      </w:tblGrid>
      <w:tr>
        <w:trPr>
          <w:cantSplit w:val="0"/>
          <w:trHeight w:val="629"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 no</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Phytochemicals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Hemidesmus indicus</w:t>
            </w:r>
            <w:r w:rsidDel="00000000" w:rsidR="00000000" w:rsidRPr="00000000">
              <w:rPr>
                <w:rFonts w:ascii="Times New Roman" w:cs="Times New Roman" w:eastAsia="Times New Roman" w:hAnsi="Times New Roman"/>
                <w:rtl w:val="0"/>
              </w:rPr>
              <w:t xml:space="preserve"> aqueous extract</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Hemidesmus indicus</w:t>
            </w:r>
            <w:r w:rsidDel="00000000" w:rsidR="00000000" w:rsidRPr="00000000">
              <w:rPr>
                <w:rFonts w:ascii="Times New Roman" w:cs="Times New Roman" w:eastAsia="Times New Roman" w:hAnsi="Times New Roman"/>
                <w:rtl w:val="0"/>
              </w:rPr>
              <w:t xml:space="preserve"> chloroform extract</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3">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Hemidesmus indicus</w:t>
            </w:r>
          </w:p>
          <w:p w:rsidR="00000000" w:rsidDel="00000000" w:rsidP="00000000" w:rsidRDefault="00000000" w:rsidRPr="00000000" w14:paraId="000000F4">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Juice</w:t>
            </w:r>
          </w:p>
        </w:tc>
      </w:tr>
      <w:tr>
        <w:trPr>
          <w:cantSplit w:val="0"/>
          <w:tblHeader w:val="0"/>
        </w:trPr>
        <w:tc>
          <w:tcPr>
            <w:tcBorders>
              <w:top w:color="000000" w:space="0" w:sz="4" w:val="single"/>
              <w:left w:color="000000" w:space="0" w:sz="0" w:val="nil"/>
              <w:right w:color="000000" w:space="0" w:sz="0" w:val="nil"/>
            </w:tcBorders>
          </w:tcPr>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w:t>
            </w:r>
          </w:p>
        </w:tc>
        <w:tc>
          <w:tcPr>
            <w:tcBorders>
              <w:top w:color="000000" w:space="0" w:sz="4" w:val="single"/>
              <w:left w:color="000000" w:space="0" w:sz="0" w:val="nil"/>
              <w:right w:color="000000" w:space="0" w:sz="0" w:val="nil"/>
            </w:tcBorders>
          </w:tcPr>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Phenol</w:t>
            </w:r>
          </w:p>
        </w:tc>
        <w:tc>
          <w:tcPr>
            <w:tcBorders>
              <w:top w:color="000000" w:space="0" w:sz="4" w:val="single"/>
              <w:left w:color="000000" w:space="0" w:sz="0" w:val="nil"/>
              <w:right w:color="000000" w:space="0" w:sz="0" w:val="nil"/>
            </w:tcBorders>
          </w:tcPr>
          <w:p w:rsidR="00000000" w:rsidDel="00000000" w:rsidP="00000000" w:rsidRDefault="00000000" w:rsidRPr="00000000" w14:paraId="000000F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180.20 </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vertAlign w:val="superscript"/>
                <w:rtl w:val="0"/>
              </w:rPr>
              <w:t xml:space="preserve"> -gm</w:t>
            </w: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0" w:val="nil"/>
              <w:right w:color="000000" w:space="0" w:sz="0" w:val="nil"/>
            </w:tcBorders>
          </w:tcPr>
          <w:p w:rsidR="00000000" w:rsidDel="00000000" w:rsidP="00000000" w:rsidRDefault="00000000" w:rsidRPr="00000000" w14:paraId="000000F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130.40 </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vertAlign w:val="superscript"/>
                <w:rtl w:val="0"/>
              </w:rPr>
              <w:t xml:space="preserve"> -gm</w:t>
            </w: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0" w:val="nil"/>
              <w:right w:color="000000" w:space="0" w:sz="0" w:val="nil"/>
            </w:tcBorders>
          </w:tcPr>
          <w:p w:rsidR="00000000" w:rsidDel="00000000" w:rsidP="00000000" w:rsidRDefault="00000000" w:rsidRPr="00000000" w14:paraId="000000F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160.50 </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vertAlign w:val="superscript"/>
                <w:rtl w:val="0"/>
              </w:rPr>
              <w:t xml:space="preserve"> -gm</w:t>
            </w:r>
            <w:r w:rsidDel="00000000" w:rsidR="00000000" w:rsidRPr="00000000">
              <w:rPr>
                <w:rFonts w:ascii="Times New Roman" w:cs="Times New Roman" w:eastAsia="Times New Roman" w:hAnsi="Times New Roman"/>
                <w:rtl w:val="0"/>
              </w:rPr>
              <w:t xml:space="preserve"> </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w:t>
            </w:r>
          </w:p>
        </w:tc>
        <w:tc>
          <w:tcPr>
            <w:tcBorders>
              <w:left w:color="000000" w:space="0" w:sz="0" w:val="nil"/>
              <w:right w:color="000000" w:space="0" w:sz="0" w:val="nil"/>
            </w:tcBorders>
          </w:tcPr>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Flavonoid, </w:t>
            </w:r>
          </w:p>
        </w:tc>
        <w:tc>
          <w:tcPr>
            <w:tcBorders>
              <w:left w:color="000000" w:space="0" w:sz="0" w:val="nil"/>
              <w:right w:color="000000" w:space="0" w:sz="0" w:val="nil"/>
            </w:tcBorders>
          </w:tcPr>
          <w:p w:rsidR="00000000" w:rsidDel="00000000" w:rsidP="00000000" w:rsidRDefault="00000000" w:rsidRPr="00000000" w14:paraId="000000F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41.33 </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vertAlign w:val="superscript"/>
                <w:rtl w:val="0"/>
              </w:rPr>
              <w:t xml:space="preserve"> -gm</w:t>
            </w:r>
            <w:r w:rsidDel="00000000" w:rsidR="00000000" w:rsidRPr="00000000">
              <w:rPr>
                <w:rFonts w:ascii="Times New Roman" w:cs="Times New Roman" w:eastAsia="Times New Roman" w:hAnsi="Times New Roman"/>
                <w:rtl w:val="0"/>
              </w:rPr>
              <w:t xml:space="preserve"> </w:t>
            </w:r>
          </w:p>
        </w:tc>
        <w:tc>
          <w:tcPr>
            <w:tcBorders>
              <w:left w:color="000000" w:space="0" w:sz="0" w:val="nil"/>
              <w:right w:color="000000" w:space="0" w:sz="0" w:val="nil"/>
            </w:tcBorders>
          </w:tcPr>
          <w:p w:rsidR="00000000" w:rsidDel="00000000" w:rsidP="00000000" w:rsidRDefault="00000000" w:rsidRPr="00000000" w14:paraId="000000F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36.12 </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vertAlign w:val="superscript"/>
                <w:rtl w:val="0"/>
              </w:rPr>
              <w:t xml:space="preserve"> -gm</w:t>
            </w:r>
            <w:r w:rsidDel="00000000" w:rsidR="00000000" w:rsidRPr="00000000">
              <w:rPr>
                <w:rFonts w:ascii="Times New Roman" w:cs="Times New Roman" w:eastAsia="Times New Roman" w:hAnsi="Times New Roman"/>
                <w:rtl w:val="0"/>
              </w:rPr>
              <w:t xml:space="preserve"> </w:t>
            </w:r>
          </w:p>
        </w:tc>
        <w:tc>
          <w:tcPr>
            <w:tcBorders>
              <w:left w:color="000000" w:space="0" w:sz="0" w:val="nil"/>
              <w:right w:color="000000" w:space="0" w:sz="0" w:val="nil"/>
            </w:tcBorders>
          </w:tcPr>
          <w:p w:rsidR="00000000" w:rsidDel="00000000" w:rsidP="00000000" w:rsidRDefault="00000000" w:rsidRPr="00000000" w14:paraId="000000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34.26 </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vertAlign w:val="superscript"/>
                <w:rtl w:val="0"/>
              </w:rPr>
              <w:t xml:space="preserve"> -gm</w:t>
            </w:r>
            <w:r w:rsidDel="00000000" w:rsidR="00000000" w:rsidRPr="00000000">
              <w:rPr>
                <w:rFonts w:ascii="Times New Roman" w:cs="Times New Roman" w:eastAsia="Times New Roman" w:hAnsi="Times New Roman"/>
                <w:rtl w:val="0"/>
              </w:rPr>
              <w:t xml:space="preserve"> </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F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w:t>
            </w:r>
          </w:p>
        </w:tc>
        <w:tc>
          <w:tcPr>
            <w:tcBorders>
              <w:left w:color="000000" w:space="0" w:sz="0" w:val="nil"/>
              <w:right w:color="000000" w:space="0" w:sz="0" w:val="nil"/>
            </w:tcBorders>
          </w:tcPr>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Tannin</w:t>
            </w:r>
          </w:p>
        </w:tc>
        <w:tc>
          <w:tcPr>
            <w:tcBorders>
              <w:left w:color="000000" w:space="0" w:sz="0" w:val="nil"/>
              <w:right w:color="000000" w:space="0" w:sz="0" w:val="nil"/>
            </w:tcBorders>
          </w:tcPr>
          <w:p w:rsidR="00000000" w:rsidDel="00000000" w:rsidP="00000000" w:rsidRDefault="00000000" w:rsidRPr="00000000" w14:paraId="000001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74.66 </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vertAlign w:val="superscript"/>
                <w:rtl w:val="0"/>
              </w:rPr>
              <w:t xml:space="preserve"> -gm</w:t>
            </w:r>
            <w:r w:rsidDel="00000000" w:rsidR="00000000" w:rsidRPr="00000000">
              <w:rPr>
                <w:rFonts w:ascii="Times New Roman" w:cs="Times New Roman" w:eastAsia="Times New Roman" w:hAnsi="Times New Roman"/>
                <w:rtl w:val="0"/>
              </w:rPr>
              <w:t xml:space="preserve"> </w:t>
            </w:r>
          </w:p>
        </w:tc>
        <w:tc>
          <w:tcPr>
            <w:tcBorders>
              <w:left w:color="000000" w:space="0" w:sz="0" w:val="nil"/>
              <w:right w:color="000000" w:space="0" w:sz="0" w:val="nil"/>
            </w:tcBorders>
          </w:tcPr>
          <w:p w:rsidR="00000000" w:rsidDel="00000000" w:rsidP="00000000" w:rsidRDefault="00000000" w:rsidRPr="00000000" w14:paraId="000001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63.34 </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vertAlign w:val="superscript"/>
                <w:rtl w:val="0"/>
              </w:rPr>
              <w:t xml:space="preserve"> -gm</w:t>
            </w:r>
            <w:r w:rsidDel="00000000" w:rsidR="00000000" w:rsidRPr="00000000">
              <w:rPr>
                <w:rFonts w:ascii="Times New Roman" w:cs="Times New Roman" w:eastAsia="Times New Roman" w:hAnsi="Times New Roman"/>
                <w:rtl w:val="0"/>
              </w:rPr>
              <w:t xml:space="preserve"> </w:t>
            </w:r>
          </w:p>
        </w:tc>
        <w:tc>
          <w:tcPr>
            <w:tcBorders>
              <w:left w:color="000000" w:space="0" w:sz="0" w:val="nil"/>
              <w:right w:color="000000" w:space="0" w:sz="0" w:val="nil"/>
            </w:tcBorders>
          </w:tcPr>
          <w:p w:rsidR="00000000" w:rsidDel="00000000" w:rsidP="00000000" w:rsidRDefault="00000000" w:rsidRPr="00000000" w14:paraId="000001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68.25 </w:t>
            </w:r>
            <w:r w:rsidDel="00000000" w:rsidR="00000000" w:rsidRPr="00000000">
              <w:rPr>
                <w:rFonts w:ascii="Times New Roman" w:cs="Times New Roman" w:eastAsia="Times New Roman" w:hAnsi="Times New Roman"/>
                <w:sz w:val="25"/>
                <w:szCs w:val="25"/>
                <w:rtl w:val="0"/>
              </w:rPr>
              <w:t xml:space="preserve"> µg</w:t>
            </w:r>
            <w:r w:rsidDel="00000000" w:rsidR="00000000" w:rsidRPr="00000000">
              <w:rPr>
                <w:rFonts w:ascii="Times New Roman" w:cs="Times New Roman" w:eastAsia="Times New Roman" w:hAnsi="Times New Roman"/>
                <w:vertAlign w:val="superscript"/>
                <w:rtl w:val="0"/>
              </w:rPr>
              <w:t xml:space="preserve"> -gm</w:t>
            </w:r>
            <w:r w:rsidDel="00000000" w:rsidR="00000000" w:rsidRPr="00000000">
              <w:rPr>
                <w:rFonts w:ascii="Times New Roman" w:cs="Times New Roman" w:eastAsia="Times New Roman" w:hAnsi="Times New Roman"/>
                <w:rtl w:val="0"/>
              </w:rPr>
              <w:t xml:space="preserve"> </w:t>
            </w:r>
          </w:p>
        </w:tc>
      </w:tr>
      <w:tr>
        <w:trPr>
          <w:cantSplit w:val="0"/>
          <w:tblHeader w:val="0"/>
        </w:trPr>
        <w:tc>
          <w:tcPr>
            <w:gridSpan w:val="5"/>
            <w:tcBorders>
              <w:left w:color="000000" w:space="0" w:sz="0" w:val="nil"/>
              <w:right w:color="000000" w:space="0" w:sz="0" w:val="nil"/>
            </w:tcBorders>
          </w:tcPr>
          <w:p w:rsidR="00000000" w:rsidDel="00000000" w:rsidP="00000000" w:rsidRDefault="00000000" w:rsidRPr="00000000" w14:paraId="00000104">
            <w:pPr>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rtl w:val="0"/>
              </w:rPr>
              <w:t xml:space="preserve">Antioxidant Properties studies</w:t>
            </w:r>
            <w:r w:rsidDel="00000000" w:rsidR="00000000" w:rsidRPr="00000000">
              <w:rPr>
                <w:rtl w:val="0"/>
              </w:rPr>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1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w:t>
            </w:r>
          </w:p>
        </w:tc>
        <w:tc>
          <w:tcPr>
            <w:tcBorders>
              <w:left w:color="000000" w:space="0" w:sz="0" w:val="nil"/>
              <w:bottom w:color="000000" w:space="0" w:sz="0" w:val="nil"/>
              <w:right w:color="000000" w:space="0" w:sz="0" w:val="nil"/>
            </w:tcBorders>
          </w:tcPr>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DPPH</w:t>
            </w:r>
          </w:p>
        </w:tc>
        <w:tc>
          <w:tcPr>
            <w:tcBorders>
              <w:left w:color="000000" w:space="0" w:sz="0" w:val="nil"/>
              <w:bottom w:color="000000" w:space="0" w:sz="0" w:val="nil"/>
              <w:right w:color="000000" w:space="0" w:sz="0" w:val="nil"/>
            </w:tcBorders>
          </w:tcPr>
          <w:p w:rsidR="00000000" w:rsidDel="00000000" w:rsidP="00000000" w:rsidRDefault="00000000" w:rsidRPr="00000000" w14:paraId="000001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5"/>
                <w:szCs w:val="25"/>
                <w:rtl w:val="0"/>
              </w:rPr>
              <w:t xml:space="preserve">70.5%</w:t>
            </w: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5"/>
                <w:szCs w:val="25"/>
                <w:rtl w:val="0"/>
              </w:rPr>
              <w:t xml:space="preserve">38.23%</w:t>
            </w: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5"/>
                <w:szCs w:val="25"/>
                <w:rtl w:val="0"/>
              </w:rPr>
              <w:t xml:space="preserve">61.76%</w:t>
            </w:r>
            <w:r w:rsidDel="00000000" w:rsidR="00000000" w:rsidRPr="00000000">
              <w:rPr>
                <w:rtl w:val="0"/>
              </w:rPr>
            </w:r>
          </w:p>
        </w:tc>
      </w:tr>
      <w:tr>
        <w:trPr>
          <w:cantSplit w:val="0"/>
          <w:tblHeader w:val="0"/>
        </w:trPr>
        <w:tc>
          <w:tcPr/>
          <w:p w:rsidR="00000000" w:rsidDel="00000000" w:rsidP="00000000" w:rsidRDefault="00000000" w:rsidRPr="00000000" w14:paraId="000001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w:t>
            </w:r>
          </w:p>
        </w:tc>
        <w:tc>
          <w:tcPr/>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TAA</w:t>
            </w:r>
          </w:p>
        </w:tc>
        <w:tc>
          <w:tcPr/>
          <w:p w:rsidR="00000000" w:rsidDel="00000000" w:rsidP="00000000" w:rsidRDefault="00000000" w:rsidRPr="00000000" w14:paraId="00000110">
            <w:pPr>
              <w:tabs>
                <w:tab w:val="left" w:leader="none" w:pos="516"/>
                <w:tab w:val="center" w:leader="none" w:pos="1107"/>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5"/>
                <w:szCs w:val="25"/>
                <w:rtl w:val="0"/>
              </w:rPr>
              <w:t xml:space="preserve">63.5</w:t>
            </w: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5"/>
                <w:szCs w:val="25"/>
                <w:rtl w:val="0"/>
              </w:rPr>
              <w:t xml:space="preserve">30.5</w:t>
            </w: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1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5"/>
                <w:szCs w:val="25"/>
                <w:rtl w:val="0"/>
              </w:rPr>
              <w:t xml:space="preserve">36.1</w:t>
            </w: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w:t>
            </w:r>
          </w:p>
        </w:tc>
        <w:tc>
          <w:tcPr/>
          <w:p w:rsidR="00000000" w:rsidDel="00000000" w:rsidP="00000000" w:rsidRDefault="00000000" w:rsidRPr="00000000" w14:paraId="000001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w:t>
            </w:r>
          </w:p>
        </w:tc>
        <w:tc>
          <w:tcPr/>
          <w:p w:rsidR="00000000" w:rsidDel="00000000" w:rsidP="00000000" w:rsidRDefault="00000000" w:rsidRPr="00000000" w14:paraId="000001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0.68±0.10 Umol</w:t>
            </w:r>
            <w:r w:rsidDel="00000000" w:rsidR="00000000" w:rsidRPr="00000000">
              <w:rPr>
                <w:rFonts w:ascii="Times New Roman" w:cs="Times New Roman" w:eastAsia="Times New Roman" w:hAnsi="Times New Roman"/>
                <w:vertAlign w:val="superscript"/>
                <w:rtl w:val="0"/>
              </w:rPr>
              <w:t xml:space="preserve">-ml</w:t>
            </w:r>
            <w:r w:rsidDel="00000000" w:rsidR="00000000" w:rsidRPr="00000000">
              <w:rPr>
                <w:rtl w:val="0"/>
              </w:rPr>
            </w:r>
          </w:p>
        </w:tc>
        <w:tc>
          <w:tcPr/>
          <w:p w:rsidR="00000000" w:rsidDel="00000000" w:rsidP="00000000" w:rsidRDefault="00000000" w:rsidRPr="00000000" w14:paraId="000001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0.27±0.09 Umol</w:t>
            </w:r>
            <w:r w:rsidDel="00000000" w:rsidR="00000000" w:rsidRPr="00000000">
              <w:rPr>
                <w:rFonts w:ascii="Times New Roman" w:cs="Times New Roman" w:eastAsia="Times New Roman" w:hAnsi="Times New Roman"/>
                <w:vertAlign w:val="superscript"/>
                <w:rtl w:val="0"/>
              </w:rPr>
              <w:t xml:space="preserve">-ml</w:t>
            </w:r>
            <w:r w:rsidDel="00000000" w:rsidR="00000000" w:rsidRPr="00000000">
              <w:rPr>
                <w:rtl w:val="0"/>
              </w:rPr>
            </w:r>
          </w:p>
        </w:tc>
        <w:tc>
          <w:tcPr/>
          <w:p w:rsidR="00000000" w:rsidDel="00000000" w:rsidP="00000000" w:rsidRDefault="00000000" w:rsidRPr="00000000" w14:paraId="000001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0.21±0.02 Umol</w:t>
            </w:r>
            <w:r w:rsidDel="00000000" w:rsidR="00000000" w:rsidRPr="00000000">
              <w:rPr>
                <w:rFonts w:ascii="Times New Roman" w:cs="Times New Roman" w:eastAsia="Times New Roman" w:hAnsi="Times New Roman"/>
                <w:vertAlign w:val="superscript"/>
                <w:rtl w:val="0"/>
              </w:rPr>
              <w:t xml:space="preserve">-ml</w:t>
            </w:r>
            <w:r w:rsidDel="00000000" w:rsidR="00000000" w:rsidRPr="00000000">
              <w:rPr>
                <w:rtl w:val="0"/>
              </w:rPr>
            </w:r>
          </w:p>
        </w:tc>
      </w:tr>
      <w:tr>
        <w:trPr>
          <w:cantSplit w:val="0"/>
          <w:tblHeader w:val="0"/>
        </w:trPr>
        <w:tc>
          <w:tcPr/>
          <w:p w:rsidR="00000000" w:rsidDel="00000000" w:rsidP="00000000" w:rsidRDefault="00000000" w:rsidRPr="00000000" w14:paraId="000001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w:t>
            </w:r>
          </w:p>
        </w:tc>
        <w:tc>
          <w:tcPr/>
          <w:p w:rsidR="00000000" w:rsidDel="00000000" w:rsidP="00000000" w:rsidRDefault="00000000" w:rsidRPr="00000000" w14:paraId="000001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w:t>
            </w:r>
          </w:p>
        </w:tc>
        <w:tc>
          <w:tcPr/>
          <w:p w:rsidR="00000000" w:rsidDel="00000000" w:rsidP="00000000" w:rsidRDefault="00000000" w:rsidRPr="00000000" w14:paraId="000001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4.6±0.21 Umol</w:t>
            </w:r>
            <w:r w:rsidDel="00000000" w:rsidR="00000000" w:rsidRPr="00000000">
              <w:rPr>
                <w:rFonts w:ascii="Times New Roman" w:cs="Times New Roman" w:eastAsia="Times New Roman" w:hAnsi="Times New Roman"/>
                <w:vertAlign w:val="superscript"/>
                <w:rtl w:val="0"/>
              </w:rPr>
              <w:t xml:space="preserve">- min</w:t>
            </w:r>
            <w:r w:rsidDel="00000000" w:rsidR="00000000" w:rsidRPr="00000000">
              <w:rPr>
                <w:rtl w:val="0"/>
              </w:rPr>
            </w:r>
          </w:p>
        </w:tc>
        <w:tc>
          <w:tcPr/>
          <w:p w:rsidR="00000000" w:rsidDel="00000000" w:rsidP="00000000" w:rsidRDefault="00000000" w:rsidRPr="00000000" w14:paraId="000001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2.73±0.15 Umol</w:t>
            </w:r>
            <w:r w:rsidDel="00000000" w:rsidR="00000000" w:rsidRPr="00000000">
              <w:rPr>
                <w:rFonts w:ascii="Times New Roman" w:cs="Times New Roman" w:eastAsia="Times New Roman" w:hAnsi="Times New Roman"/>
                <w:vertAlign w:val="superscript"/>
                <w:rtl w:val="0"/>
              </w:rPr>
              <w:t xml:space="preserve">-min</w:t>
            </w:r>
            <w:r w:rsidDel="00000000" w:rsidR="00000000" w:rsidRPr="00000000">
              <w:rPr>
                <w:rtl w:val="0"/>
              </w:rPr>
            </w:r>
          </w:p>
        </w:tc>
        <w:tc>
          <w:tcPr/>
          <w:p w:rsidR="00000000" w:rsidDel="00000000" w:rsidP="00000000" w:rsidRDefault="00000000" w:rsidRPr="00000000" w14:paraId="000001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1.93±0.51 Umol</w:t>
            </w:r>
            <w:r w:rsidDel="00000000" w:rsidR="00000000" w:rsidRPr="00000000">
              <w:rPr>
                <w:rFonts w:ascii="Times New Roman" w:cs="Times New Roman" w:eastAsia="Times New Roman" w:hAnsi="Times New Roman"/>
                <w:vertAlign w:val="superscript"/>
                <w:rtl w:val="0"/>
              </w:rPr>
              <w:t xml:space="preserve">-min</w:t>
            </w:r>
            <w:r w:rsidDel="00000000" w:rsidR="00000000" w:rsidRPr="00000000">
              <w:rPr>
                <w:rtl w:val="0"/>
              </w:rPr>
            </w:r>
          </w:p>
        </w:tc>
      </w:tr>
      <w:tr>
        <w:trPr>
          <w:cantSplit w:val="0"/>
          <w:tblHeader w:val="0"/>
        </w:trPr>
        <w:tc>
          <w:tcPr/>
          <w:p w:rsidR="00000000" w:rsidDel="00000000" w:rsidP="00000000" w:rsidRDefault="00000000" w:rsidRPr="00000000" w14:paraId="000001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w:t>
            </w:r>
          </w:p>
        </w:tc>
        <w:tc>
          <w:tcPr/>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SOD</w:t>
            </w:r>
          </w:p>
        </w:tc>
        <w:tc>
          <w:tcPr/>
          <w:p w:rsidR="00000000" w:rsidDel="00000000" w:rsidP="00000000" w:rsidRDefault="00000000" w:rsidRPr="00000000" w14:paraId="000001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0.15±0.01 Umol</w:t>
            </w:r>
            <w:r w:rsidDel="00000000" w:rsidR="00000000" w:rsidRPr="00000000">
              <w:rPr>
                <w:rFonts w:ascii="Times New Roman" w:cs="Times New Roman" w:eastAsia="Times New Roman" w:hAnsi="Times New Roman"/>
                <w:vertAlign w:val="superscript"/>
                <w:rtl w:val="0"/>
              </w:rPr>
              <w:t xml:space="preserve">-ml</w:t>
            </w:r>
            <w:r w:rsidDel="00000000" w:rsidR="00000000" w:rsidRPr="00000000">
              <w:rPr>
                <w:rtl w:val="0"/>
              </w:rPr>
            </w:r>
          </w:p>
        </w:tc>
        <w:tc>
          <w:tcPr/>
          <w:p w:rsidR="00000000" w:rsidDel="00000000" w:rsidP="00000000" w:rsidRDefault="00000000" w:rsidRPr="00000000" w14:paraId="000001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0.72±0.07Umol</w:t>
            </w:r>
            <w:r w:rsidDel="00000000" w:rsidR="00000000" w:rsidRPr="00000000">
              <w:rPr>
                <w:rFonts w:ascii="Times New Roman" w:cs="Times New Roman" w:eastAsia="Times New Roman" w:hAnsi="Times New Roman"/>
                <w:vertAlign w:val="superscript"/>
                <w:rtl w:val="0"/>
              </w:rPr>
              <w:t xml:space="preserve">-ml</w:t>
            </w:r>
            <w:r w:rsidDel="00000000" w:rsidR="00000000" w:rsidRPr="00000000">
              <w:rPr>
                <w:rtl w:val="0"/>
              </w:rPr>
            </w:r>
          </w:p>
        </w:tc>
        <w:tc>
          <w:tcPr/>
          <w:p w:rsidR="00000000" w:rsidDel="00000000" w:rsidP="00000000" w:rsidRDefault="00000000" w:rsidRPr="00000000" w14:paraId="000001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0.42±0.02Umol</w:t>
            </w:r>
            <w:r w:rsidDel="00000000" w:rsidR="00000000" w:rsidRPr="00000000">
              <w:rPr>
                <w:rFonts w:ascii="Times New Roman" w:cs="Times New Roman" w:eastAsia="Times New Roman" w:hAnsi="Times New Roman"/>
                <w:vertAlign w:val="superscript"/>
                <w:rtl w:val="0"/>
              </w:rPr>
              <w:t xml:space="preserve">-ml</w:t>
            </w: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22">
            <w:pPr>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23">
            <w:pPr>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24">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25">
            <w:pPr>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26">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spacing w:after="314" w:lineRule="auto"/>
        <w:ind w:left="-5" w:firstLine="725"/>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8"/>
          <w:szCs w:val="28"/>
          <w:rtl w:val="0"/>
        </w:rPr>
        <w:t xml:space="preserve">Table 3. Hemagglutination assay </w:t>
      </w:r>
      <w:r w:rsidDel="00000000" w:rsidR="00000000" w:rsidRPr="00000000">
        <w:rPr>
          <w:rFonts w:ascii="Times New Roman" w:cs="Times New Roman" w:eastAsia="Times New Roman" w:hAnsi="Times New Roman"/>
          <w:b w:val="1"/>
          <w:i w:val="1"/>
          <w:sz w:val="28"/>
          <w:szCs w:val="28"/>
          <w:rtl w:val="0"/>
        </w:rPr>
        <w:t xml:space="preserve">of Hemidesmus indicus</w:t>
      </w:r>
      <w:r w:rsidDel="00000000" w:rsidR="00000000" w:rsidRPr="00000000">
        <w:rPr>
          <w:rtl w:val="0"/>
        </w:rPr>
      </w:r>
    </w:p>
    <w:tbl>
      <w:tblPr>
        <w:tblStyle w:val="Table3"/>
        <w:tblW w:w="869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3"/>
        <w:gridCol w:w="3320"/>
        <w:gridCol w:w="3028"/>
        <w:tblGridChange w:id="0">
          <w:tblGrid>
            <w:gridCol w:w="2343"/>
            <w:gridCol w:w="3320"/>
            <w:gridCol w:w="3028"/>
          </w:tblGrid>
        </w:tblGridChange>
      </w:tblGrid>
      <w:tr>
        <w:trPr>
          <w:cantSplit w:val="0"/>
          <w:tblHeader w:val="0"/>
        </w:trPr>
        <w:tc>
          <w:tcPr>
            <w:tcBorders>
              <w:left w:color="000000" w:space="0" w:sz="0" w:val="nil"/>
              <w:bottom w:color="000000" w:space="0" w:sz="4" w:val="single"/>
              <w:right w:color="000000" w:space="0" w:sz="0" w:val="nil"/>
            </w:tcBorders>
          </w:tcPr>
          <w:p w:rsidR="00000000" w:rsidDel="00000000" w:rsidP="00000000" w:rsidRDefault="00000000" w:rsidRPr="00000000" w14:paraId="0000012B">
            <w:pPr>
              <w:ind w:hanging="14"/>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Extract Type</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12C">
            <w:pPr>
              <w:ind w:hanging="14"/>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Titer (Reciprocal of Dilution)</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12D">
            <w:pPr>
              <w:ind w:hanging="14"/>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Interpretation</w:t>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12E">
            <w:pPr>
              <w:ind w:hanging="14"/>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Juice </w:t>
            </w:r>
          </w:p>
        </w:tc>
        <w:tc>
          <w:tcPr>
            <w:tcBorders>
              <w:left w:color="000000" w:space="0" w:sz="0" w:val="nil"/>
              <w:bottom w:color="000000" w:space="0" w:sz="0" w:val="nil"/>
              <w:right w:color="000000" w:space="0" w:sz="0" w:val="nil"/>
            </w:tcBorders>
          </w:tcPr>
          <w:p w:rsidR="00000000" w:rsidDel="00000000" w:rsidP="00000000" w:rsidRDefault="00000000" w:rsidRPr="00000000" w14:paraId="0000012F">
            <w:pPr>
              <w:ind w:hanging="14"/>
              <w:jc w:val="cente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1:32</w:t>
            </w:r>
          </w:p>
        </w:tc>
        <w:tc>
          <w:tcPr>
            <w:tcBorders>
              <w:left w:color="000000" w:space="0" w:sz="0" w:val="nil"/>
              <w:bottom w:color="000000" w:space="0" w:sz="0" w:val="nil"/>
              <w:right w:color="000000" w:space="0" w:sz="0" w:val="nil"/>
            </w:tcBorders>
          </w:tcPr>
          <w:p w:rsidR="00000000" w:rsidDel="00000000" w:rsidP="00000000" w:rsidRDefault="00000000" w:rsidRPr="00000000" w14:paraId="00000130">
            <w:pPr>
              <w:ind w:hanging="14"/>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Strong Hemagglutination</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1">
            <w:pPr>
              <w:ind w:hanging="14"/>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Aqueous Extract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2">
            <w:pPr>
              <w:ind w:hanging="14"/>
              <w:jc w:val="cente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3">
            <w:pPr>
              <w:ind w:hanging="14"/>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Moderate Hemagglutination</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4">
            <w:pPr>
              <w:ind w:hanging="14"/>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Chloroform Extract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5">
            <w:pPr>
              <w:ind w:hanging="14"/>
              <w:jc w:val="cente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1:40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6">
            <w:pPr>
              <w:ind w:hanging="14"/>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Weak Hemagglutination</w:t>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137">
            <w:pPr>
              <w:ind w:hanging="14"/>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PBS (Control)</w:t>
            </w:r>
          </w:p>
        </w:tc>
        <w:tc>
          <w:tcPr>
            <w:tcBorders>
              <w:top w:color="000000" w:space="0" w:sz="0" w:val="nil"/>
              <w:left w:color="000000" w:space="0" w:sz="0" w:val="nil"/>
              <w:right w:color="000000" w:space="0" w:sz="0" w:val="nil"/>
            </w:tcBorders>
          </w:tcPr>
          <w:p w:rsidR="00000000" w:rsidDel="00000000" w:rsidP="00000000" w:rsidRDefault="00000000" w:rsidRPr="00000000" w14:paraId="00000138">
            <w:pPr>
              <w:ind w:hanging="14"/>
              <w:jc w:val="cente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0:0</w:t>
            </w:r>
          </w:p>
        </w:tc>
        <w:tc>
          <w:tcPr>
            <w:tcBorders>
              <w:top w:color="000000" w:space="0" w:sz="0" w:val="nil"/>
              <w:left w:color="000000" w:space="0" w:sz="0" w:val="nil"/>
              <w:right w:color="000000" w:space="0" w:sz="0" w:val="nil"/>
            </w:tcBorders>
          </w:tcPr>
          <w:p w:rsidR="00000000" w:rsidDel="00000000" w:rsidP="00000000" w:rsidRDefault="00000000" w:rsidRPr="00000000" w14:paraId="00000139">
            <w:pPr>
              <w:ind w:hanging="14"/>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No Hemagglutination</w:t>
            </w:r>
          </w:p>
        </w:tc>
      </w:tr>
    </w:tbl>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Fonts w:ascii="Times New Roman" w:cs="Times New Roman" w:eastAsia="Times New Roman" w:hAnsi="Times New Roman"/>
          <w:b w:val="1"/>
          <w:sz w:val="25"/>
          <w:szCs w:val="25"/>
        </w:rPr>
        <w:drawing>
          <wp:inline distB="0" distT="0" distL="0" distR="0">
            <wp:extent cx="5943600" cy="3024126"/>
            <wp:effectExtent b="24130" l="0" r="19050" t="0"/>
            <wp:docPr id="1" name=""/>
            <a:graphic>
              <a:graphicData uri="http://schemas.openxmlformats.org/drawingml/2006/chart">
                <c:chart r:id="rId45"/>
              </a:graphicData>
            </a:graphic>
          </wp:inline>
        </w:drawing>
      </w:r>
      <w:r w:rsidDel="00000000" w:rsidR="00000000" w:rsidRPr="00000000">
        <w:rPr>
          <w:rtl w:val="0"/>
        </w:rPr>
      </w:r>
    </w:p>
    <w:p w:rsidR="00000000" w:rsidDel="00000000" w:rsidP="00000000" w:rsidRDefault="00000000" w:rsidRPr="00000000" w14:paraId="00000148">
      <w:pPr>
        <w:rPr/>
      </w:pPr>
      <w:r w:rsidDel="00000000" w:rsidR="00000000" w:rsidRPr="00000000">
        <w:rPr>
          <w:rFonts w:ascii="Times New Roman" w:cs="Times New Roman" w:eastAsia="Times New Roman" w:hAnsi="Times New Roman"/>
          <w:b w:val="1"/>
          <w:sz w:val="25"/>
          <w:szCs w:val="25"/>
          <w:rtl w:val="0"/>
        </w:rPr>
        <w:t xml:space="preserve">Fig.1. The above graph showing of Anti-inflammatory Activity of </w:t>
      </w:r>
      <w:r w:rsidDel="00000000" w:rsidR="00000000" w:rsidRPr="00000000">
        <w:rPr>
          <w:rFonts w:ascii="Times New Roman" w:cs="Times New Roman" w:eastAsia="Times New Roman" w:hAnsi="Times New Roman"/>
          <w:b w:val="1"/>
          <w:i w:val="1"/>
          <w:sz w:val="25"/>
          <w:szCs w:val="25"/>
          <w:rtl w:val="0"/>
        </w:rPr>
        <w:t xml:space="preserve">H. indicus</w:t>
      </w: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b w:val="1"/>
          <w:sz w:val="24"/>
          <w:szCs w:val="24"/>
        </w:rPr>
      </w:pPr>
      <w:r w:rsidDel="00000000" w:rsidR="00000000" w:rsidRPr="00000000">
        <w:rPr>
          <w:rtl w:val="0"/>
        </w:rPr>
      </w:r>
    </w:p>
    <w:sectPr>
      <w:headerReference r:id="rId46" w:type="default"/>
      <w:headerReference r:id="rId47" w:type="first"/>
      <w:headerReference r:id="rId48" w:type="even"/>
      <w:footerReference r:id="rId49" w:type="default"/>
      <w:footerReference r:id="rId50" w:type="first"/>
      <w:footerReference r:id="rId51"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e" w:id="1" w:date="2025-11-29T05:44:15Z">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a journal or a thesis because only the name is written and it is incomplete</w:t>
      </w:r>
    </w:p>
  </w:comment>
  <w:comment w:author="Me" w:id="0" w:date="2025-11-29T05:54:59Z">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 Explains what is known about the topic, identifies a research question or gap in knowledge, and states the study's purpose.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Methods: Describes how the research was conducted, including the procedures, materials, and techniques used, so that the study can be replicated.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Results: Presents the data and findings of the study, often using tables, figures, and prose to summarize the collected information without interpretation.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Discussion: Interprets the results, discusses their significance, and explains their implications. This section also addresses the study's limitations and suggests directions for future research. </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55.0498425196851pt;height:104.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55.0498425196851pt;height:104.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55.0498425196851pt;height:104.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152/physrev.00029.2006" TargetMode="External"/><Relationship Id="rId42" Type="http://schemas.openxmlformats.org/officeDocument/2006/relationships/hyperlink" Target="https://doi.org/10.1016/S0955-2863(02)00208-5" TargetMode="External"/><Relationship Id="rId41" Type="http://schemas.openxmlformats.org/officeDocument/2006/relationships/hyperlink" Target="https://doi.org/10.12944/CRNFSJ.10.3.33" TargetMode="External"/><Relationship Id="rId44" Type="http://schemas.openxmlformats.org/officeDocument/2006/relationships/hyperlink" Target="https://doi.org/10.1016/j.jfca.2021.103933" TargetMode="External"/><Relationship Id="rId43" Type="http://schemas.openxmlformats.org/officeDocument/2006/relationships/hyperlink" Target="https://doi.org/10.1155/2020/8850339" TargetMode="External"/><Relationship Id="rId46" Type="http://schemas.openxmlformats.org/officeDocument/2006/relationships/header" Target="header1.xml"/><Relationship Id="rId45" Type="http://schemas.openxmlformats.org/officeDocument/2006/relationships/chart" Target="charts/chart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sciencedirect.com/topics/pharmacology-toxicology-and-pharmaceutical-science/saponin" TargetMode="External"/><Relationship Id="rId48" Type="http://schemas.openxmlformats.org/officeDocument/2006/relationships/header" Target="header3.xml"/><Relationship Id="rId47" Type="http://schemas.openxmlformats.org/officeDocument/2006/relationships/header" Target="header2.xml"/><Relationship Id="rId4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sciencedirect.com/topics/pharmacology-toxicology-and-pharmaceutical-science/terpenoid" TargetMode="External"/><Relationship Id="rId8" Type="http://schemas.openxmlformats.org/officeDocument/2006/relationships/hyperlink" Target="https://www.sciencedirect.com/topics/pharmacology-toxicology-and-pharmaceutical-science/flavonoid" TargetMode="External"/><Relationship Id="rId31" Type="http://schemas.openxmlformats.org/officeDocument/2006/relationships/hyperlink" Target="https://pubmed.ncbi.nlm.nih.gov/?term=Yan+LJ&amp;cauthor_id=31827713" TargetMode="External"/><Relationship Id="rId30" Type="http://schemas.openxmlformats.org/officeDocument/2006/relationships/hyperlink" Target="https://pubmed.ncbi.nlm.nih.gov/?term=Nandi+A&amp;cauthor_id=31827713" TargetMode="External"/><Relationship Id="rId33" Type="http://schemas.openxmlformats.org/officeDocument/2006/relationships/hyperlink" Target="https://pubmed.ncbi.nlm.nih.gov/?term=Das+N&amp;cauthor_id=31827713" TargetMode="External"/><Relationship Id="rId32" Type="http://schemas.openxmlformats.org/officeDocument/2006/relationships/hyperlink" Target="https://pubmed.ncbi.nlm.nih.gov/?term=Jana+CK&amp;cauthor_id=31827713" TargetMode="External"/><Relationship Id="rId35" Type="http://schemas.openxmlformats.org/officeDocument/2006/relationships/hyperlink" Target="https://doi.org/10.31024/ajpp.2018.4.5.27" TargetMode="External"/><Relationship Id="rId34" Type="http://schemas.openxmlformats.org/officeDocument/2006/relationships/hyperlink" Target="https://doi.org/10.1155/2019/9613090" TargetMode="External"/><Relationship Id="rId37" Type="http://schemas.openxmlformats.org/officeDocument/2006/relationships/hyperlink" Target="https://doi.org/10.1016/j.jaad.2012.02.009" TargetMode="External"/><Relationship Id="rId36" Type="http://schemas.openxmlformats.org/officeDocument/2006/relationships/hyperlink" Target="https://www.researchgate.net/profile/Maryam-Zahin-2/publication/228936871_The_in_vitro_antioxidant_activity_and_total_phenolic_content_of_four_Indian_medicinal_plants/links/560d558308ae2aa0be4a30aa/The-in-vitro-antioxidant-activity-and-total-phenolic-content-of-four-Indian-medicinal-plants.pdf" TargetMode="External"/><Relationship Id="rId39" Type="http://schemas.openxmlformats.org/officeDocument/2006/relationships/hyperlink" Target="https://doi.org/10.1136/jcp.54.3.176" TargetMode="External"/><Relationship Id="rId38" Type="http://schemas.openxmlformats.org/officeDocument/2006/relationships/hyperlink" Target="https://doi.org/10.1016/j.jhazmat.2015.10.055" TargetMode="External"/><Relationship Id="rId20" Type="http://schemas.openxmlformats.org/officeDocument/2006/relationships/hyperlink" Target="https://doi.org/10.3906/biy-0912-26" TargetMode="External"/><Relationship Id="rId22" Type="http://schemas.openxmlformats.org/officeDocument/2006/relationships/hyperlink" Target="https://doi.org/10.1016/j.intimp.2016.07.024" TargetMode="External"/><Relationship Id="rId21" Type="http://schemas.openxmlformats.org/officeDocument/2006/relationships/hyperlink" Target="https://doi.org/10.1016/s2221-1691(12)60154-3" TargetMode="External"/><Relationship Id="rId24" Type="http://schemas.openxmlformats.org/officeDocument/2006/relationships/hyperlink" Target="https://doi.org/10.1186/s42779-019-0017-3" TargetMode="External"/><Relationship Id="rId23" Type="http://schemas.openxmlformats.org/officeDocument/2006/relationships/hyperlink" Target="https://doi.org/10.4314/AJB.V6I8.57040" TargetMode="External"/><Relationship Id="rId26" Type="http://schemas.openxmlformats.org/officeDocument/2006/relationships/hyperlink" Target="https://doi.org/10.4172/2376-1318.1000138" TargetMode="External"/><Relationship Id="rId25" Type="http://schemas.openxmlformats.org/officeDocument/2006/relationships/hyperlink" Target="https://doi.org/10.1002/jsfa.2740301206" TargetMode="External"/><Relationship Id="rId28" Type="http://schemas.openxmlformats.org/officeDocument/2006/relationships/hyperlink" Target="https://doi.org/10.1186/s12906-016-1352-1" TargetMode="External"/><Relationship Id="rId27" Type="http://schemas.openxmlformats.org/officeDocument/2006/relationships/hyperlink" Target="https://doi.org/10.1155/2021/5549847" TargetMode="External"/><Relationship Id="rId29" Type="http://schemas.openxmlformats.org/officeDocument/2006/relationships/hyperlink" Target="https://doi.org/10.4038/tar.v35i1.8702" TargetMode="External"/><Relationship Id="rId51" Type="http://schemas.openxmlformats.org/officeDocument/2006/relationships/footer" Target="footer3.xml"/><Relationship Id="rId50" Type="http://schemas.openxmlformats.org/officeDocument/2006/relationships/footer" Target="footer2.xml"/><Relationship Id="rId11" Type="http://schemas.openxmlformats.org/officeDocument/2006/relationships/hyperlink" Target="https://doi.org/10.46947/joaasr512023463" TargetMode="External"/><Relationship Id="rId10" Type="http://schemas.openxmlformats.org/officeDocument/2006/relationships/hyperlink" Target="https://doi.org/10.1016/j.jep.2020.112609" TargetMode="External"/><Relationship Id="rId13" Type="http://schemas.openxmlformats.org/officeDocument/2006/relationships/hyperlink" Target="https://nmpb" TargetMode="External"/><Relationship Id="rId12" Type="http://schemas.openxmlformats.org/officeDocument/2006/relationships/hyperlink" Target="https://doi.org/10.1002/ptr.4788" TargetMode="External"/><Relationship Id="rId15" Type="http://schemas.openxmlformats.org/officeDocument/2006/relationships/hyperlink" Target="https://doi.org/10.3390/molecules26216345" TargetMode="External"/><Relationship Id="rId14" Type="http://schemas.openxmlformats.org/officeDocument/2006/relationships/hyperlink" Target="https://doi.org/10.1007/s10722-021-01199-0" TargetMode="External"/><Relationship Id="rId17" Type="http://schemas.openxmlformats.org/officeDocument/2006/relationships/hyperlink" Target="https://doi.org/10.1016/j.jcrc.2018.08.023" TargetMode="External"/><Relationship Id="rId16" Type="http://schemas.openxmlformats.org/officeDocument/2006/relationships/hyperlink" Target="https://doi.org/10.1093/jxb/erv269" TargetMode="External"/><Relationship Id="rId19" Type="http://schemas.openxmlformats.org/officeDocument/2006/relationships/hyperlink" Target="https://doi.org/10.1186/1472-6882-12-221" TargetMode="External"/><Relationship Id="rId18" Type="http://schemas.openxmlformats.org/officeDocument/2006/relationships/hyperlink" Target="https://doi.org/10.1371/journal.pone.013132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0" i="0" u="none" strike="noStrike" kern="1200" spc="0" baseline="0">
                <a:solidFill>
                  <a:schemeClr val="tx1">
                    <a:lumMod val="65000"/>
                    <a:lumOff val="35000"/>
                  </a:schemeClr>
                </a:solidFill>
                <a:latin typeface="Times New Roman" panose="02020603050405020304" pitchFamily="18" charset="0"/>
                <a:ea typeface="+mn-ea"/>
                <a:cs typeface="+mn-cs"/>
              </a:defRPr>
            </a:pPr>
            <a:r>
              <a:rPr lang="en-IN"/>
              <a:t>Anti inflammatory Activity</a:t>
            </a:r>
          </a:p>
        </c:rich>
      </c:tx>
      <c:overlay val="0"/>
      <c:spPr>
        <a:noFill/>
        <a:ln>
          <a:noFill/>
        </a:ln>
        <a:effectLst/>
      </c:spPr>
    </c:title>
    <c:autoTitleDeleted val="0"/>
    <c:plotArea>
      <c:layout>
        <c:manualLayout>
          <c:layoutTarget val="inner"/>
          <c:xMode val="edge"/>
          <c:yMode val="edge"/>
          <c:x val="0.12315221647017879"/>
          <c:y val="0.20344134198415068"/>
          <c:w val="0.67921733716105637"/>
          <c:h val="0.56409626011938385"/>
        </c:manualLayout>
      </c:layout>
      <c:scatterChart>
        <c:scatterStyle val="smoothMarker"/>
        <c:varyColors val="0"/>
        <c:ser>
          <c:idx val="0"/>
          <c:order val="0"/>
          <c:tx>
            <c:strRef>
              <c:f>Sheet1!$B$1</c:f>
              <c:strCache>
                <c:ptCount val="1"/>
                <c:pt idx="0">
                  <c:v> Juice extract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Sheet1!$A$2:$A$8</c:f>
              <c:numCache>
                <c:formatCode>General</c:formatCode>
                <c:ptCount val="7"/>
                <c:pt idx="0">
                  <c:v>0</c:v>
                </c:pt>
                <c:pt idx="1">
                  <c:v>100</c:v>
                </c:pt>
                <c:pt idx="2">
                  <c:v>200</c:v>
                </c:pt>
                <c:pt idx="3">
                  <c:v>300</c:v>
                </c:pt>
                <c:pt idx="4">
                  <c:v>400</c:v>
                </c:pt>
                <c:pt idx="5">
                  <c:v>500</c:v>
                </c:pt>
                <c:pt idx="6">
                  <c:v>600</c:v>
                </c:pt>
              </c:numCache>
            </c:numRef>
          </c:xVal>
          <c:yVal>
            <c:numRef>
              <c:f>Sheet1!$B$2:$B$8</c:f>
              <c:numCache>
                <c:formatCode>General</c:formatCode>
                <c:ptCount val="7"/>
                <c:pt idx="0">
                  <c:v>0.03</c:v>
                </c:pt>
                <c:pt idx="1">
                  <c:v>7.0000000000000007E-2</c:v>
                </c:pt>
                <c:pt idx="2">
                  <c:v>0.08</c:v>
                </c:pt>
                <c:pt idx="3">
                  <c:v>0.09</c:v>
                </c:pt>
                <c:pt idx="4">
                  <c:v>0.11</c:v>
                </c:pt>
                <c:pt idx="5">
                  <c:v>0.12</c:v>
                </c:pt>
                <c:pt idx="6">
                  <c:v>0.13</c:v>
                </c:pt>
              </c:numCache>
            </c:numRef>
          </c:yVal>
          <c:smooth val="1"/>
          <c:extLst>
            <c:ext xmlns:c16="http://schemas.microsoft.com/office/drawing/2014/chart" uri="{C3380CC4-5D6E-409C-BE32-E72D297353CC}">
              <c16:uniqueId val="{00000000-91E3-47F0-A985-ECB23EC8C37D}"/>
            </c:ext>
          </c:extLst>
        </c:ser>
        <c:ser>
          <c:idx val="1"/>
          <c:order val="1"/>
          <c:tx>
            <c:strRef>
              <c:f>Sheet1!$C$1</c:f>
              <c:strCache>
                <c:ptCount val="1"/>
                <c:pt idx="0">
                  <c:v> Aqueous extract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Sheet1!$A$2:$A$8</c:f>
              <c:numCache>
                <c:formatCode>General</c:formatCode>
                <c:ptCount val="7"/>
                <c:pt idx="0">
                  <c:v>0</c:v>
                </c:pt>
                <c:pt idx="1">
                  <c:v>100</c:v>
                </c:pt>
                <c:pt idx="2">
                  <c:v>200</c:v>
                </c:pt>
                <c:pt idx="3">
                  <c:v>300</c:v>
                </c:pt>
                <c:pt idx="4">
                  <c:v>400</c:v>
                </c:pt>
                <c:pt idx="5">
                  <c:v>500</c:v>
                </c:pt>
                <c:pt idx="6">
                  <c:v>600</c:v>
                </c:pt>
              </c:numCache>
            </c:numRef>
          </c:xVal>
          <c:yVal>
            <c:numRef>
              <c:f>Sheet1!$C$2:$C$8</c:f>
              <c:numCache>
                <c:formatCode>General</c:formatCode>
                <c:ptCount val="7"/>
                <c:pt idx="0">
                  <c:v>0.04</c:v>
                </c:pt>
                <c:pt idx="1">
                  <c:v>0.09</c:v>
                </c:pt>
                <c:pt idx="2">
                  <c:v>0.12</c:v>
                </c:pt>
                <c:pt idx="3">
                  <c:v>0.14000000000000001</c:v>
                </c:pt>
                <c:pt idx="4">
                  <c:v>0.17</c:v>
                </c:pt>
                <c:pt idx="5">
                  <c:v>0.18</c:v>
                </c:pt>
                <c:pt idx="6">
                  <c:v>0.2</c:v>
                </c:pt>
              </c:numCache>
            </c:numRef>
          </c:yVal>
          <c:smooth val="1"/>
          <c:extLst>
            <c:ext xmlns:c16="http://schemas.microsoft.com/office/drawing/2014/chart" uri="{C3380CC4-5D6E-409C-BE32-E72D297353CC}">
              <c16:uniqueId val="{00000001-91E3-47F0-A985-ECB23EC8C37D}"/>
            </c:ext>
          </c:extLst>
        </c:ser>
        <c:ser>
          <c:idx val="2"/>
          <c:order val="2"/>
          <c:tx>
            <c:strRef>
              <c:f>Sheet1!$D$1</c:f>
              <c:strCache>
                <c:ptCount val="1"/>
                <c:pt idx="0">
                  <c:v>Chloroform extract</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Sheet1!$A$2:$A$8</c:f>
              <c:numCache>
                <c:formatCode>General</c:formatCode>
                <c:ptCount val="7"/>
                <c:pt idx="0">
                  <c:v>0</c:v>
                </c:pt>
                <c:pt idx="1">
                  <c:v>100</c:v>
                </c:pt>
                <c:pt idx="2">
                  <c:v>200</c:v>
                </c:pt>
                <c:pt idx="3">
                  <c:v>300</c:v>
                </c:pt>
                <c:pt idx="4">
                  <c:v>400</c:v>
                </c:pt>
                <c:pt idx="5">
                  <c:v>500</c:v>
                </c:pt>
                <c:pt idx="6">
                  <c:v>600</c:v>
                </c:pt>
              </c:numCache>
            </c:numRef>
          </c:xVal>
          <c:yVal>
            <c:numRef>
              <c:f>Sheet1!$D$2:$D$8</c:f>
              <c:numCache>
                <c:formatCode>General</c:formatCode>
                <c:ptCount val="7"/>
                <c:pt idx="0">
                  <c:v>0.05</c:v>
                </c:pt>
                <c:pt idx="1">
                  <c:v>7.0000000000000007E-2</c:v>
                </c:pt>
                <c:pt idx="2">
                  <c:v>0.09</c:v>
                </c:pt>
                <c:pt idx="3">
                  <c:v>0.1</c:v>
                </c:pt>
                <c:pt idx="4">
                  <c:v>0.12</c:v>
                </c:pt>
                <c:pt idx="5">
                  <c:v>0.16</c:v>
                </c:pt>
                <c:pt idx="6">
                  <c:v>0.18</c:v>
                </c:pt>
              </c:numCache>
            </c:numRef>
          </c:yVal>
          <c:smooth val="1"/>
          <c:extLst>
            <c:ext xmlns:c16="http://schemas.microsoft.com/office/drawing/2014/chart" uri="{C3380CC4-5D6E-409C-BE32-E72D297353CC}">
              <c16:uniqueId val="{00000002-91E3-47F0-A985-ECB23EC8C37D}"/>
            </c:ext>
          </c:extLst>
        </c:ser>
        <c:dLbls>
          <c:showLegendKey val="0"/>
          <c:showVal val="0"/>
          <c:showCatName val="0"/>
          <c:showSerName val="0"/>
          <c:showPercent val="0"/>
          <c:showBubbleSize val="0"/>
        </c:dLbls>
        <c:axId val="173772800"/>
        <c:axId val="173775104"/>
      </c:scatterChart>
      <c:valAx>
        <c:axId val="173772800"/>
        <c:scaling>
          <c:orientation val="minMax"/>
        </c:scaling>
        <c:delete val="0"/>
        <c:axPos val="b"/>
        <c:title>
          <c:tx>
            <c:rich>
              <a:bodyPr rot="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r>
                  <a:rPr lang="en-IN"/>
                  <a:t>Concentration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73775104"/>
        <c:crosses val="autoZero"/>
        <c:crossBetween val="midCat"/>
      </c:valAx>
      <c:valAx>
        <c:axId val="173775104"/>
        <c:scaling>
          <c:orientation val="minMax"/>
        </c:scaling>
        <c:delete val="0"/>
        <c:axPos val="l"/>
        <c:title>
          <c:tx>
            <c:rich>
              <a:bodyPr rot="-540000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r>
                  <a:rPr lang="en-IN"/>
                  <a:t>O.D at 660nm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73772800"/>
        <c:crosses val="autoZero"/>
        <c:crossBetween val="midCat"/>
      </c:valAx>
      <c:spPr>
        <a:noFill/>
        <a:ln>
          <a:noFill/>
        </a:ln>
        <a:effectLst/>
      </c:spPr>
    </c:plotArea>
    <c:legend>
      <c:legendPos val="b"/>
      <c:layout>
        <c:manualLayout>
          <c:xMode val="edge"/>
          <c:yMode val="edge"/>
          <c:x val="0.115054747344629"/>
          <c:y val="0.90228808901359148"/>
          <c:w val="0.76989050531074199"/>
          <c:h val="7.3982427102682949E-2"/>
        </c:manualLayout>
      </c:layout>
      <c:overlay val="0"/>
      <c:spPr>
        <a:noFill/>
        <a:ln>
          <a:noFill/>
        </a:ln>
        <a:effectLst/>
      </c:spPr>
      <c:txPr>
        <a:bodyPr rot="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50" baseline="0">
          <a:latin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