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073A9" w14:textId="1B811FCE" w:rsidR="008F6C92" w:rsidRDefault="008F6C92" w:rsidP="00F16BED">
      <w:pPr>
        <w:spacing w:line="360" w:lineRule="auto"/>
        <w:jc w:val="center"/>
        <w:rPr>
          <w:b/>
          <w:bCs/>
          <w:sz w:val="24"/>
          <w:szCs w:val="24"/>
        </w:rPr>
      </w:pPr>
      <w:r w:rsidRPr="008F6C92">
        <w:rPr>
          <w:b/>
          <w:bCs/>
          <w:sz w:val="24"/>
          <w:szCs w:val="24"/>
        </w:rPr>
        <w:t>Assessing Regional Dominance and Structural Transformation in Cucurbit Vegetables: A Two-Tier Analysis in Dharmapuri District</w:t>
      </w:r>
      <w:r w:rsidR="003B12E1">
        <w:rPr>
          <w:b/>
          <w:bCs/>
          <w:sz w:val="24"/>
          <w:szCs w:val="24"/>
        </w:rPr>
        <w:t>, Tamil Nadu</w:t>
      </w:r>
    </w:p>
    <w:p w14:paraId="2B85576A" w14:textId="77777777" w:rsidR="007D2DE7" w:rsidRPr="008F6C92" w:rsidRDefault="007D2DE7" w:rsidP="00F16BED">
      <w:pPr>
        <w:spacing w:line="360" w:lineRule="auto"/>
        <w:jc w:val="center"/>
        <w:rPr>
          <w:b/>
          <w:bCs/>
          <w:sz w:val="24"/>
          <w:szCs w:val="24"/>
        </w:rPr>
      </w:pPr>
    </w:p>
    <w:p w14:paraId="14A6BD57" w14:textId="77777777" w:rsidR="00363071" w:rsidRDefault="00363071" w:rsidP="00F16BED">
      <w:pPr>
        <w:spacing w:line="360" w:lineRule="auto"/>
        <w:rPr>
          <w:b/>
          <w:sz w:val="24"/>
          <w:szCs w:val="24"/>
          <w:lang w:val="en-GB"/>
        </w:rPr>
      </w:pPr>
    </w:p>
    <w:p w14:paraId="5C7939C6" w14:textId="171ED38E" w:rsidR="00F16BED" w:rsidRDefault="00F16BED" w:rsidP="00F16BED">
      <w:pPr>
        <w:spacing w:line="360" w:lineRule="auto"/>
        <w:rPr>
          <w:b/>
          <w:sz w:val="24"/>
          <w:szCs w:val="24"/>
          <w:lang w:val="en-GB"/>
        </w:rPr>
      </w:pPr>
      <w:r w:rsidRPr="005F24C8">
        <w:rPr>
          <w:b/>
          <w:sz w:val="24"/>
          <w:szCs w:val="24"/>
          <w:lang w:val="en-GB"/>
        </w:rPr>
        <w:t>Abstract:</w:t>
      </w:r>
    </w:p>
    <w:p w14:paraId="27FB2BC0" w14:textId="646CD8D0" w:rsidR="00A0230D" w:rsidRDefault="00A0230D" w:rsidP="008E501C">
      <w:pPr>
        <w:spacing w:line="360" w:lineRule="auto"/>
        <w:ind w:firstLine="720"/>
        <w:jc w:val="both"/>
        <w:rPr>
          <w:bCs/>
          <w:sz w:val="24"/>
          <w:szCs w:val="24"/>
        </w:rPr>
      </w:pPr>
      <w:r w:rsidRPr="00A0230D">
        <w:rPr>
          <w:bCs/>
          <w:sz w:val="24"/>
          <w:szCs w:val="24"/>
        </w:rPr>
        <w:t>Vegetables play a vital role in Tamil Nadu’s agricultural economy, contributing to rural employment, household income and food security. The state produces about 5 per cent of India’s total vegetables, with cucurbits</w:t>
      </w:r>
      <w:r w:rsidR="0022592B">
        <w:rPr>
          <w:bCs/>
          <w:sz w:val="24"/>
          <w:szCs w:val="24"/>
        </w:rPr>
        <w:t>,</w:t>
      </w:r>
      <w:r w:rsidR="001C6F71">
        <w:rPr>
          <w:bCs/>
          <w:sz w:val="24"/>
          <w:szCs w:val="24"/>
        </w:rPr>
        <w:t xml:space="preserve"> </w:t>
      </w:r>
      <w:r w:rsidRPr="00A0230D">
        <w:rPr>
          <w:bCs/>
          <w:sz w:val="24"/>
          <w:szCs w:val="24"/>
        </w:rPr>
        <w:t>particularly bitter gourd, ridge gourd and snake gourd</w:t>
      </w:r>
      <w:r w:rsidR="001C6F71">
        <w:rPr>
          <w:bCs/>
          <w:sz w:val="24"/>
          <w:szCs w:val="24"/>
        </w:rPr>
        <w:t xml:space="preserve"> </w:t>
      </w:r>
      <w:commentRangeStart w:id="0"/>
      <w:r w:rsidR="001C6F71">
        <w:rPr>
          <w:bCs/>
          <w:sz w:val="24"/>
          <w:szCs w:val="24"/>
        </w:rPr>
        <w:t xml:space="preserve">-- </w:t>
      </w:r>
      <w:commentRangeEnd w:id="0"/>
      <w:r w:rsidR="0022592B">
        <w:rPr>
          <w:rStyle w:val="CommentReference"/>
        </w:rPr>
        <w:commentReference w:id="0"/>
      </w:r>
      <w:r w:rsidRPr="00A0230D">
        <w:rPr>
          <w:bCs/>
          <w:sz w:val="24"/>
          <w:szCs w:val="24"/>
        </w:rPr>
        <w:t xml:space="preserve">occupying a significant </w:t>
      </w:r>
      <w:commentRangeStart w:id="1"/>
      <w:r w:rsidRPr="00A0230D">
        <w:rPr>
          <w:bCs/>
          <w:sz w:val="24"/>
          <w:szCs w:val="24"/>
        </w:rPr>
        <w:t>share</w:t>
      </w:r>
      <w:commentRangeEnd w:id="1"/>
      <w:r w:rsidR="0022592B">
        <w:rPr>
          <w:rStyle w:val="CommentReference"/>
        </w:rPr>
        <w:commentReference w:id="1"/>
      </w:r>
      <w:r w:rsidRPr="00A0230D">
        <w:rPr>
          <w:bCs/>
          <w:sz w:val="24"/>
          <w:szCs w:val="24"/>
        </w:rPr>
        <w:t xml:space="preserve">. Dharmapuri district has emerged as a major production </w:t>
      </w:r>
      <w:r w:rsidR="008E501C" w:rsidRPr="00A0230D">
        <w:rPr>
          <w:bCs/>
          <w:sz w:val="24"/>
          <w:szCs w:val="24"/>
        </w:rPr>
        <w:t>center</w:t>
      </w:r>
      <w:r w:rsidRPr="00A0230D">
        <w:rPr>
          <w:bCs/>
          <w:sz w:val="24"/>
          <w:szCs w:val="24"/>
        </w:rPr>
        <w:t xml:space="preserve"> for these </w:t>
      </w:r>
      <w:commentRangeStart w:id="2"/>
      <w:r w:rsidRPr="00A0230D">
        <w:rPr>
          <w:bCs/>
          <w:sz w:val="24"/>
          <w:szCs w:val="24"/>
        </w:rPr>
        <w:t xml:space="preserve">crops; however, spatial disparities and structural changes in their cultivation remain underexplored. To address this, the present study </w:t>
      </w:r>
      <w:proofErr w:type="spellStart"/>
      <w:r w:rsidRPr="00A0230D">
        <w:rPr>
          <w:bCs/>
          <w:sz w:val="24"/>
          <w:szCs w:val="24"/>
        </w:rPr>
        <w:t>analysed</w:t>
      </w:r>
      <w:proofErr w:type="spellEnd"/>
      <w:r w:rsidRPr="00A0230D">
        <w:rPr>
          <w:bCs/>
          <w:sz w:val="24"/>
          <w:szCs w:val="24"/>
        </w:rPr>
        <w:t xml:space="preserve"> the degree of concentration, specialization and competitiveness of cucurbit crops in Dharmapuri and its major blocks</w:t>
      </w:r>
      <w:r w:rsidR="008E501C">
        <w:rPr>
          <w:bCs/>
          <w:sz w:val="24"/>
          <w:szCs w:val="24"/>
        </w:rPr>
        <w:t xml:space="preserve"> - </w:t>
      </w:r>
      <w:proofErr w:type="spellStart"/>
      <w:r w:rsidRPr="00A0230D">
        <w:rPr>
          <w:bCs/>
          <w:sz w:val="24"/>
          <w:szCs w:val="24"/>
        </w:rPr>
        <w:t>Karimangalam</w:t>
      </w:r>
      <w:proofErr w:type="spellEnd"/>
      <w:r w:rsidRPr="00A0230D">
        <w:rPr>
          <w:bCs/>
          <w:sz w:val="24"/>
          <w:szCs w:val="24"/>
        </w:rPr>
        <w:t xml:space="preserve"> and </w:t>
      </w:r>
      <w:proofErr w:type="spellStart"/>
      <w:r w:rsidRPr="00A0230D">
        <w:rPr>
          <w:bCs/>
          <w:sz w:val="24"/>
          <w:szCs w:val="24"/>
        </w:rPr>
        <w:t>Palacode</w:t>
      </w:r>
      <w:proofErr w:type="spellEnd"/>
      <w:r w:rsidR="008E501C">
        <w:rPr>
          <w:bCs/>
          <w:sz w:val="24"/>
          <w:szCs w:val="24"/>
        </w:rPr>
        <w:t xml:space="preserve"> </w:t>
      </w:r>
      <w:r w:rsidRPr="00A0230D">
        <w:rPr>
          <w:bCs/>
          <w:sz w:val="24"/>
          <w:szCs w:val="24"/>
        </w:rPr>
        <w:t>using secondary data from 2014</w:t>
      </w:r>
      <w:r w:rsidR="001C6F71">
        <w:rPr>
          <w:bCs/>
          <w:sz w:val="24"/>
          <w:szCs w:val="24"/>
        </w:rPr>
        <w:t>-</w:t>
      </w:r>
      <w:r w:rsidRPr="00A0230D">
        <w:rPr>
          <w:bCs/>
          <w:sz w:val="24"/>
          <w:szCs w:val="24"/>
        </w:rPr>
        <w:t>15 to 2023</w:t>
      </w:r>
      <w:r w:rsidR="001C6F71">
        <w:rPr>
          <w:bCs/>
          <w:sz w:val="24"/>
          <w:szCs w:val="24"/>
        </w:rPr>
        <w:t>-</w:t>
      </w:r>
      <w:r w:rsidRPr="00A0230D">
        <w:rPr>
          <w:bCs/>
          <w:sz w:val="24"/>
          <w:szCs w:val="24"/>
        </w:rPr>
        <w:t xml:space="preserve">24. </w:t>
      </w:r>
      <w:commentRangeEnd w:id="2"/>
      <w:r w:rsidR="00683FBF">
        <w:rPr>
          <w:rStyle w:val="CommentReference"/>
        </w:rPr>
        <w:commentReference w:id="2"/>
      </w:r>
      <w:r w:rsidRPr="00A0230D">
        <w:rPr>
          <w:bCs/>
          <w:sz w:val="24"/>
          <w:szCs w:val="24"/>
        </w:rPr>
        <w:t>A two-tier analytical framework was employed, wherein the Modified Location Quotient (LQ) measured spatial dominance and the Modified Shift</w:t>
      </w:r>
      <w:r w:rsidR="001C6F71">
        <w:rPr>
          <w:bCs/>
          <w:sz w:val="24"/>
          <w:szCs w:val="24"/>
        </w:rPr>
        <w:t>-</w:t>
      </w:r>
      <w:r w:rsidRPr="00A0230D">
        <w:rPr>
          <w:bCs/>
          <w:sz w:val="24"/>
          <w:szCs w:val="24"/>
        </w:rPr>
        <w:t xml:space="preserve">Share Analysis (SSA) assessed structural transformation and regional advantage over time. The findings revealed strong concentration of bitter gourd, ridge gourd and snake gourd, supported by </w:t>
      </w:r>
      <w:r w:rsidR="008E501C" w:rsidRPr="00A0230D">
        <w:rPr>
          <w:bCs/>
          <w:sz w:val="24"/>
          <w:szCs w:val="24"/>
        </w:rPr>
        <w:t>favorable</w:t>
      </w:r>
      <w:r w:rsidRPr="00A0230D">
        <w:rPr>
          <w:bCs/>
          <w:sz w:val="24"/>
          <w:szCs w:val="24"/>
        </w:rPr>
        <w:t xml:space="preserve"> agro-climatic and market conditions. Positive growth and regional shift effects confirmed Dharmapuri’s competitive position. The study </w:t>
      </w:r>
      <w:bookmarkStart w:id="3" w:name="_GoBack"/>
      <w:r w:rsidRPr="00A0230D">
        <w:rPr>
          <w:bCs/>
          <w:sz w:val="24"/>
          <w:szCs w:val="24"/>
        </w:rPr>
        <w:t xml:space="preserve">highlights Dharmapuri’s strategic role in strengthening Tamil Nadu’s vegetable sector and emphasizes the importance of targeted interventions </w:t>
      </w:r>
      <w:bookmarkEnd w:id="3"/>
      <w:r w:rsidRPr="00A0230D">
        <w:rPr>
          <w:bCs/>
          <w:sz w:val="24"/>
          <w:szCs w:val="24"/>
        </w:rPr>
        <w:t>for sustaining regional competitiveness.</w:t>
      </w:r>
    </w:p>
    <w:p w14:paraId="5721004D" w14:textId="19C30C29" w:rsidR="00A0230D" w:rsidRPr="00535402" w:rsidRDefault="00A0230D" w:rsidP="00535402">
      <w:pPr>
        <w:spacing w:line="360" w:lineRule="auto"/>
        <w:jc w:val="both"/>
        <w:rPr>
          <w:bCs/>
          <w:sz w:val="24"/>
          <w:szCs w:val="24"/>
          <w:lang w:val="en-IN"/>
        </w:rPr>
      </w:pPr>
      <w:r w:rsidRPr="00A0230D">
        <w:rPr>
          <w:b/>
          <w:sz w:val="24"/>
          <w:szCs w:val="24"/>
          <w:lang w:val="en-IN"/>
        </w:rPr>
        <w:t>Keywords:</w:t>
      </w:r>
      <w:r w:rsidRPr="00A0230D">
        <w:rPr>
          <w:bCs/>
          <w:sz w:val="24"/>
          <w:szCs w:val="24"/>
          <w:lang w:val="en-IN"/>
        </w:rPr>
        <w:t xml:space="preserve"> Cucurbit</w:t>
      </w:r>
      <w:r w:rsidR="008E501C">
        <w:rPr>
          <w:bCs/>
          <w:sz w:val="24"/>
          <w:szCs w:val="24"/>
          <w:lang w:val="en-IN"/>
        </w:rPr>
        <w:t xml:space="preserve"> vegetables</w:t>
      </w:r>
      <w:r w:rsidRPr="00A0230D">
        <w:rPr>
          <w:bCs/>
          <w:sz w:val="24"/>
          <w:szCs w:val="24"/>
          <w:lang w:val="en-IN"/>
        </w:rPr>
        <w:t>,</w:t>
      </w:r>
      <w:r w:rsidR="008E501C">
        <w:rPr>
          <w:bCs/>
          <w:sz w:val="24"/>
          <w:szCs w:val="24"/>
          <w:lang w:val="en-IN"/>
        </w:rPr>
        <w:t xml:space="preserve"> Average percentage share, </w:t>
      </w:r>
      <w:r w:rsidR="008E501C" w:rsidRPr="00A0230D">
        <w:rPr>
          <w:bCs/>
          <w:sz w:val="24"/>
          <w:szCs w:val="24"/>
        </w:rPr>
        <w:t>Location Quotient</w:t>
      </w:r>
      <w:r w:rsidR="008E501C">
        <w:rPr>
          <w:bCs/>
          <w:sz w:val="24"/>
          <w:szCs w:val="24"/>
        </w:rPr>
        <w:t>,</w:t>
      </w:r>
      <w:r w:rsidRPr="00A0230D">
        <w:rPr>
          <w:bCs/>
          <w:sz w:val="24"/>
          <w:szCs w:val="24"/>
          <w:lang w:val="en-IN"/>
        </w:rPr>
        <w:t xml:space="preserve"> </w:t>
      </w:r>
      <w:r w:rsidR="008E501C" w:rsidRPr="00A0230D">
        <w:rPr>
          <w:bCs/>
          <w:sz w:val="24"/>
          <w:szCs w:val="24"/>
        </w:rPr>
        <w:t>Shift</w:t>
      </w:r>
      <w:r w:rsidR="001C6F71">
        <w:rPr>
          <w:bCs/>
          <w:sz w:val="24"/>
          <w:szCs w:val="24"/>
        </w:rPr>
        <w:t>-</w:t>
      </w:r>
      <w:r w:rsidR="008E501C" w:rsidRPr="00A0230D">
        <w:rPr>
          <w:bCs/>
          <w:sz w:val="24"/>
          <w:szCs w:val="24"/>
        </w:rPr>
        <w:t>Share Analysis</w:t>
      </w:r>
      <w:r w:rsidR="008E501C">
        <w:rPr>
          <w:bCs/>
          <w:sz w:val="24"/>
          <w:szCs w:val="24"/>
        </w:rPr>
        <w:t xml:space="preserve"> and Regional Competitiveness.</w:t>
      </w:r>
    </w:p>
    <w:p w14:paraId="1D5A8256" w14:textId="77777777" w:rsidR="00F16BED" w:rsidRDefault="00F16BED" w:rsidP="00616122">
      <w:pPr>
        <w:spacing w:line="360" w:lineRule="auto"/>
        <w:jc w:val="both"/>
        <w:rPr>
          <w:b/>
          <w:sz w:val="24"/>
          <w:szCs w:val="24"/>
          <w:lang w:val="en-GB"/>
        </w:rPr>
      </w:pPr>
      <w:r>
        <w:rPr>
          <w:b/>
          <w:sz w:val="24"/>
          <w:szCs w:val="24"/>
          <w:lang w:val="en-GB"/>
        </w:rPr>
        <w:t>Introduction:</w:t>
      </w:r>
    </w:p>
    <w:p w14:paraId="73C937E6" w14:textId="1D08F15B" w:rsidR="008616F1" w:rsidRDefault="008616F1" w:rsidP="008616F1">
      <w:pPr>
        <w:spacing w:line="360" w:lineRule="auto"/>
        <w:ind w:firstLine="720"/>
        <w:jc w:val="both"/>
        <w:rPr>
          <w:bCs/>
          <w:sz w:val="24"/>
          <w:szCs w:val="24"/>
          <w:lang w:val="en-IN"/>
        </w:rPr>
      </w:pPr>
      <w:r w:rsidRPr="008616F1">
        <w:rPr>
          <w:bCs/>
          <w:sz w:val="24"/>
          <w:szCs w:val="24"/>
          <w:lang w:val="en-IN"/>
        </w:rPr>
        <w:t xml:space="preserve">Vegetables constitute a crucial component of Tamil Nadu’s agricultural economy, significantly enhancing farm income, rural employment and nutritional security. The state contributes nearly 5 per cent to India’s total vegetable production, positioning it among the leading vegetable-producing regions in the country (Horticulture Department, Government of Tamil Nadu, 2023). Tamil Nadu’s diverse agro-climatic conditions enable year-round cultivation of a wide array of vegetables such as tomato, brinjal, okra, onion and different types of gourds (NHB, 2022). Over the last decade, the vegetable sector has shown remarkable growth in both area and production, attributed to the adoption of improved varieties, enhanced irrigation access and the expansion of domestic and export markets (APEDA, 2016). Within this framework, Dharmapuri district has gained prominence as a major centre for vegetable </w:t>
      </w:r>
      <w:r w:rsidRPr="008616F1">
        <w:rPr>
          <w:bCs/>
          <w:sz w:val="24"/>
          <w:szCs w:val="24"/>
          <w:lang w:val="en-IN"/>
        </w:rPr>
        <w:lastRenderedPageBreak/>
        <w:t>cultivation, particularly for its extensive area under cucurbit crops such as bitter gourd, ridge gourd, snake gourd, bottle gourd and ash gourd. Among these, gourd varieties hold an important place in the diets of southern and southeastern Asia, being rich in vitamins A and C, iron, calcium and dietary fibre, thus offering both economic and nutritional benefits to farming communities (Dhillon et al., 2016). Recent statistics from the Directorate of Economics and Statistics (2024) highlight Dharmapuri’s leading role in vegetable acreage, with the district making a substantial contribution to Tamil Nadu’s total cucurbit cultivation.</w:t>
      </w:r>
    </w:p>
    <w:p w14:paraId="48E90E26" w14:textId="37BA73C2" w:rsidR="008616F1" w:rsidRPr="008E501C" w:rsidRDefault="008558F9" w:rsidP="008E501C">
      <w:pPr>
        <w:spacing w:line="360" w:lineRule="auto"/>
        <w:ind w:firstLine="720"/>
        <w:jc w:val="both"/>
        <w:rPr>
          <w:bCs/>
          <w:sz w:val="24"/>
          <w:szCs w:val="24"/>
          <w:lang w:val="en-IN"/>
        </w:rPr>
      </w:pPr>
      <w:r w:rsidRPr="008558F9">
        <w:rPr>
          <w:bCs/>
          <w:sz w:val="24"/>
          <w:szCs w:val="24"/>
        </w:rPr>
        <w:t xml:space="preserve">Considering the importance of cucurbit cultivation in the study area, the present study adopts a two-tier analytical approach to explore both inter-district and intra-district relationships. The first tier examines the comparative position of Dharmapuri district with Tamil Nadu to understand its dominance and specialization in cucurbit cultivation, while the second tier focuses on the spatial variations within the district, particularly between </w:t>
      </w:r>
      <w:proofErr w:type="spellStart"/>
      <w:r w:rsidRPr="008558F9">
        <w:rPr>
          <w:bCs/>
          <w:sz w:val="24"/>
          <w:szCs w:val="24"/>
        </w:rPr>
        <w:t>Karimangalam</w:t>
      </w:r>
      <w:proofErr w:type="spellEnd"/>
      <w:r w:rsidRPr="008558F9">
        <w:rPr>
          <w:bCs/>
          <w:sz w:val="24"/>
          <w:szCs w:val="24"/>
        </w:rPr>
        <w:t xml:space="preserve"> and </w:t>
      </w:r>
      <w:proofErr w:type="spellStart"/>
      <w:r w:rsidRPr="008558F9">
        <w:rPr>
          <w:bCs/>
          <w:sz w:val="24"/>
          <w:szCs w:val="24"/>
        </w:rPr>
        <w:t>Palacode</w:t>
      </w:r>
      <w:proofErr w:type="spellEnd"/>
      <w:r w:rsidRPr="008558F9">
        <w:rPr>
          <w:bCs/>
          <w:sz w:val="24"/>
          <w:szCs w:val="24"/>
        </w:rPr>
        <w:t xml:space="preserve"> blocks. In this context, the study aims to measure the regional dominance and crop specialization of major cucurbit vegetables and to </w:t>
      </w:r>
      <w:proofErr w:type="spellStart"/>
      <w:r w:rsidRPr="008558F9">
        <w:rPr>
          <w:bCs/>
          <w:sz w:val="24"/>
          <w:szCs w:val="24"/>
        </w:rPr>
        <w:t>analyse</w:t>
      </w:r>
      <w:proofErr w:type="spellEnd"/>
      <w:r w:rsidRPr="008558F9">
        <w:rPr>
          <w:bCs/>
          <w:sz w:val="24"/>
          <w:szCs w:val="24"/>
        </w:rPr>
        <w:t xml:space="preserve"> the structural transformation and regional competitiveness in their area expansion over time.</w:t>
      </w:r>
    </w:p>
    <w:p w14:paraId="0AD63B97" w14:textId="3667D87D" w:rsidR="00F80801" w:rsidRDefault="00F16BED" w:rsidP="00616122">
      <w:pPr>
        <w:spacing w:line="360" w:lineRule="auto"/>
        <w:jc w:val="both"/>
        <w:rPr>
          <w:b/>
          <w:sz w:val="24"/>
          <w:szCs w:val="24"/>
          <w:lang w:val="en-GB"/>
        </w:rPr>
      </w:pPr>
      <w:r>
        <w:rPr>
          <w:b/>
          <w:sz w:val="24"/>
          <w:szCs w:val="24"/>
          <w:lang w:val="en-GB"/>
        </w:rPr>
        <w:t>Materials and Methods:</w:t>
      </w:r>
    </w:p>
    <w:p w14:paraId="07B143F2" w14:textId="7B1D2A9E" w:rsidR="004B6EB4" w:rsidRPr="00DB4677" w:rsidRDefault="00F80801" w:rsidP="00F80801">
      <w:pPr>
        <w:spacing w:line="360" w:lineRule="auto"/>
        <w:ind w:firstLine="720"/>
        <w:jc w:val="both"/>
        <w:rPr>
          <w:bCs/>
          <w:sz w:val="24"/>
          <w:szCs w:val="24"/>
        </w:rPr>
      </w:pPr>
      <w:r w:rsidRPr="00DB4677">
        <w:rPr>
          <w:bCs/>
          <w:sz w:val="24"/>
          <w:szCs w:val="24"/>
        </w:rPr>
        <w:t>The analysis was based on secondary data pertaining to Dharmapuri district, Tamil Nadu, which was purposively selected owing to its prominence in cucurbit cultivation and significant contribution to the state’s total cucurbit cultivation. The study focused on ash gourd, bottle gourd, bitter gourd, ridge gourd, snake gourd and a combined group termed “others” (including cucumber, pumpkin, ivy gourd, and chow chow). These crops were chosen based on their area coverage and importance within the Cucurbitaceae family. Time-series data on the area under these crops for the period 2014</w:t>
      </w:r>
      <w:r w:rsidR="00DD5B1A">
        <w:rPr>
          <w:bCs/>
          <w:sz w:val="24"/>
          <w:szCs w:val="24"/>
        </w:rPr>
        <w:t>-</w:t>
      </w:r>
      <w:r w:rsidRPr="00DB4677">
        <w:rPr>
          <w:bCs/>
          <w:sz w:val="24"/>
          <w:szCs w:val="24"/>
        </w:rPr>
        <w:t>15 to 2023</w:t>
      </w:r>
      <w:r w:rsidR="00DD5B1A">
        <w:rPr>
          <w:bCs/>
          <w:sz w:val="24"/>
          <w:szCs w:val="24"/>
        </w:rPr>
        <w:t>-</w:t>
      </w:r>
      <w:r w:rsidRPr="00DB4677">
        <w:rPr>
          <w:bCs/>
          <w:sz w:val="24"/>
          <w:szCs w:val="24"/>
        </w:rPr>
        <w:t xml:space="preserve">24 were obtained from the Season and Crop Reports published by the Directorate of Economics and Statistics (DES), Chennai. To examine crop concentration and regional competitiveness, a two-tier analytical framework was employed. In the first stage, Tamil Nadu was taken as the benchmark and Dharmapuri as the study region to assess district-level specialization, while in the second stage, Dharmapuri served as the benchmark and </w:t>
      </w:r>
      <w:proofErr w:type="spellStart"/>
      <w:r w:rsidRPr="00DB4677">
        <w:rPr>
          <w:bCs/>
          <w:sz w:val="24"/>
          <w:szCs w:val="24"/>
        </w:rPr>
        <w:t>Karimangalam</w:t>
      </w:r>
      <w:proofErr w:type="spellEnd"/>
      <w:r w:rsidRPr="00DB4677">
        <w:rPr>
          <w:bCs/>
          <w:sz w:val="24"/>
          <w:szCs w:val="24"/>
        </w:rPr>
        <w:t xml:space="preserve"> and </w:t>
      </w:r>
      <w:proofErr w:type="spellStart"/>
      <w:r w:rsidRPr="00DB4677">
        <w:rPr>
          <w:bCs/>
          <w:sz w:val="24"/>
          <w:szCs w:val="24"/>
        </w:rPr>
        <w:t>Palacode</w:t>
      </w:r>
      <w:proofErr w:type="spellEnd"/>
      <w:r w:rsidRPr="00DB4677">
        <w:rPr>
          <w:bCs/>
          <w:sz w:val="24"/>
          <w:szCs w:val="24"/>
        </w:rPr>
        <w:t xml:space="preserve"> blocks as study regions to </w:t>
      </w:r>
      <w:r w:rsidRPr="00F80801">
        <w:rPr>
          <w:bCs/>
          <w:sz w:val="24"/>
          <w:szCs w:val="24"/>
          <w:lang w:val="en-IN"/>
        </w:rPr>
        <w:t>examine t</w:t>
      </w:r>
      <w:r w:rsidRPr="00DB4677">
        <w:rPr>
          <w:bCs/>
          <w:sz w:val="24"/>
          <w:szCs w:val="24"/>
          <w:lang w:val="en-IN"/>
        </w:rPr>
        <w:t>he</w:t>
      </w:r>
      <w:r w:rsidRPr="00F80801">
        <w:rPr>
          <w:bCs/>
          <w:sz w:val="24"/>
          <w:szCs w:val="24"/>
          <w:lang w:val="en-IN"/>
        </w:rPr>
        <w:t xml:space="preserve"> variations within the district</w:t>
      </w:r>
      <w:r w:rsidRPr="00DB4677">
        <w:rPr>
          <w:bCs/>
          <w:sz w:val="24"/>
          <w:szCs w:val="24"/>
        </w:rPr>
        <w:t>. Analytical tools such as</w:t>
      </w:r>
      <w:r w:rsidR="00DB4677">
        <w:rPr>
          <w:bCs/>
          <w:sz w:val="24"/>
          <w:szCs w:val="24"/>
        </w:rPr>
        <w:t xml:space="preserve"> Percentage analysis,</w:t>
      </w:r>
      <w:r w:rsidRPr="00DB4677">
        <w:rPr>
          <w:bCs/>
          <w:sz w:val="24"/>
          <w:szCs w:val="24"/>
        </w:rPr>
        <w:t xml:space="preserve"> the Modified Location Quotient (LQ) and Modified Shift</w:t>
      </w:r>
      <w:r w:rsidR="00DD5B1A">
        <w:rPr>
          <w:bCs/>
          <w:sz w:val="24"/>
          <w:szCs w:val="24"/>
        </w:rPr>
        <w:t>-</w:t>
      </w:r>
      <w:r w:rsidRPr="00DB4677">
        <w:rPr>
          <w:bCs/>
          <w:sz w:val="24"/>
          <w:szCs w:val="24"/>
        </w:rPr>
        <w:t>Share Analysis (SSA) were used to evaluate the degree of crop dominance, competitiveness and structural changes over time.</w:t>
      </w:r>
    </w:p>
    <w:p w14:paraId="4FA7EF4E" w14:textId="41703232" w:rsidR="00535402" w:rsidRDefault="00535402" w:rsidP="005B23ED">
      <w:pPr>
        <w:spacing w:line="360" w:lineRule="auto"/>
        <w:jc w:val="both"/>
        <w:rPr>
          <w:rFonts w:eastAsia="SimSun"/>
          <w:b/>
          <w:bCs/>
          <w:color w:val="000000"/>
          <w:sz w:val="24"/>
          <w:szCs w:val="24"/>
        </w:rPr>
      </w:pPr>
    </w:p>
    <w:p w14:paraId="0842806F" w14:textId="7A45D4BF" w:rsidR="00683FBF" w:rsidRDefault="00683FBF" w:rsidP="005B23ED">
      <w:pPr>
        <w:spacing w:line="360" w:lineRule="auto"/>
        <w:jc w:val="both"/>
        <w:rPr>
          <w:rFonts w:eastAsia="SimSun"/>
          <w:b/>
          <w:bCs/>
          <w:color w:val="000000"/>
          <w:sz w:val="24"/>
          <w:szCs w:val="24"/>
        </w:rPr>
      </w:pPr>
    </w:p>
    <w:p w14:paraId="6E5D2DC3" w14:textId="07B18EE6" w:rsidR="00683FBF" w:rsidRDefault="00683FBF" w:rsidP="005B23ED">
      <w:pPr>
        <w:spacing w:line="360" w:lineRule="auto"/>
        <w:jc w:val="both"/>
        <w:rPr>
          <w:rFonts w:eastAsia="SimSun"/>
          <w:b/>
          <w:bCs/>
          <w:color w:val="000000"/>
          <w:sz w:val="24"/>
          <w:szCs w:val="24"/>
        </w:rPr>
      </w:pPr>
    </w:p>
    <w:p w14:paraId="677F4359" w14:textId="4F9CDBC5" w:rsidR="005B23ED" w:rsidRPr="005B23ED" w:rsidRDefault="005B23ED" w:rsidP="005B23ED">
      <w:pPr>
        <w:spacing w:line="360" w:lineRule="auto"/>
        <w:jc w:val="both"/>
        <w:rPr>
          <w:rFonts w:eastAsia="SimSun"/>
          <w:b/>
          <w:bCs/>
          <w:color w:val="000000"/>
          <w:sz w:val="24"/>
          <w:szCs w:val="24"/>
        </w:rPr>
      </w:pPr>
      <w:r w:rsidRPr="005B23ED">
        <w:rPr>
          <w:rFonts w:eastAsia="SimSun"/>
          <w:b/>
          <w:bCs/>
          <w:color w:val="000000"/>
          <w:sz w:val="24"/>
          <w:szCs w:val="24"/>
        </w:rPr>
        <w:lastRenderedPageBreak/>
        <w:t>Percentage Analysis</w:t>
      </w:r>
    </w:p>
    <w:p w14:paraId="503971C5" w14:textId="4C3EF1BF" w:rsidR="005B23ED" w:rsidRPr="005B23ED" w:rsidRDefault="00E66FE8" w:rsidP="005B23ED">
      <w:pPr>
        <w:spacing w:line="360" w:lineRule="auto"/>
        <w:ind w:firstLine="720"/>
        <w:jc w:val="both"/>
        <w:rPr>
          <w:rFonts w:eastAsia="SimSun"/>
          <w:color w:val="000000"/>
          <w:sz w:val="24"/>
          <w:szCs w:val="24"/>
        </w:rPr>
      </w:pPr>
      <w:r w:rsidRPr="00EA57ED">
        <w:rPr>
          <w:rFonts w:eastAsia="SimSun"/>
          <w:color w:val="000000"/>
          <w:sz w:val="24"/>
          <w:szCs w:val="24"/>
        </w:rPr>
        <w:t>Percentage analysis</w:t>
      </w:r>
      <w:r w:rsidRPr="00E66FE8">
        <w:rPr>
          <w:rFonts w:eastAsia="SimSun"/>
          <w:color w:val="000000"/>
          <w:sz w:val="24"/>
          <w:szCs w:val="24"/>
        </w:rPr>
        <w:t xml:space="preserve"> was employed to examine the distribution of cucurbit crops in the study area. This method was used to determine the relative share of each cucurbit crop. The percentage share was calculated using the following formula</w:t>
      </w:r>
      <w:r>
        <w:rPr>
          <w:rFonts w:eastAsia="SimSun"/>
          <w:color w:val="000000"/>
          <w:sz w:val="24"/>
          <w:szCs w:val="24"/>
        </w:rPr>
        <w:t>,</w:t>
      </w:r>
    </w:p>
    <w:p w14:paraId="67D4FC8D" w14:textId="5DE96F60" w:rsidR="00E66FE8" w:rsidRPr="00EA57ED" w:rsidRDefault="005B23ED" w:rsidP="00E66FE8">
      <w:pPr>
        <w:spacing w:line="360" w:lineRule="auto"/>
        <w:jc w:val="center"/>
        <w:rPr>
          <w:rFonts w:eastAsia="SimSun"/>
          <w:b/>
          <w:bCs/>
          <w:i/>
          <w:iCs/>
          <w:color w:val="000000"/>
          <w:sz w:val="24"/>
          <w:szCs w:val="24"/>
        </w:rPr>
      </w:pPr>
      <m:oMathPara>
        <m:oMath>
          <m:r>
            <m:rPr>
              <m:nor/>
            </m:rPr>
            <w:rPr>
              <w:rFonts w:eastAsia="SimSun"/>
              <w:b/>
              <w:bCs/>
              <w:i/>
              <w:iCs/>
              <w:color w:val="000000"/>
              <w:sz w:val="24"/>
              <w:szCs w:val="24"/>
            </w:rPr>
            <m:t xml:space="preserve">Percentage analysis= </m:t>
          </m:r>
          <m:f>
            <m:fPr>
              <m:ctrlPr>
                <w:rPr>
                  <w:rFonts w:ascii="Cambria Math" w:eastAsia="SimSun" w:hAnsi="Cambria Math"/>
                  <w:b/>
                  <w:bCs/>
                  <w:i/>
                  <w:iCs/>
                  <w:color w:val="000000"/>
                  <w:sz w:val="24"/>
                  <w:szCs w:val="24"/>
                </w:rPr>
              </m:ctrlPr>
            </m:fPr>
            <m:num>
              <m:r>
                <m:rPr>
                  <m:nor/>
                </m:rPr>
                <w:rPr>
                  <w:rFonts w:eastAsia="SimSun"/>
                  <w:b/>
                  <w:bCs/>
                  <w:i/>
                  <w:iCs/>
                  <w:color w:val="000000"/>
                  <w:sz w:val="24"/>
                  <w:szCs w:val="24"/>
                </w:rPr>
                <m:t>Area of</m:t>
              </m:r>
              <m:r>
                <m:rPr>
                  <m:nor/>
                </m:rPr>
                <w:rPr>
                  <w:rFonts w:ascii="Cambria Math" w:eastAsia="SimSun"/>
                  <w:b/>
                  <w:bCs/>
                  <w:i/>
                  <w:iCs/>
                  <w:color w:val="000000"/>
                  <w:sz w:val="24"/>
                  <w:szCs w:val="24"/>
                </w:rPr>
                <m:t xml:space="preserve"> individual</m:t>
              </m:r>
              <m:r>
                <m:rPr>
                  <m:nor/>
                </m:rPr>
                <w:rPr>
                  <w:rFonts w:eastAsia="SimSun"/>
                  <w:b/>
                  <w:bCs/>
                  <w:i/>
                  <w:iCs/>
                  <w:color w:val="000000"/>
                  <w:sz w:val="24"/>
                  <w:szCs w:val="24"/>
                </w:rPr>
                <m:t xml:space="preserve"> cucurbit </m:t>
              </m:r>
              <m:r>
                <m:rPr>
                  <m:nor/>
                </m:rPr>
                <w:rPr>
                  <w:rFonts w:ascii="Cambria Math" w:eastAsia="SimSun"/>
                  <w:b/>
                  <w:bCs/>
                  <w:i/>
                  <w:iCs/>
                  <w:color w:val="000000"/>
                  <w:sz w:val="24"/>
                  <w:szCs w:val="24"/>
                </w:rPr>
                <m:t>crop</m:t>
              </m:r>
            </m:num>
            <m:den>
              <m:r>
                <m:rPr>
                  <m:nor/>
                </m:rPr>
                <w:rPr>
                  <w:rFonts w:eastAsia="SimSun"/>
                  <w:b/>
                  <w:bCs/>
                  <w:i/>
                  <w:iCs/>
                  <w:color w:val="000000"/>
                  <w:sz w:val="24"/>
                  <w:szCs w:val="24"/>
                </w:rPr>
                <m:t>Total cucurbit area</m:t>
              </m:r>
            </m:den>
          </m:f>
          <m:r>
            <m:rPr>
              <m:nor/>
            </m:rPr>
            <w:rPr>
              <w:rFonts w:eastAsia="SimSun"/>
              <w:b/>
              <w:bCs/>
              <w:i/>
              <w:iCs/>
              <w:color w:val="000000"/>
              <w:sz w:val="24"/>
              <w:szCs w:val="24"/>
            </w:rPr>
            <m:t>×100</m:t>
          </m:r>
        </m:oMath>
      </m:oMathPara>
    </w:p>
    <w:p w14:paraId="469423CF" w14:textId="62A77C4A" w:rsidR="00E66FE8" w:rsidRPr="00E66FE8" w:rsidRDefault="00E66FE8" w:rsidP="00DD5B1A">
      <w:pPr>
        <w:spacing w:line="360" w:lineRule="auto"/>
        <w:ind w:firstLine="720"/>
        <w:jc w:val="both"/>
        <w:rPr>
          <w:rFonts w:eastAsia="SimSun"/>
          <w:b/>
          <w:bCs/>
          <w:color w:val="000000"/>
          <w:sz w:val="24"/>
          <w:szCs w:val="24"/>
        </w:rPr>
      </w:pPr>
      <w:r w:rsidRPr="00E66FE8">
        <w:rPr>
          <w:sz w:val="24"/>
          <w:szCs w:val="24"/>
        </w:rPr>
        <w:t>This analysis helped to assess the dominance pattern and changing trends among the selected cucurbit vegetables</w:t>
      </w:r>
      <w:r w:rsidR="00DD5B1A">
        <w:rPr>
          <w:sz w:val="24"/>
          <w:szCs w:val="24"/>
        </w:rPr>
        <w:t xml:space="preserve"> such as </w:t>
      </w:r>
      <w:r w:rsidRPr="00E66FE8">
        <w:rPr>
          <w:sz w:val="24"/>
          <w:szCs w:val="24"/>
        </w:rPr>
        <w:t>ash gourd, bottle gourd, bitter gourd, ridge gourd, snake gourd and others</w:t>
      </w:r>
      <w:r w:rsidR="00DD5B1A">
        <w:rPr>
          <w:sz w:val="24"/>
          <w:szCs w:val="24"/>
        </w:rPr>
        <w:t xml:space="preserve"> </w:t>
      </w:r>
      <w:r w:rsidRPr="00E66FE8">
        <w:rPr>
          <w:sz w:val="24"/>
          <w:szCs w:val="24"/>
        </w:rPr>
        <w:t>during the study period. The results provided insights into the cropping structure and the extent to which each crop contributed to the overall cucurbit cultivation in</w:t>
      </w:r>
      <w:r w:rsidR="00DD5B1A">
        <w:rPr>
          <w:sz w:val="24"/>
          <w:szCs w:val="24"/>
        </w:rPr>
        <w:t xml:space="preserve"> </w:t>
      </w:r>
      <w:r w:rsidRPr="00E66FE8">
        <w:rPr>
          <w:sz w:val="24"/>
          <w:szCs w:val="24"/>
        </w:rPr>
        <w:t xml:space="preserve">the </w:t>
      </w:r>
      <w:r w:rsidR="00DD5B1A">
        <w:rPr>
          <w:sz w:val="24"/>
          <w:szCs w:val="24"/>
        </w:rPr>
        <w:t xml:space="preserve">study </w:t>
      </w:r>
      <w:r w:rsidRPr="00E66FE8">
        <w:rPr>
          <w:sz w:val="24"/>
          <w:szCs w:val="24"/>
        </w:rPr>
        <w:t>region.</w:t>
      </w:r>
    </w:p>
    <w:p w14:paraId="116B3D3F" w14:textId="25CD0DB8" w:rsidR="00F80801" w:rsidRPr="00DB4677" w:rsidRDefault="00F80801" w:rsidP="00F80801">
      <w:pPr>
        <w:tabs>
          <w:tab w:val="center" w:pos="4166"/>
        </w:tabs>
        <w:spacing w:line="360" w:lineRule="auto"/>
        <w:jc w:val="both"/>
        <w:rPr>
          <w:b/>
          <w:bCs/>
          <w:sz w:val="24"/>
          <w:szCs w:val="24"/>
        </w:rPr>
      </w:pPr>
      <w:r w:rsidRPr="00DB4677">
        <w:rPr>
          <w:b/>
          <w:bCs/>
          <w:sz w:val="24"/>
          <w:szCs w:val="24"/>
        </w:rPr>
        <w:t>Modified Location Quotient (LQ)</w:t>
      </w:r>
      <w:r w:rsidRPr="00DB4677">
        <w:rPr>
          <w:b/>
          <w:bCs/>
          <w:sz w:val="24"/>
          <w:szCs w:val="24"/>
        </w:rPr>
        <w:tab/>
      </w:r>
    </w:p>
    <w:p w14:paraId="27C63FBD" w14:textId="77777777" w:rsidR="00DC78F2" w:rsidRPr="00DC78F2" w:rsidRDefault="00DC78F2" w:rsidP="00DC78F2">
      <w:pPr>
        <w:spacing w:line="360" w:lineRule="auto"/>
        <w:ind w:firstLine="720"/>
        <w:jc w:val="both"/>
        <w:rPr>
          <w:sz w:val="24"/>
          <w:szCs w:val="24"/>
          <w:lang w:val="en-IN"/>
        </w:rPr>
      </w:pPr>
      <w:r w:rsidRPr="00DC78F2">
        <w:rPr>
          <w:sz w:val="24"/>
          <w:szCs w:val="24"/>
          <w:lang w:val="en-IN"/>
        </w:rPr>
        <w:t>To assess the dominance and specialization of major cucurbit crops, the Modified Location Quotient (LQ) technique was employed. Originally introduced by Bhatia (1965) in Indian agriculture, LQ helps identify spatial concentration and crop specialization by comparing the proportion of a crop’s area in a specific region to that in a larger reference area. Subsequent studies, including Harrington and Warf (1995), Sundaram and Rani (2018), and Kumar et al. (2021), have applied this approach for regional crop analysis.</w:t>
      </w:r>
    </w:p>
    <w:p w14:paraId="7B88077B" w14:textId="77777777" w:rsidR="00DC78F2" w:rsidRPr="00DC78F2" w:rsidRDefault="00DC78F2" w:rsidP="00DC78F2">
      <w:pPr>
        <w:spacing w:line="360" w:lineRule="auto"/>
        <w:jc w:val="both"/>
        <w:rPr>
          <w:sz w:val="24"/>
          <w:szCs w:val="24"/>
          <w:lang w:val="en-IN"/>
        </w:rPr>
      </w:pPr>
      <w:r w:rsidRPr="00DC78F2">
        <w:rPr>
          <w:sz w:val="24"/>
          <w:szCs w:val="24"/>
          <w:lang w:val="en-IN"/>
        </w:rPr>
        <w:t>The LQ was calculated using the formula:</w:t>
      </w:r>
    </w:p>
    <w:p w14:paraId="402BF626" w14:textId="58D17BDB" w:rsidR="00DC78F2" w:rsidRPr="00DC78F2" w:rsidRDefault="00DC78F2" w:rsidP="00DC78F2">
      <w:pPr>
        <w:spacing w:line="360" w:lineRule="auto"/>
        <w:jc w:val="both"/>
        <w:rPr>
          <w:b/>
          <w:bCs/>
          <w:sz w:val="24"/>
          <w:szCs w:val="24"/>
          <w:lang w:val="en-IN"/>
        </w:rPr>
      </w:pPr>
      <m:oMathPara>
        <m:oMath>
          <m:r>
            <m:rPr>
              <m:sty m:val="bi"/>
            </m:rPr>
            <w:rPr>
              <w:rFonts w:ascii="Cambria Math" w:hAnsi="Cambria Math"/>
              <w:sz w:val="24"/>
              <w:szCs w:val="24"/>
              <w:lang w:val="en-IN"/>
            </w:rPr>
            <m:t>LQ=</m:t>
          </m:r>
          <m:f>
            <m:fPr>
              <m:ctrlPr>
                <w:rPr>
                  <w:rFonts w:ascii="Cambria Math" w:hAnsi="Cambria Math"/>
                  <w:b/>
                  <w:bCs/>
                  <w:sz w:val="24"/>
                  <w:szCs w:val="24"/>
                  <w:lang w:val="en-IN"/>
                </w:rPr>
              </m:ctrlPr>
            </m:fPr>
            <m:num>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A</m:t>
                  </m:r>
                </m:e>
                <m:sub>
                  <m:r>
                    <m:rPr>
                      <m:sty m:val="bi"/>
                    </m:rPr>
                    <w:rPr>
                      <w:rFonts w:ascii="Cambria Math" w:hAnsi="Cambria Math"/>
                      <w:sz w:val="24"/>
                      <w:szCs w:val="24"/>
                      <w:lang w:val="en-IN"/>
                    </w:rPr>
                    <m:t>ij</m:t>
                  </m:r>
                </m:sub>
              </m:sSub>
              <m:r>
                <m:rPr>
                  <m:sty m:val="b"/>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A</m:t>
                  </m:r>
                </m:e>
                <m:sub>
                  <m:r>
                    <m:rPr>
                      <m:sty m:val="bi"/>
                    </m:rPr>
                    <w:rPr>
                      <w:rFonts w:ascii="Cambria Math" w:hAnsi="Cambria Math"/>
                      <w:sz w:val="24"/>
                      <w:szCs w:val="24"/>
                      <w:lang w:val="en-IN"/>
                    </w:rPr>
                    <m:t>j</m:t>
                  </m:r>
                </m:sub>
              </m:sSub>
              <m:r>
                <m:rPr>
                  <m:sty m:val="bi"/>
                </m:rPr>
                <w:rPr>
                  <w:rFonts w:ascii="Cambria Math" w:hAnsi="Cambria Math"/>
                  <w:sz w:val="24"/>
                  <w:szCs w:val="24"/>
                  <w:lang w:val="en-IN"/>
                </w:rPr>
                <m:t>)</m:t>
              </m:r>
            </m:num>
            <m:den>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A</m:t>
                  </m:r>
                </m:e>
                <m:sub>
                  <m:r>
                    <m:rPr>
                      <m:sty m:val="bi"/>
                    </m:rPr>
                    <w:rPr>
                      <w:rFonts w:ascii="Cambria Math" w:hAnsi="Cambria Math"/>
                      <w:sz w:val="24"/>
                      <w:szCs w:val="24"/>
                      <w:lang w:val="en-IN"/>
                    </w:rPr>
                    <m:t>in</m:t>
                  </m:r>
                </m:sub>
              </m:sSub>
              <m:r>
                <m:rPr>
                  <m:sty m:val="b"/>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A</m:t>
                  </m:r>
                </m:e>
                <m:sub>
                  <m:r>
                    <m:rPr>
                      <m:sty m:val="bi"/>
                    </m:rPr>
                    <w:rPr>
                      <w:rFonts w:ascii="Cambria Math" w:hAnsi="Cambria Math"/>
                      <w:sz w:val="24"/>
                      <w:szCs w:val="24"/>
                      <w:lang w:val="en-IN"/>
                    </w:rPr>
                    <m:t>n</m:t>
                  </m:r>
                </m:sub>
              </m:sSub>
              <m:r>
                <m:rPr>
                  <m:sty m:val="bi"/>
                </m:rPr>
                <w:rPr>
                  <w:rFonts w:ascii="Cambria Math" w:hAnsi="Cambria Math"/>
                  <w:sz w:val="24"/>
                  <w:szCs w:val="24"/>
                  <w:lang w:val="en-IN"/>
                </w:rPr>
                <m:t>)</m:t>
              </m:r>
            </m:den>
          </m:f>
          <m:r>
            <m:rPr>
              <m:sty m:val="p"/>
            </m:rPr>
            <w:rPr>
              <w:sz w:val="24"/>
              <w:szCs w:val="24"/>
              <w:lang w:val="en-IN"/>
            </w:rPr>
            <w:br/>
          </m:r>
        </m:oMath>
      </m:oMathPara>
      <w:r w:rsidRPr="00DC78F2">
        <w:rPr>
          <w:sz w:val="24"/>
          <w:szCs w:val="24"/>
          <w:lang w:val="en-IN"/>
        </w:rPr>
        <w:t>Where</w:t>
      </w:r>
      <w:r>
        <w:rPr>
          <w:sz w:val="24"/>
          <w:szCs w:val="24"/>
          <w:lang w:val="en-IN"/>
        </w:rPr>
        <w:t>,</w:t>
      </w:r>
    </w:p>
    <w:p w14:paraId="718EE346" w14:textId="095DEBCE" w:rsidR="00DC78F2" w:rsidRPr="00DC78F2" w:rsidRDefault="00F47B70" w:rsidP="00DC78F2">
      <w:pPr>
        <w:spacing w:line="360" w:lineRule="auto"/>
        <w:ind w:left="36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A</m:t>
            </m:r>
          </m:e>
          <m:sub>
            <m:r>
              <w:rPr>
                <w:rFonts w:ascii="Cambria Math" w:hAnsi="Cambria Math"/>
                <w:sz w:val="24"/>
                <w:szCs w:val="24"/>
                <w:lang w:val="en-IN"/>
              </w:rPr>
              <m:t>ij</m:t>
            </m:r>
          </m:sub>
        </m:sSub>
      </m:oMath>
      <w:r w:rsidR="00DC78F2" w:rsidRPr="00DC78F2">
        <w:rPr>
          <w:sz w:val="24"/>
          <w:szCs w:val="24"/>
          <w:lang w:val="en-IN"/>
        </w:rPr>
        <w:t xml:space="preserve">= Area under crop </w:t>
      </w:r>
      <w:proofErr w:type="spellStart"/>
      <w:r w:rsidR="00DC78F2" w:rsidRPr="00DC78F2">
        <w:rPr>
          <w:i/>
          <w:iCs/>
          <w:sz w:val="24"/>
          <w:szCs w:val="24"/>
          <w:lang w:val="en-IN"/>
        </w:rPr>
        <w:t>i</w:t>
      </w:r>
      <w:proofErr w:type="spellEnd"/>
      <w:r w:rsidR="00DC78F2" w:rsidRPr="00DC78F2">
        <w:rPr>
          <w:sz w:val="24"/>
          <w:szCs w:val="24"/>
          <w:lang w:val="en-IN"/>
        </w:rPr>
        <w:t xml:space="preserve"> in the study region </w:t>
      </w:r>
      <w:r w:rsidR="00DC78F2" w:rsidRPr="00DC78F2">
        <w:rPr>
          <w:i/>
          <w:iCs/>
          <w:sz w:val="24"/>
          <w:szCs w:val="24"/>
          <w:lang w:val="en-IN"/>
        </w:rPr>
        <w:t>j</w:t>
      </w:r>
    </w:p>
    <w:p w14:paraId="11B1DB9C" w14:textId="794A07E8" w:rsidR="00DC78F2" w:rsidRPr="00DC78F2" w:rsidRDefault="00F47B70" w:rsidP="00DC78F2">
      <w:pPr>
        <w:spacing w:line="360" w:lineRule="auto"/>
        <w:ind w:left="36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A</m:t>
            </m:r>
          </m:e>
          <m:sub>
            <m:r>
              <w:rPr>
                <w:rFonts w:ascii="Cambria Math" w:hAnsi="Cambria Math"/>
                <w:sz w:val="24"/>
                <w:szCs w:val="24"/>
                <w:lang w:val="en-IN"/>
              </w:rPr>
              <m:t>j</m:t>
            </m:r>
          </m:sub>
        </m:sSub>
      </m:oMath>
      <w:r w:rsidR="006C5B66" w:rsidRPr="006C5B66">
        <w:rPr>
          <w:sz w:val="24"/>
          <w:szCs w:val="24"/>
          <w:lang w:val="en-IN"/>
        </w:rPr>
        <w:t xml:space="preserve"> </w:t>
      </w:r>
      <w:r w:rsidR="006C5B66" w:rsidRPr="00DC78F2">
        <w:rPr>
          <w:sz w:val="24"/>
          <w:szCs w:val="24"/>
          <w:lang w:val="en-IN"/>
        </w:rPr>
        <w:t xml:space="preserve">represent the </w:t>
      </w:r>
      <w:r w:rsidR="006C5B66">
        <w:rPr>
          <w:sz w:val="24"/>
          <w:szCs w:val="24"/>
          <w:lang w:val="en-IN"/>
        </w:rPr>
        <w:t>t</w:t>
      </w:r>
      <w:r w:rsidR="00DC78F2" w:rsidRPr="00DC78F2">
        <w:rPr>
          <w:sz w:val="24"/>
          <w:szCs w:val="24"/>
          <w:lang w:val="en-IN"/>
        </w:rPr>
        <w:t xml:space="preserve">otal cropped area in the study region </w:t>
      </w:r>
      <w:r w:rsidR="00DC78F2" w:rsidRPr="00DC78F2">
        <w:rPr>
          <w:i/>
          <w:iCs/>
          <w:sz w:val="24"/>
          <w:szCs w:val="24"/>
          <w:lang w:val="en-IN"/>
        </w:rPr>
        <w:t>j</w:t>
      </w:r>
    </w:p>
    <w:p w14:paraId="6F42A7CA" w14:textId="2EE1AE1A" w:rsidR="00DC78F2" w:rsidRPr="00DC78F2" w:rsidRDefault="00F47B70" w:rsidP="00DC78F2">
      <w:pPr>
        <w:spacing w:line="360" w:lineRule="auto"/>
        <w:ind w:left="36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A</m:t>
            </m:r>
          </m:e>
          <m:sub>
            <m:r>
              <w:rPr>
                <w:rFonts w:ascii="Cambria Math" w:hAnsi="Cambria Math"/>
                <w:sz w:val="24"/>
                <w:szCs w:val="24"/>
                <w:lang w:val="en-IN"/>
              </w:rPr>
              <m:t>in</m:t>
            </m:r>
          </m:sub>
        </m:sSub>
      </m:oMath>
      <w:r w:rsidR="006C5B66" w:rsidRPr="006C5B66">
        <w:rPr>
          <w:sz w:val="24"/>
          <w:szCs w:val="24"/>
          <w:lang w:val="en-IN"/>
        </w:rPr>
        <w:t xml:space="preserve"> </w:t>
      </w:r>
      <w:r w:rsidR="006C5B66" w:rsidRPr="00DC78F2">
        <w:rPr>
          <w:sz w:val="24"/>
          <w:szCs w:val="24"/>
          <w:lang w:val="en-IN"/>
        </w:rPr>
        <w:t xml:space="preserve">represent the </w:t>
      </w:r>
      <w:r w:rsidR="006C5B66">
        <w:rPr>
          <w:sz w:val="24"/>
          <w:szCs w:val="24"/>
          <w:lang w:val="en-IN"/>
        </w:rPr>
        <w:t>a</w:t>
      </w:r>
      <w:r w:rsidR="00DC78F2" w:rsidRPr="00DC78F2">
        <w:rPr>
          <w:sz w:val="24"/>
          <w:szCs w:val="24"/>
          <w:lang w:val="en-IN"/>
        </w:rPr>
        <w:t xml:space="preserve">rea under crop </w:t>
      </w:r>
      <w:proofErr w:type="spellStart"/>
      <w:r w:rsidR="00DC78F2" w:rsidRPr="00DC78F2">
        <w:rPr>
          <w:i/>
          <w:iCs/>
          <w:sz w:val="24"/>
          <w:szCs w:val="24"/>
          <w:lang w:val="en-IN"/>
        </w:rPr>
        <w:t>i</w:t>
      </w:r>
      <w:proofErr w:type="spellEnd"/>
      <w:r w:rsidR="00DC78F2" w:rsidRPr="00DC78F2">
        <w:rPr>
          <w:sz w:val="24"/>
          <w:szCs w:val="24"/>
          <w:lang w:val="en-IN"/>
        </w:rPr>
        <w:t xml:space="preserve"> in the benchmark region</w:t>
      </w:r>
    </w:p>
    <w:p w14:paraId="6B2BF275" w14:textId="28BEFF42" w:rsidR="00DC78F2" w:rsidRPr="00DC78F2" w:rsidRDefault="00F47B70" w:rsidP="00DC78F2">
      <w:pPr>
        <w:spacing w:line="360" w:lineRule="auto"/>
        <w:ind w:left="36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A</m:t>
            </m:r>
          </m:e>
          <m:sub>
            <m:r>
              <w:rPr>
                <w:rFonts w:ascii="Cambria Math" w:hAnsi="Cambria Math"/>
                <w:sz w:val="24"/>
                <w:szCs w:val="24"/>
                <w:lang w:val="en-IN"/>
              </w:rPr>
              <m:t>n</m:t>
            </m:r>
          </m:sub>
        </m:sSub>
      </m:oMath>
      <w:r w:rsidR="006C5B66" w:rsidRPr="006C5B66">
        <w:rPr>
          <w:sz w:val="24"/>
          <w:szCs w:val="24"/>
          <w:lang w:val="en-IN"/>
        </w:rPr>
        <w:t xml:space="preserve"> </w:t>
      </w:r>
      <w:r w:rsidR="006C5B66" w:rsidRPr="00DC78F2">
        <w:rPr>
          <w:sz w:val="24"/>
          <w:szCs w:val="24"/>
          <w:lang w:val="en-IN"/>
        </w:rPr>
        <w:t>represent the</w:t>
      </w:r>
      <w:r w:rsidR="00DC78F2" w:rsidRPr="00DC78F2">
        <w:rPr>
          <w:sz w:val="24"/>
          <w:szCs w:val="24"/>
          <w:lang w:val="en-IN"/>
        </w:rPr>
        <w:t xml:space="preserve"> </w:t>
      </w:r>
      <w:r w:rsidR="006C5B66">
        <w:rPr>
          <w:sz w:val="24"/>
          <w:szCs w:val="24"/>
          <w:lang w:val="en-IN"/>
        </w:rPr>
        <w:t>t</w:t>
      </w:r>
      <w:r w:rsidR="00DC78F2" w:rsidRPr="00DC78F2">
        <w:rPr>
          <w:sz w:val="24"/>
          <w:szCs w:val="24"/>
          <w:lang w:val="en-IN"/>
        </w:rPr>
        <w:t>otal cropped area in the benchmark region</w:t>
      </w:r>
    </w:p>
    <w:p w14:paraId="100158EF" w14:textId="47D65338" w:rsidR="00DC78F2" w:rsidRPr="00DC78F2" w:rsidRDefault="00DC78F2" w:rsidP="00DC78F2">
      <w:pPr>
        <w:spacing w:line="360" w:lineRule="auto"/>
        <w:ind w:firstLine="360"/>
        <w:jc w:val="both"/>
        <w:rPr>
          <w:sz w:val="24"/>
          <w:szCs w:val="24"/>
          <w:lang w:val="en-IN"/>
        </w:rPr>
      </w:pPr>
      <w:r>
        <w:rPr>
          <w:sz w:val="24"/>
          <w:szCs w:val="24"/>
          <w:lang w:val="en-IN"/>
        </w:rPr>
        <w:t>If,</w:t>
      </w:r>
      <w:r w:rsidRPr="00DC78F2">
        <w:rPr>
          <w:sz w:val="24"/>
          <w:szCs w:val="24"/>
          <w:lang w:val="en-IN"/>
        </w:rPr>
        <w:t xml:space="preserve"> LQ &gt; 1 indicates regional specialization or concentration, LQ = 1 reflects average importance, and LQ &lt; 1 denotes lower concentration compared to the benchmark.</w:t>
      </w:r>
    </w:p>
    <w:p w14:paraId="3FA45465" w14:textId="77777777" w:rsidR="00F80801" w:rsidRPr="00F80801" w:rsidRDefault="00F80801" w:rsidP="00F80801">
      <w:pPr>
        <w:spacing w:line="360" w:lineRule="auto"/>
        <w:jc w:val="both"/>
        <w:rPr>
          <w:b/>
          <w:bCs/>
          <w:sz w:val="24"/>
          <w:szCs w:val="24"/>
        </w:rPr>
      </w:pPr>
      <w:r w:rsidRPr="00F80801">
        <w:rPr>
          <w:b/>
          <w:bCs/>
          <w:sz w:val="24"/>
          <w:szCs w:val="24"/>
        </w:rPr>
        <w:t>Modified Shift Share Analysis</w:t>
      </w:r>
    </w:p>
    <w:p w14:paraId="5A7B3D80" w14:textId="19CDC338" w:rsidR="00DC78F2" w:rsidRPr="00DC78F2" w:rsidRDefault="00DC78F2" w:rsidP="00DC78F2">
      <w:pPr>
        <w:spacing w:line="360" w:lineRule="auto"/>
        <w:ind w:firstLine="720"/>
        <w:jc w:val="both"/>
        <w:rPr>
          <w:sz w:val="24"/>
          <w:szCs w:val="24"/>
          <w:lang w:val="en-IN"/>
        </w:rPr>
      </w:pPr>
      <w:r w:rsidRPr="00DC78F2">
        <w:rPr>
          <w:sz w:val="24"/>
          <w:szCs w:val="24"/>
          <w:lang w:val="en-IN"/>
        </w:rPr>
        <w:t>To examine the changes in the area under cucurbit crops in Dharmapuri district and its selected blocks, the Shift</w:t>
      </w:r>
      <w:r w:rsidR="00275A6F">
        <w:rPr>
          <w:sz w:val="24"/>
          <w:szCs w:val="24"/>
          <w:lang w:val="en-IN"/>
        </w:rPr>
        <w:t>-</w:t>
      </w:r>
      <w:r w:rsidRPr="00DC78F2">
        <w:rPr>
          <w:sz w:val="24"/>
          <w:szCs w:val="24"/>
          <w:lang w:val="en-IN"/>
        </w:rPr>
        <w:t xml:space="preserve">Share Analysis (SSA) technique was applied. This method decomposes regional change into three components: the National Growth Effect (NGE), Crop Mix Effect (CME) and Regional Shift </w:t>
      </w:r>
      <w:r>
        <w:rPr>
          <w:sz w:val="24"/>
          <w:szCs w:val="24"/>
          <w:lang w:val="en-IN"/>
        </w:rPr>
        <w:t xml:space="preserve">Effect </w:t>
      </w:r>
      <w:r w:rsidRPr="00DC78F2">
        <w:rPr>
          <w:sz w:val="24"/>
          <w:szCs w:val="24"/>
          <w:lang w:val="en-IN"/>
        </w:rPr>
        <w:t xml:space="preserve">(RSE), following the classical framework proposed by Dunn (1960) and later applied in agricultural studies such as </w:t>
      </w:r>
      <w:proofErr w:type="spellStart"/>
      <w:r w:rsidRPr="00DC78F2">
        <w:rPr>
          <w:sz w:val="24"/>
          <w:szCs w:val="24"/>
          <w:lang w:val="en-IN"/>
        </w:rPr>
        <w:t>Matlaba</w:t>
      </w:r>
      <w:proofErr w:type="spellEnd"/>
      <w:r w:rsidRPr="00DC78F2">
        <w:rPr>
          <w:sz w:val="24"/>
          <w:szCs w:val="24"/>
          <w:lang w:val="en-IN"/>
        </w:rPr>
        <w:t xml:space="preserve"> et al. (2012)</w:t>
      </w:r>
      <w:r w:rsidR="00BF43FC">
        <w:rPr>
          <w:sz w:val="24"/>
          <w:szCs w:val="24"/>
          <w:lang w:val="en-IN"/>
        </w:rPr>
        <w:t xml:space="preserve">, </w:t>
      </w:r>
      <w:r w:rsidR="00443872" w:rsidRPr="00B60A17">
        <w:rPr>
          <w:sz w:val="24"/>
          <w:szCs w:val="24"/>
        </w:rPr>
        <w:lastRenderedPageBreak/>
        <w:t>Ramswamy, S., &amp; Ganti, S. (2015)</w:t>
      </w:r>
      <w:r w:rsidR="00BF43FC">
        <w:rPr>
          <w:sz w:val="24"/>
          <w:szCs w:val="24"/>
        </w:rPr>
        <w:t xml:space="preserve"> and </w:t>
      </w:r>
      <w:r w:rsidR="00BF43FC" w:rsidRPr="00BF43FC">
        <w:rPr>
          <w:sz w:val="24"/>
          <w:szCs w:val="24"/>
        </w:rPr>
        <w:t xml:space="preserve">Zhang </w:t>
      </w:r>
      <w:proofErr w:type="spellStart"/>
      <w:r w:rsidR="00BF43FC" w:rsidRPr="00BF43FC">
        <w:rPr>
          <w:sz w:val="24"/>
          <w:szCs w:val="24"/>
        </w:rPr>
        <w:t>Lingzhi</w:t>
      </w:r>
      <w:proofErr w:type="spellEnd"/>
      <w:r w:rsidR="00BF43FC" w:rsidRPr="00BF43FC">
        <w:rPr>
          <w:sz w:val="24"/>
          <w:szCs w:val="24"/>
        </w:rPr>
        <w:t xml:space="preserve"> (2021)</w:t>
      </w:r>
      <w:r w:rsidRPr="00DC78F2">
        <w:rPr>
          <w:sz w:val="24"/>
          <w:szCs w:val="24"/>
          <w:lang w:val="en-IN"/>
        </w:rPr>
        <w:t>.</w:t>
      </w:r>
    </w:p>
    <w:p w14:paraId="44F33263" w14:textId="77777777" w:rsidR="00DC78F2" w:rsidRPr="00DC78F2" w:rsidRDefault="00DC78F2" w:rsidP="00DC78F2">
      <w:pPr>
        <w:spacing w:line="360" w:lineRule="auto"/>
        <w:jc w:val="both"/>
        <w:rPr>
          <w:sz w:val="24"/>
          <w:szCs w:val="24"/>
          <w:lang w:val="en-IN"/>
        </w:rPr>
      </w:pPr>
      <w:r w:rsidRPr="00DC78F2">
        <w:rPr>
          <w:sz w:val="24"/>
          <w:szCs w:val="24"/>
          <w:lang w:val="en-IN"/>
        </w:rPr>
        <w:t>The model is expressed as:</w:t>
      </w:r>
    </w:p>
    <w:p w14:paraId="40E0E678" w14:textId="3FB32904" w:rsidR="00DC78F2" w:rsidRPr="00DC78F2" w:rsidRDefault="0014291D" w:rsidP="00DC78F2">
      <w:pPr>
        <w:spacing w:line="360" w:lineRule="auto"/>
        <w:jc w:val="both"/>
        <w:rPr>
          <w:b/>
          <w:bCs/>
          <w:sz w:val="24"/>
          <w:szCs w:val="24"/>
          <w:lang w:val="en-IN"/>
        </w:rPr>
      </w:pPr>
      <m:oMathPara>
        <m:oMath>
          <m:r>
            <m:rPr>
              <m:sty m:val="b"/>
            </m:rPr>
            <w:rPr>
              <w:rFonts w:ascii="Cambria Math" w:hAnsi="Cambria Math"/>
              <w:sz w:val="24"/>
              <w:szCs w:val="24"/>
              <w:lang w:val="en-IN"/>
            </w:rPr>
            <m:t>Δ</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sub>
          </m:sSub>
          <m:r>
            <m:rPr>
              <m:sty m:val="bi"/>
            </m:rPr>
            <w:rPr>
              <w:rFonts w:ascii="Cambria Math" w:hAnsi="Cambria Math"/>
              <w:sz w:val="24"/>
              <w:szCs w:val="24"/>
              <w:lang w:val="en-IN"/>
            </w:rPr>
            <m:t>=NS</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+CM</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+RS</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oMath>
      </m:oMathPara>
    </w:p>
    <w:p w14:paraId="2817459C" w14:textId="77777777" w:rsidR="00DC78F2" w:rsidRDefault="00DC78F2" w:rsidP="00DC78F2">
      <w:pPr>
        <w:spacing w:line="360" w:lineRule="auto"/>
        <w:jc w:val="both"/>
        <w:rPr>
          <w:sz w:val="24"/>
          <w:szCs w:val="24"/>
          <w:lang w:val="en-IN"/>
        </w:rPr>
      </w:pPr>
      <w:r w:rsidRPr="00DC78F2">
        <w:rPr>
          <w:sz w:val="24"/>
          <w:szCs w:val="24"/>
          <w:lang w:val="en-IN"/>
        </w:rPr>
        <w:t>Where</w:t>
      </w:r>
      <w:r>
        <w:rPr>
          <w:sz w:val="24"/>
          <w:szCs w:val="24"/>
          <w:lang w:val="en-IN"/>
        </w:rPr>
        <w:t>,</w:t>
      </w:r>
      <w:r w:rsidRPr="00DC78F2">
        <w:rPr>
          <w:sz w:val="24"/>
          <w:szCs w:val="24"/>
          <w:lang w:val="en-IN"/>
        </w:rPr>
        <w:t xml:space="preserve"> </w:t>
      </w:r>
    </w:p>
    <w:p w14:paraId="749DF457" w14:textId="6AB394B4" w:rsidR="00DC78F2" w:rsidRPr="00DC78F2" w:rsidRDefault="00F47B70" w:rsidP="00DC78F2">
      <w:pPr>
        <w:spacing w:line="360" w:lineRule="auto"/>
        <w:ind w:firstLine="720"/>
        <w:jc w:val="both"/>
        <w:rPr>
          <w:sz w:val="24"/>
          <w:szCs w:val="24"/>
          <w:lang w:val="en-IN"/>
        </w:rPr>
      </w:pPr>
      <m:oMath>
        <m:sSub>
          <m:sSubPr>
            <m:ctrlPr>
              <w:rPr>
                <w:rFonts w:ascii="Cambria Math" w:hAnsi="Cambria Math"/>
                <w:sz w:val="24"/>
                <w:szCs w:val="24"/>
                <w:lang w:val="en-IN"/>
              </w:rPr>
            </m:ctrlPr>
          </m:sSubPr>
          <m:e>
            <m:r>
              <w:rPr>
                <w:rFonts w:ascii="Cambria Math" w:hAnsi="Cambria Math"/>
                <w:sz w:val="24"/>
                <w:szCs w:val="24"/>
                <w:lang w:val="en-IN"/>
              </w:rPr>
              <m:t>R</m:t>
            </m:r>
          </m:e>
          <m:sub>
            <m:r>
              <w:rPr>
                <w:rFonts w:ascii="Cambria Math" w:hAnsi="Cambria Math"/>
                <w:sz w:val="24"/>
                <w:szCs w:val="24"/>
                <w:lang w:val="en-IN"/>
              </w:rPr>
              <m:t>i0</m:t>
            </m:r>
          </m:sub>
        </m:sSub>
      </m:oMath>
      <w:r w:rsidR="00DC78F2" w:rsidRPr="00DC78F2">
        <w:rPr>
          <w:sz w:val="24"/>
          <w:szCs w:val="24"/>
          <w:lang w:val="en-IN"/>
        </w:rPr>
        <w:t xml:space="preserve">and </w:t>
      </w:r>
      <m:oMath>
        <m:sSub>
          <m:sSubPr>
            <m:ctrlPr>
              <w:rPr>
                <w:rFonts w:ascii="Cambria Math" w:hAnsi="Cambria Math"/>
                <w:sz w:val="24"/>
                <w:szCs w:val="24"/>
                <w:lang w:val="en-IN"/>
              </w:rPr>
            </m:ctrlPr>
          </m:sSubPr>
          <m:e>
            <m:r>
              <w:rPr>
                <w:rFonts w:ascii="Cambria Math" w:hAnsi="Cambria Math"/>
                <w:sz w:val="24"/>
                <w:szCs w:val="24"/>
                <w:lang w:val="en-IN"/>
              </w:rPr>
              <m:t>R</m:t>
            </m:r>
          </m:e>
          <m:sub>
            <m:r>
              <w:rPr>
                <w:rFonts w:ascii="Cambria Math" w:hAnsi="Cambria Math"/>
                <w:sz w:val="24"/>
                <w:szCs w:val="24"/>
                <w:lang w:val="en-IN"/>
              </w:rPr>
              <m:t>iT</m:t>
            </m:r>
          </m:sub>
        </m:sSub>
      </m:oMath>
      <w:r w:rsidR="00DC78F2" w:rsidRPr="00DC78F2">
        <w:rPr>
          <w:sz w:val="24"/>
          <w:szCs w:val="24"/>
          <w:lang w:val="en-IN"/>
        </w:rPr>
        <w:t xml:space="preserve">represent the area under crop </w:t>
      </w:r>
      <w:proofErr w:type="spellStart"/>
      <w:r w:rsidR="00DC78F2" w:rsidRPr="00DC78F2">
        <w:rPr>
          <w:i/>
          <w:iCs/>
          <w:sz w:val="24"/>
          <w:szCs w:val="24"/>
          <w:lang w:val="en-IN"/>
        </w:rPr>
        <w:t>i</w:t>
      </w:r>
      <w:proofErr w:type="spellEnd"/>
      <w:r w:rsidR="00DC78F2" w:rsidRPr="00DC78F2">
        <w:rPr>
          <w:sz w:val="24"/>
          <w:szCs w:val="24"/>
          <w:lang w:val="en-IN"/>
        </w:rPr>
        <w:t xml:space="preserve"> in the base and terminal years, </w:t>
      </w:r>
    </w:p>
    <w:p w14:paraId="2F3D4939" w14:textId="7A0F833E" w:rsidR="00DC78F2" w:rsidRPr="00DC78F2" w:rsidRDefault="00F47B70" w:rsidP="00DC78F2">
      <w:pPr>
        <w:spacing w:line="360" w:lineRule="auto"/>
        <w:ind w:left="720"/>
        <w:jc w:val="both"/>
        <w:rPr>
          <w:sz w:val="24"/>
          <w:szCs w:val="24"/>
        </w:rPr>
      </w:pP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i0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iT</m:t>
            </m:r>
          </m:sub>
        </m:sSub>
      </m:oMath>
      <w:r w:rsidR="00DC78F2" w:rsidRPr="00DC78F2">
        <w:rPr>
          <w:sz w:val="24"/>
          <w:szCs w:val="24"/>
          <w:lang w:val="en-IN"/>
        </w:rPr>
        <w:t xml:space="preserve"> represent the</w:t>
      </w:r>
      <w:r w:rsidR="00DC78F2" w:rsidRPr="00DC78F2">
        <w:rPr>
          <w:sz w:val="24"/>
          <w:szCs w:val="24"/>
        </w:rPr>
        <w:t xml:space="preserve"> </w:t>
      </w:r>
      <w:r w:rsidR="006C5B66">
        <w:rPr>
          <w:sz w:val="24"/>
          <w:szCs w:val="24"/>
        </w:rPr>
        <w:t>b</w:t>
      </w:r>
      <w:r w:rsidR="00DC78F2" w:rsidRPr="00DC78F2">
        <w:rPr>
          <w:sz w:val="24"/>
          <w:szCs w:val="24"/>
        </w:rPr>
        <w:t xml:space="preserve">enchmark of crop </w:t>
      </w:r>
      <w:proofErr w:type="spellStart"/>
      <w:r w:rsidR="00DC78F2" w:rsidRPr="00DC78F2">
        <w:rPr>
          <w:i/>
          <w:iCs/>
          <w:sz w:val="24"/>
          <w:szCs w:val="24"/>
          <w:vertAlign w:val="subscript"/>
        </w:rPr>
        <w:t>i</w:t>
      </w:r>
      <w:proofErr w:type="spellEnd"/>
      <w:r w:rsidR="00DC78F2" w:rsidRPr="00DC78F2">
        <w:rPr>
          <w:sz w:val="24"/>
          <w:szCs w:val="24"/>
        </w:rPr>
        <w:t xml:space="preserve"> area in base &amp; terminal year</w:t>
      </w:r>
      <w:r w:rsidR="00DB4677">
        <w:rPr>
          <w:sz w:val="24"/>
          <w:szCs w:val="24"/>
        </w:rPr>
        <w:t>,</w:t>
      </w:r>
    </w:p>
    <w:p w14:paraId="5D2ED996" w14:textId="402AECE4" w:rsidR="00DC78F2" w:rsidRPr="00DC78F2" w:rsidRDefault="00F47B70" w:rsidP="00DC78F2">
      <w:pPr>
        <w:spacing w:line="360" w:lineRule="auto"/>
        <w:ind w:left="720"/>
        <w:jc w:val="both"/>
        <w:rPr>
          <w:sz w:val="24"/>
          <w:szCs w:val="24"/>
        </w:rPr>
      </w:pPr>
      <m:oMath>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N</m:t>
            </m:r>
          </m:e>
          <m:sub>
            <m:r>
              <w:rPr>
                <w:rFonts w:ascii="Cambria Math" w:hAnsi="Cambria Math"/>
                <w:sz w:val="24"/>
                <w:szCs w:val="24"/>
              </w:rPr>
              <m:t>T</m:t>
            </m:r>
          </m:sub>
        </m:sSub>
      </m:oMath>
      <w:r w:rsidR="00DC78F2" w:rsidRPr="00DC78F2">
        <w:rPr>
          <w:sz w:val="24"/>
          <w:szCs w:val="24"/>
          <w:lang w:val="en-IN"/>
        </w:rPr>
        <w:t xml:space="preserve"> represent the</w:t>
      </w:r>
      <w:r w:rsidR="00DC78F2" w:rsidRPr="00DC78F2">
        <w:rPr>
          <w:sz w:val="24"/>
          <w:szCs w:val="24"/>
        </w:rPr>
        <w:t xml:space="preserve"> </w:t>
      </w:r>
      <w:r w:rsidR="006C5B66">
        <w:rPr>
          <w:sz w:val="24"/>
          <w:szCs w:val="24"/>
        </w:rPr>
        <w:t>b</w:t>
      </w:r>
      <w:r w:rsidR="00DC78F2" w:rsidRPr="00DC78F2">
        <w:rPr>
          <w:sz w:val="24"/>
          <w:szCs w:val="24"/>
        </w:rPr>
        <w:t>enchmark of total cucurbit area in base &amp; terminal year</w:t>
      </w:r>
      <w:r w:rsidR="00DB4677">
        <w:rPr>
          <w:sz w:val="24"/>
          <w:szCs w:val="24"/>
        </w:rPr>
        <w:t>.</w:t>
      </w:r>
    </w:p>
    <w:p w14:paraId="1A5A8D24" w14:textId="77777777" w:rsidR="00DC78F2" w:rsidRPr="00DC78F2" w:rsidRDefault="00DC78F2" w:rsidP="00DC78F2">
      <w:pPr>
        <w:spacing w:line="360" w:lineRule="auto"/>
        <w:jc w:val="both"/>
        <w:rPr>
          <w:sz w:val="24"/>
          <w:szCs w:val="24"/>
          <w:lang w:val="en-IN"/>
        </w:rPr>
      </w:pPr>
      <w:bookmarkStart w:id="4" w:name="_Hlk213610462"/>
      <w:r w:rsidRPr="00DC78F2">
        <w:rPr>
          <w:sz w:val="24"/>
          <w:szCs w:val="24"/>
          <w:lang w:val="en-IN"/>
        </w:rPr>
        <w:t>The growth rates were computed as follows:</w:t>
      </w:r>
    </w:p>
    <w:bookmarkEnd w:id="4"/>
    <w:p w14:paraId="1EE55EE5" w14:textId="42D603B4" w:rsidR="00DC78F2" w:rsidRPr="00DC78F2" w:rsidRDefault="00F47B70" w:rsidP="00DC78F2">
      <w:pPr>
        <w:spacing w:line="360" w:lineRule="auto"/>
        <w:jc w:val="both"/>
        <w:rPr>
          <w:b/>
          <w:bCs/>
          <w:sz w:val="24"/>
          <w:szCs w:val="24"/>
          <w:lang w:val="en-IN"/>
        </w:rPr>
      </w:pPr>
      <m:oMathPara>
        <m:oMath>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m:t>
              </m:r>
            </m:sub>
          </m:sSub>
          <m:r>
            <m:rPr>
              <m:sty m:val="bi"/>
            </m:rPr>
            <w:rPr>
              <w:rFonts w:ascii="Cambria Math" w:hAnsi="Cambria Math"/>
              <w:sz w:val="24"/>
              <w:szCs w:val="24"/>
              <w:lang w:val="en-IN"/>
            </w:rPr>
            <m:t>=</m:t>
          </m:r>
          <m:f>
            <m:fPr>
              <m:ctrlPr>
                <w:rPr>
                  <w:rFonts w:ascii="Cambria Math" w:hAnsi="Cambria Math"/>
                  <w:b/>
                  <w:bCs/>
                  <w:sz w:val="24"/>
                  <w:szCs w:val="24"/>
                  <w:lang w:val="en-IN"/>
                </w:rPr>
              </m:ctrlPr>
            </m:fPr>
            <m:num>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T</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0</m:t>
                  </m:r>
                </m:sub>
              </m:sSub>
              <m:r>
                <m:rPr>
                  <m:sty m:val="bi"/>
                </m:rPr>
                <w:rPr>
                  <w:rFonts w:ascii="Cambria Math" w:hAnsi="Cambria Math"/>
                  <w:sz w:val="24"/>
                  <w:szCs w:val="24"/>
                  <w:lang w:val="en-IN"/>
                </w:rPr>
                <m:t>)</m:t>
              </m:r>
            </m:num>
            <m:den>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0</m:t>
                  </m:r>
                </m:sub>
              </m:sSub>
            </m:den>
          </m:f>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Ni</m:t>
              </m:r>
            </m:sub>
          </m:sSub>
          <m:r>
            <m:rPr>
              <m:sty m:val="bi"/>
            </m:rPr>
            <w:rPr>
              <w:rFonts w:ascii="Cambria Math" w:hAnsi="Cambria Math"/>
              <w:sz w:val="24"/>
              <w:szCs w:val="24"/>
              <w:lang w:val="en-IN"/>
            </w:rPr>
            <m:t>=</m:t>
          </m:r>
          <m:f>
            <m:fPr>
              <m:ctrlPr>
                <w:rPr>
                  <w:rFonts w:ascii="Cambria Math" w:hAnsi="Cambria Math"/>
                  <w:b/>
                  <w:bCs/>
                  <w:sz w:val="24"/>
                  <w:szCs w:val="24"/>
                  <w:lang w:val="en-IN"/>
                </w:rPr>
              </m:ctrlPr>
            </m:fPr>
            <m:num>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iT</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num>
            <m:den>
              <m:sSub>
                <m:sSubPr>
                  <m:ctrlPr>
                    <w:rPr>
                      <w:rFonts w:ascii="Cambria Math" w:hAnsi="Cambria Math"/>
                      <w:b/>
                      <w:bCs/>
                      <w:sz w:val="24"/>
                      <w:szCs w:val="24"/>
                      <w:lang w:val="en-IN"/>
                    </w:rPr>
                  </m:ctrlPr>
                </m:sSubPr>
                <m:e>
                  <m:r>
                    <m:rPr>
                      <m:sty m:val="bi"/>
                    </m:rPr>
                    <w:rPr>
                      <w:rFonts w:ascii="Cambria Math" w:hAnsi="Cambria Math"/>
                      <w:sz w:val="24"/>
                      <w:szCs w:val="24"/>
                      <w:lang w:val="en-IN"/>
                    </w:rPr>
                    <m:t>N</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den>
          </m:f>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Ri</m:t>
              </m:r>
            </m:sub>
          </m:sSub>
          <m:r>
            <m:rPr>
              <m:sty m:val="bi"/>
            </m:rPr>
            <w:rPr>
              <w:rFonts w:ascii="Cambria Math" w:hAnsi="Cambria Math"/>
              <w:sz w:val="24"/>
              <w:szCs w:val="24"/>
              <w:lang w:val="en-IN"/>
            </w:rPr>
            <m:t>=</m:t>
          </m:r>
          <m:f>
            <m:fPr>
              <m:ctrlPr>
                <w:rPr>
                  <w:rFonts w:ascii="Cambria Math" w:hAnsi="Cambria Math"/>
                  <w:b/>
                  <w:bCs/>
                  <w:sz w:val="24"/>
                  <w:szCs w:val="24"/>
                  <w:lang w:val="en-IN"/>
                </w:rPr>
              </m:ctrlPr>
            </m:fPr>
            <m:num>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iT</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num>
            <m:den>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den>
          </m:f>
        </m:oMath>
      </m:oMathPara>
    </w:p>
    <w:p w14:paraId="60762F3C" w14:textId="77777777" w:rsidR="00DC78F2" w:rsidRPr="00DC78F2" w:rsidRDefault="00DC78F2" w:rsidP="00DC78F2">
      <w:pPr>
        <w:spacing w:line="360" w:lineRule="auto"/>
        <w:jc w:val="both"/>
        <w:rPr>
          <w:sz w:val="24"/>
          <w:szCs w:val="24"/>
          <w:lang w:val="en-IN"/>
        </w:rPr>
      </w:pPr>
      <w:bookmarkStart w:id="5" w:name="_Hlk213610494"/>
      <w:r w:rsidRPr="00DC78F2">
        <w:rPr>
          <w:sz w:val="24"/>
          <w:szCs w:val="24"/>
          <w:lang w:val="en-IN"/>
        </w:rPr>
        <w:t>The decomposition components were then derived as:</w:t>
      </w:r>
    </w:p>
    <w:bookmarkEnd w:id="5"/>
    <w:p w14:paraId="30FF0BE8" w14:textId="3ABED937" w:rsidR="00DC78F2" w:rsidRPr="00DC78F2" w:rsidRDefault="0014291D" w:rsidP="00DC78F2">
      <w:pPr>
        <w:spacing w:line="360" w:lineRule="auto"/>
        <w:jc w:val="both"/>
        <w:rPr>
          <w:b/>
          <w:bCs/>
          <w:sz w:val="24"/>
          <w:szCs w:val="24"/>
          <w:lang w:val="en-IN"/>
        </w:rPr>
      </w:pPr>
      <m:oMathPara>
        <m:oMath>
          <m:r>
            <m:rPr>
              <m:sty m:val="bi"/>
            </m:rPr>
            <w:rPr>
              <w:rFonts w:ascii="Cambria Math" w:hAnsi="Cambria Math"/>
              <w:sz w:val="24"/>
              <w:szCs w:val="24"/>
              <w:lang w:val="en-IN"/>
            </w:rPr>
            <m:t>NG</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m:t>
              </m:r>
            </m:sub>
          </m:sSub>
          <m:r>
            <m:rPr>
              <m:sty m:val="bi"/>
            </m:rPr>
            <w:rPr>
              <w:rFonts w:ascii="Cambria Math" w:hAnsi="Cambria Math"/>
              <w:sz w:val="24"/>
              <w:szCs w:val="24"/>
              <w:lang w:val="en-IN"/>
            </w:rPr>
            <m:t>;CM</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m:t>
              </m:r>
            </m:sub>
          </m:sSub>
          <m:r>
            <m:rPr>
              <m:sty m:val="bi"/>
            </m:rPr>
            <w:rPr>
              <w:rFonts w:ascii="Cambria Math" w:hAnsi="Cambria Math"/>
              <w:sz w:val="24"/>
              <w:szCs w:val="24"/>
              <w:lang w:val="en-IN"/>
            </w:rPr>
            <m:t>);RS</m:t>
          </m:r>
          <m:sSub>
            <m:sSubPr>
              <m:ctrlPr>
                <w:rPr>
                  <w:rFonts w:ascii="Cambria Math" w:hAnsi="Cambria Math"/>
                  <w:b/>
                  <w:bCs/>
                  <w:sz w:val="24"/>
                  <w:szCs w:val="24"/>
                  <w:lang w:val="en-IN"/>
                </w:rPr>
              </m:ctrlPr>
            </m:sSubPr>
            <m:e>
              <m:r>
                <m:rPr>
                  <m:sty m:val="bi"/>
                </m:rPr>
                <w:rPr>
                  <w:rFonts w:ascii="Cambria Math" w:hAnsi="Cambria Math"/>
                  <w:sz w:val="24"/>
                  <w:szCs w:val="24"/>
                  <w:lang w:val="en-IN"/>
                </w:rPr>
                <m:t>E</m:t>
              </m:r>
            </m:e>
            <m:sub>
              <m:r>
                <m:rPr>
                  <m:sty m:val="bi"/>
                </m:rPr>
                <w:rPr>
                  <w:rFonts w:ascii="Cambria Math" w:hAnsi="Cambria Math"/>
                  <w:sz w:val="24"/>
                  <w:szCs w:val="24"/>
                  <w:lang w:val="en-IN"/>
                </w:rPr>
                <m:t>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R</m:t>
              </m:r>
            </m:e>
            <m:sub>
              <m:r>
                <m:rPr>
                  <m:sty m:val="bi"/>
                </m:rPr>
                <w:rPr>
                  <w:rFonts w:ascii="Cambria Math" w:hAnsi="Cambria Math"/>
                  <w:sz w:val="24"/>
                  <w:szCs w:val="24"/>
                  <w:lang w:val="en-IN"/>
                </w:rPr>
                <m:t>i</m:t>
              </m:r>
              <m:r>
                <m:rPr>
                  <m:sty m:val="bi"/>
                </m:rPr>
                <w:rPr>
                  <w:rFonts w:ascii="Cambria Math" w:hAnsi="Cambria Math"/>
                  <w:sz w:val="24"/>
                  <w:szCs w:val="24"/>
                  <w:lang w:val="en-IN"/>
                </w:rPr>
                <m:t>0</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Ri</m:t>
              </m:r>
            </m:sub>
          </m:sSub>
          <m:r>
            <m:rPr>
              <m:sty m:val="bi"/>
            </m:rPr>
            <w:rPr>
              <w:rFonts w:ascii="Cambria Math" w:hAnsi="Cambria Math"/>
              <w:sz w:val="24"/>
              <w:szCs w:val="24"/>
              <w:lang w:val="en-IN"/>
            </w:rPr>
            <m:t>-</m:t>
          </m:r>
          <m:sSub>
            <m:sSubPr>
              <m:ctrlPr>
                <w:rPr>
                  <w:rFonts w:ascii="Cambria Math" w:hAnsi="Cambria Math"/>
                  <w:b/>
                  <w:bCs/>
                  <w:sz w:val="24"/>
                  <w:szCs w:val="24"/>
                  <w:lang w:val="en-IN"/>
                </w:rPr>
              </m:ctrlPr>
            </m:sSubPr>
            <m:e>
              <m:r>
                <m:rPr>
                  <m:sty m:val="bi"/>
                </m:rPr>
                <w:rPr>
                  <w:rFonts w:ascii="Cambria Math" w:hAnsi="Cambria Math"/>
                  <w:sz w:val="24"/>
                  <w:szCs w:val="24"/>
                  <w:lang w:val="en-IN"/>
                </w:rPr>
                <m:t>g</m:t>
              </m:r>
            </m:e>
            <m:sub>
              <m:r>
                <m:rPr>
                  <m:sty m:val="bi"/>
                </m:rPr>
                <w:rPr>
                  <w:rFonts w:ascii="Cambria Math" w:hAnsi="Cambria Math"/>
                  <w:sz w:val="24"/>
                  <w:szCs w:val="24"/>
                  <w:lang w:val="en-IN"/>
                </w:rPr>
                <m:t>Ni</m:t>
              </m:r>
            </m:sub>
          </m:sSub>
          <m:r>
            <m:rPr>
              <m:sty m:val="bi"/>
            </m:rPr>
            <w:rPr>
              <w:rFonts w:ascii="Cambria Math" w:hAnsi="Cambria Math"/>
              <w:sz w:val="24"/>
              <w:szCs w:val="24"/>
              <w:lang w:val="en-IN"/>
            </w:rPr>
            <m:t>)</m:t>
          </m:r>
        </m:oMath>
      </m:oMathPara>
    </w:p>
    <w:p w14:paraId="7AF055A4" w14:textId="05C6F3D8" w:rsidR="00F80801" w:rsidRPr="006C5B66" w:rsidRDefault="00DC78F2" w:rsidP="006C5B66">
      <w:pPr>
        <w:spacing w:line="360" w:lineRule="auto"/>
        <w:ind w:firstLine="720"/>
        <w:jc w:val="both"/>
        <w:rPr>
          <w:sz w:val="24"/>
          <w:szCs w:val="24"/>
          <w:lang w:val="en-IN"/>
        </w:rPr>
      </w:pPr>
      <w:r w:rsidRPr="00DC78F2">
        <w:rPr>
          <w:sz w:val="24"/>
          <w:szCs w:val="24"/>
          <w:lang w:val="en-IN"/>
        </w:rPr>
        <w:t>Here, NGE captures the portion of change attributed to the overall agricultural growth in the benchmark region, CME reflects the influence of the crop composition (fast- vs. slow-growing crops) and RSE indicates the region’s competitive advantage or disadvantage relative to the benchmark. A positive RSE denotes regional competitiveness, whereas a negative RSE suggests a lag in performance.</w:t>
      </w:r>
    </w:p>
    <w:p w14:paraId="057F77CB" w14:textId="77777777" w:rsidR="00F16BED" w:rsidRDefault="00F16BED" w:rsidP="00F16BED">
      <w:pPr>
        <w:spacing w:line="360" w:lineRule="auto"/>
        <w:rPr>
          <w:b/>
          <w:sz w:val="24"/>
          <w:szCs w:val="24"/>
          <w:lang w:val="en-GB"/>
        </w:rPr>
      </w:pPr>
      <w:r>
        <w:rPr>
          <w:b/>
          <w:sz w:val="24"/>
          <w:szCs w:val="24"/>
          <w:lang w:val="en-GB"/>
        </w:rPr>
        <w:t>Result and Discussion:</w:t>
      </w:r>
    </w:p>
    <w:p w14:paraId="28588978" w14:textId="59A2A93F" w:rsidR="00E14010" w:rsidRDefault="00E14010" w:rsidP="00E14010">
      <w:pPr>
        <w:spacing w:line="360" w:lineRule="auto"/>
        <w:jc w:val="both"/>
        <w:rPr>
          <w:b/>
          <w:bCs/>
          <w:sz w:val="24"/>
          <w:szCs w:val="24"/>
        </w:rPr>
      </w:pPr>
      <w:bookmarkStart w:id="6" w:name="_Hlk213340696"/>
      <w:r w:rsidRPr="00E14010">
        <w:rPr>
          <w:b/>
          <w:bCs/>
          <w:sz w:val="24"/>
          <w:szCs w:val="24"/>
        </w:rPr>
        <w:t xml:space="preserve">Area-wise Average Percentage </w:t>
      </w:r>
      <w:r>
        <w:rPr>
          <w:b/>
          <w:bCs/>
          <w:sz w:val="24"/>
          <w:szCs w:val="24"/>
        </w:rPr>
        <w:t>Share</w:t>
      </w:r>
      <w:r w:rsidRPr="00E14010">
        <w:rPr>
          <w:b/>
          <w:bCs/>
          <w:sz w:val="24"/>
          <w:szCs w:val="24"/>
        </w:rPr>
        <w:t xml:space="preserve"> of Cucurbit Vegetables (2014–15 to 2023–24).</w:t>
      </w:r>
      <w:bookmarkEnd w:id="6"/>
    </w:p>
    <w:p w14:paraId="0F65642C" w14:textId="6568C826" w:rsidR="00E13880" w:rsidRPr="00E14010" w:rsidRDefault="00E13880" w:rsidP="00E13880">
      <w:pPr>
        <w:spacing w:line="360" w:lineRule="auto"/>
        <w:ind w:firstLine="720"/>
        <w:jc w:val="both"/>
        <w:rPr>
          <w:sz w:val="24"/>
          <w:szCs w:val="24"/>
        </w:rPr>
      </w:pPr>
      <w:r w:rsidRPr="00E13880">
        <w:rPr>
          <w:sz w:val="24"/>
          <w:szCs w:val="24"/>
        </w:rPr>
        <w:t xml:space="preserve">The area-wise average percentage share of cucurbit vegetables during the period </w:t>
      </w:r>
      <w:r>
        <w:rPr>
          <w:sz w:val="24"/>
          <w:szCs w:val="24"/>
        </w:rPr>
        <w:t xml:space="preserve">   </w:t>
      </w:r>
      <w:r w:rsidRPr="00E13880">
        <w:rPr>
          <w:sz w:val="24"/>
          <w:szCs w:val="24"/>
        </w:rPr>
        <w:t>2014</w:t>
      </w:r>
      <w:r w:rsidR="00275A6F">
        <w:rPr>
          <w:sz w:val="24"/>
          <w:szCs w:val="24"/>
        </w:rPr>
        <w:t>-</w:t>
      </w:r>
      <w:r w:rsidRPr="00E13880">
        <w:rPr>
          <w:sz w:val="24"/>
          <w:szCs w:val="24"/>
        </w:rPr>
        <w:t>15 to 2023</w:t>
      </w:r>
      <w:r w:rsidR="00275A6F">
        <w:rPr>
          <w:sz w:val="24"/>
          <w:szCs w:val="24"/>
        </w:rPr>
        <w:t>-</w:t>
      </w:r>
      <w:r w:rsidRPr="00E13880">
        <w:rPr>
          <w:sz w:val="24"/>
          <w:szCs w:val="24"/>
        </w:rPr>
        <w:t xml:space="preserve">24 exhibited marked variations in cropping patterns among </w:t>
      </w:r>
      <w:proofErr w:type="spellStart"/>
      <w:r w:rsidRPr="00E13880">
        <w:rPr>
          <w:sz w:val="24"/>
          <w:szCs w:val="24"/>
        </w:rPr>
        <w:t>Karimangalam</w:t>
      </w:r>
      <w:proofErr w:type="spellEnd"/>
      <w:r w:rsidRPr="00E13880">
        <w:rPr>
          <w:sz w:val="24"/>
          <w:szCs w:val="24"/>
        </w:rPr>
        <w:t xml:space="preserve">, </w:t>
      </w:r>
      <w:proofErr w:type="spellStart"/>
      <w:r w:rsidRPr="00E13880">
        <w:rPr>
          <w:sz w:val="24"/>
          <w:szCs w:val="24"/>
        </w:rPr>
        <w:t>Palacode</w:t>
      </w:r>
      <w:proofErr w:type="spellEnd"/>
      <w:r w:rsidRPr="00E13880">
        <w:rPr>
          <w:sz w:val="24"/>
          <w:szCs w:val="24"/>
        </w:rPr>
        <w:t xml:space="preserve">, </w:t>
      </w:r>
      <w:proofErr w:type="spellStart"/>
      <w:r w:rsidRPr="00E13880">
        <w:rPr>
          <w:sz w:val="24"/>
          <w:szCs w:val="24"/>
        </w:rPr>
        <w:t>Dharmapuri</w:t>
      </w:r>
      <w:proofErr w:type="spellEnd"/>
      <w:r w:rsidRPr="00E13880">
        <w:rPr>
          <w:sz w:val="24"/>
          <w:szCs w:val="24"/>
        </w:rPr>
        <w:t xml:space="preserve"> and Tamil Nadu</w:t>
      </w:r>
      <w:r>
        <w:rPr>
          <w:sz w:val="24"/>
          <w:szCs w:val="24"/>
        </w:rPr>
        <w:t>.</w:t>
      </w:r>
    </w:p>
    <w:p w14:paraId="45AF3E83" w14:textId="77777777" w:rsidR="00E14010" w:rsidRPr="00E14010" w:rsidRDefault="00E14010" w:rsidP="00E14010">
      <w:pPr>
        <w:jc w:val="center"/>
        <w:rPr>
          <w:b/>
          <w:bCs/>
          <w:sz w:val="24"/>
          <w:szCs w:val="24"/>
        </w:rPr>
      </w:pPr>
      <w:r w:rsidRPr="00E14010">
        <w:rPr>
          <w:b/>
          <w:bCs/>
          <w:sz w:val="24"/>
          <w:szCs w:val="24"/>
        </w:rPr>
        <w:t>Table-1. Area Distribution Pattern of Cucurbit Vegetables, (2014–15 to 2023–24).</w:t>
      </w:r>
    </w:p>
    <w:tbl>
      <w:tblPr>
        <w:tblStyle w:val="TableGrid"/>
        <w:tblW w:w="5000" w:type="pct"/>
        <w:tblLook w:val="04A0" w:firstRow="1" w:lastRow="0" w:firstColumn="1" w:lastColumn="0" w:noHBand="0" w:noVBand="1"/>
      </w:tblPr>
      <w:tblGrid>
        <w:gridCol w:w="2057"/>
        <w:gridCol w:w="1924"/>
        <w:gridCol w:w="1650"/>
        <w:gridCol w:w="1733"/>
        <w:gridCol w:w="1652"/>
      </w:tblGrid>
      <w:tr w:rsidR="00E14010" w:rsidRPr="00E14010" w14:paraId="25C36825" w14:textId="77777777" w:rsidTr="00B654F1">
        <w:trPr>
          <w:trHeight w:val="300"/>
        </w:trPr>
        <w:tc>
          <w:tcPr>
            <w:tcW w:w="1141" w:type="pct"/>
            <w:noWrap/>
            <w:hideMark/>
          </w:tcPr>
          <w:p w14:paraId="6EFDFECE" w14:textId="77777777" w:rsidR="00E14010" w:rsidRPr="00E14010" w:rsidRDefault="00E14010" w:rsidP="00E14010">
            <w:pPr>
              <w:jc w:val="center"/>
              <w:rPr>
                <w:b/>
                <w:bCs/>
                <w:sz w:val="24"/>
                <w:szCs w:val="24"/>
              </w:rPr>
            </w:pPr>
            <w:r w:rsidRPr="00E14010">
              <w:rPr>
                <w:b/>
                <w:bCs/>
                <w:sz w:val="24"/>
                <w:szCs w:val="24"/>
              </w:rPr>
              <w:t>Particulars</w:t>
            </w:r>
          </w:p>
        </w:tc>
        <w:tc>
          <w:tcPr>
            <w:tcW w:w="3859" w:type="pct"/>
            <w:gridSpan w:val="4"/>
            <w:noWrap/>
            <w:hideMark/>
          </w:tcPr>
          <w:p w14:paraId="21250F29" w14:textId="77777777" w:rsidR="00E14010" w:rsidRPr="00E14010" w:rsidRDefault="00E14010" w:rsidP="00E14010">
            <w:pPr>
              <w:jc w:val="center"/>
              <w:rPr>
                <w:b/>
                <w:bCs/>
                <w:sz w:val="24"/>
                <w:szCs w:val="24"/>
              </w:rPr>
            </w:pPr>
            <w:r w:rsidRPr="00E14010">
              <w:rPr>
                <w:b/>
                <w:bCs/>
                <w:sz w:val="24"/>
                <w:szCs w:val="24"/>
              </w:rPr>
              <w:t>Average Percentage Share (in per cent)</w:t>
            </w:r>
          </w:p>
        </w:tc>
      </w:tr>
      <w:tr w:rsidR="00E14010" w:rsidRPr="00E14010" w14:paraId="049DCFFD" w14:textId="77777777" w:rsidTr="00B654F1">
        <w:trPr>
          <w:trHeight w:val="300"/>
        </w:trPr>
        <w:tc>
          <w:tcPr>
            <w:tcW w:w="1141" w:type="pct"/>
            <w:noWrap/>
            <w:hideMark/>
          </w:tcPr>
          <w:p w14:paraId="547F1B86" w14:textId="77777777" w:rsidR="00E14010" w:rsidRPr="00E14010" w:rsidRDefault="00E14010" w:rsidP="00E14010">
            <w:pPr>
              <w:jc w:val="both"/>
              <w:rPr>
                <w:b/>
                <w:bCs/>
                <w:sz w:val="24"/>
                <w:szCs w:val="24"/>
              </w:rPr>
            </w:pPr>
            <w:r w:rsidRPr="00E14010">
              <w:rPr>
                <w:b/>
                <w:bCs/>
                <w:sz w:val="24"/>
                <w:szCs w:val="24"/>
              </w:rPr>
              <w:t>Crops</w:t>
            </w:r>
          </w:p>
        </w:tc>
        <w:tc>
          <w:tcPr>
            <w:tcW w:w="1067" w:type="pct"/>
            <w:noWrap/>
            <w:hideMark/>
          </w:tcPr>
          <w:p w14:paraId="2B4FB37B" w14:textId="77777777" w:rsidR="00E14010" w:rsidRPr="00E14010" w:rsidRDefault="00E14010" w:rsidP="00E14010">
            <w:pPr>
              <w:jc w:val="center"/>
              <w:rPr>
                <w:b/>
                <w:bCs/>
                <w:sz w:val="24"/>
                <w:szCs w:val="24"/>
              </w:rPr>
            </w:pPr>
            <w:proofErr w:type="spellStart"/>
            <w:r w:rsidRPr="00E14010">
              <w:rPr>
                <w:b/>
                <w:bCs/>
                <w:sz w:val="24"/>
                <w:szCs w:val="24"/>
              </w:rPr>
              <w:t>Karimangalam</w:t>
            </w:r>
            <w:proofErr w:type="spellEnd"/>
          </w:p>
        </w:tc>
        <w:tc>
          <w:tcPr>
            <w:tcW w:w="915" w:type="pct"/>
            <w:noWrap/>
            <w:hideMark/>
          </w:tcPr>
          <w:p w14:paraId="2BA53A52" w14:textId="77777777" w:rsidR="00E14010" w:rsidRPr="00E14010" w:rsidRDefault="00E14010" w:rsidP="00E14010">
            <w:pPr>
              <w:jc w:val="center"/>
              <w:rPr>
                <w:b/>
                <w:bCs/>
                <w:sz w:val="24"/>
                <w:szCs w:val="24"/>
              </w:rPr>
            </w:pPr>
            <w:proofErr w:type="spellStart"/>
            <w:r w:rsidRPr="00E14010">
              <w:rPr>
                <w:b/>
                <w:bCs/>
                <w:sz w:val="24"/>
                <w:szCs w:val="24"/>
              </w:rPr>
              <w:t>Palacode</w:t>
            </w:r>
            <w:proofErr w:type="spellEnd"/>
          </w:p>
        </w:tc>
        <w:tc>
          <w:tcPr>
            <w:tcW w:w="961" w:type="pct"/>
            <w:noWrap/>
            <w:hideMark/>
          </w:tcPr>
          <w:p w14:paraId="7CBB1DF3" w14:textId="77777777" w:rsidR="00E14010" w:rsidRPr="00E14010" w:rsidRDefault="00E14010" w:rsidP="00E14010">
            <w:pPr>
              <w:jc w:val="center"/>
              <w:rPr>
                <w:b/>
                <w:bCs/>
                <w:sz w:val="24"/>
                <w:szCs w:val="24"/>
              </w:rPr>
            </w:pPr>
            <w:r w:rsidRPr="00E14010">
              <w:rPr>
                <w:b/>
                <w:bCs/>
                <w:sz w:val="24"/>
                <w:szCs w:val="24"/>
              </w:rPr>
              <w:t>Dharmapuri</w:t>
            </w:r>
          </w:p>
        </w:tc>
        <w:tc>
          <w:tcPr>
            <w:tcW w:w="916" w:type="pct"/>
            <w:noWrap/>
            <w:hideMark/>
          </w:tcPr>
          <w:p w14:paraId="3178DC07" w14:textId="77777777" w:rsidR="00E14010" w:rsidRPr="00E14010" w:rsidRDefault="00E14010" w:rsidP="00E14010">
            <w:pPr>
              <w:jc w:val="center"/>
              <w:rPr>
                <w:b/>
                <w:bCs/>
                <w:sz w:val="24"/>
                <w:szCs w:val="24"/>
              </w:rPr>
            </w:pPr>
            <w:r w:rsidRPr="00E14010">
              <w:rPr>
                <w:b/>
                <w:bCs/>
                <w:sz w:val="24"/>
                <w:szCs w:val="24"/>
              </w:rPr>
              <w:t>Tamil Nadu</w:t>
            </w:r>
          </w:p>
        </w:tc>
      </w:tr>
      <w:tr w:rsidR="00E14010" w:rsidRPr="00E14010" w14:paraId="5C7E2EDF" w14:textId="77777777" w:rsidTr="00B654F1">
        <w:trPr>
          <w:trHeight w:val="300"/>
        </w:trPr>
        <w:tc>
          <w:tcPr>
            <w:tcW w:w="1141" w:type="pct"/>
            <w:noWrap/>
            <w:hideMark/>
          </w:tcPr>
          <w:p w14:paraId="3540CF6A" w14:textId="77777777" w:rsidR="00E14010" w:rsidRPr="00E14010" w:rsidRDefault="00E14010" w:rsidP="00E14010">
            <w:pPr>
              <w:jc w:val="both"/>
              <w:rPr>
                <w:b/>
                <w:bCs/>
                <w:sz w:val="24"/>
                <w:szCs w:val="24"/>
              </w:rPr>
            </w:pPr>
            <w:r w:rsidRPr="00E14010">
              <w:rPr>
                <w:b/>
                <w:bCs/>
                <w:sz w:val="24"/>
                <w:szCs w:val="24"/>
              </w:rPr>
              <w:t>Ash gourd</w:t>
            </w:r>
          </w:p>
        </w:tc>
        <w:tc>
          <w:tcPr>
            <w:tcW w:w="1067" w:type="pct"/>
            <w:noWrap/>
            <w:hideMark/>
          </w:tcPr>
          <w:p w14:paraId="1261D952" w14:textId="77777777" w:rsidR="00E14010" w:rsidRPr="00E14010" w:rsidRDefault="00E14010" w:rsidP="00E14010">
            <w:pPr>
              <w:jc w:val="center"/>
              <w:rPr>
                <w:sz w:val="24"/>
                <w:szCs w:val="24"/>
              </w:rPr>
            </w:pPr>
            <w:r w:rsidRPr="00E14010">
              <w:rPr>
                <w:sz w:val="24"/>
                <w:szCs w:val="24"/>
              </w:rPr>
              <w:t>0.05</w:t>
            </w:r>
          </w:p>
        </w:tc>
        <w:tc>
          <w:tcPr>
            <w:tcW w:w="915" w:type="pct"/>
            <w:noWrap/>
            <w:hideMark/>
          </w:tcPr>
          <w:p w14:paraId="4EDAE106" w14:textId="77777777" w:rsidR="00E14010" w:rsidRPr="00E14010" w:rsidRDefault="00E14010" w:rsidP="00E14010">
            <w:pPr>
              <w:jc w:val="center"/>
              <w:rPr>
                <w:sz w:val="24"/>
                <w:szCs w:val="24"/>
              </w:rPr>
            </w:pPr>
            <w:r w:rsidRPr="00E14010">
              <w:rPr>
                <w:sz w:val="24"/>
                <w:szCs w:val="24"/>
              </w:rPr>
              <w:t>2.68</w:t>
            </w:r>
          </w:p>
        </w:tc>
        <w:tc>
          <w:tcPr>
            <w:tcW w:w="961" w:type="pct"/>
            <w:noWrap/>
            <w:hideMark/>
          </w:tcPr>
          <w:p w14:paraId="3DF792E6" w14:textId="77777777" w:rsidR="00E14010" w:rsidRPr="00E14010" w:rsidRDefault="00E14010" w:rsidP="00E14010">
            <w:pPr>
              <w:jc w:val="center"/>
              <w:rPr>
                <w:sz w:val="24"/>
                <w:szCs w:val="24"/>
              </w:rPr>
            </w:pPr>
            <w:r w:rsidRPr="00E14010">
              <w:rPr>
                <w:sz w:val="24"/>
                <w:szCs w:val="24"/>
              </w:rPr>
              <w:t>4.83</w:t>
            </w:r>
          </w:p>
        </w:tc>
        <w:tc>
          <w:tcPr>
            <w:tcW w:w="916" w:type="pct"/>
            <w:noWrap/>
            <w:hideMark/>
          </w:tcPr>
          <w:p w14:paraId="5DCB54B9" w14:textId="77777777" w:rsidR="00E14010" w:rsidRPr="00E14010" w:rsidRDefault="00E14010" w:rsidP="00E14010">
            <w:pPr>
              <w:jc w:val="center"/>
              <w:rPr>
                <w:sz w:val="24"/>
                <w:szCs w:val="24"/>
              </w:rPr>
            </w:pPr>
            <w:r w:rsidRPr="00E14010">
              <w:rPr>
                <w:sz w:val="24"/>
                <w:szCs w:val="24"/>
              </w:rPr>
              <w:t>5.27</w:t>
            </w:r>
          </w:p>
        </w:tc>
      </w:tr>
      <w:tr w:rsidR="00E14010" w:rsidRPr="00E14010" w14:paraId="057273A2" w14:textId="77777777" w:rsidTr="00B654F1">
        <w:trPr>
          <w:trHeight w:val="300"/>
        </w:trPr>
        <w:tc>
          <w:tcPr>
            <w:tcW w:w="1141" w:type="pct"/>
            <w:noWrap/>
            <w:hideMark/>
          </w:tcPr>
          <w:p w14:paraId="6FD90FE7" w14:textId="77777777" w:rsidR="00E14010" w:rsidRPr="00E14010" w:rsidRDefault="00E14010" w:rsidP="00E14010">
            <w:pPr>
              <w:jc w:val="both"/>
              <w:rPr>
                <w:b/>
                <w:bCs/>
                <w:sz w:val="24"/>
                <w:szCs w:val="24"/>
              </w:rPr>
            </w:pPr>
            <w:r w:rsidRPr="00E14010">
              <w:rPr>
                <w:b/>
                <w:bCs/>
                <w:sz w:val="24"/>
                <w:szCs w:val="24"/>
              </w:rPr>
              <w:t>Bottle gourd</w:t>
            </w:r>
          </w:p>
        </w:tc>
        <w:tc>
          <w:tcPr>
            <w:tcW w:w="1067" w:type="pct"/>
            <w:noWrap/>
            <w:hideMark/>
          </w:tcPr>
          <w:p w14:paraId="75440A86" w14:textId="77777777" w:rsidR="00E14010" w:rsidRPr="00E14010" w:rsidRDefault="00E14010" w:rsidP="00E14010">
            <w:pPr>
              <w:jc w:val="center"/>
              <w:rPr>
                <w:sz w:val="24"/>
                <w:szCs w:val="24"/>
              </w:rPr>
            </w:pPr>
            <w:r w:rsidRPr="00E14010">
              <w:rPr>
                <w:sz w:val="24"/>
                <w:szCs w:val="24"/>
              </w:rPr>
              <w:t>13.43</w:t>
            </w:r>
          </w:p>
        </w:tc>
        <w:tc>
          <w:tcPr>
            <w:tcW w:w="915" w:type="pct"/>
            <w:noWrap/>
            <w:hideMark/>
          </w:tcPr>
          <w:p w14:paraId="4E54AF63" w14:textId="77777777" w:rsidR="00E14010" w:rsidRPr="00E14010" w:rsidRDefault="00E14010" w:rsidP="00E14010">
            <w:pPr>
              <w:jc w:val="center"/>
              <w:rPr>
                <w:sz w:val="24"/>
                <w:szCs w:val="24"/>
              </w:rPr>
            </w:pPr>
            <w:r w:rsidRPr="00E14010">
              <w:rPr>
                <w:sz w:val="24"/>
                <w:szCs w:val="24"/>
              </w:rPr>
              <w:t>7.92</w:t>
            </w:r>
          </w:p>
        </w:tc>
        <w:tc>
          <w:tcPr>
            <w:tcW w:w="961" w:type="pct"/>
            <w:noWrap/>
            <w:hideMark/>
          </w:tcPr>
          <w:p w14:paraId="21D95AC8" w14:textId="77777777" w:rsidR="00E14010" w:rsidRPr="00E14010" w:rsidRDefault="00E14010" w:rsidP="00E14010">
            <w:pPr>
              <w:jc w:val="center"/>
              <w:rPr>
                <w:sz w:val="24"/>
                <w:szCs w:val="24"/>
              </w:rPr>
            </w:pPr>
            <w:r w:rsidRPr="00E14010">
              <w:rPr>
                <w:sz w:val="24"/>
                <w:szCs w:val="24"/>
              </w:rPr>
              <w:t>7.62</w:t>
            </w:r>
          </w:p>
        </w:tc>
        <w:tc>
          <w:tcPr>
            <w:tcW w:w="916" w:type="pct"/>
            <w:noWrap/>
            <w:hideMark/>
          </w:tcPr>
          <w:p w14:paraId="2A7C8120" w14:textId="77777777" w:rsidR="00E14010" w:rsidRPr="00E14010" w:rsidRDefault="00E14010" w:rsidP="00E14010">
            <w:pPr>
              <w:jc w:val="center"/>
              <w:rPr>
                <w:sz w:val="24"/>
                <w:szCs w:val="24"/>
              </w:rPr>
            </w:pPr>
            <w:r w:rsidRPr="00E14010">
              <w:rPr>
                <w:sz w:val="24"/>
                <w:szCs w:val="24"/>
              </w:rPr>
              <w:t>7.30</w:t>
            </w:r>
          </w:p>
        </w:tc>
      </w:tr>
      <w:tr w:rsidR="00E14010" w:rsidRPr="00E14010" w14:paraId="27CBB728" w14:textId="77777777" w:rsidTr="00B654F1">
        <w:trPr>
          <w:trHeight w:val="300"/>
        </w:trPr>
        <w:tc>
          <w:tcPr>
            <w:tcW w:w="1141" w:type="pct"/>
            <w:noWrap/>
            <w:hideMark/>
          </w:tcPr>
          <w:p w14:paraId="12CABA83" w14:textId="77777777" w:rsidR="00E14010" w:rsidRPr="00E14010" w:rsidRDefault="00E14010" w:rsidP="00E14010">
            <w:pPr>
              <w:jc w:val="both"/>
              <w:rPr>
                <w:b/>
                <w:bCs/>
                <w:sz w:val="24"/>
                <w:szCs w:val="24"/>
              </w:rPr>
            </w:pPr>
            <w:r w:rsidRPr="00E14010">
              <w:rPr>
                <w:b/>
                <w:bCs/>
                <w:sz w:val="24"/>
                <w:szCs w:val="24"/>
              </w:rPr>
              <w:t>Bitter gourd</w:t>
            </w:r>
          </w:p>
        </w:tc>
        <w:tc>
          <w:tcPr>
            <w:tcW w:w="1067" w:type="pct"/>
            <w:noWrap/>
            <w:hideMark/>
          </w:tcPr>
          <w:p w14:paraId="0661F0F6" w14:textId="77777777" w:rsidR="00E14010" w:rsidRPr="00E14010" w:rsidRDefault="00E14010" w:rsidP="00E14010">
            <w:pPr>
              <w:jc w:val="center"/>
              <w:rPr>
                <w:sz w:val="24"/>
                <w:szCs w:val="24"/>
              </w:rPr>
            </w:pPr>
            <w:r w:rsidRPr="00E14010">
              <w:rPr>
                <w:sz w:val="24"/>
                <w:szCs w:val="24"/>
              </w:rPr>
              <w:t>28.70</w:t>
            </w:r>
          </w:p>
        </w:tc>
        <w:tc>
          <w:tcPr>
            <w:tcW w:w="915" w:type="pct"/>
            <w:noWrap/>
            <w:hideMark/>
          </w:tcPr>
          <w:p w14:paraId="7665B7C6" w14:textId="77777777" w:rsidR="00E14010" w:rsidRPr="00E14010" w:rsidRDefault="00E14010" w:rsidP="00E14010">
            <w:pPr>
              <w:jc w:val="center"/>
              <w:rPr>
                <w:sz w:val="24"/>
                <w:szCs w:val="24"/>
              </w:rPr>
            </w:pPr>
            <w:r w:rsidRPr="00E14010">
              <w:rPr>
                <w:sz w:val="24"/>
                <w:szCs w:val="24"/>
              </w:rPr>
              <w:t>39.62</w:t>
            </w:r>
          </w:p>
        </w:tc>
        <w:tc>
          <w:tcPr>
            <w:tcW w:w="961" w:type="pct"/>
            <w:noWrap/>
            <w:hideMark/>
          </w:tcPr>
          <w:p w14:paraId="37481FCA" w14:textId="77777777" w:rsidR="00E14010" w:rsidRPr="00E14010" w:rsidRDefault="00E14010" w:rsidP="00E14010">
            <w:pPr>
              <w:jc w:val="center"/>
              <w:rPr>
                <w:sz w:val="24"/>
                <w:szCs w:val="24"/>
              </w:rPr>
            </w:pPr>
            <w:r w:rsidRPr="00E14010">
              <w:rPr>
                <w:sz w:val="24"/>
                <w:szCs w:val="24"/>
              </w:rPr>
              <w:t>32.54</w:t>
            </w:r>
          </w:p>
        </w:tc>
        <w:tc>
          <w:tcPr>
            <w:tcW w:w="916" w:type="pct"/>
            <w:noWrap/>
            <w:hideMark/>
          </w:tcPr>
          <w:p w14:paraId="64F861C5" w14:textId="77777777" w:rsidR="00E14010" w:rsidRPr="00E14010" w:rsidRDefault="00E14010" w:rsidP="00E14010">
            <w:pPr>
              <w:jc w:val="center"/>
              <w:rPr>
                <w:sz w:val="24"/>
                <w:szCs w:val="24"/>
              </w:rPr>
            </w:pPr>
            <w:r w:rsidRPr="00E14010">
              <w:rPr>
                <w:sz w:val="24"/>
                <w:szCs w:val="24"/>
              </w:rPr>
              <w:t>23.50</w:t>
            </w:r>
          </w:p>
        </w:tc>
      </w:tr>
      <w:tr w:rsidR="00E14010" w:rsidRPr="00E14010" w14:paraId="43C1C58B" w14:textId="77777777" w:rsidTr="00B654F1">
        <w:trPr>
          <w:trHeight w:val="300"/>
        </w:trPr>
        <w:tc>
          <w:tcPr>
            <w:tcW w:w="1141" w:type="pct"/>
            <w:noWrap/>
            <w:hideMark/>
          </w:tcPr>
          <w:p w14:paraId="4D3E4549" w14:textId="77777777" w:rsidR="00E14010" w:rsidRPr="00E14010" w:rsidRDefault="00E14010" w:rsidP="00E14010">
            <w:pPr>
              <w:jc w:val="both"/>
              <w:rPr>
                <w:b/>
                <w:bCs/>
                <w:sz w:val="24"/>
                <w:szCs w:val="24"/>
              </w:rPr>
            </w:pPr>
            <w:r w:rsidRPr="00E14010">
              <w:rPr>
                <w:b/>
                <w:bCs/>
                <w:sz w:val="24"/>
                <w:szCs w:val="24"/>
              </w:rPr>
              <w:t>Ridge gourd</w:t>
            </w:r>
          </w:p>
        </w:tc>
        <w:tc>
          <w:tcPr>
            <w:tcW w:w="1067" w:type="pct"/>
            <w:noWrap/>
            <w:hideMark/>
          </w:tcPr>
          <w:p w14:paraId="68F4CD7F" w14:textId="77777777" w:rsidR="00E14010" w:rsidRPr="00E14010" w:rsidRDefault="00E14010" w:rsidP="00E14010">
            <w:pPr>
              <w:jc w:val="center"/>
              <w:rPr>
                <w:sz w:val="24"/>
                <w:szCs w:val="24"/>
              </w:rPr>
            </w:pPr>
            <w:r w:rsidRPr="00E14010">
              <w:rPr>
                <w:sz w:val="24"/>
                <w:szCs w:val="24"/>
              </w:rPr>
              <w:t>25.59</w:t>
            </w:r>
          </w:p>
        </w:tc>
        <w:tc>
          <w:tcPr>
            <w:tcW w:w="915" w:type="pct"/>
            <w:noWrap/>
            <w:hideMark/>
          </w:tcPr>
          <w:p w14:paraId="127C6206" w14:textId="77777777" w:rsidR="00E14010" w:rsidRPr="00E14010" w:rsidRDefault="00E14010" w:rsidP="00E14010">
            <w:pPr>
              <w:jc w:val="center"/>
              <w:rPr>
                <w:sz w:val="24"/>
                <w:szCs w:val="24"/>
              </w:rPr>
            </w:pPr>
            <w:r w:rsidRPr="00E14010">
              <w:rPr>
                <w:sz w:val="24"/>
                <w:szCs w:val="24"/>
              </w:rPr>
              <w:t>27.53</w:t>
            </w:r>
          </w:p>
        </w:tc>
        <w:tc>
          <w:tcPr>
            <w:tcW w:w="961" w:type="pct"/>
            <w:noWrap/>
            <w:hideMark/>
          </w:tcPr>
          <w:p w14:paraId="48C92E56" w14:textId="77777777" w:rsidR="00E14010" w:rsidRPr="00E14010" w:rsidRDefault="00E14010" w:rsidP="00E14010">
            <w:pPr>
              <w:jc w:val="center"/>
              <w:rPr>
                <w:sz w:val="24"/>
                <w:szCs w:val="24"/>
              </w:rPr>
            </w:pPr>
            <w:r w:rsidRPr="00E14010">
              <w:rPr>
                <w:sz w:val="24"/>
                <w:szCs w:val="24"/>
              </w:rPr>
              <w:t>29.27</w:t>
            </w:r>
          </w:p>
        </w:tc>
        <w:tc>
          <w:tcPr>
            <w:tcW w:w="916" w:type="pct"/>
            <w:noWrap/>
            <w:hideMark/>
          </w:tcPr>
          <w:p w14:paraId="69036EE2" w14:textId="77777777" w:rsidR="00E14010" w:rsidRPr="00E14010" w:rsidRDefault="00E14010" w:rsidP="00E14010">
            <w:pPr>
              <w:jc w:val="center"/>
              <w:rPr>
                <w:sz w:val="24"/>
                <w:szCs w:val="24"/>
              </w:rPr>
            </w:pPr>
            <w:r w:rsidRPr="00E14010">
              <w:rPr>
                <w:sz w:val="24"/>
                <w:szCs w:val="24"/>
              </w:rPr>
              <w:t>16.16</w:t>
            </w:r>
          </w:p>
        </w:tc>
      </w:tr>
      <w:tr w:rsidR="00E14010" w:rsidRPr="00E14010" w14:paraId="03CE4570" w14:textId="77777777" w:rsidTr="00B654F1">
        <w:trPr>
          <w:trHeight w:val="300"/>
        </w:trPr>
        <w:tc>
          <w:tcPr>
            <w:tcW w:w="1141" w:type="pct"/>
            <w:noWrap/>
            <w:hideMark/>
          </w:tcPr>
          <w:p w14:paraId="7BC43F7B" w14:textId="77777777" w:rsidR="00E14010" w:rsidRPr="00E14010" w:rsidRDefault="00E14010" w:rsidP="00E14010">
            <w:pPr>
              <w:jc w:val="both"/>
              <w:rPr>
                <w:b/>
                <w:bCs/>
                <w:sz w:val="24"/>
                <w:szCs w:val="24"/>
              </w:rPr>
            </w:pPr>
            <w:r w:rsidRPr="00E14010">
              <w:rPr>
                <w:b/>
                <w:bCs/>
                <w:sz w:val="24"/>
                <w:szCs w:val="24"/>
              </w:rPr>
              <w:t>Snake gourd</w:t>
            </w:r>
          </w:p>
        </w:tc>
        <w:tc>
          <w:tcPr>
            <w:tcW w:w="1067" w:type="pct"/>
            <w:noWrap/>
            <w:hideMark/>
          </w:tcPr>
          <w:p w14:paraId="32C457A8" w14:textId="77777777" w:rsidR="00E14010" w:rsidRPr="00E14010" w:rsidRDefault="00E14010" w:rsidP="00E14010">
            <w:pPr>
              <w:jc w:val="center"/>
              <w:rPr>
                <w:sz w:val="24"/>
                <w:szCs w:val="24"/>
              </w:rPr>
            </w:pPr>
            <w:r w:rsidRPr="00E14010">
              <w:rPr>
                <w:sz w:val="24"/>
                <w:szCs w:val="24"/>
              </w:rPr>
              <w:t>32.18</w:t>
            </w:r>
          </w:p>
        </w:tc>
        <w:tc>
          <w:tcPr>
            <w:tcW w:w="915" w:type="pct"/>
            <w:noWrap/>
            <w:hideMark/>
          </w:tcPr>
          <w:p w14:paraId="3163992E" w14:textId="77777777" w:rsidR="00E14010" w:rsidRPr="00E14010" w:rsidRDefault="00E14010" w:rsidP="00E14010">
            <w:pPr>
              <w:jc w:val="center"/>
              <w:rPr>
                <w:sz w:val="24"/>
                <w:szCs w:val="24"/>
              </w:rPr>
            </w:pPr>
            <w:r w:rsidRPr="00E14010">
              <w:rPr>
                <w:sz w:val="24"/>
                <w:szCs w:val="24"/>
              </w:rPr>
              <w:t>20.85</w:t>
            </w:r>
          </w:p>
        </w:tc>
        <w:tc>
          <w:tcPr>
            <w:tcW w:w="961" w:type="pct"/>
            <w:noWrap/>
            <w:hideMark/>
          </w:tcPr>
          <w:p w14:paraId="54F848AF" w14:textId="77777777" w:rsidR="00E14010" w:rsidRPr="00E14010" w:rsidRDefault="00E14010" w:rsidP="00E14010">
            <w:pPr>
              <w:jc w:val="center"/>
              <w:rPr>
                <w:sz w:val="24"/>
                <w:szCs w:val="24"/>
              </w:rPr>
            </w:pPr>
            <w:r w:rsidRPr="00E14010">
              <w:rPr>
                <w:sz w:val="24"/>
                <w:szCs w:val="24"/>
              </w:rPr>
              <w:t>20.83</w:t>
            </w:r>
          </w:p>
        </w:tc>
        <w:tc>
          <w:tcPr>
            <w:tcW w:w="916" w:type="pct"/>
            <w:noWrap/>
            <w:hideMark/>
          </w:tcPr>
          <w:p w14:paraId="54094CA5" w14:textId="77777777" w:rsidR="00E14010" w:rsidRPr="00E14010" w:rsidRDefault="00E14010" w:rsidP="00E14010">
            <w:pPr>
              <w:jc w:val="center"/>
              <w:rPr>
                <w:sz w:val="24"/>
                <w:szCs w:val="24"/>
              </w:rPr>
            </w:pPr>
            <w:r w:rsidRPr="00E14010">
              <w:rPr>
                <w:sz w:val="24"/>
                <w:szCs w:val="24"/>
              </w:rPr>
              <w:t>17.02</w:t>
            </w:r>
          </w:p>
        </w:tc>
      </w:tr>
      <w:tr w:rsidR="00E14010" w:rsidRPr="00E14010" w14:paraId="371D1F6A" w14:textId="77777777" w:rsidTr="00B654F1">
        <w:trPr>
          <w:trHeight w:val="300"/>
        </w:trPr>
        <w:tc>
          <w:tcPr>
            <w:tcW w:w="1141" w:type="pct"/>
            <w:noWrap/>
            <w:hideMark/>
          </w:tcPr>
          <w:p w14:paraId="1B4A97F5" w14:textId="77777777" w:rsidR="00E14010" w:rsidRPr="00E14010" w:rsidRDefault="00E14010" w:rsidP="00E14010">
            <w:pPr>
              <w:jc w:val="both"/>
              <w:rPr>
                <w:b/>
                <w:bCs/>
                <w:sz w:val="24"/>
                <w:szCs w:val="24"/>
              </w:rPr>
            </w:pPr>
            <w:r w:rsidRPr="00E14010">
              <w:rPr>
                <w:b/>
                <w:bCs/>
                <w:sz w:val="24"/>
                <w:szCs w:val="24"/>
              </w:rPr>
              <w:t>Others</w:t>
            </w:r>
          </w:p>
        </w:tc>
        <w:tc>
          <w:tcPr>
            <w:tcW w:w="1067" w:type="pct"/>
            <w:noWrap/>
            <w:hideMark/>
          </w:tcPr>
          <w:p w14:paraId="17B4434F" w14:textId="77777777" w:rsidR="00E14010" w:rsidRPr="00E14010" w:rsidRDefault="00E14010" w:rsidP="00E14010">
            <w:pPr>
              <w:jc w:val="center"/>
              <w:rPr>
                <w:sz w:val="24"/>
                <w:szCs w:val="24"/>
              </w:rPr>
            </w:pPr>
            <w:r w:rsidRPr="00E14010">
              <w:rPr>
                <w:sz w:val="24"/>
                <w:szCs w:val="24"/>
              </w:rPr>
              <w:t>0.05</w:t>
            </w:r>
          </w:p>
        </w:tc>
        <w:tc>
          <w:tcPr>
            <w:tcW w:w="915" w:type="pct"/>
            <w:noWrap/>
            <w:hideMark/>
          </w:tcPr>
          <w:p w14:paraId="7986F51A" w14:textId="77777777" w:rsidR="00E14010" w:rsidRPr="00E14010" w:rsidRDefault="00E14010" w:rsidP="00E14010">
            <w:pPr>
              <w:jc w:val="center"/>
              <w:rPr>
                <w:sz w:val="24"/>
                <w:szCs w:val="24"/>
              </w:rPr>
            </w:pPr>
            <w:r w:rsidRPr="00E14010">
              <w:rPr>
                <w:sz w:val="24"/>
                <w:szCs w:val="24"/>
              </w:rPr>
              <w:t>1.40</w:t>
            </w:r>
          </w:p>
        </w:tc>
        <w:tc>
          <w:tcPr>
            <w:tcW w:w="961" w:type="pct"/>
            <w:noWrap/>
            <w:hideMark/>
          </w:tcPr>
          <w:p w14:paraId="4975EA9E" w14:textId="77777777" w:rsidR="00E14010" w:rsidRPr="00E14010" w:rsidRDefault="00E14010" w:rsidP="00E14010">
            <w:pPr>
              <w:jc w:val="center"/>
              <w:rPr>
                <w:sz w:val="24"/>
                <w:szCs w:val="24"/>
              </w:rPr>
            </w:pPr>
            <w:r w:rsidRPr="00E14010">
              <w:rPr>
                <w:sz w:val="24"/>
                <w:szCs w:val="24"/>
              </w:rPr>
              <w:t>4.91</w:t>
            </w:r>
          </w:p>
        </w:tc>
        <w:tc>
          <w:tcPr>
            <w:tcW w:w="916" w:type="pct"/>
            <w:noWrap/>
            <w:hideMark/>
          </w:tcPr>
          <w:p w14:paraId="4BB6991F" w14:textId="77777777" w:rsidR="00E14010" w:rsidRPr="00E14010" w:rsidRDefault="00E14010" w:rsidP="00E14010">
            <w:pPr>
              <w:jc w:val="center"/>
              <w:rPr>
                <w:sz w:val="24"/>
                <w:szCs w:val="24"/>
              </w:rPr>
            </w:pPr>
            <w:r w:rsidRPr="00E14010">
              <w:rPr>
                <w:sz w:val="24"/>
                <w:szCs w:val="24"/>
              </w:rPr>
              <w:t>30.74</w:t>
            </w:r>
          </w:p>
        </w:tc>
      </w:tr>
      <w:tr w:rsidR="00E14010" w:rsidRPr="00E14010" w14:paraId="70BE761B" w14:textId="77777777" w:rsidTr="00B654F1">
        <w:trPr>
          <w:trHeight w:val="300"/>
        </w:trPr>
        <w:tc>
          <w:tcPr>
            <w:tcW w:w="1141" w:type="pct"/>
            <w:noWrap/>
            <w:hideMark/>
          </w:tcPr>
          <w:p w14:paraId="734B0796" w14:textId="77777777" w:rsidR="00E14010" w:rsidRPr="00E14010" w:rsidRDefault="00E14010" w:rsidP="00E14010">
            <w:pPr>
              <w:jc w:val="center"/>
              <w:rPr>
                <w:b/>
                <w:bCs/>
                <w:sz w:val="24"/>
                <w:szCs w:val="24"/>
              </w:rPr>
            </w:pPr>
            <w:r w:rsidRPr="00E14010">
              <w:rPr>
                <w:b/>
                <w:bCs/>
                <w:sz w:val="24"/>
                <w:szCs w:val="24"/>
              </w:rPr>
              <w:t>Total</w:t>
            </w:r>
          </w:p>
        </w:tc>
        <w:tc>
          <w:tcPr>
            <w:tcW w:w="1067" w:type="pct"/>
            <w:noWrap/>
            <w:hideMark/>
          </w:tcPr>
          <w:p w14:paraId="206EFCC8" w14:textId="77777777" w:rsidR="00E14010" w:rsidRPr="00E14010" w:rsidRDefault="00E14010" w:rsidP="00E14010">
            <w:pPr>
              <w:jc w:val="center"/>
              <w:rPr>
                <w:b/>
                <w:bCs/>
                <w:sz w:val="24"/>
                <w:szCs w:val="24"/>
              </w:rPr>
            </w:pPr>
            <w:r w:rsidRPr="00E14010">
              <w:rPr>
                <w:b/>
                <w:bCs/>
                <w:sz w:val="24"/>
                <w:szCs w:val="24"/>
              </w:rPr>
              <w:t>100.00</w:t>
            </w:r>
          </w:p>
        </w:tc>
        <w:tc>
          <w:tcPr>
            <w:tcW w:w="915" w:type="pct"/>
            <w:noWrap/>
            <w:hideMark/>
          </w:tcPr>
          <w:p w14:paraId="5CE43EB9" w14:textId="77777777" w:rsidR="00E14010" w:rsidRPr="00E14010" w:rsidRDefault="00E14010" w:rsidP="00E14010">
            <w:pPr>
              <w:jc w:val="center"/>
              <w:rPr>
                <w:b/>
                <w:bCs/>
                <w:sz w:val="24"/>
                <w:szCs w:val="24"/>
              </w:rPr>
            </w:pPr>
            <w:r w:rsidRPr="00E14010">
              <w:rPr>
                <w:b/>
                <w:bCs/>
                <w:sz w:val="24"/>
                <w:szCs w:val="24"/>
              </w:rPr>
              <w:t>100.00</w:t>
            </w:r>
          </w:p>
        </w:tc>
        <w:tc>
          <w:tcPr>
            <w:tcW w:w="961" w:type="pct"/>
            <w:noWrap/>
            <w:hideMark/>
          </w:tcPr>
          <w:p w14:paraId="3B4736A5" w14:textId="77777777" w:rsidR="00E14010" w:rsidRPr="00E14010" w:rsidRDefault="00E14010" w:rsidP="00E14010">
            <w:pPr>
              <w:jc w:val="center"/>
              <w:rPr>
                <w:b/>
                <w:bCs/>
                <w:sz w:val="24"/>
                <w:szCs w:val="24"/>
              </w:rPr>
            </w:pPr>
            <w:r w:rsidRPr="00E14010">
              <w:rPr>
                <w:b/>
                <w:bCs/>
                <w:sz w:val="24"/>
                <w:szCs w:val="24"/>
              </w:rPr>
              <w:t>100.00</w:t>
            </w:r>
          </w:p>
        </w:tc>
        <w:tc>
          <w:tcPr>
            <w:tcW w:w="916" w:type="pct"/>
            <w:noWrap/>
            <w:hideMark/>
          </w:tcPr>
          <w:p w14:paraId="36081FF3" w14:textId="77777777" w:rsidR="00E14010" w:rsidRPr="00E14010" w:rsidRDefault="00E14010" w:rsidP="00E14010">
            <w:pPr>
              <w:jc w:val="center"/>
              <w:rPr>
                <w:b/>
                <w:bCs/>
                <w:sz w:val="24"/>
                <w:szCs w:val="24"/>
              </w:rPr>
            </w:pPr>
            <w:r w:rsidRPr="00E14010">
              <w:rPr>
                <w:b/>
                <w:bCs/>
                <w:sz w:val="24"/>
                <w:szCs w:val="24"/>
              </w:rPr>
              <w:t>100.00</w:t>
            </w:r>
          </w:p>
        </w:tc>
      </w:tr>
    </w:tbl>
    <w:p w14:paraId="64BD3A49" w14:textId="490B0A72" w:rsidR="00E14010" w:rsidRPr="00E14010" w:rsidRDefault="00E14010" w:rsidP="00E14010">
      <w:pPr>
        <w:spacing w:line="360" w:lineRule="auto"/>
        <w:jc w:val="both"/>
        <w:rPr>
          <w:i/>
          <w:iCs/>
        </w:rPr>
      </w:pPr>
      <w:r w:rsidRPr="00E14010">
        <w:rPr>
          <w:i/>
          <w:iCs/>
        </w:rPr>
        <w:t>(</w:t>
      </w:r>
      <w:r w:rsidRPr="00E14010">
        <w:rPr>
          <w:b/>
          <w:bCs/>
          <w:i/>
          <w:iCs/>
        </w:rPr>
        <w:t>Source:</w:t>
      </w:r>
      <w:r w:rsidRPr="00E14010">
        <w:rPr>
          <w:i/>
          <w:iCs/>
        </w:rPr>
        <w:t xml:space="preserve"> computed by author based on secondary data, season &amp; crop report, 2014-15 to 2023-24)</w:t>
      </w:r>
    </w:p>
    <w:p w14:paraId="6DFC1037" w14:textId="1E41AD15" w:rsidR="00E14010" w:rsidRDefault="00E13880" w:rsidP="00E13880">
      <w:pPr>
        <w:spacing w:line="360" w:lineRule="auto"/>
        <w:ind w:firstLine="720"/>
        <w:jc w:val="both"/>
        <w:rPr>
          <w:sz w:val="24"/>
          <w:szCs w:val="24"/>
        </w:rPr>
      </w:pPr>
      <w:r w:rsidRPr="00E13880">
        <w:rPr>
          <w:sz w:val="24"/>
          <w:szCs w:val="24"/>
        </w:rPr>
        <w:t>The findings highlighted a clear dominance of bitter gourd, ridge gourd and snake gourd across all the study regions</w:t>
      </w:r>
      <w:r>
        <w:rPr>
          <w:sz w:val="24"/>
          <w:szCs w:val="24"/>
        </w:rPr>
        <w:t xml:space="preserve"> which is presented in table 1</w:t>
      </w:r>
      <w:r w:rsidRPr="00E13880">
        <w:rPr>
          <w:sz w:val="24"/>
          <w:szCs w:val="24"/>
        </w:rPr>
        <w:t xml:space="preserve">. In the </w:t>
      </w:r>
      <w:proofErr w:type="spellStart"/>
      <w:r w:rsidRPr="00E13880">
        <w:rPr>
          <w:sz w:val="24"/>
          <w:szCs w:val="24"/>
        </w:rPr>
        <w:t>Karimangalam</w:t>
      </w:r>
      <w:proofErr w:type="spellEnd"/>
      <w:r w:rsidRPr="00E13880">
        <w:rPr>
          <w:sz w:val="24"/>
          <w:szCs w:val="24"/>
        </w:rPr>
        <w:t xml:space="preserve"> block, these crops</w:t>
      </w:r>
      <w:r>
        <w:rPr>
          <w:sz w:val="24"/>
          <w:szCs w:val="24"/>
        </w:rPr>
        <w:t xml:space="preserve"> - </w:t>
      </w:r>
      <w:r w:rsidRPr="00E13880">
        <w:rPr>
          <w:sz w:val="24"/>
          <w:szCs w:val="24"/>
        </w:rPr>
        <w:t>snake gourd (32.18</w:t>
      </w:r>
      <w:r w:rsidR="00275A6F">
        <w:rPr>
          <w:sz w:val="24"/>
          <w:szCs w:val="24"/>
        </w:rPr>
        <w:t xml:space="preserve"> per cent</w:t>
      </w:r>
      <w:r w:rsidRPr="00E13880">
        <w:rPr>
          <w:sz w:val="24"/>
          <w:szCs w:val="24"/>
        </w:rPr>
        <w:t>), bitter gourd (28.70</w:t>
      </w:r>
      <w:r w:rsidR="00275A6F">
        <w:rPr>
          <w:sz w:val="24"/>
          <w:szCs w:val="24"/>
        </w:rPr>
        <w:t xml:space="preserve"> per cent</w:t>
      </w:r>
      <w:r w:rsidRPr="00E13880">
        <w:rPr>
          <w:sz w:val="24"/>
          <w:szCs w:val="24"/>
        </w:rPr>
        <w:t>) and ridge gourd (25.59</w:t>
      </w:r>
      <w:r w:rsidR="00275A6F">
        <w:rPr>
          <w:sz w:val="24"/>
          <w:szCs w:val="24"/>
        </w:rPr>
        <w:t xml:space="preserve"> per </w:t>
      </w:r>
      <w:r w:rsidR="00275A6F">
        <w:rPr>
          <w:sz w:val="24"/>
          <w:szCs w:val="24"/>
        </w:rPr>
        <w:lastRenderedPageBreak/>
        <w:t>cent</w:t>
      </w:r>
      <w:r w:rsidRPr="00E13880">
        <w:rPr>
          <w:sz w:val="24"/>
          <w:szCs w:val="24"/>
        </w:rPr>
        <w:t>)</w:t>
      </w:r>
      <w:r>
        <w:rPr>
          <w:sz w:val="24"/>
          <w:szCs w:val="24"/>
        </w:rPr>
        <w:t xml:space="preserve"> </w:t>
      </w:r>
      <w:r w:rsidRPr="00E13880">
        <w:rPr>
          <w:sz w:val="24"/>
          <w:szCs w:val="24"/>
        </w:rPr>
        <w:t>jointly constituted about 86.47</w:t>
      </w:r>
      <w:r w:rsidR="00275A6F">
        <w:rPr>
          <w:sz w:val="24"/>
          <w:szCs w:val="24"/>
        </w:rPr>
        <w:t xml:space="preserve"> per cent</w:t>
      </w:r>
      <w:r w:rsidRPr="00E13880">
        <w:rPr>
          <w:sz w:val="24"/>
          <w:szCs w:val="24"/>
        </w:rPr>
        <w:t xml:space="preserve"> of the total cucurbit area. Likewise, in the </w:t>
      </w:r>
      <w:proofErr w:type="spellStart"/>
      <w:r w:rsidRPr="00E13880">
        <w:rPr>
          <w:sz w:val="24"/>
          <w:szCs w:val="24"/>
        </w:rPr>
        <w:t>Palacode</w:t>
      </w:r>
      <w:proofErr w:type="spellEnd"/>
      <w:r w:rsidRPr="00E13880">
        <w:rPr>
          <w:sz w:val="24"/>
          <w:szCs w:val="24"/>
        </w:rPr>
        <w:t xml:space="preserve"> block, bitter gourd (39.62</w:t>
      </w:r>
      <w:r w:rsidR="00275A6F">
        <w:rPr>
          <w:sz w:val="24"/>
          <w:szCs w:val="24"/>
        </w:rPr>
        <w:t xml:space="preserve"> per cent</w:t>
      </w:r>
      <w:r w:rsidRPr="00E13880">
        <w:rPr>
          <w:sz w:val="24"/>
          <w:szCs w:val="24"/>
        </w:rPr>
        <w:t>), ridge gourd (27.53</w:t>
      </w:r>
      <w:r w:rsidR="00275A6F">
        <w:rPr>
          <w:sz w:val="24"/>
          <w:szCs w:val="24"/>
        </w:rPr>
        <w:t xml:space="preserve"> per cent</w:t>
      </w:r>
      <w:r w:rsidRPr="00E13880">
        <w:rPr>
          <w:sz w:val="24"/>
          <w:szCs w:val="24"/>
        </w:rPr>
        <w:t>) and snake gourd (20.85</w:t>
      </w:r>
      <w:r w:rsidR="00275A6F">
        <w:rPr>
          <w:sz w:val="24"/>
          <w:szCs w:val="24"/>
        </w:rPr>
        <w:t xml:space="preserve"> per cent</w:t>
      </w:r>
      <w:r w:rsidRPr="00E13880">
        <w:rPr>
          <w:sz w:val="24"/>
          <w:szCs w:val="24"/>
        </w:rPr>
        <w:t>) emerged as the major crops, together covering nearly 88.00</w:t>
      </w:r>
      <w:r w:rsidR="00275A6F">
        <w:rPr>
          <w:sz w:val="24"/>
          <w:szCs w:val="24"/>
        </w:rPr>
        <w:t xml:space="preserve"> per cent</w:t>
      </w:r>
      <w:r w:rsidRPr="00E13880">
        <w:rPr>
          <w:sz w:val="24"/>
          <w:szCs w:val="24"/>
        </w:rPr>
        <w:t xml:space="preserve"> of the cucurbit-cultivated area. At the district level, these three crops accounted for approximately 82.64</w:t>
      </w:r>
      <w:r w:rsidR="00275A6F">
        <w:rPr>
          <w:sz w:val="24"/>
          <w:szCs w:val="24"/>
        </w:rPr>
        <w:t xml:space="preserve"> per cent</w:t>
      </w:r>
      <w:r w:rsidRPr="00E13880">
        <w:rPr>
          <w:sz w:val="24"/>
          <w:szCs w:val="24"/>
        </w:rPr>
        <w:t xml:space="preserve"> of the total cucurbit area, indicating a distinct concentration trend. A comparison with the state-level pattern</w:t>
      </w:r>
      <w:r>
        <w:rPr>
          <w:sz w:val="24"/>
          <w:szCs w:val="24"/>
        </w:rPr>
        <w:t>, it</w:t>
      </w:r>
      <w:r w:rsidRPr="00E13880">
        <w:rPr>
          <w:sz w:val="24"/>
          <w:szCs w:val="24"/>
        </w:rPr>
        <w:t xml:space="preserve"> reveal</w:t>
      </w:r>
      <w:r>
        <w:rPr>
          <w:sz w:val="24"/>
          <w:szCs w:val="24"/>
        </w:rPr>
        <w:t>s</w:t>
      </w:r>
      <w:r w:rsidRPr="00E13880">
        <w:rPr>
          <w:sz w:val="24"/>
          <w:szCs w:val="24"/>
        </w:rPr>
        <w:t xml:space="preserve"> that Dharmapuri district exhibited a higher degree of specialization in bitter gourd, ridge gourd and snake gourd, whereas the state’s cropping structure appeared more diversified, with a substantial share (30.74</w:t>
      </w:r>
      <w:r w:rsidR="00275A6F">
        <w:rPr>
          <w:sz w:val="24"/>
          <w:szCs w:val="24"/>
        </w:rPr>
        <w:t xml:space="preserve"> per cent</w:t>
      </w:r>
      <w:r w:rsidRPr="00E13880">
        <w:rPr>
          <w:sz w:val="24"/>
          <w:szCs w:val="24"/>
        </w:rPr>
        <w:t xml:space="preserve">) represented by other cucurbits. This clearly demonstrates that </w:t>
      </w:r>
      <w:proofErr w:type="spellStart"/>
      <w:r w:rsidRPr="00E13880">
        <w:rPr>
          <w:sz w:val="24"/>
          <w:szCs w:val="24"/>
        </w:rPr>
        <w:t>Dharmapuri</w:t>
      </w:r>
      <w:proofErr w:type="spellEnd"/>
      <w:r w:rsidRPr="00E13880">
        <w:rPr>
          <w:sz w:val="24"/>
          <w:szCs w:val="24"/>
        </w:rPr>
        <w:t xml:space="preserve">, particularly the </w:t>
      </w:r>
      <w:proofErr w:type="spellStart"/>
      <w:r w:rsidRPr="00E13880">
        <w:rPr>
          <w:sz w:val="24"/>
          <w:szCs w:val="24"/>
        </w:rPr>
        <w:t>Karimangalam</w:t>
      </w:r>
      <w:proofErr w:type="spellEnd"/>
      <w:r w:rsidRPr="00E13880">
        <w:rPr>
          <w:sz w:val="24"/>
          <w:szCs w:val="24"/>
        </w:rPr>
        <w:t xml:space="preserve"> and </w:t>
      </w:r>
      <w:proofErr w:type="spellStart"/>
      <w:r w:rsidRPr="00E13880">
        <w:rPr>
          <w:sz w:val="24"/>
          <w:szCs w:val="24"/>
        </w:rPr>
        <w:t>Palacode</w:t>
      </w:r>
      <w:proofErr w:type="spellEnd"/>
      <w:r w:rsidRPr="00E13880">
        <w:rPr>
          <w:sz w:val="24"/>
          <w:szCs w:val="24"/>
        </w:rPr>
        <w:t xml:space="preserve"> blocks, possesses regional specialization in the cultivation of these major cucurbits, attributed to </w:t>
      </w:r>
      <w:proofErr w:type="spellStart"/>
      <w:r w:rsidRPr="00E13880">
        <w:rPr>
          <w:sz w:val="24"/>
          <w:szCs w:val="24"/>
        </w:rPr>
        <w:t>favourable</w:t>
      </w:r>
      <w:proofErr w:type="spellEnd"/>
      <w:r w:rsidRPr="00E13880">
        <w:rPr>
          <w:sz w:val="24"/>
          <w:szCs w:val="24"/>
        </w:rPr>
        <w:t xml:space="preserve"> agro-climatic conditions and strong market preferences supporting their production.</w:t>
      </w:r>
      <w:r w:rsidR="000A4DC7">
        <w:rPr>
          <w:sz w:val="24"/>
          <w:szCs w:val="24"/>
        </w:rPr>
        <w:t xml:space="preserve"> </w:t>
      </w:r>
    </w:p>
    <w:p w14:paraId="2A54CCED" w14:textId="7FAEC7FA" w:rsidR="00ED0BA6" w:rsidRPr="00ED0BA6" w:rsidRDefault="00ED0BA6" w:rsidP="00ED0BA6">
      <w:pPr>
        <w:jc w:val="center"/>
        <w:rPr>
          <w:b/>
          <w:bCs/>
          <w:sz w:val="24"/>
          <w:szCs w:val="24"/>
        </w:rPr>
      </w:pPr>
      <w:r>
        <w:rPr>
          <w:noProof/>
          <w:lang w:val="en-IN" w:eastAsia="en-IN"/>
        </w:rPr>
        <w:drawing>
          <wp:anchor distT="0" distB="0" distL="114300" distR="114300" simplePos="0" relativeHeight="251659264" behindDoc="1" locked="0" layoutInCell="1" allowOverlap="1" wp14:anchorId="2FDE561E" wp14:editId="2B8376B6">
            <wp:simplePos x="0" y="0"/>
            <wp:positionH relativeFrom="margin">
              <wp:align>center</wp:align>
            </wp:positionH>
            <wp:positionV relativeFrom="paragraph">
              <wp:posOffset>333082</wp:posOffset>
            </wp:positionV>
            <wp:extent cx="5039995" cy="2776855"/>
            <wp:effectExtent l="95250" t="114300" r="84455" b="99695"/>
            <wp:wrapTight wrapText="bothSides">
              <wp:wrapPolygon edited="0">
                <wp:start x="-408" y="-889"/>
                <wp:lineTo x="-408" y="22227"/>
                <wp:lineTo x="21880" y="22227"/>
                <wp:lineTo x="21880" y="-889"/>
                <wp:lineTo x="-408" y="-889"/>
              </wp:wrapPolygon>
            </wp:wrapTight>
            <wp:docPr id="961588285" name="Chart 1">
              <a:extLst xmlns:a="http://schemas.openxmlformats.org/drawingml/2006/main">
                <a:ext uri="{FF2B5EF4-FFF2-40B4-BE49-F238E27FC236}">
                  <a16:creationId xmlns:a16="http://schemas.microsoft.com/office/drawing/2014/main" id="{59AE5494-18B5-4DA4-24D6-DF65E2C8EB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b/>
          <w:bCs/>
          <w:sz w:val="24"/>
          <w:szCs w:val="24"/>
        </w:rPr>
        <w:t xml:space="preserve">Fig 1. </w:t>
      </w:r>
      <w:r w:rsidRPr="002A3584">
        <w:rPr>
          <w:b/>
          <w:bCs/>
          <w:sz w:val="24"/>
          <w:szCs w:val="24"/>
        </w:rPr>
        <w:t>Area Distribution Pattern of Cucurbit Vegetables</w:t>
      </w:r>
      <w:r w:rsidRPr="00145BB1">
        <w:rPr>
          <w:b/>
          <w:bCs/>
          <w:sz w:val="24"/>
          <w:szCs w:val="24"/>
        </w:rPr>
        <w:t>, (2014–15 to 2023–24).</w:t>
      </w:r>
    </w:p>
    <w:p w14:paraId="3A9E413B" w14:textId="0FB4EEBF" w:rsidR="00E13880" w:rsidRDefault="00E14010" w:rsidP="00ED0BA6">
      <w:pPr>
        <w:widowControl/>
        <w:autoSpaceDE/>
        <w:autoSpaceDN/>
        <w:spacing w:line="360" w:lineRule="auto"/>
        <w:jc w:val="both"/>
        <w:rPr>
          <w:b/>
          <w:bCs/>
          <w:sz w:val="24"/>
          <w:szCs w:val="24"/>
          <w:lang w:val="en-GB"/>
        </w:rPr>
      </w:pPr>
      <w:r w:rsidRPr="005E6188">
        <w:rPr>
          <w:b/>
          <w:bCs/>
          <w:sz w:val="24"/>
          <w:szCs w:val="24"/>
          <w:lang w:val="en-GB"/>
        </w:rPr>
        <w:t xml:space="preserve">Location Quotient of Cucurbit Vegetables </w:t>
      </w:r>
      <w:r w:rsidRPr="005E6188">
        <w:rPr>
          <w:b/>
          <w:bCs/>
          <w:sz w:val="24"/>
          <w:szCs w:val="24"/>
        </w:rPr>
        <w:t>(2014</w:t>
      </w:r>
      <w:r w:rsidR="00275A6F">
        <w:rPr>
          <w:b/>
          <w:bCs/>
          <w:sz w:val="24"/>
          <w:szCs w:val="24"/>
        </w:rPr>
        <w:t>-</w:t>
      </w:r>
      <w:r w:rsidRPr="005E6188">
        <w:rPr>
          <w:b/>
          <w:bCs/>
          <w:sz w:val="24"/>
          <w:szCs w:val="24"/>
        </w:rPr>
        <w:t>15 to 2023</w:t>
      </w:r>
      <w:r w:rsidR="00275A6F">
        <w:rPr>
          <w:b/>
          <w:bCs/>
          <w:sz w:val="24"/>
          <w:szCs w:val="24"/>
        </w:rPr>
        <w:t>-</w:t>
      </w:r>
      <w:r w:rsidRPr="005E6188">
        <w:rPr>
          <w:b/>
          <w:bCs/>
          <w:sz w:val="24"/>
          <w:szCs w:val="24"/>
        </w:rPr>
        <w:t>24).</w:t>
      </w:r>
    </w:p>
    <w:p w14:paraId="6E967B37" w14:textId="29838B95" w:rsidR="00535402" w:rsidRDefault="00E13880" w:rsidP="00275A6F">
      <w:pPr>
        <w:widowControl/>
        <w:autoSpaceDE/>
        <w:autoSpaceDN/>
        <w:spacing w:after="160" w:line="360" w:lineRule="auto"/>
        <w:ind w:firstLine="720"/>
        <w:jc w:val="both"/>
        <w:rPr>
          <w:sz w:val="24"/>
          <w:szCs w:val="24"/>
          <w:lang w:val="en-IN"/>
        </w:rPr>
      </w:pPr>
      <w:r w:rsidRPr="00E13880">
        <w:rPr>
          <w:sz w:val="24"/>
          <w:szCs w:val="24"/>
          <w:lang w:val="en-IN"/>
        </w:rPr>
        <w:t>The present study applied a Modified Location Quotient (LQ) to examine the dominance and specialization of major cucurbit crops across multiple spatial levels during 2014</w:t>
      </w:r>
      <w:r w:rsidR="00275A6F">
        <w:rPr>
          <w:sz w:val="24"/>
          <w:szCs w:val="24"/>
          <w:lang w:val="en-IN"/>
        </w:rPr>
        <w:t>-</w:t>
      </w:r>
      <w:r w:rsidRPr="00E13880">
        <w:rPr>
          <w:sz w:val="24"/>
          <w:szCs w:val="24"/>
          <w:lang w:val="en-IN"/>
        </w:rPr>
        <w:t>15 to 2023</w:t>
      </w:r>
      <w:r w:rsidR="00275A6F">
        <w:rPr>
          <w:sz w:val="24"/>
          <w:szCs w:val="24"/>
          <w:lang w:val="en-IN"/>
        </w:rPr>
        <w:t>-</w:t>
      </w:r>
      <w:r w:rsidRPr="00E13880">
        <w:rPr>
          <w:sz w:val="24"/>
          <w:szCs w:val="24"/>
          <w:lang w:val="en-IN"/>
        </w:rPr>
        <w:t>24. The analysis was conducted in two tiers: (a) between Tamil Nadu and Dharmapuri, where the state served as the benchmark to assess district-level dominance and (b) between Dharmapuri and its blocks (</w:t>
      </w:r>
      <w:proofErr w:type="spellStart"/>
      <w:r w:rsidRPr="00E13880">
        <w:rPr>
          <w:sz w:val="24"/>
          <w:szCs w:val="24"/>
          <w:lang w:val="en-IN"/>
        </w:rPr>
        <w:t>Karimangalam</w:t>
      </w:r>
      <w:proofErr w:type="spellEnd"/>
      <w:r w:rsidRPr="00E13880">
        <w:rPr>
          <w:sz w:val="24"/>
          <w:szCs w:val="24"/>
          <w:lang w:val="en-IN"/>
        </w:rPr>
        <w:t xml:space="preserve"> and </w:t>
      </w:r>
      <w:proofErr w:type="spellStart"/>
      <w:r w:rsidRPr="00E13880">
        <w:rPr>
          <w:sz w:val="24"/>
          <w:szCs w:val="24"/>
          <w:lang w:val="en-IN"/>
        </w:rPr>
        <w:t>Palacode</w:t>
      </w:r>
      <w:proofErr w:type="spellEnd"/>
      <w:r w:rsidRPr="00E13880">
        <w:rPr>
          <w:sz w:val="24"/>
          <w:szCs w:val="24"/>
          <w:lang w:val="en-IN"/>
        </w:rPr>
        <w:t>), where the district served as the benchmark to analyse intra-district concentration. This two-tier framework provided insights into the regional structure and intensity of cucurbit cultivation across spatial scales.</w:t>
      </w:r>
    </w:p>
    <w:p w14:paraId="368EA04E" w14:textId="18A8ADA0" w:rsidR="00363071" w:rsidRDefault="00363071" w:rsidP="00275A6F">
      <w:pPr>
        <w:widowControl/>
        <w:autoSpaceDE/>
        <w:autoSpaceDN/>
        <w:spacing w:after="160" w:line="360" w:lineRule="auto"/>
        <w:ind w:firstLine="720"/>
        <w:jc w:val="both"/>
        <w:rPr>
          <w:sz w:val="24"/>
          <w:szCs w:val="24"/>
          <w:lang w:val="en-IN"/>
        </w:rPr>
      </w:pPr>
    </w:p>
    <w:p w14:paraId="1A198C13" w14:textId="77777777" w:rsidR="00363071" w:rsidRPr="00275A6F" w:rsidRDefault="00363071" w:rsidP="00275A6F">
      <w:pPr>
        <w:widowControl/>
        <w:autoSpaceDE/>
        <w:autoSpaceDN/>
        <w:spacing w:after="160" w:line="360" w:lineRule="auto"/>
        <w:ind w:firstLine="720"/>
        <w:jc w:val="both"/>
        <w:rPr>
          <w:sz w:val="24"/>
          <w:szCs w:val="24"/>
          <w:lang w:val="en-IN"/>
        </w:rPr>
      </w:pPr>
    </w:p>
    <w:p w14:paraId="1B9CC52B" w14:textId="78945BE6" w:rsidR="00E14010" w:rsidRPr="00E14010" w:rsidRDefault="00E14010" w:rsidP="00E14010">
      <w:pPr>
        <w:jc w:val="center"/>
        <w:rPr>
          <w:b/>
          <w:bCs/>
          <w:sz w:val="24"/>
          <w:szCs w:val="24"/>
        </w:rPr>
      </w:pPr>
      <w:r w:rsidRPr="00E14010">
        <w:rPr>
          <w:b/>
          <w:bCs/>
          <w:sz w:val="24"/>
          <w:szCs w:val="24"/>
        </w:rPr>
        <w:t>Table-2. Location Quotient (LQ) of Cucurbit Vegetables, 2014-15 to 2023-24.</w:t>
      </w:r>
    </w:p>
    <w:tbl>
      <w:tblPr>
        <w:tblStyle w:val="TableGrid"/>
        <w:tblW w:w="5000" w:type="pct"/>
        <w:tblLayout w:type="fixed"/>
        <w:tblLook w:val="04A0" w:firstRow="1" w:lastRow="0" w:firstColumn="1" w:lastColumn="0" w:noHBand="0" w:noVBand="1"/>
      </w:tblPr>
      <w:tblGrid>
        <w:gridCol w:w="1837"/>
        <w:gridCol w:w="1230"/>
        <w:gridCol w:w="1228"/>
        <w:gridCol w:w="1228"/>
        <w:gridCol w:w="1271"/>
        <w:gridCol w:w="1185"/>
        <w:gridCol w:w="1037"/>
      </w:tblGrid>
      <w:tr w:rsidR="00E14010" w:rsidRPr="00E14010" w14:paraId="253ABDB2" w14:textId="77777777" w:rsidTr="00E14010">
        <w:trPr>
          <w:trHeight w:val="300"/>
        </w:trPr>
        <w:tc>
          <w:tcPr>
            <w:tcW w:w="1019" w:type="pct"/>
            <w:noWrap/>
            <w:hideMark/>
          </w:tcPr>
          <w:p w14:paraId="6844C382" w14:textId="77777777" w:rsidR="00E14010" w:rsidRPr="00E14010" w:rsidRDefault="00E14010" w:rsidP="00E14010">
            <w:pPr>
              <w:jc w:val="both"/>
              <w:rPr>
                <w:b/>
                <w:bCs/>
                <w:sz w:val="24"/>
                <w:szCs w:val="24"/>
              </w:rPr>
            </w:pPr>
            <w:r w:rsidRPr="00E14010">
              <w:rPr>
                <w:b/>
                <w:bCs/>
                <w:sz w:val="24"/>
                <w:szCs w:val="24"/>
              </w:rPr>
              <w:t>Particular</w:t>
            </w:r>
          </w:p>
        </w:tc>
        <w:tc>
          <w:tcPr>
            <w:tcW w:w="682" w:type="pct"/>
            <w:noWrap/>
            <w:hideMark/>
          </w:tcPr>
          <w:p w14:paraId="310D379B" w14:textId="77777777" w:rsidR="00E14010" w:rsidRPr="00E14010" w:rsidRDefault="00E14010" w:rsidP="00E14010">
            <w:pPr>
              <w:jc w:val="both"/>
              <w:rPr>
                <w:b/>
                <w:bCs/>
                <w:sz w:val="24"/>
                <w:szCs w:val="24"/>
              </w:rPr>
            </w:pPr>
            <w:r w:rsidRPr="00E14010">
              <w:rPr>
                <w:b/>
                <w:bCs/>
                <w:sz w:val="24"/>
                <w:szCs w:val="24"/>
              </w:rPr>
              <w:t>Ash gourd</w:t>
            </w:r>
          </w:p>
        </w:tc>
        <w:tc>
          <w:tcPr>
            <w:tcW w:w="681" w:type="pct"/>
            <w:noWrap/>
            <w:hideMark/>
          </w:tcPr>
          <w:p w14:paraId="631B05EE" w14:textId="77777777" w:rsidR="00E14010" w:rsidRPr="00E14010" w:rsidRDefault="00E14010" w:rsidP="00E14010">
            <w:pPr>
              <w:jc w:val="both"/>
              <w:rPr>
                <w:b/>
                <w:bCs/>
                <w:sz w:val="24"/>
                <w:szCs w:val="24"/>
              </w:rPr>
            </w:pPr>
            <w:r w:rsidRPr="00E14010">
              <w:rPr>
                <w:b/>
                <w:bCs/>
                <w:sz w:val="24"/>
                <w:szCs w:val="24"/>
              </w:rPr>
              <w:t>Bottle gourd</w:t>
            </w:r>
          </w:p>
        </w:tc>
        <w:tc>
          <w:tcPr>
            <w:tcW w:w="681" w:type="pct"/>
            <w:noWrap/>
            <w:hideMark/>
          </w:tcPr>
          <w:p w14:paraId="1EBF6663" w14:textId="77777777" w:rsidR="00E14010" w:rsidRPr="00E14010" w:rsidRDefault="00E14010" w:rsidP="00E14010">
            <w:pPr>
              <w:jc w:val="both"/>
              <w:rPr>
                <w:b/>
                <w:bCs/>
                <w:sz w:val="24"/>
                <w:szCs w:val="24"/>
              </w:rPr>
            </w:pPr>
            <w:r w:rsidRPr="00E14010">
              <w:rPr>
                <w:b/>
                <w:bCs/>
                <w:sz w:val="24"/>
                <w:szCs w:val="24"/>
              </w:rPr>
              <w:t>Bitter gourd</w:t>
            </w:r>
          </w:p>
        </w:tc>
        <w:tc>
          <w:tcPr>
            <w:tcW w:w="705" w:type="pct"/>
            <w:noWrap/>
            <w:hideMark/>
          </w:tcPr>
          <w:p w14:paraId="2FC79F29" w14:textId="77777777" w:rsidR="00E14010" w:rsidRPr="00E14010" w:rsidRDefault="00E14010" w:rsidP="00E14010">
            <w:pPr>
              <w:jc w:val="both"/>
              <w:rPr>
                <w:b/>
                <w:bCs/>
                <w:sz w:val="24"/>
                <w:szCs w:val="24"/>
              </w:rPr>
            </w:pPr>
            <w:r w:rsidRPr="00E14010">
              <w:rPr>
                <w:b/>
                <w:bCs/>
                <w:sz w:val="24"/>
                <w:szCs w:val="24"/>
              </w:rPr>
              <w:t>Ridge gourd</w:t>
            </w:r>
          </w:p>
        </w:tc>
        <w:tc>
          <w:tcPr>
            <w:tcW w:w="657" w:type="pct"/>
            <w:noWrap/>
            <w:hideMark/>
          </w:tcPr>
          <w:p w14:paraId="1831AE68" w14:textId="77777777" w:rsidR="00E14010" w:rsidRPr="00E14010" w:rsidRDefault="00E14010" w:rsidP="00E14010">
            <w:pPr>
              <w:jc w:val="both"/>
              <w:rPr>
                <w:b/>
                <w:bCs/>
                <w:sz w:val="24"/>
                <w:szCs w:val="24"/>
              </w:rPr>
            </w:pPr>
            <w:r w:rsidRPr="00E14010">
              <w:rPr>
                <w:b/>
                <w:bCs/>
                <w:sz w:val="24"/>
                <w:szCs w:val="24"/>
              </w:rPr>
              <w:t>Snake gourd</w:t>
            </w:r>
          </w:p>
        </w:tc>
        <w:tc>
          <w:tcPr>
            <w:tcW w:w="575" w:type="pct"/>
            <w:noWrap/>
            <w:hideMark/>
          </w:tcPr>
          <w:p w14:paraId="44FC7C56" w14:textId="77777777" w:rsidR="00E14010" w:rsidRPr="00E14010" w:rsidRDefault="00E14010" w:rsidP="00E14010">
            <w:pPr>
              <w:jc w:val="both"/>
              <w:rPr>
                <w:b/>
                <w:bCs/>
                <w:sz w:val="24"/>
                <w:szCs w:val="24"/>
              </w:rPr>
            </w:pPr>
            <w:r w:rsidRPr="00E14010">
              <w:rPr>
                <w:b/>
                <w:bCs/>
                <w:sz w:val="24"/>
                <w:szCs w:val="24"/>
              </w:rPr>
              <w:t>Others</w:t>
            </w:r>
          </w:p>
        </w:tc>
      </w:tr>
      <w:tr w:rsidR="00E14010" w:rsidRPr="00E14010" w14:paraId="6DD1815C" w14:textId="77777777" w:rsidTr="00E14010">
        <w:trPr>
          <w:trHeight w:val="300"/>
        </w:trPr>
        <w:tc>
          <w:tcPr>
            <w:tcW w:w="1019" w:type="pct"/>
            <w:noWrap/>
            <w:hideMark/>
          </w:tcPr>
          <w:p w14:paraId="598C0FF5" w14:textId="77777777" w:rsidR="00E14010" w:rsidRPr="00E14010" w:rsidRDefault="00E14010" w:rsidP="00E14010">
            <w:pPr>
              <w:jc w:val="both"/>
              <w:rPr>
                <w:b/>
                <w:bCs/>
                <w:sz w:val="24"/>
                <w:szCs w:val="24"/>
              </w:rPr>
            </w:pPr>
            <w:r w:rsidRPr="00E14010">
              <w:rPr>
                <w:b/>
                <w:bCs/>
                <w:sz w:val="24"/>
                <w:szCs w:val="24"/>
              </w:rPr>
              <w:t>TN vs. DPI</w:t>
            </w:r>
          </w:p>
        </w:tc>
        <w:tc>
          <w:tcPr>
            <w:tcW w:w="682" w:type="pct"/>
            <w:noWrap/>
            <w:hideMark/>
          </w:tcPr>
          <w:p w14:paraId="6D4D0FFB" w14:textId="77777777" w:rsidR="00E14010" w:rsidRPr="00E14010" w:rsidRDefault="00E14010" w:rsidP="00E14010">
            <w:pPr>
              <w:jc w:val="both"/>
              <w:rPr>
                <w:sz w:val="24"/>
                <w:szCs w:val="24"/>
              </w:rPr>
            </w:pPr>
            <w:r w:rsidRPr="00E14010">
              <w:rPr>
                <w:sz w:val="24"/>
                <w:szCs w:val="24"/>
              </w:rPr>
              <w:t>0.68</w:t>
            </w:r>
          </w:p>
        </w:tc>
        <w:tc>
          <w:tcPr>
            <w:tcW w:w="681" w:type="pct"/>
            <w:noWrap/>
            <w:hideMark/>
          </w:tcPr>
          <w:p w14:paraId="406AF231" w14:textId="77777777" w:rsidR="00E14010" w:rsidRPr="00E14010" w:rsidRDefault="00E14010" w:rsidP="00E14010">
            <w:pPr>
              <w:jc w:val="both"/>
              <w:rPr>
                <w:sz w:val="24"/>
                <w:szCs w:val="24"/>
              </w:rPr>
            </w:pPr>
            <w:r w:rsidRPr="00E14010">
              <w:rPr>
                <w:sz w:val="24"/>
                <w:szCs w:val="24"/>
              </w:rPr>
              <w:t>0.84</w:t>
            </w:r>
          </w:p>
        </w:tc>
        <w:tc>
          <w:tcPr>
            <w:tcW w:w="681" w:type="pct"/>
            <w:noWrap/>
            <w:hideMark/>
          </w:tcPr>
          <w:p w14:paraId="61DA0BC1" w14:textId="77777777" w:rsidR="00E14010" w:rsidRPr="00E14010" w:rsidRDefault="00E14010" w:rsidP="00E14010">
            <w:pPr>
              <w:jc w:val="both"/>
              <w:rPr>
                <w:sz w:val="24"/>
                <w:szCs w:val="24"/>
              </w:rPr>
            </w:pPr>
            <w:r w:rsidRPr="00E14010">
              <w:rPr>
                <w:sz w:val="24"/>
                <w:szCs w:val="24"/>
              </w:rPr>
              <w:t>1.43</w:t>
            </w:r>
          </w:p>
        </w:tc>
        <w:tc>
          <w:tcPr>
            <w:tcW w:w="705" w:type="pct"/>
            <w:noWrap/>
            <w:hideMark/>
          </w:tcPr>
          <w:p w14:paraId="0501CFAC" w14:textId="77777777" w:rsidR="00E14010" w:rsidRPr="00E14010" w:rsidRDefault="00E14010" w:rsidP="00E14010">
            <w:pPr>
              <w:jc w:val="both"/>
              <w:rPr>
                <w:sz w:val="24"/>
                <w:szCs w:val="24"/>
              </w:rPr>
            </w:pPr>
            <w:r w:rsidRPr="00E14010">
              <w:rPr>
                <w:sz w:val="24"/>
                <w:szCs w:val="24"/>
              </w:rPr>
              <w:t>1.81</w:t>
            </w:r>
          </w:p>
        </w:tc>
        <w:tc>
          <w:tcPr>
            <w:tcW w:w="657" w:type="pct"/>
            <w:noWrap/>
            <w:hideMark/>
          </w:tcPr>
          <w:p w14:paraId="3188A3D2" w14:textId="77777777" w:rsidR="00E14010" w:rsidRPr="00E14010" w:rsidRDefault="00E14010" w:rsidP="00E14010">
            <w:pPr>
              <w:jc w:val="both"/>
              <w:rPr>
                <w:sz w:val="24"/>
                <w:szCs w:val="24"/>
              </w:rPr>
            </w:pPr>
            <w:r w:rsidRPr="00E14010">
              <w:rPr>
                <w:sz w:val="24"/>
                <w:szCs w:val="24"/>
              </w:rPr>
              <w:t>1.17</w:t>
            </w:r>
          </w:p>
        </w:tc>
        <w:tc>
          <w:tcPr>
            <w:tcW w:w="575" w:type="pct"/>
            <w:noWrap/>
            <w:hideMark/>
          </w:tcPr>
          <w:p w14:paraId="62017AD1" w14:textId="77777777" w:rsidR="00E14010" w:rsidRPr="00E14010" w:rsidRDefault="00E14010" w:rsidP="00E14010">
            <w:pPr>
              <w:jc w:val="both"/>
              <w:rPr>
                <w:sz w:val="24"/>
                <w:szCs w:val="24"/>
              </w:rPr>
            </w:pPr>
            <w:r w:rsidRPr="00E14010">
              <w:rPr>
                <w:sz w:val="24"/>
                <w:szCs w:val="24"/>
              </w:rPr>
              <w:t>0.14</w:t>
            </w:r>
          </w:p>
        </w:tc>
      </w:tr>
      <w:tr w:rsidR="00E14010" w:rsidRPr="00E14010" w14:paraId="3DA0D34C" w14:textId="77777777" w:rsidTr="00E14010">
        <w:trPr>
          <w:trHeight w:val="300"/>
        </w:trPr>
        <w:tc>
          <w:tcPr>
            <w:tcW w:w="1019" w:type="pct"/>
            <w:noWrap/>
            <w:hideMark/>
          </w:tcPr>
          <w:p w14:paraId="195C93AC" w14:textId="77777777" w:rsidR="00E14010" w:rsidRPr="00E14010" w:rsidRDefault="00E14010" w:rsidP="00E14010">
            <w:pPr>
              <w:jc w:val="both"/>
              <w:rPr>
                <w:b/>
                <w:bCs/>
                <w:sz w:val="24"/>
                <w:szCs w:val="24"/>
              </w:rPr>
            </w:pPr>
            <w:r w:rsidRPr="00E14010">
              <w:rPr>
                <w:b/>
                <w:bCs/>
                <w:sz w:val="24"/>
                <w:szCs w:val="24"/>
              </w:rPr>
              <w:t>DPI vs. KAR</w:t>
            </w:r>
          </w:p>
        </w:tc>
        <w:tc>
          <w:tcPr>
            <w:tcW w:w="682" w:type="pct"/>
            <w:noWrap/>
            <w:hideMark/>
          </w:tcPr>
          <w:p w14:paraId="0F99DAAB" w14:textId="77777777" w:rsidR="00E14010" w:rsidRPr="00E14010" w:rsidRDefault="00E14010" w:rsidP="00E14010">
            <w:pPr>
              <w:jc w:val="both"/>
              <w:rPr>
                <w:sz w:val="24"/>
                <w:szCs w:val="24"/>
              </w:rPr>
            </w:pPr>
            <w:r w:rsidRPr="00E14010">
              <w:rPr>
                <w:sz w:val="24"/>
                <w:szCs w:val="24"/>
              </w:rPr>
              <w:t>0.01</w:t>
            </w:r>
          </w:p>
        </w:tc>
        <w:tc>
          <w:tcPr>
            <w:tcW w:w="681" w:type="pct"/>
            <w:noWrap/>
            <w:hideMark/>
          </w:tcPr>
          <w:p w14:paraId="1C6699E8" w14:textId="77777777" w:rsidR="00E14010" w:rsidRPr="00E14010" w:rsidRDefault="00E14010" w:rsidP="00E14010">
            <w:pPr>
              <w:jc w:val="both"/>
              <w:rPr>
                <w:sz w:val="24"/>
                <w:szCs w:val="24"/>
              </w:rPr>
            </w:pPr>
            <w:r w:rsidRPr="00E14010">
              <w:rPr>
                <w:sz w:val="24"/>
                <w:szCs w:val="24"/>
              </w:rPr>
              <w:t>1.59</w:t>
            </w:r>
          </w:p>
        </w:tc>
        <w:tc>
          <w:tcPr>
            <w:tcW w:w="681" w:type="pct"/>
            <w:noWrap/>
            <w:hideMark/>
          </w:tcPr>
          <w:p w14:paraId="272B0D35" w14:textId="77777777" w:rsidR="00E14010" w:rsidRPr="00E14010" w:rsidRDefault="00E14010" w:rsidP="00E14010">
            <w:pPr>
              <w:jc w:val="both"/>
              <w:rPr>
                <w:sz w:val="24"/>
                <w:szCs w:val="24"/>
              </w:rPr>
            </w:pPr>
            <w:r w:rsidRPr="00E14010">
              <w:rPr>
                <w:sz w:val="24"/>
                <w:szCs w:val="24"/>
              </w:rPr>
              <w:t>0.96</w:t>
            </w:r>
          </w:p>
        </w:tc>
        <w:tc>
          <w:tcPr>
            <w:tcW w:w="705" w:type="pct"/>
            <w:noWrap/>
            <w:hideMark/>
          </w:tcPr>
          <w:p w14:paraId="39A67F60" w14:textId="77777777" w:rsidR="00E14010" w:rsidRPr="00E14010" w:rsidRDefault="00E14010" w:rsidP="00E14010">
            <w:pPr>
              <w:jc w:val="both"/>
              <w:rPr>
                <w:sz w:val="24"/>
                <w:szCs w:val="24"/>
              </w:rPr>
            </w:pPr>
            <w:r w:rsidRPr="00E14010">
              <w:rPr>
                <w:sz w:val="24"/>
                <w:szCs w:val="24"/>
              </w:rPr>
              <w:t>0.92</w:t>
            </w:r>
          </w:p>
        </w:tc>
        <w:tc>
          <w:tcPr>
            <w:tcW w:w="657" w:type="pct"/>
            <w:noWrap/>
            <w:hideMark/>
          </w:tcPr>
          <w:p w14:paraId="4371468A" w14:textId="77777777" w:rsidR="00E14010" w:rsidRPr="00E14010" w:rsidRDefault="00E14010" w:rsidP="00E14010">
            <w:pPr>
              <w:jc w:val="both"/>
              <w:rPr>
                <w:sz w:val="24"/>
                <w:szCs w:val="24"/>
              </w:rPr>
            </w:pPr>
            <w:r w:rsidRPr="00E14010">
              <w:rPr>
                <w:sz w:val="24"/>
                <w:szCs w:val="24"/>
              </w:rPr>
              <w:t>1.52</w:t>
            </w:r>
          </w:p>
        </w:tc>
        <w:tc>
          <w:tcPr>
            <w:tcW w:w="575" w:type="pct"/>
            <w:noWrap/>
            <w:hideMark/>
          </w:tcPr>
          <w:p w14:paraId="6BABEC9A" w14:textId="77777777" w:rsidR="00E14010" w:rsidRPr="00E14010" w:rsidRDefault="00E14010" w:rsidP="00E14010">
            <w:pPr>
              <w:jc w:val="both"/>
              <w:rPr>
                <w:sz w:val="24"/>
                <w:szCs w:val="24"/>
              </w:rPr>
            </w:pPr>
            <w:r w:rsidRPr="00E14010">
              <w:rPr>
                <w:sz w:val="24"/>
                <w:szCs w:val="24"/>
              </w:rPr>
              <w:t>0.01</w:t>
            </w:r>
          </w:p>
        </w:tc>
      </w:tr>
      <w:tr w:rsidR="00E14010" w:rsidRPr="00E14010" w14:paraId="27E9BD29" w14:textId="77777777" w:rsidTr="00E14010">
        <w:trPr>
          <w:trHeight w:val="300"/>
        </w:trPr>
        <w:tc>
          <w:tcPr>
            <w:tcW w:w="1019" w:type="pct"/>
            <w:noWrap/>
            <w:hideMark/>
          </w:tcPr>
          <w:p w14:paraId="5DD6CE1E" w14:textId="77777777" w:rsidR="00E14010" w:rsidRPr="00E14010" w:rsidRDefault="00E14010" w:rsidP="00E14010">
            <w:pPr>
              <w:jc w:val="both"/>
              <w:rPr>
                <w:b/>
                <w:bCs/>
                <w:sz w:val="24"/>
                <w:szCs w:val="24"/>
              </w:rPr>
            </w:pPr>
            <w:r w:rsidRPr="00E14010">
              <w:rPr>
                <w:b/>
                <w:bCs/>
                <w:sz w:val="24"/>
                <w:szCs w:val="24"/>
              </w:rPr>
              <w:t>DPI vs. PAL</w:t>
            </w:r>
          </w:p>
        </w:tc>
        <w:tc>
          <w:tcPr>
            <w:tcW w:w="682" w:type="pct"/>
            <w:noWrap/>
            <w:hideMark/>
          </w:tcPr>
          <w:p w14:paraId="14AE47FE" w14:textId="77777777" w:rsidR="00E14010" w:rsidRPr="00E14010" w:rsidRDefault="00E14010" w:rsidP="00E14010">
            <w:pPr>
              <w:jc w:val="both"/>
              <w:rPr>
                <w:sz w:val="24"/>
                <w:szCs w:val="24"/>
              </w:rPr>
            </w:pPr>
            <w:r w:rsidRPr="00E14010">
              <w:rPr>
                <w:sz w:val="24"/>
                <w:szCs w:val="24"/>
              </w:rPr>
              <w:t>0.41</w:t>
            </w:r>
          </w:p>
        </w:tc>
        <w:tc>
          <w:tcPr>
            <w:tcW w:w="681" w:type="pct"/>
            <w:noWrap/>
            <w:hideMark/>
          </w:tcPr>
          <w:p w14:paraId="7D0C8EBF" w14:textId="77777777" w:rsidR="00E14010" w:rsidRPr="00E14010" w:rsidRDefault="00E14010" w:rsidP="00E14010">
            <w:pPr>
              <w:jc w:val="both"/>
              <w:rPr>
                <w:sz w:val="24"/>
                <w:szCs w:val="24"/>
              </w:rPr>
            </w:pPr>
            <w:r w:rsidRPr="00E14010">
              <w:rPr>
                <w:sz w:val="24"/>
                <w:szCs w:val="24"/>
              </w:rPr>
              <w:t>0.95</w:t>
            </w:r>
          </w:p>
        </w:tc>
        <w:tc>
          <w:tcPr>
            <w:tcW w:w="681" w:type="pct"/>
            <w:noWrap/>
            <w:hideMark/>
          </w:tcPr>
          <w:p w14:paraId="65CD2D6B" w14:textId="77777777" w:rsidR="00E14010" w:rsidRPr="00E14010" w:rsidRDefault="00E14010" w:rsidP="00E14010">
            <w:pPr>
              <w:jc w:val="both"/>
              <w:rPr>
                <w:sz w:val="24"/>
                <w:szCs w:val="24"/>
              </w:rPr>
            </w:pPr>
            <w:r w:rsidRPr="00E14010">
              <w:rPr>
                <w:sz w:val="24"/>
                <w:szCs w:val="24"/>
              </w:rPr>
              <w:t>1.20</w:t>
            </w:r>
          </w:p>
        </w:tc>
        <w:tc>
          <w:tcPr>
            <w:tcW w:w="705" w:type="pct"/>
            <w:noWrap/>
            <w:hideMark/>
          </w:tcPr>
          <w:p w14:paraId="0B5461C7" w14:textId="77777777" w:rsidR="00E14010" w:rsidRPr="00E14010" w:rsidRDefault="00E14010" w:rsidP="00E14010">
            <w:pPr>
              <w:jc w:val="both"/>
              <w:rPr>
                <w:sz w:val="24"/>
                <w:szCs w:val="24"/>
              </w:rPr>
            </w:pPr>
            <w:r w:rsidRPr="00E14010">
              <w:rPr>
                <w:sz w:val="24"/>
                <w:szCs w:val="24"/>
              </w:rPr>
              <w:t>0.99</w:t>
            </w:r>
          </w:p>
        </w:tc>
        <w:tc>
          <w:tcPr>
            <w:tcW w:w="657" w:type="pct"/>
            <w:noWrap/>
            <w:hideMark/>
          </w:tcPr>
          <w:p w14:paraId="3F37C518" w14:textId="77777777" w:rsidR="00E14010" w:rsidRPr="00E14010" w:rsidRDefault="00E14010" w:rsidP="00E14010">
            <w:pPr>
              <w:jc w:val="both"/>
              <w:rPr>
                <w:sz w:val="24"/>
                <w:szCs w:val="24"/>
              </w:rPr>
            </w:pPr>
            <w:r w:rsidRPr="00E14010">
              <w:rPr>
                <w:sz w:val="24"/>
                <w:szCs w:val="24"/>
              </w:rPr>
              <w:t>1.02</w:t>
            </w:r>
          </w:p>
        </w:tc>
        <w:tc>
          <w:tcPr>
            <w:tcW w:w="575" w:type="pct"/>
            <w:noWrap/>
            <w:hideMark/>
          </w:tcPr>
          <w:p w14:paraId="5990ED3A" w14:textId="77777777" w:rsidR="00E14010" w:rsidRPr="00E14010" w:rsidRDefault="00E14010" w:rsidP="00E14010">
            <w:pPr>
              <w:jc w:val="both"/>
              <w:rPr>
                <w:sz w:val="24"/>
                <w:szCs w:val="24"/>
              </w:rPr>
            </w:pPr>
            <w:r w:rsidRPr="00E14010">
              <w:rPr>
                <w:sz w:val="24"/>
                <w:szCs w:val="24"/>
              </w:rPr>
              <w:t>0.18</w:t>
            </w:r>
          </w:p>
        </w:tc>
      </w:tr>
    </w:tbl>
    <w:p w14:paraId="27DEC67B" w14:textId="1709A99A" w:rsidR="00E14010" w:rsidRPr="00E14010" w:rsidRDefault="00E14010" w:rsidP="00E14010">
      <w:pPr>
        <w:spacing w:line="276" w:lineRule="auto"/>
        <w:jc w:val="both"/>
        <w:rPr>
          <w:i/>
          <w:iCs/>
        </w:rPr>
      </w:pPr>
      <w:r w:rsidRPr="00E14010">
        <w:rPr>
          <w:i/>
          <w:iCs/>
        </w:rPr>
        <w:t>(</w:t>
      </w:r>
      <w:r w:rsidRPr="00E14010">
        <w:rPr>
          <w:b/>
          <w:bCs/>
          <w:i/>
          <w:iCs/>
        </w:rPr>
        <w:t>Source:</w:t>
      </w:r>
      <w:r w:rsidRPr="00E14010">
        <w:rPr>
          <w:i/>
          <w:iCs/>
        </w:rPr>
        <w:t xml:space="preserve"> computed by author based on secondary data, season &amp; crop report, 2014-15 to 2023-24)</w:t>
      </w:r>
    </w:p>
    <w:p w14:paraId="4D0AA7BC" w14:textId="100195DC" w:rsidR="00E14010" w:rsidRPr="00E14010" w:rsidRDefault="00E14010" w:rsidP="00E14010">
      <w:pPr>
        <w:spacing w:line="360" w:lineRule="auto"/>
        <w:jc w:val="both"/>
        <w:rPr>
          <w:i/>
          <w:iCs/>
        </w:rPr>
      </w:pPr>
      <w:r w:rsidRPr="00E14010">
        <w:rPr>
          <w:i/>
          <w:iCs/>
        </w:rPr>
        <w:t>(</w:t>
      </w:r>
      <w:r w:rsidRPr="00E14010">
        <w:rPr>
          <w:b/>
          <w:bCs/>
          <w:i/>
          <w:iCs/>
        </w:rPr>
        <w:t>Note</w:t>
      </w:r>
      <w:r w:rsidRPr="00E14010">
        <w:rPr>
          <w:i/>
          <w:iCs/>
        </w:rPr>
        <w:t xml:space="preserve">: TN – Tamil Nadu, DPI – </w:t>
      </w:r>
      <w:proofErr w:type="spellStart"/>
      <w:r w:rsidRPr="00E14010">
        <w:rPr>
          <w:i/>
          <w:iCs/>
        </w:rPr>
        <w:t>Dharmapuri</w:t>
      </w:r>
      <w:proofErr w:type="spellEnd"/>
      <w:r w:rsidRPr="00E14010">
        <w:rPr>
          <w:i/>
          <w:iCs/>
        </w:rPr>
        <w:t xml:space="preserve">, KAR – </w:t>
      </w:r>
      <w:proofErr w:type="spellStart"/>
      <w:r w:rsidRPr="00E14010">
        <w:rPr>
          <w:i/>
          <w:iCs/>
        </w:rPr>
        <w:t>Karimangalam</w:t>
      </w:r>
      <w:proofErr w:type="spellEnd"/>
      <w:r w:rsidRPr="00E14010">
        <w:rPr>
          <w:i/>
          <w:iCs/>
        </w:rPr>
        <w:t xml:space="preserve"> and PAL – </w:t>
      </w:r>
      <w:proofErr w:type="spellStart"/>
      <w:r w:rsidRPr="00E14010">
        <w:rPr>
          <w:i/>
          <w:iCs/>
        </w:rPr>
        <w:t>Palacode</w:t>
      </w:r>
      <w:proofErr w:type="spellEnd"/>
      <w:r w:rsidRPr="00E14010">
        <w:rPr>
          <w:i/>
          <w:iCs/>
        </w:rPr>
        <w:t>)</w:t>
      </w:r>
    </w:p>
    <w:p w14:paraId="4414BB45" w14:textId="6B3B340A" w:rsidR="00E13880" w:rsidRDefault="00E13880" w:rsidP="00E13880">
      <w:pPr>
        <w:widowControl/>
        <w:autoSpaceDE/>
        <w:autoSpaceDN/>
        <w:spacing w:after="160" w:line="360" w:lineRule="auto"/>
        <w:ind w:firstLine="720"/>
        <w:jc w:val="both"/>
        <w:rPr>
          <w:sz w:val="24"/>
          <w:szCs w:val="24"/>
          <w:lang w:val="en-IN"/>
        </w:rPr>
      </w:pPr>
      <w:r w:rsidRPr="00E13880">
        <w:rPr>
          <w:sz w:val="24"/>
          <w:szCs w:val="24"/>
          <w:lang w:val="en-IN"/>
        </w:rPr>
        <w:t>In the Tamil Nadu–Dharmapuri comparison, ridge gourd (1.81) and bitter gourd (1.43) emerged as the most dominant crops, showing strong specialization relative to the state average. Snake gourd (1.17) showed moderate concentration, while bottle gourd (0.84) and ash gourd (0.68) indicated lower significance. The others category (0.14) reflected minimal concentration, indicating limited cultivation. These results confirm that Dharmapuri’s cropping pattern is highly oriented toward ridge gourd, bitter gourd and snake gourd.</w:t>
      </w:r>
      <w:r>
        <w:rPr>
          <w:sz w:val="24"/>
          <w:szCs w:val="24"/>
          <w:lang w:val="en-IN"/>
        </w:rPr>
        <w:t xml:space="preserve"> </w:t>
      </w:r>
      <w:r w:rsidRPr="00E13880">
        <w:rPr>
          <w:sz w:val="24"/>
          <w:szCs w:val="24"/>
          <w:lang w:val="en-IN"/>
        </w:rPr>
        <w:t xml:space="preserve">At the </w:t>
      </w:r>
      <w:proofErr w:type="spellStart"/>
      <w:r w:rsidRPr="00E13880">
        <w:rPr>
          <w:sz w:val="24"/>
          <w:szCs w:val="24"/>
          <w:lang w:val="en-IN"/>
        </w:rPr>
        <w:t>Dharmapuri</w:t>
      </w:r>
      <w:proofErr w:type="spellEnd"/>
      <w:r w:rsidR="00275A6F">
        <w:rPr>
          <w:sz w:val="24"/>
          <w:szCs w:val="24"/>
          <w:lang w:val="en-IN"/>
        </w:rPr>
        <w:t xml:space="preserve"> - </w:t>
      </w:r>
      <w:proofErr w:type="spellStart"/>
      <w:r w:rsidRPr="00E13880">
        <w:rPr>
          <w:sz w:val="24"/>
          <w:szCs w:val="24"/>
          <w:lang w:val="en-IN"/>
        </w:rPr>
        <w:t>Karimangalam</w:t>
      </w:r>
      <w:proofErr w:type="spellEnd"/>
      <w:r w:rsidRPr="00E13880">
        <w:rPr>
          <w:sz w:val="24"/>
          <w:szCs w:val="24"/>
          <w:lang w:val="en-IN"/>
        </w:rPr>
        <w:t xml:space="preserve"> level, bottle gourd (1.59) and snake gourd (1.52) were highly specialized, showing a clear comparative advantage over other cucurbits. Bitter gourd (0.96) and ridge gourd (0.92) were near the district average, while ash gourd (0.01) and others (0.01) had negligible concentration. This suggests that farmers in </w:t>
      </w:r>
      <w:proofErr w:type="spellStart"/>
      <w:r w:rsidRPr="00E13880">
        <w:rPr>
          <w:sz w:val="24"/>
          <w:szCs w:val="24"/>
          <w:lang w:val="en-IN"/>
        </w:rPr>
        <w:t>Karimangalam</w:t>
      </w:r>
      <w:proofErr w:type="spellEnd"/>
      <w:r w:rsidRPr="00E13880">
        <w:rPr>
          <w:sz w:val="24"/>
          <w:szCs w:val="24"/>
          <w:lang w:val="en-IN"/>
        </w:rPr>
        <w:t xml:space="preserve"> primarily focus on bottle gourd and snake gourd owing to their profitability and local suitability.</w:t>
      </w:r>
      <w:r>
        <w:rPr>
          <w:sz w:val="24"/>
          <w:szCs w:val="24"/>
          <w:lang w:val="en-IN"/>
        </w:rPr>
        <w:t xml:space="preserve"> </w:t>
      </w:r>
      <w:r w:rsidRPr="00E13880">
        <w:rPr>
          <w:sz w:val="24"/>
          <w:szCs w:val="24"/>
          <w:lang w:val="en-IN"/>
        </w:rPr>
        <w:t xml:space="preserve">In the </w:t>
      </w:r>
      <w:proofErr w:type="spellStart"/>
      <w:r w:rsidRPr="00E13880">
        <w:rPr>
          <w:sz w:val="24"/>
          <w:szCs w:val="24"/>
          <w:lang w:val="en-IN"/>
        </w:rPr>
        <w:t>Dharmapuri</w:t>
      </w:r>
      <w:proofErr w:type="spellEnd"/>
      <w:r w:rsidR="00275A6F">
        <w:rPr>
          <w:sz w:val="24"/>
          <w:szCs w:val="24"/>
          <w:lang w:val="en-IN"/>
        </w:rPr>
        <w:t xml:space="preserve"> - </w:t>
      </w:r>
      <w:proofErr w:type="spellStart"/>
      <w:r w:rsidRPr="00E13880">
        <w:rPr>
          <w:sz w:val="24"/>
          <w:szCs w:val="24"/>
          <w:lang w:val="en-IN"/>
        </w:rPr>
        <w:t>Palacode</w:t>
      </w:r>
      <w:proofErr w:type="spellEnd"/>
      <w:r w:rsidRPr="00E13880">
        <w:rPr>
          <w:sz w:val="24"/>
          <w:szCs w:val="24"/>
          <w:lang w:val="en-IN"/>
        </w:rPr>
        <w:t xml:space="preserve"> comparison, bitter gourd (1.20) showed the highest concentration, followed by snake gourd (1.02) and ridge gourd (0.99), indicating moderate specialization. Bottle gourd (0.95) was near average, while ash gourd (0.41) and others (0.18) were less significant. Thus, </w:t>
      </w:r>
      <w:proofErr w:type="spellStart"/>
      <w:r w:rsidRPr="00E13880">
        <w:rPr>
          <w:sz w:val="24"/>
          <w:szCs w:val="24"/>
          <w:lang w:val="en-IN"/>
        </w:rPr>
        <w:t>Palacode</w:t>
      </w:r>
      <w:proofErr w:type="spellEnd"/>
      <w:r w:rsidRPr="00E13880">
        <w:rPr>
          <w:sz w:val="24"/>
          <w:szCs w:val="24"/>
          <w:lang w:val="en-IN"/>
        </w:rPr>
        <w:t xml:space="preserve"> displayed moderate specialization in bitter gourd and snake gourd.</w:t>
      </w:r>
    </w:p>
    <w:p w14:paraId="64729D1B" w14:textId="0339EAB4" w:rsidR="00ED0BA6" w:rsidRPr="00ED0BA6" w:rsidRDefault="00ED0BA6" w:rsidP="00ED0BA6">
      <w:pPr>
        <w:spacing w:line="360" w:lineRule="auto"/>
        <w:jc w:val="center"/>
        <w:rPr>
          <w:sz w:val="26"/>
          <w:szCs w:val="26"/>
        </w:rPr>
      </w:pPr>
      <w:r>
        <w:rPr>
          <w:b/>
          <w:bCs/>
          <w:sz w:val="24"/>
          <w:szCs w:val="24"/>
        </w:rPr>
        <w:t xml:space="preserve">Fig 2. </w:t>
      </w:r>
      <w:r w:rsidRPr="007A1830">
        <w:rPr>
          <w:b/>
          <w:bCs/>
          <w:sz w:val="24"/>
          <w:szCs w:val="24"/>
        </w:rPr>
        <w:t>Location Quotient (LQ) of Cucurbit Vegetables</w:t>
      </w:r>
      <w:r>
        <w:rPr>
          <w:b/>
          <w:bCs/>
          <w:sz w:val="24"/>
          <w:szCs w:val="24"/>
        </w:rPr>
        <w:t>, 2014</w:t>
      </w:r>
      <w:r w:rsidR="00275A6F">
        <w:rPr>
          <w:b/>
          <w:bCs/>
          <w:sz w:val="24"/>
          <w:szCs w:val="24"/>
        </w:rPr>
        <w:t>-</w:t>
      </w:r>
      <w:r>
        <w:rPr>
          <w:b/>
          <w:bCs/>
          <w:sz w:val="24"/>
          <w:szCs w:val="24"/>
        </w:rPr>
        <w:t>15 to 2023</w:t>
      </w:r>
      <w:r w:rsidR="00275A6F">
        <w:rPr>
          <w:b/>
          <w:bCs/>
          <w:sz w:val="24"/>
          <w:szCs w:val="24"/>
        </w:rPr>
        <w:t>-</w:t>
      </w:r>
      <w:r>
        <w:rPr>
          <w:b/>
          <w:bCs/>
          <w:sz w:val="24"/>
          <w:szCs w:val="24"/>
        </w:rPr>
        <w:t>24.</w:t>
      </w:r>
      <w:r>
        <w:rPr>
          <w:noProof/>
          <w:lang w:val="en-IN" w:eastAsia="en-IN"/>
        </w:rPr>
        <w:lastRenderedPageBreak/>
        <w:drawing>
          <wp:inline distT="0" distB="0" distL="0" distR="0" wp14:anchorId="4E6AFFA8" wp14:editId="79DEBA6D">
            <wp:extent cx="5040000" cy="2743200"/>
            <wp:effectExtent l="114300" t="76200" r="122555" b="171450"/>
            <wp:docPr id="249761620" name="Chart 1">
              <a:extLst xmlns:a="http://schemas.openxmlformats.org/drawingml/2006/main">
                <a:ext uri="{FF2B5EF4-FFF2-40B4-BE49-F238E27FC236}">
                  <a16:creationId xmlns:a16="http://schemas.microsoft.com/office/drawing/2014/main" id="{770BB7EE-E075-402E-8C64-FC785F1C3B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7F2E75" w14:textId="22EF9668" w:rsidR="00E13880" w:rsidRPr="00E13880" w:rsidRDefault="00E13880" w:rsidP="00ED0BA6">
      <w:pPr>
        <w:widowControl/>
        <w:autoSpaceDE/>
        <w:autoSpaceDN/>
        <w:spacing w:line="360" w:lineRule="auto"/>
        <w:ind w:firstLine="720"/>
        <w:jc w:val="both"/>
        <w:rPr>
          <w:sz w:val="24"/>
          <w:szCs w:val="24"/>
          <w:lang w:val="en-IN"/>
        </w:rPr>
      </w:pPr>
      <w:r w:rsidRPr="00E13880">
        <w:rPr>
          <w:sz w:val="24"/>
          <w:szCs w:val="24"/>
          <w:lang w:val="en-IN"/>
        </w:rPr>
        <w:t xml:space="preserve">Overall, the findings highlight that Dharmapuri demonstrates strong specialization in bitter gourd, ridge gourd and snake gourd, while </w:t>
      </w:r>
      <w:proofErr w:type="spellStart"/>
      <w:r w:rsidRPr="00E13880">
        <w:rPr>
          <w:sz w:val="24"/>
          <w:szCs w:val="24"/>
          <w:lang w:val="en-IN"/>
        </w:rPr>
        <w:t>Karimangalam</w:t>
      </w:r>
      <w:proofErr w:type="spellEnd"/>
      <w:r w:rsidRPr="00E13880">
        <w:rPr>
          <w:sz w:val="24"/>
          <w:szCs w:val="24"/>
          <w:lang w:val="en-IN"/>
        </w:rPr>
        <w:t xml:space="preserve"> shows concentration in bottle gourd and snake gourd</w:t>
      </w:r>
      <w:r w:rsidR="00CC2301">
        <w:rPr>
          <w:sz w:val="24"/>
          <w:szCs w:val="24"/>
          <w:lang w:val="en-IN"/>
        </w:rPr>
        <w:t>.</w:t>
      </w:r>
      <w:r w:rsidRPr="00E13880">
        <w:rPr>
          <w:sz w:val="24"/>
          <w:szCs w:val="24"/>
          <w:lang w:val="en-IN"/>
        </w:rPr>
        <w:t xml:space="preserve"> </w:t>
      </w:r>
      <w:proofErr w:type="spellStart"/>
      <w:r w:rsidRPr="00E13880">
        <w:rPr>
          <w:sz w:val="24"/>
          <w:szCs w:val="24"/>
          <w:lang w:val="en-IN"/>
        </w:rPr>
        <w:t>Palacode</w:t>
      </w:r>
      <w:proofErr w:type="spellEnd"/>
      <w:r w:rsidRPr="00E13880">
        <w:rPr>
          <w:sz w:val="24"/>
          <w:szCs w:val="24"/>
          <w:lang w:val="en-IN"/>
        </w:rPr>
        <w:t xml:space="preserve"> exhibits moderate specialization in bitter gourd and snake gourd, reflecting localized adaptability, profitability and farmer’</w:t>
      </w:r>
      <w:r w:rsidR="00CC2301">
        <w:rPr>
          <w:sz w:val="24"/>
          <w:szCs w:val="24"/>
          <w:lang w:val="en-IN"/>
        </w:rPr>
        <w:t>s</w:t>
      </w:r>
      <w:r w:rsidRPr="00E13880">
        <w:rPr>
          <w:sz w:val="24"/>
          <w:szCs w:val="24"/>
          <w:lang w:val="en-IN"/>
        </w:rPr>
        <w:t xml:space="preserve"> crop preferences.</w:t>
      </w:r>
    </w:p>
    <w:p w14:paraId="2E03F043" w14:textId="7617DEE8" w:rsidR="00E14010" w:rsidRPr="005E6188" w:rsidRDefault="00E14010" w:rsidP="00ED0BA6">
      <w:pPr>
        <w:widowControl/>
        <w:autoSpaceDE/>
        <w:autoSpaceDN/>
        <w:spacing w:line="360" w:lineRule="auto"/>
        <w:jc w:val="both"/>
        <w:rPr>
          <w:b/>
          <w:bCs/>
          <w:sz w:val="24"/>
          <w:szCs w:val="24"/>
        </w:rPr>
      </w:pPr>
      <w:r w:rsidRPr="005E6188">
        <w:rPr>
          <w:b/>
          <w:bCs/>
          <w:sz w:val="24"/>
          <w:szCs w:val="24"/>
        </w:rPr>
        <w:t>Shift Share Analysis</w:t>
      </w:r>
      <w:r w:rsidR="00CC2301">
        <w:rPr>
          <w:b/>
          <w:bCs/>
          <w:sz w:val="24"/>
          <w:szCs w:val="24"/>
        </w:rPr>
        <w:t xml:space="preserve"> of </w:t>
      </w:r>
      <w:r w:rsidR="00CC2301" w:rsidRPr="005E6188">
        <w:rPr>
          <w:b/>
          <w:bCs/>
          <w:sz w:val="24"/>
          <w:szCs w:val="24"/>
          <w:lang w:val="en-GB"/>
        </w:rPr>
        <w:t xml:space="preserve">Cucurbit Vegetables </w:t>
      </w:r>
      <w:r w:rsidR="00CC2301" w:rsidRPr="005E6188">
        <w:rPr>
          <w:b/>
          <w:bCs/>
          <w:sz w:val="24"/>
          <w:szCs w:val="24"/>
        </w:rPr>
        <w:t>(2014</w:t>
      </w:r>
      <w:r w:rsidR="00CC2301">
        <w:rPr>
          <w:b/>
          <w:bCs/>
          <w:sz w:val="24"/>
          <w:szCs w:val="24"/>
        </w:rPr>
        <w:t>-</w:t>
      </w:r>
      <w:r w:rsidR="00CC2301" w:rsidRPr="005E6188">
        <w:rPr>
          <w:b/>
          <w:bCs/>
          <w:sz w:val="24"/>
          <w:szCs w:val="24"/>
        </w:rPr>
        <w:t>15 to 2023</w:t>
      </w:r>
      <w:r w:rsidR="00CC2301">
        <w:rPr>
          <w:b/>
          <w:bCs/>
          <w:sz w:val="24"/>
          <w:szCs w:val="24"/>
        </w:rPr>
        <w:t>-</w:t>
      </w:r>
      <w:r w:rsidR="00CC2301" w:rsidRPr="005E6188">
        <w:rPr>
          <w:b/>
          <w:bCs/>
          <w:sz w:val="24"/>
          <w:szCs w:val="24"/>
        </w:rPr>
        <w:t>24).</w:t>
      </w:r>
    </w:p>
    <w:p w14:paraId="6EDBC318" w14:textId="59057934" w:rsidR="00792083" w:rsidRPr="00792083" w:rsidRDefault="00792083" w:rsidP="008E501C">
      <w:pPr>
        <w:spacing w:line="360" w:lineRule="auto"/>
        <w:ind w:firstLine="720"/>
        <w:jc w:val="both"/>
        <w:rPr>
          <w:sz w:val="24"/>
          <w:szCs w:val="24"/>
          <w:lang w:val="en-IN"/>
        </w:rPr>
      </w:pPr>
      <w:r w:rsidRPr="00792083">
        <w:rPr>
          <w:sz w:val="24"/>
          <w:szCs w:val="24"/>
          <w:lang w:val="en-IN"/>
        </w:rPr>
        <w:t xml:space="preserve">The </w:t>
      </w:r>
      <w:r w:rsidR="004B6EB4">
        <w:rPr>
          <w:sz w:val="24"/>
          <w:szCs w:val="24"/>
          <w:lang w:val="en-IN"/>
        </w:rPr>
        <w:t xml:space="preserve">modified </w:t>
      </w:r>
      <w:r w:rsidRPr="00792083">
        <w:rPr>
          <w:sz w:val="24"/>
          <w:szCs w:val="24"/>
          <w:lang w:val="en-IN"/>
        </w:rPr>
        <w:t>shift–share analysis (Dunn, 1960) was applied using area data on cucurbit vegetables for the period 2014</w:t>
      </w:r>
      <w:r w:rsidR="00CC2301">
        <w:rPr>
          <w:sz w:val="24"/>
          <w:szCs w:val="24"/>
          <w:lang w:val="en-IN"/>
        </w:rPr>
        <w:t>-</w:t>
      </w:r>
      <w:r w:rsidRPr="00792083">
        <w:rPr>
          <w:sz w:val="24"/>
          <w:szCs w:val="24"/>
          <w:lang w:val="en-IN"/>
        </w:rPr>
        <w:t>15 to 2023</w:t>
      </w:r>
      <w:r w:rsidR="00CC2301">
        <w:rPr>
          <w:sz w:val="24"/>
          <w:szCs w:val="24"/>
          <w:lang w:val="en-IN"/>
        </w:rPr>
        <w:t>-</w:t>
      </w:r>
      <w:r w:rsidRPr="00792083">
        <w:rPr>
          <w:sz w:val="24"/>
          <w:szCs w:val="24"/>
          <w:lang w:val="en-IN"/>
        </w:rPr>
        <w:t xml:space="preserve">24 to assess structural changes and regional performance. In the first stage, Tamil Nadu was considered the benchmark and Dharmapuri district as the region. In the subsequent stages, Dharmapuri served as the benchmark, while </w:t>
      </w:r>
      <w:proofErr w:type="spellStart"/>
      <w:r w:rsidRPr="00792083">
        <w:rPr>
          <w:sz w:val="24"/>
          <w:szCs w:val="24"/>
          <w:lang w:val="en-IN"/>
        </w:rPr>
        <w:t>Karimangalam</w:t>
      </w:r>
      <w:proofErr w:type="spellEnd"/>
      <w:r w:rsidRPr="00792083">
        <w:rPr>
          <w:sz w:val="24"/>
          <w:szCs w:val="24"/>
          <w:lang w:val="en-IN"/>
        </w:rPr>
        <w:t xml:space="preserve"> and </w:t>
      </w:r>
      <w:proofErr w:type="spellStart"/>
      <w:r w:rsidRPr="00792083">
        <w:rPr>
          <w:sz w:val="24"/>
          <w:szCs w:val="24"/>
          <w:lang w:val="en-IN"/>
        </w:rPr>
        <w:t>Palacode</w:t>
      </w:r>
      <w:proofErr w:type="spellEnd"/>
      <w:r w:rsidRPr="00792083">
        <w:rPr>
          <w:sz w:val="24"/>
          <w:szCs w:val="24"/>
          <w:lang w:val="en-IN"/>
        </w:rPr>
        <w:t xml:space="preserve"> blocks represented the regions. The decomposition captured three effects: the National Growth Effect (NGE), indicating the overall benchmark-level expansion; the Crop Mix Effect (CME), reflecting the influence of crop composition; and the Regional Shift Effect (RSE), which measured the specific regional advantage in cucurbit area expansion.</w:t>
      </w:r>
    </w:p>
    <w:p w14:paraId="087D3B49" w14:textId="766FA5B0" w:rsidR="00792083" w:rsidRDefault="00792083" w:rsidP="00792083">
      <w:pPr>
        <w:spacing w:line="360" w:lineRule="auto"/>
        <w:ind w:firstLine="720"/>
        <w:jc w:val="both"/>
        <w:rPr>
          <w:sz w:val="24"/>
          <w:szCs w:val="24"/>
          <w:lang w:val="en-IN"/>
        </w:rPr>
      </w:pPr>
      <w:r w:rsidRPr="00792083">
        <w:rPr>
          <w:sz w:val="24"/>
          <w:szCs w:val="24"/>
          <w:lang w:val="en-IN"/>
        </w:rPr>
        <w:t>In the Tamil Nadu</w:t>
      </w:r>
      <w:r w:rsidR="00CC2301">
        <w:rPr>
          <w:sz w:val="24"/>
          <w:szCs w:val="24"/>
          <w:lang w:val="en-IN"/>
        </w:rPr>
        <w:t xml:space="preserve"> - </w:t>
      </w:r>
      <w:r w:rsidRPr="00792083">
        <w:rPr>
          <w:sz w:val="24"/>
          <w:szCs w:val="24"/>
          <w:lang w:val="en-IN"/>
        </w:rPr>
        <w:t>Dharmapuri comparison, all cucurbit crops recorded a positive NGE, suggesting that area expansion in Dharmapuri was largely driven by the overall agricultural growth at the state level. The CME was positive for ridge gourd (97.08 ha), bottle gourd (94.56 ha), ash gourd (44.34 ha) and others (2.94 ha), indicating a favourable crop composition. Conversely, bitter gourd (</w:t>
      </w:r>
      <w:r w:rsidR="00CC2301">
        <w:rPr>
          <w:sz w:val="24"/>
          <w:szCs w:val="24"/>
          <w:lang w:val="en-IN"/>
        </w:rPr>
        <w:t>-</w:t>
      </w:r>
      <w:r w:rsidRPr="00792083">
        <w:rPr>
          <w:sz w:val="24"/>
          <w:szCs w:val="24"/>
          <w:lang w:val="en-IN"/>
        </w:rPr>
        <w:t>360.83 ha) and snake gourd (</w:t>
      </w:r>
      <w:r w:rsidR="00CC2301">
        <w:rPr>
          <w:sz w:val="24"/>
          <w:szCs w:val="24"/>
          <w:lang w:val="en-IN"/>
        </w:rPr>
        <w:t>-</w:t>
      </w:r>
      <w:r w:rsidRPr="00792083">
        <w:rPr>
          <w:sz w:val="24"/>
          <w:szCs w:val="24"/>
          <w:lang w:val="en-IN"/>
        </w:rPr>
        <w:t xml:space="preserve">41.18 ha) had negative </w:t>
      </w:r>
      <w:commentRangeStart w:id="7"/>
      <w:r w:rsidRPr="00792083">
        <w:rPr>
          <w:sz w:val="24"/>
          <w:szCs w:val="24"/>
          <w:lang w:val="en-IN"/>
        </w:rPr>
        <w:t>CME</w:t>
      </w:r>
      <w:commentRangeEnd w:id="7"/>
      <w:r w:rsidR="000A4DC7">
        <w:rPr>
          <w:rStyle w:val="CommentReference"/>
        </w:rPr>
        <w:commentReference w:id="7"/>
      </w:r>
      <w:r w:rsidRPr="00792083">
        <w:rPr>
          <w:sz w:val="24"/>
          <w:szCs w:val="24"/>
          <w:lang w:val="en-IN"/>
        </w:rPr>
        <w:t xml:space="preserve"> values, signifying a deviation from Tamil Nadu’s cropping trend, where the state might have diversified toward other cucurbits, while Dharmapuri maintained its focus on these crops. The </w:t>
      </w:r>
      <w:commentRangeStart w:id="8"/>
      <w:r w:rsidRPr="00792083">
        <w:rPr>
          <w:sz w:val="24"/>
          <w:szCs w:val="24"/>
          <w:lang w:val="en-IN"/>
        </w:rPr>
        <w:t>RSE</w:t>
      </w:r>
      <w:commentRangeEnd w:id="8"/>
      <w:r w:rsidR="000A4DC7">
        <w:rPr>
          <w:rStyle w:val="CommentReference"/>
        </w:rPr>
        <w:commentReference w:id="8"/>
      </w:r>
      <w:r w:rsidRPr="00792083">
        <w:rPr>
          <w:sz w:val="24"/>
          <w:szCs w:val="24"/>
          <w:lang w:val="en-IN"/>
        </w:rPr>
        <w:t xml:space="preserve"> was strongly positive for all crops</w:t>
      </w:r>
      <w:r w:rsidR="00CC2301">
        <w:rPr>
          <w:sz w:val="24"/>
          <w:szCs w:val="24"/>
          <w:lang w:val="en-IN"/>
        </w:rPr>
        <w:t xml:space="preserve"> like </w:t>
      </w:r>
      <w:r w:rsidRPr="00792083">
        <w:rPr>
          <w:sz w:val="24"/>
          <w:szCs w:val="24"/>
          <w:lang w:val="en-IN"/>
        </w:rPr>
        <w:t xml:space="preserve">ash gourd (348.14 ha), bottle gourd </w:t>
      </w:r>
      <w:r w:rsidR="00CC2301">
        <w:rPr>
          <w:sz w:val="24"/>
          <w:szCs w:val="24"/>
          <w:lang w:val="en-IN"/>
        </w:rPr>
        <w:t xml:space="preserve">         </w:t>
      </w:r>
      <w:r w:rsidRPr="00792083">
        <w:rPr>
          <w:sz w:val="24"/>
          <w:szCs w:val="24"/>
          <w:lang w:val="en-IN"/>
        </w:rPr>
        <w:t>(300.68 ha), bitter gourd (240.79 ha), ridge gourd (165.48 ha) and snake gourd (351.86 ha)</w:t>
      </w:r>
      <w:r w:rsidR="00CC2301">
        <w:rPr>
          <w:sz w:val="24"/>
          <w:szCs w:val="24"/>
          <w:lang w:val="en-IN"/>
        </w:rPr>
        <w:t xml:space="preserve"> </w:t>
      </w:r>
      <w:r w:rsidRPr="00792083">
        <w:rPr>
          <w:sz w:val="24"/>
          <w:szCs w:val="24"/>
          <w:lang w:val="en-IN"/>
        </w:rPr>
        <w:lastRenderedPageBreak/>
        <w:t>demonstrating Dharmapuri’s strong comparative advantage in cucurbit cultivation.</w:t>
      </w:r>
      <w:r>
        <w:rPr>
          <w:sz w:val="24"/>
          <w:szCs w:val="24"/>
          <w:lang w:val="en-IN"/>
        </w:rPr>
        <w:t xml:space="preserve"> </w:t>
      </w:r>
      <w:r w:rsidRPr="00792083">
        <w:rPr>
          <w:sz w:val="24"/>
          <w:szCs w:val="24"/>
          <w:lang w:val="en-IN"/>
        </w:rPr>
        <w:t xml:space="preserve">In the </w:t>
      </w:r>
      <w:proofErr w:type="spellStart"/>
      <w:r w:rsidRPr="00792083">
        <w:rPr>
          <w:sz w:val="24"/>
          <w:szCs w:val="24"/>
          <w:lang w:val="en-IN"/>
        </w:rPr>
        <w:t>Dharmapuri</w:t>
      </w:r>
      <w:proofErr w:type="spellEnd"/>
      <w:r w:rsidR="00CC2301">
        <w:rPr>
          <w:sz w:val="24"/>
          <w:szCs w:val="24"/>
          <w:lang w:val="en-IN"/>
        </w:rPr>
        <w:t xml:space="preserve"> - </w:t>
      </w:r>
      <w:proofErr w:type="spellStart"/>
      <w:r w:rsidRPr="00792083">
        <w:rPr>
          <w:sz w:val="24"/>
          <w:szCs w:val="24"/>
          <w:lang w:val="en-IN"/>
        </w:rPr>
        <w:t>Karimangalam</w:t>
      </w:r>
      <w:proofErr w:type="spellEnd"/>
      <w:r w:rsidRPr="00792083">
        <w:rPr>
          <w:sz w:val="24"/>
          <w:szCs w:val="24"/>
          <w:lang w:val="en-IN"/>
        </w:rPr>
        <w:t xml:space="preserve"> comparison, all crops showed positive NGE, reflecting Dharmapuri’s overall area expansion. The CME was favourable for ash gourd (14.75 ha</w:t>
      </w:r>
      <w:r w:rsidR="00CC2301" w:rsidRPr="00792083">
        <w:rPr>
          <w:sz w:val="24"/>
          <w:szCs w:val="24"/>
          <w:lang w:val="en-IN"/>
        </w:rPr>
        <w:t xml:space="preserve">), </w:t>
      </w:r>
      <w:r w:rsidR="00CC2301">
        <w:rPr>
          <w:sz w:val="24"/>
          <w:szCs w:val="24"/>
          <w:lang w:val="en-IN"/>
        </w:rPr>
        <w:t>bottle</w:t>
      </w:r>
      <w:r w:rsidRPr="00792083">
        <w:rPr>
          <w:sz w:val="24"/>
          <w:szCs w:val="24"/>
          <w:lang w:val="en-IN"/>
        </w:rPr>
        <w:t xml:space="preserve"> gourd (99.84 ha), snake gourd (9.29 ha) and others (3.60 ha), whereas bitter gourd</w:t>
      </w:r>
      <w:r w:rsidR="00CC2301">
        <w:rPr>
          <w:sz w:val="24"/>
          <w:szCs w:val="24"/>
          <w:lang w:val="en-IN"/>
        </w:rPr>
        <w:t xml:space="preserve"> (-</w:t>
      </w:r>
      <w:r w:rsidRPr="00792083">
        <w:rPr>
          <w:sz w:val="24"/>
          <w:szCs w:val="24"/>
          <w:lang w:val="en-IN"/>
        </w:rPr>
        <w:t>137.69 ha) and ridge gourd (</w:t>
      </w:r>
      <w:r w:rsidR="00CC2301">
        <w:rPr>
          <w:sz w:val="24"/>
          <w:szCs w:val="24"/>
          <w:lang w:val="en-IN"/>
        </w:rPr>
        <w:t>-</w:t>
      </w:r>
      <w:r w:rsidRPr="00792083">
        <w:rPr>
          <w:sz w:val="24"/>
          <w:szCs w:val="24"/>
          <w:lang w:val="en-IN"/>
        </w:rPr>
        <w:t>30.78 ha) had negative CME, implying deviation from the district’s cropping structure. The RSE was positive for bottle gourd (87.57 ha) and snake gourd (69.48 ha), highlighting local competitiveness, while other crops recorded marginal declines.</w:t>
      </w:r>
      <w:r>
        <w:rPr>
          <w:sz w:val="24"/>
          <w:szCs w:val="24"/>
          <w:lang w:val="en-IN"/>
        </w:rPr>
        <w:t xml:space="preserve"> </w:t>
      </w:r>
      <w:r w:rsidRPr="00792083">
        <w:rPr>
          <w:sz w:val="24"/>
          <w:szCs w:val="24"/>
          <w:lang w:val="en-IN"/>
        </w:rPr>
        <w:t xml:space="preserve">Similarly, in the </w:t>
      </w:r>
      <w:proofErr w:type="spellStart"/>
      <w:r w:rsidRPr="00792083">
        <w:rPr>
          <w:sz w:val="24"/>
          <w:szCs w:val="24"/>
          <w:lang w:val="en-IN"/>
        </w:rPr>
        <w:t>Dharmapuri</w:t>
      </w:r>
      <w:proofErr w:type="spellEnd"/>
      <w:r w:rsidR="00CC2301">
        <w:rPr>
          <w:sz w:val="24"/>
          <w:szCs w:val="24"/>
          <w:lang w:val="en-IN"/>
        </w:rPr>
        <w:t xml:space="preserve"> - </w:t>
      </w:r>
      <w:proofErr w:type="spellStart"/>
      <w:r w:rsidRPr="00792083">
        <w:rPr>
          <w:sz w:val="24"/>
          <w:szCs w:val="24"/>
          <w:lang w:val="en-IN"/>
        </w:rPr>
        <w:t>Palacode</w:t>
      </w:r>
      <w:proofErr w:type="spellEnd"/>
      <w:r w:rsidRPr="00792083">
        <w:rPr>
          <w:sz w:val="24"/>
          <w:szCs w:val="24"/>
          <w:lang w:val="en-IN"/>
        </w:rPr>
        <w:t xml:space="preserve"> comparison, all cucurbit crops had positive NGE, indicating area expansion supported by district-level growth. The CME was positive for</w:t>
      </w:r>
      <w:r w:rsidR="00CC2301">
        <w:rPr>
          <w:sz w:val="24"/>
          <w:szCs w:val="24"/>
          <w:lang w:val="en-IN"/>
        </w:rPr>
        <w:t xml:space="preserve"> </w:t>
      </w:r>
      <w:r w:rsidRPr="00792083">
        <w:rPr>
          <w:sz w:val="24"/>
          <w:szCs w:val="24"/>
          <w:lang w:val="en-IN"/>
        </w:rPr>
        <w:t xml:space="preserve">ash gourd (14.75 ha), bottle gourd (133.12 ha), snake gourd (10.40 ha) and others (3.60 ha), while bitter gourd </w:t>
      </w:r>
      <w:r w:rsidR="00CC2301">
        <w:rPr>
          <w:sz w:val="24"/>
          <w:szCs w:val="24"/>
          <w:lang w:val="en-IN"/>
        </w:rPr>
        <w:t xml:space="preserve">          </w:t>
      </w:r>
      <w:proofErr w:type="gramStart"/>
      <w:r w:rsidR="00CC2301">
        <w:rPr>
          <w:sz w:val="24"/>
          <w:szCs w:val="24"/>
          <w:lang w:val="en-IN"/>
        </w:rPr>
        <w:t xml:space="preserve">   </w:t>
      </w:r>
      <w:r w:rsidRPr="00792083">
        <w:rPr>
          <w:sz w:val="24"/>
          <w:szCs w:val="24"/>
          <w:lang w:val="en-IN"/>
        </w:rPr>
        <w:t>(</w:t>
      </w:r>
      <w:proofErr w:type="gramEnd"/>
      <w:r w:rsidR="00CC2301">
        <w:rPr>
          <w:sz w:val="24"/>
          <w:szCs w:val="24"/>
          <w:lang w:val="en-IN"/>
        </w:rPr>
        <w:t>-</w:t>
      </w:r>
      <w:r w:rsidRPr="00792083">
        <w:rPr>
          <w:sz w:val="24"/>
          <w:szCs w:val="24"/>
          <w:lang w:val="en-IN"/>
        </w:rPr>
        <w:t>250.88 ha) and ridge gourd (</w:t>
      </w:r>
      <w:r w:rsidR="00CC2301">
        <w:rPr>
          <w:sz w:val="24"/>
          <w:szCs w:val="24"/>
          <w:lang w:val="en-IN"/>
        </w:rPr>
        <w:t>-</w:t>
      </w:r>
      <w:r w:rsidRPr="00792083">
        <w:rPr>
          <w:sz w:val="24"/>
          <w:szCs w:val="24"/>
          <w:lang w:val="en-IN"/>
        </w:rPr>
        <w:t xml:space="preserve">49.97 ha) recorded negative CME. The RSE was highly positive for ash gourd (97.12 ha), bitter gourd (89.31 ha) and others (89.27 ha), suggesting localized </w:t>
      </w:r>
    </w:p>
    <w:p w14:paraId="57D1AB37" w14:textId="77777777" w:rsidR="00ED0BA6" w:rsidRDefault="00ED0BA6" w:rsidP="00792083">
      <w:pPr>
        <w:spacing w:line="360" w:lineRule="auto"/>
        <w:ind w:firstLine="720"/>
        <w:jc w:val="both"/>
        <w:rPr>
          <w:sz w:val="24"/>
          <w:szCs w:val="24"/>
          <w:lang w:val="en-IN"/>
        </w:rPr>
        <w:sectPr w:rsidR="00ED0BA6" w:rsidSect="008E501C">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docGrid w:linePitch="360"/>
        </w:sectPr>
      </w:pPr>
    </w:p>
    <w:p w14:paraId="578F2974" w14:textId="77777777" w:rsidR="00772ED9" w:rsidRPr="00772ED9" w:rsidRDefault="00772ED9" w:rsidP="00772ED9">
      <w:pPr>
        <w:widowControl/>
        <w:autoSpaceDE/>
        <w:autoSpaceDN/>
        <w:spacing w:after="160" w:line="360" w:lineRule="auto"/>
        <w:jc w:val="center"/>
        <w:rPr>
          <w:rFonts w:eastAsiaTheme="minorHAnsi"/>
          <w:b/>
          <w:bCs/>
          <w:kern w:val="2"/>
          <w:sz w:val="24"/>
          <w:szCs w:val="24"/>
          <w:lang w:val="en-IN"/>
          <w14:ligatures w14:val="standardContextual"/>
        </w:rPr>
      </w:pPr>
      <w:r w:rsidRPr="00772ED9">
        <w:rPr>
          <w:rFonts w:eastAsiaTheme="minorHAnsi"/>
          <w:b/>
          <w:bCs/>
          <w:kern w:val="2"/>
          <w:sz w:val="24"/>
          <w:szCs w:val="24"/>
          <w:lang w:val="en-IN"/>
          <w14:ligatures w14:val="standardContextual"/>
        </w:rPr>
        <w:lastRenderedPageBreak/>
        <w:t>Table 3. Shift share decomposition of cucurbit vegetables, (2014-15 to 2023-24)</w:t>
      </w:r>
    </w:p>
    <w:tbl>
      <w:tblPr>
        <w:tblStyle w:val="TableGrid"/>
        <w:tblW w:w="5000" w:type="pct"/>
        <w:tblLook w:val="04A0" w:firstRow="1" w:lastRow="0" w:firstColumn="1" w:lastColumn="0" w:noHBand="0" w:noVBand="1"/>
      </w:tblPr>
      <w:tblGrid>
        <w:gridCol w:w="1701"/>
        <w:gridCol w:w="610"/>
        <w:gridCol w:w="733"/>
        <w:gridCol w:w="921"/>
        <w:gridCol w:w="1004"/>
        <w:gridCol w:w="923"/>
        <w:gridCol w:w="603"/>
        <w:gridCol w:w="614"/>
        <w:gridCol w:w="921"/>
        <w:gridCol w:w="1004"/>
        <w:gridCol w:w="882"/>
        <w:gridCol w:w="614"/>
        <w:gridCol w:w="614"/>
        <w:gridCol w:w="921"/>
        <w:gridCol w:w="1004"/>
        <w:gridCol w:w="879"/>
      </w:tblGrid>
      <w:tr w:rsidR="00772ED9" w:rsidRPr="00772ED9" w14:paraId="611AF81C" w14:textId="77777777" w:rsidTr="005E07E6">
        <w:trPr>
          <w:trHeight w:val="316"/>
        </w:trPr>
        <w:tc>
          <w:tcPr>
            <w:tcW w:w="610" w:type="pct"/>
            <w:vAlign w:val="center"/>
          </w:tcPr>
          <w:p w14:paraId="2A361C43"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kern w:val="2"/>
                <w:sz w:val="24"/>
                <w:szCs w:val="24"/>
                <w:lang w:val="en-IN"/>
                <w14:ligatures w14:val="standardContextual"/>
              </w:rPr>
              <w:t>Particulars</w:t>
            </w:r>
          </w:p>
        </w:tc>
        <w:tc>
          <w:tcPr>
            <w:tcW w:w="1503" w:type="pct"/>
            <w:gridSpan w:val="5"/>
            <w:vAlign w:val="center"/>
          </w:tcPr>
          <w:p w14:paraId="78E6F70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b/>
                <w:bCs/>
                <w:kern w:val="2"/>
                <w:sz w:val="24"/>
                <w:szCs w:val="24"/>
                <w:lang w:val="en-IN"/>
                <w14:ligatures w14:val="standardContextual"/>
              </w:rPr>
              <w:t>TN vs. DPI</w:t>
            </w:r>
          </w:p>
        </w:tc>
        <w:tc>
          <w:tcPr>
            <w:tcW w:w="1442" w:type="pct"/>
            <w:gridSpan w:val="5"/>
          </w:tcPr>
          <w:p w14:paraId="4F9EB1D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b/>
                <w:bCs/>
                <w:kern w:val="2"/>
                <w:sz w:val="24"/>
                <w:szCs w:val="24"/>
                <w:lang w:val="en-IN"/>
                <w14:ligatures w14:val="standardContextual"/>
              </w:rPr>
              <w:t>DPI vs. KAR</w:t>
            </w:r>
          </w:p>
        </w:tc>
        <w:tc>
          <w:tcPr>
            <w:tcW w:w="1445" w:type="pct"/>
            <w:gridSpan w:val="5"/>
          </w:tcPr>
          <w:p w14:paraId="16193BE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b/>
                <w:bCs/>
                <w:kern w:val="2"/>
                <w:sz w:val="24"/>
                <w:szCs w:val="24"/>
                <w:lang w:val="en-IN"/>
                <w14:ligatures w14:val="standardContextual"/>
              </w:rPr>
              <w:t>DPI vs. PAL</w:t>
            </w:r>
          </w:p>
        </w:tc>
      </w:tr>
      <w:tr w:rsidR="00772ED9" w:rsidRPr="00772ED9" w14:paraId="6A9895A8" w14:textId="77777777" w:rsidTr="005E07E6">
        <w:trPr>
          <w:trHeight w:val="316"/>
        </w:trPr>
        <w:tc>
          <w:tcPr>
            <w:tcW w:w="610" w:type="pct"/>
            <w:vAlign w:val="center"/>
          </w:tcPr>
          <w:p w14:paraId="62AD2E0D"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Crop</w:t>
            </w:r>
          </w:p>
        </w:tc>
        <w:tc>
          <w:tcPr>
            <w:tcW w:w="219" w:type="pct"/>
            <w:vAlign w:val="center"/>
          </w:tcPr>
          <w:p w14:paraId="28CC876F" w14:textId="77777777" w:rsidR="00772ED9" w:rsidRPr="00772ED9" w:rsidRDefault="00F47B70"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0</m:t>
                    </m:r>
                  </m:sub>
                </m:sSub>
              </m:oMath>
            </m:oMathPara>
          </w:p>
        </w:tc>
        <w:tc>
          <w:tcPr>
            <w:tcW w:w="263" w:type="pct"/>
            <w:vAlign w:val="center"/>
          </w:tcPr>
          <w:p w14:paraId="49747794" w14:textId="77777777" w:rsidR="00772ED9" w:rsidRPr="00772ED9" w:rsidRDefault="00F47B70"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i</m:t>
                    </m:r>
                  </m:sub>
                </m:sSub>
              </m:oMath>
            </m:oMathPara>
          </w:p>
        </w:tc>
        <w:tc>
          <w:tcPr>
            <w:tcW w:w="330" w:type="pct"/>
            <w:vAlign w:val="center"/>
          </w:tcPr>
          <w:p w14:paraId="141C42D5"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NGE</w:t>
            </w:r>
          </w:p>
        </w:tc>
        <w:tc>
          <w:tcPr>
            <w:tcW w:w="360" w:type="pct"/>
            <w:vAlign w:val="center"/>
          </w:tcPr>
          <w:p w14:paraId="1B3CA598"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CME</w:t>
            </w:r>
          </w:p>
        </w:tc>
        <w:tc>
          <w:tcPr>
            <w:tcW w:w="330" w:type="pct"/>
            <w:vAlign w:val="center"/>
          </w:tcPr>
          <w:p w14:paraId="00A98540"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RSE</w:t>
            </w:r>
          </w:p>
        </w:tc>
        <w:tc>
          <w:tcPr>
            <w:tcW w:w="216" w:type="pct"/>
            <w:vAlign w:val="center"/>
          </w:tcPr>
          <w:p w14:paraId="0269913D" w14:textId="77777777" w:rsidR="00772ED9" w:rsidRPr="00772ED9" w:rsidRDefault="00F47B70"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0</m:t>
                    </m:r>
                  </m:sub>
                </m:sSub>
              </m:oMath>
            </m:oMathPara>
          </w:p>
        </w:tc>
        <w:tc>
          <w:tcPr>
            <w:tcW w:w="220" w:type="pct"/>
            <w:vAlign w:val="center"/>
          </w:tcPr>
          <w:p w14:paraId="26F5925A" w14:textId="77777777" w:rsidR="00772ED9" w:rsidRPr="00772ED9" w:rsidRDefault="00F47B70"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i</m:t>
                    </m:r>
                  </m:sub>
                </m:sSub>
              </m:oMath>
            </m:oMathPara>
          </w:p>
        </w:tc>
        <w:tc>
          <w:tcPr>
            <w:tcW w:w="330" w:type="pct"/>
            <w:vAlign w:val="center"/>
          </w:tcPr>
          <w:p w14:paraId="35FC46B8"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NGE</w:t>
            </w:r>
          </w:p>
        </w:tc>
        <w:tc>
          <w:tcPr>
            <w:tcW w:w="360" w:type="pct"/>
            <w:vAlign w:val="center"/>
          </w:tcPr>
          <w:p w14:paraId="2A31DEFE"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CME</w:t>
            </w:r>
          </w:p>
        </w:tc>
        <w:tc>
          <w:tcPr>
            <w:tcW w:w="316" w:type="pct"/>
            <w:vAlign w:val="center"/>
          </w:tcPr>
          <w:p w14:paraId="564485D9"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RSE</w:t>
            </w:r>
          </w:p>
        </w:tc>
        <w:tc>
          <w:tcPr>
            <w:tcW w:w="220" w:type="pct"/>
            <w:vAlign w:val="center"/>
          </w:tcPr>
          <w:p w14:paraId="1DCFABED" w14:textId="77777777" w:rsidR="00772ED9" w:rsidRPr="00772ED9" w:rsidRDefault="00F47B70"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0</m:t>
                    </m:r>
                  </m:sub>
                </m:sSub>
              </m:oMath>
            </m:oMathPara>
          </w:p>
        </w:tc>
        <w:tc>
          <w:tcPr>
            <w:tcW w:w="220" w:type="pct"/>
            <w:vAlign w:val="center"/>
          </w:tcPr>
          <w:p w14:paraId="4303719F" w14:textId="77777777" w:rsidR="00772ED9" w:rsidRPr="00772ED9" w:rsidRDefault="00F47B70" w:rsidP="00772ED9">
            <w:pPr>
              <w:widowControl/>
              <w:autoSpaceDE/>
              <w:autoSpaceDN/>
              <w:spacing w:line="276" w:lineRule="auto"/>
              <w:jc w:val="center"/>
              <w:rPr>
                <w:rFonts w:eastAsiaTheme="minorHAnsi"/>
                <w:b/>
                <w:bCs/>
                <w:color w:val="000000"/>
                <w:kern w:val="2"/>
                <w:sz w:val="24"/>
                <w:szCs w:val="24"/>
                <w:lang w:val="en-IN"/>
                <w14:ligatures w14:val="standardContextual"/>
              </w:rPr>
            </w:pPr>
            <m:oMathPara>
              <m:oMath>
                <m:sSub>
                  <m:sSubPr>
                    <m:ctrlPr>
                      <w:rPr>
                        <w:rFonts w:ascii="Cambria Math" w:eastAsiaTheme="minorHAnsi" w:hAnsi="Cambria Math"/>
                        <w:b/>
                        <w:bCs/>
                        <w:kern w:val="2"/>
                        <w:sz w:val="24"/>
                        <w:szCs w:val="24"/>
                        <w:lang w:val="en-IN"/>
                        <w14:ligatures w14:val="standardContextual"/>
                      </w:rPr>
                    </m:ctrlPr>
                  </m:sSubPr>
                  <m:e>
                    <m:r>
                      <m:rPr>
                        <m:sty m:val="b"/>
                      </m:rPr>
                      <w:rPr>
                        <w:rFonts w:ascii="Cambria Math" w:eastAsiaTheme="minorHAnsi" w:hAnsi="Cambria Math"/>
                        <w:kern w:val="2"/>
                        <w:sz w:val="24"/>
                        <w:szCs w:val="24"/>
                        <w:lang w:val="en-IN"/>
                        <w14:ligatures w14:val="standardContextual"/>
                      </w:rPr>
                      <m:t>A</m:t>
                    </m:r>
                  </m:e>
                  <m:sub>
                    <m:r>
                      <m:rPr>
                        <m:sty m:val="b"/>
                      </m:rPr>
                      <w:rPr>
                        <w:rFonts w:ascii="Cambria Math" w:eastAsiaTheme="minorHAnsi" w:hAnsi="Cambria Math"/>
                        <w:kern w:val="2"/>
                        <w:sz w:val="24"/>
                        <w:szCs w:val="24"/>
                        <w:lang w:val="en-IN"/>
                        <w14:ligatures w14:val="standardContextual"/>
                      </w:rPr>
                      <m:t>i</m:t>
                    </m:r>
                  </m:sub>
                </m:sSub>
              </m:oMath>
            </m:oMathPara>
          </w:p>
        </w:tc>
        <w:tc>
          <w:tcPr>
            <w:tcW w:w="330" w:type="pct"/>
            <w:vAlign w:val="center"/>
          </w:tcPr>
          <w:p w14:paraId="762AC862"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NGE</w:t>
            </w:r>
          </w:p>
        </w:tc>
        <w:tc>
          <w:tcPr>
            <w:tcW w:w="360" w:type="pct"/>
            <w:vAlign w:val="center"/>
          </w:tcPr>
          <w:p w14:paraId="62565FD2"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CME</w:t>
            </w:r>
          </w:p>
        </w:tc>
        <w:tc>
          <w:tcPr>
            <w:tcW w:w="316" w:type="pct"/>
            <w:vAlign w:val="center"/>
          </w:tcPr>
          <w:p w14:paraId="26A6DDD2" w14:textId="77777777" w:rsidR="00772ED9" w:rsidRPr="00772ED9" w:rsidRDefault="00772ED9" w:rsidP="00772ED9">
            <w:pPr>
              <w:widowControl/>
              <w:autoSpaceDE/>
              <w:autoSpaceDN/>
              <w:spacing w:line="276" w:lineRule="auto"/>
              <w:jc w:val="center"/>
              <w:rPr>
                <w:rFonts w:eastAsiaTheme="minorHAnsi"/>
                <w:b/>
                <w:bCs/>
                <w:color w:val="000000"/>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RSE</w:t>
            </w:r>
          </w:p>
        </w:tc>
      </w:tr>
      <w:tr w:rsidR="00772ED9" w:rsidRPr="00772ED9" w14:paraId="74015229" w14:textId="77777777" w:rsidTr="005E07E6">
        <w:trPr>
          <w:trHeight w:val="303"/>
        </w:trPr>
        <w:tc>
          <w:tcPr>
            <w:tcW w:w="610" w:type="pct"/>
            <w:vAlign w:val="center"/>
          </w:tcPr>
          <w:p w14:paraId="7AB23C19"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Ash gourd</w:t>
            </w:r>
          </w:p>
        </w:tc>
        <w:tc>
          <w:tcPr>
            <w:tcW w:w="219" w:type="pct"/>
            <w:vAlign w:val="bottom"/>
          </w:tcPr>
          <w:p w14:paraId="22B884C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25</w:t>
            </w:r>
          </w:p>
        </w:tc>
        <w:tc>
          <w:tcPr>
            <w:tcW w:w="263" w:type="pct"/>
            <w:vAlign w:val="bottom"/>
          </w:tcPr>
          <w:p w14:paraId="1BCA2C7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447</w:t>
            </w:r>
          </w:p>
        </w:tc>
        <w:tc>
          <w:tcPr>
            <w:tcW w:w="330" w:type="pct"/>
            <w:vAlign w:val="bottom"/>
          </w:tcPr>
          <w:p w14:paraId="3617D1B4"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29.52</w:t>
            </w:r>
          </w:p>
        </w:tc>
        <w:tc>
          <w:tcPr>
            <w:tcW w:w="360" w:type="pct"/>
            <w:vAlign w:val="bottom"/>
          </w:tcPr>
          <w:p w14:paraId="4AD4BA6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44.34</w:t>
            </w:r>
          </w:p>
        </w:tc>
        <w:tc>
          <w:tcPr>
            <w:tcW w:w="330" w:type="pct"/>
            <w:vAlign w:val="bottom"/>
          </w:tcPr>
          <w:p w14:paraId="5DFF333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348.14</w:t>
            </w:r>
          </w:p>
        </w:tc>
        <w:tc>
          <w:tcPr>
            <w:tcW w:w="216" w:type="pct"/>
            <w:vAlign w:val="bottom"/>
          </w:tcPr>
          <w:p w14:paraId="225BC6B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220" w:type="pct"/>
            <w:vAlign w:val="bottom"/>
          </w:tcPr>
          <w:p w14:paraId="35E3A4F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w:t>
            </w:r>
          </w:p>
        </w:tc>
        <w:tc>
          <w:tcPr>
            <w:tcW w:w="330" w:type="pct"/>
            <w:vAlign w:val="bottom"/>
          </w:tcPr>
          <w:p w14:paraId="793B5D1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2.13</w:t>
            </w:r>
          </w:p>
        </w:tc>
        <w:tc>
          <w:tcPr>
            <w:tcW w:w="360" w:type="pct"/>
            <w:vAlign w:val="bottom"/>
          </w:tcPr>
          <w:p w14:paraId="756EDCE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14.75</w:t>
            </w:r>
          </w:p>
        </w:tc>
        <w:tc>
          <w:tcPr>
            <w:tcW w:w="316" w:type="pct"/>
            <w:vAlign w:val="bottom"/>
          </w:tcPr>
          <w:p w14:paraId="391E31F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-14.88</w:t>
            </w:r>
          </w:p>
        </w:tc>
        <w:tc>
          <w:tcPr>
            <w:tcW w:w="220" w:type="pct"/>
            <w:vAlign w:val="bottom"/>
          </w:tcPr>
          <w:p w14:paraId="566F775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220" w:type="pct"/>
            <w:vAlign w:val="bottom"/>
          </w:tcPr>
          <w:p w14:paraId="0D414D2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115</w:t>
            </w:r>
          </w:p>
        </w:tc>
        <w:tc>
          <w:tcPr>
            <w:tcW w:w="330" w:type="pct"/>
            <w:vAlign w:val="bottom"/>
          </w:tcPr>
          <w:p w14:paraId="1D3A564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2.13</w:t>
            </w:r>
          </w:p>
        </w:tc>
        <w:tc>
          <w:tcPr>
            <w:tcW w:w="360" w:type="pct"/>
            <w:vAlign w:val="bottom"/>
          </w:tcPr>
          <w:p w14:paraId="620D55C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14.75</w:t>
            </w:r>
          </w:p>
        </w:tc>
        <w:tc>
          <w:tcPr>
            <w:tcW w:w="316" w:type="pct"/>
            <w:vAlign w:val="bottom"/>
          </w:tcPr>
          <w:p w14:paraId="349FDD8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97.12</w:t>
            </w:r>
          </w:p>
        </w:tc>
      </w:tr>
      <w:tr w:rsidR="00772ED9" w:rsidRPr="00772ED9" w14:paraId="3E8AFC82" w14:textId="77777777" w:rsidTr="005E07E6">
        <w:trPr>
          <w:trHeight w:val="316"/>
        </w:trPr>
        <w:tc>
          <w:tcPr>
            <w:tcW w:w="610" w:type="pct"/>
            <w:vAlign w:val="center"/>
          </w:tcPr>
          <w:p w14:paraId="71B9E6DA"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Bottle gourd</w:t>
            </w:r>
          </w:p>
        </w:tc>
        <w:tc>
          <w:tcPr>
            <w:tcW w:w="219" w:type="pct"/>
            <w:vAlign w:val="bottom"/>
          </w:tcPr>
          <w:p w14:paraId="03DA320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85</w:t>
            </w:r>
          </w:p>
        </w:tc>
        <w:tc>
          <w:tcPr>
            <w:tcW w:w="263" w:type="pct"/>
            <w:vAlign w:val="bottom"/>
          </w:tcPr>
          <w:p w14:paraId="64BF1C79"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581</w:t>
            </w:r>
          </w:p>
        </w:tc>
        <w:tc>
          <w:tcPr>
            <w:tcW w:w="330" w:type="pct"/>
            <w:vAlign w:val="bottom"/>
          </w:tcPr>
          <w:p w14:paraId="12B4428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100.36</w:t>
            </w:r>
          </w:p>
        </w:tc>
        <w:tc>
          <w:tcPr>
            <w:tcW w:w="360" w:type="pct"/>
            <w:vAlign w:val="bottom"/>
          </w:tcPr>
          <w:p w14:paraId="2869C09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94.56</w:t>
            </w:r>
          </w:p>
        </w:tc>
        <w:tc>
          <w:tcPr>
            <w:tcW w:w="330" w:type="pct"/>
            <w:vAlign w:val="bottom"/>
          </w:tcPr>
          <w:p w14:paraId="7C0F130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300.68</w:t>
            </w:r>
          </w:p>
        </w:tc>
        <w:tc>
          <w:tcPr>
            <w:tcW w:w="216" w:type="pct"/>
            <w:vAlign w:val="bottom"/>
          </w:tcPr>
          <w:p w14:paraId="69593AF8"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27</w:t>
            </w:r>
          </w:p>
        </w:tc>
        <w:tc>
          <w:tcPr>
            <w:tcW w:w="220" w:type="pct"/>
            <w:vAlign w:val="bottom"/>
          </w:tcPr>
          <w:p w14:paraId="1F38370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272</w:t>
            </w:r>
          </w:p>
        </w:tc>
        <w:tc>
          <w:tcPr>
            <w:tcW w:w="330" w:type="pct"/>
            <w:vAlign w:val="bottom"/>
          </w:tcPr>
          <w:p w14:paraId="4AA4CA5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57.59</w:t>
            </w:r>
          </w:p>
        </w:tc>
        <w:tc>
          <w:tcPr>
            <w:tcW w:w="360" w:type="pct"/>
            <w:vAlign w:val="bottom"/>
          </w:tcPr>
          <w:p w14:paraId="2EF30C3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99.84</w:t>
            </w:r>
          </w:p>
        </w:tc>
        <w:tc>
          <w:tcPr>
            <w:tcW w:w="316" w:type="pct"/>
            <w:vAlign w:val="bottom"/>
          </w:tcPr>
          <w:p w14:paraId="3D27DAE4"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87.57</w:t>
            </w:r>
          </w:p>
        </w:tc>
        <w:tc>
          <w:tcPr>
            <w:tcW w:w="220" w:type="pct"/>
            <w:vAlign w:val="bottom"/>
          </w:tcPr>
          <w:p w14:paraId="3D0538E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w:t>
            </w:r>
          </w:p>
        </w:tc>
        <w:tc>
          <w:tcPr>
            <w:tcW w:w="220" w:type="pct"/>
            <w:vAlign w:val="bottom"/>
          </w:tcPr>
          <w:p w14:paraId="0C654BE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212</w:t>
            </w:r>
          </w:p>
        </w:tc>
        <w:tc>
          <w:tcPr>
            <w:tcW w:w="330" w:type="pct"/>
            <w:vAlign w:val="bottom"/>
          </w:tcPr>
          <w:p w14:paraId="251E20D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76.78</w:t>
            </w:r>
          </w:p>
        </w:tc>
        <w:tc>
          <w:tcPr>
            <w:tcW w:w="360" w:type="pct"/>
            <w:vAlign w:val="bottom"/>
          </w:tcPr>
          <w:p w14:paraId="0FDF4B07"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133.12</w:t>
            </w:r>
          </w:p>
        </w:tc>
        <w:tc>
          <w:tcPr>
            <w:tcW w:w="316" w:type="pct"/>
            <w:vAlign w:val="bottom"/>
          </w:tcPr>
          <w:p w14:paraId="044DFA6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-33.90</w:t>
            </w:r>
          </w:p>
        </w:tc>
      </w:tr>
      <w:tr w:rsidR="00772ED9" w:rsidRPr="00772ED9" w14:paraId="3DFE9DE3" w14:textId="77777777" w:rsidTr="005E07E6">
        <w:trPr>
          <w:trHeight w:val="316"/>
        </w:trPr>
        <w:tc>
          <w:tcPr>
            <w:tcW w:w="610" w:type="pct"/>
            <w:vAlign w:val="center"/>
          </w:tcPr>
          <w:p w14:paraId="7505D393"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Bitter gourd</w:t>
            </w:r>
          </w:p>
        </w:tc>
        <w:tc>
          <w:tcPr>
            <w:tcW w:w="219" w:type="pct"/>
            <w:vAlign w:val="bottom"/>
          </w:tcPr>
          <w:p w14:paraId="7B92B21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559</w:t>
            </w:r>
          </w:p>
        </w:tc>
        <w:tc>
          <w:tcPr>
            <w:tcW w:w="263" w:type="pct"/>
            <w:vAlign w:val="bottom"/>
          </w:tcPr>
          <w:p w14:paraId="45C85C0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1099</w:t>
            </w:r>
          </w:p>
        </w:tc>
        <w:tc>
          <w:tcPr>
            <w:tcW w:w="330" w:type="pct"/>
            <w:vAlign w:val="bottom"/>
          </w:tcPr>
          <w:p w14:paraId="3280444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660.04</w:t>
            </w:r>
          </w:p>
        </w:tc>
        <w:tc>
          <w:tcPr>
            <w:tcW w:w="360" w:type="pct"/>
            <w:vAlign w:val="bottom"/>
          </w:tcPr>
          <w:p w14:paraId="7DC729C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-360.83</w:t>
            </w:r>
          </w:p>
        </w:tc>
        <w:tc>
          <w:tcPr>
            <w:tcW w:w="330" w:type="pct"/>
            <w:vAlign w:val="bottom"/>
          </w:tcPr>
          <w:p w14:paraId="5C9BCCE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240.79</w:t>
            </w:r>
          </w:p>
        </w:tc>
        <w:tc>
          <w:tcPr>
            <w:tcW w:w="216" w:type="pct"/>
            <w:vAlign w:val="bottom"/>
          </w:tcPr>
          <w:p w14:paraId="600FB61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118</w:t>
            </w:r>
          </w:p>
        </w:tc>
        <w:tc>
          <w:tcPr>
            <w:tcW w:w="220" w:type="pct"/>
            <w:vAlign w:val="bottom"/>
          </w:tcPr>
          <w:p w14:paraId="55CA89B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202</w:t>
            </w:r>
          </w:p>
        </w:tc>
        <w:tc>
          <w:tcPr>
            <w:tcW w:w="330" w:type="pct"/>
            <w:vAlign w:val="bottom"/>
          </w:tcPr>
          <w:p w14:paraId="5611419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251.68</w:t>
            </w:r>
          </w:p>
        </w:tc>
        <w:tc>
          <w:tcPr>
            <w:tcW w:w="360" w:type="pct"/>
            <w:vAlign w:val="bottom"/>
          </w:tcPr>
          <w:p w14:paraId="6F0EF69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-137.69</w:t>
            </w:r>
          </w:p>
        </w:tc>
        <w:tc>
          <w:tcPr>
            <w:tcW w:w="316" w:type="pct"/>
            <w:vAlign w:val="bottom"/>
          </w:tcPr>
          <w:p w14:paraId="2C177898"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-29.99</w:t>
            </w:r>
          </w:p>
        </w:tc>
        <w:tc>
          <w:tcPr>
            <w:tcW w:w="220" w:type="pct"/>
            <w:vAlign w:val="bottom"/>
          </w:tcPr>
          <w:p w14:paraId="1B7A226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215</w:t>
            </w:r>
          </w:p>
        </w:tc>
        <w:tc>
          <w:tcPr>
            <w:tcW w:w="220" w:type="pct"/>
            <w:vAlign w:val="bottom"/>
          </w:tcPr>
          <w:p w14:paraId="3787AD2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512</w:t>
            </w:r>
          </w:p>
        </w:tc>
        <w:tc>
          <w:tcPr>
            <w:tcW w:w="330" w:type="pct"/>
            <w:vAlign w:val="bottom"/>
          </w:tcPr>
          <w:p w14:paraId="6B0B81A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458.58</w:t>
            </w:r>
          </w:p>
        </w:tc>
        <w:tc>
          <w:tcPr>
            <w:tcW w:w="360" w:type="pct"/>
            <w:vAlign w:val="bottom"/>
          </w:tcPr>
          <w:p w14:paraId="337A73A9"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-250.88</w:t>
            </w:r>
          </w:p>
        </w:tc>
        <w:tc>
          <w:tcPr>
            <w:tcW w:w="316" w:type="pct"/>
            <w:vAlign w:val="bottom"/>
          </w:tcPr>
          <w:p w14:paraId="7BB3DBA7"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89.31</w:t>
            </w:r>
          </w:p>
        </w:tc>
      </w:tr>
      <w:tr w:rsidR="00772ED9" w:rsidRPr="00772ED9" w14:paraId="65D80C6F" w14:textId="77777777" w:rsidTr="005E07E6">
        <w:trPr>
          <w:trHeight w:val="303"/>
        </w:trPr>
        <w:tc>
          <w:tcPr>
            <w:tcW w:w="610" w:type="pct"/>
            <w:vAlign w:val="center"/>
          </w:tcPr>
          <w:p w14:paraId="6BFBEFFE"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Ridge gourd</w:t>
            </w:r>
          </w:p>
        </w:tc>
        <w:tc>
          <w:tcPr>
            <w:tcW w:w="219" w:type="pct"/>
            <w:vAlign w:val="bottom"/>
          </w:tcPr>
          <w:p w14:paraId="3B32DE0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445</w:t>
            </w:r>
          </w:p>
        </w:tc>
        <w:tc>
          <w:tcPr>
            <w:tcW w:w="263" w:type="pct"/>
            <w:vAlign w:val="bottom"/>
          </w:tcPr>
          <w:p w14:paraId="297BBA9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1233</w:t>
            </w:r>
          </w:p>
        </w:tc>
        <w:tc>
          <w:tcPr>
            <w:tcW w:w="330" w:type="pct"/>
            <w:vAlign w:val="bottom"/>
          </w:tcPr>
          <w:p w14:paraId="0AB1C764"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525.44</w:t>
            </w:r>
          </w:p>
        </w:tc>
        <w:tc>
          <w:tcPr>
            <w:tcW w:w="360" w:type="pct"/>
            <w:vAlign w:val="bottom"/>
          </w:tcPr>
          <w:p w14:paraId="613AF1F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97.08</w:t>
            </w:r>
          </w:p>
        </w:tc>
        <w:tc>
          <w:tcPr>
            <w:tcW w:w="330" w:type="pct"/>
            <w:vAlign w:val="bottom"/>
          </w:tcPr>
          <w:p w14:paraId="2D6151C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165.48</w:t>
            </w:r>
          </w:p>
        </w:tc>
        <w:tc>
          <w:tcPr>
            <w:tcW w:w="216" w:type="pct"/>
            <w:vAlign w:val="bottom"/>
          </w:tcPr>
          <w:p w14:paraId="098ABF8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85</w:t>
            </w:r>
          </w:p>
        </w:tc>
        <w:tc>
          <w:tcPr>
            <w:tcW w:w="220" w:type="pct"/>
            <w:vAlign w:val="bottom"/>
          </w:tcPr>
          <w:p w14:paraId="2AE219B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218</w:t>
            </w:r>
          </w:p>
        </w:tc>
        <w:tc>
          <w:tcPr>
            <w:tcW w:w="330" w:type="pct"/>
            <w:vAlign w:val="bottom"/>
          </w:tcPr>
          <w:p w14:paraId="3F00AD5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181.30</w:t>
            </w:r>
          </w:p>
        </w:tc>
        <w:tc>
          <w:tcPr>
            <w:tcW w:w="360" w:type="pct"/>
            <w:vAlign w:val="bottom"/>
          </w:tcPr>
          <w:p w14:paraId="180696C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-30.78</w:t>
            </w:r>
          </w:p>
        </w:tc>
        <w:tc>
          <w:tcPr>
            <w:tcW w:w="316" w:type="pct"/>
            <w:vAlign w:val="bottom"/>
          </w:tcPr>
          <w:p w14:paraId="4FD2542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-17.52</w:t>
            </w:r>
          </w:p>
        </w:tc>
        <w:tc>
          <w:tcPr>
            <w:tcW w:w="220" w:type="pct"/>
            <w:vAlign w:val="bottom"/>
          </w:tcPr>
          <w:p w14:paraId="52F29D6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138</w:t>
            </w:r>
          </w:p>
        </w:tc>
        <w:tc>
          <w:tcPr>
            <w:tcW w:w="220" w:type="pct"/>
            <w:vAlign w:val="bottom"/>
          </w:tcPr>
          <w:p w14:paraId="408C63D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381</w:t>
            </w:r>
          </w:p>
        </w:tc>
        <w:tc>
          <w:tcPr>
            <w:tcW w:w="330" w:type="pct"/>
            <w:vAlign w:val="bottom"/>
          </w:tcPr>
          <w:p w14:paraId="64DEDB29"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294.34</w:t>
            </w:r>
          </w:p>
        </w:tc>
        <w:tc>
          <w:tcPr>
            <w:tcW w:w="360" w:type="pct"/>
            <w:vAlign w:val="bottom"/>
          </w:tcPr>
          <w:p w14:paraId="548AAC9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-49.97</w:t>
            </w:r>
          </w:p>
        </w:tc>
        <w:tc>
          <w:tcPr>
            <w:tcW w:w="316" w:type="pct"/>
            <w:vAlign w:val="bottom"/>
          </w:tcPr>
          <w:p w14:paraId="670C81A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-1.37</w:t>
            </w:r>
          </w:p>
        </w:tc>
      </w:tr>
      <w:tr w:rsidR="00772ED9" w:rsidRPr="00772ED9" w14:paraId="1B46D224" w14:textId="77777777" w:rsidTr="005E07E6">
        <w:trPr>
          <w:trHeight w:val="316"/>
        </w:trPr>
        <w:tc>
          <w:tcPr>
            <w:tcW w:w="610" w:type="pct"/>
            <w:vAlign w:val="center"/>
          </w:tcPr>
          <w:p w14:paraId="2C61F3D0"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Snake gourd</w:t>
            </w:r>
          </w:p>
        </w:tc>
        <w:tc>
          <w:tcPr>
            <w:tcW w:w="219" w:type="pct"/>
            <w:vAlign w:val="bottom"/>
          </w:tcPr>
          <w:p w14:paraId="44D3453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295</w:t>
            </w:r>
          </w:p>
        </w:tc>
        <w:tc>
          <w:tcPr>
            <w:tcW w:w="263" w:type="pct"/>
            <w:vAlign w:val="bottom"/>
          </w:tcPr>
          <w:p w14:paraId="7812E98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954</w:t>
            </w:r>
          </w:p>
        </w:tc>
        <w:tc>
          <w:tcPr>
            <w:tcW w:w="330" w:type="pct"/>
            <w:vAlign w:val="bottom"/>
          </w:tcPr>
          <w:p w14:paraId="0894DF3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348.32</w:t>
            </w:r>
          </w:p>
        </w:tc>
        <w:tc>
          <w:tcPr>
            <w:tcW w:w="360" w:type="pct"/>
            <w:vAlign w:val="bottom"/>
          </w:tcPr>
          <w:p w14:paraId="52451E38"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-41.18</w:t>
            </w:r>
          </w:p>
        </w:tc>
        <w:tc>
          <w:tcPr>
            <w:tcW w:w="330" w:type="pct"/>
            <w:vAlign w:val="bottom"/>
          </w:tcPr>
          <w:p w14:paraId="40A53C3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351.86</w:t>
            </w:r>
          </w:p>
        </w:tc>
        <w:tc>
          <w:tcPr>
            <w:tcW w:w="216" w:type="pct"/>
            <w:vAlign w:val="bottom"/>
          </w:tcPr>
          <w:p w14:paraId="1E04A73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92</w:t>
            </w:r>
          </w:p>
        </w:tc>
        <w:tc>
          <w:tcPr>
            <w:tcW w:w="220" w:type="pct"/>
            <w:vAlign w:val="bottom"/>
          </w:tcPr>
          <w:p w14:paraId="33906FA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367</w:t>
            </w:r>
          </w:p>
        </w:tc>
        <w:tc>
          <w:tcPr>
            <w:tcW w:w="330" w:type="pct"/>
            <w:vAlign w:val="bottom"/>
          </w:tcPr>
          <w:p w14:paraId="4719399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196.23</w:t>
            </w:r>
          </w:p>
        </w:tc>
        <w:tc>
          <w:tcPr>
            <w:tcW w:w="360" w:type="pct"/>
            <w:vAlign w:val="bottom"/>
          </w:tcPr>
          <w:p w14:paraId="2DC3CF8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9.29</w:t>
            </w:r>
          </w:p>
        </w:tc>
        <w:tc>
          <w:tcPr>
            <w:tcW w:w="316" w:type="pct"/>
            <w:vAlign w:val="bottom"/>
          </w:tcPr>
          <w:p w14:paraId="4BFCDD7C"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69.48</w:t>
            </w:r>
          </w:p>
        </w:tc>
        <w:tc>
          <w:tcPr>
            <w:tcW w:w="220" w:type="pct"/>
            <w:vAlign w:val="bottom"/>
          </w:tcPr>
          <w:p w14:paraId="3EC9B26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103</w:t>
            </w:r>
          </w:p>
        </w:tc>
        <w:tc>
          <w:tcPr>
            <w:tcW w:w="220" w:type="pct"/>
            <w:vAlign w:val="bottom"/>
          </w:tcPr>
          <w:p w14:paraId="5ACE7A93"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272</w:t>
            </w:r>
          </w:p>
        </w:tc>
        <w:tc>
          <w:tcPr>
            <w:tcW w:w="330" w:type="pct"/>
            <w:vAlign w:val="bottom"/>
          </w:tcPr>
          <w:p w14:paraId="3E415316"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219.69</w:t>
            </w:r>
          </w:p>
        </w:tc>
        <w:tc>
          <w:tcPr>
            <w:tcW w:w="360" w:type="pct"/>
            <w:vAlign w:val="bottom"/>
          </w:tcPr>
          <w:p w14:paraId="6B1D4C3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10.40</w:t>
            </w:r>
          </w:p>
        </w:tc>
        <w:tc>
          <w:tcPr>
            <w:tcW w:w="316" w:type="pct"/>
            <w:vAlign w:val="bottom"/>
          </w:tcPr>
          <w:p w14:paraId="5E025A15"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-61.09</w:t>
            </w:r>
          </w:p>
        </w:tc>
      </w:tr>
      <w:tr w:rsidR="00772ED9" w:rsidRPr="00772ED9" w14:paraId="2BB02B97" w14:textId="77777777" w:rsidTr="005E07E6">
        <w:trPr>
          <w:trHeight w:val="303"/>
        </w:trPr>
        <w:tc>
          <w:tcPr>
            <w:tcW w:w="610" w:type="pct"/>
            <w:vAlign w:val="center"/>
          </w:tcPr>
          <w:p w14:paraId="06F861E2" w14:textId="77777777" w:rsidR="00772ED9" w:rsidRPr="00772ED9" w:rsidRDefault="00772ED9" w:rsidP="00772ED9">
            <w:pPr>
              <w:widowControl/>
              <w:autoSpaceDE/>
              <w:autoSpaceDN/>
              <w:spacing w:line="276" w:lineRule="auto"/>
              <w:jc w:val="center"/>
              <w:rPr>
                <w:rFonts w:eastAsiaTheme="minorHAnsi"/>
                <w:b/>
                <w:bCs/>
                <w:kern w:val="2"/>
                <w:sz w:val="24"/>
                <w:szCs w:val="24"/>
                <w:lang w:val="en-IN"/>
                <w14:ligatures w14:val="standardContextual"/>
              </w:rPr>
            </w:pPr>
            <w:r w:rsidRPr="00772ED9">
              <w:rPr>
                <w:rFonts w:eastAsiaTheme="minorHAnsi"/>
                <w:b/>
                <w:bCs/>
                <w:color w:val="000000"/>
                <w:kern w:val="2"/>
                <w:sz w:val="24"/>
                <w:szCs w:val="24"/>
                <w:lang w:val="en-IN"/>
                <w14:ligatures w14:val="standardContextual"/>
              </w:rPr>
              <w:t>Others</w:t>
            </w:r>
          </w:p>
        </w:tc>
        <w:tc>
          <w:tcPr>
            <w:tcW w:w="219" w:type="pct"/>
            <w:vAlign w:val="bottom"/>
          </w:tcPr>
          <w:p w14:paraId="01CFD46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28</w:t>
            </w:r>
          </w:p>
        </w:tc>
        <w:tc>
          <w:tcPr>
            <w:tcW w:w="263" w:type="pct"/>
            <w:vAlign w:val="bottom"/>
          </w:tcPr>
          <w:p w14:paraId="1D150B5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188</w:t>
            </w:r>
          </w:p>
        </w:tc>
        <w:tc>
          <w:tcPr>
            <w:tcW w:w="330" w:type="pct"/>
            <w:vAlign w:val="bottom"/>
          </w:tcPr>
          <w:p w14:paraId="4B61468D"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33.06</w:t>
            </w:r>
          </w:p>
        </w:tc>
        <w:tc>
          <w:tcPr>
            <w:tcW w:w="360" w:type="pct"/>
            <w:vAlign w:val="bottom"/>
          </w:tcPr>
          <w:p w14:paraId="6DDC6B4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2.94</w:t>
            </w:r>
          </w:p>
        </w:tc>
        <w:tc>
          <w:tcPr>
            <w:tcW w:w="330" w:type="pct"/>
            <w:vAlign w:val="bottom"/>
          </w:tcPr>
          <w:p w14:paraId="3C0D989B"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124.40</w:t>
            </w:r>
          </w:p>
        </w:tc>
        <w:tc>
          <w:tcPr>
            <w:tcW w:w="216" w:type="pct"/>
            <w:vAlign w:val="bottom"/>
          </w:tcPr>
          <w:p w14:paraId="70A44327"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220" w:type="pct"/>
            <w:vAlign w:val="bottom"/>
          </w:tcPr>
          <w:p w14:paraId="68B12EFE"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330" w:type="pct"/>
            <w:vAlign w:val="bottom"/>
          </w:tcPr>
          <w:p w14:paraId="7064C1FA"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2.13</w:t>
            </w:r>
          </w:p>
        </w:tc>
        <w:tc>
          <w:tcPr>
            <w:tcW w:w="360" w:type="pct"/>
            <w:vAlign w:val="bottom"/>
          </w:tcPr>
          <w:p w14:paraId="64728FC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3.60</w:t>
            </w:r>
          </w:p>
        </w:tc>
        <w:tc>
          <w:tcPr>
            <w:tcW w:w="316" w:type="pct"/>
            <w:vAlign w:val="bottom"/>
          </w:tcPr>
          <w:p w14:paraId="1A01A360"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-5.73</w:t>
            </w:r>
          </w:p>
        </w:tc>
        <w:tc>
          <w:tcPr>
            <w:tcW w:w="220" w:type="pct"/>
            <w:vAlign w:val="bottom"/>
          </w:tcPr>
          <w:p w14:paraId="4BE55F8F"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1</w:t>
            </w:r>
          </w:p>
        </w:tc>
        <w:tc>
          <w:tcPr>
            <w:tcW w:w="220" w:type="pct"/>
            <w:vAlign w:val="bottom"/>
          </w:tcPr>
          <w:p w14:paraId="398FC7F1"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96</w:t>
            </w:r>
          </w:p>
        </w:tc>
        <w:tc>
          <w:tcPr>
            <w:tcW w:w="330" w:type="pct"/>
            <w:vAlign w:val="bottom"/>
          </w:tcPr>
          <w:p w14:paraId="5BF63DF8"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2.13</w:t>
            </w:r>
          </w:p>
        </w:tc>
        <w:tc>
          <w:tcPr>
            <w:tcW w:w="360" w:type="pct"/>
            <w:vAlign w:val="bottom"/>
          </w:tcPr>
          <w:p w14:paraId="10B42FA2"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3.60</w:t>
            </w:r>
          </w:p>
        </w:tc>
        <w:tc>
          <w:tcPr>
            <w:tcW w:w="316" w:type="pct"/>
            <w:vAlign w:val="bottom"/>
          </w:tcPr>
          <w:p w14:paraId="6B9419D7" w14:textId="77777777" w:rsidR="00772ED9" w:rsidRPr="00772ED9" w:rsidRDefault="00772ED9" w:rsidP="00772ED9">
            <w:pPr>
              <w:widowControl/>
              <w:autoSpaceDE/>
              <w:autoSpaceDN/>
              <w:spacing w:line="276" w:lineRule="auto"/>
              <w:jc w:val="center"/>
              <w:rPr>
                <w:rFonts w:eastAsiaTheme="minorHAnsi"/>
                <w:kern w:val="2"/>
                <w:sz w:val="24"/>
                <w:szCs w:val="24"/>
                <w:lang w:val="en-IN"/>
                <w14:ligatures w14:val="standardContextual"/>
              </w:rPr>
            </w:pPr>
            <w:r w:rsidRPr="00772ED9">
              <w:rPr>
                <w:rFonts w:eastAsiaTheme="minorHAnsi"/>
                <w:color w:val="000000"/>
                <w:kern w:val="2"/>
                <w:lang w:val="en-IN"/>
                <w14:ligatures w14:val="standardContextual"/>
              </w:rPr>
              <w:t>89.27</w:t>
            </w:r>
          </w:p>
        </w:tc>
      </w:tr>
    </w:tbl>
    <w:p w14:paraId="20851BA5" w14:textId="1E2DE4AB" w:rsidR="00772ED9" w:rsidRPr="00772ED9" w:rsidRDefault="00772ED9" w:rsidP="00772ED9">
      <w:pPr>
        <w:widowControl/>
        <w:autoSpaceDE/>
        <w:autoSpaceDN/>
        <w:spacing w:line="259" w:lineRule="auto"/>
        <w:jc w:val="both"/>
        <w:rPr>
          <w:rFonts w:eastAsiaTheme="minorHAnsi"/>
          <w:i/>
          <w:iCs/>
          <w:kern w:val="2"/>
          <w:lang w:val="en-IN"/>
          <w14:ligatures w14:val="standardContextual"/>
        </w:rPr>
      </w:pPr>
      <w:r w:rsidRPr="00772ED9">
        <w:rPr>
          <w:rFonts w:eastAsiaTheme="minorHAnsi"/>
          <w:i/>
          <w:iCs/>
          <w:kern w:val="2"/>
          <w:lang w:val="en-IN"/>
          <w14:ligatures w14:val="standardContextual"/>
        </w:rPr>
        <w:t>(</w:t>
      </w:r>
      <w:r w:rsidRPr="00772ED9">
        <w:rPr>
          <w:rFonts w:eastAsiaTheme="minorHAnsi"/>
          <w:b/>
          <w:bCs/>
          <w:i/>
          <w:iCs/>
          <w:kern w:val="2"/>
          <w:lang w:val="en-IN"/>
          <w14:ligatures w14:val="standardContextual"/>
        </w:rPr>
        <w:t>Note:</w:t>
      </w:r>
      <w:r w:rsidRPr="00772ED9">
        <w:rPr>
          <w:rFonts w:eastAsiaTheme="minorHAnsi"/>
          <w:i/>
          <w:iCs/>
          <w:kern w:val="2"/>
          <w:lang w:val="en-IN"/>
          <w14:ligatures w14:val="standardContextual"/>
        </w:rPr>
        <w:t xml:space="preserve"> A</w:t>
      </w:r>
      <w:r w:rsidRPr="00772ED9">
        <w:rPr>
          <w:rFonts w:eastAsiaTheme="minorHAnsi"/>
          <w:i/>
          <w:iCs/>
          <w:kern w:val="2"/>
          <w:vertAlign w:val="subscript"/>
          <w:lang w:val="en-IN"/>
          <w14:ligatures w14:val="standardContextual"/>
        </w:rPr>
        <w:t>0</w:t>
      </w:r>
      <w:r w:rsidRPr="00772ED9">
        <w:rPr>
          <w:rFonts w:eastAsiaTheme="minorHAnsi"/>
          <w:i/>
          <w:iCs/>
          <w:kern w:val="2"/>
          <w:lang w:val="en-IN"/>
          <w14:ligatures w14:val="standardContextual"/>
        </w:rPr>
        <w:t xml:space="preserve"> and A</w:t>
      </w:r>
      <w:r w:rsidRPr="00772ED9">
        <w:rPr>
          <w:rFonts w:eastAsiaTheme="minorHAnsi"/>
          <w:i/>
          <w:iCs/>
          <w:kern w:val="2"/>
          <w:vertAlign w:val="subscript"/>
          <w:lang w:val="en-IN"/>
          <w14:ligatures w14:val="standardContextual"/>
        </w:rPr>
        <w:t>i</w:t>
      </w:r>
      <w:r w:rsidRPr="00772ED9">
        <w:rPr>
          <w:rFonts w:eastAsiaTheme="minorHAnsi"/>
          <w:i/>
          <w:iCs/>
          <w:kern w:val="2"/>
          <w:lang w:val="en-IN"/>
          <w14:ligatures w14:val="standardContextual"/>
        </w:rPr>
        <w:t xml:space="preserve"> indicates base and current year of a crop area, NGE – National Growth Effect, CME – Crop Mix Effect, RSE – Regional Shift </w:t>
      </w:r>
      <w:proofErr w:type="gramStart"/>
      <w:r w:rsidRPr="00772ED9">
        <w:rPr>
          <w:rFonts w:eastAsiaTheme="minorHAnsi"/>
          <w:i/>
          <w:iCs/>
          <w:kern w:val="2"/>
          <w:lang w:val="en-IN"/>
          <w14:ligatures w14:val="standardContextual"/>
        </w:rPr>
        <w:t xml:space="preserve">Effect, </w:t>
      </w:r>
      <w:r w:rsidR="005E07E6">
        <w:rPr>
          <w:rFonts w:eastAsiaTheme="minorHAnsi"/>
          <w:i/>
          <w:iCs/>
          <w:kern w:val="2"/>
          <w:lang w:val="en-IN"/>
          <w14:ligatures w14:val="standardContextual"/>
        </w:rPr>
        <w:t xml:space="preserve">  </w:t>
      </w:r>
      <w:proofErr w:type="gramEnd"/>
      <w:r w:rsidR="005E07E6">
        <w:rPr>
          <w:rFonts w:eastAsiaTheme="minorHAnsi"/>
          <w:i/>
          <w:iCs/>
          <w:kern w:val="2"/>
          <w:lang w:val="en-IN"/>
          <w14:ligatures w14:val="standardContextual"/>
        </w:rPr>
        <w:t xml:space="preserve">                   </w:t>
      </w:r>
      <w:r w:rsidRPr="00772ED9">
        <w:rPr>
          <w:rFonts w:eastAsiaTheme="minorHAnsi"/>
          <w:i/>
          <w:iCs/>
          <w:kern w:val="2"/>
          <w:lang w:val="en-IN"/>
          <w14:ligatures w14:val="standardContextual"/>
        </w:rPr>
        <w:t xml:space="preserve">TN – Tamil Nadu, DPI – </w:t>
      </w:r>
      <w:proofErr w:type="spellStart"/>
      <w:r w:rsidRPr="00772ED9">
        <w:rPr>
          <w:rFonts w:eastAsiaTheme="minorHAnsi"/>
          <w:i/>
          <w:iCs/>
          <w:kern w:val="2"/>
          <w:lang w:val="en-IN"/>
          <w14:ligatures w14:val="standardContextual"/>
        </w:rPr>
        <w:t>Dharmapuri</w:t>
      </w:r>
      <w:proofErr w:type="spellEnd"/>
      <w:r w:rsidRPr="00772ED9">
        <w:rPr>
          <w:rFonts w:eastAsiaTheme="minorHAnsi"/>
          <w:i/>
          <w:iCs/>
          <w:kern w:val="2"/>
          <w:lang w:val="en-IN"/>
          <w14:ligatures w14:val="standardContextual"/>
        </w:rPr>
        <w:t xml:space="preserve">, KAR – </w:t>
      </w:r>
      <w:proofErr w:type="spellStart"/>
      <w:r w:rsidRPr="00772ED9">
        <w:rPr>
          <w:rFonts w:eastAsiaTheme="minorHAnsi"/>
          <w:i/>
          <w:iCs/>
          <w:kern w:val="2"/>
          <w:lang w:val="en-IN"/>
          <w14:ligatures w14:val="standardContextual"/>
        </w:rPr>
        <w:t>Karimangalam</w:t>
      </w:r>
      <w:proofErr w:type="spellEnd"/>
      <w:r w:rsidRPr="00772ED9">
        <w:rPr>
          <w:rFonts w:eastAsiaTheme="minorHAnsi"/>
          <w:i/>
          <w:iCs/>
          <w:kern w:val="2"/>
          <w:lang w:val="en-IN"/>
          <w14:ligatures w14:val="standardContextual"/>
        </w:rPr>
        <w:t xml:space="preserve"> and PAL – </w:t>
      </w:r>
      <w:proofErr w:type="spellStart"/>
      <w:r w:rsidRPr="00772ED9">
        <w:rPr>
          <w:rFonts w:eastAsiaTheme="minorHAnsi"/>
          <w:i/>
          <w:iCs/>
          <w:kern w:val="2"/>
          <w:lang w:val="en-IN"/>
          <w14:ligatures w14:val="standardContextual"/>
        </w:rPr>
        <w:t>Palacode</w:t>
      </w:r>
      <w:proofErr w:type="spellEnd"/>
      <w:r w:rsidRPr="00772ED9">
        <w:rPr>
          <w:rFonts w:eastAsiaTheme="minorHAnsi"/>
          <w:i/>
          <w:iCs/>
          <w:kern w:val="2"/>
          <w:lang w:val="en-IN"/>
          <w14:ligatures w14:val="standardContextual"/>
        </w:rPr>
        <w:t>).</w:t>
      </w:r>
    </w:p>
    <w:p w14:paraId="2D824FFA" w14:textId="77777777" w:rsidR="00772ED9" w:rsidRPr="00772ED9" w:rsidRDefault="00772ED9" w:rsidP="00772ED9">
      <w:pPr>
        <w:widowControl/>
        <w:autoSpaceDE/>
        <w:autoSpaceDN/>
        <w:spacing w:line="259" w:lineRule="auto"/>
        <w:jc w:val="both"/>
        <w:rPr>
          <w:rFonts w:eastAsiaTheme="minorHAnsi"/>
          <w:i/>
          <w:iCs/>
          <w:kern w:val="2"/>
          <w:lang w:val="en-IN"/>
          <w14:ligatures w14:val="standardContextual"/>
        </w:rPr>
      </w:pPr>
    </w:p>
    <w:p w14:paraId="7B42E4C9" w14:textId="77777777" w:rsidR="00772ED9" w:rsidRPr="00772ED9" w:rsidRDefault="00772ED9" w:rsidP="00772ED9">
      <w:pPr>
        <w:widowControl/>
        <w:autoSpaceDE/>
        <w:autoSpaceDN/>
        <w:spacing w:line="259" w:lineRule="auto"/>
        <w:jc w:val="center"/>
        <w:rPr>
          <w:rFonts w:eastAsiaTheme="minorHAnsi"/>
          <w:b/>
          <w:bCs/>
          <w:i/>
          <w:iCs/>
          <w:kern w:val="2"/>
          <w:sz w:val="24"/>
          <w:szCs w:val="24"/>
          <w:lang w:val="en-IN"/>
          <w14:ligatures w14:val="standardContextual"/>
        </w:rPr>
      </w:pPr>
      <w:r w:rsidRPr="00772ED9">
        <w:rPr>
          <w:rFonts w:eastAsiaTheme="minorHAnsi"/>
          <w:i/>
          <w:iCs/>
          <w:noProof/>
          <w:kern w:val="2"/>
          <w:sz w:val="24"/>
          <w:szCs w:val="24"/>
          <w:lang w:val="en-IN" w:eastAsia="en-IN"/>
          <w14:ligatures w14:val="standardContextual"/>
        </w:rPr>
        <w:drawing>
          <wp:anchor distT="0" distB="0" distL="114300" distR="114300" simplePos="0" relativeHeight="251661312" behindDoc="1" locked="0" layoutInCell="1" allowOverlap="1" wp14:anchorId="504FF159" wp14:editId="25EAC6C4">
            <wp:simplePos x="0" y="0"/>
            <wp:positionH relativeFrom="margin">
              <wp:align>right</wp:align>
            </wp:positionH>
            <wp:positionV relativeFrom="paragraph">
              <wp:posOffset>245745</wp:posOffset>
            </wp:positionV>
            <wp:extent cx="8629650" cy="2447925"/>
            <wp:effectExtent l="0" t="0" r="0" b="9525"/>
            <wp:wrapTight wrapText="bothSides">
              <wp:wrapPolygon edited="0">
                <wp:start x="0" y="0"/>
                <wp:lineTo x="0" y="21516"/>
                <wp:lineTo x="21552" y="21516"/>
                <wp:lineTo x="21552" y="0"/>
                <wp:lineTo x="0" y="0"/>
              </wp:wrapPolygon>
            </wp:wrapTight>
            <wp:docPr id="18076813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81320" name=""/>
                    <pic:cNvPicPr/>
                  </pic:nvPicPr>
                  <pic:blipFill>
                    <a:blip r:embed="rId17">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8"/>
                        </a:ext>
                      </a:extLst>
                    </a:blip>
                    <a:stretch>
                      <a:fillRect/>
                    </a:stretch>
                  </pic:blipFill>
                  <pic:spPr>
                    <a:xfrm>
                      <a:off x="0" y="0"/>
                      <a:ext cx="8629650" cy="2447925"/>
                    </a:xfrm>
                    <a:prstGeom prst="rect">
                      <a:avLst/>
                    </a:prstGeom>
                  </pic:spPr>
                </pic:pic>
              </a:graphicData>
            </a:graphic>
            <wp14:sizeRelH relativeFrom="margin">
              <wp14:pctWidth>0</wp14:pctWidth>
            </wp14:sizeRelH>
            <wp14:sizeRelV relativeFrom="margin">
              <wp14:pctHeight>0</wp14:pctHeight>
            </wp14:sizeRelV>
          </wp:anchor>
        </w:drawing>
      </w:r>
      <w:r w:rsidRPr="00772ED9">
        <w:rPr>
          <w:rFonts w:eastAsiaTheme="minorHAnsi"/>
          <w:b/>
          <w:bCs/>
          <w:kern w:val="2"/>
          <w:sz w:val="24"/>
          <w:szCs w:val="24"/>
          <w:lang w:val="en-IN"/>
          <w14:ligatures w14:val="standardContextual"/>
        </w:rPr>
        <w:t>Fig 3. Shift share decomposition of cucurbit vegetables, (2014-15 to 2023-24)</w:t>
      </w:r>
    </w:p>
    <w:p w14:paraId="3A616FD5" w14:textId="77777777" w:rsidR="00ED0BA6" w:rsidRDefault="00ED0BA6" w:rsidP="00ED0BA6">
      <w:pPr>
        <w:spacing w:line="360" w:lineRule="auto"/>
        <w:jc w:val="both"/>
        <w:rPr>
          <w:sz w:val="24"/>
          <w:szCs w:val="24"/>
          <w:lang w:val="en-IN"/>
        </w:rPr>
        <w:sectPr w:rsidR="00ED0BA6" w:rsidSect="00ED0BA6">
          <w:pgSz w:w="16838" w:h="11906" w:orient="landscape" w:code="9"/>
          <w:pgMar w:top="1440" w:right="1440" w:bottom="1440" w:left="1440" w:header="709" w:footer="709" w:gutter="0"/>
          <w:cols w:space="708"/>
          <w:docGrid w:linePitch="360"/>
        </w:sectPr>
      </w:pPr>
    </w:p>
    <w:p w14:paraId="5589EA4A" w14:textId="14A1B10F" w:rsidR="001A7E82" w:rsidRDefault="001A7E82" w:rsidP="001A7E82">
      <w:pPr>
        <w:spacing w:line="360" w:lineRule="auto"/>
        <w:jc w:val="both"/>
        <w:rPr>
          <w:sz w:val="24"/>
          <w:szCs w:val="24"/>
          <w:lang w:val="en-IN"/>
        </w:rPr>
      </w:pPr>
      <w:r w:rsidRPr="00792083">
        <w:rPr>
          <w:sz w:val="24"/>
          <w:szCs w:val="24"/>
          <w:lang w:val="en-IN"/>
        </w:rPr>
        <w:lastRenderedPageBreak/>
        <w:t>strength.</w:t>
      </w:r>
    </w:p>
    <w:p w14:paraId="50CD7D11" w14:textId="1A1248D8" w:rsidR="00792083" w:rsidRPr="00792083" w:rsidRDefault="00792083" w:rsidP="00ED0BA6">
      <w:pPr>
        <w:spacing w:line="360" w:lineRule="auto"/>
        <w:ind w:firstLine="720"/>
        <w:jc w:val="both"/>
        <w:rPr>
          <w:sz w:val="24"/>
          <w:szCs w:val="24"/>
          <w:lang w:val="en-IN"/>
        </w:rPr>
      </w:pPr>
      <w:r w:rsidRPr="00792083">
        <w:rPr>
          <w:sz w:val="24"/>
          <w:szCs w:val="24"/>
          <w:lang w:val="en-IN"/>
        </w:rPr>
        <w:t xml:space="preserve">Overall, NGE remained positive across all comparisons, emphasizing that benchmark-level growth contributed significantly to cucurbit area expansion. Variations in CME reflected crop-specific adjustments, while RSE underscored Dharmapuri’s competitiveness and the selective strengths of </w:t>
      </w:r>
      <w:proofErr w:type="spellStart"/>
      <w:r w:rsidRPr="00792083">
        <w:rPr>
          <w:sz w:val="24"/>
          <w:szCs w:val="24"/>
          <w:lang w:val="en-IN"/>
        </w:rPr>
        <w:t>Karimangalam</w:t>
      </w:r>
      <w:proofErr w:type="spellEnd"/>
      <w:r w:rsidRPr="00792083">
        <w:rPr>
          <w:sz w:val="24"/>
          <w:szCs w:val="24"/>
          <w:lang w:val="en-IN"/>
        </w:rPr>
        <w:t xml:space="preserve"> and </w:t>
      </w:r>
      <w:proofErr w:type="spellStart"/>
      <w:r w:rsidRPr="00792083">
        <w:rPr>
          <w:sz w:val="24"/>
          <w:szCs w:val="24"/>
          <w:lang w:val="en-IN"/>
        </w:rPr>
        <w:t>Palacode</w:t>
      </w:r>
      <w:proofErr w:type="spellEnd"/>
      <w:r w:rsidRPr="00792083">
        <w:rPr>
          <w:sz w:val="24"/>
          <w:szCs w:val="24"/>
          <w:lang w:val="en-IN"/>
        </w:rPr>
        <w:t>. Collectively, these results highlight that regional growth dynamics, crop composition and locational advantages played an integral role in shaping the structural transformation of cucurbit cultivation in Dharmapuri district.</w:t>
      </w:r>
    </w:p>
    <w:p w14:paraId="6E545C89" w14:textId="77777777" w:rsidR="00F16BED" w:rsidRDefault="00F16BED" w:rsidP="00F16BED">
      <w:pPr>
        <w:spacing w:line="360" w:lineRule="auto"/>
        <w:jc w:val="both"/>
        <w:rPr>
          <w:b/>
          <w:sz w:val="24"/>
          <w:szCs w:val="24"/>
          <w:lang w:val="en-GB"/>
        </w:rPr>
      </w:pPr>
      <w:r w:rsidRPr="004F7604">
        <w:rPr>
          <w:b/>
          <w:sz w:val="24"/>
          <w:szCs w:val="24"/>
          <w:lang w:val="en-GB"/>
        </w:rPr>
        <w:t>Conclusion:</w:t>
      </w:r>
    </w:p>
    <w:p w14:paraId="62B0E618" w14:textId="6FB241F3" w:rsidR="00B60A17" w:rsidRPr="00FE7225" w:rsidRDefault="00FE7225" w:rsidP="00FE7225">
      <w:pPr>
        <w:spacing w:line="360" w:lineRule="auto"/>
        <w:ind w:firstLine="720"/>
        <w:jc w:val="both"/>
        <w:rPr>
          <w:bCs/>
          <w:sz w:val="24"/>
          <w:szCs w:val="24"/>
          <w:lang w:val="en-GB"/>
        </w:rPr>
      </w:pPr>
      <w:r w:rsidRPr="00FE7225">
        <w:rPr>
          <w:bCs/>
          <w:sz w:val="24"/>
          <w:szCs w:val="24"/>
        </w:rPr>
        <w:t xml:space="preserve">The study revealed that Dharmapuri district holds a strong regional advantage in cucurbit cultivation, with bitter gourd, ridge gourd and snake gourd emerging as the dominant crops across spatial levels. The two-tier analysis demonstrated that while Dharmapuri showed pronounced specialization at the state level, </w:t>
      </w:r>
      <w:proofErr w:type="spellStart"/>
      <w:r w:rsidRPr="00FE7225">
        <w:rPr>
          <w:bCs/>
          <w:sz w:val="24"/>
          <w:szCs w:val="24"/>
        </w:rPr>
        <w:t>Karimangalam</w:t>
      </w:r>
      <w:proofErr w:type="spellEnd"/>
      <w:r w:rsidRPr="00FE7225">
        <w:rPr>
          <w:bCs/>
          <w:sz w:val="24"/>
          <w:szCs w:val="24"/>
        </w:rPr>
        <w:t xml:space="preserve"> and </w:t>
      </w:r>
      <w:proofErr w:type="spellStart"/>
      <w:r w:rsidRPr="00FE7225">
        <w:rPr>
          <w:bCs/>
          <w:sz w:val="24"/>
          <w:szCs w:val="24"/>
        </w:rPr>
        <w:t>Palacode</w:t>
      </w:r>
      <w:proofErr w:type="spellEnd"/>
      <w:r w:rsidRPr="00FE7225">
        <w:rPr>
          <w:bCs/>
          <w:sz w:val="24"/>
          <w:szCs w:val="24"/>
        </w:rPr>
        <w:t xml:space="preserve"> blocks exhibited distinct intra-district strengths, particularly in bottle gourd and snake gourd cultivation. The Modified Location Quotient confirmed concentrated dominance patterns, and the </w:t>
      </w:r>
      <w:r w:rsidR="001A7E82">
        <w:rPr>
          <w:bCs/>
          <w:sz w:val="24"/>
          <w:szCs w:val="24"/>
        </w:rPr>
        <w:t xml:space="preserve">Modified </w:t>
      </w:r>
      <w:r w:rsidRPr="00FE7225">
        <w:rPr>
          <w:bCs/>
          <w:sz w:val="24"/>
          <w:szCs w:val="24"/>
        </w:rPr>
        <w:t xml:space="preserve">Shift–Share Analysis highlighted Dharmapuri’s competitive growth performance, supported by </w:t>
      </w:r>
      <w:proofErr w:type="spellStart"/>
      <w:r w:rsidRPr="00FE7225">
        <w:rPr>
          <w:bCs/>
          <w:sz w:val="24"/>
          <w:szCs w:val="24"/>
        </w:rPr>
        <w:t>favourable</w:t>
      </w:r>
      <w:proofErr w:type="spellEnd"/>
      <w:r w:rsidRPr="00FE7225">
        <w:rPr>
          <w:bCs/>
          <w:sz w:val="24"/>
          <w:szCs w:val="24"/>
        </w:rPr>
        <w:t xml:space="preserve"> agro-climatic conditions and market linkages. Positive National Growth and Regional Shift Effects underscored the district’s strong comparative advantage and adaptability, despite changes in crop composition over time. Overall, the findings emphasize that Dharmapuri’s cucurbit sector is both specialized and structurally dynamic, driven by regional competitiveness, farmers’ crop preferences and evolving market opportunities, making it a key contributor to Tamil Nadu’s vegetable economy.</w:t>
      </w:r>
    </w:p>
    <w:p w14:paraId="43F1ACBE" w14:textId="7599919B" w:rsidR="00B60A17" w:rsidRDefault="00B60A17" w:rsidP="00B60A17">
      <w:pPr>
        <w:spacing w:line="360" w:lineRule="auto"/>
        <w:jc w:val="both"/>
        <w:rPr>
          <w:b/>
          <w:sz w:val="24"/>
          <w:szCs w:val="24"/>
          <w:lang w:val="en-GB"/>
        </w:rPr>
      </w:pPr>
      <w:r>
        <w:rPr>
          <w:b/>
          <w:sz w:val="24"/>
          <w:szCs w:val="24"/>
          <w:lang w:val="en-GB"/>
        </w:rPr>
        <w:t>Reference</w:t>
      </w:r>
    </w:p>
    <w:p w14:paraId="45D875C2" w14:textId="77777777" w:rsidR="00616122" w:rsidRDefault="00616122" w:rsidP="00616122">
      <w:pPr>
        <w:spacing w:line="360" w:lineRule="auto"/>
        <w:ind w:left="720" w:hanging="720"/>
        <w:jc w:val="both"/>
        <w:rPr>
          <w:sz w:val="24"/>
          <w:szCs w:val="24"/>
        </w:rPr>
      </w:pPr>
      <w:bookmarkStart w:id="9" w:name="_Hlk213620199"/>
      <w:r w:rsidRPr="00616122">
        <w:rPr>
          <w:sz w:val="24"/>
          <w:szCs w:val="24"/>
          <w:lang w:val="en-IN"/>
        </w:rPr>
        <w:t xml:space="preserve">APEDA (2016). </w:t>
      </w:r>
      <w:r w:rsidRPr="00616122">
        <w:rPr>
          <w:i/>
          <w:iCs/>
          <w:sz w:val="24"/>
          <w:szCs w:val="24"/>
          <w:lang w:val="en-IN"/>
        </w:rPr>
        <w:t>Agro Export Statistics</w:t>
      </w:r>
      <w:r w:rsidRPr="00616122">
        <w:rPr>
          <w:sz w:val="24"/>
          <w:szCs w:val="24"/>
          <w:lang w:val="en-IN"/>
        </w:rPr>
        <w:t>. Agricultural and Processed Food Products Export Development Authority, New Delhi.</w:t>
      </w:r>
    </w:p>
    <w:p w14:paraId="31C1F79B" w14:textId="27DD7D31" w:rsidR="00B60A17" w:rsidRDefault="00B60A17" w:rsidP="00B60A17">
      <w:pPr>
        <w:spacing w:line="360" w:lineRule="auto"/>
        <w:ind w:left="720" w:hanging="720"/>
        <w:jc w:val="both"/>
        <w:rPr>
          <w:sz w:val="24"/>
          <w:szCs w:val="24"/>
        </w:rPr>
      </w:pPr>
      <w:r w:rsidRPr="00B60A17">
        <w:rPr>
          <w:sz w:val="24"/>
          <w:szCs w:val="24"/>
        </w:rPr>
        <w:t xml:space="preserve">Bhatia, S. S. (1965). Patterns of Crop Concentration and Diversification in India. </w:t>
      </w:r>
      <w:r w:rsidRPr="00B60A17">
        <w:rPr>
          <w:i/>
          <w:iCs/>
          <w:sz w:val="24"/>
          <w:szCs w:val="24"/>
        </w:rPr>
        <w:t>Economic Geography</w:t>
      </w:r>
      <w:r w:rsidRPr="00B60A17">
        <w:rPr>
          <w:sz w:val="24"/>
          <w:szCs w:val="24"/>
        </w:rPr>
        <w:t>, 41(1), 40</w:t>
      </w:r>
      <w:r w:rsidR="001A7E82">
        <w:rPr>
          <w:sz w:val="24"/>
          <w:szCs w:val="24"/>
        </w:rPr>
        <w:t>-</w:t>
      </w:r>
      <w:r w:rsidRPr="00B60A17">
        <w:rPr>
          <w:sz w:val="24"/>
          <w:szCs w:val="24"/>
        </w:rPr>
        <w:t>56.</w:t>
      </w:r>
      <w:bookmarkEnd w:id="9"/>
      <w:r w:rsidR="00901FBA" w:rsidRPr="00901FBA">
        <w:t xml:space="preserve"> </w:t>
      </w:r>
      <w:hyperlink r:id="rId19" w:history="1">
        <w:r w:rsidR="00901FBA" w:rsidRPr="00B021FE">
          <w:rPr>
            <w:rStyle w:val="Hyperlink"/>
            <w:sz w:val="24"/>
            <w:szCs w:val="24"/>
          </w:rPr>
          <w:t>https://doi.org/10.1111/j.1468-0467.1965.tb00318.x</w:t>
        </w:r>
      </w:hyperlink>
      <w:r w:rsidR="00901FBA">
        <w:rPr>
          <w:sz w:val="24"/>
          <w:szCs w:val="24"/>
        </w:rPr>
        <w:t xml:space="preserve"> </w:t>
      </w:r>
    </w:p>
    <w:p w14:paraId="5992C9AC" w14:textId="1DB54BF3" w:rsidR="00616122" w:rsidRDefault="00616122" w:rsidP="00616122">
      <w:pPr>
        <w:spacing w:line="360" w:lineRule="auto"/>
        <w:ind w:left="720" w:hanging="720"/>
        <w:jc w:val="both"/>
        <w:rPr>
          <w:sz w:val="24"/>
          <w:szCs w:val="24"/>
        </w:rPr>
      </w:pPr>
      <w:r w:rsidRPr="00616122">
        <w:rPr>
          <w:sz w:val="24"/>
          <w:szCs w:val="24"/>
          <w:lang w:val="en-IN"/>
        </w:rPr>
        <w:t xml:space="preserve">Directorate of Economics and Statistics (2024). </w:t>
      </w:r>
      <w:r w:rsidRPr="00616122">
        <w:rPr>
          <w:i/>
          <w:iCs/>
          <w:sz w:val="24"/>
          <w:szCs w:val="24"/>
          <w:lang w:val="en-IN"/>
        </w:rPr>
        <w:t>Season and Crop Report of Tamil Nadu 2023</w:t>
      </w:r>
      <w:r w:rsidR="001A7E82">
        <w:rPr>
          <w:i/>
          <w:iCs/>
          <w:sz w:val="24"/>
          <w:szCs w:val="24"/>
          <w:lang w:val="en-IN"/>
        </w:rPr>
        <w:t>-</w:t>
      </w:r>
      <w:r w:rsidRPr="00616122">
        <w:rPr>
          <w:i/>
          <w:iCs/>
          <w:sz w:val="24"/>
          <w:szCs w:val="24"/>
          <w:lang w:val="en-IN"/>
        </w:rPr>
        <w:t>24</w:t>
      </w:r>
      <w:r w:rsidRPr="00616122">
        <w:rPr>
          <w:sz w:val="24"/>
          <w:szCs w:val="24"/>
          <w:lang w:val="en-IN"/>
        </w:rPr>
        <w:t>. Government of Tamil Nadu, Chennai.</w:t>
      </w:r>
    </w:p>
    <w:p w14:paraId="6876BBB8" w14:textId="22E4ACF8" w:rsidR="00443872" w:rsidRPr="00B60A17" w:rsidRDefault="00443872" w:rsidP="00616122">
      <w:pPr>
        <w:spacing w:line="360" w:lineRule="auto"/>
        <w:ind w:left="720" w:hanging="720"/>
        <w:jc w:val="both"/>
        <w:rPr>
          <w:sz w:val="24"/>
          <w:szCs w:val="24"/>
        </w:rPr>
      </w:pPr>
      <w:r w:rsidRPr="00B60A17">
        <w:rPr>
          <w:sz w:val="24"/>
          <w:szCs w:val="24"/>
        </w:rPr>
        <w:t>Dunn, E. S. (1960). A Statistical and Analytical Technique for Regional Analysis. Papers and Proceedings of the Regional Science Association, 6, 97</w:t>
      </w:r>
      <w:r w:rsidR="001A7E82">
        <w:rPr>
          <w:sz w:val="24"/>
          <w:szCs w:val="24"/>
        </w:rPr>
        <w:t>-</w:t>
      </w:r>
      <w:r w:rsidRPr="00B60A17">
        <w:rPr>
          <w:sz w:val="24"/>
          <w:szCs w:val="24"/>
        </w:rPr>
        <w:t>112.</w:t>
      </w:r>
      <w:r w:rsidR="00901FBA" w:rsidRPr="00901FBA">
        <w:t xml:space="preserve"> </w:t>
      </w:r>
      <w:hyperlink r:id="rId20" w:history="1">
        <w:r w:rsidR="00901FBA" w:rsidRPr="00B021FE">
          <w:rPr>
            <w:rStyle w:val="Hyperlink"/>
            <w:sz w:val="24"/>
            <w:szCs w:val="24"/>
          </w:rPr>
          <w:t>https://doi.org/10.1111/j.1435-5597.1960.tb01705.x</w:t>
        </w:r>
      </w:hyperlink>
      <w:r w:rsidR="00901FBA">
        <w:rPr>
          <w:sz w:val="24"/>
          <w:szCs w:val="24"/>
        </w:rPr>
        <w:t xml:space="preserve"> </w:t>
      </w:r>
    </w:p>
    <w:p w14:paraId="1F34D3A3" w14:textId="21E39DE7" w:rsidR="00B60A17" w:rsidRDefault="00B60A17" w:rsidP="00B60A17">
      <w:pPr>
        <w:spacing w:line="360" w:lineRule="auto"/>
        <w:ind w:left="720" w:hanging="720"/>
        <w:jc w:val="both"/>
        <w:rPr>
          <w:sz w:val="24"/>
          <w:szCs w:val="24"/>
        </w:rPr>
      </w:pPr>
      <w:r w:rsidRPr="00B60A17">
        <w:rPr>
          <w:sz w:val="24"/>
          <w:szCs w:val="24"/>
        </w:rPr>
        <w:t>Harrington, J.W., &amp; Warf, B. (1995). Industrial location: Principles, practice, and policy</w:t>
      </w:r>
      <w:r w:rsidRPr="00B60A17">
        <w:rPr>
          <w:i/>
          <w:iCs/>
          <w:sz w:val="24"/>
          <w:szCs w:val="24"/>
        </w:rPr>
        <w:t>.</w:t>
      </w:r>
      <w:r w:rsidRPr="00B60A17">
        <w:rPr>
          <w:sz w:val="24"/>
          <w:szCs w:val="24"/>
        </w:rPr>
        <w:t xml:space="preserve"> Routledge, London.</w:t>
      </w:r>
      <w:r w:rsidR="00901FBA" w:rsidRPr="00901FBA">
        <w:t xml:space="preserve"> </w:t>
      </w:r>
      <w:hyperlink r:id="rId21" w:history="1">
        <w:r w:rsidR="00901FBA" w:rsidRPr="00B021FE">
          <w:rPr>
            <w:rStyle w:val="Hyperlink"/>
            <w:sz w:val="24"/>
            <w:szCs w:val="24"/>
          </w:rPr>
          <w:t>https://doi.org/10.4324/9780203041918</w:t>
        </w:r>
      </w:hyperlink>
      <w:r w:rsidR="00901FBA">
        <w:rPr>
          <w:sz w:val="24"/>
          <w:szCs w:val="24"/>
        </w:rPr>
        <w:t xml:space="preserve"> </w:t>
      </w:r>
    </w:p>
    <w:p w14:paraId="0E4EBDCF" w14:textId="5322CBF5" w:rsidR="00616122" w:rsidRDefault="00616122" w:rsidP="00616122">
      <w:pPr>
        <w:spacing w:line="360" w:lineRule="auto"/>
        <w:ind w:left="720" w:hanging="720"/>
        <w:jc w:val="both"/>
        <w:rPr>
          <w:sz w:val="24"/>
          <w:szCs w:val="24"/>
        </w:rPr>
      </w:pPr>
      <w:r w:rsidRPr="00616122">
        <w:rPr>
          <w:sz w:val="24"/>
          <w:szCs w:val="24"/>
          <w:lang w:val="en-IN"/>
        </w:rPr>
        <w:t xml:space="preserve">Horticulture Department, Government of Tamil Nadu (2023). </w:t>
      </w:r>
      <w:r w:rsidRPr="00616122">
        <w:rPr>
          <w:i/>
          <w:iCs/>
          <w:sz w:val="24"/>
          <w:szCs w:val="24"/>
          <w:lang w:val="en-IN"/>
        </w:rPr>
        <w:t>Annual Report 2022</w:t>
      </w:r>
      <w:r w:rsidR="001A7E82">
        <w:rPr>
          <w:i/>
          <w:iCs/>
          <w:sz w:val="24"/>
          <w:szCs w:val="24"/>
          <w:lang w:val="en-IN"/>
        </w:rPr>
        <w:t>-</w:t>
      </w:r>
      <w:r w:rsidRPr="00616122">
        <w:rPr>
          <w:i/>
          <w:iCs/>
          <w:sz w:val="24"/>
          <w:szCs w:val="24"/>
          <w:lang w:val="en-IN"/>
        </w:rPr>
        <w:t>23</w:t>
      </w:r>
      <w:r w:rsidRPr="00616122">
        <w:rPr>
          <w:sz w:val="24"/>
          <w:szCs w:val="24"/>
          <w:lang w:val="en-IN"/>
        </w:rPr>
        <w:t xml:space="preserve">. </w:t>
      </w:r>
      <w:r w:rsidRPr="00616122">
        <w:rPr>
          <w:sz w:val="24"/>
          <w:szCs w:val="24"/>
          <w:lang w:val="en-IN"/>
        </w:rPr>
        <w:lastRenderedPageBreak/>
        <w:t>Chennai.</w:t>
      </w:r>
    </w:p>
    <w:p w14:paraId="0C9CA19B" w14:textId="4BA273F4" w:rsidR="00443872" w:rsidRDefault="00443872" w:rsidP="00443872">
      <w:pPr>
        <w:spacing w:line="360" w:lineRule="auto"/>
        <w:ind w:left="720" w:hanging="720"/>
        <w:jc w:val="both"/>
        <w:rPr>
          <w:sz w:val="24"/>
          <w:szCs w:val="24"/>
        </w:rPr>
      </w:pPr>
      <w:r w:rsidRPr="00B60A17">
        <w:rPr>
          <w:sz w:val="24"/>
          <w:szCs w:val="24"/>
        </w:rPr>
        <w:t xml:space="preserve">Kumar, R., Ramesh, T., &amp; Selvaraj, K.N. (2021). Agricultural specialization and diversification patterns in South India: An empirical assessment using Location Quotient and Composite Diversification Index. </w:t>
      </w:r>
      <w:r w:rsidRPr="00B60A17">
        <w:rPr>
          <w:i/>
          <w:iCs/>
          <w:sz w:val="24"/>
          <w:szCs w:val="24"/>
        </w:rPr>
        <w:t>Journal of Rural Development</w:t>
      </w:r>
      <w:r w:rsidRPr="00B60A17">
        <w:rPr>
          <w:sz w:val="24"/>
          <w:szCs w:val="24"/>
        </w:rPr>
        <w:t>, 40(3), 457</w:t>
      </w:r>
      <w:r w:rsidR="001A7E82">
        <w:rPr>
          <w:sz w:val="24"/>
          <w:szCs w:val="24"/>
        </w:rPr>
        <w:t>-</w:t>
      </w:r>
      <w:r w:rsidRPr="00B60A17">
        <w:rPr>
          <w:sz w:val="24"/>
          <w:szCs w:val="24"/>
        </w:rPr>
        <w:t>472.</w:t>
      </w:r>
      <w:r w:rsidR="00901FBA" w:rsidRPr="00901FBA">
        <w:t xml:space="preserve"> </w:t>
      </w:r>
      <w:hyperlink r:id="rId22" w:history="1">
        <w:r w:rsidR="00901FBA" w:rsidRPr="00B021FE">
          <w:rPr>
            <w:rStyle w:val="Hyperlink"/>
            <w:sz w:val="24"/>
            <w:szCs w:val="24"/>
          </w:rPr>
          <w:t>https://doi.org/https://doi.org/10.25175/jrd/2021/v40/i3/170668</w:t>
        </w:r>
      </w:hyperlink>
      <w:r w:rsidR="00901FBA">
        <w:rPr>
          <w:sz w:val="24"/>
          <w:szCs w:val="24"/>
        </w:rPr>
        <w:t xml:space="preserve"> </w:t>
      </w:r>
    </w:p>
    <w:p w14:paraId="771D9416" w14:textId="32E3ABFE" w:rsidR="00443872" w:rsidRDefault="00443872" w:rsidP="00443872">
      <w:pPr>
        <w:spacing w:line="360" w:lineRule="auto"/>
        <w:ind w:left="720" w:hanging="720"/>
        <w:jc w:val="both"/>
        <w:rPr>
          <w:sz w:val="24"/>
          <w:szCs w:val="24"/>
        </w:rPr>
      </w:pPr>
      <w:proofErr w:type="spellStart"/>
      <w:r w:rsidRPr="00B60A17">
        <w:rPr>
          <w:sz w:val="24"/>
          <w:szCs w:val="24"/>
        </w:rPr>
        <w:t>Matlaba</w:t>
      </w:r>
      <w:proofErr w:type="spellEnd"/>
      <w:r w:rsidRPr="00B60A17">
        <w:rPr>
          <w:sz w:val="24"/>
          <w:szCs w:val="24"/>
        </w:rPr>
        <w:t>, V. J., Holmes, M., McCann, P., &amp; Poot, J. (2012). Classic and spatial shift-share analysis of state-level employment change in Brazil (Working Paper No. 12/08). University of Waikato.</w:t>
      </w:r>
      <w:r w:rsidR="00901FBA" w:rsidRPr="00901FBA">
        <w:t xml:space="preserve"> </w:t>
      </w:r>
      <w:hyperlink r:id="rId23" w:history="1">
        <w:r w:rsidR="00901FBA" w:rsidRPr="00B021FE">
          <w:rPr>
            <w:rStyle w:val="Hyperlink"/>
            <w:sz w:val="24"/>
            <w:szCs w:val="24"/>
          </w:rPr>
          <w:t>https://repec.its.waikato.ac.nz/wai/econwp/1208.pdf</w:t>
        </w:r>
      </w:hyperlink>
      <w:r w:rsidR="00901FBA">
        <w:rPr>
          <w:sz w:val="24"/>
          <w:szCs w:val="24"/>
        </w:rPr>
        <w:t xml:space="preserve"> </w:t>
      </w:r>
    </w:p>
    <w:p w14:paraId="4452B41B" w14:textId="4E64F5FD" w:rsidR="00616122" w:rsidRPr="00B60A17" w:rsidRDefault="00616122" w:rsidP="00616122">
      <w:pPr>
        <w:spacing w:line="360" w:lineRule="auto"/>
        <w:ind w:left="720" w:hanging="720"/>
        <w:jc w:val="both"/>
        <w:rPr>
          <w:sz w:val="24"/>
          <w:szCs w:val="24"/>
        </w:rPr>
      </w:pPr>
      <w:r w:rsidRPr="00616122">
        <w:rPr>
          <w:sz w:val="24"/>
          <w:szCs w:val="24"/>
          <w:lang w:val="en-IN"/>
        </w:rPr>
        <w:t xml:space="preserve">NHB (2022). </w:t>
      </w:r>
      <w:r w:rsidRPr="00616122">
        <w:rPr>
          <w:i/>
          <w:iCs/>
          <w:sz w:val="24"/>
          <w:szCs w:val="24"/>
          <w:lang w:val="en-IN"/>
        </w:rPr>
        <w:t>Horticultural Statistics at a Glance</w:t>
      </w:r>
      <w:r>
        <w:rPr>
          <w:i/>
          <w:iCs/>
          <w:sz w:val="24"/>
          <w:szCs w:val="24"/>
          <w:lang w:val="en-IN"/>
        </w:rPr>
        <w:t xml:space="preserve"> 2021-22</w:t>
      </w:r>
      <w:r w:rsidRPr="00616122">
        <w:rPr>
          <w:sz w:val="24"/>
          <w:szCs w:val="24"/>
          <w:lang w:val="en-IN"/>
        </w:rPr>
        <w:t>. National Horticulture Board, Gurugram.</w:t>
      </w:r>
      <w:r w:rsidR="00901FBA" w:rsidRPr="00901FBA">
        <w:t xml:space="preserve"> </w:t>
      </w:r>
      <w:hyperlink r:id="rId24" w:history="1">
        <w:r w:rsidR="00901FBA" w:rsidRPr="00B021FE">
          <w:rPr>
            <w:rStyle w:val="Hyperlink"/>
            <w:sz w:val="24"/>
            <w:szCs w:val="24"/>
            <w:lang w:val="en-IN"/>
          </w:rPr>
          <w:t>https://nhb.gov.in/Horticulture%20Statistics%20at%20a%20Glance-2021-22.pdf</w:t>
        </w:r>
      </w:hyperlink>
      <w:r w:rsidR="00901FBA">
        <w:rPr>
          <w:sz w:val="24"/>
          <w:szCs w:val="24"/>
          <w:lang w:val="en-IN"/>
        </w:rPr>
        <w:t xml:space="preserve"> </w:t>
      </w:r>
    </w:p>
    <w:p w14:paraId="02A84646" w14:textId="4BD5A5B4" w:rsidR="00443872" w:rsidRPr="00B60A17" w:rsidRDefault="00443872" w:rsidP="00443872">
      <w:pPr>
        <w:spacing w:line="360" w:lineRule="auto"/>
        <w:ind w:left="720" w:hanging="720"/>
        <w:jc w:val="both"/>
        <w:rPr>
          <w:sz w:val="24"/>
          <w:szCs w:val="24"/>
        </w:rPr>
      </w:pPr>
      <w:r w:rsidRPr="00B60A17">
        <w:rPr>
          <w:sz w:val="24"/>
          <w:szCs w:val="24"/>
        </w:rPr>
        <w:t xml:space="preserve">Ramswamy, S., &amp; Ganti, S. (2015). Comparative analysis of sectoral performance of Indian states using shift-share model. </w:t>
      </w:r>
      <w:r w:rsidRPr="00B60A17">
        <w:rPr>
          <w:i/>
          <w:iCs/>
          <w:sz w:val="24"/>
          <w:szCs w:val="24"/>
        </w:rPr>
        <w:t>Adarsh Journal of Management Research, 8</w:t>
      </w:r>
      <w:r w:rsidRPr="00B60A17">
        <w:rPr>
          <w:sz w:val="24"/>
          <w:szCs w:val="24"/>
        </w:rPr>
        <w:t>(2), 25</w:t>
      </w:r>
      <w:r w:rsidR="001A7E82">
        <w:rPr>
          <w:sz w:val="24"/>
          <w:szCs w:val="24"/>
        </w:rPr>
        <w:t>-</w:t>
      </w:r>
      <w:r w:rsidRPr="00B60A17">
        <w:rPr>
          <w:sz w:val="24"/>
          <w:szCs w:val="24"/>
        </w:rPr>
        <w:t>38.</w:t>
      </w:r>
      <w:r w:rsidR="00901FBA" w:rsidRPr="00901FBA">
        <w:t xml:space="preserve"> </w:t>
      </w:r>
      <w:hyperlink r:id="rId25" w:history="1">
        <w:r w:rsidR="00901FBA" w:rsidRPr="00B021FE">
          <w:rPr>
            <w:rStyle w:val="Hyperlink"/>
            <w:sz w:val="24"/>
            <w:szCs w:val="24"/>
          </w:rPr>
          <w:t>https://doi.org/10.21095/ajmr/2015/v8/i2/88213</w:t>
        </w:r>
      </w:hyperlink>
      <w:r w:rsidR="00901FBA">
        <w:rPr>
          <w:sz w:val="24"/>
          <w:szCs w:val="24"/>
        </w:rPr>
        <w:t xml:space="preserve"> </w:t>
      </w:r>
    </w:p>
    <w:p w14:paraId="7B2584AE" w14:textId="449D12ED" w:rsidR="00BF43FC" w:rsidRDefault="00B60A17" w:rsidP="00BF43FC">
      <w:pPr>
        <w:spacing w:line="360" w:lineRule="auto"/>
        <w:ind w:left="720" w:hanging="720"/>
        <w:jc w:val="both"/>
        <w:rPr>
          <w:sz w:val="24"/>
          <w:szCs w:val="24"/>
        </w:rPr>
      </w:pPr>
      <w:r w:rsidRPr="00B60A17">
        <w:rPr>
          <w:sz w:val="24"/>
          <w:szCs w:val="24"/>
        </w:rPr>
        <w:t>Sundaram, S., &amp; Rani, S. (2018). An analysis of crop concentration and diversification in Tamil Nadu</w:t>
      </w:r>
      <w:r w:rsidRPr="00B60A17">
        <w:rPr>
          <w:i/>
          <w:iCs/>
          <w:sz w:val="24"/>
          <w:szCs w:val="24"/>
        </w:rPr>
        <w:t>.</w:t>
      </w:r>
      <w:r w:rsidRPr="00B60A17">
        <w:rPr>
          <w:sz w:val="24"/>
          <w:szCs w:val="24"/>
        </w:rPr>
        <w:t xml:space="preserve"> </w:t>
      </w:r>
      <w:r w:rsidRPr="00B60A17">
        <w:rPr>
          <w:i/>
          <w:iCs/>
          <w:sz w:val="24"/>
          <w:szCs w:val="24"/>
        </w:rPr>
        <w:t>International Journal of Current Microbiology and Applied Sciences</w:t>
      </w:r>
      <w:r w:rsidRPr="00B60A17">
        <w:rPr>
          <w:sz w:val="24"/>
          <w:szCs w:val="24"/>
        </w:rPr>
        <w:t>, 7(9), 2280</w:t>
      </w:r>
      <w:r w:rsidR="001A7E82">
        <w:rPr>
          <w:sz w:val="24"/>
          <w:szCs w:val="24"/>
        </w:rPr>
        <w:t>-</w:t>
      </w:r>
      <w:r w:rsidRPr="00B60A17">
        <w:rPr>
          <w:sz w:val="24"/>
          <w:szCs w:val="24"/>
        </w:rPr>
        <w:t>2290.</w:t>
      </w:r>
    </w:p>
    <w:p w14:paraId="4ADA9340" w14:textId="1F70D9AB" w:rsidR="00BF43FC" w:rsidRPr="00BF43FC" w:rsidRDefault="00BF43FC" w:rsidP="00BF43FC">
      <w:pPr>
        <w:spacing w:line="360" w:lineRule="auto"/>
        <w:ind w:left="720" w:hanging="720"/>
        <w:jc w:val="both"/>
        <w:rPr>
          <w:sz w:val="24"/>
          <w:szCs w:val="24"/>
        </w:rPr>
      </w:pPr>
      <w:r w:rsidRPr="00BF43FC">
        <w:rPr>
          <w:sz w:val="24"/>
          <w:szCs w:val="24"/>
        </w:rPr>
        <w:t xml:space="preserve">Zhang </w:t>
      </w:r>
      <w:proofErr w:type="spellStart"/>
      <w:r w:rsidRPr="00BF43FC">
        <w:rPr>
          <w:sz w:val="24"/>
          <w:szCs w:val="24"/>
        </w:rPr>
        <w:t>Lingzhi</w:t>
      </w:r>
      <w:proofErr w:type="spellEnd"/>
      <w:r w:rsidRPr="00BF43FC">
        <w:rPr>
          <w:sz w:val="24"/>
          <w:szCs w:val="24"/>
        </w:rPr>
        <w:t xml:space="preserve"> (2021). Analysis of Uzbekistan's Planting Industry Growth Based on Shift-Share Method. </w:t>
      </w:r>
      <w:r w:rsidRPr="00BF43FC">
        <w:rPr>
          <w:i/>
          <w:iCs/>
          <w:sz w:val="24"/>
          <w:szCs w:val="24"/>
        </w:rPr>
        <w:t>International Journal of Management Science and Business Administration,</w:t>
      </w:r>
      <w:r w:rsidRPr="00BF43FC">
        <w:rPr>
          <w:sz w:val="24"/>
          <w:szCs w:val="24"/>
        </w:rPr>
        <w:t xml:space="preserve"> 7(4), 7</w:t>
      </w:r>
      <w:r w:rsidR="001A7E82">
        <w:rPr>
          <w:sz w:val="24"/>
          <w:szCs w:val="24"/>
        </w:rPr>
        <w:t>-</w:t>
      </w:r>
      <w:r w:rsidRPr="00BF43FC">
        <w:rPr>
          <w:sz w:val="24"/>
          <w:szCs w:val="24"/>
        </w:rPr>
        <w:t xml:space="preserve">13. </w:t>
      </w:r>
      <w:hyperlink r:id="rId26" w:history="1">
        <w:r w:rsidR="00901FBA" w:rsidRPr="00B021FE">
          <w:rPr>
            <w:rStyle w:val="Hyperlink"/>
            <w:sz w:val="24"/>
            <w:szCs w:val="24"/>
          </w:rPr>
          <w:t>https://doi.org/10.18775/ijmsba.1849-5664-5419.2014.74.1001</w:t>
        </w:r>
      </w:hyperlink>
      <w:r w:rsidR="00901FBA">
        <w:rPr>
          <w:sz w:val="24"/>
          <w:szCs w:val="24"/>
        </w:rPr>
        <w:t xml:space="preserve"> </w:t>
      </w:r>
    </w:p>
    <w:sectPr w:rsidR="00BF43FC" w:rsidRPr="00BF43FC" w:rsidSect="00ED0BA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riya" w:date="2025-11-28T14:48:00Z" w:initials="P">
    <w:p w14:paraId="5FDF88ED" w14:textId="6608F1C7" w:rsidR="0022592B" w:rsidRDefault="0022592B" w:rsidP="0022592B">
      <w:pPr>
        <w:pStyle w:val="CommentText"/>
      </w:pPr>
      <w:r>
        <w:rPr>
          <w:rStyle w:val="CommentReference"/>
        </w:rPr>
        <w:annotationRef/>
      </w:r>
      <w:r>
        <w:t>Delete -</w:t>
      </w:r>
    </w:p>
  </w:comment>
  <w:comment w:id="1" w:author="Priya" w:date="2025-11-28T14:49:00Z" w:initials="P">
    <w:p w14:paraId="4C855650" w14:textId="257AEAD0" w:rsidR="0022592B" w:rsidRDefault="0022592B">
      <w:pPr>
        <w:pStyle w:val="CommentText"/>
      </w:pPr>
      <w:r>
        <w:rPr>
          <w:rStyle w:val="CommentReference"/>
        </w:rPr>
        <w:annotationRef/>
      </w:r>
      <w:r>
        <w:t>How much please specify</w:t>
      </w:r>
    </w:p>
  </w:comment>
  <w:comment w:id="2" w:author="Priya" w:date="2025-11-28T15:35:00Z" w:initials="P">
    <w:p w14:paraId="41C3C72D" w14:textId="5E8E69CC" w:rsidR="00683FBF" w:rsidRDefault="00683FBF">
      <w:pPr>
        <w:pStyle w:val="CommentText"/>
      </w:pPr>
      <w:r>
        <w:rPr>
          <w:rStyle w:val="CommentReference"/>
        </w:rPr>
        <w:annotationRef/>
      </w:r>
      <w:r>
        <w:t xml:space="preserve">Please clarify this paragraph </w:t>
      </w:r>
    </w:p>
  </w:comment>
  <w:comment w:id="7" w:author="Priya" w:date="2025-11-28T15:27:00Z" w:initials="P">
    <w:p w14:paraId="5899C669" w14:textId="4289259C" w:rsidR="000A4DC7" w:rsidRDefault="000A4DC7">
      <w:pPr>
        <w:pStyle w:val="CommentText"/>
      </w:pPr>
      <w:r>
        <w:rPr>
          <w:rStyle w:val="CommentReference"/>
        </w:rPr>
        <w:annotationRef/>
      </w:r>
      <w:r>
        <w:t>Write full form</w:t>
      </w:r>
    </w:p>
  </w:comment>
  <w:comment w:id="8" w:author="Priya" w:date="2025-11-28T15:27:00Z" w:initials="P">
    <w:p w14:paraId="2274AD16" w14:textId="76C78FA0" w:rsidR="000A4DC7" w:rsidRDefault="000A4DC7">
      <w:pPr>
        <w:pStyle w:val="CommentText"/>
      </w:pPr>
      <w:r>
        <w:rPr>
          <w:rStyle w:val="CommentReference"/>
        </w:rPr>
        <w:annotationRef/>
      </w:r>
      <w:r>
        <w:t>Full form please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DF88ED" w15:done="0"/>
  <w15:commentEx w15:paraId="4C855650" w15:done="0"/>
  <w15:commentEx w15:paraId="41C3C72D" w15:done="0"/>
  <w15:commentEx w15:paraId="5899C669" w15:done="0"/>
  <w15:commentEx w15:paraId="2274AD1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01725" w14:textId="77777777" w:rsidR="00F47B70" w:rsidRDefault="00F47B70" w:rsidP="00363071">
      <w:r>
        <w:separator/>
      </w:r>
    </w:p>
  </w:endnote>
  <w:endnote w:type="continuationSeparator" w:id="0">
    <w:p w14:paraId="48690D16" w14:textId="77777777" w:rsidR="00F47B70" w:rsidRDefault="00F47B70" w:rsidP="0036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8376A" w14:textId="77777777" w:rsidR="00363071" w:rsidRDefault="0036307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5895" w14:textId="77777777" w:rsidR="00363071" w:rsidRDefault="0036307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D29F8" w14:textId="77777777" w:rsidR="00363071" w:rsidRDefault="003630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3C4CF" w14:textId="77777777" w:rsidR="00F47B70" w:rsidRDefault="00F47B70" w:rsidP="00363071">
      <w:r>
        <w:separator/>
      </w:r>
    </w:p>
  </w:footnote>
  <w:footnote w:type="continuationSeparator" w:id="0">
    <w:p w14:paraId="50F99BDA" w14:textId="77777777" w:rsidR="00F47B70" w:rsidRDefault="00F47B70" w:rsidP="003630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6DCE4" w14:textId="424F407C" w:rsidR="00363071" w:rsidRDefault="00F47B70">
    <w:pPr>
      <w:pStyle w:val="Header"/>
    </w:pPr>
    <w:r>
      <w:rPr>
        <w:noProof/>
      </w:rPr>
      <w:pict w14:anchorId="7C14B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10556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4A8ED" w14:textId="6332A8D3" w:rsidR="00363071" w:rsidRDefault="00F47B70">
    <w:pPr>
      <w:pStyle w:val="Header"/>
    </w:pPr>
    <w:r>
      <w:rPr>
        <w:noProof/>
      </w:rPr>
      <w:pict w14:anchorId="794B9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10556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16F7" w14:textId="491D7C04" w:rsidR="00363071" w:rsidRDefault="00F47B70">
    <w:pPr>
      <w:pStyle w:val="Header"/>
    </w:pPr>
    <w:r>
      <w:rPr>
        <w:noProof/>
      </w:rPr>
      <w:pict w14:anchorId="09CAE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10556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44E9E"/>
    <w:multiLevelType w:val="hybridMultilevel"/>
    <w:tmpl w:val="867CE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32E05D6"/>
    <w:multiLevelType w:val="multilevel"/>
    <w:tmpl w:val="3A760886"/>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566A67"/>
    <w:multiLevelType w:val="multilevel"/>
    <w:tmpl w:val="6568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63099"/>
    <w:multiLevelType w:val="multilevel"/>
    <w:tmpl w:val="4D004D82"/>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E53139"/>
    <w:multiLevelType w:val="hybridMultilevel"/>
    <w:tmpl w:val="E0A2272A"/>
    <w:lvl w:ilvl="0" w:tplc="4EB6081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iya">
    <w15:presenceInfo w15:providerId="Windows Live" w15:userId="cfa4b1045fdeb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ED"/>
    <w:rsid w:val="00040D2C"/>
    <w:rsid w:val="00062FF4"/>
    <w:rsid w:val="000A4DC7"/>
    <w:rsid w:val="0014291D"/>
    <w:rsid w:val="001A7E82"/>
    <w:rsid w:val="001C6F71"/>
    <w:rsid w:val="0022592B"/>
    <w:rsid w:val="00275A6F"/>
    <w:rsid w:val="002F18FD"/>
    <w:rsid w:val="00363071"/>
    <w:rsid w:val="003B12E1"/>
    <w:rsid w:val="00443872"/>
    <w:rsid w:val="004B157D"/>
    <w:rsid w:val="004B1DF6"/>
    <w:rsid w:val="004B6EB4"/>
    <w:rsid w:val="00535402"/>
    <w:rsid w:val="005B23ED"/>
    <w:rsid w:val="005E07E6"/>
    <w:rsid w:val="005E6188"/>
    <w:rsid w:val="006052B8"/>
    <w:rsid w:val="00616122"/>
    <w:rsid w:val="00640DE3"/>
    <w:rsid w:val="00683FBF"/>
    <w:rsid w:val="006C5B66"/>
    <w:rsid w:val="006D47B5"/>
    <w:rsid w:val="00727EE5"/>
    <w:rsid w:val="00772ED9"/>
    <w:rsid w:val="00792083"/>
    <w:rsid w:val="00794504"/>
    <w:rsid w:val="007D2DE7"/>
    <w:rsid w:val="008438E9"/>
    <w:rsid w:val="008558F9"/>
    <w:rsid w:val="008616F1"/>
    <w:rsid w:val="008E501C"/>
    <w:rsid w:val="008F6C92"/>
    <w:rsid w:val="00901FBA"/>
    <w:rsid w:val="009A716C"/>
    <w:rsid w:val="00A0230D"/>
    <w:rsid w:val="00AB349A"/>
    <w:rsid w:val="00B60A17"/>
    <w:rsid w:val="00BF43FC"/>
    <w:rsid w:val="00C1212B"/>
    <w:rsid w:val="00C9670C"/>
    <w:rsid w:val="00CC2301"/>
    <w:rsid w:val="00CE5347"/>
    <w:rsid w:val="00DB4677"/>
    <w:rsid w:val="00DC78F2"/>
    <w:rsid w:val="00DD5B1A"/>
    <w:rsid w:val="00E0149D"/>
    <w:rsid w:val="00E13880"/>
    <w:rsid w:val="00E14010"/>
    <w:rsid w:val="00E224D7"/>
    <w:rsid w:val="00E66FE8"/>
    <w:rsid w:val="00E766CD"/>
    <w:rsid w:val="00EA57ED"/>
    <w:rsid w:val="00ED0BA6"/>
    <w:rsid w:val="00F16BED"/>
    <w:rsid w:val="00F47B70"/>
    <w:rsid w:val="00F80801"/>
    <w:rsid w:val="00FD0A02"/>
    <w:rsid w:val="00FE72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484B6"/>
  <w15:chartTrackingRefBased/>
  <w15:docId w15:val="{514E27A8-7DEE-4461-A102-C6D5C97F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16BED"/>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16B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16B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16BE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16BE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16BE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16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BE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16B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16BE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16BE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16BE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16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BED"/>
    <w:rPr>
      <w:rFonts w:eastAsiaTheme="majorEastAsia" w:cstheme="majorBidi"/>
      <w:color w:val="272727" w:themeColor="text1" w:themeTint="D8"/>
    </w:rPr>
  </w:style>
  <w:style w:type="paragraph" w:styleId="Title">
    <w:name w:val="Title"/>
    <w:basedOn w:val="Normal"/>
    <w:next w:val="Normal"/>
    <w:link w:val="TitleChar"/>
    <w:uiPriority w:val="10"/>
    <w:qFormat/>
    <w:rsid w:val="00F16B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BED"/>
    <w:pPr>
      <w:spacing w:before="160"/>
      <w:jc w:val="center"/>
    </w:pPr>
    <w:rPr>
      <w:i/>
      <w:iCs/>
      <w:color w:val="404040" w:themeColor="text1" w:themeTint="BF"/>
    </w:rPr>
  </w:style>
  <w:style w:type="character" w:customStyle="1" w:styleId="QuoteChar">
    <w:name w:val="Quote Char"/>
    <w:basedOn w:val="DefaultParagraphFont"/>
    <w:link w:val="Quote"/>
    <w:uiPriority w:val="29"/>
    <w:rsid w:val="00F16BED"/>
    <w:rPr>
      <w:i/>
      <w:iCs/>
      <w:color w:val="404040" w:themeColor="text1" w:themeTint="BF"/>
    </w:rPr>
  </w:style>
  <w:style w:type="paragraph" w:styleId="ListParagraph">
    <w:name w:val="List Paragraph"/>
    <w:basedOn w:val="Normal"/>
    <w:uiPriority w:val="34"/>
    <w:qFormat/>
    <w:rsid w:val="00F16BED"/>
    <w:pPr>
      <w:ind w:left="720"/>
      <w:contextualSpacing/>
    </w:pPr>
  </w:style>
  <w:style w:type="character" w:styleId="IntenseEmphasis">
    <w:name w:val="Intense Emphasis"/>
    <w:basedOn w:val="DefaultParagraphFont"/>
    <w:uiPriority w:val="21"/>
    <w:qFormat/>
    <w:rsid w:val="00F16BED"/>
    <w:rPr>
      <w:i/>
      <w:iCs/>
      <w:color w:val="2E74B5" w:themeColor="accent1" w:themeShade="BF"/>
    </w:rPr>
  </w:style>
  <w:style w:type="paragraph" w:styleId="IntenseQuote">
    <w:name w:val="Intense Quote"/>
    <w:basedOn w:val="Normal"/>
    <w:next w:val="Normal"/>
    <w:link w:val="IntenseQuoteChar"/>
    <w:uiPriority w:val="30"/>
    <w:qFormat/>
    <w:rsid w:val="00F16B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16BED"/>
    <w:rPr>
      <w:i/>
      <w:iCs/>
      <w:color w:val="2E74B5" w:themeColor="accent1" w:themeShade="BF"/>
    </w:rPr>
  </w:style>
  <w:style w:type="character" w:styleId="IntenseReference">
    <w:name w:val="Intense Reference"/>
    <w:basedOn w:val="DefaultParagraphFont"/>
    <w:uiPriority w:val="32"/>
    <w:qFormat/>
    <w:rsid w:val="00F16BED"/>
    <w:rPr>
      <w:b/>
      <w:bCs/>
      <w:smallCaps/>
      <w:color w:val="2E74B5" w:themeColor="accent1" w:themeShade="BF"/>
      <w:spacing w:val="5"/>
    </w:rPr>
  </w:style>
  <w:style w:type="character" w:styleId="Hyperlink">
    <w:name w:val="Hyperlink"/>
    <w:uiPriority w:val="99"/>
    <w:unhideWhenUsed/>
    <w:rsid w:val="00F16BED"/>
    <w:rPr>
      <w:color w:val="0563C1"/>
      <w:u w:val="single"/>
    </w:rPr>
  </w:style>
  <w:style w:type="table" w:styleId="TableGrid">
    <w:name w:val="Table Grid"/>
    <w:basedOn w:val="TableNormal"/>
    <w:uiPriority w:val="39"/>
    <w:rsid w:val="00E14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01FBA"/>
    <w:rPr>
      <w:color w:val="605E5C"/>
      <w:shd w:val="clear" w:color="auto" w:fill="E1DFDD"/>
    </w:rPr>
  </w:style>
  <w:style w:type="paragraph" w:styleId="Header">
    <w:name w:val="header"/>
    <w:basedOn w:val="Normal"/>
    <w:link w:val="HeaderChar"/>
    <w:uiPriority w:val="99"/>
    <w:unhideWhenUsed/>
    <w:rsid w:val="00363071"/>
    <w:pPr>
      <w:tabs>
        <w:tab w:val="center" w:pos="4680"/>
        <w:tab w:val="right" w:pos="9360"/>
      </w:tabs>
    </w:pPr>
  </w:style>
  <w:style w:type="character" w:customStyle="1" w:styleId="HeaderChar">
    <w:name w:val="Header Char"/>
    <w:basedOn w:val="DefaultParagraphFont"/>
    <w:link w:val="Header"/>
    <w:uiPriority w:val="99"/>
    <w:rsid w:val="00363071"/>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363071"/>
    <w:pPr>
      <w:tabs>
        <w:tab w:val="center" w:pos="4680"/>
        <w:tab w:val="right" w:pos="9360"/>
      </w:tabs>
    </w:pPr>
  </w:style>
  <w:style w:type="character" w:customStyle="1" w:styleId="FooterChar">
    <w:name w:val="Footer Char"/>
    <w:basedOn w:val="DefaultParagraphFont"/>
    <w:link w:val="Footer"/>
    <w:uiPriority w:val="99"/>
    <w:rsid w:val="00363071"/>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22592B"/>
    <w:rPr>
      <w:sz w:val="16"/>
      <w:szCs w:val="16"/>
    </w:rPr>
  </w:style>
  <w:style w:type="paragraph" w:styleId="CommentText">
    <w:name w:val="annotation text"/>
    <w:basedOn w:val="Normal"/>
    <w:link w:val="CommentTextChar"/>
    <w:uiPriority w:val="99"/>
    <w:semiHidden/>
    <w:unhideWhenUsed/>
    <w:rsid w:val="0022592B"/>
    <w:rPr>
      <w:sz w:val="20"/>
      <w:szCs w:val="20"/>
    </w:rPr>
  </w:style>
  <w:style w:type="character" w:customStyle="1" w:styleId="CommentTextChar">
    <w:name w:val="Comment Text Char"/>
    <w:basedOn w:val="DefaultParagraphFont"/>
    <w:link w:val="CommentText"/>
    <w:uiPriority w:val="99"/>
    <w:semiHidden/>
    <w:rsid w:val="0022592B"/>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2592B"/>
    <w:rPr>
      <w:b/>
      <w:bCs/>
    </w:rPr>
  </w:style>
  <w:style w:type="character" w:customStyle="1" w:styleId="CommentSubjectChar">
    <w:name w:val="Comment Subject Char"/>
    <w:basedOn w:val="CommentTextChar"/>
    <w:link w:val="CommentSubject"/>
    <w:uiPriority w:val="99"/>
    <w:semiHidden/>
    <w:rsid w:val="0022592B"/>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225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92B"/>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svg"/><Relationship Id="rId26" Type="http://schemas.openxmlformats.org/officeDocument/2006/relationships/hyperlink" Target="https://doi.org/10.18775/ijmsba.1849-5664-5419.2014.74.1001" TargetMode="External"/><Relationship Id="rId3" Type="http://schemas.openxmlformats.org/officeDocument/2006/relationships/settings" Target="settings.xml"/><Relationship Id="rId21" Type="http://schemas.openxmlformats.org/officeDocument/2006/relationships/hyperlink" Target="https://doi.org/10.4324/9780203041918"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doi.org/10.21095/ajmr/2015/v8/i2/88213"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1111/j.1435-5597.1960.tb01705.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nhb.gov.in/Horticulture%20Statistics%20at%20a%20Glance-2021-22.pdf"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repec.its.waikato.ac.nz/wai/econwp/1208.pdf" TargetMode="External"/><Relationship Id="rId28" Type="http://schemas.microsoft.com/office/2011/relationships/people" Target="people.xml"/><Relationship Id="rId10" Type="http://schemas.openxmlformats.org/officeDocument/2006/relationships/chart" Target="charts/chart2.xml"/><Relationship Id="rId19" Type="http://schemas.openxmlformats.org/officeDocument/2006/relationships/hyperlink" Target="https://doi.org/10.1111/j.1468-0467.1965.tb00318.x"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 Id="rId22" Type="http://schemas.openxmlformats.org/officeDocument/2006/relationships/hyperlink" Target="https://doi.org/https://doi.org/10.25175/jrd/2021/v40/i3/170668"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vishnu%20thesis\Analysis\LQ%20&amp;%20SSA\APS,%20LQ,%20SS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vishnu%20thesis\Analysis\LQ%20&amp;%20SSA\APS,%20LQ,%20SS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62510936132983E-2"/>
          <c:y val="0.25439741907261593"/>
          <c:w val="0.90181933508311463"/>
          <c:h val="0.6509117089530474"/>
        </c:manualLayout>
      </c:layout>
      <c:barChart>
        <c:barDir val="col"/>
        <c:grouping val="clustered"/>
        <c:varyColors val="0"/>
        <c:ser>
          <c:idx val="0"/>
          <c:order val="0"/>
          <c:tx>
            <c:strRef>
              <c:f>APS!$AK$24</c:f>
              <c:strCache>
                <c:ptCount val="1"/>
                <c:pt idx="0">
                  <c:v>Ash Gourd</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APS!$AL$24:$AO$24</c:f>
              <c:numCache>
                <c:formatCode>0.00</c:formatCode>
                <c:ptCount val="4"/>
                <c:pt idx="0">
                  <c:v>0.05</c:v>
                </c:pt>
                <c:pt idx="1">
                  <c:v>2.6755552699542089</c:v>
                </c:pt>
                <c:pt idx="2">
                  <c:v>4.8262735729961745</c:v>
                </c:pt>
                <c:pt idx="3">
                  <c:v>5.2731617316684281</c:v>
                </c:pt>
              </c:numCache>
            </c:numRef>
          </c:val>
          <c:extLst>
            <c:ext xmlns:c16="http://schemas.microsoft.com/office/drawing/2014/chart" uri="{C3380CC4-5D6E-409C-BE32-E72D297353CC}">
              <c16:uniqueId val="{00000000-AB04-4535-8FFF-54576F91D40E}"/>
            </c:ext>
          </c:extLst>
        </c:ser>
        <c:ser>
          <c:idx val="1"/>
          <c:order val="1"/>
          <c:tx>
            <c:strRef>
              <c:f>APS!$AK$25</c:f>
              <c:strCache>
                <c:ptCount val="1"/>
                <c:pt idx="0">
                  <c:v>Bottle Gourd</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APS!$AL$25:$AO$25</c:f>
              <c:numCache>
                <c:formatCode>0.00</c:formatCode>
                <c:ptCount val="4"/>
                <c:pt idx="0">
                  <c:v>13.43</c:v>
                </c:pt>
                <c:pt idx="1">
                  <c:v>7.9162045649189698</c:v>
                </c:pt>
                <c:pt idx="2">
                  <c:v>7.6175493794791116</c:v>
                </c:pt>
                <c:pt idx="3">
                  <c:v>7.3030646908634518</c:v>
                </c:pt>
              </c:numCache>
            </c:numRef>
          </c:val>
          <c:extLst>
            <c:ext xmlns:c16="http://schemas.microsoft.com/office/drawing/2014/chart" uri="{C3380CC4-5D6E-409C-BE32-E72D297353CC}">
              <c16:uniqueId val="{00000001-AB04-4535-8FFF-54576F91D40E}"/>
            </c:ext>
          </c:extLst>
        </c:ser>
        <c:ser>
          <c:idx val="2"/>
          <c:order val="2"/>
          <c:tx>
            <c:strRef>
              <c:f>APS!$AK$26</c:f>
              <c:strCache>
                <c:ptCount val="1"/>
                <c:pt idx="0">
                  <c:v>Bitter Gourd</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APS!$AL$26:$AO$26</c:f>
              <c:numCache>
                <c:formatCode>0.00</c:formatCode>
                <c:ptCount val="4"/>
                <c:pt idx="0">
                  <c:v>28.7</c:v>
                </c:pt>
                <c:pt idx="1">
                  <c:v>39.616255197605966</c:v>
                </c:pt>
                <c:pt idx="2">
                  <c:v>32.537046747849061</c:v>
                </c:pt>
                <c:pt idx="3">
                  <c:v>23.504867072904716</c:v>
                </c:pt>
              </c:numCache>
            </c:numRef>
          </c:val>
          <c:extLst>
            <c:ext xmlns:c16="http://schemas.microsoft.com/office/drawing/2014/chart" uri="{C3380CC4-5D6E-409C-BE32-E72D297353CC}">
              <c16:uniqueId val="{00000002-AB04-4535-8FFF-54576F91D40E}"/>
            </c:ext>
          </c:extLst>
        </c:ser>
        <c:ser>
          <c:idx val="3"/>
          <c:order val="3"/>
          <c:tx>
            <c:strRef>
              <c:f>APS!$AK$27</c:f>
              <c:strCache>
                <c:ptCount val="1"/>
                <c:pt idx="0">
                  <c:v>Ridge Gourd</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APS!$AL$27:$AO$27</c:f>
              <c:numCache>
                <c:formatCode>0.00</c:formatCode>
                <c:ptCount val="4"/>
                <c:pt idx="0">
                  <c:v>25.59</c:v>
                </c:pt>
                <c:pt idx="1">
                  <c:v>27.534542682690379</c:v>
                </c:pt>
                <c:pt idx="2">
                  <c:v>29.272271747363515</c:v>
                </c:pt>
                <c:pt idx="3">
                  <c:v>16.15938356756995</c:v>
                </c:pt>
              </c:numCache>
            </c:numRef>
          </c:val>
          <c:extLst>
            <c:ext xmlns:c16="http://schemas.microsoft.com/office/drawing/2014/chart" uri="{C3380CC4-5D6E-409C-BE32-E72D297353CC}">
              <c16:uniqueId val="{00000003-AB04-4535-8FFF-54576F91D40E}"/>
            </c:ext>
          </c:extLst>
        </c:ser>
        <c:ser>
          <c:idx val="4"/>
          <c:order val="4"/>
          <c:tx>
            <c:strRef>
              <c:f>APS!$AK$28</c:f>
              <c:strCache>
                <c:ptCount val="1"/>
                <c:pt idx="0">
                  <c:v>Snake Gourd</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APS!$AL$28:$AO$28</c:f>
              <c:numCache>
                <c:formatCode>0.00</c:formatCode>
                <c:ptCount val="4"/>
                <c:pt idx="0">
                  <c:v>32.18</c:v>
                </c:pt>
                <c:pt idx="1">
                  <c:v>20.852468315792851</c:v>
                </c:pt>
                <c:pt idx="2">
                  <c:v>20.833576103633789</c:v>
                </c:pt>
                <c:pt idx="3">
                  <c:v>17.016966523611458</c:v>
                </c:pt>
              </c:numCache>
            </c:numRef>
          </c:val>
          <c:extLst>
            <c:ext xmlns:c16="http://schemas.microsoft.com/office/drawing/2014/chart" uri="{C3380CC4-5D6E-409C-BE32-E72D297353CC}">
              <c16:uniqueId val="{00000004-AB04-4535-8FFF-54576F91D40E}"/>
            </c:ext>
          </c:extLst>
        </c:ser>
        <c:ser>
          <c:idx val="5"/>
          <c:order val="5"/>
          <c:tx>
            <c:strRef>
              <c:f>APS!$AK$29</c:f>
              <c:strCache>
                <c:ptCount val="1"/>
                <c:pt idx="0">
                  <c:v>Others</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APS!$AL$23:$AO$23</c:f>
              <c:strCache>
                <c:ptCount val="4"/>
                <c:pt idx="0">
                  <c:v>Karimangalam</c:v>
                </c:pt>
                <c:pt idx="1">
                  <c:v>Palacode</c:v>
                </c:pt>
                <c:pt idx="2">
                  <c:v>Dharmapuri</c:v>
                </c:pt>
                <c:pt idx="3">
                  <c:v>Tamil Nadu</c:v>
                </c:pt>
              </c:strCache>
            </c:strRef>
          </c:cat>
          <c:val>
            <c:numRef>
              <c:f>APS!$AL$29:$AO$29</c:f>
              <c:numCache>
                <c:formatCode>0.00</c:formatCode>
                <c:ptCount val="4"/>
                <c:pt idx="0">
                  <c:v>0.05</c:v>
                </c:pt>
                <c:pt idx="1">
                  <c:v>1.4049739690376131</c:v>
                </c:pt>
                <c:pt idx="2">
                  <c:v>4.9132824486783591</c:v>
                </c:pt>
                <c:pt idx="3">
                  <c:v>30.742556413382005</c:v>
                </c:pt>
              </c:numCache>
            </c:numRef>
          </c:val>
          <c:extLst>
            <c:ext xmlns:c16="http://schemas.microsoft.com/office/drawing/2014/chart" uri="{C3380CC4-5D6E-409C-BE32-E72D297353CC}">
              <c16:uniqueId val="{00000005-AB04-4535-8FFF-54576F91D40E}"/>
            </c:ext>
          </c:extLst>
        </c:ser>
        <c:dLbls>
          <c:dLblPos val="outEnd"/>
          <c:showLegendKey val="0"/>
          <c:showVal val="1"/>
          <c:showCatName val="0"/>
          <c:showSerName val="0"/>
          <c:showPercent val="0"/>
          <c:showBubbleSize val="0"/>
        </c:dLbls>
        <c:gapWidth val="444"/>
        <c:overlap val="-90"/>
        <c:axId val="1560698784"/>
        <c:axId val="1560687744"/>
      </c:barChart>
      <c:catAx>
        <c:axId val="1560698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60687744"/>
        <c:crosses val="autoZero"/>
        <c:auto val="1"/>
        <c:lblAlgn val="ctr"/>
        <c:lblOffset val="100"/>
        <c:noMultiLvlLbl val="0"/>
      </c:catAx>
      <c:valAx>
        <c:axId val="1560687744"/>
        <c:scaling>
          <c:orientation val="minMax"/>
        </c:scaling>
        <c:delete val="1"/>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AVerage</a:t>
                </a:r>
                <a:r>
                  <a:rPr lang="en-IN" b="1" baseline="0">
                    <a:latin typeface="Times New Roman" panose="02020603050405020304" pitchFamily="18" charset="0"/>
                    <a:cs typeface="Times New Roman" panose="02020603050405020304" pitchFamily="18" charset="0"/>
                  </a:rPr>
                  <a:t> percentage share</a:t>
                </a:r>
                <a:endParaRPr lang="en-IN" b="1">
                  <a:latin typeface="Times New Roman" panose="02020603050405020304" pitchFamily="18" charset="0"/>
                  <a:cs typeface="Times New Roman" panose="02020603050405020304" pitchFamily="18" charset="0"/>
                </a:endParaRPr>
              </a:p>
            </c:rich>
          </c:tx>
          <c:layout>
            <c:manualLayout>
              <c:xMode val="edge"/>
              <c:yMode val="edge"/>
              <c:x val="3.0555555555555555E-2"/>
              <c:y val="0.23587890055409741"/>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crossAx val="1560698784"/>
        <c:crosses val="autoZero"/>
        <c:crossBetween val="between"/>
      </c:valAx>
      <c:spPr>
        <a:noFill/>
        <a:ln>
          <a:noFill/>
        </a:ln>
        <a:effectLst/>
      </c:spPr>
    </c:plotArea>
    <c:legend>
      <c:legendPos val="t"/>
      <c:layout>
        <c:manualLayout>
          <c:xMode val="edge"/>
          <c:yMode val="edge"/>
          <c:x val="4.1666666666666664E-2"/>
          <c:y val="4.8773330417031205E-2"/>
          <c:w val="0.92222222222222228"/>
          <c:h val="0.1454389034703995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a:glow rad="76200">
        <a:schemeClr val="tx1">
          <a:lumMod val="50000"/>
          <a:lumOff val="50000"/>
          <a:alpha val="99000"/>
        </a:schemeClr>
      </a:glow>
    </a:effectLst>
    <a:scene3d>
      <a:camera prst="orthographicFront"/>
      <a:lightRig rig="threePt" dir="t"/>
    </a:scene3d>
    <a:sp3d prstMaterial="dkEdge"/>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159339457567811"/>
          <c:y val="0.20348206474190725"/>
          <c:w val="0.4249245406824147"/>
          <c:h val="0.7082075678040245"/>
        </c:manualLayout>
      </c:layout>
      <c:radarChart>
        <c:radarStyle val="marker"/>
        <c:varyColors val="0"/>
        <c:ser>
          <c:idx val="0"/>
          <c:order val="0"/>
          <c:tx>
            <c:strRef>
              <c:f>'SQL-Final;'!$J$3</c:f>
              <c:strCache>
                <c:ptCount val="1"/>
                <c:pt idx="0">
                  <c:v>TN vs. DPI</c:v>
                </c:pt>
              </c:strCache>
            </c:strRef>
          </c:tx>
          <c:spPr>
            <a:ln w="28575" cap="rnd">
              <a:solidFill>
                <a:schemeClr val="accent1"/>
              </a:solidFill>
              <a:round/>
            </a:ln>
            <a:effectLst/>
          </c:spPr>
          <c:marker>
            <c:symbol val="none"/>
          </c:marker>
          <c:cat>
            <c:strRef>
              <c:f>'SQL-Final;'!$K$2:$P$2</c:f>
              <c:strCache>
                <c:ptCount val="6"/>
                <c:pt idx="0">
                  <c:v>Ash gourd</c:v>
                </c:pt>
                <c:pt idx="1">
                  <c:v>Bottle Gourd</c:v>
                </c:pt>
                <c:pt idx="2">
                  <c:v>Bitter Gourd</c:v>
                </c:pt>
                <c:pt idx="3">
                  <c:v>Ridge Gourd</c:v>
                </c:pt>
                <c:pt idx="4">
                  <c:v>Snake Gourd</c:v>
                </c:pt>
                <c:pt idx="5">
                  <c:v>Others</c:v>
                </c:pt>
              </c:strCache>
            </c:strRef>
          </c:cat>
          <c:val>
            <c:numRef>
              <c:f>'SQL-Final;'!$K$3:$P$3</c:f>
              <c:numCache>
                <c:formatCode>0.00</c:formatCode>
                <c:ptCount val="6"/>
                <c:pt idx="0">
                  <c:v>0.67512187843802696</c:v>
                </c:pt>
                <c:pt idx="1">
                  <c:v>0.83501145097795304</c:v>
                </c:pt>
                <c:pt idx="2">
                  <c:v>1.4258238235862732</c:v>
                </c:pt>
                <c:pt idx="3">
                  <c:v>1.8129241201947324</c:v>
                </c:pt>
                <c:pt idx="4">
                  <c:v>1.1693563726013572</c:v>
                </c:pt>
                <c:pt idx="5">
                  <c:v>0.14462651239287483</c:v>
                </c:pt>
              </c:numCache>
            </c:numRef>
          </c:val>
          <c:extLst>
            <c:ext xmlns:c16="http://schemas.microsoft.com/office/drawing/2014/chart" uri="{C3380CC4-5D6E-409C-BE32-E72D297353CC}">
              <c16:uniqueId val="{00000000-E511-4ECE-B475-249CA8812DBD}"/>
            </c:ext>
          </c:extLst>
        </c:ser>
        <c:ser>
          <c:idx val="1"/>
          <c:order val="1"/>
          <c:tx>
            <c:strRef>
              <c:f>'SQL-Final;'!$J$4</c:f>
              <c:strCache>
                <c:ptCount val="1"/>
                <c:pt idx="0">
                  <c:v>DPI vs. KAR</c:v>
                </c:pt>
              </c:strCache>
            </c:strRef>
          </c:tx>
          <c:spPr>
            <a:ln w="28575" cap="rnd">
              <a:solidFill>
                <a:schemeClr val="accent2"/>
              </a:solidFill>
              <a:round/>
            </a:ln>
            <a:effectLst/>
          </c:spPr>
          <c:marker>
            <c:symbol val="none"/>
          </c:marker>
          <c:cat>
            <c:strRef>
              <c:f>'SQL-Final;'!$K$2:$P$2</c:f>
              <c:strCache>
                <c:ptCount val="6"/>
                <c:pt idx="0">
                  <c:v>Ash gourd</c:v>
                </c:pt>
                <c:pt idx="1">
                  <c:v>Bottle Gourd</c:v>
                </c:pt>
                <c:pt idx="2">
                  <c:v>Bitter Gourd</c:v>
                </c:pt>
                <c:pt idx="3">
                  <c:v>Ridge Gourd</c:v>
                </c:pt>
                <c:pt idx="4">
                  <c:v>Snake Gourd</c:v>
                </c:pt>
                <c:pt idx="5">
                  <c:v>Others</c:v>
                </c:pt>
              </c:strCache>
            </c:strRef>
          </c:cat>
          <c:val>
            <c:numRef>
              <c:f>'SQL-Final;'!$K$4:$P$4</c:f>
              <c:numCache>
                <c:formatCode>0.00</c:formatCode>
                <c:ptCount val="6"/>
                <c:pt idx="0">
                  <c:v>0.01</c:v>
                </c:pt>
                <c:pt idx="1">
                  <c:v>1.59</c:v>
                </c:pt>
                <c:pt idx="2">
                  <c:v>0.96207389404184995</c:v>
                </c:pt>
                <c:pt idx="3">
                  <c:v>0.91646823168309299</c:v>
                </c:pt>
                <c:pt idx="4">
                  <c:v>1.5212383720510942</c:v>
                </c:pt>
                <c:pt idx="5">
                  <c:v>6.20985383020063E-3</c:v>
                </c:pt>
              </c:numCache>
            </c:numRef>
          </c:val>
          <c:extLst>
            <c:ext xmlns:c16="http://schemas.microsoft.com/office/drawing/2014/chart" uri="{C3380CC4-5D6E-409C-BE32-E72D297353CC}">
              <c16:uniqueId val="{00000001-E511-4ECE-B475-249CA8812DBD}"/>
            </c:ext>
          </c:extLst>
        </c:ser>
        <c:ser>
          <c:idx val="2"/>
          <c:order val="2"/>
          <c:tx>
            <c:strRef>
              <c:f>'SQL-Final;'!$J$5</c:f>
              <c:strCache>
                <c:ptCount val="1"/>
                <c:pt idx="0">
                  <c:v>DPI vs. PAL</c:v>
                </c:pt>
              </c:strCache>
            </c:strRef>
          </c:tx>
          <c:spPr>
            <a:ln w="28575" cap="rnd">
              <a:solidFill>
                <a:schemeClr val="accent3"/>
              </a:solidFill>
              <a:round/>
            </a:ln>
            <a:effectLst/>
          </c:spPr>
          <c:marker>
            <c:symbol val="none"/>
          </c:marker>
          <c:cat>
            <c:strRef>
              <c:f>'SQL-Final;'!$K$2:$P$2</c:f>
              <c:strCache>
                <c:ptCount val="6"/>
                <c:pt idx="0">
                  <c:v>Ash gourd</c:v>
                </c:pt>
                <c:pt idx="1">
                  <c:v>Bottle Gourd</c:v>
                </c:pt>
                <c:pt idx="2">
                  <c:v>Bitter Gourd</c:v>
                </c:pt>
                <c:pt idx="3">
                  <c:v>Ridge Gourd</c:v>
                </c:pt>
                <c:pt idx="4">
                  <c:v>Snake Gourd</c:v>
                </c:pt>
                <c:pt idx="5">
                  <c:v>Others</c:v>
                </c:pt>
              </c:strCache>
            </c:strRef>
          </c:cat>
          <c:val>
            <c:numRef>
              <c:f>'SQL-Final;'!$K$5:$P$5</c:f>
              <c:numCache>
                <c:formatCode>0.00</c:formatCode>
                <c:ptCount val="6"/>
                <c:pt idx="0">
                  <c:v>0.40878384183479477</c:v>
                </c:pt>
                <c:pt idx="1">
                  <c:v>0.95006314244845425</c:v>
                </c:pt>
                <c:pt idx="2">
                  <c:v>1.1971331775525331</c:v>
                </c:pt>
                <c:pt idx="3">
                  <c:v>0.99027600879818001</c:v>
                </c:pt>
                <c:pt idx="4">
                  <c:v>1.0196562344017934</c:v>
                </c:pt>
                <c:pt idx="5">
                  <c:v>0.18362197132907823</c:v>
                </c:pt>
              </c:numCache>
            </c:numRef>
          </c:val>
          <c:extLst>
            <c:ext xmlns:c16="http://schemas.microsoft.com/office/drawing/2014/chart" uri="{C3380CC4-5D6E-409C-BE32-E72D297353CC}">
              <c16:uniqueId val="{00000002-E511-4ECE-B475-249CA8812DBD}"/>
            </c:ext>
          </c:extLst>
        </c:ser>
        <c:dLbls>
          <c:showLegendKey val="0"/>
          <c:showVal val="0"/>
          <c:showCatName val="0"/>
          <c:showSerName val="0"/>
          <c:showPercent val="0"/>
          <c:showBubbleSize val="0"/>
        </c:dLbls>
        <c:axId val="339203648"/>
        <c:axId val="339210848"/>
      </c:radarChart>
      <c:catAx>
        <c:axId val="33920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210848"/>
        <c:crosses val="autoZero"/>
        <c:auto val="1"/>
        <c:lblAlgn val="ctr"/>
        <c:lblOffset val="100"/>
        <c:noMultiLvlLbl val="0"/>
      </c:catAx>
      <c:valAx>
        <c:axId val="3392108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9203648"/>
        <c:crosses val="autoZero"/>
        <c:crossBetween val="between"/>
        <c:majorUnit val="0.5"/>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a:glow rad="63500">
        <a:schemeClr val="bg2">
          <a:lumMod val="75000"/>
          <a:alpha val="94000"/>
        </a:schemeClr>
      </a:glow>
      <a:outerShdw blurRad="76200" dist="50800" dir="5400000" algn="ctr" rotWithShape="0">
        <a:schemeClr val="bg2">
          <a:lumMod val="75000"/>
          <a:alpha val="89000"/>
        </a:schemeClr>
      </a:outerShdw>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11</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vishnuprabu s</dc:creator>
  <cp:keywords/>
  <dc:description/>
  <cp:lastModifiedBy>Priya</cp:lastModifiedBy>
  <cp:revision>37</cp:revision>
  <cp:lastPrinted>2025-11-09T19:02:00Z</cp:lastPrinted>
  <dcterms:created xsi:type="dcterms:W3CDTF">2025-11-09T09:47:00Z</dcterms:created>
  <dcterms:modified xsi:type="dcterms:W3CDTF">2025-11-28T10:24:00Z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c772a72e-ad65-4ba7-9778-cbf3c9b2cdc1</vt:lpwstr>
  </property>
</Properties>
</file>