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CA94" w14:textId="77777777" w:rsidR="00033895" w:rsidRDefault="00033895" w:rsidP="0051138C">
      <w:pPr>
        <w:rPr>
          <w:rFonts w:ascii="Times New Roman" w:hAnsi="Times New Roman" w:cs="Times New Roman"/>
          <w:b/>
          <w:bCs/>
          <w:sz w:val="28"/>
          <w:szCs w:val="28"/>
        </w:rPr>
      </w:pPr>
      <w:bookmarkStart w:id="0" w:name="_Hlk214269018"/>
      <w:bookmarkStart w:id="1" w:name="_Hlk83508091"/>
      <w:commentRangeStart w:id="2"/>
      <w:r w:rsidRPr="00033895">
        <w:rPr>
          <w:rFonts w:ascii="Times New Roman" w:hAnsi="Times New Roman" w:cs="Times New Roman"/>
          <w:b/>
          <w:bCs/>
          <w:sz w:val="28"/>
          <w:szCs w:val="28"/>
        </w:rPr>
        <w:t xml:space="preserve">Seasonal Stress Induces Oxidative Imbalance, </w:t>
      </w:r>
      <w:proofErr w:type="spellStart"/>
      <w:r w:rsidRPr="00033895">
        <w:rPr>
          <w:rFonts w:ascii="Times New Roman" w:hAnsi="Times New Roman" w:cs="Times New Roman"/>
          <w:b/>
          <w:bCs/>
          <w:sz w:val="28"/>
          <w:szCs w:val="28"/>
        </w:rPr>
        <w:t>Hematological</w:t>
      </w:r>
      <w:proofErr w:type="spellEnd"/>
      <w:r w:rsidRPr="00033895">
        <w:rPr>
          <w:rFonts w:ascii="Times New Roman" w:hAnsi="Times New Roman" w:cs="Times New Roman"/>
          <w:b/>
          <w:bCs/>
          <w:sz w:val="28"/>
          <w:szCs w:val="28"/>
        </w:rPr>
        <w:t xml:space="preserve"> Changes, and Modulation of Key Metabolic Enzymes in Yorkshire Pigs</w:t>
      </w:r>
      <w:commentRangeEnd w:id="2"/>
      <w:r w:rsidR="00723107">
        <w:rPr>
          <w:rStyle w:val="CommentReference"/>
        </w:rPr>
        <w:commentReference w:id="2"/>
      </w:r>
    </w:p>
    <w:p w14:paraId="390B99F7" w14:textId="77777777" w:rsidR="0051138C" w:rsidRPr="000733D3" w:rsidRDefault="0051138C" w:rsidP="0051138C">
      <w:pPr>
        <w:spacing w:line="360" w:lineRule="auto"/>
        <w:jc w:val="both"/>
        <w:rPr>
          <w:rFonts w:ascii="Times New Roman" w:hAnsi="Times New Roman" w:cs="Times New Roman"/>
          <w:b/>
          <w:bCs/>
          <w:sz w:val="24"/>
          <w:szCs w:val="24"/>
        </w:rPr>
      </w:pPr>
      <w:commentRangeStart w:id="3"/>
      <w:r w:rsidRPr="000733D3">
        <w:rPr>
          <w:rFonts w:ascii="Times New Roman" w:hAnsi="Times New Roman" w:cs="Times New Roman"/>
          <w:b/>
          <w:bCs/>
          <w:sz w:val="24"/>
          <w:szCs w:val="24"/>
        </w:rPr>
        <w:t>Abstract</w:t>
      </w:r>
      <w:commentRangeEnd w:id="3"/>
      <w:r w:rsidR="00723107">
        <w:rPr>
          <w:rStyle w:val="CommentReference"/>
        </w:rPr>
        <w:commentReference w:id="3"/>
      </w:r>
    </w:p>
    <w:p w14:paraId="0CC4C8A5" w14:textId="28537D5D" w:rsidR="0051138C" w:rsidRPr="000733D3" w:rsidRDefault="00D7025D"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Climate change driven heat stress increasingly challenges livestock and contributes to substantial production losses. Therefore, a comprehensive evaluation of the impact of seasonal stress is essential to understand these physiological disruptions and to develop strategies that can mitigate heat induced production losses. </w:t>
      </w:r>
      <w:r w:rsidR="0051138C" w:rsidRPr="000733D3">
        <w:rPr>
          <w:rFonts w:ascii="Times New Roman" w:hAnsi="Times New Roman" w:cs="Times New Roman"/>
          <w:sz w:val="24"/>
          <w:szCs w:val="24"/>
        </w:rPr>
        <w:t xml:space="preserve">This study evaluated the impact of winter, spring and summer seasons on </w:t>
      </w:r>
      <w:r w:rsidR="001F446A" w:rsidRPr="000733D3">
        <w:rPr>
          <w:rFonts w:ascii="Times New Roman" w:hAnsi="Times New Roman" w:cs="Times New Roman"/>
          <w:sz w:val="24"/>
          <w:szCs w:val="24"/>
        </w:rPr>
        <w:t xml:space="preserve">oxidative stress parameters, </w:t>
      </w:r>
      <w:proofErr w:type="spellStart"/>
      <w:r w:rsidR="0051138C" w:rsidRPr="000733D3">
        <w:rPr>
          <w:rFonts w:ascii="Times New Roman" w:hAnsi="Times New Roman" w:cs="Times New Roman"/>
          <w:sz w:val="24"/>
          <w:szCs w:val="24"/>
        </w:rPr>
        <w:t>hematological</w:t>
      </w:r>
      <w:proofErr w:type="spellEnd"/>
      <w:r w:rsidR="001F446A" w:rsidRPr="000733D3">
        <w:rPr>
          <w:rFonts w:ascii="Times New Roman" w:hAnsi="Times New Roman" w:cs="Times New Roman"/>
          <w:sz w:val="24"/>
          <w:szCs w:val="24"/>
        </w:rPr>
        <w:t xml:space="preserve"> and</w:t>
      </w:r>
      <w:r w:rsidR="0051138C" w:rsidRPr="000733D3">
        <w:rPr>
          <w:rFonts w:ascii="Times New Roman" w:hAnsi="Times New Roman" w:cs="Times New Roman"/>
          <w:sz w:val="24"/>
          <w:szCs w:val="24"/>
        </w:rPr>
        <w:t xml:space="preserve"> biochemical </w:t>
      </w:r>
      <w:r w:rsidR="001F446A" w:rsidRPr="000733D3">
        <w:rPr>
          <w:rFonts w:ascii="Times New Roman" w:hAnsi="Times New Roman" w:cs="Times New Roman"/>
          <w:sz w:val="24"/>
          <w:szCs w:val="24"/>
        </w:rPr>
        <w:t xml:space="preserve">parameters </w:t>
      </w:r>
      <w:r w:rsidR="0051138C" w:rsidRPr="000733D3">
        <w:rPr>
          <w:rFonts w:ascii="Times New Roman" w:hAnsi="Times New Roman" w:cs="Times New Roman"/>
          <w:sz w:val="24"/>
          <w:szCs w:val="24"/>
        </w:rPr>
        <w:t>in Yorkshire pigs reared under intensive production. A total of 24 healthy pigs (12 growers and 12 finishers) were monitored, and blood samples were collected during each season for analysis.</w:t>
      </w:r>
      <w:r w:rsidR="001F446A" w:rsidRPr="000733D3">
        <w:rPr>
          <w:rFonts w:ascii="Times New Roman" w:hAnsi="Times New Roman" w:cs="Times New Roman"/>
          <w:sz w:val="24"/>
          <w:szCs w:val="24"/>
        </w:rPr>
        <w:t xml:space="preserve"> </w:t>
      </w:r>
      <w:r w:rsidR="00BB1C46" w:rsidRPr="000733D3">
        <w:rPr>
          <w:rFonts w:ascii="Times New Roman" w:hAnsi="Times New Roman" w:cs="Times New Roman"/>
          <w:sz w:val="24"/>
          <w:szCs w:val="24"/>
        </w:rPr>
        <w:t>Oxidative stress assessment revealed markedly elevated activity of glutathione reductase, significantly low reduced glutathione levels and further elevated malondialdehyde levels</w:t>
      </w:r>
      <w:r w:rsidR="001C3597" w:rsidRPr="000733D3">
        <w:rPr>
          <w:rFonts w:ascii="Times New Roman" w:hAnsi="Times New Roman" w:cs="Times New Roman"/>
          <w:sz w:val="24"/>
          <w:szCs w:val="24"/>
        </w:rPr>
        <w:t xml:space="preserve"> during summer season. This</w:t>
      </w:r>
      <w:r w:rsidR="00BB1C46" w:rsidRPr="000733D3">
        <w:rPr>
          <w:rFonts w:ascii="Times New Roman" w:hAnsi="Times New Roman" w:cs="Times New Roman"/>
          <w:sz w:val="24"/>
          <w:szCs w:val="24"/>
        </w:rPr>
        <w:t xml:space="preserve"> confirm</w:t>
      </w:r>
      <w:r w:rsidR="001C3597" w:rsidRPr="000733D3">
        <w:rPr>
          <w:rFonts w:ascii="Times New Roman" w:hAnsi="Times New Roman" w:cs="Times New Roman"/>
          <w:sz w:val="24"/>
          <w:szCs w:val="24"/>
        </w:rPr>
        <w:t>s oxidative stress with</w:t>
      </w:r>
      <w:r w:rsidR="00BB1C46" w:rsidRPr="000733D3">
        <w:rPr>
          <w:rFonts w:ascii="Times New Roman" w:hAnsi="Times New Roman" w:cs="Times New Roman"/>
          <w:sz w:val="24"/>
          <w:szCs w:val="24"/>
        </w:rPr>
        <w:t xml:space="preserve"> enhanced lipid peroxidation </w:t>
      </w:r>
      <w:r w:rsidR="001C3597" w:rsidRPr="000733D3">
        <w:rPr>
          <w:rFonts w:ascii="Times New Roman" w:hAnsi="Times New Roman" w:cs="Times New Roman"/>
          <w:sz w:val="24"/>
          <w:szCs w:val="24"/>
        </w:rPr>
        <w:t>compromising the integrity of the cells</w:t>
      </w:r>
      <w:r w:rsidR="00BB1C46" w:rsidRPr="000733D3">
        <w:rPr>
          <w:rFonts w:ascii="Times New Roman" w:hAnsi="Times New Roman" w:cs="Times New Roman"/>
          <w:sz w:val="24"/>
          <w:szCs w:val="24"/>
        </w:rPr>
        <w:t xml:space="preserve">. </w:t>
      </w:r>
      <w:proofErr w:type="spellStart"/>
      <w:r w:rsidR="0051138C" w:rsidRPr="000733D3">
        <w:rPr>
          <w:rFonts w:ascii="Times New Roman" w:hAnsi="Times New Roman" w:cs="Times New Roman"/>
          <w:sz w:val="24"/>
          <w:szCs w:val="24"/>
        </w:rPr>
        <w:t>Hematological</w:t>
      </w:r>
      <w:proofErr w:type="spellEnd"/>
      <w:r w:rsidR="0051138C" w:rsidRPr="000733D3">
        <w:rPr>
          <w:rFonts w:ascii="Times New Roman" w:hAnsi="Times New Roman" w:cs="Times New Roman"/>
          <w:sz w:val="24"/>
          <w:szCs w:val="24"/>
        </w:rPr>
        <w:t xml:space="preserve"> results showed significantly lower </w:t>
      </w:r>
      <w:proofErr w:type="spellStart"/>
      <w:r w:rsidR="0051138C" w:rsidRPr="000733D3">
        <w:rPr>
          <w:rFonts w:ascii="Times New Roman" w:hAnsi="Times New Roman" w:cs="Times New Roman"/>
          <w:sz w:val="24"/>
          <w:szCs w:val="24"/>
        </w:rPr>
        <w:t>hemoglobin</w:t>
      </w:r>
      <w:proofErr w:type="spellEnd"/>
      <w:r w:rsidR="0051138C" w:rsidRPr="000733D3">
        <w:rPr>
          <w:rFonts w:ascii="Times New Roman" w:hAnsi="Times New Roman" w:cs="Times New Roman"/>
          <w:sz w:val="24"/>
          <w:szCs w:val="24"/>
        </w:rPr>
        <w:t xml:space="preserve"> and packed cell volume</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during winter and summer, with the decline more evident in summer. Total leukocyte count decreased significantly in summer, accompanied by elevated neutrophil percentage, reduced lymphocyte percentage and an increased neutrophil-to-lymphocyte ratio, </w:t>
      </w:r>
      <w:r w:rsidR="001C3597" w:rsidRPr="000733D3">
        <w:rPr>
          <w:rFonts w:ascii="Times New Roman" w:hAnsi="Times New Roman" w:cs="Times New Roman"/>
          <w:sz w:val="24"/>
          <w:szCs w:val="24"/>
        </w:rPr>
        <w:t>likely associated with compromised membrane integrity under seasonal stress</w:t>
      </w:r>
      <w:r w:rsidR="0051138C" w:rsidRPr="000733D3">
        <w:rPr>
          <w:rFonts w:ascii="Times New Roman" w:hAnsi="Times New Roman" w:cs="Times New Roman"/>
          <w:sz w:val="24"/>
          <w:szCs w:val="24"/>
        </w:rPr>
        <w:t>. Metabolic enzymes, including</w:t>
      </w:r>
      <w:r w:rsidR="00C81F68" w:rsidRPr="000733D3">
        <w:rPr>
          <w:rFonts w:ascii="Times New Roman" w:hAnsi="Times New Roman" w:cs="Times New Roman"/>
          <w:sz w:val="24"/>
          <w:szCs w:val="24"/>
        </w:rPr>
        <w:t xml:space="preserve"> alanine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aspartate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gamma glutamyl transferase</w:t>
      </w:r>
      <w:r w:rsidR="0051138C" w:rsidRPr="000733D3">
        <w:rPr>
          <w:rFonts w:ascii="Times New Roman" w:hAnsi="Times New Roman" w:cs="Times New Roman"/>
          <w:sz w:val="24"/>
          <w:szCs w:val="24"/>
        </w:rPr>
        <w:t xml:space="preserve"> and </w:t>
      </w:r>
      <w:r w:rsidR="00C81F68" w:rsidRPr="000733D3">
        <w:rPr>
          <w:rFonts w:ascii="Times New Roman" w:hAnsi="Times New Roman" w:cs="Times New Roman"/>
          <w:sz w:val="24"/>
          <w:szCs w:val="24"/>
        </w:rPr>
        <w:t>lactate dehydrogenase</w:t>
      </w:r>
      <w:r w:rsidR="0051138C" w:rsidRPr="000733D3">
        <w:rPr>
          <w:rFonts w:ascii="Times New Roman" w:hAnsi="Times New Roman" w:cs="Times New Roman"/>
          <w:sz w:val="24"/>
          <w:szCs w:val="24"/>
        </w:rPr>
        <w:t>, recorded significantly higher activities during summer, suggesting heat</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induced metabolic strain and potential tissue leakage. These findings demonstrate that seasonal stress</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particularly summer heat</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leads to marked oxidative imbalance and </w:t>
      </w:r>
      <w:proofErr w:type="spellStart"/>
      <w:r w:rsidR="0051138C" w:rsidRPr="000733D3">
        <w:rPr>
          <w:rFonts w:ascii="Times New Roman" w:hAnsi="Times New Roman" w:cs="Times New Roman"/>
          <w:sz w:val="24"/>
          <w:szCs w:val="24"/>
        </w:rPr>
        <w:t>hemato</w:t>
      </w:r>
      <w:proofErr w:type="spellEnd"/>
      <w:r w:rsidR="001F446A" w:rsidRPr="000733D3">
        <w:rPr>
          <w:rFonts w:ascii="Times New Roman" w:hAnsi="Times New Roman" w:cs="Times New Roman"/>
          <w:sz w:val="24"/>
          <w:szCs w:val="24"/>
        </w:rPr>
        <w:t>-biochemical</w:t>
      </w:r>
      <w:r w:rsidR="0051138C" w:rsidRPr="000733D3">
        <w:rPr>
          <w:rFonts w:ascii="Times New Roman" w:hAnsi="Times New Roman" w:cs="Times New Roman"/>
          <w:sz w:val="24"/>
          <w:szCs w:val="24"/>
        </w:rPr>
        <w:t xml:space="preserve"> alterations in Yorkshire pigs. Understanding these physiological responses is essential for developing management strategies to mitigate the adverse effects of thermal stress on pig health and productivity.</w:t>
      </w:r>
    </w:p>
    <w:bookmarkEnd w:id="0"/>
    <w:p w14:paraId="223C752F" w14:textId="1EC5290E" w:rsidR="00F348F0" w:rsidRPr="000733D3" w:rsidRDefault="00F348F0" w:rsidP="00F348F0">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INTRODUCTION</w:t>
      </w:r>
    </w:p>
    <w:p w14:paraId="5CBA6FF4" w14:textId="28CDEA0C" w:rsidR="00F71F94" w:rsidRPr="000733D3" w:rsidRDefault="00F71F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 xml:space="preserve">Animal husbandry plays </w:t>
      </w:r>
      <w:r w:rsidR="00564489" w:rsidRPr="000733D3">
        <w:rPr>
          <w:rFonts w:ascii="Times New Roman" w:hAnsi="Times New Roman" w:cs="Times New Roman"/>
          <w:sz w:val="24"/>
          <w:szCs w:val="24"/>
        </w:rPr>
        <w:t xml:space="preserve">an </w:t>
      </w:r>
      <w:r w:rsidRPr="000733D3">
        <w:rPr>
          <w:rFonts w:ascii="Times New Roman" w:hAnsi="Times New Roman" w:cs="Times New Roman"/>
          <w:sz w:val="24"/>
          <w:szCs w:val="24"/>
        </w:rPr>
        <w:t xml:space="preserve">important role in development of the country especially for the rural community. India, with the highest livestock population, possesses 11.54% of the total world livestock population (Singh, 2020). Different hereditary traits of pigs like high feed conversion efficiency, high fecundity, short generation interval and early maturation contribute to the greater potential to help farmers see a faster rate of economic return as compared to other livestock species (Legault, 1985). Different factors affecting the development of livestock </w:t>
      </w:r>
      <w:r w:rsidRPr="000733D3">
        <w:rPr>
          <w:rFonts w:ascii="Times New Roman" w:hAnsi="Times New Roman" w:cs="Times New Roman"/>
          <w:sz w:val="24"/>
          <w:szCs w:val="24"/>
        </w:rPr>
        <w:lastRenderedPageBreak/>
        <w:t xml:space="preserve">includes climate, health, diseases and nutrition, among which, climate plays the most significant factor (Cheng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2022). The global climate change has accelerated due to different human activities in the recent years leading to drastic changes in the atmospheric temperature and humidity. Climate change affects the livestock production with a rise in livestock diseases, environmental stress and biodiversity loss and by competition for natural resources, quantity and quality of feeds (Cheng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w:t>
      </w:r>
      <w:commentRangeStart w:id="4"/>
      <w:r w:rsidRPr="000733D3">
        <w:rPr>
          <w:rFonts w:ascii="Times New Roman" w:hAnsi="Times New Roman" w:cs="Times New Roman"/>
          <w:sz w:val="24"/>
          <w:szCs w:val="24"/>
        </w:rPr>
        <w:t>2022</w:t>
      </w:r>
      <w:commentRangeEnd w:id="4"/>
      <w:r w:rsidR="00466C45">
        <w:rPr>
          <w:rStyle w:val="CommentReference"/>
        </w:rPr>
        <w:commentReference w:id="4"/>
      </w:r>
      <w:r w:rsidRPr="000733D3">
        <w:rPr>
          <w:rFonts w:ascii="Times New Roman" w:hAnsi="Times New Roman" w:cs="Times New Roman"/>
          <w:sz w:val="24"/>
          <w:szCs w:val="24"/>
        </w:rPr>
        <w:t xml:space="preserve">). </w:t>
      </w:r>
    </w:p>
    <w:p w14:paraId="198E071E" w14:textId="74680669" w:rsidR="00195094" w:rsidRPr="000733D3" w:rsidRDefault="001950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The Thermo-Neutral Zone (TNZ) is the ambient temperature range in which animals maintain physiological functions with minimal energy expenditure (Mount, 1968). In pigs, the TNZ is narrow (18–25°C), making them highly susceptible to heat stress due to their limited sweating ability and thick subcutaneous fat (EFSA, 2020; Mayorga, 2019). Acclimatization to the extreme weather can inflict different behavioural, physiological and metabolically adaptive responses aimed at maintaining their homeostasis; which causes stress to the animals thus leading to decrease in the health status (</w:t>
      </w:r>
      <w:proofErr w:type="spellStart"/>
      <w:r w:rsidRPr="000733D3">
        <w:rPr>
          <w:rFonts w:ascii="Times New Roman" w:hAnsi="Times New Roman" w:cs="Times New Roman"/>
          <w:sz w:val="24"/>
          <w:szCs w:val="24"/>
        </w:rPr>
        <w:t>Bernabucci</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2010). Exposure to temperatures beyond the TNZ disrupts homeostasis and triggers behavioural and physiological adaptations</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such as wallowing, reduced gut blood flow, elevated body temperature and respiration rate</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that ultimately impair growth, metabolism and production (Silva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2009; Ross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2015</w:t>
      </w:r>
      <w:r w:rsidR="00C466D2" w:rsidRPr="000733D3">
        <w:rPr>
          <w:rFonts w:ascii="Times New Roman" w:hAnsi="Times New Roman" w:cs="Times New Roman"/>
          <w:sz w:val="24"/>
          <w:szCs w:val="24"/>
        </w:rPr>
        <w:t xml:space="preserve">; Teixeira </w:t>
      </w:r>
      <w:r w:rsidR="000733D3" w:rsidRPr="000733D3">
        <w:rPr>
          <w:rFonts w:ascii="Times New Roman" w:hAnsi="Times New Roman" w:cs="Times New Roman"/>
          <w:i/>
          <w:iCs/>
          <w:sz w:val="24"/>
          <w:szCs w:val="24"/>
        </w:rPr>
        <w:t>et al</w:t>
      </w:r>
      <w:r w:rsidR="00C466D2" w:rsidRPr="000733D3">
        <w:rPr>
          <w:rFonts w:ascii="Times New Roman" w:hAnsi="Times New Roman" w:cs="Times New Roman"/>
          <w:sz w:val="24"/>
          <w:szCs w:val="24"/>
        </w:rPr>
        <w:t>., 2021</w:t>
      </w:r>
      <w:r w:rsidRPr="000733D3">
        <w:rPr>
          <w:rFonts w:ascii="Times New Roman" w:hAnsi="Times New Roman" w:cs="Times New Roman"/>
          <w:sz w:val="24"/>
          <w:szCs w:val="24"/>
        </w:rPr>
        <w:t xml:space="preserve">). </w:t>
      </w:r>
    </w:p>
    <w:p w14:paraId="589F5D7F" w14:textId="61A78B71" w:rsidR="00BC6BEC" w:rsidRPr="000733D3" w:rsidRDefault="00BC6BEC" w:rsidP="00195094">
      <w:pPr>
        <w:spacing w:line="360" w:lineRule="auto"/>
        <w:ind w:firstLine="720"/>
        <w:jc w:val="both"/>
        <w:rPr>
          <w:rFonts w:ascii="Times New Roman" w:hAnsi="Times New Roman" w:cs="Times New Roman"/>
          <w:sz w:val="24"/>
          <w:szCs w:val="24"/>
        </w:rPr>
      </w:pPr>
      <w:commentRangeStart w:id="5"/>
      <w:r w:rsidRPr="000733D3">
        <w:rPr>
          <w:rFonts w:ascii="Times New Roman" w:hAnsi="Times New Roman" w:cs="Times New Roman"/>
          <w:sz w:val="24"/>
          <w:szCs w:val="24"/>
        </w:rPr>
        <w:t xml:space="preserve">With the rapid progression of global warming and climate change, there is an urgent need for a comprehensive understanding of the </w:t>
      </w:r>
      <w:proofErr w:type="spellStart"/>
      <w:r w:rsidRPr="000733D3">
        <w:rPr>
          <w:rFonts w:ascii="Times New Roman" w:hAnsi="Times New Roman" w:cs="Times New Roman"/>
          <w:sz w:val="24"/>
          <w:szCs w:val="24"/>
        </w:rPr>
        <w:t>physico</w:t>
      </w:r>
      <w:proofErr w:type="spellEnd"/>
      <w:r w:rsidRPr="000733D3">
        <w:rPr>
          <w:rFonts w:ascii="Times New Roman" w:hAnsi="Times New Roman" w:cs="Times New Roman"/>
          <w:sz w:val="24"/>
          <w:szCs w:val="24"/>
        </w:rPr>
        <w:t xml:space="preserve">-biochemical changes that occur in animals exposed to heat stress. Adaptation to heat stress results in increased production of reactive oxygen species (ROS), often exceeding the neutralizing capacity of endogenous antioxidants (Mujahid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2005). This imbalance leads to ROS accumulation, which damages cell membranes and intracellular components, ultimately causing oxidative stress. Oxidative stress compromises cellular integrity by altering membrane permeability and disrupting normal physiological functions. Therefore, the aim of this study was to evaluate seasonal variations in oxidative stress markers,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parameters and metabolic enzymes in grower and finisher pigs during winter, spring and summer.</w:t>
      </w:r>
      <w:commentRangeEnd w:id="5"/>
      <w:r w:rsidR="00D308BD">
        <w:rPr>
          <w:rStyle w:val="CommentReference"/>
        </w:rPr>
        <w:commentReference w:id="5"/>
      </w:r>
    </w:p>
    <w:p w14:paraId="1271E965" w14:textId="53D2CA15" w:rsidR="00F348F0" w:rsidRPr="000733D3" w:rsidRDefault="00F348F0" w:rsidP="00F348F0">
      <w:pPr>
        <w:spacing w:line="360" w:lineRule="auto"/>
        <w:jc w:val="both"/>
        <w:rPr>
          <w:rFonts w:ascii="Times New Roman" w:hAnsi="Times New Roman" w:cs="Times New Roman"/>
          <w:b/>
          <w:bCs/>
          <w:sz w:val="24"/>
          <w:szCs w:val="24"/>
        </w:rPr>
      </w:pPr>
      <w:commentRangeStart w:id="6"/>
      <w:r w:rsidRPr="000733D3">
        <w:rPr>
          <w:rFonts w:ascii="Times New Roman" w:hAnsi="Times New Roman" w:cs="Times New Roman"/>
          <w:b/>
          <w:bCs/>
          <w:sz w:val="24"/>
          <w:szCs w:val="24"/>
        </w:rPr>
        <w:t>MATERIALS AND METHOD</w:t>
      </w:r>
      <w:commentRangeEnd w:id="6"/>
      <w:r w:rsidR="000B3B98">
        <w:rPr>
          <w:rStyle w:val="CommentReference"/>
        </w:rPr>
        <w:commentReference w:id="6"/>
      </w:r>
    </w:p>
    <w:p w14:paraId="311D6BDF" w14:textId="10CFE431" w:rsidR="00FF1006" w:rsidRPr="000733D3" w:rsidRDefault="00FF1006" w:rsidP="00FF1006">
      <w:pPr>
        <w:spacing w:after="80"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 xml:space="preserve">Experimental animals: </w:t>
      </w:r>
      <w:r w:rsidRPr="000733D3">
        <w:rPr>
          <w:rFonts w:ascii="Times New Roman" w:hAnsi="Times New Roman" w:cs="Times New Roman"/>
          <w:sz w:val="24"/>
          <w:szCs w:val="24"/>
        </w:rPr>
        <w:t xml:space="preserve">A total of 24 healthy Yorkshire pigs divided into 12 grower pigs (3 – 4 months old), 6 males and 6 females and 12 finisher pigs (6 – 7 months old), 6 males and 6 females reared under intensive system supplied with normal diets and ad libitum water were selected from a local pig farm in Ludhiana, </w:t>
      </w:r>
      <w:commentRangeStart w:id="7"/>
      <w:r w:rsidRPr="000733D3">
        <w:rPr>
          <w:rFonts w:ascii="Times New Roman" w:hAnsi="Times New Roman" w:cs="Times New Roman"/>
          <w:sz w:val="24"/>
          <w:szCs w:val="24"/>
        </w:rPr>
        <w:t>Punjab</w:t>
      </w:r>
      <w:commentRangeEnd w:id="7"/>
      <w:r w:rsidR="00F213ED">
        <w:rPr>
          <w:rStyle w:val="CommentReference"/>
        </w:rPr>
        <w:commentReference w:id="7"/>
      </w:r>
      <w:r w:rsidRPr="000733D3">
        <w:rPr>
          <w:rFonts w:ascii="Times New Roman" w:hAnsi="Times New Roman" w:cs="Times New Roman"/>
          <w:sz w:val="24"/>
          <w:szCs w:val="24"/>
        </w:rPr>
        <w:t xml:space="preserve">. </w:t>
      </w:r>
    </w:p>
    <w:p w14:paraId="50C02114" w14:textId="77777777" w:rsidR="00FF1006" w:rsidRPr="000733D3" w:rsidRDefault="00FF1006" w:rsidP="00FF1006">
      <w:pPr>
        <w:spacing w:after="80" w:line="360" w:lineRule="auto"/>
        <w:jc w:val="both"/>
        <w:rPr>
          <w:rFonts w:ascii="Times New Roman" w:eastAsia="Calibri" w:hAnsi="Times New Roman" w:cs="Times New Roman"/>
          <w:sz w:val="24"/>
          <w:szCs w:val="24"/>
        </w:rPr>
      </w:pPr>
      <w:bookmarkStart w:id="8" w:name="_Hlk214028585"/>
      <w:r w:rsidRPr="000733D3">
        <w:rPr>
          <w:rFonts w:ascii="Times New Roman" w:hAnsi="Times New Roman" w:cs="Times New Roman"/>
          <w:i/>
          <w:iCs/>
          <w:sz w:val="24"/>
          <w:szCs w:val="24"/>
        </w:rPr>
        <w:lastRenderedPageBreak/>
        <w:t>Blood samples and plasma separation:</w:t>
      </w:r>
      <w:r w:rsidRPr="000733D3">
        <w:rPr>
          <w:rFonts w:ascii="Times New Roman" w:hAnsi="Times New Roman" w:cs="Times New Roman"/>
          <w:sz w:val="24"/>
          <w:szCs w:val="24"/>
        </w:rPr>
        <w:t xml:space="preserve"> </w:t>
      </w:r>
      <w:r w:rsidRPr="000733D3">
        <w:rPr>
          <w:rFonts w:ascii="Times New Roman" w:eastAsia="Calibri" w:hAnsi="Times New Roman" w:cs="Times New Roman"/>
          <w:sz w:val="24"/>
          <w:szCs w:val="24"/>
        </w:rPr>
        <w:t xml:space="preserve">4 ml of </w:t>
      </w:r>
      <w:r w:rsidRPr="000733D3">
        <w:rPr>
          <w:rFonts w:ascii="Times New Roman" w:hAnsi="Times New Roman" w:cs="Times New Roman"/>
          <w:sz w:val="24"/>
          <w:szCs w:val="24"/>
        </w:rPr>
        <w:t xml:space="preserve">blood were collected </w:t>
      </w:r>
      <w:r w:rsidRPr="000733D3">
        <w:rPr>
          <w:rFonts w:ascii="Times New Roman" w:eastAsia="Calibri" w:hAnsi="Times New Roman" w:cs="Times New Roman"/>
          <w:sz w:val="24"/>
          <w:szCs w:val="24"/>
        </w:rPr>
        <w:t>in heparinized and EDTA blood collection vials</w:t>
      </w:r>
      <w:r w:rsidRPr="000733D3">
        <w:rPr>
          <w:rFonts w:ascii="Times New Roman" w:hAnsi="Times New Roman" w:cs="Times New Roman"/>
          <w:sz w:val="24"/>
          <w:szCs w:val="24"/>
        </w:rPr>
        <w:t xml:space="preserve"> from all the experimental animals in the morning hours, during Winter (December to January), Spring (February to March) and Summer (April to May)</w:t>
      </w:r>
      <w:r w:rsidRPr="000733D3">
        <w:rPr>
          <w:rFonts w:ascii="Times New Roman" w:eastAsia="Calibri" w:hAnsi="Times New Roman" w:cs="Times New Roman"/>
          <w:sz w:val="24"/>
          <w:szCs w:val="24"/>
        </w:rPr>
        <w:t xml:space="preserve">. Plasma separation was done by centrifuging the blood samples in Remi R-8C Laboratory Centrifuge at 3000 rpm for 15 minutes. The plasma was then collected, aliquoted and stored at -20°C until biochemical parameters were estimated. </w:t>
      </w:r>
    </w:p>
    <w:bookmarkEnd w:id="1"/>
    <w:bookmarkEnd w:id="8"/>
    <w:p w14:paraId="43CEF488" w14:textId="4CE1526C" w:rsidR="00195094" w:rsidRPr="000733D3" w:rsidRDefault="00195094" w:rsidP="00195094">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Oxidative stress parameters:</w:t>
      </w:r>
      <w:r w:rsidRPr="000733D3">
        <w:rPr>
          <w:rFonts w:ascii="Times New Roman" w:hAnsi="Times New Roman" w:cs="Times New Roman"/>
          <w:sz w:val="24"/>
          <w:szCs w:val="24"/>
        </w:rPr>
        <w:t xml:space="preserve"> Erythrocytic malondialdehyde (MDA) for lipid peroxidation was determined by the method described in Placer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(1966) which depends on formation of </w:t>
      </w:r>
      <w:proofErr w:type="spellStart"/>
      <w:r w:rsidRPr="000733D3">
        <w:rPr>
          <w:rFonts w:ascii="Times New Roman" w:hAnsi="Times New Roman" w:cs="Times New Roman"/>
          <w:sz w:val="24"/>
          <w:szCs w:val="24"/>
        </w:rPr>
        <w:t>thiobarbituric</w:t>
      </w:r>
      <w:proofErr w:type="spellEnd"/>
      <w:r w:rsidRPr="000733D3">
        <w:rPr>
          <w:rFonts w:ascii="Times New Roman" w:hAnsi="Times New Roman" w:cs="Times New Roman"/>
          <w:sz w:val="24"/>
          <w:szCs w:val="24"/>
        </w:rPr>
        <w:t xml:space="preserve"> acid reactive substances. Glutathione reductase activity was estimated </w:t>
      </w:r>
      <w:r w:rsidR="008A4797" w:rsidRPr="000733D3">
        <w:rPr>
          <w:rFonts w:ascii="Times New Roman" w:hAnsi="Times New Roman" w:cs="Times New Roman"/>
          <w:sz w:val="24"/>
          <w:szCs w:val="24"/>
        </w:rPr>
        <w:t>following protocol previously mentioned (</w:t>
      </w:r>
      <w:r w:rsidRPr="000733D3">
        <w:rPr>
          <w:rFonts w:ascii="Times New Roman" w:hAnsi="Times New Roman" w:cs="Times New Roman"/>
          <w:sz w:val="24"/>
          <w:szCs w:val="24"/>
        </w:rPr>
        <w:t xml:space="preserve">Krohne-Ehrich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008A4797" w:rsidRPr="000733D3">
        <w:rPr>
          <w:rFonts w:ascii="Times New Roman" w:hAnsi="Times New Roman" w:cs="Times New Roman"/>
          <w:sz w:val="24"/>
          <w:szCs w:val="24"/>
        </w:rPr>
        <w:t>,</w:t>
      </w:r>
      <w:r w:rsidRPr="000733D3">
        <w:rPr>
          <w:rFonts w:ascii="Times New Roman" w:hAnsi="Times New Roman" w:cs="Times New Roman"/>
          <w:sz w:val="24"/>
          <w:szCs w:val="24"/>
        </w:rPr>
        <w:t xml:space="preserve"> 1977). Whole blood reduced GSH was determined by the method described in Ellman (1959)</w:t>
      </w:r>
      <w:r w:rsidR="008A4797" w:rsidRPr="000733D3">
        <w:rPr>
          <w:rFonts w:ascii="Times New Roman" w:hAnsi="Times New Roman" w:cs="Times New Roman"/>
          <w:sz w:val="24"/>
          <w:szCs w:val="24"/>
        </w:rPr>
        <w:t xml:space="preserve"> which depends on </w:t>
      </w:r>
      <w:r w:rsidRPr="000733D3">
        <w:rPr>
          <w:rFonts w:ascii="Times New Roman" w:eastAsia="Calibri" w:hAnsi="Times New Roman" w:cs="Times New Roman"/>
          <w:sz w:val="24"/>
          <w:szCs w:val="24"/>
        </w:rPr>
        <w:t>oxidation of reduced GSH by the sulfhydryl reagent DTNB to form yellow derivative 5’-thio-2-nitrobenzoic acid</w:t>
      </w:r>
      <w:r w:rsidRPr="000733D3">
        <w:rPr>
          <w:rFonts w:ascii="Times New Roman" w:hAnsi="Times New Roman" w:cs="Times New Roman"/>
          <w:sz w:val="24"/>
          <w:szCs w:val="24"/>
        </w:rPr>
        <w:t xml:space="preserve">. </w:t>
      </w:r>
    </w:p>
    <w:p w14:paraId="7AF59249" w14:textId="09713887" w:rsidR="00FF1006" w:rsidRPr="000733D3" w:rsidRDefault="00FF1006" w:rsidP="00FF1006">
      <w:pPr>
        <w:spacing w:line="360" w:lineRule="auto"/>
        <w:jc w:val="both"/>
        <w:rPr>
          <w:rFonts w:ascii="Times New Roman" w:eastAsia="Calibri" w:hAnsi="Times New Roman" w:cs="Times New Roman"/>
          <w:sz w:val="24"/>
          <w:szCs w:val="24"/>
        </w:rPr>
      </w:pPr>
      <w:proofErr w:type="spellStart"/>
      <w:r w:rsidRPr="000733D3">
        <w:rPr>
          <w:rFonts w:ascii="Times New Roman" w:hAnsi="Times New Roman" w:cs="Times New Roman"/>
          <w:i/>
          <w:iCs/>
          <w:sz w:val="24"/>
          <w:szCs w:val="24"/>
        </w:rPr>
        <w:t>Hematological</w:t>
      </w:r>
      <w:proofErr w:type="spellEnd"/>
      <w:r w:rsidRPr="000733D3">
        <w:rPr>
          <w:rFonts w:ascii="Times New Roman" w:hAnsi="Times New Roman" w:cs="Times New Roman"/>
          <w:i/>
          <w:iCs/>
          <w:sz w:val="24"/>
          <w:szCs w:val="24"/>
        </w:rPr>
        <w:t xml:space="preserve"> parameters: </w:t>
      </w:r>
      <w:proofErr w:type="spellStart"/>
      <w:r w:rsidR="00832255" w:rsidRPr="000733D3">
        <w:rPr>
          <w:rFonts w:ascii="Times New Roman" w:hAnsi="Times New Roman" w:cs="Times New Roman"/>
          <w:sz w:val="24"/>
          <w:szCs w:val="24"/>
        </w:rPr>
        <w:t>Hemoglobin</w:t>
      </w:r>
      <w:proofErr w:type="spellEnd"/>
      <w:r w:rsidR="00832255" w:rsidRPr="000733D3">
        <w:rPr>
          <w:rFonts w:ascii="Times New Roman" w:hAnsi="Times New Roman" w:cs="Times New Roman"/>
          <w:sz w:val="24"/>
          <w:szCs w:val="24"/>
        </w:rPr>
        <w:t xml:space="preserve"> (Hb) level was estimated as previously mentioned </w:t>
      </w:r>
      <w:r w:rsidRPr="000733D3">
        <w:rPr>
          <w:rFonts w:ascii="Times New Roman" w:hAnsi="Times New Roman" w:cs="Times New Roman"/>
          <w:sz w:val="24"/>
          <w:szCs w:val="24"/>
        </w:rPr>
        <w:t>(Dacie &amp; Lewis, 1975)</w:t>
      </w:r>
      <w:r w:rsidR="00832255" w:rsidRPr="000733D3">
        <w:rPr>
          <w:rFonts w:ascii="Times New Roman" w:hAnsi="Times New Roman" w:cs="Times New Roman"/>
          <w:sz w:val="24"/>
          <w:szCs w:val="24"/>
        </w:rPr>
        <w:t>. Packed Cell Volume (</w:t>
      </w:r>
      <w:r w:rsidRPr="000733D3">
        <w:rPr>
          <w:rFonts w:ascii="Times New Roman" w:hAnsi="Times New Roman" w:cs="Times New Roman"/>
          <w:sz w:val="24"/>
          <w:szCs w:val="24"/>
        </w:rPr>
        <w:t>PCV</w:t>
      </w:r>
      <w:r w:rsidR="00832255"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832255" w:rsidRPr="000733D3">
        <w:rPr>
          <w:rFonts w:ascii="Times New Roman" w:hAnsi="Times New Roman" w:cs="Times New Roman"/>
          <w:sz w:val="24"/>
          <w:szCs w:val="24"/>
        </w:rPr>
        <w:t>was estimated following</w:t>
      </w:r>
      <w:r w:rsidRPr="000733D3">
        <w:rPr>
          <w:rFonts w:ascii="Times New Roman" w:hAnsi="Times New Roman" w:cs="Times New Roman"/>
          <w:sz w:val="24"/>
          <w:szCs w:val="24"/>
        </w:rPr>
        <w:t xml:space="preserve"> microhematocrit method, </w:t>
      </w:r>
      <w:r w:rsidR="00832255" w:rsidRPr="000733D3">
        <w:rPr>
          <w:rFonts w:ascii="Times New Roman" w:hAnsi="Times New Roman" w:cs="Times New Roman"/>
          <w:sz w:val="24"/>
          <w:szCs w:val="24"/>
        </w:rPr>
        <w:t>Differential Leukocyte Count (</w:t>
      </w:r>
      <w:r w:rsidRPr="000733D3">
        <w:rPr>
          <w:rFonts w:ascii="Times New Roman" w:eastAsia="Calibri" w:hAnsi="Times New Roman" w:cs="Times New Roman"/>
          <w:sz w:val="24"/>
          <w:szCs w:val="24"/>
        </w:rPr>
        <w:t>DLC</w:t>
      </w:r>
      <w:r w:rsidR="00832255" w:rsidRPr="000733D3">
        <w:rPr>
          <w:rFonts w:ascii="Times New Roman" w:eastAsia="Calibri" w:hAnsi="Times New Roman" w:cs="Times New Roman"/>
          <w:sz w:val="24"/>
          <w:szCs w:val="24"/>
        </w:rPr>
        <w:t>) was done</w:t>
      </w:r>
      <w:r w:rsidRPr="000733D3">
        <w:rPr>
          <w:rFonts w:ascii="Times New Roman" w:eastAsia="Calibri" w:hAnsi="Times New Roman" w:cs="Times New Roman"/>
          <w:sz w:val="24"/>
          <w:szCs w:val="24"/>
        </w:rPr>
        <w:t xml:space="preserve"> using Giemsa staining technique and </w:t>
      </w:r>
      <w:r w:rsidR="00832255" w:rsidRPr="000733D3">
        <w:rPr>
          <w:rFonts w:ascii="Times New Roman" w:eastAsia="Calibri" w:hAnsi="Times New Roman" w:cs="Times New Roman"/>
          <w:sz w:val="24"/>
          <w:szCs w:val="24"/>
        </w:rPr>
        <w:t>Total Leukocyte Count (</w:t>
      </w:r>
      <w:r w:rsidRPr="000733D3">
        <w:rPr>
          <w:rFonts w:ascii="Times New Roman" w:eastAsia="Calibri" w:hAnsi="Times New Roman" w:cs="Times New Roman"/>
          <w:sz w:val="24"/>
          <w:szCs w:val="24"/>
        </w:rPr>
        <w:t>TLC</w:t>
      </w:r>
      <w:r w:rsidR="00832255" w:rsidRPr="000733D3">
        <w:rPr>
          <w:rFonts w:ascii="Times New Roman" w:eastAsia="Calibri" w:hAnsi="Times New Roman" w:cs="Times New Roman"/>
          <w:sz w:val="24"/>
          <w:szCs w:val="24"/>
        </w:rPr>
        <w:t>)</w:t>
      </w:r>
      <w:r w:rsidRPr="000733D3">
        <w:rPr>
          <w:rFonts w:ascii="Times New Roman" w:eastAsia="Calibri" w:hAnsi="Times New Roman" w:cs="Times New Roman"/>
          <w:sz w:val="24"/>
          <w:szCs w:val="24"/>
        </w:rPr>
        <w:t xml:space="preserve"> using </w:t>
      </w:r>
      <w:proofErr w:type="spellStart"/>
      <w:r w:rsidRPr="000733D3">
        <w:rPr>
          <w:rFonts w:ascii="Times New Roman" w:eastAsia="Calibri" w:hAnsi="Times New Roman" w:cs="Times New Roman"/>
          <w:sz w:val="24"/>
          <w:szCs w:val="24"/>
        </w:rPr>
        <w:t>hemocytometer</w:t>
      </w:r>
      <w:proofErr w:type="spellEnd"/>
      <w:r w:rsidRPr="000733D3">
        <w:rPr>
          <w:rFonts w:ascii="Times New Roman" w:eastAsia="Calibri" w:hAnsi="Times New Roman" w:cs="Times New Roman"/>
          <w:sz w:val="24"/>
          <w:szCs w:val="24"/>
        </w:rPr>
        <w:t xml:space="preserve"> method.</w:t>
      </w:r>
    </w:p>
    <w:p w14:paraId="3BECCD65" w14:textId="6F56763A" w:rsidR="00F348F0" w:rsidRPr="000733D3" w:rsidRDefault="00F348F0" w:rsidP="00FF1006">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Metabolic enzymes:</w:t>
      </w:r>
      <w:r w:rsidRPr="000733D3">
        <w:rPr>
          <w:rFonts w:ascii="Times New Roman" w:hAnsi="Times New Roman" w:cs="Times New Roman"/>
          <w:sz w:val="24"/>
          <w:szCs w:val="24"/>
        </w:rPr>
        <w:t xml:space="preserve"> The plasma level of alkaline phosphatase (ALP), alanine aminotransferase (ALT), aspartate aminotransferase (AST), gamma </w:t>
      </w:r>
      <w:proofErr w:type="spellStart"/>
      <w:r w:rsidRPr="000733D3">
        <w:rPr>
          <w:rFonts w:ascii="Times New Roman" w:hAnsi="Times New Roman" w:cs="Times New Roman"/>
          <w:sz w:val="24"/>
          <w:szCs w:val="24"/>
        </w:rPr>
        <w:t>glutamyltransferase</w:t>
      </w:r>
      <w:proofErr w:type="spellEnd"/>
      <w:r w:rsidRPr="000733D3">
        <w:rPr>
          <w:rFonts w:ascii="Times New Roman" w:hAnsi="Times New Roman" w:cs="Times New Roman"/>
          <w:sz w:val="24"/>
          <w:szCs w:val="24"/>
        </w:rPr>
        <w:t xml:space="preserve"> (GGT) and lactate dehydrogenase (LDH) were determined using Erba Mannheim on the semi-automatic chemistry analyser (Merck).</w:t>
      </w:r>
    </w:p>
    <w:p w14:paraId="113F5B04" w14:textId="77777777" w:rsidR="00FF1006" w:rsidRPr="000733D3" w:rsidRDefault="00FF1006" w:rsidP="00FF1006">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Statistical analysis:</w:t>
      </w:r>
      <w:r w:rsidRPr="000733D3">
        <w:rPr>
          <w:rFonts w:ascii="Times New Roman" w:hAnsi="Times New Roman" w:cs="Times New Roman"/>
          <w:sz w:val="24"/>
          <w:szCs w:val="24"/>
        </w:rPr>
        <w:t xml:space="preserve"> Statistical analyses for all the parameters were done by three-way analysis of variance (ANOVA) test in Statistical Package for Social Sciences (SPSS) software (version 26). The level of significance was set at </w:t>
      </w:r>
      <w:r w:rsidRPr="000733D3">
        <w:rPr>
          <w:rFonts w:ascii="Times New Roman" w:hAnsi="Times New Roman" w:cs="Times New Roman"/>
          <w:i/>
          <w:iCs/>
          <w:sz w:val="24"/>
          <w:szCs w:val="24"/>
        </w:rPr>
        <w:t>p</w:t>
      </w:r>
      <w:r w:rsidRPr="000733D3">
        <w:rPr>
          <w:rFonts w:ascii="Times New Roman" w:hAnsi="Times New Roman" w:cs="Times New Roman"/>
          <w:sz w:val="24"/>
          <w:szCs w:val="24"/>
        </w:rPr>
        <w:t xml:space="preserve"> &lt; 0.05 and the results were given as mean ± standard error.</w:t>
      </w:r>
    </w:p>
    <w:p w14:paraId="137F9E65" w14:textId="77777777" w:rsidR="00FF1006" w:rsidRPr="000733D3" w:rsidRDefault="00FF1006" w:rsidP="00FF1006">
      <w:pPr>
        <w:spacing w:line="360" w:lineRule="auto"/>
        <w:jc w:val="both"/>
        <w:rPr>
          <w:rFonts w:ascii="Times New Roman" w:hAnsi="Times New Roman" w:cs="Times New Roman"/>
          <w:b/>
          <w:bCs/>
          <w:sz w:val="24"/>
          <w:szCs w:val="24"/>
        </w:rPr>
      </w:pPr>
      <w:commentRangeStart w:id="9"/>
      <w:r w:rsidRPr="000733D3">
        <w:rPr>
          <w:rFonts w:ascii="Times New Roman" w:hAnsi="Times New Roman" w:cs="Times New Roman"/>
          <w:b/>
          <w:bCs/>
          <w:sz w:val="24"/>
          <w:szCs w:val="24"/>
        </w:rPr>
        <w:t>RESULTS</w:t>
      </w:r>
      <w:commentRangeEnd w:id="9"/>
      <w:r w:rsidR="00AA4A49">
        <w:rPr>
          <w:rStyle w:val="CommentReference"/>
        </w:rPr>
        <w:commentReference w:id="9"/>
      </w:r>
    </w:p>
    <w:p w14:paraId="74268251" w14:textId="77777777" w:rsidR="007458B6" w:rsidRPr="000733D3" w:rsidRDefault="007458B6" w:rsidP="007458B6">
      <w:pPr>
        <w:spacing w:line="360" w:lineRule="auto"/>
        <w:rPr>
          <w:rFonts w:ascii="Times New Roman" w:hAnsi="Times New Roman" w:cs="Times New Roman"/>
          <w:i/>
          <w:iCs/>
          <w:sz w:val="24"/>
          <w:szCs w:val="24"/>
        </w:rPr>
      </w:pPr>
      <w:r w:rsidRPr="000733D3">
        <w:rPr>
          <w:rFonts w:ascii="Times New Roman" w:hAnsi="Times New Roman" w:cs="Times New Roman"/>
          <w:i/>
          <w:iCs/>
          <w:sz w:val="24"/>
          <w:szCs w:val="24"/>
        </w:rPr>
        <w:t>Oxidative stress parameters</w:t>
      </w:r>
    </w:p>
    <w:p w14:paraId="04625C22" w14:textId="2C0FB5E0" w:rsidR="007458B6" w:rsidRPr="000733D3" w:rsidRDefault="00E9414E" w:rsidP="007458B6">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The levels of MDA and GSH, and the activity of glutathione reductase were determined to analyse the seasonal effect on the oxidative stress. </w:t>
      </w:r>
      <w:r w:rsidR="007458B6" w:rsidRPr="000733D3">
        <w:rPr>
          <w:rFonts w:ascii="Times New Roman" w:hAnsi="Times New Roman" w:cs="Times New Roman"/>
          <w:sz w:val="24"/>
          <w:szCs w:val="24"/>
        </w:rPr>
        <w:t>The level of MDA in all groups was significantly higher (</w:t>
      </w:r>
      <w:r w:rsidR="007458B6" w:rsidRPr="000733D3">
        <w:rPr>
          <w:rFonts w:ascii="Times New Roman" w:hAnsi="Times New Roman" w:cs="Times New Roman"/>
          <w:i/>
          <w:iCs/>
          <w:sz w:val="24"/>
          <w:szCs w:val="24"/>
        </w:rPr>
        <w:t xml:space="preserve">p </w:t>
      </w:r>
      <w:r w:rsidR="007458B6" w:rsidRPr="000733D3">
        <w:rPr>
          <w:rFonts w:ascii="Times New Roman" w:hAnsi="Times New Roman" w:cs="Times New Roman"/>
          <w:sz w:val="24"/>
          <w:szCs w:val="24"/>
        </w:rPr>
        <w:t xml:space="preserve">&lt; 0.05) in summer season as compared to winter and spring seasons and </w:t>
      </w:r>
      <w:r w:rsidR="00A03AB8" w:rsidRPr="000733D3">
        <w:rPr>
          <w:rFonts w:ascii="Times New Roman" w:hAnsi="Times New Roman" w:cs="Times New Roman"/>
          <w:sz w:val="24"/>
          <w:szCs w:val="24"/>
        </w:rPr>
        <w:t>that of</w:t>
      </w:r>
      <w:r w:rsidR="007458B6" w:rsidRPr="000733D3">
        <w:rPr>
          <w:rFonts w:ascii="Times New Roman" w:hAnsi="Times New Roman" w:cs="Times New Roman"/>
          <w:sz w:val="24"/>
          <w:szCs w:val="24"/>
        </w:rPr>
        <w:t xml:space="preserve"> winter season was significantly higher (</w:t>
      </w:r>
      <w:r w:rsidR="007458B6" w:rsidRPr="000733D3">
        <w:rPr>
          <w:rFonts w:ascii="Times New Roman" w:hAnsi="Times New Roman" w:cs="Times New Roman"/>
          <w:i/>
          <w:iCs/>
          <w:sz w:val="24"/>
          <w:szCs w:val="24"/>
        </w:rPr>
        <w:t xml:space="preserve">p </w:t>
      </w:r>
      <w:r w:rsidR="007458B6" w:rsidRPr="000733D3">
        <w:rPr>
          <w:rFonts w:ascii="Times New Roman" w:hAnsi="Times New Roman" w:cs="Times New Roman"/>
          <w:sz w:val="24"/>
          <w:szCs w:val="24"/>
        </w:rPr>
        <w:t>&lt; 0.05) than spring season</w:t>
      </w:r>
      <w:r w:rsidR="00A03AB8" w:rsidRPr="000733D3">
        <w:rPr>
          <w:rFonts w:ascii="Times New Roman" w:hAnsi="Times New Roman" w:cs="Times New Roman"/>
          <w:sz w:val="24"/>
          <w:szCs w:val="24"/>
        </w:rPr>
        <w:t xml:space="preserve"> (3.48 to 3.67 nmol/mg vs 2.24 to 2.51 nmol/mg vs 1.41 to 1.61 nmol/mg)</w:t>
      </w:r>
      <w:r w:rsidRPr="000733D3">
        <w:rPr>
          <w:rFonts w:ascii="Times New Roman" w:hAnsi="Times New Roman" w:cs="Times New Roman"/>
          <w:sz w:val="24"/>
          <w:szCs w:val="24"/>
        </w:rPr>
        <w:t xml:space="preserve"> (Fig. 1A</w:t>
      </w:r>
      <w:r w:rsidR="00033895">
        <w:rPr>
          <w:rFonts w:ascii="Times New Roman" w:hAnsi="Times New Roman" w:cs="Times New Roman"/>
          <w:sz w:val="24"/>
          <w:szCs w:val="24"/>
        </w:rPr>
        <w:t>, Table 1</w:t>
      </w:r>
      <w:r w:rsidRPr="000733D3">
        <w:rPr>
          <w:rFonts w:ascii="Times New Roman" w:hAnsi="Times New Roman" w:cs="Times New Roman"/>
          <w:sz w:val="24"/>
          <w:szCs w:val="24"/>
        </w:rPr>
        <w:t>)</w:t>
      </w:r>
      <w:r w:rsidR="00A03AB8" w:rsidRPr="000733D3">
        <w:rPr>
          <w:rFonts w:ascii="Times New Roman" w:hAnsi="Times New Roman" w:cs="Times New Roman"/>
          <w:sz w:val="24"/>
          <w:szCs w:val="24"/>
        </w:rPr>
        <w:t>.</w:t>
      </w:r>
    </w:p>
    <w:p w14:paraId="4C753DD2" w14:textId="7906D8FA" w:rsidR="007458B6" w:rsidRPr="000733D3" w:rsidRDefault="00F85A28" w:rsidP="007458B6">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lastRenderedPageBreak/>
        <w:t xml:space="preserve">We observed highest </w:t>
      </w:r>
      <w:r w:rsidR="007458B6" w:rsidRPr="000733D3">
        <w:rPr>
          <w:rFonts w:ascii="Times New Roman" w:hAnsi="Times New Roman" w:cs="Times New Roman"/>
          <w:sz w:val="24"/>
          <w:szCs w:val="24"/>
        </w:rPr>
        <w:t>level of GSH in spring season while it was lowest in summer season. In all the groups, the mean value of GSH was significantly lower (</w:t>
      </w:r>
      <w:r w:rsidR="007458B6" w:rsidRPr="000733D3">
        <w:rPr>
          <w:rFonts w:ascii="Times New Roman" w:hAnsi="Times New Roman" w:cs="Times New Roman"/>
          <w:i/>
          <w:iCs/>
          <w:sz w:val="24"/>
          <w:szCs w:val="24"/>
        </w:rPr>
        <w:t>p</w:t>
      </w:r>
      <w:r w:rsidR="007458B6" w:rsidRPr="000733D3">
        <w:rPr>
          <w:rFonts w:ascii="Times New Roman" w:hAnsi="Times New Roman" w:cs="Times New Roman"/>
          <w:sz w:val="24"/>
          <w:szCs w:val="24"/>
        </w:rPr>
        <w:t xml:space="preserve"> &lt; 0.05) in summer as compared to winter and spring seasons and winter also showed significantly lower (</w:t>
      </w:r>
      <w:r w:rsidR="007458B6" w:rsidRPr="000733D3">
        <w:rPr>
          <w:rFonts w:ascii="Times New Roman" w:hAnsi="Times New Roman" w:cs="Times New Roman"/>
          <w:i/>
          <w:sz w:val="24"/>
          <w:szCs w:val="24"/>
        </w:rPr>
        <w:t>p</w:t>
      </w:r>
      <w:r w:rsidR="007458B6" w:rsidRPr="000733D3">
        <w:rPr>
          <w:rFonts w:ascii="Times New Roman" w:hAnsi="Times New Roman" w:cs="Times New Roman"/>
          <w:sz w:val="24"/>
          <w:szCs w:val="24"/>
        </w:rPr>
        <w:t xml:space="preserve"> &lt; 0.05) values compared to spring season (9.182 to 9.628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 xml:space="preserve">/L vs 6.484 to 6.777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 xml:space="preserve">/L vs 5.235 to 5.601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/L)</w:t>
      </w:r>
      <w:r w:rsidR="00E9414E" w:rsidRPr="000733D3">
        <w:rPr>
          <w:rFonts w:ascii="Times New Roman" w:hAnsi="Times New Roman" w:cs="Times New Roman"/>
          <w:sz w:val="24"/>
          <w:szCs w:val="24"/>
        </w:rPr>
        <w:t xml:space="preserve"> (Fig. 1B</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007458B6" w:rsidRPr="000733D3">
        <w:rPr>
          <w:rFonts w:ascii="Times New Roman" w:hAnsi="Times New Roman" w:cs="Times New Roman"/>
          <w:sz w:val="24"/>
          <w:szCs w:val="24"/>
        </w:rPr>
        <w:t xml:space="preserve">. </w:t>
      </w:r>
    </w:p>
    <w:p w14:paraId="1AB02FCD" w14:textId="7CB0063A" w:rsidR="007458B6" w:rsidRPr="000733D3" w:rsidRDefault="007458B6" w:rsidP="00F85A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Glutathione reductase activity was highest during summer season, followed by winter season and lowest during spring season (9.567 to 10.027 IU/min vs 6.9 to 7.259 IU/min vs 4.883 to 5.002 IU/min)</w:t>
      </w:r>
      <w:r w:rsidR="00E9414E" w:rsidRPr="000733D3">
        <w:rPr>
          <w:rFonts w:ascii="Times New Roman" w:hAnsi="Times New Roman" w:cs="Times New Roman"/>
          <w:sz w:val="24"/>
          <w:szCs w:val="24"/>
        </w:rPr>
        <w:t xml:space="preserve"> (Fig. 1C</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Pr="000733D3">
        <w:rPr>
          <w:rFonts w:ascii="Times New Roman" w:hAnsi="Times New Roman" w:cs="Times New Roman"/>
          <w:sz w:val="24"/>
          <w:szCs w:val="24"/>
        </w:rPr>
        <w:t>. In all the groups, glutathione reductase activity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season as compared to winter and spring seasons</w:t>
      </w:r>
      <w:r w:rsidR="00E9414E" w:rsidRPr="000733D3">
        <w:rPr>
          <w:rFonts w:ascii="Times New Roman" w:hAnsi="Times New Roman" w:cs="Times New Roman"/>
          <w:sz w:val="24"/>
          <w:szCs w:val="24"/>
        </w:rPr>
        <w:t xml:space="preserve"> (Fig. 1C)</w:t>
      </w:r>
      <w:r w:rsidRPr="000733D3">
        <w:rPr>
          <w:rFonts w:ascii="Times New Roman" w:hAnsi="Times New Roman" w:cs="Times New Roman"/>
          <w:sz w:val="24"/>
          <w:szCs w:val="24"/>
        </w:rPr>
        <w:t>. Moreover, its activity during winter season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than spring season</w:t>
      </w:r>
      <w:r w:rsidR="00E9414E" w:rsidRPr="000733D3">
        <w:rPr>
          <w:rFonts w:ascii="Times New Roman" w:hAnsi="Times New Roman" w:cs="Times New Roman"/>
          <w:sz w:val="24"/>
          <w:szCs w:val="24"/>
        </w:rPr>
        <w:t xml:space="preserve"> (Fig. 1C</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p>
    <w:p w14:paraId="1DECD330" w14:textId="77777777" w:rsidR="0033711E" w:rsidRPr="000733D3" w:rsidRDefault="0033711E" w:rsidP="0033711E">
      <w:pPr>
        <w:spacing w:before="160" w:line="360" w:lineRule="auto"/>
        <w:jc w:val="both"/>
        <w:rPr>
          <w:rFonts w:ascii="Times New Roman" w:hAnsi="Times New Roman" w:cs="Times New Roman"/>
          <w:i/>
          <w:iCs/>
          <w:sz w:val="24"/>
          <w:szCs w:val="24"/>
        </w:rPr>
      </w:pPr>
      <w:proofErr w:type="spellStart"/>
      <w:r w:rsidRPr="000733D3">
        <w:rPr>
          <w:rFonts w:ascii="Times New Roman" w:hAnsi="Times New Roman" w:cs="Times New Roman"/>
          <w:i/>
          <w:iCs/>
          <w:sz w:val="24"/>
          <w:szCs w:val="24"/>
        </w:rPr>
        <w:t>Hematological</w:t>
      </w:r>
      <w:proofErr w:type="spellEnd"/>
      <w:r w:rsidRPr="000733D3">
        <w:rPr>
          <w:rFonts w:ascii="Times New Roman" w:hAnsi="Times New Roman" w:cs="Times New Roman"/>
          <w:i/>
          <w:iCs/>
          <w:sz w:val="24"/>
          <w:szCs w:val="24"/>
        </w:rPr>
        <w:t xml:space="preserve"> parameters</w:t>
      </w:r>
    </w:p>
    <w:p w14:paraId="216E8B04" w14:textId="7CD24331"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In all the groups, the mean values of Hb and PCV were significantly lower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during winter season and summer season in comparison with spring season furthermore, the decrease was more prominent in summer (</w:t>
      </w:r>
      <w:r w:rsidR="00033895">
        <w:rPr>
          <w:rFonts w:ascii="Times New Roman" w:hAnsi="Times New Roman" w:cs="Times New Roman"/>
          <w:sz w:val="24"/>
          <w:szCs w:val="24"/>
        </w:rPr>
        <w:t>Table 2</w:t>
      </w:r>
      <w:r w:rsidRPr="000733D3">
        <w:rPr>
          <w:rFonts w:ascii="Times New Roman" w:hAnsi="Times New Roman" w:cs="Times New Roman"/>
          <w:sz w:val="24"/>
          <w:szCs w:val="24"/>
        </w:rPr>
        <w:t>). The mean values of TLC significantly declined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season. The mean percentage of neutrophils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while the mean percentage of lymphocytes was significantly lower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winter and summer as compared to spring season (</w:t>
      </w:r>
      <w:r w:rsidR="00033895">
        <w:rPr>
          <w:rFonts w:ascii="Times New Roman" w:hAnsi="Times New Roman" w:cs="Times New Roman"/>
          <w:sz w:val="24"/>
          <w:szCs w:val="24"/>
        </w:rPr>
        <w:t>Table 2</w:t>
      </w:r>
      <w:r w:rsidRPr="000733D3">
        <w:rPr>
          <w:rFonts w:ascii="Times New Roman" w:hAnsi="Times New Roman" w:cs="Times New Roman"/>
          <w:sz w:val="24"/>
          <w:szCs w:val="24"/>
        </w:rPr>
        <w:t>). Mean N:L ratio was significantly elevated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winter and summer as compared to the spring season (</w:t>
      </w:r>
      <w:r w:rsidR="00033895">
        <w:rPr>
          <w:rFonts w:ascii="Times New Roman" w:hAnsi="Times New Roman" w:cs="Times New Roman"/>
          <w:sz w:val="24"/>
          <w:szCs w:val="24"/>
        </w:rPr>
        <w:t>Table 2</w:t>
      </w:r>
      <w:r w:rsidRPr="000733D3">
        <w:rPr>
          <w:rFonts w:ascii="Times New Roman" w:hAnsi="Times New Roman" w:cs="Times New Roman"/>
          <w:sz w:val="24"/>
          <w:szCs w:val="24"/>
        </w:rPr>
        <w:t>).</w:t>
      </w:r>
    </w:p>
    <w:p w14:paraId="5C205C91" w14:textId="77777777"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Metabolic enzymes</w:t>
      </w:r>
    </w:p>
    <w:p w14:paraId="608C07A2" w14:textId="181949B5"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Mean values for metabolic enzymes during different seasons showed significant variation (</w:t>
      </w:r>
      <w:r w:rsidR="00033895">
        <w:rPr>
          <w:rFonts w:ascii="Times New Roman" w:hAnsi="Times New Roman" w:cs="Times New Roman"/>
          <w:sz w:val="24"/>
          <w:szCs w:val="24"/>
        </w:rPr>
        <w:t>Table 3</w:t>
      </w:r>
      <w:r w:rsidRPr="000733D3">
        <w:rPr>
          <w:rFonts w:ascii="Times New Roman" w:hAnsi="Times New Roman" w:cs="Times New Roman"/>
          <w:sz w:val="24"/>
          <w:szCs w:val="24"/>
        </w:rPr>
        <w:t>). Summer season showed highest values for ALT, GGT and LDH and lowest in spring season. Significantly increased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values were observed in ALT and GGT in summer and winter in comparison to spring (</w:t>
      </w:r>
      <w:r w:rsidR="00033895">
        <w:rPr>
          <w:rFonts w:ascii="Times New Roman" w:hAnsi="Times New Roman" w:cs="Times New Roman"/>
          <w:sz w:val="24"/>
          <w:szCs w:val="24"/>
        </w:rPr>
        <w:t>Table 3</w:t>
      </w:r>
      <w:r w:rsidRPr="000733D3">
        <w:rPr>
          <w:rFonts w:ascii="Times New Roman" w:hAnsi="Times New Roman" w:cs="Times New Roman"/>
          <w:sz w:val="24"/>
          <w:szCs w:val="24"/>
        </w:rPr>
        <w:t>). Moreover, ALP and GGT showed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values during summer compared to winter season. While the mean values of LDH and AST of all the groups were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as compared to winter and spring seasons but no significant variation between winter and spring seasons. Season, age or gender had no effect on the plasma concentration of ALP (</w:t>
      </w:r>
      <w:r w:rsidR="00033895">
        <w:rPr>
          <w:rFonts w:ascii="Times New Roman" w:hAnsi="Times New Roman" w:cs="Times New Roman"/>
          <w:sz w:val="24"/>
          <w:szCs w:val="24"/>
        </w:rPr>
        <w:t>Table 3</w:t>
      </w:r>
      <w:r w:rsidRPr="000733D3">
        <w:rPr>
          <w:rFonts w:ascii="Times New Roman" w:hAnsi="Times New Roman" w:cs="Times New Roman"/>
          <w:sz w:val="24"/>
          <w:szCs w:val="24"/>
        </w:rPr>
        <w:t xml:space="preserve">).  </w:t>
      </w:r>
    </w:p>
    <w:p w14:paraId="63F17987" w14:textId="67FFEA1F" w:rsidR="00FF1006" w:rsidRPr="000733D3" w:rsidRDefault="00F348F0" w:rsidP="00FF1006">
      <w:pPr>
        <w:spacing w:line="360" w:lineRule="auto"/>
        <w:jc w:val="both"/>
        <w:rPr>
          <w:rFonts w:ascii="Times New Roman" w:hAnsi="Times New Roman" w:cs="Times New Roman"/>
          <w:b/>
          <w:bCs/>
          <w:sz w:val="24"/>
          <w:szCs w:val="24"/>
        </w:rPr>
      </w:pPr>
      <w:commentRangeStart w:id="10"/>
      <w:r w:rsidRPr="000733D3">
        <w:rPr>
          <w:rFonts w:ascii="Times New Roman" w:hAnsi="Times New Roman" w:cs="Times New Roman"/>
          <w:b/>
          <w:bCs/>
          <w:sz w:val="24"/>
          <w:szCs w:val="24"/>
        </w:rPr>
        <w:t>DISCUSSION</w:t>
      </w:r>
    </w:p>
    <w:p w14:paraId="3B2D2451" w14:textId="2B36D11D" w:rsidR="00D349F3" w:rsidRPr="000733D3" w:rsidRDefault="00BC6BEC" w:rsidP="00E735CA">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Rising global temperatures demand a clearer understanding of how heat stress alters physiological and biochemical functions in livestock. This study evaluates seasonal changes in </w:t>
      </w:r>
      <w:r w:rsidRPr="000733D3">
        <w:rPr>
          <w:rFonts w:ascii="Times New Roman" w:hAnsi="Times New Roman" w:cs="Times New Roman"/>
          <w:sz w:val="24"/>
          <w:szCs w:val="24"/>
        </w:rPr>
        <w:lastRenderedPageBreak/>
        <w:t xml:space="preserve">oxidative stress indicators,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profiles and metabolic enzymes in grower and finisher pigs. </w:t>
      </w:r>
      <w:r w:rsidR="00E735CA" w:rsidRPr="000733D3">
        <w:rPr>
          <w:rFonts w:ascii="Times New Roman" w:hAnsi="Times New Roman" w:cs="Times New Roman"/>
          <w:sz w:val="24"/>
          <w:szCs w:val="24"/>
        </w:rPr>
        <w:t xml:space="preserve">Cells generally maintain a reduced intracellular environment, and GSH levels serve as a key indicator of oxidative stress in animal tissues (Sies </w:t>
      </w:r>
      <w:r w:rsidR="000733D3" w:rsidRPr="000733D3">
        <w:rPr>
          <w:rFonts w:ascii="Times New Roman" w:hAnsi="Times New Roman" w:cs="Times New Roman"/>
          <w:i/>
          <w:iCs/>
          <w:sz w:val="24"/>
          <w:szCs w:val="24"/>
        </w:rPr>
        <w:t>et al</w:t>
      </w:r>
      <w:r w:rsidR="00E735CA" w:rsidRPr="000733D3">
        <w:rPr>
          <w:rFonts w:ascii="Times New Roman" w:hAnsi="Times New Roman" w:cs="Times New Roman"/>
          <w:sz w:val="24"/>
          <w:szCs w:val="24"/>
        </w:rPr>
        <w:t xml:space="preserve">., 2024). </w:t>
      </w:r>
      <w:r w:rsidR="00D349F3" w:rsidRPr="000733D3">
        <w:rPr>
          <w:rFonts w:ascii="Times New Roman" w:hAnsi="Times New Roman" w:cs="Times New Roman"/>
          <w:sz w:val="24"/>
          <w:szCs w:val="24"/>
        </w:rPr>
        <w:t>In our study, the average ambient temperatures during winter, spring, and summer were 8.8°C, 20°C, and 32°C, respectively. The summer temperature exceeded the TNZ of pigs, indicating that the animals were likely experiencing heat stress. Conversely, winter temperatures were below the TNZ, suggesting potential cold discomfort; however, pigs possess substantial physiological insulation, which provides some protection against cold stress.</w:t>
      </w:r>
    </w:p>
    <w:p w14:paraId="2AE8B214" w14:textId="119B7CDC" w:rsidR="00BB1C46" w:rsidRPr="000733D3" w:rsidRDefault="00C55EDB" w:rsidP="00E735CA">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Heat stress has been reported to trigger oxidative stress in animals (Emami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2021). </w:t>
      </w:r>
      <w:r w:rsidR="00E735CA" w:rsidRPr="000733D3">
        <w:rPr>
          <w:rFonts w:ascii="Times New Roman" w:hAnsi="Times New Roman" w:cs="Times New Roman"/>
          <w:sz w:val="24"/>
          <w:szCs w:val="24"/>
        </w:rPr>
        <w:t xml:space="preserve">During oxidative stress, GSH is oxidized to </w:t>
      </w:r>
      <w:r w:rsidR="008A4797" w:rsidRPr="000733D3">
        <w:rPr>
          <w:rFonts w:ascii="Times New Roman" w:hAnsi="Times New Roman" w:cs="Times New Roman"/>
          <w:sz w:val="24"/>
          <w:szCs w:val="24"/>
        </w:rPr>
        <w:t xml:space="preserve">glutathione disulfide (GSSG) </w:t>
      </w:r>
      <w:r w:rsidR="00E735CA" w:rsidRPr="000733D3">
        <w:rPr>
          <w:rFonts w:ascii="Times New Roman" w:hAnsi="Times New Roman" w:cs="Times New Roman"/>
          <w:sz w:val="24"/>
          <w:szCs w:val="24"/>
        </w:rPr>
        <w:t>by the augmented ROS in the cell.</w:t>
      </w:r>
      <w:r w:rsidR="008A4797" w:rsidRPr="000733D3">
        <w:rPr>
          <w:rFonts w:ascii="Times New Roman" w:hAnsi="Times New Roman" w:cs="Times New Roman"/>
          <w:sz w:val="24"/>
          <w:szCs w:val="24"/>
        </w:rPr>
        <w:t xml:space="preserve"> </w:t>
      </w:r>
      <w:r w:rsidR="00E735CA" w:rsidRPr="000733D3">
        <w:rPr>
          <w:rFonts w:ascii="Times New Roman" w:hAnsi="Times New Roman" w:cs="Times New Roman"/>
          <w:sz w:val="24"/>
          <w:szCs w:val="24"/>
        </w:rPr>
        <w:t xml:space="preserve">This GSSG is further reduced by the activity of glutathione reductase enzyme using NADPH. This is a continuous </w:t>
      </w:r>
      <w:r w:rsidR="00BB1C46" w:rsidRPr="000733D3">
        <w:rPr>
          <w:rFonts w:ascii="Times New Roman" w:hAnsi="Times New Roman" w:cs="Times New Roman"/>
          <w:sz w:val="24"/>
          <w:szCs w:val="24"/>
        </w:rPr>
        <w:t>cycle</w:t>
      </w:r>
      <w:r w:rsidR="00E735CA" w:rsidRPr="000733D3">
        <w:rPr>
          <w:rFonts w:ascii="Times New Roman" w:hAnsi="Times New Roman" w:cs="Times New Roman"/>
          <w:sz w:val="24"/>
          <w:szCs w:val="24"/>
        </w:rPr>
        <w:t xml:space="preserve"> that helps in maintaining the reduced environment of the cell.</w:t>
      </w:r>
      <w:r w:rsidR="00CD6642" w:rsidRPr="000733D3">
        <w:rPr>
          <w:rFonts w:ascii="Times New Roman" w:hAnsi="Times New Roman" w:cs="Times New Roman"/>
          <w:sz w:val="24"/>
          <w:szCs w:val="24"/>
        </w:rPr>
        <w:t xml:space="preserve"> </w:t>
      </w:r>
      <w:r w:rsidR="00E735CA" w:rsidRPr="000733D3">
        <w:rPr>
          <w:rFonts w:ascii="Times New Roman" w:hAnsi="Times New Roman" w:cs="Times New Roman"/>
          <w:sz w:val="24"/>
          <w:szCs w:val="24"/>
        </w:rPr>
        <w:t xml:space="preserve">In this study, we observed </w:t>
      </w:r>
      <w:r w:rsidR="00BB1C46" w:rsidRPr="000733D3">
        <w:rPr>
          <w:rFonts w:ascii="Times New Roman" w:hAnsi="Times New Roman" w:cs="Times New Roman"/>
          <w:sz w:val="24"/>
          <w:szCs w:val="24"/>
        </w:rPr>
        <w:t>significant increase in the activity of glutathione reductase during summer season as compared to the winter and spring seasons</w:t>
      </w:r>
      <w:r w:rsidR="0033711E" w:rsidRPr="000733D3">
        <w:rPr>
          <w:rFonts w:ascii="Times New Roman" w:hAnsi="Times New Roman" w:cs="Times New Roman"/>
          <w:sz w:val="24"/>
          <w:szCs w:val="24"/>
        </w:rPr>
        <w:t xml:space="preserve"> (Fig 1C)</w:t>
      </w:r>
      <w:r w:rsidR="00BB1C46"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BB1C46" w:rsidRPr="000733D3">
        <w:rPr>
          <w:rFonts w:ascii="Times New Roman" w:hAnsi="Times New Roman" w:cs="Times New Roman"/>
          <w:sz w:val="24"/>
          <w:szCs w:val="24"/>
        </w:rPr>
        <w:t>Additionally, glutathione reductase showed significantly higher levels in winter as compared to spring season</w:t>
      </w:r>
      <w:r w:rsidR="0033711E" w:rsidRPr="000733D3">
        <w:rPr>
          <w:rFonts w:ascii="Times New Roman" w:hAnsi="Times New Roman" w:cs="Times New Roman"/>
          <w:sz w:val="24"/>
          <w:szCs w:val="24"/>
        </w:rPr>
        <w:t xml:space="preserve"> (Fig 1C)</w:t>
      </w:r>
      <w:r w:rsidR="00BB1C46" w:rsidRPr="000733D3">
        <w:rPr>
          <w:rFonts w:ascii="Times New Roman" w:hAnsi="Times New Roman" w:cs="Times New Roman"/>
          <w:sz w:val="24"/>
          <w:szCs w:val="24"/>
        </w:rPr>
        <w:t>. Moreover, significant decreased levels of reduced GSH were observed during summer season as compared to winter and spring seasons</w:t>
      </w:r>
      <w:r w:rsidR="0033711E" w:rsidRPr="000733D3">
        <w:rPr>
          <w:rFonts w:ascii="Times New Roman" w:hAnsi="Times New Roman" w:cs="Times New Roman"/>
          <w:sz w:val="24"/>
          <w:szCs w:val="24"/>
        </w:rPr>
        <w:t xml:space="preserve"> (Fig. 1B)</w:t>
      </w:r>
      <w:r w:rsidR="00BB1C46" w:rsidRPr="000733D3">
        <w:rPr>
          <w:rFonts w:ascii="Times New Roman" w:hAnsi="Times New Roman" w:cs="Times New Roman"/>
          <w:sz w:val="24"/>
          <w:szCs w:val="24"/>
        </w:rPr>
        <w:t>. Increase in the activity of glutathione reductase during winter and summer seasons was also reported in cows (</w:t>
      </w:r>
      <w:proofErr w:type="spellStart"/>
      <w:r w:rsidR="00BB1C46" w:rsidRPr="000733D3">
        <w:rPr>
          <w:rFonts w:ascii="Times New Roman" w:hAnsi="Times New Roman" w:cs="Times New Roman"/>
          <w:sz w:val="24"/>
          <w:szCs w:val="24"/>
        </w:rPr>
        <w:t>Bernabucci</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2002; </w:t>
      </w:r>
      <w:proofErr w:type="spellStart"/>
      <w:r w:rsidR="00BB1C46" w:rsidRPr="000733D3">
        <w:rPr>
          <w:rFonts w:ascii="Times New Roman" w:hAnsi="Times New Roman" w:cs="Times New Roman"/>
          <w:sz w:val="24"/>
          <w:szCs w:val="24"/>
        </w:rPr>
        <w:t>Zachut</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2017); in broilers (Altan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2003); in goats (Kataria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2010; Sahoo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2020); in sheep (Maan 2010; </w:t>
      </w:r>
      <w:proofErr w:type="spellStart"/>
      <w:r w:rsidR="00BB1C46" w:rsidRPr="000733D3">
        <w:rPr>
          <w:rFonts w:ascii="Times New Roman" w:hAnsi="Times New Roman" w:cs="Times New Roman"/>
          <w:sz w:val="24"/>
          <w:szCs w:val="24"/>
        </w:rPr>
        <w:t>Rathwa</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2017; Karthik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2021), in quails (Sahin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2011), in buffaloes (Chaudhary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2015; Lakhani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2018) and in pigs (Yadav 2016). Similar augmented values of GSH in summer and winter seasons had been reported in sheep (Maan, 2010), in pigs (Yadav, 2016) and in goats (Sahoo </w:t>
      </w:r>
      <w:r w:rsidR="000733D3" w:rsidRPr="000733D3">
        <w:rPr>
          <w:rFonts w:ascii="Times New Roman" w:hAnsi="Times New Roman" w:cs="Times New Roman"/>
          <w:i/>
          <w:iCs/>
          <w:sz w:val="24"/>
          <w:szCs w:val="24"/>
        </w:rPr>
        <w:t>et al</w:t>
      </w:r>
      <w:r w:rsidR="00421D15" w:rsidRPr="000733D3">
        <w:rPr>
          <w:rFonts w:ascii="Times New Roman" w:hAnsi="Times New Roman" w:cs="Times New Roman"/>
          <w:sz w:val="24"/>
          <w:szCs w:val="24"/>
        </w:rPr>
        <w:t>.</w:t>
      </w:r>
      <w:r w:rsidR="00BB1C46" w:rsidRPr="000733D3">
        <w:rPr>
          <w:rFonts w:ascii="Times New Roman" w:hAnsi="Times New Roman" w:cs="Times New Roman"/>
          <w:sz w:val="24"/>
          <w:szCs w:val="24"/>
        </w:rPr>
        <w:t>, 2020). Increase in the activity of glutathione reductase along with decreased values of GSH indicate that the animals are undergoing a significant oxidative stress during summer and winter seasons.</w:t>
      </w:r>
    </w:p>
    <w:p w14:paraId="052E4D07" w14:textId="3C45B669" w:rsidR="005E7F20" w:rsidRPr="000733D3" w:rsidRDefault="00BB1C46" w:rsidP="00381F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The oxidative stress can further lead to lipid peroxidation especially of the components of the cell membrane. Lipid peroxidation can disturb the integrity of the cell membrane. MDA is the end product of cell membrane</w:t>
      </w:r>
      <w:r w:rsidR="00094AE8" w:rsidRPr="000733D3">
        <w:rPr>
          <w:rFonts w:ascii="Times New Roman" w:hAnsi="Times New Roman" w:cs="Times New Roman"/>
          <w:sz w:val="24"/>
          <w:szCs w:val="24"/>
        </w:rPr>
        <w:t xml:space="preserve"> (</w:t>
      </w:r>
      <w:r w:rsidR="005E7F20" w:rsidRPr="000733D3">
        <w:rPr>
          <w:rFonts w:ascii="Times New Roman" w:hAnsi="Times New Roman" w:cs="Times New Roman"/>
          <w:sz w:val="24"/>
          <w:szCs w:val="24"/>
        </w:rPr>
        <w:t xml:space="preserve">Gaschler </w:t>
      </w:r>
      <w:r w:rsidR="000733D3" w:rsidRPr="000733D3">
        <w:rPr>
          <w:rFonts w:ascii="Times New Roman" w:hAnsi="Times New Roman" w:cs="Times New Roman"/>
          <w:sz w:val="24"/>
          <w:szCs w:val="24"/>
        </w:rPr>
        <w:t>&amp;</w:t>
      </w:r>
      <w:r w:rsidR="005E7F20" w:rsidRPr="000733D3">
        <w:rPr>
          <w:rFonts w:ascii="Times New Roman" w:hAnsi="Times New Roman" w:cs="Times New Roman"/>
          <w:sz w:val="24"/>
          <w:szCs w:val="24"/>
        </w:rPr>
        <w:t xml:space="preserve"> Stockwell, 2017</w:t>
      </w:r>
      <w:r w:rsidR="00094AE8"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094AE8" w:rsidRPr="000733D3">
        <w:rPr>
          <w:rFonts w:ascii="Times New Roman" w:hAnsi="Times New Roman" w:cs="Times New Roman"/>
          <w:sz w:val="24"/>
          <w:szCs w:val="24"/>
        </w:rPr>
        <w:t xml:space="preserve">We observed </w:t>
      </w:r>
      <w:r w:rsidRPr="000733D3">
        <w:rPr>
          <w:rFonts w:ascii="Times New Roman" w:hAnsi="Times New Roman" w:cs="Times New Roman"/>
          <w:sz w:val="24"/>
          <w:szCs w:val="24"/>
        </w:rPr>
        <w:t>increase in the values of erythrocytic MDA during winter and summer seasons</w:t>
      </w:r>
      <w:r w:rsidR="0033711E" w:rsidRPr="000733D3">
        <w:rPr>
          <w:rFonts w:ascii="Times New Roman" w:hAnsi="Times New Roman" w:cs="Times New Roman"/>
          <w:sz w:val="24"/>
          <w:szCs w:val="24"/>
        </w:rPr>
        <w:t xml:space="preserve"> (Fig 1A)</w:t>
      </w:r>
      <w:r w:rsidRPr="000733D3">
        <w:rPr>
          <w:rFonts w:ascii="Times New Roman" w:hAnsi="Times New Roman" w:cs="Times New Roman"/>
          <w:sz w:val="24"/>
          <w:szCs w:val="24"/>
        </w:rPr>
        <w:t xml:space="preserve"> </w:t>
      </w:r>
      <w:r w:rsidR="00094AE8" w:rsidRPr="000733D3">
        <w:rPr>
          <w:rFonts w:ascii="Times New Roman" w:hAnsi="Times New Roman" w:cs="Times New Roman"/>
          <w:sz w:val="24"/>
          <w:szCs w:val="24"/>
        </w:rPr>
        <w:t xml:space="preserve">which </w:t>
      </w:r>
      <w:r w:rsidRPr="000733D3">
        <w:rPr>
          <w:rFonts w:ascii="Times New Roman" w:hAnsi="Times New Roman" w:cs="Times New Roman"/>
          <w:sz w:val="24"/>
          <w:szCs w:val="24"/>
        </w:rPr>
        <w:t xml:space="preserve">indicated that the animals were under oxidative stress and more prominent during extreme summer season than winter season. Similar findings had been reported by </w:t>
      </w:r>
      <w:proofErr w:type="spellStart"/>
      <w:r w:rsidRPr="000733D3">
        <w:rPr>
          <w:rFonts w:ascii="Times New Roman" w:hAnsi="Times New Roman" w:cs="Times New Roman"/>
          <w:sz w:val="24"/>
          <w:szCs w:val="24"/>
        </w:rPr>
        <w:t>Bernabucci</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(2002) and </w:t>
      </w:r>
      <w:proofErr w:type="spellStart"/>
      <w:r w:rsidRPr="000733D3">
        <w:rPr>
          <w:rFonts w:ascii="Times New Roman" w:hAnsi="Times New Roman" w:cs="Times New Roman"/>
          <w:sz w:val="24"/>
          <w:szCs w:val="24"/>
        </w:rPr>
        <w:t>Zachut</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(2017) in cows, Altan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(2003) in broilers, Sahin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(2011) in Quails, Chaudhary </w:t>
      </w:r>
      <w:r w:rsidR="000733D3" w:rsidRPr="000733D3">
        <w:rPr>
          <w:rFonts w:ascii="Times New Roman" w:hAnsi="Times New Roman" w:cs="Times New Roman"/>
          <w:i/>
          <w:iCs/>
          <w:sz w:val="24"/>
          <w:szCs w:val="24"/>
        </w:rPr>
        <w:lastRenderedPageBreak/>
        <w:t>et al</w:t>
      </w:r>
      <w:r w:rsidRPr="000733D3">
        <w:rPr>
          <w:rFonts w:ascii="Times New Roman" w:hAnsi="Times New Roman" w:cs="Times New Roman"/>
          <w:sz w:val="24"/>
          <w:szCs w:val="24"/>
        </w:rPr>
        <w:t xml:space="preserve">. (2015) and Lakhani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(2018) in buffaloes, </w:t>
      </w:r>
      <w:proofErr w:type="spellStart"/>
      <w:r w:rsidRPr="000733D3">
        <w:rPr>
          <w:rFonts w:ascii="Times New Roman" w:hAnsi="Times New Roman" w:cs="Times New Roman"/>
          <w:sz w:val="24"/>
          <w:szCs w:val="24"/>
        </w:rPr>
        <w:t>Rathwa</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(2017) and Karthik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(2021) in sheep, Cui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(2019) in pigs and Sahoo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(2020) in goats. Environmental stress caused increase production of ROS which further leads to direct damage of lipids especially the polyunsaturated fatty acids (PUFAs). With the increased ROS, there can be increased peroxidation of polyunsaturated fatty acids, accelerated oxidative stress and stimulation of apoptosis or necrosis which could bring about pathological conditions. </w:t>
      </w:r>
    </w:p>
    <w:p w14:paraId="58DF23DC" w14:textId="0F6AAC91" w:rsidR="00570F52" w:rsidRPr="000733D3" w:rsidRDefault="005E7F20" w:rsidP="005E7F2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Our findings indicate that seasonal fluctuations exert significant oxidative stress on the animals. </w:t>
      </w:r>
      <w:r w:rsidRPr="005E7F20">
        <w:rPr>
          <w:rFonts w:ascii="Times New Roman" w:hAnsi="Times New Roman" w:cs="Times New Roman"/>
          <w:sz w:val="24"/>
          <w:szCs w:val="24"/>
        </w:rPr>
        <w:t xml:space="preserve">Oxidative stress is known to damage cellular components, including erythrocytes, which can result in altered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profiles and ultimately disrupt physiological homeostasis. To assess the impact of seasonal stress on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parameters, we evaluated a range of erythrocytic and leukocytic indices. </w:t>
      </w:r>
      <w:r w:rsidRPr="000733D3">
        <w:rPr>
          <w:rFonts w:ascii="Times New Roman" w:hAnsi="Times New Roman" w:cs="Times New Roman"/>
          <w:sz w:val="24"/>
          <w:szCs w:val="24"/>
        </w:rPr>
        <w:t>Hb</w:t>
      </w:r>
      <w:r w:rsidRPr="005E7F20">
        <w:rPr>
          <w:rFonts w:ascii="Times New Roman" w:hAnsi="Times New Roman" w:cs="Times New Roman"/>
          <w:sz w:val="24"/>
          <w:szCs w:val="24"/>
        </w:rPr>
        <w:t xml:space="preserve"> and PCV values were lowest during the summer season, followed by winter, while the highest levels were recorded in spring</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TLC were also significantly reduced in summer compared to winter and spring</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xml:space="preserve">. Furthermore, the mean percentage of neutrophils was significantly elevated, whereas that of lymphocytes was markedly reduced in both winter and summer </w:t>
      </w:r>
      <w:r w:rsidRPr="000733D3">
        <w:rPr>
          <w:rFonts w:ascii="Times New Roman" w:hAnsi="Times New Roman" w:cs="Times New Roman"/>
          <w:sz w:val="24"/>
          <w:szCs w:val="24"/>
        </w:rPr>
        <w:t>as compared</w:t>
      </w:r>
      <w:r w:rsidRPr="005E7F20">
        <w:rPr>
          <w:rFonts w:ascii="Times New Roman" w:hAnsi="Times New Roman" w:cs="Times New Roman"/>
          <w:sz w:val="24"/>
          <w:szCs w:val="24"/>
        </w:rPr>
        <w:t xml:space="preserve"> to the spring season</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Consequently, the neutrophil-to-lymphocyte (</w:t>
      </w:r>
      <w:proofErr w:type="gramStart"/>
      <w:r w:rsidRPr="005E7F20">
        <w:rPr>
          <w:rFonts w:ascii="Times New Roman" w:hAnsi="Times New Roman" w:cs="Times New Roman"/>
          <w:sz w:val="24"/>
          <w:szCs w:val="24"/>
        </w:rPr>
        <w:t>N:L</w:t>
      </w:r>
      <w:proofErr w:type="gramEnd"/>
      <w:r w:rsidRPr="005E7F20">
        <w:rPr>
          <w:rFonts w:ascii="Times New Roman" w:hAnsi="Times New Roman" w:cs="Times New Roman"/>
          <w:sz w:val="24"/>
          <w:szCs w:val="24"/>
        </w:rPr>
        <w:t>) ratio was significantly higher during winter and summer</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xml:space="preserve">. Similar seasonal trends in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responses have been reported in </w:t>
      </w:r>
      <w:proofErr w:type="spellStart"/>
      <w:r w:rsidRPr="005E7F20">
        <w:rPr>
          <w:rFonts w:ascii="Times New Roman" w:hAnsi="Times New Roman" w:cs="Times New Roman"/>
          <w:sz w:val="24"/>
          <w:szCs w:val="24"/>
        </w:rPr>
        <w:t>Zovawk</w:t>
      </w:r>
      <w:proofErr w:type="spellEnd"/>
      <w:r w:rsidRPr="005E7F20">
        <w:rPr>
          <w:rFonts w:ascii="Times New Roman" w:hAnsi="Times New Roman" w:cs="Times New Roman"/>
          <w:sz w:val="24"/>
          <w:szCs w:val="24"/>
        </w:rPr>
        <w:t xml:space="preserve"> pigs (</w:t>
      </w:r>
      <w:proofErr w:type="spellStart"/>
      <w:r w:rsidRPr="005E7F20">
        <w:rPr>
          <w:rFonts w:ascii="Times New Roman" w:hAnsi="Times New Roman" w:cs="Times New Roman"/>
          <w:sz w:val="24"/>
          <w:szCs w:val="24"/>
        </w:rPr>
        <w:t>Mayengbam</w:t>
      </w:r>
      <w:proofErr w:type="spellEnd"/>
      <w:r w:rsidRPr="005E7F20">
        <w:rPr>
          <w:rFonts w:ascii="Times New Roman" w:hAnsi="Times New Roman" w:cs="Times New Roman"/>
          <w:sz w:val="24"/>
          <w:szCs w:val="24"/>
        </w:rPr>
        <w:t xml:space="preserve"> and </w:t>
      </w:r>
      <w:proofErr w:type="spellStart"/>
      <w:r w:rsidRPr="005E7F20">
        <w:rPr>
          <w:rFonts w:ascii="Times New Roman" w:hAnsi="Times New Roman" w:cs="Times New Roman"/>
          <w:sz w:val="24"/>
          <w:szCs w:val="24"/>
        </w:rPr>
        <w:t>Tolenkhomba</w:t>
      </w:r>
      <w:proofErr w:type="spellEnd"/>
      <w:r w:rsidRPr="005E7F20">
        <w:rPr>
          <w:rFonts w:ascii="Times New Roman" w:hAnsi="Times New Roman" w:cs="Times New Roman"/>
          <w:sz w:val="24"/>
          <w:szCs w:val="24"/>
        </w:rPr>
        <w:t xml:space="preserve">, 2015), goats (Banerjee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2015), exotic pig breeds (Cui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2019; </w:t>
      </w:r>
      <w:proofErr w:type="spellStart"/>
      <w:r w:rsidRPr="005E7F20">
        <w:rPr>
          <w:rFonts w:ascii="Times New Roman" w:hAnsi="Times New Roman" w:cs="Times New Roman"/>
          <w:sz w:val="24"/>
          <w:szCs w:val="24"/>
        </w:rPr>
        <w:t>Palova</w:t>
      </w:r>
      <w:proofErr w:type="spellEnd"/>
      <w:r w:rsidRPr="005E7F20">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2019), and dairy cows (Koubková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2002; Morar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2018).</w:t>
      </w:r>
      <w:r w:rsidRPr="000733D3">
        <w:rPr>
          <w:rFonts w:ascii="Times New Roman" w:hAnsi="Times New Roman" w:cs="Times New Roman"/>
          <w:sz w:val="24"/>
          <w:szCs w:val="24"/>
        </w:rPr>
        <w:t xml:space="preserve"> </w:t>
      </w:r>
    </w:p>
    <w:p w14:paraId="02C147B1" w14:textId="20CFB92A" w:rsidR="005E7F20" w:rsidRPr="000733D3" w:rsidRDefault="00570F52" w:rsidP="00381F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Pigs exhibit several physiological and </w:t>
      </w:r>
      <w:proofErr w:type="spellStart"/>
      <w:r w:rsidRPr="000733D3">
        <w:rPr>
          <w:rFonts w:ascii="Times New Roman" w:hAnsi="Times New Roman" w:cs="Times New Roman"/>
          <w:sz w:val="24"/>
          <w:szCs w:val="24"/>
        </w:rPr>
        <w:t>behavioral</w:t>
      </w:r>
      <w:proofErr w:type="spellEnd"/>
      <w:r w:rsidRPr="000733D3">
        <w:rPr>
          <w:rFonts w:ascii="Times New Roman" w:hAnsi="Times New Roman" w:cs="Times New Roman"/>
          <w:sz w:val="24"/>
          <w:szCs w:val="24"/>
        </w:rPr>
        <w:t xml:space="preserve"> adjustments to cope with heat stress, including wallowing </w:t>
      </w:r>
      <w:proofErr w:type="spellStart"/>
      <w:r w:rsidRPr="000733D3">
        <w:rPr>
          <w:rFonts w:ascii="Times New Roman" w:hAnsi="Times New Roman" w:cs="Times New Roman"/>
          <w:sz w:val="24"/>
          <w:szCs w:val="24"/>
        </w:rPr>
        <w:t>behavior</w:t>
      </w:r>
      <w:proofErr w:type="spellEnd"/>
      <w:r w:rsidRPr="000733D3">
        <w:rPr>
          <w:rFonts w:ascii="Times New Roman" w:hAnsi="Times New Roman" w:cs="Times New Roman"/>
          <w:sz w:val="24"/>
          <w:szCs w:val="24"/>
        </w:rPr>
        <w:t xml:space="preserve">, redistribution of blood flow away from the gut, and increases in both body temperature and respiratory rate (Silva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2009). </w:t>
      </w:r>
      <w:r w:rsidR="005E7F20" w:rsidRPr="005E7F20">
        <w:rPr>
          <w:rFonts w:ascii="Times New Roman" w:hAnsi="Times New Roman" w:cs="Times New Roman"/>
          <w:sz w:val="24"/>
          <w:szCs w:val="24"/>
        </w:rPr>
        <w:t>The</w:t>
      </w:r>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hematological</w:t>
      </w:r>
      <w:proofErr w:type="spellEnd"/>
      <w:r w:rsidR="005E7F20" w:rsidRPr="005E7F20">
        <w:rPr>
          <w:rFonts w:ascii="Times New Roman" w:hAnsi="Times New Roman" w:cs="Times New Roman"/>
          <w:sz w:val="24"/>
          <w:szCs w:val="24"/>
        </w:rPr>
        <w:t xml:space="preserve"> </w:t>
      </w:r>
      <w:r w:rsidR="005E7F20" w:rsidRPr="000733D3">
        <w:rPr>
          <w:rFonts w:ascii="Times New Roman" w:hAnsi="Times New Roman" w:cs="Times New Roman"/>
          <w:sz w:val="24"/>
          <w:szCs w:val="24"/>
        </w:rPr>
        <w:t>changes</w:t>
      </w:r>
      <w:r w:rsidR="005E7F20" w:rsidRPr="005E7F20">
        <w:rPr>
          <w:rFonts w:ascii="Times New Roman" w:hAnsi="Times New Roman" w:cs="Times New Roman"/>
          <w:sz w:val="24"/>
          <w:szCs w:val="24"/>
        </w:rPr>
        <w:t xml:space="preserve"> may be attributed to increased oxygen demand and enhanced respiratory effort under environmental stress, which elevates the partial pressure of oxygen in the blood and may suppress erythropoiesis, thereby reducing circulating erythrocytes. Additionally, oxidative damage to the lipid-rich erythrocyte membranes can lead to </w:t>
      </w:r>
      <w:proofErr w:type="spellStart"/>
      <w:r w:rsidR="005E7F20" w:rsidRPr="005E7F20">
        <w:rPr>
          <w:rFonts w:ascii="Times New Roman" w:hAnsi="Times New Roman" w:cs="Times New Roman"/>
          <w:sz w:val="24"/>
          <w:szCs w:val="24"/>
        </w:rPr>
        <w:t>hemolysis</w:t>
      </w:r>
      <w:proofErr w:type="spellEnd"/>
      <w:r w:rsidR="005E7F20" w:rsidRPr="005E7F20">
        <w:rPr>
          <w:rFonts w:ascii="Times New Roman" w:hAnsi="Times New Roman" w:cs="Times New Roman"/>
          <w:sz w:val="24"/>
          <w:szCs w:val="24"/>
        </w:rPr>
        <w:t xml:space="preserve"> and a subsequent decline in RBC count. Nutritional factors may </w:t>
      </w:r>
      <w:r w:rsidRPr="000733D3">
        <w:rPr>
          <w:rFonts w:ascii="Times New Roman" w:hAnsi="Times New Roman" w:cs="Times New Roman"/>
          <w:sz w:val="24"/>
          <w:szCs w:val="24"/>
        </w:rPr>
        <w:t xml:space="preserve">further exacerbate these effects, as heat stress is known to reduce voluntary feed intake, potentially limiting the availability of nutrients necessary for </w:t>
      </w:r>
      <w:proofErr w:type="spellStart"/>
      <w:r w:rsidRPr="000733D3">
        <w:rPr>
          <w:rFonts w:ascii="Times New Roman" w:hAnsi="Times New Roman" w:cs="Times New Roman"/>
          <w:sz w:val="24"/>
          <w:szCs w:val="24"/>
        </w:rPr>
        <w:t>hemoglobin</w:t>
      </w:r>
      <w:proofErr w:type="spellEnd"/>
      <w:r w:rsidRPr="000733D3">
        <w:rPr>
          <w:rFonts w:ascii="Times New Roman" w:hAnsi="Times New Roman" w:cs="Times New Roman"/>
          <w:sz w:val="24"/>
          <w:szCs w:val="24"/>
        </w:rPr>
        <w:t xml:space="preserve"> synthesis.</w:t>
      </w:r>
    </w:p>
    <w:p w14:paraId="78E99276" w14:textId="478EE37B" w:rsidR="006B5573" w:rsidRPr="000733D3" w:rsidRDefault="004921D5"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To determine the effect of seasonal change on the cellular homeostasis of different metabolic enzymes, we analysed the ALP, AST, GGT and LDH activities.</w:t>
      </w:r>
      <w:r w:rsidR="003B10DD" w:rsidRPr="000733D3">
        <w:rPr>
          <w:rFonts w:ascii="Times New Roman" w:hAnsi="Times New Roman" w:cs="Times New Roman"/>
          <w:sz w:val="24"/>
          <w:szCs w:val="24"/>
        </w:rPr>
        <w:t xml:space="preserve"> </w:t>
      </w:r>
      <w:r w:rsidR="00F348F0" w:rsidRPr="000733D3">
        <w:rPr>
          <w:rFonts w:ascii="Times New Roman" w:hAnsi="Times New Roman" w:cs="Times New Roman"/>
          <w:sz w:val="24"/>
          <w:szCs w:val="24"/>
        </w:rPr>
        <w:t xml:space="preserve">AST, GGT and LDH showed </w:t>
      </w:r>
      <w:r w:rsidR="00F348F0" w:rsidRPr="000733D3">
        <w:rPr>
          <w:rFonts w:ascii="Times New Roman" w:hAnsi="Times New Roman" w:cs="Times New Roman"/>
          <w:sz w:val="24"/>
          <w:szCs w:val="24"/>
        </w:rPr>
        <w:lastRenderedPageBreak/>
        <w:t>significant increase during summer season as compared to winter and spring seasons</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3</w:t>
      </w:r>
      <w:r w:rsidR="0033711E" w:rsidRPr="000733D3">
        <w:rPr>
          <w:rFonts w:ascii="Times New Roman" w:hAnsi="Times New Roman" w:cs="Times New Roman"/>
          <w:sz w:val="24"/>
          <w:szCs w:val="24"/>
        </w:rPr>
        <w:t>)</w:t>
      </w:r>
      <w:r w:rsidR="00F348F0" w:rsidRPr="000733D3">
        <w:rPr>
          <w:rFonts w:ascii="Times New Roman" w:hAnsi="Times New Roman" w:cs="Times New Roman"/>
          <w:sz w:val="24"/>
          <w:szCs w:val="24"/>
        </w:rPr>
        <w:t xml:space="preserve">. </w:t>
      </w:r>
      <w:r w:rsidR="003B10DD" w:rsidRPr="000733D3">
        <w:rPr>
          <w:rFonts w:ascii="Times New Roman" w:hAnsi="Times New Roman" w:cs="Times New Roman"/>
          <w:sz w:val="24"/>
          <w:szCs w:val="24"/>
        </w:rPr>
        <w:t>However, the activity of ALP was</w:t>
      </w:r>
      <w:r w:rsidR="00F348F0" w:rsidRPr="000733D3">
        <w:rPr>
          <w:rFonts w:ascii="Times New Roman" w:hAnsi="Times New Roman" w:cs="Times New Roman"/>
          <w:sz w:val="24"/>
          <w:szCs w:val="24"/>
        </w:rPr>
        <w:t xml:space="preserve"> </w:t>
      </w:r>
      <w:r w:rsidR="003B10DD" w:rsidRPr="000733D3">
        <w:rPr>
          <w:rFonts w:ascii="Times New Roman" w:hAnsi="Times New Roman" w:cs="Times New Roman"/>
          <w:sz w:val="24"/>
          <w:szCs w:val="24"/>
        </w:rPr>
        <w:t>lower</w:t>
      </w:r>
      <w:r w:rsidR="00F348F0" w:rsidRPr="000733D3">
        <w:rPr>
          <w:rFonts w:ascii="Times New Roman" w:hAnsi="Times New Roman" w:cs="Times New Roman"/>
          <w:sz w:val="24"/>
          <w:szCs w:val="24"/>
        </w:rPr>
        <w:t xml:space="preserve"> (not significant) in summer season</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3</w:t>
      </w:r>
      <w:r w:rsidR="0033711E" w:rsidRPr="000733D3">
        <w:rPr>
          <w:rFonts w:ascii="Times New Roman" w:hAnsi="Times New Roman" w:cs="Times New Roman"/>
          <w:sz w:val="24"/>
          <w:szCs w:val="24"/>
        </w:rPr>
        <w:t>)</w:t>
      </w:r>
      <w:r w:rsidR="00F348F0" w:rsidRPr="000733D3">
        <w:rPr>
          <w:rFonts w:ascii="Times New Roman" w:hAnsi="Times New Roman" w:cs="Times New Roman"/>
          <w:sz w:val="24"/>
          <w:szCs w:val="24"/>
        </w:rPr>
        <w:t>. Decrease level of ALP in summer might be caused by heat stress while higher level of ALP in winter than summer may be a compensatory process for vitamin D requirements (</w:t>
      </w:r>
      <w:proofErr w:type="spellStart"/>
      <w:r w:rsidR="00F348F0" w:rsidRPr="000733D3">
        <w:rPr>
          <w:rFonts w:ascii="Times New Roman" w:hAnsi="Times New Roman" w:cs="Times New Roman"/>
          <w:sz w:val="24"/>
          <w:szCs w:val="24"/>
        </w:rPr>
        <w:t>Mayengbam</w:t>
      </w:r>
      <w:proofErr w:type="spellEnd"/>
      <w:r w:rsidR="00F348F0" w:rsidRPr="000733D3">
        <w:rPr>
          <w:rFonts w:ascii="Times New Roman" w:hAnsi="Times New Roman" w:cs="Times New Roman"/>
          <w:sz w:val="24"/>
          <w:szCs w:val="24"/>
        </w:rPr>
        <w:t xml:space="preserve"> and </w:t>
      </w:r>
      <w:proofErr w:type="spellStart"/>
      <w:r w:rsidR="00F348F0" w:rsidRPr="000733D3">
        <w:rPr>
          <w:rFonts w:ascii="Times New Roman" w:hAnsi="Times New Roman" w:cs="Times New Roman"/>
          <w:sz w:val="24"/>
          <w:szCs w:val="24"/>
        </w:rPr>
        <w:t>Tolenkhomba</w:t>
      </w:r>
      <w:proofErr w:type="spellEnd"/>
      <w:r w:rsidR="00F348F0" w:rsidRPr="000733D3">
        <w:rPr>
          <w:rFonts w:ascii="Times New Roman" w:hAnsi="Times New Roman" w:cs="Times New Roman"/>
          <w:sz w:val="24"/>
          <w:szCs w:val="24"/>
        </w:rPr>
        <w:t>, 2015).</w:t>
      </w:r>
      <w:r w:rsidR="00F348F0" w:rsidRPr="000733D3">
        <w:rPr>
          <w:rFonts w:ascii="Times New Roman" w:hAnsi="Times New Roman" w:cs="Times New Roman"/>
          <w:sz w:val="24"/>
          <w:szCs w:val="24"/>
          <w:vertAlign w:val="superscript"/>
        </w:rPr>
        <w:t xml:space="preserve"> </w:t>
      </w:r>
      <w:r w:rsidR="00F348F0" w:rsidRPr="000733D3">
        <w:rPr>
          <w:rFonts w:ascii="Times New Roman" w:hAnsi="Times New Roman" w:cs="Times New Roman"/>
          <w:sz w:val="24"/>
          <w:szCs w:val="24"/>
        </w:rPr>
        <w:t xml:space="preserve">Similar reports on ALP were given in crossbred cattle (Rusoff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1954) and in pigs (</w:t>
      </w:r>
      <w:proofErr w:type="spellStart"/>
      <w:r w:rsidR="00F348F0" w:rsidRPr="000733D3">
        <w:rPr>
          <w:rFonts w:ascii="Times New Roman" w:hAnsi="Times New Roman" w:cs="Times New Roman"/>
          <w:sz w:val="24"/>
          <w:szCs w:val="24"/>
        </w:rPr>
        <w:t>Palova</w:t>
      </w:r>
      <w:proofErr w:type="spellEnd"/>
      <w:r w:rsidR="00F348F0"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2019; Pearce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2013) while results contrast to our findings were reported in cattle (Singh and Singh, 2005), broilers (Huang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2018) and pigs (Borah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2020).</w:t>
      </w:r>
    </w:p>
    <w:p w14:paraId="0430FAE8" w14:textId="4B0A8B9E" w:rsidR="00F348F0" w:rsidRPr="000733D3" w:rsidRDefault="00F348F0"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Increased levels of ALT and AST was observed </w:t>
      </w:r>
      <w:r w:rsidR="006B5573" w:rsidRPr="000733D3">
        <w:rPr>
          <w:rFonts w:ascii="Times New Roman" w:hAnsi="Times New Roman" w:cs="Times New Roman"/>
          <w:sz w:val="24"/>
          <w:szCs w:val="24"/>
        </w:rPr>
        <w:t xml:space="preserve">previously </w:t>
      </w:r>
      <w:r w:rsidRPr="000733D3">
        <w:rPr>
          <w:rFonts w:ascii="Times New Roman" w:hAnsi="Times New Roman" w:cs="Times New Roman"/>
          <w:sz w:val="24"/>
          <w:szCs w:val="24"/>
        </w:rPr>
        <w:t xml:space="preserve">in cattle (Shaffer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1981),</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in buffaloes (Ashmawy, 2020),</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 xml:space="preserve">in goats (Banerjee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2015), in </w:t>
      </w:r>
      <w:proofErr w:type="spellStart"/>
      <w:r w:rsidRPr="000733D3">
        <w:rPr>
          <w:rFonts w:ascii="Times New Roman" w:hAnsi="Times New Roman" w:cs="Times New Roman"/>
          <w:sz w:val="24"/>
          <w:szCs w:val="24"/>
        </w:rPr>
        <w:t>sheeps</w:t>
      </w:r>
      <w:proofErr w:type="spellEnd"/>
      <w:r w:rsidRPr="000733D3">
        <w:rPr>
          <w:rFonts w:ascii="Times New Roman" w:hAnsi="Times New Roman" w:cs="Times New Roman"/>
          <w:sz w:val="24"/>
          <w:szCs w:val="24"/>
        </w:rPr>
        <w:t xml:space="preserve"> (Karthik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2021) in pigs</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w:t>
      </w:r>
      <w:proofErr w:type="spellStart"/>
      <w:r w:rsidRPr="000733D3">
        <w:rPr>
          <w:rFonts w:ascii="Times New Roman" w:hAnsi="Times New Roman" w:cs="Times New Roman"/>
          <w:sz w:val="24"/>
          <w:szCs w:val="24"/>
        </w:rPr>
        <w:t>Mayengbam</w:t>
      </w:r>
      <w:proofErr w:type="spellEnd"/>
      <w:r w:rsidRPr="000733D3">
        <w:rPr>
          <w:rFonts w:ascii="Times New Roman" w:hAnsi="Times New Roman" w:cs="Times New Roman"/>
          <w:sz w:val="24"/>
          <w:szCs w:val="24"/>
        </w:rPr>
        <w:t xml:space="preserve"> and </w:t>
      </w:r>
      <w:proofErr w:type="spellStart"/>
      <w:r w:rsidRPr="000733D3">
        <w:rPr>
          <w:rFonts w:ascii="Times New Roman" w:hAnsi="Times New Roman" w:cs="Times New Roman"/>
          <w:sz w:val="24"/>
          <w:szCs w:val="24"/>
        </w:rPr>
        <w:t>Tolenkhomba</w:t>
      </w:r>
      <w:proofErr w:type="spellEnd"/>
      <w:r w:rsidRPr="000733D3">
        <w:rPr>
          <w:rFonts w:ascii="Times New Roman" w:hAnsi="Times New Roman" w:cs="Times New Roman"/>
          <w:sz w:val="24"/>
          <w:szCs w:val="24"/>
        </w:rPr>
        <w:t xml:space="preserve"> 2015; Borah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2020), and in broilers (Huang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2018). There were reports that the levels of LDH increased significantly during summer in comparison to other seasons in fattener pigs (Chu </w:t>
      </w:r>
      <w:r w:rsidR="00421D15" w:rsidRPr="000733D3">
        <w:rPr>
          <w:rFonts w:ascii="Times New Roman" w:hAnsi="Times New Roman" w:cs="Times New Roman"/>
          <w:sz w:val="24"/>
          <w:szCs w:val="24"/>
        </w:rPr>
        <w:t>&amp;</w:t>
      </w:r>
      <w:r w:rsidR="00D703EE" w:rsidRPr="000733D3">
        <w:rPr>
          <w:rFonts w:ascii="Times New Roman" w:hAnsi="Times New Roman" w:cs="Times New Roman"/>
          <w:sz w:val="24"/>
          <w:szCs w:val="24"/>
        </w:rPr>
        <w:t xml:space="preserve"> Song,</w:t>
      </w:r>
      <w:r w:rsidRPr="000733D3">
        <w:rPr>
          <w:rFonts w:ascii="Times New Roman" w:hAnsi="Times New Roman" w:cs="Times New Roman"/>
          <w:sz w:val="24"/>
          <w:szCs w:val="24"/>
        </w:rPr>
        <w:t xml:space="preserve"> 2013). Increased level of LDH throughout heat stress was reported in cattle (Chetia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2017) and in pigs (Borah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2020; Vashi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2018). Increased value of GGT in winter and summer compared to spring was observed in goats (Ribeiro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2016) and in pigs (Chmielowiec-Korzeniowska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w:t>
      </w:r>
      <w:r w:rsidR="00D703EE" w:rsidRPr="000733D3">
        <w:rPr>
          <w:rFonts w:ascii="Times New Roman" w:hAnsi="Times New Roman" w:cs="Times New Roman"/>
          <w:sz w:val="24"/>
          <w:szCs w:val="24"/>
        </w:rPr>
        <w:t>12</w:t>
      </w:r>
      <w:r w:rsidRPr="000733D3">
        <w:rPr>
          <w:rFonts w:ascii="Times New Roman" w:hAnsi="Times New Roman" w:cs="Times New Roman"/>
          <w:sz w:val="24"/>
          <w:szCs w:val="24"/>
        </w:rPr>
        <w:t>).</w:t>
      </w:r>
      <w:r w:rsidR="006B5573" w:rsidRP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Elevated levels of metabolic enzymes </w:t>
      </w:r>
      <w:r w:rsidR="006B5573" w:rsidRPr="000733D3">
        <w:rPr>
          <w:rFonts w:ascii="Times New Roman" w:hAnsi="Times New Roman" w:cs="Times New Roman"/>
          <w:sz w:val="24"/>
          <w:szCs w:val="24"/>
        </w:rPr>
        <w:t>may be due to</w:t>
      </w:r>
      <w:r w:rsidRPr="000733D3">
        <w:rPr>
          <w:rFonts w:ascii="Times New Roman" w:hAnsi="Times New Roman" w:cs="Times New Roman"/>
          <w:sz w:val="24"/>
          <w:szCs w:val="24"/>
        </w:rPr>
        <w:t xml:space="preserve"> change in metabolism to gluconeogenesis during environmental stress. </w:t>
      </w:r>
      <w:r w:rsidR="00570F52" w:rsidRPr="000733D3">
        <w:rPr>
          <w:rFonts w:ascii="Times New Roman" w:hAnsi="Times New Roman" w:cs="Times New Roman"/>
          <w:sz w:val="24"/>
          <w:szCs w:val="24"/>
        </w:rPr>
        <w:t xml:space="preserve">A reduction in feed intake under heat stress is well documented, especially in pigs (Mayorga </w:t>
      </w:r>
      <w:r w:rsidR="000733D3" w:rsidRPr="000733D3">
        <w:rPr>
          <w:rFonts w:ascii="Times New Roman" w:hAnsi="Times New Roman" w:cs="Times New Roman"/>
          <w:i/>
          <w:iCs/>
          <w:sz w:val="24"/>
          <w:szCs w:val="24"/>
        </w:rPr>
        <w:t>et al</w:t>
      </w:r>
      <w:r w:rsidR="00570F52" w:rsidRPr="000733D3">
        <w:rPr>
          <w:rFonts w:ascii="Times New Roman" w:hAnsi="Times New Roman" w:cs="Times New Roman"/>
          <w:sz w:val="24"/>
          <w:szCs w:val="24"/>
        </w:rPr>
        <w:t xml:space="preserve">., 2019). </w:t>
      </w:r>
      <w:r w:rsidR="00C466D2" w:rsidRPr="000733D3">
        <w:rPr>
          <w:rFonts w:ascii="Times New Roman" w:hAnsi="Times New Roman" w:cs="Times New Roman"/>
          <w:sz w:val="24"/>
          <w:szCs w:val="24"/>
        </w:rPr>
        <w:t xml:space="preserve">Reduced feed intake in heat stress reduces the heat produced from metabolism (Teixeira </w:t>
      </w:r>
      <w:r w:rsidR="000733D3" w:rsidRPr="000733D3">
        <w:rPr>
          <w:rFonts w:ascii="Times New Roman" w:hAnsi="Times New Roman" w:cs="Times New Roman"/>
          <w:i/>
          <w:iCs/>
          <w:sz w:val="24"/>
          <w:szCs w:val="24"/>
        </w:rPr>
        <w:t>et al</w:t>
      </w:r>
      <w:r w:rsidR="00C466D2" w:rsidRPr="000733D3">
        <w:rPr>
          <w:rFonts w:ascii="Times New Roman" w:hAnsi="Times New Roman" w:cs="Times New Roman"/>
          <w:sz w:val="24"/>
          <w:szCs w:val="24"/>
        </w:rPr>
        <w:t xml:space="preserve">., 2021).  </w:t>
      </w:r>
      <w:r w:rsidR="00D24DC4" w:rsidRPr="000733D3">
        <w:rPr>
          <w:rFonts w:ascii="Times New Roman" w:hAnsi="Times New Roman" w:cs="Times New Roman"/>
          <w:sz w:val="24"/>
          <w:szCs w:val="24"/>
        </w:rPr>
        <w:t>Decreased intake of food leads to i</w:t>
      </w:r>
      <w:r w:rsidRPr="000733D3">
        <w:rPr>
          <w:rFonts w:ascii="Times New Roman" w:hAnsi="Times New Roman" w:cs="Times New Roman"/>
          <w:sz w:val="24"/>
          <w:szCs w:val="24"/>
        </w:rPr>
        <w:t>ncreased gluconeogenesis implicat</w:t>
      </w:r>
      <w:r w:rsidR="00D24DC4" w:rsidRPr="000733D3">
        <w:rPr>
          <w:rFonts w:ascii="Times New Roman" w:hAnsi="Times New Roman" w:cs="Times New Roman"/>
          <w:sz w:val="24"/>
          <w:szCs w:val="24"/>
        </w:rPr>
        <w:t xml:space="preserve">ing </w:t>
      </w:r>
      <w:r w:rsidRPr="000733D3">
        <w:rPr>
          <w:rFonts w:ascii="Times New Roman" w:hAnsi="Times New Roman" w:cs="Times New Roman"/>
          <w:sz w:val="24"/>
          <w:szCs w:val="24"/>
        </w:rPr>
        <w:t xml:space="preserve">negative impact on hepatic cells, muscle cells and heart releasing different marker enzymes into circulation. These findings might also be attributable to the impairment of the hepatocellular membranes </w:t>
      </w:r>
      <w:r w:rsidR="00D24DC4" w:rsidRPr="000733D3">
        <w:rPr>
          <w:rFonts w:ascii="Times New Roman" w:hAnsi="Times New Roman" w:cs="Times New Roman"/>
          <w:sz w:val="24"/>
          <w:szCs w:val="24"/>
        </w:rPr>
        <w:t xml:space="preserve">due to oxidative stress </w:t>
      </w:r>
      <w:r w:rsidRPr="000733D3">
        <w:rPr>
          <w:rFonts w:ascii="Times New Roman" w:hAnsi="Times New Roman" w:cs="Times New Roman"/>
          <w:sz w:val="24"/>
          <w:szCs w:val="24"/>
        </w:rPr>
        <w:t>and changing the permeability causing the expulsion of the liver enzymes into the blood.</w:t>
      </w:r>
    </w:p>
    <w:p w14:paraId="3DBACC3C" w14:textId="78DB653E" w:rsidR="00F44422" w:rsidRPr="000733D3" w:rsidRDefault="00F44422"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Overall, the present study demonstrates that seasonal stress especially heat stress induces a marked oxidative burden in Yorkshire pigs, characterized by elevated glutathione reductase activity, depleted GSH levels, and increased erythrocytic lipid peroxidation. These oxidative disruptions appear to compromise cellular and membrane integrity, contributing to altered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profiles, including reduced Hb, PCV and TLC, alongside shifts in neutrophil and lymphocyte proportions. Concurrent elevations in metabolic enzymes such as AST, GGT and LDH further indicate seasonal stress related alterations in hepatic and muscular cellular function, likely driven by oxidative damage and metabolic shifts such as increased gluconeogenesis during reduced feed intake. Collectively, these findings highlight the profound </w:t>
      </w:r>
      <w:r w:rsidRPr="000733D3">
        <w:rPr>
          <w:rFonts w:ascii="Times New Roman" w:hAnsi="Times New Roman" w:cs="Times New Roman"/>
          <w:sz w:val="24"/>
          <w:szCs w:val="24"/>
        </w:rPr>
        <w:lastRenderedPageBreak/>
        <w:t>physiological strain imposed by extreme seasonal temperatures, underscoring the need for targeted management strategies to mitigate heat induced oxidative and metabolic disturbances in pigs.</w:t>
      </w:r>
      <w:commentRangeEnd w:id="10"/>
      <w:r w:rsidR="006C2155">
        <w:rPr>
          <w:rStyle w:val="CommentReference"/>
        </w:rPr>
        <w:commentReference w:id="10"/>
      </w:r>
    </w:p>
    <w:p w14:paraId="58A93AF3" w14:textId="77777777" w:rsidR="00AE55CE" w:rsidRPr="000733D3" w:rsidRDefault="00AE55CE" w:rsidP="00AE55CE">
      <w:pPr>
        <w:pStyle w:val="Heading1"/>
        <w:spacing w:line="360" w:lineRule="auto"/>
        <w:jc w:val="both"/>
        <w:rPr>
          <w:rFonts w:ascii="Times New Roman" w:hAnsi="Times New Roman" w:cs="Times New Roman"/>
          <w:b/>
          <w:color w:val="auto"/>
          <w:sz w:val="24"/>
          <w:szCs w:val="24"/>
        </w:rPr>
      </w:pPr>
      <w:r w:rsidRPr="000733D3">
        <w:rPr>
          <w:rFonts w:ascii="Times New Roman" w:hAnsi="Times New Roman" w:cs="Times New Roman"/>
          <w:b/>
          <w:color w:val="auto"/>
          <w:sz w:val="24"/>
          <w:szCs w:val="24"/>
        </w:rPr>
        <w:t>References</w:t>
      </w:r>
    </w:p>
    <w:p w14:paraId="1DD3D92D" w14:textId="2473A809"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sv-SE"/>
        </w:rPr>
        <w:t xml:space="preserve">Altan, Ö., Pabuçcuoǧlu, A., Altan, A., Konyalioǧlu, S., &amp; Bayraktar, H. 2003. </w:t>
      </w:r>
      <w:r w:rsidRPr="000733D3">
        <w:rPr>
          <w:rFonts w:ascii="Times New Roman" w:hAnsi="Times New Roman" w:cs="Times New Roman"/>
          <w:sz w:val="24"/>
          <w:szCs w:val="24"/>
        </w:rPr>
        <w:t>Effect of heat stress on oxidative stress, lipid peroxidation and some stress parameters in broilers. British Poultry Science, 44(4), 545–550. https://doi.org/10.1080/00071660310001618334</w:t>
      </w:r>
    </w:p>
    <w:p w14:paraId="633F6564" w14:textId="2F0E239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Ashmawy NA. </w:t>
      </w:r>
      <w:r w:rsidR="000733D3" w:rsidRPr="000733D3">
        <w:rPr>
          <w:rFonts w:ascii="Times New Roman" w:hAnsi="Times New Roman" w:cs="Times New Roman"/>
          <w:sz w:val="24"/>
          <w:szCs w:val="24"/>
        </w:rPr>
        <w:t>2000</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Effect of exposure to environmental heat stress on physiological responses and some blood constituents of </w:t>
      </w:r>
      <w:proofErr w:type="spellStart"/>
      <w:r w:rsidRPr="000733D3">
        <w:rPr>
          <w:rFonts w:ascii="Times New Roman" w:hAnsi="Times New Roman" w:cs="Times New Roman"/>
          <w:sz w:val="24"/>
          <w:szCs w:val="24"/>
        </w:rPr>
        <w:t>Ossimi</w:t>
      </w:r>
      <w:proofErr w:type="spellEnd"/>
      <w:r w:rsidRPr="000733D3">
        <w:rPr>
          <w:rFonts w:ascii="Times New Roman" w:hAnsi="Times New Roman" w:cs="Times New Roman"/>
          <w:sz w:val="24"/>
          <w:szCs w:val="24"/>
        </w:rPr>
        <w:t xml:space="preserve"> ewes and Egyptian buffalo heifers. Annals of Agricultural Science, </w:t>
      </w:r>
      <w:proofErr w:type="spellStart"/>
      <w:r w:rsidRPr="000733D3">
        <w:rPr>
          <w:rFonts w:ascii="Times New Roman" w:hAnsi="Times New Roman" w:cs="Times New Roman"/>
          <w:sz w:val="24"/>
          <w:szCs w:val="24"/>
        </w:rPr>
        <w:t>Moshtohor</w:t>
      </w:r>
      <w:proofErr w:type="spellEnd"/>
      <w:r w:rsidR="000733D3">
        <w:rPr>
          <w:rFonts w:ascii="Times New Roman" w:hAnsi="Times New Roman" w:cs="Times New Roman"/>
          <w:sz w:val="24"/>
          <w:szCs w:val="24"/>
        </w:rPr>
        <w:t xml:space="preserve">, </w:t>
      </w:r>
      <w:r w:rsidRPr="000733D3">
        <w:rPr>
          <w:rFonts w:ascii="Times New Roman" w:hAnsi="Times New Roman" w:cs="Times New Roman"/>
          <w:sz w:val="24"/>
          <w:szCs w:val="24"/>
        </w:rPr>
        <w:t>38(2), 731-740.</w:t>
      </w:r>
    </w:p>
    <w:p w14:paraId="3072B2EF" w14:textId="5E3ECF8B"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Banerjee D, Upadhyay RC, Chaudhary UB,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0733D3" w:rsidRPr="000733D3">
        <w:rPr>
          <w:rFonts w:ascii="Times New Roman" w:hAnsi="Times New Roman" w:cs="Times New Roman"/>
          <w:sz w:val="24"/>
          <w:szCs w:val="24"/>
        </w:rPr>
        <w:t>2015</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Seasonal variations in physio-biochemical profiles of Indian goats in the paradigm of hot and cold climate. </w:t>
      </w:r>
      <w:proofErr w:type="spellStart"/>
      <w:r w:rsidRPr="000733D3">
        <w:rPr>
          <w:rFonts w:ascii="Times New Roman" w:hAnsi="Times New Roman" w:cs="Times New Roman"/>
          <w:sz w:val="24"/>
          <w:szCs w:val="24"/>
        </w:rPr>
        <w:t>Biol</w:t>
      </w:r>
      <w:proofErr w:type="spellEnd"/>
      <w:r w:rsidRPr="000733D3">
        <w:rPr>
          <w:rFonts w:ascii="Times New Roman" w:hAnsi="Times New Roman" w:cs="Times New Roman"/>
          <w:sz w:val="24"/>
          <w:szCs w:val="24"/>
        </w:rPr>
        <w:t xml:space="preserve"> Rhythm Res</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46(2)</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221-236. doi:10.1080/09291016.2014.984999</w:t>
      </w:r>
    </w:p>
    <w:p w14:paraId="38B34483" w14:textId="10D9465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Bernabucci, U.; </w:t>
      </w:r>
      <w:proofErr w:type="spellStart"/>
      <w:r w:rsidRPr="000733D3">
        <w:rPr>
          <w:rFonts w:ascii="Times New Roman" w:hAnsi="Times New Roman" w:cs="Times New Roman"/>
          <w:sz w:val="24"/>
          <w:szCs w:val="24"/>
        </w:rPr>
        <w:t>Lacetera</w:t>
      </w:r>
      <w:proofErr w:type="spellEnd"/>
      <w:r w:rsidRPr="000733D3">
        <w:rPr>
          <w:rFonts w:ascii="Times New Roman" w:hAnsi="Times New Roman" w:cs="Times New Roman"/>
          <w:sz w:val="24"/>
          <w:szCs w:val="24"/>
        </w:rPr>
        <w:t xml:space="preserve">, N.; Baumgard, L. H.; Rhoads, R. P.; Ronchi, B.; Nardone, A. 2010. Metabolic and hormonal acclimation to heat stress in domesticated ruminants. animal, 4(7), 1167–1183. doi:10.1017/S175173111000090X.  </w:t>
      </w:r>
    </w:p>
    <w:p w14:paraId="50581C2C" w14:textId="100174C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sv-SE"/>
        </w:rPr>
        <w:t xml:space="preserve">Bernabucci, U., Ronchi, B., Lacetera, N., &amp; Nardone, A. 2002. </w:t>
      </w:r>
      <w:r w:rsidRPr="000733D3">
        <w:rPr>
          <w:rFonts w:ascii="Times New Roman" w:hAnsi="Times New Roman" w:cs="Times New Roman"/>
          <w:sz w:val="24"/>
          <w:szCs w:val="24"/>
        </w:rPr>
        <w:t>Markers of oxidative status in plasma and erythrocytes of transition dairy cows during hot season. Journal of Dairy Science, 85, 2017-2026.</w:t>
      </w:r>
    </w:p>
    <w:p w14:paraId="5F3DA1DE" w14:textId="540FE08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nl-NL"/>
        </w:rPr>
        <w:t xml:space="preserve">Borah S, Soren S, Talukdar R, </w:t>
      </w:r>
      <w:r w:rsidR="000733D3" w:rsidRPr="000F3189">
        <w:rPr>
          <w:rFonts w:ascii="Times New Roman" w:hAnsi="Times New Roman" w:cs="Times New Roman"/>
          <w:i/>
          <w:iCs/>
          <w:sz w:val="24"/>
          <w:szCs w:val="24"/>
          <w:lang w:val="nl-NL"/>
        </w:rPr>
        <w:t>et al</w:t>
      </w:r>
      <w:r w:rsidRPr="000F3189">
        <w:rPr>
          <w:rFonts w:ascii="Times New Roman" w:hAnsi="Times New Roman" w:cs="Times New Roman"/>
          <w:sz w:val="24"/>
          <w:szCs w:val="24"/>
          <w:lang w:val="nl-NL"/>
        </w:rPr>
        <w:t xml:space="preserve">. </w:t>
      </w:r>
      <w:r w:rsidR="000733D3" w:rsidRPr="000F3189">
        <w:rPr>
          <w:rFonts w:ascii="Times New Roman" w:hAnsi="Times New Roman" w:cs="Times New Roman"/>
          <w:sz w:val="24"/>
          <w:szCs w:val="24"/>
          <w:lang w:val="nl-NL"/>
        </w:rPr>
        <w:t xml:space="preserve">2020. </w:t>
      </w:r>
      <w:r w:rsidRPr="000733D3">
        <w:rPr>
          <w:rFonts w:ascii="Times New Roman" w:hAnsi="Times New Roman" w:cs="Times New Roman"/>
          <w:sz w:val="24"/>
          <w:szCs w:val="24"/>
        </w:rPr>
        <w:t>Study on the effect of seasonal variation on expression of serum biochemicals in pigs. Indian J Anim Sci</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90(9)</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1265-1269.</w:t>
      </w:r>
    </w:p>
    <w:p w14:paraId="5A77B257" w14:textId="399CE14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Chaudhary, S. S., Singh, V. K., Upadhyay, R. C., Puri, G., </w:t>
      </w:r>
      <w:proofErr w:type="spellStart"/>
      <w:r w:rsidRPr="000733D3">
        <w:rPr>
          <w:rFonts w:ascii="Times New Roman" w:hAnsi="Times New Roman" w:cs="Times New Roman"/>
          <w:sz w:val="24"/>
          <w:szCs w:val="24"/>
        </w:rPr>
        <w:t>Odedara</w:t>
      </w:r>
      <w:proofErr w:type="spellEnd"/>
      <w:r w:rsidRPr="000733D3">
        <w:rPr>
          <w:rFonts w:ascii="Times New Roman" w:hAnsi="Times New Roman" w:cs="Times New Roman"/>
          <w:sz w:val="24"/>
          <w:szCs w:val="24"/>
        </w:rPr>
        <w:t>, A. B., &amp; Patel, P. A. 2015. Evaluation of physiological and biochemical responses in different seasons in Surti buffaloes. Veterinary World, 8(6), 727–731.</w:t>
      </w:r>
    </w:p>
    <w:p w14:paraId="3D0194A3" w14:textId="2A2550CB"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bookmarkStart w:id="11" w:name="OLE_LINK1"/>
      <w:r w:rsidRPr="000F3189">
        <w:rPr>
          <w:rFonts w:ascii="Times New Roman" w:hAnsi="Times New Roman" w:cs="Times New Roman"/>
          <w:sz w:val="24"/>
          <w:szCs w:val="24"/>
          <w:lang w:val="nb-NO"/>
        </w:rPr>
        <w:t xml:space="preserve">Cheng, M.; McCarl, B.; Fei, C. </w:t>
      </w:r>
      <w:r w:rsidR="003513E6" w:rsidRPr="000F3189">
        <w:rPr>
          <w:rFonts w:ascii="Times New Roman" w:hAnsi="Times New Roman" w:cs="Times New Roman"/>
          <w:sz w:val="24"/>
          <w:szCs w:val="24"/>
          <w:lang w:val="nb-NO"/>
        </w:rPr>
        <w:t xml:space="preserve">2022. </w:t>
      </w:r>
      <w:r w:rsidRPr="000733D3">
        <w:rPr>
          <w:rFonts w:ascii="Times New Roman" w:hAnsi="Times New Roman" w:cs="Times New Roman"/>
          <w:sz w:val="24"/>
          <w:szCs w:val="24"/>
        </w:rPr>
        <w:t xml:space="preserve">Climate Change and Livestock Production: A Literature Review. Atmosphere, 13, 140. </w:t>
      </w:r>
      <w:hyperlink r:id="rId12" w:history="1">
        <w:r w:rsidRPr="000733D3">
          <w:rPr>
            <w:rStyle w:val="Hyperlink"/>
            <w:rFonts w:ascii="Times New Roman" w:hAnsi="Times New Roman" w:cs="Times New Roman"/>
            <w:color w:val="auto"/>
            <w:sz w:val="24"/>
            <w:szCs w:val="24"/>
            <w:u w:val="none"/>
          </w:rPr>
          <w:t>https://doi.org/10.3390/atmos13010140</w:t>
        </w:r>
      </w:hyperlink>
      <w:r w:rsidRPr="000733D3">
        <w:rPr>
          <w:rFonts w:ascii="Times New Roman" w:hAnsi="Times New Roman" w:cs="Times New Roman"/>
          <w:sz w:val="24"/>
          <w:szCs w:val="24"/>
        </w:rPr>
        <w:t>.</w:t>
      </w:r>
    </w:p>
    <w:p w14:paraId="00B013AD" w14:textId="7DAF54A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Chetia M, Sarma S, Goswami J. </w:t>
      </w:r>
      <w:r w:rsidR="003513E6" w:rsidRPr="000733D3">
        <w:rPr>
          <w:rFonts w:ascii="Times New Roman" w:hAnsi="Times New Roman" w:cs="Times New Roman"/>
          <w:sz w:val="24"/>
          <w:szCs w:val="24"/>
        </w:rPr>
        <w:t>2017</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Seasonal Variation in Select Stress Related Hormones and Lactate Dehydrogenase Enzyme in Zebu Cattle. International Journal of Livestock Research.</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7(6), 118-124.</w:t>
      </w:r>
    </w:p>
    <w:bookmarkEnd w:id="11"/>
    <w:p w14:paraId="7DEF7AE2" w14:textId="1670747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Chmielowiec-Korzeniowska A, </w:t>
      </w:r>
      <w:proofErr w:type="spellStart"/>
      <w:r w:rsidRPr="000733D3">
        <w:rPr>
          <w:rFonts w:ascii="Times New Roman" w:hAnsi="Times New Roman" w:cs="Times New Roman"/>
          <w:sz w:val="24"/>
          <w:szCs w:val="24"/>
        </w:rPr>
        <w:t>Tymczyna</w:t>
      </w:r>
      <w:proofErr w:type="spellEnd"/>
      <w:r w:rsidRPr="000733D3">
        <w:rPr>
          <w:rFonts w:ascii="Times New Roman" w:hAnsi="Times New Roman" w:cs="Times New Roman"/>
          <w:sz w:val="24"/>
          <w:szCs w:val="24"/>
        </w:rPr>
        <w:t xml:space="preserve"> L, Babicz M.</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2012</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Assessment of selected parameters of biochemistry, </w:t>
      </w:r>
      <w:proofErr w:type="spellStart"/>
      <w:r w:rsidRPr="000733D3">
        <w:rPr>
          <w:rFonts w:ascii="Times New Roman" w:hAnsi="Times New Roman" w:cs="Times New Roman"/>
          <w:sz w:val="24"/>
          <w:szCs w:val="24"/>
        </w:rPr>
        <w:t>hematology</w:t>
      </w:r>
      <w:proofErr w:type="spellEnd"/>
      <w:r w:rsidRPr="000733D3">
        <w:rPr>
          <w:rFonts w:ascii="Times New Roman" w:hAnsi="Times New Roman" w:cs="Times New Roman"/>
          <w:sz w:val="24"/>
          <w:szCs w:val="24"/>
        </w:rPr>
        <w:t>, immunology and production of pigs fattened in different seasons. Arch Anim Breed.</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55(5)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469-479. doi:10.5194/aab-55-469-2012</w:t>
      </w:r>
    </w:p>
    <w:p w14:paraId="221275BC" w14:textId="5017588B" w:rsidR="00AE55CE" w:rsidRPr="000733D3" w:rsidRDefault="00AE55CE" w:rsidP="00AE55CE">
      <w:pPr>
        <w:pStyle w:val="ListParagraph"/>
        <w:numPr>
          <w:ilvl w:val="0"/>
          <w:numId w:val="1"/>
        </w:numPr>
        <w:spacing w:before="160" w:after="120" w:line="276" w:lineRule="auto"/>
        <w:ind w:left="426"/>
        <w:jc w:val="both"/>
        <w:rPr>
          <w:rFonts w:ascii="Times New Roman" w:hAnsi="Times New Roman" w:cs="Times New Roman"/>
          <w:sz w:val="24"/>
          <w:szCs w:val="24"/>
        </w:rPr>
      </w:pPr>
      <w:r w:rsidRPr="000733D3">
        <w:rPr>
          <w:rFonts w:ascii="Times New Roman" w:hAnsi="Times New Roman" w:cs="Times New Roman"/>
          <w:sz w:val="24"/>
          <w:szCs w:val="24"/>
        </w:rPr>
        <w:lastRenderedPageBreak/>
        <w:t>Chu G and Song Y.</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2013</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Growth performance, blood characteristics and immune responses of fattening pigs in different seasons. Asian Journal of Animal and Veterinary Advances.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8(5), 691-702. </w:t>
      </w:r>
    </w:p>
    <w:p w14:paraId="36443A5F" w14:textId="3BC6AACE"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nl-NL"/>
        </w:rPr>
        <w:t xml:space="preserve">Cui, Y., Wang, C., Hao, Y., Gu, X., &amp; Wang, H. 2019. </w:t>
      </w:r>
      <w:r w:rsidRPr="000733D3">
        <w:rPr>
          <w:rFonts w:ascii="Times New Roman" w:hAnsi="Times New Roman" w:cs="Times New Roman"/>
          <w:sz w:val="24"/>
          <w:szCs w:val="24"/>
        </w:rPr>
        <w:t xml:space="preserve">Chronic heat stress induces acute phase responses and serum metabolome changes in finishing pigs. Animals, 9(7). </w:t>
      </w:r>
      <w:hyperlink r:id="rId13" w:history="1">
        <w:r w:rsidRPr="000733D3">
          <w:rPr>
            <w:rStyle w:val="Hyperlink"/>
            <w:rFonts w:ascii="Times New Roman" w:hAnsi="Times New Roman" w:cs="Times New Roman"/>
            <w:color w:val="auto"/>
            <w:sz w:val="24"/>
            <w:szCs w:val="24"/>
            <w:u w:val="none"/>
          </w:rPr>
          <w:t>https://doi.org/10.3390/ani9070395</w:t>
        </w:r>
      </w:hyperlink>
    </w:p>
    <w:p w14:paraId="72800D99" w14:textId="7777777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Dacie JV, Lewis S M. Practical haematology. Churchill Livingstone, Edinburgh, London, and New York; 240; 1975.</w:t>
      </w:r>
    </w:p>
    <w:p w14:paraId="3596A48A" w14:textId="65328EE9"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Ellman, G. L. 1959. Tissue </w:t>
      </w:r>
      <w:proofErr w:type="spellStart"/>
      <w:r w:rsidRPr="000733D3">
        <w:rPr>
          <w:rFonts w:ascii="Times New Roman" w:hAnsi="Times New Roman" w:cs="Times New Roman"/>
          <w:sz w:val="24"/>
          <w:szCs w:val="24"/>
        </w:rPr>
        <w:t>sulphydryl</w:t>
      </w:r>
      <w:proofErr w:type="spellEnd"/>
      <w:r w:rsidRPr="000733D3">
        <w:rPr>
          <w:rFonts w:ascii="Times New Roman" w:hAnsi="Times New Roman" w:cs="Times New Roman"/>
          <w:sz w:val="24"/>
          <w:szCs w:val="24"/>
        </w:rPr>
        <w:t xml:space="preserve"> groups. Archives of Biochemistry and Biophysics, 82, 70-77.</w:t>
      </w:r>
    </w:p>
    <w:p w14:paraId="6F3302A5" w14:textId="4D6F295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EFSA Panel on Animal Health and Welfare (AHAW), Nielsen, S. S., Alvarez, J., </w:t>
      </w:r>
      <w:proofErr w:type="spellStart"/>
      <w:r w:rsidRPr="000733D3">
        <w:rPr>
          <w:rFonts w:ascii="Times New Roman" w:hAnsi="Times New Roman" w:cs="Times New Roman"/>
          <w:sz w:val="24"/>
          <w:szCs w:val="24"/>
        </w:rPr>
        <w:t>Bicout</w:t>
      </w:r>
      <w:proofErr w:type="spellEnd"/>
      <w:r w:rsidRPr="000733D3">
        <w:rPr>
          <w:rFonts w:ascii="Times New Roman" w:hAnsi="Times New Roman" w:cs="Times New Roman"/>
          <w:sz w:val="24"/>
          <w:szCs w:val="24"/>
        </w:rPr>
        <w:t xml:space="preserve">, D. J., </w:t>
      </w:r>
      <w:proofErr w:type="spellStart"/>
      <w:r w:rsidRPr="000733D3">
        <w:rPr>
          <w:rFonts w:ascii="Times New Roman" w:hAnsi="Times New Roman" w:cs="Times New Roman"/>
          <w:sz w:val="24"/>
          <w:szCs w:val="24"/>
        </w:rPr>
        <w:t>Calistri</w:t>
      </w:r>
      <w:proofErr w:type="spellEnd"/>
      <w:r w:rsidRPr="000733D3">
        <w:rPr>
          <w:rFonts w:ascii="Times New Roman" w:hAnsi="Times New Roman" w:cs="Times New Roman"/>
          <w:sz w:val="24"/>
          <w:szCs w:val="24"/>
        </w:rPr>
        <w:t xml:space="preserve">, P., Depner, K., ... &amp; Velarde, A. 2020. Welfare of pigs at slaughter. Efsa Journal, 18(6), e06148. </w:t>
      </w:r>
    </w:p>
    <w:p w14:paraId="1B67D12E" w14:textId="2FB22827" w:rsidR="00815DCB" w:rsidRPr="000733D3" w:rsidRDefault="00815DCB"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nb-NO"/>
        </w:rPr>
        <w:t xml:space="preserve">Emami, N. K., Greene, E. S., Kogut, M. H., &amp; Dridi, S. 2021. </w:t>
      </w:r>
      <w:r w:rsidRPr="000733D3">
        <w:rPr>
          <w:rFonts w:ascii="Times New Roman" w:hAnsi="Times New Roman" w:cs="Times New Roman"/>
          <w:sz w:val="24"/>
          <w:szCs w:val="24"/>
        </w:rPr>
        <w:t>Heat Stress and Feed Restriction Distinctly Affect Performance, Carcass and Meat Yield, Intestinal Integrity, and Inflammatory (Chemo)Cytokines in Broiler Chickens. </w:t>
      </w:r>
      <w:r w:rsidRPr="000733D3">
        <w:rPr>
          <w:rFonts w:ascii="Times New Roman" w:hAnsi="Times New Roman" w:cs="Times New Roman"/>
          <w:i/>
          <w:iCs/>
          <w:sz w:val="24"/>
          <w:szCs w:val="24"/>
        </w:rPr>
        <w:t>Frontiers in physiology</w:t>
      </w:r>
      <w:r w:rsidRPr="000733D3">
        <w:rPr>
          <w:rFonts w:ascii="Times New Roman" w:hAnsi="Times New Roman" w:cs="Times New Roman"/>
          <w:sz w:val="24"/>
          <w:szCs w:val="24"/>
        </w:rPr>
        <w:t>, </w:t>
      </w:r>
      <w:r w:rsidRPr="000733D3">
        <w:rPr>
          <w:rFonts w:ascii="Times New Roman" w:hAnsi="Times New Roman" w:cs="Times New Roman"/>
          <w:i/>
          <w:iCs/>
          <w:sz w:val="24"/>
          <w:szCs w:val="24"/>
        </w:rPr>
        <w:t>12</w:t>
      </w:r>
      <w:r w:rsidRPr="000733D3">
        <w:rPr>
          <w:rFonts w:ascii="Times New Roman" w:hAnsi="Times New Roman" w:cs="Times New Roman"/>
          <w:sz w:val="24"/>
          <w:szCs w:val="24"/>
        </w:rPr>
        <w:t>, 707757. https://doi.org/10.3389/fphys.2021.707757</w:t>
      </w:r>
    </w:p>
    <w:p w14:paraId="6B535400" w14:textId="0800E3AC"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Gaschler, M. M., &amp; Stockwell, B. R. 2017. Lipid peroxidation in cell death. </w:t>
      </w:r>
      <w:r w:rsidRPr="000733D3">
        <w:rPr>
          <w:rFonts w:ascii="Times New Roman" w:hAnsi="Times New Roman" w:cs="Times New Roman"/>
          <w:i/>
          <w:iCs/>
          <w:sz w:val="24"/>
          <w:szCs w:val="24"/>
        </w:rPr>
        <w:t>Biochemical and biophysical research communications</w:t>
      </w:r>
      <w:r w:rsidRPr="000733D3">
        <w:rPr>
          <w:rFonts w:ascii="Times New Roman" w:hAnsi="Times New Roman" w:cs="Times New Roman"/>
          <w:sz w:val="24"/>
          <w:szCs w:val="24"/>
        </w:rPr>
        <w:t>, </w:t>
      </w:r>
      <w:r w:rsidRPr="000733D3">
        <w:rPr>
          <w:rFonts w:ascii="Times New Roman" w:hAnsi="Times New Roman" w:cs="Times New Roman"/>
          <w:i/>
          <w:iCs/>
          <w:sz w:val="24"/>
          <w:szCs w:val="24"/>
        </w:rPr>
        <w:t>482</w:t>
      </w:r>
      <w:r w:rsidRPr="000733D3">
        <w:rPr>
          <w:rFonts w:ascii="Times New Roman" w:hAnsi="Times New Roman" w:cs="Times New Roman"/>
          <w:sz w:val="24"/>
          <w:szCs w:val="24"/>
        </w:rPr>
        <w:t xml:space="preserve">(3), 419–425. </w:t>
      </w:r>
      <w:hyperlink r:id="rId14" w:history="1">
        <w:r w:rsidRPr="000733D3">
          <w:rPr>
            <w:rStyle w:val="Hyperlink"/>
            <w:rFonts w:ascii="Times New Roman" w:hAnsi="Times New Roman" w:cs="Times New Roman"/>
            <w:color w:val="auto"/>
            <w:sz w:val="24"/>
            <w:szCs w:val="24"/>
            <w:u w:val="none"/>
          </w:rPr>
          <w:t>https://doi.org/10.1016/j.bbrc.2016.10.086</w:t>
        </w:r>
      </w:hyperlink>
    </w:p>
    <w:p w14:paraId="7D716025" w14:textId="67342D05"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Huang S, Yang H, Ur Rehman M, Tong Z. </w:t>
      </w:r>
      <w:r w:rsidR="003513E6" w:rsidRPr="000733D3">
        <w:rPr>
          <w:rFonts w:ascii="Times New Roman" w:hAnsi="Times New Roman" w:cs="Times New Roman"/>
          <w:sz w:val="24"/>
          <w:szCs w:val="24"/>
        </w:rPr>
        <w:t>2018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Acute heat stress in broiler chickens and its impact on serum biochemical and electrolyte parameters. Indian J Anim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52(5)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683-686. doi:10.18805/</w:t>
      </w:r>
      <w:proofErr w:type="gramStart"/>
      <w:r w:rsidRPr="000733D3">
        <w:rPr>
          <w:rFonts w:ascii="Times New Roman" w:hAnsi="Times New Roman" w:cs="Times New Roman"/>
          <w:sz w:val="24"/>
          <w:szCs w:val="24"/>
        </w:rPr>
        <w:t>ijar.v</w:t>
      </w:r>
      <w:proofErr w:type="gramEnd"/>
      <w:r w:rsidRPr="000733D3">
        <w:rPr>
          <w:rFonts w:ascii="Times New Roman" w:hAnsi="Times New Roman" w:cs="Times New Roman"/>
          <w:sz w:val="24"/>
          <w:szCs w:val="24"/>
        </w:rPr>
        <w:t>0iOF.8490</w:t>
      </w:r>
    </w:p>
    <w:p w14:paraId="01825F5C" w14:textId="7777777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IBM Corp. Released 2019. IBM SPSS Statistics for Windows, Version 26.0. Armonk, NY: IBM Corp</w:t>
      </w:r>
    </w:p>
    <w:p w14:paraId="32B5EC3B" w14:textId="4039450F"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Karthik, D., Suresh, J., Reddy, Y. R., Sharma, G. R. K., Ramana, J. V., Gangaraju, G., Reddy, P. P. R., Reddy, Y. P. K., Yasaswini, D., </w:t>
      </w:r>
      <w:proofErr w:type="spellStart"/>
      <w:r w:rsidRPr="000733D3">
        <w:rPr>
          <w:rFonts w:ascii="Times New Roman" w:hAnsi="Times New Roman" w:cs="Times New Roman"/>
          <w:sz w:val="24"/>
          <w:szCs w:val="24"/>
        </w:rPr>
        <w:t>Adegbeye</w:t>
      </w:r>
      <w:proofErr w:type="spellEnd"/>
      <w:r w:rsidRPr="000733D3">
        <w:rPr>
          <w:rFonts w:ascii="Times New Roman" w:hAnsi="Times New Roman" w:cs="Times New Roman"/>
          <w:sz w:val="24"/>
          <w:szCs w:val="24"/>
        </w:rPr>
        <w:t xml:space="preserve">, M. J., &amp; Reddy, P. R. K. 2021. Adaptive profiles of Nellore sheep with reference to farming system and season: physiological, </w:t>
      </w:r>
      <w:proofErr w:type="spellStart"/>
      <w:r w:rsidRPr="000733D3">
        <w:rPr>
          <w:rFonts w:ascii="Times New Roman" w:hAnsi="Times New Roman" w:cs="Times New Roman"/>
          <w:sz w:val="24"/>
          <w:szCs w:val="24"/>
        </w:rPr>
        <w:t>hemato</w:t>
      </w:r>
      <w:proofErr w:type="spellEnd"/>
      <w:r w:rsidRPr="000733D3">
        <w:rPr>
          <w:rFonts w:ascii="Times New Roman" w:hAnsi="Times New Roman" w:cs="Times New Roman"/>
          <w:sz w:val="24"/>
          <w:szCs w:val="24"/>
        </w:rPr>
        <w:t xml:space="preserve">-biochemical, hormonal, oxidative-enzymatic and reproductive standpoint. </w:t>
      </w:r>
      <w:proofErr w:type="spellStart"/>
      <w:r w:rsidRPr="000733D3">
        <w:rPr>
          <w:rFonts w:ascii="Times New Roman" w:hAnsi="Times New Roman" w:cs="Times New Roman"/>
          <w:sz w:val="24"/>
          <w:szCs w:val="24"/>
        </w:rPr>
        <w:t>Heliyon</w:t>
      </w:r>
      <w:proofErr w:type="spellEnd"/>
      <w:r w:rsidRPr="000733D3">
        <w:rPr>
          <w:rFonts w:ascii="Times New Roman" w:hAnsi="Times New Roman" w:cs="Times New Roman"/>
          <w:sz w:val="24"/>
          <w:szCs w:val="24"/>
        </w:rPr>
        <w:t>, 7(5), e07117. https://doi.org/10.1016/j.heliyon.2021.e07117</w:t>
      </w:r>
    </w:p>
    <w:p w14:paraId="083451F6" w14:textId="5D5788DF"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sv-SE"/>
        </w:rPr>
        <w:t xml:space="preserve">Kataria, N., Kataria, A. K., &amp; Maan, R. 2010. </w:t>
      </w:r>
      <w:r w:rsidRPr="000733D3">
        <w:rPr>
          <w:rFonts w:ascii="Times New Roman" w:hAnsi="Times New Roman" w:cs="Times New Roman"/>
          <w:sz w:val="24"/>
          <w:szCs w:val="24"/>
        </w:rPr>
        <w:t>Evaluation of oxidative stress due to hot environmental condition in healthy Marwari goats from arid tract in India. Philippine Journal of Veterinary and Animal Sciences, 36(2), 175-184.</w:t>
      </w:r>
    </w:p>
    <w:p w14:paraId="1CAADF97" w14:textId="223083E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lastRenderedPageBreak/>
        <w:t xml:space="preserve">Koubková M, Knížková I, Kunc P, </w:t>
      </w:r>
      <w:proofErr w:type="spellStart"/>
      <w:r w:rsidRPr="000733D3">
        <w:rPr>
          <w:rFonts w:ascii="Times New Roman" w:hAnsi="Times New Roman" w:cs="Times New Roman"/>
          <w:sz w:val="24"/>
          <w:szCs w:val="24"/>
        </w:rPr>
        <w:t>Härtlová</w:t>
      </w:r>
      <w:proofErr w:type="spellEnd"/>
      <w:r w:rsidRPr="000733D3">
        <w:rPr>
          <w:rFonts w:ascii="Times New Roman" w:hAnsi="Times New Roman" w:cs="Times New Roman"/>
          <w:sz w:val="24"/>
          <w:szCs w:val="24"/>
        </w:rPr>
        <w:t xml:space="preserve"> H, </w:t>
      </w:r>
      <w:proofErr w:type="spellStart"/>
      <w:r w:rsidRPr="000733D3">
        <w:rPr>
          <w:rFonts w:ascii="Times New Roman" w:hAnsi="Times New Roman" w:cs="Times New Roman"/>
          <w:sz w:val="24"/>
          <w:szCs w:val="24"/>
        </w:rPr>
        <w:t>Flusser</w:t>
      </w:r>
      <w:proofErr w:type="spellEnd"/>
      <w:r w:rsidRPr="000733D3">
        <w:rPr>
          <w:rFonts w:ascii="Times New Roman" w:hAnsi="Times New Roman" w:cs="Times New Roman"/>
          <w:sz w:val="24"/>
          <w:szCs w:val="24"/>
        </w:rPr>
        <w:t xml:space="preserve"> J, Doležal O. </w:t>
      </w:r>
      <w:r w:rsidR="003513E6" w:rsidRPr="000733D3">
        <w:rPr>
          <w:rFonts w:ascii="Times New Roman" w:hAnsi="Times New Roman" w:cs="Times New Roman"/>
          <w:sz w:val="24"/>
          <w:szCs w:val="24"/>
        </w:rPr>
        <w:t>2002</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Influence of high environmental temperatures and evaporative cooling on some physiological,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and biochemical parameters in high-yielding dairy cows. Czech J Anim Sci.</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47(8)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309-318.</w:t>
      </w:r>
    </w:p>
    <w:p w14:paraId="62506AA9" w14:textId="59A117D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Krohne-Ehrich, G., Schirmer, R. H., &amp; </w:t>
      </w:r>
      <w:proofErr w:type="spellStart"/>
      <w:r w:rsidRPr="000733D3">
        <w:rPr>
          <w:rFonts w:ascii="Times New Roman" w:hAnsi="Times New Roman" w:cs="Times New Roman"/>
          <w:sz w:val="24"/>
          <w:szCs w:val="24"/>
        </w:rPr>
        <w:t>Untucht</w:t>
      </w:r>
      <w:proofErr w:type="spellEnd"/>
      <w:r w:rsidRPr="000733D3">
        <w:rPr>
          <w:rFonts w:ascii="Times New Roman" w:hAnsi="Times New Roman" w:cs="Times New Roman"/>
          <w:sz w:val="24"/>
          <w:szCs w:val="24"/>
        </w:rPr>
        <w:t>-Grau, R. 1977. Glutathione reductase from human erythrocytes. Isolation of the enzyme and sequence analysis of the redox-active peptide. European Journal of Biochemistry, 80(1), 65–71.</w:t>
      </w:r>
    </w:p>
    <w:p w14:paraId="4218C82F" w14:textId="79EF19D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Lakhani, P., Alhussien, M. N., Lakhani, N., Jindal, R., &amp; Nayyar, S. 2018. Seasonal variation in physiological responses, stress and metabolic-related hormones, and oxidative status of Murrah buffaloes. Biological Rhythm Research, 1–9.</w:t>
      </w:r>
    </w:p>
    <w:p w14:paraId="4BC49767" w14:textId="0CDBA293"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Legault C.</w:t>
      </w:r>
      <w:r w:rsidR="003513E6" w:rsidRP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1985</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Selection of breeds, strains and individual pigs for prolificacy. J </w:t>
      </w:r>
      <w:proofErr w:type="spellStart"/>
      <w:r w:rsidRPr="000733D3">
        <w:rPr>
          <w:rFonts w:ascii="Times New Roman" w:hAnsi="Times New Roman" w:cs="Times New Roman"/>
          <w:sz w:val="24"/>
          <w:szCs w:val="24"/>
        </w:rPr>
        <w:t>Reprod</w:t>
      </w:r>
      <w:proofErr w:type="spellEnd"/>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Fertili</w:t>
      </w:r>
      <w:proofErr w:type="spellEnd"/>
      <w:r w:rsidRPr="000733D3">
        <w:rPr>
          <w:rFonts w:ascii="Times New Roman" w:hAnsi="Times New Roman" w:cs="Times New Roman"/>
          <w:sz w:val="24"/>
          <w:szCs w:val="24"/>
        </w:rPr>
        <w:t xml:space="preserve"> Suppl.</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33</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151–166</w:t>
      </w:r>
    </w:p>
    <w:p w14:paraId="7247DB4A" w14:textId="3D43189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Maan, R. 2010. Markers of oxidative stress and associated analytes in the serum of </w:t>
      </w:r>
      <w:r w:rsidRPr="000733D3">
        <w:rPr>
          <w:rFonts w:ascii="Times New Roman" w:hAnsi="Times New Roman" w:cs="Times New Roman"/>
          <w:i/>
          <w:iCs/>
          <w:sz w:val="24"/>
          <w:szCs w:val="24"/>
        </w:rPr>
        <w:t>Marwari</w:t>
      </w:r>
      <w:r w:rsidRPr="000733D3">
        <w:rPr>
          <w:rFonts w:ascii="Times New Roman" w:hAnsi="Times New Roman" w:cs="Times New Roman"/>
          <w:sz w:val="24"/>
          <w:szCs w:val="24"/>
        </w:rPr>
        <w:t xml:space="preserve"> sheep during extreme ambiences. [</w:t>
      </w:r>
      <w:proofErr w:type="spellStart"/>
      <w:r w:rsidRPr="000733D3">
        <w:rPr>
          <w:rFonts w:ascii="Times New Roman" w:hAnsi="Times New Roman" w:cs="Times New Roman"/>
          <w:sz w:val="24"/>
          <w:szCs w:val="24"/>
        </w:rPr>
        <w:t>M.V.Sc</w:t>
      </w:r>
      <w:proofErr w:type="spellEnd"/>
      <w:r w:rsidRPr="000733D3">
        <w:rPr>
          <w:rFonts w:ascii="Times New Roman" w:hAnsi="Times New Roman" w:cs="Times New Roman"/>
          <w:sz w:val="24"/>
          <w:szCs w:val="24"/>
        </w:rPr>
        <w:t xml:space="preserve">. Thesis in Veterinary Physiology, College of Veterinary and Animal Science Bikaner and submitted to Rajasthan of Veterinary and Animal Sciences, Bikaner]. </w:t>
      </w:r>
      <w:proofErr w:type="spellStart"/>
      <w:r w:rsidRPr="000733D3">
        <w:rPr>
          <w:rFonts w:ascii="Times New Roman" w:hAnsi="Times New Roman" w:cs="Times New Roman"/>
          <w:sz w:val="24"/>
          <w:szCs w:val="24"/>
        </w:rPr>
        <w:t>KrishiKosh</w:t>
      </w:r>
      <w:proofErr w:type="spellEnd"/>
      <w:r w:rsidRPr="000733D3">
        <w:rPr>
          <w:rFonts w:ascii="Times New Roman" w:hAnsi="Times New Roman" w:cs="Times New Roman"/>
          <w:sz w:val="24"/>
          <w:szCs w:val="24"/>
        </w:rPr>
        <w:t>, An Institutional Repository of Indian National Agricultural Research System.</w:t>
      </w:r>
    </w:p>
    <w:p w14:paraId="32B34766" w14:textId="79967E9E"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Mayengbam</w:t>
      </w:r>
      <w:proofErr w:type="spellEnd"/>
      <w:r w:rsidR="003513E6">
        <w:rPr>
          <w:rFonts w:ascii="Times New Roman" w:hAnsi="Times New Roman" w:cs="Times New Roman"/>
          <w:sz w:val="24"/>
          <w:szCs w:val="24"/>
        </w:rPr>
        <w:t>,</w:t>
      </w:r>
      <w:r w:rsidRPr="000733D3">
        <w:rPr>
          <w:rFonts w:ascii="Times New Roman" w:hAnsi="Times New Roman" w:cs="Times New Roman"/>
          <w:sz w:val="24"/>
          <w:szCs w:val="24"/>
        </w:rPr>
        <w:t xml:space="preserve"> P</w:t>
      </w:r>
      <w:r w:rsidR="003513E6">
        <w:rPr>
          <w:rFonts w:ascii="Times New Roman" w:hAnsi="Times New Roman" w:cs="Times New Roman"/>
          <w:sz w:val="24"/>
          <w:szCs w:val="24"/>
        </w:rPr>
        <w:t xml:space="preserve">., &amp; </w:t>
      </w:r>
      <w:proofErr w:type="spellStart"/>
      <w:r w:rsidRPr="000733D3">
        <w:rPr>
          <w:rFonts w:ascii="Times New Roman" w:hAnsi="Times New Roman" w:cs="Times New Roman"/>
          <w:sz w:val="24"/>
          <w:szCs w:val="24"/>
        </w:rPr>
        <w:t>Tolenkhomba</w:t>
      </w:r>
      <w:proofErr w:type="spellEnd"/>
      <w:r w:rsidR="003513E6">
        <w:rPr>
          <w:rFonts w:ascii="Times New Roman" w:hAnsi="Times New Roman" w:cs="Times New Roman"/>
          <w:sz w:val="24"/>
          <w:szCs w:val="24"/>
        </w:rPr>
        <w:t>,</w:t>
      </w:r>
      <w:r w:rsidRPr="000733D3">
        <w:rPr>
          <w:rFonts w:ascii="Times New Roman" w:hAnsi="Times New Roman" w:cs="Times New Roman"/>
          <w:sz w:val="24"/>
          <w:szCs w:val="24"/>
        </w:rPr>
        <w:t xml:space="preserve"> T</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C. </w:t>
      </w:r>
      <w:r w:rsidR="003513E6" w:rsidRPr="000733D3">
        <w:rPr>
          <w:rFonts w:ascii="Times New Roman" w:hAnsi="Times New Roman" w:cs="Times New Roman"/>
          <w:sz w:val="24"/>
          <w:szCs w:val="24"/>
        </w:rPr>
        <w:t>2015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Seasonal variation of </w:t>
      </w:r>
      <w:proofErr w:type="spellStart"/>
      <w:r w:rsidRPr="000733D3">
        <w:rPr>
          <w:rFonts w:ascii="Times New Roman" w:hAnsi="Times New Roman" w:cs="Times New Roman"/>
          <w:sz w:val="24"/>
          <w:szCs w:val="24"/>
        </w:rPr>
        <w:t>hemato</w:t>
      </w:r>
      <w:proofErr w:type="spellEnd"/>
      <w:r w:rsidRPr="000733D3">
        <w:rPr>
          <w:rFonts w:ascii="Times New Roman" w:hAnsi="Times New Roman" w:cs="Times New Roman"/>
          <w:sz w:val="24"/>
          <w:szCs w:val="24"/>
        </w:rPr>
        <w:t xml:space="preserve">-biochemical parameters in indigenous pig: </w:t>
      </w:r>
      <w:proofErr w:type="spellStart"/>
      <w:r w:rsidRPr="000733D3">
        <w:rPr>
          <w:rFonts w:ascii="Times New Roman" w:hAnsi="Times New Roman" w:cs="Times New Roman"/>
          <w:sz w:val="24"/>
          <w:szCs w:val="24"/>
        </w:rPr>
        <w:t>Zovawk</w:t>
      </w:r>
      <w:proofErr w:type="spellEnd"/>
      <w:r w:rsidRPr="000733D3">
        <w:rPr>
          <w:rFonts w:ascii="Times New Roman" w:hAnsi="Times New Roman" w:cs="Times New Roman"/>
          <w:sz w:val="24"/>
          <w:szCs w:val="24"/>
        </w:rPr>
        <w:t xml:space="preserve"> of Mizoram. Vet World.</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8(6)</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732-737. doi:10.14202/vetworld.2015.732-737</w:t>
      </w:r>
    </w:p>
    <w:p w14:paraId="416E00B9" w14:textId="246CB633"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Mayorga, E. J., </w:t>
      </w:r>
      <w:proofErr w:type="spellStart"/>
      <w:r w:rsidRPr="000733D3">
        <w:rPr>
          <w:rFonts w:ascii="Times New Roman" w:hAnsi="Times New Roman" w:cs="Times New Roman"/>
          <w:sz w:val="24"/>
          <w:szCs w:val="24"/>
        </w:rPr>
        <w:t>Renaudeau</w:t>
      </w:r>
      <w:proofErr w:type="spellEnd"/>
      <w:r w:rsidRPr="000733D3">
        <w:rPr>
          <w:rFonts w:ascii="Times New Roman" w:hAnsi="Times New Roman" w:cs="Times New Roman"/>
          <w:sz w:val="24"/>
          <w:szCs w:val="24"/>
        </w:rPr>
        <w:t>, D., Ramirez, B. C., Ross, J. W., &amp; Baumgard, L. H. 2019. Heat stress adaptations in pigs. Animal Frontiers, 9(1), 54-61.</w:t>
      </w:r>
    </w:p>
    <w:p w14:paraId="11B47F4A" w14:textId="7B76822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sv-SE"/>
        </w:rPr>
        <w:t xml:space="preserve">Morar, D., Ciulan, V., Simiz, F., Moț, T., Hutu, I., &amp; Văduva, C. 2018. </w:t>
      </w:r>
      <w:r w:rsidRPr="000733D3">
        <w:rPr>
          <w:rFonts w:ascii="Times New Roman" w:hAnsi="Times New Roman" w:cs="Times New Roman"/>
          <w:sz w:val="24"/>
          <w:szCs w:val="24"/>
        </w:rPr>
        <w:t xml:space="preserve">Effect of heat stress on haematological parameters in dairy cows. Animal Breed. </w:t>
      </w:r>
      <w:proofErr w:type="spellStart"/>
      <w:r w:rsidRPr="000733D3">
        <w:rPr>
          <w:rFonts w:ascii="Times New Roman" w:hAnsi="Times New Roman" w:cs="Times New Roman"/>
          <w:sz w:val="24"/>
          <w:szCs w:val="24"/>
        </w:rPr>
        <w:t>Pathol</w:t>
      </w:r>
      <w:proofErr w:type="spellEnd"/>
      <w:r w:rsidRPr="000733D3">
        <w:rPr>
          <w:rFonts w:ascii="Times New Roman" w:hAnsi="Times New Roman" w:cs="Times New Roman"/>
          <w:sz w:val="24"/>
          <w:szCs w:val="24"/>
        </w:rPr>
        <w:t>. Day, 51, 65-70.</w:t>
      </w:r>
    </w:p>
    <w:p w14:paraId="5483E57D" w14:textId="2ECC35D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Mount, L. E. 1968. The climatic physiology of the pig. Edward Arnold, London.</w:t>
      </w:r>
    </w:p>
    <w:p w14:paraId="6EDD0D16" w14:textId="36DD877A"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Mujahid, A., Akiba, Y., &amp; </w:t>
      </w:r>
      <w:proofErr w:type="spellStart"/>
      <w:r w:rsidRPr="000733D3">
        <w:rPr>
          <w:rFonts w:ascii="Times New Roman" w:hAnsi="Times New Roman" w:cs="Times New Roman"/>
          <w:sz w:val="24"/>
          <w:szCs w:val="24"/>
        </w:rPr>
        <w:t>Toyomizu</w:t>
      </w:r>
      <w:proofErr w:type="spellEnd"/>
      <w:r w:rsidRPr="000733D3">
        <w:rPr>
          <w:rFonts w:ascii="Times New Roman" w:hAnsi="Times New Roman" w:cs="Times New Roman"/>
          <w:sz w:val="24"/>
          <w:szCs w:val="24"/>
        </w:rPr>
        <w:t xml:space="preserve">, M. 2004. Acute Heat Stress Induces Oxidative Stress and Decreases Adaptation in Young White Leghorn Cockerels by Downregulation of Avian Uncoupling Protein. Poultry Science, 86(2), 364–371. </w:t>
      </w:r>
      <w:hyperlink r:id="rId15" w:history="1">
        <w:r w:rsidRPr="000733D3">
          <w:rPr>
            <w:rStyle w:val="Hyperlink"/>
            <w:rFonts w:ascii="Times New Roman" w:hAnsi="Times New Roman" w:cs="Times New Roman"/>
            <w:color w:val="auto"/>
            <w:sz w:val="24"/>
            <w:szCs w:val="24"/>
            <w:u w:val="none"/>
          </w:rPr>
          <w:t>https://doi.org/10.1093/ps/86.2.364</w:t>
        </w:r>
      </w:hyperlink>
    </w:p>
    <w:p w14:paraId="40696797" w14:textId="52E7145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Palova</w:t>
      </w:r>
      <w:proofErr w:type="spellEnd"/>
      <w:r w:rsidRPr="000733D3">
        <w:rPr>
          <w:rFonts w:ascii="Times New Roman" w:hAnsi="Times New Roman" w:cs="Times New Roman"/>
          <w:sz w:val="24"/>
          <w:szCs w:val="24"/>
        </w:rPr>
        <w:t xml:space="preserve"> N, Marchev Y, </w:t>
      </w:r>
      <w:proofErr w:type="spellStart"/>
      <w:r w:rsidRPr="000733D3">
        <w:rPr>
          <w:rFonts w:ascii="Times New Roman" w:hAnsi="Times New Roman" w:cs="Times New Roman"/>
          <w:sz w:val="24"/>
          <w:szCs w:val="24"/>
        </w:rPr>
        <w:t>Nedeva</w:t>
      </w:r>
      <w:proofErr w:type="spellEnd"/>
      <w:r w:rsidRPr="000733D3">
        <w:rPr>
          <w:rFonts w:ascii="Times New Roman" w:hAnsi="Times New Roman" w:cs="Times New Roman"/>
          <w:sz w:val="24"/>
          <w:szCs w:val="24"/>
        </w:rPr>
        <w:t xml:space="preserve"> R, Nakev J, </w:t>
      </w:r>
      <w:proofErr w:type="spellStart"/>
      <w:r w:rsidRPr="000733D3">
        <w:rPr>
          <w:rFonts w:ascii="Times New Roman" w:hAnsi="Times New Roman" w:cs="Times New Roman"/>
          <w:sz w:val="24"/>
          <w:szCs w:val="24"/>
        </w:rPr>
        <w:t>Krusheva</w:t>
      </w:r>
      <w:proofErr w:type="spellEnd"/>
      <w:r w:rsidRPr="000733D3">
        <w:rPr>
          <w:rFonts w:ascii="Times New Roman" w:hAnsi="Times New Roman" w:cs="Times New Roman"/>
          <w:sz w:val="24"/>
          <w:szCs w:val="24"/>
        </w:rPr>
        <w:t xml:space="preserve"> D, Slavov T, </w:t>
      </w:r>
      <w:proofErr w:type="spellStart"/>
      <w:r w:rsidRPr="000733D3">
        <w:rPr>
          <w:rFonts w:ascii="Times New Roman" w:hAnsi="Times New Roman" w:cs="Times New Roman"/>
          <w:sz w:val="24"/>
          <w:szCs w:val="24"/>
        </w:rPr>
        <w:t>Nedeva</w:t>
      </w:r>
      <w:proofErr w:type="spellEnd"/>
      <w:r w:rsidRPr="000733D3">
        <w:rPr>
          <w:rFonts w:ascii="Times New Roman" w:hAnsi="Times New Roman" w:cs="Times New Roman"/>
          <w:sz w:val="24"/>
          <w:szCs w:val="24"/>
        </w:rPr>
        <w:t xml:space="preserve"> I</w:t>
      </w:r>
      <w:r w:rsidR="003513E6">
        <w:rPr>
          <w:rFonts w:ascii="Times New Roman" w:hAnsi="Times New Roman" w:cs="Times New Roman"/>
          <w:sz w:val="24"/>
          <w:szCs w:val="24"/>
        </w:rPr>
        <w:t xml:space="preserve">, &amp; </w:t>
      </w:r>
      <w:r w:rsidRPr="000733D3">
        <w:rPr>
          <w:rFonts w:ascii="Times New Roman" w:hAnsi="Times New Roman" w:cs="Times New Roman"/>
          <w:sz w:val="24"/>
          <w:szCs w:val="24"/>
        </w:rPr>
        <w:t xml:space="preserve">Popova T. </w:t>
      </w:r>
      <w:r w:rsidR="003513E6" w:rsidRPr="000733D3">
        <w:rPr>
          <w:rFonts w:ascii="Times New Roman" w:hAnsi="Times New Roman" w:cs="Times New Roman"/>
          <w:sz w:val="24"/>
          <w:szCs w:val="24"/>
        </w:rPr>
        <w:t>2019</w:t>
      </w:r>
      <w:r w:rsidR="003513E6">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and serum biochemical profile in East Balkan pigs at different age and seasons. AGROFOR International Journal.</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4(3), 164-175.</w:t>
      </w:r>
    </w:p>
    <w:p w14:paraId="26B7D91C" w14:textId="4BE6A50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Pearce SC, Gabler NK, Ross JW, Escobar J, Patience JF, Rhoads RP, Baumgard LH.</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2013</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The effects of heat stress and plane of nutrition on metabolism in growing pigs. American Society of Animal Science.  Journal of Animal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91, 2108 – 2118.</w:t>
      </w:r>
    </w:p>
    <w:p w14:paraId="7610C50F" w14:textId="78FE2A3D"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lastRenderedPageBreak/>
        <w:t>Placer, Z. A., Cushman, L. L., &amp; Johnson, B. C. 1966. Estimation of product of lipid peroxidation (malonyl dialdehyde) in biochemical systems. Analytical biochemistry, 16(2), 359–364.</w:t>
      </w:r>
    </w:p>
    <w:p w14:paraId="7C64D1FF" w14:textId="33B32AB1"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Rathwa</w:t>
      </w:r>
      <w:proofErr w:type="spellEnd"/>
      <w:r w:rsidRPr="000733D3">
        <w:rPr>
          <w:rFonts w:ascii="Times New Roman" w:hAnsi="Times New Roman" w:cs="Times New Roman"/>
          <w:sz w:val="24"/>
          <w:szCs w:val="24"/>
        </w:rPr>
        <w:t xml:space="preserve">, S. D., Vasava, A. A., Pathan, M. M., </w:t>
      </w:r>
      <w:proofErr w:type="spellStart"/>
      <w:r w:rsidRPr="000733D3">
        <w:rPr>
          <w:rFonts w:ascii="Times New Roman" w:hAnsi="Times New Roman" w:cs="Times New Roman"/>
          <w:sz w:val="24"/>
          <w:szCs w:val="24"/>
        </w:rPr>
        <w:t>Madhira</w:t>
      </w:r>
      <w:proofErr w:type="spellEnd"/>
      <w:r w:rsidRPr="000733D3">
        <w:rPr>
          <w:rFonts w:ascii="Times New Roman" w:hAnsi="Times New Roman" w:cs="Times New Roman"/>
          <w:sz w:val="24"/>
          <w:szCs w:val="24"/>
        </w:rPr>
        <w:t xml:space="preserve">, S. P., Patel, Y. G., &amp; Pande, A. M. 2017. Effect of season on physiological, biochemical, hormonal, and oxidative stress parameters of indigenous sheep. Veterinary world, 10(6), 650–654. </w:t>
      </w:r>
    </w:p>
    <w:p w14:paraId="42D92616" w14:textId="18A4439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Ribeiro NL, Costa RG, Pimenta Filho EC,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3513E6" w:rsidRPr="000733D3">
        <w:rPr>
          <w:rFonts w:ascii="Times New Roman" w:hAnsi="Times New Roman" w:cs="Times New Roman"/>
          <w:sz w:val="24"/>
          <w:szCs w:val="24"/>
        </w:rPr>
        <w:t>2016</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Adaptive profile of </w:t>
      </w:r>
      <w:proofErr w:type="spellStart"/>
      <w:r w:rsidRPr="000733D3">
        <w:rPr>
          <w:rFonts w:ascii="Times New Roman" w:hAnsi="Times New Roman" w:cs="Times New Roman"/>
          <w:sz w:val="24"/>
          <w:szCs w:val="24"/>
        </w:rPr>
        <w:t>Garfagnina</w:t>
      </w:r>
      <w:proofErr w:type="spellEnd"/>
      <w:r w:rsidRPr="000733D3">
        <w:rPr>
          <w:rFonts w:ascii="Times New Roman" w:hAnsi="Times New Roman" w:cs="Times New Roman"/>
          <w:sz w:val="24"/>
          <w:szCs w:val="24"/>
        </w:rPr>
        <w:t xml:space="preserve"> goat breed assessed through physiological, haematological, biochemical and hormonal parameters. Small </w:t>
      </w:r>
      <w:proofErr w:type="spellStart"/>
      <w:r w:rsidRPr="000733D3">
        <w:rPr>
          <w:rFonts w:ascii="Times New Roman" w:hAnsi="Times New Roman" w:cs="Times New Roman"/>
          <w:sz w:val="24"/>
          <w:szCs w:val="24"/>
        </w:rPr>
        <w:t>Rumin</w:t>
      </w:r>
      <w:proofErr w:type="spellEnd"/>
      <w:r w:rsidRPr="000733D3">
        <w:rPr>
          <w:rFonts w:ascii="Times New Roman" w:hAnsi="Times New Roman" w:cs="Times New Roman"/>
          <w:sz w:val="24"/>
          <w:szCs w:val="24"/>
        </w:rPr>
        <w:t xml:space="preserve">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144(November)</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236-241. </w:t>
      </w:r>
      <w:proofErr w:type="gramStart"/>
      <w:r w:rsidRPr="000733D3">
        <w:rPr>
          <w:rFonts w:ascii="Times New Roman" w:hAnsi="Times New Roman" w:cs="Times New Roman"/>
          <w:sz w:val="24"/>
          <w:szCs w:val="24"/>
        </w:rPr>
        <w:t>doi:10.1016/j.smallrumres</w:t>
      </w:r>
      <w:proofErr w:type="gramEnd"/>
      <w:r w:rsidRPr="000733D3">
        <w:rPr>
          <w:rFonts w:ascii="Times New Roman" w:hAnsi="Times New Roman" w:cs="Times New Roman"/>
          <w:sz w:val="24"/>
          <w:szCs w:val="24"/>
        </w:rPr>
        <w:t>.2016.10.001</w:t>
      </w:r>
    </w:p>
    <w:p w14:paraId="37D7B6C6" w14:textId="1BE45C3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Rusoff L, Johnston JE, </w:t>
      </w:r>
      <w:r w:rsidR="003513E6">
        <w:rPr>
          <w:rFonts w:ascii="Times New Roman" w:hAnsi="Times New Roman" w:cs="Times New Roman"/>
          <w:sz w:val="24"/>
          <w:szCs w:val="24"/>
        </w:rPr>
        <w:t xml:space="preserve">&amp; </w:t>
      </w:r>
      <w:r w:rsidRPr="000733D3">
        <w:rPr>
          <w:rFonts w:ascii="Times New Roman" w:hAnsi="Times New Roman" w:cs="Times New Roman"/>
          <w:sz w:val="24"/>
          <w:szCs w:val="24"/>
        </w:rPr>
        <w:t xml:space="preserve">Branton C. </w:t>
      </w:r>
      <w:r w:rsidR="003513E6" w:rsidRPr="000733D3">
        <w:rPr>
          <w:rFonts w:ascii="Times New Roman" w:hAnsi="Times New Roman" w:cs="Times New Roman"/>
          <w:sz w:val="24"/>
          <w:szCs w:val="24"/>
        </w:rPr>
        <w:t>1954</w:t>
      </w:r>
      <w:r w:rsidRPr="000733D3">
        <w:rPr>
          <w:rFonts w:ascii="Times New Roman" w:hAnsi="Times New Roman" w:cs="Times New Roman"/>
          <w:sz w:val="24"/>
          <w:szCs w:val="24"/>
        </w:rPr>
        <w:t xml:space="preserve">Blood studies of breeding dairy bulls. I. </w:t>
      </w:r>
      <w:proofErr w:type="spellStart"/>
      <w:r w:rsidRPr="000733D3">
        <w:rPr>
          <w:rFonts w:ascii="Times New Roman" w:hAnsi="Times New Roman" w:cs="Times New Roman"/>
          <w:sz w:val="24"/>
          <w:szCs w:val="24"/>
        </w:rPr>
        <w:t>Hematocrit</w:t>
      </w:r>
      <w:proofErr w:type="spellEnd"/>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hemoglobin</w:t>
      </w:r>
      <w:proofErr w:type="spellEnd"/>
      <w:r w:rsidRPr="000733D3">
        <w:rPr>
          <w:rFonts w:ascii="Times New Roman" w:hAnsi="Times New Roman" w:cs="Times New Roman"/>
          <w:sz w:val="24"/>
          <w:szCs w:val="24"/>
        </w:rPr>
        <w:t>, plasma calcium, plasma inorganic phosphorus, alkaline phosphatase values, erythrocyte count, and leucocyte count.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37(1), 30-36.</w:t>
      </w:r>
    </w:p>
    <w:p w14:paraId="2C75957B" w14:textId="448C6A4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Sahin, K., Orhan, C., Akdemir, F., </w:t>
      </w:r>
      <w:proofErr w:type="spellStart"/>
      <w:r w:rsidRPr="000733D3">
        <w:rPr>
          <w:rFonts w:ascii="Times New Roman" w:hAnsi="Times New Roman" w:cs="Times New Roman"/>
          <w:sz w:val="24"/>
          <w:szCs w:val="24"/>
        </w:rPr>
        <w:t>Tuzcu</w:t>
      </w:r>
      <w:proofErr w:type="spellEnd"/>
      <w:r w:rsidRPr="000733D3">
        <w:rPr>
          <w:rFonts w:ascii="Times New Roman" w:hAnsi="Times New Roman" w:cs="Times New Roman"/>
          <w:sz w:val="24"/>
          <w:szCs w:val="24"/>
        </w:rPr>
        <w:t>, M., Iben, C., &amp; Sahin, N. 2011. Resveratrol protects quail hepatocytes against heat stress: modulation of the NRF-2 transcription factor and heat shock proteins. Journal of Animal Physiology and Animal Nutrition, 96(1), 66–74.</w:t>
      </w:r>
    </w:p>
    <w:p w14:paraId="35F469AC" w14:textId="04859B7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Sahoo, R., Nayyar, S., Singh, C., </w:t>
      </w:r>
      <w:proofErr w:type="spellStart"/>
      <w:r w:rsidRPr="000733D3">
        <w:rPr>
          <w:rFonts w:ascii="Times New Roman" w:hAnsi="Times New Roman" w:cs="Times New Roman"/>
          <w:sz w:val="24"/>
          <w:szCs w:val="24"/>
        </w:rPr>
        <w:t>Kaswan</w:t>
      </w:r>
      <w:proofErr w:type="spellEnd"/>
      <w:r w:rsidRPr="000733D3">
        <w:rPr>
          <w:rFonts w:ascii="Times New Roman" w:hAnsi="Times New Roman" w:cs="Times New Roman"/>
          <w:sz w:val="24"/>
          <w:szCs w:val="24"/>
        </w:rPr>
        <w:t xml:space="preserve">, S., Kakkar, S. S., &amp; Jindal, R. 2020. Effect of fenugreek seeds and probiotic supplementation on antioxidant status and milk production in heat stressed </w:t>
      </w:r>
      <w:proofErr w:type="spellStart"/>
      <w:r w:rsidRPr="000733D3">
        <w:rPr>
          <w:rFonts w:ascii="Times New Roman" w:hAnsi="Times New Roman" w:cs="Times New Roman"/>
          <w:sz w:val="24"/>
          <w:szCs w:val="24"/>
        </w:rPr>
        <w:t>Beetal</w:t>
      </w:r>
      <w:proofErr w:type="spellEnd"/>
      <w:r w:rsidRPr="000733D3">
        <w:rPr>
          <w:rFonts w:ascii="Times New Roman" w:hAnsi="Times New Roman" w:cs="Times New Roman"/>
          <w:sz w:val="24"/>
          <w:szCs w:val="24"/>
        </w:rPr>
        <w:t xml:space="preserve"> Goats. Indian Journal of Animal Research, 54(11), 1379-1384.</w:t>
      </w:r>
    </w:p>
    <w:p w14:paraId="5A2A28DD" w14:textId="14E3E72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nl-NL"/>
        </w:rPr>
        <w:t>Shaffer</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 xml:space="preserve"> L</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 Roussel</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 xml:space="preserve"> J</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D,</w:t>
      </w:r>
      <w:r w:rsidR="003513E6" w:rsidRPr="000F3189">
        <w:rPr>
          <w:rFonts w:ascii="Times New Roman" w:hAnsi="Times New Roman" w:cs="Times New Roman"/>
          <w:sz w:val="24"/>
          <w:szCs w:val="24"/>
          <w:lang w:val="nl-NL"/>
        </w:rPr>
        <w:t xml:space="preserve"> &amp;</w:t>
      </w:r>
      <w:r w:rsidRPr="000F3189">
        <w:rPr>
          <w:rFonts w:ascii="Times New Roman" w:hAnsi="Times New Roman" w:cs="Times New Roman"/>
          <w:sz w:val="24"/>
          <w:szCs w:val="24"/>
          <w:lang w:val="nl-NL"/>
        </w:rPr>
        <w:t xml:space="preserve"> Koonce</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 xml:space="preserve"> K</w:t>
      </w:r>
      <w:r w:rsidR="003513E6" w:rsidRPr="000F3189">
        <w:rPr>
          <w:rFonts w:ascii="Times New Roman" w:hAnsi="Times New Roman" w:cs="Times New Roman"/>
          <w:sz w:val="24"/>
          <w:szCs w:val="24"/>
          <w:lang w:val="nl-NL"/>
        </w:rPr>
        <w:t>.</w:t>
      </w:r>
      <w:r w:rsidRPr="000F3189">
        <w:rPr>
          <w:rFonts w:ascii="Times New Roman" w:hAnsi="Times New Roman" w:cs="Times New Roman"/>
          <w:sz w:val="24"/>
          <w:szCs w:val="24"/>
          <w:lang w:val="nl-NL"/>
        </w:rPr>
        <w:t>L</w:t>
      </w:r>
      <w:r w:rsidR="003513E6" w:rsidRPr="000F3189">
        <w:rPr>
          <w:rFonts w:ascii="Times New Roman" w:hAnsi="Times New Roman" w:cs="Times New Roman"/>
          <w:sz w:val="24"/>
          <w:szCs w:val="24"/>
          <w:lang w:val="nl-NL"/>
        </w:rPr>
        <w:t>. 1981</w:t>
      </w:r>
      <w:r w:rsidRPr="000F3189">
        <w:rPr>
          <w:rFonts w:ascii="Times New Roman" w:hAnsi="Times New Roman" w:cs="Times New Roman"/>
          <w:sz w:val="24"/>
          <w:szCs w:val="24"/>
          <w:lang w:val="nl-NL"/>
        </w:rPr>
        <w:t xml:space="preserve">. </w:t>
      </w:r>
      <w:r w:rsidRPr="000733D3">
        <w:rPr>
          <w:rFonts w:ascii="Times New Roman" w:hAnsi="Times New Roman" w:cs="Times New Roman"/>
          <w:sz w:val="24"/>
          <w:szCs w:val="24"/>
        </w:rPr>
        <w:t>Effects of age, temperature-season, and breed on blood characteristics of dairy cattle.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64(1), 62-70.</w:t>
      </w:r>
    </w:p>
    <w:p w14:paraId="03D7DEA5" w14:textId="2E733DFE"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nb-NO"/>
        </w:rPr>
        <w:t xml:space="preserve">Silva, B. A., Noblet, J., Donzele, J. L., Oliveira, R. F., Primot, Y., Gourdine, J. L., &amp; Renaudeau, D. 2009. </w:t>
      </w:r>
      <w:r w:rsidRPr="000733D3">
        <w:rPr>
          <w:rFonts w:ascii="Times New Roman" w:hAnsi="Times New Roman" w:cs="Times New Roman"/>
          <w:sz w:val="24"/>
          <w:szCs w:val="24"/>
        </w:rPr>
        <w:t>Effects of dietary protein level and amino acid supplementation on performance of mixed-parity lactating sows in a tropical humid climate. </w:t>
      </w:r>
      <w:r w:rsidRPr="000733D3">
        <w:rPr>
          <w:rFonts w:ascii="Times New Roman" w:hAnsi="Times New Roman" w:cs="Times New Roman"/>
          <w:i/>
          <w:iCs/>
          <w:sz w:val="24"/>
          <w:szCs w:val="24"/>
        </w:rPr>
        <w:t>Journal of animal science</w:t>
      </w:r>
      <w:r w:rsidRPr="000733D3">
        <w:rPr>
          <w:rFonts w:ascii="Times New Roman" w:hAnsi="Times New Roman" w:cs="Times New Roman"/>
          <w:sz w:val="24"/>
          <w:szCs w:val="24"/>
        </w:rPr>
        <w:t>, </w:t>
      </w:r>
      <w:r w:rsidRPr="000733D3">
        <w:rPr>
          <w:rFonts w:ascii="Times New Roman" w:hAnsi="Times New Roman" w:cs="Times New Roman"/>
          <w:i/>
          <w:iCs/>
          <w:sz w:val="24"/>
          <w:szCs w:val="24"/>
        </w:rPr>
        <w:t>87</w:t>
      </w:r>
      <w:r w:rsidRPr="000733D3">
        <w:rPr>
          <w:rFonts w:ascii="Times New Roman" w:hAnsi="Times New Roman" w:cs="Times New Roman"/>
          <w:sz w:val="24"/>
          <w:szCs w:val="24"/>
        </w:rPr>
        <w:t xml:space="preserve">(12), 4003–4012. </w:t>
      </w:r>
      <w:hyperlink r:id="rId16" w:history="1">
        <w:r w:rsidRPr="000733D3">
          <w:rPr>
            <w:rStyle w:val="Hyperlink"/>
            <w:rFonts w:ascii="Times New Roman" w:hAnsi="Times New Roman" w:cs="Times New Roman"/>
            <w:color w:val="auto"/>
            <w:sz w:val="24"/>
            <w:szCs w:val="24"/>
            <w:u w:val="none"/>
          </w:rPr>
          <w:t>https://doi.org/10.2527/jas.2008-1176</w:t>
        </w:r>
      </w:hyperlink>
    </w:p>
    <w:p w14:paraId="1E6E9BB3" w14:textId="17E792B5"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Singh, A. 2020. Livestock Production Statistics of India–2019. Originally uploaded at www. </w:t>
      </w:r>
      <w:proofErr w:type="spellStart"/>
      <w:r w:rsidRPr="000733D3">
        <w:rPr>
          <w:rFonts w:ascii="Times New Roman" w:hAnsi="Times New Roman" w:cs="Times New Roman"/>
          <w:sz w:val="24"/>
          <w:szCs w:val="24"/>
        </w:rPr>
        <w:t>vetextension</w:t>
      </w:r>
      <w:proofErr w:type="spellEnd"/>
      <w:r w:rsidRPr="000733D3">
        <w:rPr>
          <w:rFonts w:ascii="Times New Roman" w:hAnsi="Times New Roman" w:cs="Times New Roman"/>
          <w:sz w:val="24"/>
          <w:szCs w:val="24"/>
        </w:rPr>
        <w:t xml:space="preserve">. com and updated till, 9, 19. </w:t>
      </w:r>
    </w:p>
    <w:p w14:paraId="1457EDB5" w14:textId="3A3B4F71"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Singh R, </w:t>
      </w:r>
      <w:r w:rsidR="003513E6">
        <w:rPr>
          <w:rFonts w:ascii="Times New Roman" w:hAnsi="Times New Roman" w:cs="Times New Roman"/>
          <w:sz w:val="24"/>
          <w:szCs w:val="24"/>
        </w:rPr>
        <w:t xml:space="preserve">&amp; </w:t>
      </w:r>
      <w:r w:rsidRPr="000733D3">
        <w:rPr>
          <w:rFonts w:ascii="Times New Roman" w:hAnsi="Times New Roman" w:cs="Times New Roman"/>
          <w:sz w:val="24"/>
          <w:szCs w:val="24"/>
        </w:rPr>
        <w:t>Singh SV.</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2005</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Variations in cutaneous temperature, physiological responses and blood biochemical in </w:t>
      </w:r>
      <w:r w:rsidRPr="000733D3">
        <w:rPr>
          <w:rFonts w:ascii="Times New Roman" w:hAnsi="Times New Roman" w:cs="Times New Roman"/>
          <w:i/>
          <w:iCs/>
          <w:sz w:val="24"/>
          <w:szCs w:val="24"/>
        </w:rPr>
        <w:t>Karan Fries</w:t>
      </w:r>
      <w:r w:rsidRPr="000733D3">
        <w:rPr>
          <w:rFonts w:ascii="Times New Roman" w:hAnsi="Times New Roman" w:cs="Times New Roman"/>
          <w:sz w:val="24"/>
          <w:szCs w:val="24"/>
        </w:rPr>
        <w:t xml:space="preserve"> and </w:t>
      </w:r>
      <w:r w:rsidRPr="000733D3">
        <w:rPr>
          <w:rFonts w:ascii="Times New Roman" w:hAnsi="Times New Roman" w:cs="Times New Roman"/>
          <w:i/>
          <w:iCs/>
          <w:sz w:val="24"/>
          <w:szCs w:val="24"/>
        </w:rPr>
        <w:t>Sahiwal</w:t>
      </w:r>
      <w:r w:rsidRPr="000733D3">
        <w:rPr>
          <w:rFonts w:ascii="Times New Roman" w:hAnsi="Times New Roman" w:cs="Times New Roman"/>
          <w:sz w:val="24"/>
          <w:szCs w:val="24"/>
        </w:rPr>
        <w:t xml:space="preserve"> heifers during solar exposure in summer. Indian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58(6), 415-419.</w:t>
      </w:r>
    </w:p>
    <w:p w14:paraId="6CA5569C" w14:textId="5183C34C"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Teixeira, A. D. R., </w:t>
      </w:r>
      <w:proofErr w:type="spellStart"/>
      <w:r w:rsidRPr="000733D3">
        <w:rPr>
          <w:rFonts w:ascii="Times New Roman" w:hAnsi="Times New Roman" w:cs="Times New Roman"/>
          <w:sz w:val="24"/>
          <w:szCs w:val="24"/>
        </w:rPr>
        <w:t>Veroneze</w:t>
      </w:r>
      <w:proofErr w:type="spellEnd"/>
      <w:r w:rsidRPr="000733D3">
        <w:rPr>
          <w:rFonts w:ascii="Times New Roman" w:hAnsi="Times New Roman" w:cs="Times New Roman"/>
          <w:sz w:val="24"/>
          <w:szCs w:val="24"/>
        </w:rPr>
        <w:t xml:space="preserve">, R., Moreira, V. E., Campos, L. D., Januário Raimundi, S. C., &amp; Reis Furtado Campos, P. H. 2021. Effects of heat stress on performance and </w:t>
      </w:r>
      <w:r w:rsidRPr="000733D3">
        <w:rPr>
          <w:rFonts w:ascii="Times New Roman" w:hAnsi="Times New Roman" w:cs="Times New Roman"/>
          <w:sz w:val="24"/>
          <w:szCs w:val="24"/>
        </w:rPr>
        <w:lastRenderedPageBreak/>
        <w:t>thermoregulatory responses of Piau purebred growing pigs. </w:t>
      </w:r>
      <w:r w:rsidRPr="000733D3">
        <w:rPr>
          <w:rFonts w:ascii="Times New Roman" w:hAnsi="Times New Roman" w:cs="Times New Roman"/>
          <w:i/>
          <w:iCs/>
          <w:sz w:val="24"/>
          <w:szCs w:val="24"/>
        </w:rPr>
        <w:t>Journal of thermal biology</w:t>
      </w:r>
      <w:r w:rsidRPr="000733D3">
        <w:rPr>
          <w:rFonts w:ascii="Times New Roman" w:hAnsi="Times New Roman" w:cs="Times New Roman"/>
          <w:sz w:val="24"/>
          <w:szCs w:val="24"/>
        </w:rPr>
        <w:t>, </w:t>
      </w:r>
      <w:r w:rsidRPr="000733D3">
        <w:rPr>
          <w:rFonts w:ascii="Times New Roman" w:hAnsi="Times New Roman" w:cs="Times New Roman"/>
          <w:i/>
          <w:iCs/>
          <w:sz w:val="24"/>
          <w:szCs w:val="24"/>
        </w:rPr>
        <w:t>99</w:t>
      </w:r>
      <w:r w:rsidRPr="000733D3">
        <w:rPr>
          <w:rFonts w:ascii="Times New Roman" w:hAnsi="Times New Roman" w:cs="Times New Roman"/>
          <w:sz w:val="24"/>
          <w:szCs w:val="24"/>
        </w:rPr>
        <w:t xml:space="preserve">, 103009. </w:t>
      </w:r>
      <w:hyperlink r:id="rId17" w:history="1">
        <w:r w:rsidRPr="000733D3">
          <w:rPr>
            <w:rStyle w:val="Hyperlink"/>
            <w:rFonts w:ascii="Times New Roman" w:hAnsi="Times New Roman" w:cs="Times New Roman"/>
            <w:color w:val="auto"/>
            <w:sz w:val="24"/>
            <w:szCs w:val="24"/>
            <w:u w:val="none"/>
          </w:rPr>
          <w:t>https://doi.org/10.1016/j.jtherbio.2021.103009</w:t>
        </w:r>
      </w:hyperlink>
    </w:p>
    <w:p w14:paraId="091323D0" w14:textId="62828E3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Vashi Y, Naskar S, Chutia T,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3513E6" w:rsidRPr="000733D3">
        <w:rPr>
          <w:rFonts w:ascii="Times New Roman" w:hAnsi="Times New Roman" w:cs="Times New Roman"/>
          <w:sz w:val="24"/>
          <w:szCs w:val="24"/>
        </w:rPr>
        <w:t>2018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Comparative assessment of native, crossbred and exotic pigs during different seasons (winter, spring and summer) based on rhythmic changes in the levels of serum cortisol, lactate dehydrogenase levels and PBMC HSP-70 mRNA expression pattern. </w:t>
      </w:r>
      <w:proofErr w:type="spellStart"/>
      <w:r w:rsidRPr="000733D3">
        <w:rPr>
          <w:rFonts w:ascii="Times New Roman" w:hAnsi="Times New Roman" w:cs="Times New Roman"/>
          <w:sz w:val="24"/>
          <w:szCs w:val="24"/>
        </w:rPr>
        <w:t>Biol</w:t>
      </w:r>
      <w:proofErr w:type="spellEnd"/>
      <w:r w:rsidRPr="000733D3">
        <w:rPr>
          <w:rFonts w:ascii="Times New Roman" w:hAnsi="Times New Roman" w:cs="Times New Roman"/>
          <w:sz w:val="24"/>
          <w:szCs w:val="24"/>
        </w:rPr>
        <w:t xml:space="preserve"> Rhythm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49(5):725-734. doi:10.1080/09291016.2017.1410019</w:t>
      </w:r>
    </w:p>
    <w:p w14:paraId="79F6E450" w14:textId="4B41E81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Yadav, R. 2016. Evaluation of extreme ambience associated changes in biomarkers of oxidative stress in indigenous pig from arid tracts. (Doctoral dissertation, Rajasthan University of Veterinary and Animal Sciences, Bikaner-334001). </w:t>
      </w:r>
      <w:proofErr w:type="spellStart"/>
      <w:r w:rsidRPr="000733D3">
        <w:rPr>
          <w:rFonts w:ascii="Times New Roman" w:hAnsi="Times New Roman" w:cs="Times New Roman"/>
          <w:sz w:val="24"/>
          <w:szCs w:val="24"/>
        </w:rPr>
        <w:t>KrishiKosh</w:t>
      </w:r>
      <w:proofErr w:type="spellEnd"/>
      <w:r w:rsidRPr="000733D3">
        <w:rPr>
          <w:rFonts w:ascii="Times New Roman" w:hAnsi="Times New Roman" w:cs="Times New Roman"/>
          <w:sz w:val="24"/>
          <w:szCs w:val="24"/>
        </w:rPr>
        <w:t>, An Institutional Repository of Indian National Agricultural Research System.</w:t>
      </w:r>
    </w:p>
    <w:p w14:paraId="038D3FED" w14:textId="43325154" w:rsidR="00AE55CE"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F3189">
        <w:rPr>
          <w:rFonts w:ascii="Times New Roman" w:hAnsi="Times New Roman" w:cs="Times New Roman"/>
          <w:sz w:val="24"/>
          <w:szCs w:val="24"/>
          <w:lang w:val="sv-SE"/>
        </w:rPr>
        <w:t xml:space="preserve">Zachut, M., Kra, G., Livshitz, L., Portnick, Y., Yakoby, S., Friedlander, G., &amp; Levin, Y. 2017. </w:t>
      </w:r>
      <w:r w:rsidRPr="000733D3">
        <w:rPr>
          <w:rFonts w:ascii="Times New Roman" w:hAnsi="Times New Roman" w:cs="Times New Roman"/>
          <w:sz w:val="24"/>
          <w:szCs w:val="24"/>
        </w:rPr>
        <w:t>Seasonal heat stress affects adipose tissue proteome toward enrichment of the NRF-2-mediated oxidative stress response in late-pregnant dairy cows. Journal of Proteomics, 158, 52–61.</w:t>
      </w:r>
    </w:p>
    <w:p w14:paraId="41388995" w14:textId="77777777" w:rsidR="00612BA2" w:rsidRDefault="00612BA2" w:rsidP="00612BA2">
      <w:pPr>
        <w:spacing w:line="360" w:lineRule="auto"/>
        <w:jc w:val="both"/>
        <w:rPr>
          <w:rFonts w:ascii="Times New Roman" w:hAnsi="Times New Roman" w:cs="Times New Roman"/>
          <w:sz w:val="24"/>
          <w:szCs w:val="24"/>
        </w:rPr>
      </w:pPr>
    </w:p>
    <w:p w14:paraId="60E3F63F" w14:textId="017D286D"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 xml:space="preserve">Fig. 1: Oxidative stress parameters. All groups exhibited oxidative stress during both summer and winter, with the highest stress observed in summer. MDA levels were measured following the method of Placer et al. (1966), which quantifies </w:t>
      </w:r>
      <w:proofErr w:type="spellStart"/>
      <w:r w:rsidRPr="00612BA2">
        <w:rPr>
          <w:rFonts w:ascii="Times New Roman" w:hAnsi="Times New Roman" w:cs="Times New Roman"/>
          <w:sz w:val="24"/>
          <w:szCs w:val="24"/>
        </w:rPr>
        <w:t>thiobarbituric</w:t>
      </w:r>
      <w:proofErr w:type="spellEnd"/>
      <w:r w:rsidRPr="00612BA2">
        <w:rPr>
          <w:rFonts w:ascii="Times New Roman" w:hAnsi="Times New Roman" w:cs="Times New Roman"/>
          <w:sz w:val="24"/>
          <w:szCs w:val="24"/>
        </w:rPr>
        <w:t xml:space="preserve"> acid reactive substances. Whole-blood GSH was estimated using the Ellman (1959) method based on the reaction of GSH with DTNB to form 5-thio-2-nitrobenzoic acid. Glutathione reductase activity was determined according to the protocol of Krohne-Ehrich et al. (1977). Data are presented as Mean ± SEM (n = 6). The values with different lower-case letters (a, b, c) superscripts indicate significant difference at p &lt; 0.05 between seasons.</w:t>
      </w:r>
    </w:p>
    <w:p w14:paraId="5C4A1CED" w14:textId="77777777" w:rsidR="00612BA2" w:rsidRDefault="00612BA2" w:rsidP="00612BA2">
      <w:pPr>
        <w:spacing w:line="360" w:lineRule="auto"/>
        <w:jc w:val="both"/>
        <w:rPr>
          <w:rFonts w:ascii="Times New Roman" w:hAnsi="Times New Roman" w:cs="Times New Roman"/>
          <w:sz w:val="24"/>
          <w:szCs w:val="24"/>
        </w:rPr>
      </w:pPr>
    </w:p>
    <w:p w14:paraId="3A2790F7" w14:textId="0D70FE8C"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42E1FF5A" wp14:editId="730DE5E6">
            <wp:extent cx="5282630" cy="3080643"/>
            <wp:effectExtent l="0" t="0" r="13335" b="5715"/>
            <wp:docPr id="1646470289" name="Chart 1">
              <a:extLst xmlns:a="http://schemas.openxmlformats.org/drawingml/2006/main">
                <a:ext uri="{FF2B5EF4-FFF2-40B4-BE49-F238E27FC236}">
                  <a16:creationId xmlns:a16="http://schemas.microsoft.com/office/drawing/2014/main" id="{53B1940F-BE31-5564-0EEC-E34170961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843D1F" w14:textId="1FEE2D73"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1A</w:t>
      </w:r>
    </w:p>
    <w:p w14:paraId="393CFECA" w14:textId="77777777" w:rsidR="00612BA2" w:rsidRDefault="00612BA2" w:rsidP="00612BA2">
      <w:pPr>
        <w:spacing w:line="360" w:lineRule="auto"/>
        <w:jc w:val="both"/>
        <w:rPr>
          <w:rFonts w:ascii="Times New Roman" w:hAnsi="Times New Roman" w:cs="Times New Roman"/>
          <w:sz w:val="24"/>
          <w:szCs w:val="24"/>
        </w:rPr>
      </w:pPr>
    </w:p>
    <w:p w14:paraId="58282B62" w14:textId="77777777" w:rsidR="00612BA2" w:rsidRDefault="00612BA2" w:rsidP="00612BA2">
      <w:pPr>
        <w:spacing w:line="360" w:lineRule="auto"/>
        <w:jc w:val="both"/>
        <w:rPr>
          <w:rFonts w:ascii="Times New Roman" w:hAnsi="Times New Roman" w:cs="Times New Roman"/>
          <w:sz w:val="24"/>
          <w:szCs w:val="24"/>
        </w:rPr>
      </w:pPr>
    </w:p>
    <w:p w14:paraId="7E3ECE69" w14:textId="79564F8E" w:rsidR="00612BA2" w:rsidRDefault="00612BA2" w:rsidP="00612BA2">
      <w:pPr>
        <w:spacing w:line="360" w:lineRule="auto"/>
        <w:jc w:val="both"/>
        <w:rPr>
          <w:rFonts w:ascii="Times New Roman" w:hAnsi="Times New Roman" w:cs="Times New Roman"/>
          <w:sz w:val="24"/>
          <w:szCs w:val="24"/>
        </w:rPr>
      </w:pPr>
      <w:r>
        <w:rPr>
          <w:noProof/>
        </w:rPr>
        <w:drawing>
          <wp:inline distT="0" distB="0" distL="0" distR="0" wp14:anchorId="7F36E2F5" wp14:editId="18FCD0CC">
            <wp:extent cx="5731510" cy="2286635"/>
            <wp:effectExtent l="0" t="0" r="2540" b="18415"/>
            <wp:docPr id="933851770" name="Chart 1">
              <a:extLst xmlns:a="http://schemas.openxmlformats.org/drawingml/2006/main">
                <a:ext uri="{FF2B5EF4-FFF2-40B4-BE49-F238E27FC236}">
                  <a16:creationId xmlns:a16="http://schemas.microsoft.com/office/drawing/2014/main" id="{3D08891A-C763-4B61-96FE-D235E2F01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D7E257" w14:textId="77777777" w:rsidR="00612BA2" w:rsidRDefault="00612BA2" w:rsidP="00612BA2">
      <w:pPr>
        <w:spacing w:line="360" w:lineRule="auto"/>
        <w:jc w:val="both"/>
        <w:rPr>
          <w:rFonts w:ascii="Times New Roman" w:hAnsi="Times New Roman" w:cs="Times New Roman"/>
          <w:sz w:val="24"/>
          <w:szCs w:val="24"/>
        </w:rPr>
      </w:pPr>
    </w:p>
    <w:p w14:paraId="5BBC9720" w14:textId="050C9FF2"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1B</w:t>
      </w:r>
    </w:p>
    <w:p w14:paraId="663484F5" w14:textId="77777777" w:rsidR="00612BA2" w:rsidRDefault="00612BA2" w:rsidP="00612BA2">
      <w:pPr>
        <w:spacing w:line="360" w:lineRule="auto"/>
        <w:jc w:val="both"/>
        <w:rPr>
          <w:rFonts w:ascii="Times New Roman" w:hAnsi="Times New Roman" w:cs="Times New Roman"/>
          <w:sz w:val="24"/>
          <w:szCs w:val="24"/>
        </w:rPr>
      </w:pPr>
    </w:p>
    <w:p w14:paraId="5D264BA0" w14:textId="07C0286D"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71DBA0BB" wp14:editId="11B21C8C">
            <wp:extent cx="5282630" cy="3080642"/>
            <wp:effectExtent l="0" t="0" r="13335" b="5715"/>
            <wp:docPr id="600099130" name="Chart 1">
              <a:extLst xmlns:a="http://schemas.openxmlformats.org/drawingml/2006/main">
                <a:ext uri="{FF2B5EF4-FFF2-40B4-BE49-F238E27FC236}">
                  <a16:creationId xmlns:a16="http://schemas.microsoft.com/office/drawing/2014/main" id="{A59EED71-075E-E520-9780-810D31C95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94AA5D" w14:textId="361E8F95" w:rsidR="00612BA2" w:rsidRP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1C</w:t>
      </w:r>
    </w:p>
    <w:p w14:paraId="0E7C592C" w14:textId="22DC85CC" w:rsidR="00AE55CE" w:rsidRDefault="00612BA2" w:rsidP="00F348F0">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Table 1: Oxidative stress parameters.</w:t>
      </w:r>
    </w:p>
    <w:p w14:paraId="285FBC46" w14:textId="6BFC6593" w:rsidR="00612BA2" w:rsidRDefault="00612BA2" w:rsidP="00F348F0">
      <w:pPr>
        <w:spacing w:line="360" w:lineRule="auto"/>
        <w:jc w:val="both"/>
        <w:rPr>
          <w:rFonts w:ascii="Times New Roman" w:hAnsi="Times New Roman" w:cs="Times New Roman"/>
          <w:sz w:val="24"/>
          <w:szCs w:val="24"/>
        </w:rPr>
      </w:pPr>
      <w:r>
        <w:rPr>
          <w:noProof/>
        </w:rPr>
        <w:drawing>
          <wp:inline distT="0" distB="0" distL="0" distR="0" wp14:anchorId="4CD1B6BB" wp14:editId="4D4F44CD">
            <wp:extent cx="6578435" cy="3550285"/>
            <wp:effectExtent l="0" t="0" r="0" b="0"/>
            <wp:docPr id="2" name="table">
              <a:extLst xmlns:a="http://schemas.openxmlformats.org/drawingml/2006/main">
                <a:ext uri="{FF2B5EF4-FFF2-40B4-BE49-F238E27FC236}">
                  <a16:creationId xmlns:a16="http://schemas.microsoft.com/office/drawing/2014/main" id="{97913558-BE0C-CB74-791E-D12C074847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7913558-BE0C-CB74-791E-D12C0748471C}"/>
                        </a:ext>
                      </a:extLst>
                    </pic:cNvPr>
                    <pic:cNvPicPr>
                      <a:picLocks noChangeAspect="1"/>
                    </pic:cNvPicPr>
                  </pic:nvPicPr>
                  <pic:blipFill>
                    <a:blip r:embed="rId21"/>
                    <a:stretch>
                      <a:fillRect/>
                    </a:stretch>
                  </pic:blipFill>
                  <pic:spPr>
                    <a:xfrm>
                      <a:off x="0" y="0"/>
                      <a:ext cx="6594941" cy="3559193"/>
                    </a:xfrm>
                    <a:prstGeom prst="rect">
                      <a:avLst/>
                    </a:prstGeom>
                  </pic:spPr>
                </pic:pic>
              </a:graphicData>
            </a:graphic>
          </wp:inline>
        </w:drawing>
      </w:r>
    </w:p>
    <w:p w14:paraId="28582470" w14:textId="525155EB" w:rsidR="00612BA2" w:rsidRDefault="00BD2D2C" w:rsidP="00F348F0">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 xml:space="preserve">Table 2. Seasonal variations in </w:t>
      </w:r>
      <w:proofErr w:type="spellStart"/>
      <w:r w:rsidRPr="00BD2D2C">
        <w:rPr>
          <w:rFonts w:ascii="Times New Roman" w:hAnsi="Times New Roman" w:cs="Times New Roman"/>
          <w:sz w:val="24"/>
          <w:szCs w:val="24"/>
        </w:rPr>
        <w:t>hematological</w:t>
      </w:r>
      <w:proofErr w:type="spellEnd"/>
      <w:r w:rsidRPr="00BD2D2C">
        <w:rPr>
          <w:rFonts w:ascii="Times New Roman" w:hAnsi="Times New Roman" w:cs="Times New Roman"/>
          <w:sz w:val="24"/>
          <w:szCs w:val="24"/>
        </w:rPr>
        <w:t xml:space="preserve"> parameters. Hb, PCV, and TLC decreased, while neutrophils and the N:L ratio increased and lymphocytes decreased in winter and summer compared with spring (p &lt; 0.05). Hb was measured following Dacie &amp; Lewis (1975), PCV by the microhematocrit method, DLC using Giemsa-stained smears, and TLC using a </w:t>
      </w:r>
      <w:proofErr w:type="spellStart"/>
      <w:r w:rsidRPr="00BD2D2C">
        <w:rPr>
          <w:rFonts w:ascii="Times New Roman" w:hAnsi="Times New Roman" w:cs="Times New Roman"/>
          <w:sz w:val="24"/>
          <w:szCs w:val="24"/>
        </w:rPr>
        <w:lastRenderedPageBreak/>
        <w:t>hemocytometer</w:t>
      </w:r>
      <w:proofErr w:type="spellEnd"/>
      <w:r w:rsidRPr="00BD2D2C">
        <w:rPr>
          <w:rFonts w:ascii="Times New Roman" w:hAnsi="Times New Roman" w:cs="Times New Roman"/>
          <w:sz w:val="24"/>
          <w:szCs w:val="24"/>
        </w:rPr>
        <w:t>. Data are presented as Mean ± SEM (n = 6). Different lowercase superscripts (a, b, c) denote significant differences among seasons (p &lt; 0.05), while symbols (*, #, $) indicate significant differences among age groups (p &lt; 0.05).</w:t>
      </w:r>
    </w:p>
    <w:p w14:paraId="06E04B2D" w14:textId="77777777" w:rsidR="00BD2D2C" w:rsidRDefault="00BD2D2C" w:rsidP="00F348F0">
      <w:pPr>
        <w:spacing w:line="360" w:lineRule="auto"/>
        <w:jc w:val="both"/>
        <w:rPr>
          <w:rFonts w:ascii="Times New Roman" w:hAnsi="Times New Roman" w:cs="Times New Roman"/>
          <w:sz w:val="24"/>
          <w:szCs w:val="24"/>
        </w:rPr>
      </w:pPr>
    </w:p>
    <w:p w14:paraId="45AA89C4" w14:textId="0B3979E3" w:rsidR="00BD2D2C" w:rsidRPr="000733D3" w:rsidRDefault="00BD2D2C" w:rsidP="00F348F0">
      <w:pPr>
        <w:spacing w:line="360" w:lineRule="auto"/>
        <w:jc w:val="both"/>
        <w:rPr>
          <w:rFonts w:ascii="Times New Roman" w:hAnsi="Times New Roman" w:cs="Times New Roman"/>
          <w:sz w:val="24"/>
          <w:szCs w:val="24"/>
        </w:rPr>
      </w:pPr>
      <w:r>
        <w:rPr>
          <w:noProof/>
        </w:rPr>
        <w:drawing>
          <wp:inline distT="0" distB="0" distL="0" distR="0" wp14:anchorId="3705A500" wp14:editId="025AFD49">
            <wp:extent cx="6139254" cy="3253583"/>
            <wp:effectExtent l="0" t="0" r="0" b="0"/>
            <wp:docPr id="343005186" name="table">
              <a:extLst xmlns:a="http://schemas.openxmlformats.org/drawingml/2006/main">
                <a:ext uri="{FF2B5EF4-FFF2-40B4-BE49-F238E27FC236}">
                  <a16:creationId xmlns:a16="http://schemas.microsoft.com/office/drawing/2014/main" id="{A830025A-E2BD-15D9-4FD2-D34AB7C45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A830025A-E2BD-15D9-4FD2-D34AB7C45D9F}"/>
                        </a:ext>
                      </a:extLst>
                    </pic:cNvPr>
                    <pic:cNvPicPr>
                      <a:picLocks noChangeAspect="1"/>
                    </pic:cNvPicPr>
                  </pic:nvPicPr>
                  <pic:blipFill>
                    <a:blip r:embed="rId22"/>
                    <a:stretch>
                      <a:fillRect/>
                    </a:stretch>
                  </pic:blipFill>
                  <pic:spPr>
                    <a:xfrm>
                      <a:off x="0" y="0"/>
                      <a:ext cx="6149447" cy="3258985"/>
                    </a:xfrm>
                    <a:prstGeom prst="rect">
                      <a:avLst/>
                    </a:prstGeom>
                  </pic:spPr>
                </pic:pic>
              </a:graphicData>
            </a:graphic>
          </wp:inline>
        </w:drawing>
      </w:r>
    </w:p>
    <w:p w14:paraId="78179F1C" w14:textId="1B5D45BF" w:rsidR="00FF1006" w:rsidRDefault="00BD2D2C" w:rsidP="00FF1006">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Table 3: Seasonal variations in metabolic enzyme activities. Activities of ALT, AST, GGT, and LDH were significantly elevated during both summer and winter, with the highest values recorded in summer. No significant seasonal variation was observed in ALP activity. Plasma levels of ALP, ALT, AST, GGT, and LDH were measured using Erba Mannheim kits on a semi-automatic chemistry analyser (Merck). Data are presented as Mean ± SEM (n = 6). The values with different lower-case letters (a, b, c) superscripts indicate significant difference at p &lt; 0.05 between seasons.</w:t>
      </w:r>
    </w:p>
    <w:p w14:paraId="04D92A84" w14:textId="77777777" w:rsidR="00BD2D2C" w:rsidRDefault="00BD2D2C" w:rsidP="00FF1006">
      <w:pPr>
        <w:spacing w:line="360" w:lineRule="auto"/>
        <w:jc w:val="both"/>
        <w:rPr>
          <w:rFonts w:ascii="Times New Roman" w:hAnsi="Times New Roman" w:cs="Times New Roman"/>
          <w:sz w:val="24"/>
          <w:szCs w:val="24"/>
        </w:rPr>
      </w:pPr>
    </w:p>
    <w:p w14:paraId="4330F9CB" w14:textId="76C0E384" w:rsidR="00BD2D2C" w:rsidRPr="000733D3" w:rsidRDefault="00BD2D2C" w:rsidP="00FF1006">
      <w:pPr>
        <w:spacing w:line="360" w:lineRule="auto"/>
        <w:jc w:val="both"/>
        <w:rPr>
          <w:rFonts w:ascii="Times New Roman" w:hAnsi="Times New Roman" w:cs="Times New Roman"/>
          <w:sz w:val="24"/>
          <w:szCs w:val="24"/>
        </w:rPr>
      </w:pPr>
      <w:r>
        <w:rPr>
          <w:noProof/>
        </w:rPr>
        <w:lastRenderedPageBreak/>
        <w:drawing>
          <wp:inline distT="0" distB="0" distL="0" distR="0" wp14:anchorId="60E54167" wp14:editId="15292521">
            <wp:extent cx="5949538" cy="2873375"/>
            <wp:effectExtent l="0" t="0" r="0" b="3175"/>
            <wp:docPr id="839137029" name="table">
              <a:extLst xmlns:a="http://schemas.openxmlformats.org/drawingml/2006/main">
                <a:ext uri="{FF2B5EF4-FFF2-40B4-BE49-F238E27FC236}">
                  <a16:creationId xmlns:a16="http://schemas.microsoft.com/office/drawing/2014/main" id="{1550D46C-2DD0-F482-3C44-5CD24B71F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550D46C-2DD0-F482-3C44-5CD24B71F299}"/>
                        </a:ext>
                      </a:extLst>
                    </pic:cNvPr>
                    <pic:cNvPicPr>
                      <a:picLocks noChangeAspect="1"/>
                    </pic:cNvPicPr>
                  </pic:nvPicPr>
                  <pic:blipFill>
                    <a:blip r:embed="rId23"/>
                    <a:stretch>
                      <a:fillRect/>
                    </a:stretch>
                  </pic:blipFill>
                  <pic:spPr>
                    <a:xfrm>
                      <a:off x="0" y="0"/>
                      <a:ext cx="5956095" cy="2876542"/>
                    </a:xfrm>
                    <a:prstGeom prst="rect">
                      <a:avLst/>
                    </a:prstGeom>
                  </pic:spPr>
                </pic:pic>
              </a:graphicData>
            </a:graphic>
          </wp:inline>
        </w:drawing>
      </w:r>
    </w:p>
    <w:p w14:paraId="3B38031A" w14:textId="77777777" w:rsidR="00F348F0" w:rsidRPr="000733D3" w:rsidRDefault="00F348F0" w:rsidP="00FF1006">
      <w:pPr>
        <w:spacing w:line="360" w:lineRule="auto"/>
        <w:jc w:val="both"/>
        <w:rPr>
          <w:rFonts w:ascii="Times New Roman" w:hAnsi="Times New Roman" w:cs="Times New Roman"/>
          <w:sz w:val="24"/>
          <w:szCs w:val="24"/>
        </w:rPr>
      </w:pPr>
    </w:p>
    <w:p w14:paraId="26687AE5" w14:textId="77777777" w:rsidR="00FF1006" w:rsidRPr="000733D3" w:rsidRDefault="00FF1006" w:rsidP="00FF1006">
      <w:pPr>
        <w:spacing w:line="360" w:lineRule="auto"/>
        <w:jc w:val="both"/>
        <w:rPr>
          <w:rFonts w:ascii="Times New Roman" w:hAnsi="Times New Roman" w:cs="Times New Roman"/>
          <w:sz w:val="24"/>
          <w:szCs w:val="24"/>
        </w:rPr>
      </w:pPr>
    </w:p>
    <w:p w14:paraId="527E1006" w14:textId="77777777" w:rsidR="00FF1006" w:rsidRPr="000733D3" w:rsidRDefault="00FF1006" w:rsidP="00FF1006">
      <w:pPr>
        <w:spacing w:line="360" w:lineRule="auto"/>
        <w:jc w:val="both"/>
        <w:rPr>
          <w:rFonts w:ascii="Times New Roman" w:eastAsia="Calibri" w:hAnsi="Times New Roman" w:cs="Times New Roman"/>
          <w:sz w:val="24"/>
          <w:szCs w:val="24"/>
        </w:rPr>
      </w:pPr>
    </w:p>
    <w:p w14:paraId="5AE80844" w14:textId="77777777" w:rsidR="00FF1006" w:rsidRPr="000733D3" w:rsidRDefault="00FF1006">
      <w:pPr>
        <w:rPr>
          <w:sz w:val="24"/>
          <w:szCs w:val="24"/>
        </w:rPr>
      </w:pPr>
    </w:p>
    <w:sectPr w:rsidR="00FF1006" w:rsidRPr="000733D3" w:rsidSect="000F318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 AG" w:date="2025-11-22T18:54:00Z" w:initials="RA">
    <w:p w14:paraId="57D523EC" w14:textId="77777777" w:rsidR="00723107" w:rsidRDefault="00723107" w:rsidP="00723107">
      <w:pPr>
        <w:pStyle w:val="CommentText"/>
      </w:pPr>
      <w:r>
        <w:rPr>
          <w:rStyle w:val="CommentReference"/>
        </w:rPr>
        <w:annotationRef/>
      </w:r>
      <w:r>
        <w:t>The current title is suitable; however, a more concise alternative could be:</w:t>
      </w:r>
    </w:p>
    <w:p w14:paraId="3A002B52" w14:textId="77777777" w:rsidR="00723107" w:rsidRDefault="00723107" w:rsidP="00723107">
      <w:pPr>
        <w:pStyle w:val="CommentText"/>
      </w:pPr>
      <w:r>
        <w:t>“Seasonal Stress Alters Oxidative Status, Hematology, and Metabolic Enzymes in Yorkshire Pigs.”</w:t>
      </w:r>
    </w:p>
  </w:comment>
  <w:comment w:id="3" w:author="R AG" w:date="2025-11-22T18:54:00Z" w:initials="RA">
    <w:p w14:paraId="4375D534" w14:textId="77777777" w:rsidR="00723107" w:rsidRDefault="00723107" w:rsidP="00723107">
      <w:pPr>
        <w:pStyle w:val="CommentText"/>
      </w:pPr>
      <w:r>
        <w:rPr>
          <w:rStyle w:val="CommentReference"/>
        </w:rPr>
        <w:annotationRef/>
      </w:r>
      <w:r>
        <w:t xml:space="preserve">A well-written abstract </w:t>
      </w:r>
    </w:p>
  </w:comment>
  <w:comment w:id="4" w:author="R AG" w:date="2025-11-22T19:14:00Z" w:initials="RA">
    <w:p w14:paraId="182A8A7E" w14:textId="77777777" w:rsidR="00466C45" w:rsidRDefault="00466C45" w:rsidP="00466C45">
      <w:pPr>
        <w:pStyle w:val="CommentText"/>
      </w:pPr>
      <w:r>
        <w:rPr>
          <w:rStyle w:val="CommentReference"/>
        </w:rPr>
        <w:annotationRef/>
      </w:r>
      <w:r>
        <w:t xml:space="preserve">It would be beneficial to transition more quickly to the specific scientific issue of climate change impact on pig physiology </w:t>
      </w:r>
    </w:p>
  </w:comment>
  <w:comment w:id="5" w:author="R AG" w:date="2025-11-22T19:49:00Z" w:initials="RA">
    <w:p w14:paraId="4D33B54D" w14:textId="77777777" w:rsidR="00D308BD" w:rsidRDefault="00D308BD" w:rsidP="00D308BD">
      <w:pPr>
        <w:pStyle w:val="CommentText"/>
      </w:pPr>
      <w:r>
        <w:rPr>
          <w:rStyle w:val="CommentReference"/>
        </w:rPr>
        <w:annotationRef/>
      </w:r>
      <w:r>
        <w:rPr>
          <w:lang w:val="en-US"/>
        </w:rPr>
        <w:t>The Introduction would be improved by clearly stating the practical relevance of this work, including how understanding seasonal stress responses in pigs can be applied in livestock management or production systems</w:t>
      </w:r>
    </w:p>
  </w:comment>
  <w:comment w:id="6" w:author="R AG" w:date="2025-11-22T20:00:00Z" w:initials="RA">
    <w:p w14:paraId="35A38B76" w14:textId="77777777" w:rsidR="000B3B98" w:rsidRDefault="000B3B98" w:rsidP="000B3B98">
      <w:pPr>
        <w:pStyle w:val="CommentText"/>
      </w:pPr>
      <w:r>
        <w:rPr>
          <w:rStyle w:val="CommentReference"/>
        </w:rPr>
        <w:annotationRef/>
      </w:r>
      <w:r>
        <w:t>THI Measurement: Including Temperature–Humidity Index (THI) data would greatly improve the methodology, as THI is essential for objectively confirming the heat-stress conditions experienced by the pigs.</w:t>
      </w:r>
    </w:p>
  </w:comment>
  <w:comment w:id="7" w:author="R AG" w:date="2025-11-22T20:00:00Z" w:initials="RA">
    <w:p w14:paraId="1A351F0F" w14:textId="77777777" w:rsidR="00F213ED" w:rsidRDefault="00F213ED" w:rsidP="00F213ED">
      <w:pPr>
        <w:pStyle w:val="CommentText"/>
      </w:pPr>
      <w:r>
        <w:rPr>
          <w:rStyle w:val="CommentReference"/>
        </w:rPr>
        <w:annotationRef/>
      </w:r>
      <w:r>
        <w:t>Housing and Stocking Details: Key housing information—such as pen size, stocking density, and ventilation—should be reported, as these factors directly influence thermal stress and are necessary for proper interpretation and reproducibility</w:t>
      </w:r>
    </w:p>
  </w:comment>
  <w:comment w:id="9" w:author="R AG" w:date="2025-11-22T20:19:00Z" w:initials="RA">
    <w:p w14:paraId="428A9A6A" w14:textId="77777777" w:rsidR="00AA4A49" w:rsidRDefault="00AA4A49" w:rsidP="00AA4A49">
      <w:pPr>
        <w:pStyle w:val="CommentText"/>
        <w:numPr>
          <w:ilvl w:val="0"/>
          <w:numId w:val="2"/>
        </w:numPr>
      </w:pPr>
      <w:r>
        <w:rPr>
          <w:rStyle w:val="CommentReference"/>
        </w:rPr>
        <w:annotationRef/>
      </w:r>
      <w:r>
        <w:rPr>
          <w:lang w:val="en-ID"/>
        </w:rPr>
        <w:t>The Results section is generally clear, but some explanations are redundant with the tables and figures and could be shortened.</w:t>
      </w:r>
    </w:p>
    <w:p w14:paraId="5252A005" w14:textId="77777777" w:rsidR="00AA4A49" w:rsidRDefault="00AA4A49" w:rsidP="00AA4A49">
      <w:pPr>
        <w:pStyle w:val="CommentText"/>
        <w:numPr>
          <w:ilvl w:val="0"/>
          <w:numId w:val="2"/>
        </w:numPr>
      </w:pPr>
      <w:r>
        <w:rPr>
          <w:lang w:val="en-ID"/>
        </w:rPr>
        <w:t>Environmental indicators such as THI are missing, making it difficult to objectively validate the level of heat stress across seasons.</w:t>
      </w:r>
    </w:p>
  </w:comment>
  <w:comment w:id="10" w:author="R AG" w:date="2025-11-22T20:34:00Z" w:initials="RA">
    <w:p w14:paraId="5FBADC76" w14:textId="77777777" w:rsidR="006C2155" w:rsidRDefault="006C2155" w:rsidP="006C2155">
      <w:pPr>
        <w:pStyle w:val="CommentText"/>
      </w:pPr>
      <w:r>
        <w:rPr>
          <w:rStyle w:val="CommentReference"/>
        </w:rPr>
        <w:annotationRef/>
      </w:r>
      <w:r>
        <w:rPr>
          <w:lang w:val="en-US"/>
        </w:rPr>
        <w:t>To scientifically validate the presence and severity of thermal stress during the sampling periods, particularly in the summer, it is highly recommended that the authors include data on the Temperature-Humidity Index (THI). Providing THI values will objectively confirm that the pigs were indeed subjected to a heat challenge, which would significantly strengthen the interpretation of the resulting physiological and biochemical alterations.</w:t>
      </w:r>
    </w:p>
    <w:p w14:paraId="1EA87CCD" w14:textId="77777777" w:rsidR="006C2155" w:rsidRDefault="006C2155" w:rsidP="006C2155">
      <w:pPr>
        <w:pStyle w:val="CommentText"/>
      </w:pPr>
      <w:r>
        <w:rPr>
          <w:lang w:val="en-ID"/>
        </w:rPr>
        <w:t>The Discussion is longer than necessary and repeats several points already stated in the Results. It would benefit from being more concise and focused on the main interpretations.</w:t>
      </w:r>
    </w:p>
    <w:p w14:paraId="40C88775" w14:textId="77777777" w:rsidR="006C2155" w:rsidRDefault="006C2155" w:rsidP="006C2155">
      <w:pPr>
        <w:pStyle w:val="CommentText"/>
      </w:pPr>
      <w:r>
        <w:rPr>
          <w:lang w:val="en-ID"/>
        </w:rPr>
        <w:t>Some sections summarize previous studies in too much detail without clearly connecting them to the findings of this research. Stronger links between the literature and your own results would improve clarity.</w:t>
      </w:r>
    </w:p>
    <w:p w14:paraId="03438350" w14:textId="77777777" w:rsidR="006C2155" w:rsidRDefault="006C2155" w:rsidP="006C2155">
      <w:pPr>
        <w:pStyle w:val="CommentText"/>
      </w:pPr>
      <w:r>
        <w:rPr>
          <w:lang w:val="en-US"/>
        </w:rPr>
        <w:t>The Discussion would be strengthened by adding practical implications for pig management or strategies to mitigate heat stress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02B52" w15:done="0"/>
  <w15:commentEx w15:paraId="4375D534" w15:done="0"/>
  <w15:commentEx w15:paraId="182A8A7E" w15:done="0"/>
  <w15:commentEx w15:paraId="4D33B54D" w15:done="0"/>
  <w15:commentEx w15:paraId="35A38B76" w15:done="0"/>
  <w15:commentEx w15:paraId="1A351F0F" w15:done="0"/>
  <w15:commentEx w15:paraId="5252A005" w15:done="0"/>
  <w15:commentEx w15:paraId="034383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A4DB3" w16cex:dateUtc="2025-11-22T11:54:00Z"/>
  <w16cex:commentExtensible w16cex:durableId="3D9BFAB6" w16cex:dateUtc="2025-11-22T11:54:00Z"/>
  <w16cex:commentExtensible w16cex:durableId="2FF7EA6D" w16cex:dateUtc="2025-11-22T12:14:00Z"/>
  <w16cex:commentExtensible w16cex:durableId="0997F0AC" w16cex:dateUtc="2025-11-22T12:49:00Z"/>
  <w16cex:commentExtensible w16cex:durableId="152854A3" w16cex:dateUtc="2025-11-22T13:00:00Z"/>
  <w16cex:commentExtensible w16cex:durableId="01E76BE1" w16cex:dateUtc="2025-11-22T13:00:00Z"/>
  <w16cex:commentExtensible w16cex:durableId="05FFB2BE" w16cex:dateUtc="2025-11-22T13:19:00Z"/>
  <w16cex:commentExtensible w16cex:durableId="54FF2B7A" w16cex:dateUtc="2025-11-2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02B52" w16cid:durableId="2F2A4DB3"/>
  <w16cid:commentId w16cid:paraId="4375D534" w16cid:durableId="3D9BFAB6"/>
  <w16cid:commentId w16cid:paraId="182A8A7E" w16cid:durableId="2FF7EA6D"/>
  <w16cid:commentId w16cid:paraId="4D33B54D" w16cid:durableId="0997F0AC"/>
  <w16cid:commentId w16cid:paraId="35A38B76" w16cid:durableId="152854A3"/>
  <w16cid:commentId w16cid:paraId="1A351F0F" w16cid:durableId="01E76BE1"/>
  <w16cid:commentId w16cid:paraId="5252A005" w16cid:durableId="05FFB2BE"/>
  <w16cid:commentId w16cid:paraId="03438350" w16cid:durableId="54FF2B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E72F" w14:textId="77777777" w:rsidR="00630154" w:rsidRDefault="00630154" w:rsidP="00185624">
      <w:pPr>
        <w:spacing w:after="0" w:line="240" w:lineRule="auto"/>
      </w:pPr>
      <w:r>
        <w:separator/>
      </w:r>
    </w:p>
  </w:endnote>
  <w:endnote w:type="continuationSeparator" w:id="0">
    <w:p w14:paraId="236C3918" w14:textId="77777777" w:rsidR="00630154" w:rsidRDefault="00630154" w:rsidP="0018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2F2C" w14:textId="77777777" w:rsidR="00185624" w:rsidRDefault="0018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4A5" w14:textId="77777777" w:rsidR="00185624" w:rsidRDefault="00185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E86C" w14:textId="77777777" w:rsidR="00185624" w:rsidRDefault="0018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B8AA" w14:textId="77777777" w:rsidR="00630154" w:rsidRDefault="00630154" w:rsidP="00185624">
      <w:pPr>
        <w:spacing w:after="0" w:line="240" w:lineRule="auto"/>
      </w:pPr>
      <w:r>
        <w:separator/>
      </w:r>
    </w:p>
  </w:footnote>
  <w:footnote w:type="continuationSeparator" w:id="0">
    <w:p w14:paraId="010EBFB0" w14:textId="77777777" w:rsidR="00630154" w:rsidRDefault="00630154" w:rsidP="0018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0959" w14:textId="1873C315" w:rsidR="00185624" w:rsidRDefault="00000000">
    <w:pPr>
      <w:pStyle w:val="Header"/>
    </w:pPr>
    <w:r>
      <w:rPr>
        <w:noProof/>
      </w:rPr>
      <w:pict w14:anchorId="353DA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9" o:spid="_x0000_s1026"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CEAB" w14:textId="082F3CD6" w:rsidR="00185624" w:rsidRDefault="00000000">
    <w:pPr>
      <w:pStyle w:val="Header"/>
    </w:pPr>
    <w:r>
      <w:rPr>
        <w:noProof/>
      </w:rPr>
      <w:pict w14:anchorId="6461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70" o:spid="_x0000_s1027"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6D67" w14:textId="0B9A5A33" w:rsidR="00185624" w:rsidRDefault="00000000">
    <w:pPr>
      <w:pStyle w:val="Header"/>
    </w:pPr>
    <w:r>
      <w:rPr>
        <w:noProof/>
      </w:rPr>
      <w:pict w14:anchorId="09E0A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8" o:spid="_x0000_s1025"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D719E"/>
    <w:multiLevelType w:val="hybridMultilevel"/>
    <w:tmpl w:val="36B4F2EE"/>
    <w:lvl w:ilvl="0" w:tplc="1DC8CC90">
      <w:start w:val="1"/>
      <w:numFmt w:val="decimal"/>
      <w:lvlText w:val="%1."/>
      <w:lvlJc w:val="left"/>
      <w:pPr>
        <w:ind w:left="1440" w:hanging="360"/>
      </w:pPr>
    </w:lvl>
    <w:lvl w:ilvl="1" w:tplc="30B2820A">
      <w:start w:val="1"/>
      <w:numFmt w:val="decimal"/>
      <w:lvlText w:val="%2."/>
      <w:lvlJc w:val="left"/>
      <w:pPr>
        <w:ind w:left="1440" w:hanging="360"/>
      </w:pPr>
    </w:lvl>
    <w:lvl w:ilvl="2" w:tplc="5BF8B690">
      <w:start w:val="1"/>
      <w:numFmt w:val="decimal"/>
      <w:lvlText w:val="%3."/>
      <w:lvlJc w:val="left"/>
      <w:pPr>
        <w:ind w:left="1440" w:hanging="360"/>
      </w:pPr>
    </w:lvl>
    <w:lvl w:ilvl="3" w:tplc="57221BB2">
      <w:start w:val="1"/>
      <w:numFmt w:val="decimal"/>
      <w:lvlText w:val="%4."/>
      <w:lvlJc w:val="left"/>
      <w:pPr>
        <w:ind w:left="1440" w:hanging="360"/>
      </w:pPr>
    </w:lvl>
    <w:lvl w:ilvl="4" w:tplc="EF484E3C">
      <w:start w:val="1"/>
      <w:numFmt w:val="decimal"/>
      <w:lvlText w:val="%5."/>
      <w:lvlJc w:val="left"/>
      <w:pPr>
        <w:ind w:left="1440" w:hanging="360"/>
      </w:pPr>
    </w:lvl>
    <w:lvl w:ilvl="5" w:tplc="E89425EA">
      <w:start w:val="1"/>
      <w:numFmt w:val="decimal"/>
      <w:lvlText w:val="%6."/>
      <w:lvlJc w:val="left"/>
      <w:pPr>
        <w:ind w:left="1440" w:hanging="360"/>
      </w:pPr>
    </w:lvl>
    <w:lvl w:ilvl="6" w:tplc="0722FCE2">
      <w:start w:val="1"/>
      <w:numFmt w:val="decimal"/>
      <w:lvlText w:val="%7."/>
      <w:lvlJc w:val="left"/>
      <w:pPr>
        <w:ind w:left="1440" w:hanging="360"/>
      </w:pPr>
    </w:lvl>
    <w:lvl w:ilvl="7" w:tplc="098C9ABA">
      <w:start w:val="1"/>
      <w:numFmt w:val="decimal"/>
      <w:lvlText w:val="%8."/>
      <w:lvlJc w:val="left"/>
      <w:pPr>
        <w:ind w:left="1440" w:hanging="360"/>
      </w:pPr>
    </w:lvl>
    <w:lvl w:ilvl="8" w:tplc="64E4136E">
      <w:start w:val="1"/>
      <w:numFmt w:val="decimal"/>
      <w:lvlText w:val="%9."/>
      <w:lvlJc w:val="left"/>
      <w:pPr>
        <w:ind w:left="1440" w:hanging="360"/>
      </w:pPr>
    </w:lvl>
  </w:abstractNum>
  <w:abstractNum w:abstractNumId="1" w15:restartNumberingAfterBreak="0">
    <w:nsid w:val="698A1DC7"/>
    <w:multiLevelType w:val="hybridMultilevel"/>
    <w:tmpl w:val="272A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5385352">
    <w:abstractNumId w:val="1"/>
  </w:num>
  <w:num w:numId="2" w16cid:durableId="1789665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AG">
    <w15:presenceInfo w15:providerId="Windows Live" w15:userId="2241f25314ad0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06"/>
    <w:rsid w:val="00002B4D"/>
    <w:rsid w:val="000215BE"/>
    <w:rsid w:val="00033895"/>
    <w:rsid w:val="00061F7F"/>
    <w:rsid w:val="000733D3"/>
    <w:rsid w:val="00094AE8"/>
    <w:rsid w:val="000B3B98"/>
    <w:rsid w:val="000C04E3"/>
    <w:rsid w:val="000F3189"/>
    <w:rsid w:val="00130EC0"/>
    <w:rsid w:val="00174050"/>
    <w:rsid w:val="00185624"/>
    <w:rsid w:val="00195094"/>
    <w:rsid w:val="001A5CCD"/>
    <w:rsid w:val="001A63B5"/>
    <w:rsid w:val="001C3597"/>
    <w:rsid w:val="001D2F75"/>
    <w:rsid w:val="001F446A"/>
    <w:rsid w:val="00245EB8"/>
    <w:rsid w:val="002F5A0F"/>
    <w:rsid w:val="0033711E"/>
    <w:rsid w:val="003513E6"/>
    <w:rsid w:val="00381F28"/>
    <w:rsid w:val="003A37C6"/>
    <w:rsid w:val="003B10DD"/>
    <w:rsid w:val="00421D15"/>
    <w:rsid w:val="00466C45"/>
    <w:rsid w:val="004822B1"/>
    <w:rsid w:val="00487385"/>
    <w:rsid w:val="004921D5"/>
    <w:rsid w:val="004A3367"/>
    <w:rsid w:val="004E74BE"/>
    <w:rsid w:val="0051138C"/>
    <w:rsid w:val="005453ED"/>
    <w:rsid w:val="00564489"/>
    <w:rsid w:val="00570F52"/>
    <w:rsid w:val="005E7F20"/>
    <w:rsid w:val="00612BA2"/>
    <w:rsid w:val="0062304F"/>
    <w:rsid w:val="00630154"/>
    <w:rsid w:val="006B5573"/>
    <w:rsid w:val="006C2155"/>
    <w:rsid w:val="006C2AEF"/>
    <w:rsid w:val="00723107"/>
    <w:rsid w:val="007458B6"/>
    <w:rsid w:val="00767DAF"/>
    <w:rsid w:val="007A425B"/>
    <w:rsid w:val="007F41E1"/>
    <w:rsid w:val="00815DCB"/>
    <w:rsid w:val="00832255"/>
    <w:rsid w:val="00841E8A"/>
    <w:rsid w:val="008A4797"/>
    <w:rsid w:val="008B19C8"/>
    <w:rsid w:val="008C03F0"/>
    <w:rsid w:val="009A3BCA"/>
    <w:rsid w:val="00A03AB8"/>
    <w:rsid w:val="00AA4A49"/>
    <w:rsid w:val="00AC7912"/>
    <w:rsid w:val="00AE55CE"/>
    <w:rsid w:val="00B8439D"/>
    <w:rsid w:val="00B8726F"/>
    <w:rsid w:val="00BA0794"/>
    <w:rsid w:val="00BB1C46"/>
    <w:rsid w:val="00BC6BEC"/>
    <w:rsid w:val="00BD2D2C"/>
    <w:rsid w:val="00BF6727"/>
    <w:rsid w:val="00C34FAF"/>
    <w:rsid w:val="00C466D2"/>
    <w:rsid w:val="00C55EDB"/>
    <w:rsid w:val="00C81F68"/>
    <w:rsid w:val="00CD6642"/>
    <w:rsid w:val="00D15BE6"/>
    <w:rsid w:val="00D24DC4"/>
    <w:rsid w:val="00D308BD"/>
    <w:rsid w:val="00D349F3"/>
    <w:rsid w:val="00D46967"/>
    <w:rsid w:val="00D7025D"/>
    <w:rsid w:val="00D703EE"/>
    <w:rsid w:val="00D716B5"/>
    <w:rsid w:val="00D71F01"/>
    <w:rsid w:val="00E33014"/>
    <w:rsid w:val="00E679A8"/>
    <w:rsid w:val="00E735CA"/>
    <w:rsid w:val="00E9414E"/>
    <w:rsid w:val="00ED0F72"/>
    <w:rsid w:val="00F213ED"/>
    <w:rsid w:val="00F348F0"/>
    <w:rsid w:val="00F44422"/>
    <w:rsid w:val="00F71F94"/>
    <w:rsid w:val="00F85A28"/>
    <w:rsid w:val="00FF1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AA6AB"/>
  <w15:chartTrackingRefBased/>
  <w15:docId w15:val="{449114BD-2AA4-43E0-A58D-2A690841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SHAP Heading 1"/>
    <w:basedOn w:val="Normal"/>
    <w:next w:val="Normal"/>
    <w:link w:val="Heading1Char"/>
    <w:uiPriority w:val="9"/>
    <w:qFormat/>
    <w:rsid w:val="00FF1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JSHAP Header 2"/>
    <w:basedOn w:val="Normal"/>
    <w:next w:val="Normal"/>
    <w:link w:val="Heading2Char"/>
    <w:uiPriority w:val="9"/>
    <w:semiHidden/>
    <w:unhideWhenUsed/>
    <w:qFormat/>
    <w:rsid w:val="00FF1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SHAP Heading 1 Char"/>
    <w:basedOn w:val="DefaultParagraphFont"/>
    <w:link w:val="Heading1"/>
    <w:uiPriority w:val="9"/>
    <w:rsid w:val="00FF100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JSHAP Header 2 Char"/>
    <w:basedOn w:val="DefaultParagraphFont"/>
    <w:link w:val="Heading2"/>
    <w:uiPriority w:val="9"/>
    <w:semiHidden/>
    <w:rsid w:val="00FF1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006"/>
    <w:rPr>
      <w:rFonts w:eastAsiaTheme="majorEastAsia" w:cstheme="majorBidi"/>
      <w:color w:val="272727" w:themeColor="text1" w:themeTint="D8"/>
    </w:rPr>
  </w:style>
  <w:style w:type="paragraph" w:styleId="Title">
    <w:name w:val="Title"/>
    <w:basedOn w:val="Normal"/>
    <w:next w:val="Normal"/>
    <w:link w:val="TitleChar"/>
    <w:uiPriority w:val="10"/>
    <w:qFormat/>
    <w:rsid w:val="00FF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006"/>
    <w:pPr>
      <w:spacing w:before="160"/>
      <w:jc w:val="center"/>
    </w:pPr>
    <w:rPr>
      <w:i/>
      <w:iCs/>
      <w:color w:val="404040" w:themeColor="text1" w:themeTint="BF"/>
    </w:rPr>
  </w:style>
  <w:style w:type="character" w:customStyle="1" w:styleId="QuoteChar">
    <w:name w:val="Quote Char"/>
    <w:basedOn w:val="DefaultParagraphFont"/>
    <w:link w:val="Quote"/>
    <w:uiPriority w:val="29"/>
    <w:rsid w:val="00FF1006"/>
    <w:rPr>
      <w:i/>
      <w:iCs/>
      <w:color w:val="404040" w:themeColor="text1" w:themeTint="BF"/>
    </w:rPr>
  </w:style>
  <w:style w:type="paragraph" w:styleId="ListParagraph">
    <w:name w:val="List Paragraph"/>
    <w:basedOn w:val="Normal"/>
    <w:uiPriority w:val="34"/>
    <w:qFormat/>
    <w:rsid w:val="00FF1006"/>
    <w:pPr>
      <w:ind w:left="720"/>
      <w:contextualSpacing/>
    </w:pPr>
  </w:style>
  <w:style w:type="character" w:styleId="IntenseEmphasis">
    <w:name w:val="Intense Emphasis"/>
    <w:basedOn w:val="DefaultParagraphFont"/>
    <w:uiPriority w:val="21"/>
    <w:qFormat/>
    <w:rsid w:val="00FF1006"/>
    <w:rPr>
      <w:i/>
      <w:iCs/>
      <w:color w:val="2F5496" w:themeColor="accent1" w:themeShade="BF"/>
    </w:rPr>
  </w:style>
  <w:style w:type="paragraph" w:styleId="IntenseQuote">
    <w:name w:val="Intense Quote"/>
    <w:basedOn w:val="Normal"/>
    <w:next w:val="Normal"/>
    <w:link w:val="IntenseQuoteChar"/>
    <w:uiPriority w:val="30"/>
    <w:qFormat/>
    <w:rsid w:val="00FF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006"/>
    <w:rPr>
      <w:i/>
      <w:iCs/>
      <w:color w:val="2F5496" w:themeColor="accent1" w:themeShade="BF"/>
    </w:rPr>
  </w:style>
  <w:style w:type="character" w:styleId="IntenseReference">
    <w:name w:val="Intense Reference"/>
    <w:basedOn w:val="DefaultParagraphFont"/>
    <w:uiPriority w:val="32"/>
    <w:qFormat/>
    <w:rsid w:val="00FF1006"/>
    <w:rPr>
      <w:b/>
      <w:bCs/>
      <w:smallCaps/>
      <w:color w:val="2F5496" w:themeColor="accent1" w:themeShade="BF"/>
      <w:spacing w:val="5"/>
    </w:rPr>
  </w:style>
  <w:style w:type="character" w:styleId="Hyperlink">
    <w:name w:val="Hyperlink"/>
    <w:uiPriority w:val="99"/>
    <w:unhideWhenUsed/>
    <w:rsid w:val="0051138C"/>
    <w:rPr>
      <w:color w:val="0000FF"/>
      <w:u w:val="single"/>
    </w:rPr>
  </w:style>
  <w:style w:type="paragraph" w:styleId="NormalWeb">
    <w:name w:val="Normal (Web)"/>
    <w:basedOn w:val="Normal"/>
    <w:uiPriority w:val="99"/>
    <w:semiHidden/>
    <w:unhideWhenUsed/>
    <w:rsid w:val="00AE55C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0733D3"/>
    <w:rPr>
      <w:color w:val="605E5C"/>
      <w:shd w:val="clear" w:color="auto" w:fill="E1DFDD"/>
    </w:rPr>
  </w:style>
  <w:style w:type="paragraph" w:styleId="Header">
    <w:name w:val="header"/>
    <w:basedOn w:val="Normal"/>
    <w:link w:val="HeaderChar"/>
    <w:uiPriority w:val="99"/>
    <w:unhideWhenUsed/>
    <w:rsid w:val="0018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24"/>
  </w:style>
  <w:style w:type="paragraph" w:styleId="Footer">
    <w:name w:val="footer"/>
    <w:basedOn w:val="Normal"/>
    <w:link w:val="FooterChar"/>
    <w:uiPriority w:val="99"/>
    <w:unhideWhenUsed/>
    <w:rsid w:val="0018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24"/>
  </w:style>
  <w:style w:type="character" w:styleId="LineNumber">
    <w:name w:val="line number"/>
    <w:basedOn w:val="DefaultParagraphFont"/>
    <w:uiPriority w:val="99"/>
    <w:semiHidden/>
    <w:unhideWhenUsed/>
    <w:rsid w:val="000F3189"/>
  </w:style>
  <w:style w:type="character" w:styleId="CommentReference">
    <w:name w:val="annotation reference"/>
    <w:basedOn w:val="DefaultParagraphFont"/>
    <w:uiPriority w:val="99"/>
    <w:semiHidden/>
    <w:unhideWhenUsed/>
    <w:rsid w:val="006C2AEF"/>
    <w:rPr>
      <w:sz w:val="16"/>
      <w:szCs w:val="16"/>
    </w:rPr>
  </w:style>
  <w:style w:type="paragraph" w:styleId="CommentText">
    <w:name w:val="annotation text"/>
    <w:basedOn w:val="Normal"/>
    <w:link w:val="CommentTextChar"/>
    <w:uiPriority w:val="99"/>
    <w:unhideWhenUsed/>
    <w:rsid w:val="006C2AEF"/>
    <w:pPr>
      <w:spacing w:line="240" w:lineRule="auto"/>
    </w:pPr>
    <w:rPr>
      <w:sz w:val="20"/>
      <w:szCs w:val="20"/>
    </w:rPr>
  </w:style>
  <w:style w:type="character" w:customStyle="1" w:styleId="CommentTextChar">
    <w:name w:val="Comment Text Char"/>
    <w:basedOn w:val="DefaultParagraphFont"/>
    <w:link w:val="CommentText"/>
    <w:uiPriority w:val="99"/>
    <w:rsid w:val="006C2AEF"/>
    <w:rPr>
      <w:sz w:val="20"/>
      <w:szCs w:val="20"/>
    </w:rPr>
  </w:style>
  <w:style w:type="paragraph" w:styleId="CommentSubject">
    <w:name w:val="annotation subject"/>
    <w:basedOn w:val="CommentText"/>
    <w:next w:val="CommentText"/>
    <w:link w:val="CommentSubjectChar"/>
    <w:uiPriority w:val="99"/>
    <w:semiHidden/>
    <w:unhideWhenUsed/>
    <w:rsid w:val="006C2AEF"/>
    <w:rPr>
      <w:b/>
      <w:bCs/>
    </w:rPr>
  </w:style>
  <w:style w:type="character" w:customStyle="1" w:styleId="CommentSubjectChar">
    <w:name w:val="Comment Subject Char"/>
    <w:basedOn w:val="CommentTextChar"/>
    <w:link w:val="CommentSubject"/>
    <w:uiPriority w:val="99"/>
    <w:semiHidden/>
    <w:rsid w:val="006C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ani9070395"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doi.org/10.3390/atmos13010140" TargetMode="External"/><Relationship Id="rId17" Type="http://schemas.openxmlformats.org/officeDocument/2006/relationships/hyperlink" Target="https://doi.org/10.1016/j.jtherbio.2021.10300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527/jas.2008-1176" TargetMode="External"/><Relationship Id="rId20" Type="http://schemas.openxmlformats.org/officeDocument/2006/relationships/chart" Target="charts/char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ps/86.2.364" TargetMode="External"/><Relationship Id="rId23" Type="http://schemas.openxmlformats.org/officeDocument/2006/relationships/image" Target="media/image3.png"/><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chart" Target="charts/chart2.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bbrc.2016.10.086"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s%20doc\Corrected%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AppData\Roaming\Microsoft\Excel\Corrected%20parameters%20(version%201).xlsb"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Master's%20doc\Corrected%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a:t>Erythrocytic Malondialdehyde (nmol/mg)</a:t>
            </a:r>
          </a:p>
        </c:rich>
      </c:tx>
      <c:layout>
        <c:manualLayout>
          <c:xMode val="edge"/>
          <c:yMode val="edge"/>
          <c:x val="0.17019268811179281"/>
          <c:y val="4.1225159812415785E-2"/>
        </c:manualLayout>
      </c:layout>
      <c:overlay val="0"/>
      <c:spPr>
        <a:noFill/>
        <a:ln>
          <a:noFill/>
        </a:ln>
        <a:effectLst/>
      </c:spPr>
    </c:title>
    <c:autoTitleDeleted val="0"/>
    <c:plotArea>
      <c:layout/>
      <c:barChart>
        <c:barDir val="col"/>
        <c:grouping val="clustered"/>
        <c:varyColors val="0"/>
        <c:ser>
          <c:idx val="0"/>
          <c:order val="0"/>
          <c:tx>
            <c:strRef>
              <c:f>Sheet4!$A$14</c:f>
              <c:strCache>
                <c:ptCount val="1"/>
                <c:pt idx="0">
                  <c:v>Erythrocytic Malondialdehyde ± nmol/mg</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A6D7-4C8A-A01F-C8D0D022CCA6}"/>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2-A6D7-4C8A-A01F-C8D0D022CCA6}"/>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4-A6D7-4C8A-A01F-C8D0D022CCA6}"/>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6-A6D7-4C8A-A01F-C8D0D022CCA6}"/>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8-A6D7-4C8A-A01F-C8D0D022CCA6}"/>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A-A6D7-4C8A-A01F-C8D0D022CCA6}"/>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C-A6D7-4C8A-A01F-C8D0D022CCA6}"/>
              </c:ext>
            </c:extLst>
          </c:dPt>
          <c:errBars>
            <c:errBarType val="both"/>
            <c:errValType val="cust"/>
            <c:noEndCap val="0"/>
            <c:pl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plus>
            <c:min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Sheet4!$B$14:$M$14</c:f>
              <c:numCache>
                <c:formatCode>General</c:formatCode>
                <c:ptCount val="12"/>
                <c:pt idx="0">
                  <c:v>2.4700000000000002</c:v>
                </c:pt>
                <c:pt idx="1">
                  <c:v>2.5099999999999998</c:v>
                </c:pt>
                <c:pt idx="2">
                  <c:v>2.2400000000000002</c:v>
                </c:pt>
                <c:pt idx="3">
                  <c:v>2.25</c:v>
                </c:pt>
                <c:pt idx="4">
                  <c:v>1.61</c:v>
                </c:pt>
                <c:pt idx="5">
                  <c:v>1.41</c:v>
                </c:pt>
                <c:pt idx="6">
                  <c:v>1.46</c:v>
                </c:pt>
                <c:pt idx="7">
                  <c:v>1.53</c:v>
                </c:pt>
                <c:pt idx="8">
                  <c:v>3.67</c:v>
                </c:pt>
                <c:pt idx="9">
                  <c:v>3.58</c:v>
                </c:pt>
                <c:pt idx="10">
                  <c:v>3.64</c:v>
                </c:pt>
                <c:pt idx="11">
                  <c:v>3.48</c:v>
                </c:pt>
              </c:numCache>
            </c:numRef>
          </c:val>
          <c:extLst>
            <c:ext xmlns:c16="http://schemas.microsoft.com/office/drawing/2014/chart" uri="{C3380CC4-5D6E-409C-BE32-E72D297353CC}">
              <c16:uniqueId val="{0000000D-A6D7-4C8A-A01F-C8D0D022CCA6}"/>
            </c:ext>
          </c:extLst>
        </c:ser>
        <c:dLbls>
          <c:showLegendKey val="0"/>
          <c:showVal val="0"/>
          <c:showCatName val="0"/>
          <c:showSerName val="0"/>
          <c:showPercent val="0"/>
          <c:showBubbleSize val="0"/>
        </c:dLbls>
        <c:gapWidth val="65"/>
        <c:overlap val="-18"/>
        <c:axId val="154427776"/>
        <c:axId val="154429312"/>
      </c:barChart>
      <c:catAx>
        <c:axId val="15442777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9312"/>
        <c:crosses val="autoZero"/>
        <c:auto val="1"/>
        <c:lblAlgn val="ctr"/>
        <c:lblOffset val="100"/>
        <c:noMultiLvlLbl val="0"/>
      </c:catAx>
      <c:valAx>
        <c:axId val="15442931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0" spcFirstLastPara="1" vertOverflow="ellipsis"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7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4321741032370969E-2"/>
          <c:y val="0.13860976392480237"/>
          <c:w val="0.90512270341207346"/>
          <c:h val="0.56753156215799105"/>
        </c:manualLayout>
      </c:layout>
      <c:barChart>
        <c:barDir val="col"/>
        <c:grouping val="clustered"/>
        <c:varyColors val="0"/>
        <c:ser>
          <c:idx val="0"/>
          <c:order val="0"/>
          <c:tx>
            <c:strRef>
              <c:f>Sheet4!$A$20</c:f>
              <c:strCache>
                <c:ptCount val="1"/>
                <c:pt idx="0">
                  <c:v>Whole blood reduced Glutathione (μmol/L)</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3861-43C2-8CDB-12D173A7D21C}"/>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3861-43C2-8CDB-12D173A7D21C}"/>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3861-43C2-8CDB-12D173A7D21C}"/>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3861-43C2-8CDB-12D173A7D21C}"/>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3861-43C2-8CDB-12D173A7D21C}"/>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3861-43C2-8CDB-12D173A7D21C}"/>
              </c:ext>
            </c:extLst>
          </c:dPt>
          <c:errBars>
            <c:errBarType val="both"/>
            <c:errValType val="cust"/>
            <c:noEndCap val="0"/>
            <c:pl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plus>
            <c:min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Sheet4!$B$20:$M$20</c:f>
              <c:numCache>
                <c:formatCode>General</c:formatCode>
                <c:ptCount val="12"/>
                <c:pt idx="0">
                  <c:v>6.5709999999999997</c:v>
                </c:pt>
                <c:pt idx="1">
                  <c:v>6.484</c:v>
                </c:pt>
                <c:pt idx="2">
                  <c:v>6.7770000000000001</c:v>
                </c:pt>
                <c:pt idx="3">
                  <c:v>6.7830000000000004</c:v>
                </c:pt>
                <c:pt idx="4">
                  <c:v>9.3450000000000006</c:v>
                </c:pt>
                <c:pt idx="5">
                  <c:v>9.1820000000000004</c:v>
                </c:pt>
                <c:pt idx="6">
                  <c:v>9.6280000000000001</c:v>
                </c:pt>
                <c:pt idx="7">
                  <c:v>9.4619999999999997</c:v>
                </c:pt>
                <c:pt idx="8">
                  <c:v>5.2649999999999997</c:v>
                </c:pt>
                <c:pt idx="9">
                  <c:v>5.2350000000000003</c:v>
                </c:pt>
                <c:pt idx="10">
                  <c:v>5.585</c:v>
                </c:pt>
                <c:pt idx="11">
                  <c:v>5.601</c:v>
                </c:pt>
              </c:numCache>
            </c:numRef>
          </c:val>
          <c:extLst>
            <c:ext xmlns:c16="http://schemas.microsoft.com/office/drawing/2014/chart" uri="{C3380CC4-5D6E-409C-BE32-E72D297353CC}">
              <c16:uniqueId val="{0000000C-3861-43C2-8CDB-12D173A7D21C}"/>
            </c:ext>
          </c:extLst>
        </c:ser>
        <c:dLbls>
          <c:showLegendKey val="0"/>
          <c:showVal val="0"/>
          <c:showCatName val="0"/>
          <c:showSerName val="0"/>
          <c:showPercent val="0"/>
          <c:showBubbleSize val="0"/>
        </c:dLbls>
        <c:gapWidth val="65"/>
        <c:overlap val="-17"/>
        <c:axId val="66294144"/>
        <c:axId val="66295680"/>
      </c:barChart>
      <c:catAx>
        <c:axId val="66294144"/>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5680"/>
        <c:crosses val="autoZero"/>
        <c:auto val="1"/>
        <c:lblAlgn val="ctr"/>
        <c:lblOffset val="100"/>
        <c:noMultiLvlLbl val="0"/>
      </c:catAx>
      <c:valAx>
        <c:axId val="66295680"/>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t>Glutathione reductase (IU/min)</a:t>
            </a:r>
          </a:p>
        </c:rich>
      </c:tx>
      <c:layout>
        <c:manualLayout>
          <c:xMode val="edge"/>
          <c:yMode val="edge"/>
          <c:x val="0.25139750465203892"/>
          <c:y val="8.2450346388837137E-2"/>
        </c:manualLayout>
      </c:layout>
      <c:overlay val="0"/>
      <c:spPr>
        <a:noFill/>
        <a:ln>
          <a:noFill/>
        </a:ln>
        <a:effectLst/>
      </c:spPr>
    </c:title>
    <c:autoTitleDeleted val="0"/>
    <c:plotArea>
      <c:layout>
        <c:manualLayout>
          <c:layoutTarget val="inner"/>
          <c:xMode val="edge"/>
          <c:yMode val="edge"/>
          <c:x val="6.4321741032370969E-2"/>
          <c:y val="0.16354916067146286"/>
          <c:w val="0.90512270341207346"/>
          <c:h val="0.57177476916104908"/>
        </c:manualLayout>
      </c:layout>
      <c:barChart>
        <c:barDir val="col"/>
        <c:grouping val="clustered"/>
        <c:varyColors val="0"/>
        <c:ser>
          <c:idx val="0"/>
          <c:order val="0"/>
          <c:tx>
            <c:strRef>
              <c:f>Sheet4!$A$19</c:f>
              <c:strCache>
                <c:ptCount val="1"/>
                <c:pt idx="0">
                  <c:v>Glutathione reductase ± IU/min</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C7A9-4082-AE4A-E9FFEB03642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C7A9-4082-AE4A-E9FFEB036422}"/>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C7A9-4082-AE4A-E9FFEB036422}"/>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C7A9-4082-AE4A-E9FFEB036422}"/>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C7A9-4082-AE4A-E9FFEB036422}"/>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C7A9-4082-AE4A-E9FFEB036422}"/>
              </c:ext>
            </c:extLst>
          </c:dPt>
          <c:errBars>
            <c:errBarType val="both"/>
            <c:errValType val="cust"/>
            <c:noEndCap val="0"/>
            <c:pl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plus>
            <c:min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Sheet4!$B$19:$M$19</c:f>
              <c:numCache>
                <c:formatCode>General</c:formatCode>
                <c:ptCount val="12"/>
                <c:pt idx="0">
                  <c:v>7.085</c:v>
                </c:pt>
                <c:pt idx="1">
                  <c:v>6.9</c:v>
                </c:pt>
                <c:pt idx="2">
                  <c:v>7.2590000000000003</c:v>
                </c:pt>
                <c:pt idx="3">
                  <c:v>7.1310000000000002</c:v>
                </c:pt>
                <c:pt idx="4">
                  <c:v>4.9359999999999999</c:v>
                </c:pt>
                <c:pt idx="5">
                  <c:v>4.883</c:v>
                </c:pt>
                <c:pt idx="6">
                  <c:v>5.0019999999999998</c:v>
                </c:pt>
                <c:pt idx="7">
                  <c:v>4.9039999999999999</c:v>
                </c:pt>
                <c:pt idx="8">
                  <c:v>9.6829999999999998</c:v>
                </c:pt>
                <c:pt idx="9">
                  <c:v>9.5670000000000002</c:v>
                </c:pt>
                <c:pt idx="10">
                  <c:v>10.026999999999999</c:v>
                </c:pt>
                <c:pt idx="11">
                  <c:v>9.75</c:v>
                </c:pt>
              </c:numCache>
            </c:numRef>
          </c:val>
          <c:extLst>
            <c:ext xmlns:c16="http://schemas.microsoft.com/office/drawing/2014/chart" uri="{C3380CC4-5D6E-409C-BE32-E72D297353CC}">
              <c16:uniqueId val="{0000000C-C7A9-4082-AE4A-E9FFEB036422}"/>
            </c:ext>
          </c:extLst>
        </c:ser>
        <c:dLbls>
          <c:showLegendKey val="0"/>
          <c:showVal val="0"/>
          <c:showCatName val="0"/>
          <c:showSerName val="0"/>
          <c:showPercent val="0"/>
          <c:showBubbleSize val="0"/>
        </c:dLbls>
        <c:gapWidth val="65"/>
        <c:overlap val="-17"/>
        <c:axId val="66199936"/>
        <c:axId val="66201472"/>
      </c:barChart>
      <c:catAx>
        <c:axId val="6619993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01472"/>
        <c:crosses val="autoZero"/>
        <c:auto val="1"/>
        <c:lblAlgn val="ctr"/>
        <c:lblOffset val="100"/>
        <c:noMultiLvlLbl val="0"/>
      </c:catAx>
      <c:valAx>
        <c:axId val="6620147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99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0.07917</cdr:x>
      <cdr:y>0.14029</cdr:y>
    </cdr:from>
    <cdr:to>
      <cdr:x>0.94861</cdr:x>
      <cdr:y>0.53477</cdr:y>
    </cdr:to>
    <cdr:grpSp>
      <cdr:nvGrpSpPr>
        <cdr:cNvPr id="12" name="Group 11">
          <a:extLst xmlns:a="http://schemas.openxmlformats.org/drawingml/2006/main">
            <a:ext uri="{FF2B5EF4-FFF2-40B4-BE49-F238E27FC236}">
              <a16:creationId xmlns:a16="http://schemas.microsoft.com/office/drawing/2014/main" id="{0CC6D317-22DF-8D0F-5DEE-3599104C2532}"/>
            </a:ext>
          </a:extLst>
        </cdr:cNvPr>
        <cdr:cNvGrpSpPr/>
      </cdr:nvGrpSpPr>
      <cdr:grpSpPr>
        <a:xfrm xmlns:a="http://schemas.openxmlformats.org/drawingml/2006/main">
          <a:off x="418226" y="432183"/>
          <a:ext cx="4592930" cy="1215252"/>
          <a:chOff x="361965" y="371481"/>
          <a:chExt cx="3975080" cy="1044563"/>
        </a:xfrm>
      </cdr:grpSpPr>
      <cdr:sp macro="" textlink="">
        <cdr:nvSpPr>
          <cdr:cNvPr id="2" name="TextBox 1">
            <a:extLst xmlns:a="http://schemas.openxmlformats.org/drawingml/2006/main">
              <a:ext uri="{FF2B5EF4-FFF2-40B4-BE49-F238E27FC236}">
                <a16:creationId xmlns:a16="http://schemas.microsoft.com/office/drawing/2014/main" id="{E5DB3766-234B-3F10-7E47-84D83C23156A}"/>
              </a:ext>
            </a:extLst>
          </cdr:cNvPr>
          <cdr:cNvSpPr txBox="1"/>
        </cdr:nvSpPr>
        <cdr:spPr>
          <a:xfrm xmlns:a="http://schemas.openxmlformats.org/drawingml/2006/main">
            <a:off x="3108320" y="371481"/>
            <a:ext cx="196870" cy="2032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3"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790965" y="412762"/>
            <a:ext cx="196825" cy="2031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4"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448065" y="400052"/>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5"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4140220" y="406407"/>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6"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61965" y="736607"/>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7"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047765" y="768356"/>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8"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711220" y="742962"/>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9"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397020" y="749290"/>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10"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733565" y="1073161"/>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1"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2076465" y="1212841"/>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4"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768620" y="1098555"/>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sp macro="" textlink="">
        <cdr:nvSpPr>
          <cdr:cNvPr id="15"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419365" y="1168408"/>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0.38443</cdr:x>
      <cdr:y>0.15813</cdr:y>
    </cdr:from>
    <cdr:to>
      <cdr:x>0.42749</cdr:x>
      <cdr:y>0.2322</cdr:y>
    </cdr:to>
    <cdr:sp macro="" textlink="">
      <cdr:nvSpPr>
        <cdr:cNvPr id="2" name="TextBox 1">
          <a:extLst xmlns:a="http://schemas.openxmlformats.org/drawingml/2006/main">
            <a:ext uri="{FF2B5EF4-FFF2-40B4-BE49-F238E27FC236}">
              <a16:creationId xmlns:a16="http://schemas.microsoft.com/office/drawing/2014/main" id="{FA4784B8-1A70-829C-3547-AFDB9B633606}"/>
            </a:ext>
          </a:extLst>
        </cdr:cNvPr>
        <cdr:cNvSpPr txBox="1"/>
      </cdr:nvSpPr>
      <cdr:spPr>
        <a:xfrm xmlns:a="http://schemas.openxmlformats.org/drawingml/2006/main">
          <a:off x="2560998" y="42031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0.53652</cdr:x>
      <cdr:y>0.15002</cdr:y>
    </cdr:from>
    <cdr:to>
      <cdr:x>0.57957</cdr:x>
      <cdr:y>0.2241</cdr:y>
    </cdr:to>
    <cdr:sp macro="" textlink="">
      <cdr:nvSpPr>
        <cdr:cNvPr id="3" name="TextBox 1">
          <a:extLst xmlns:a="http://schemas.openxmlformats.org/drawingml/2006/main">
            <a:ext uri="{FF2B5EF4-FFF2-40B4-BE49-F238E27FC236}">
              <a16:creationId xmlns:a16="http://schemas.microsoft.com/office/drawing/2014/main" id="{281798E4-FA18-95B1-494F-8559C92A5300}"/>
            </a:ext>
          </a:extLst>
        </cdr:cNvPr>
        <cdr:cNvSpPr txBox="1"/>
      </cdr:nvSpPr>
      <cdr:spPr>
        <a:xfrm xmlns:a="http://schemas.openxmlformats.org/drawingml/2006/main">
          <a:off x="3574193" y="398762"/>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0.45735</cdr:x>
      <cdr:y>0.16623</cdr:y>
    </cdr:from>
    <cdr:to>
      <cdr:x>0.50041</cdr:x>
      <cdr:y>0.2403</cdr:y>
    </cdr:to>
    <cdr:sp macro="" textlink="">
      <cdr:nvSpPr>
        <cdr:cNvPr id="4" name="TextBox 1">
          <a:extLst xmlns:a="http://schemas.openxmlformats.org/drawingml/2006/main">
            <a:ext uri="{FF2B5EF4-FFF2-40B4-BE49-F238E27FC236}">
              <a16:creationId xmlns:a16="http://schemas.microsoft.com/office/drawing/2014/main" id="{165055A1-A8B1-75FB-474F-32A00F2CC706}"/>
            </a:ext>
          </a:extLst>
        </cdr:cNvPr>
        <cdr:cNvSpPr txBox="1"/>
      </cdr:nvSpPr>
      <cdr:spPr>
        <a:xfrm xmlns:a="http://schemas.openxmlformats.org/drawingml/2006/main">
          <a:off x="3046777" y="44184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0.61013</cdr:x>
      <cdr:y>0.1616</cdr:y>
    </cdr:from>
    <cdr:to>
      <cdr:x>0.65318</cdr:x>
      <cdr:y>0.23567</cdr:y>
    </cdr:to>
    <cdr:sp macro="" textlink="">
      <cdr:nvSpPr>
        <cdr:cNvPr id="5" name="TextBox 1">
          <a:extLst xmlns:a="http://schemas.openxmlformats.org/drawingml/2006/main">
            <a:ext uri="{FF2B5EF4-FFF2-40B4-BE49-F238E27FC236}">
              <a16:creationId xmlns:a16="http://schemas.microsoft.com/office/drawing/2014/main" id="{0B1B36B9-9CDC-CD16-B53E-49F785B730B8}"/>
            </a:ext>
          </a:extLst>
        </cdr:cNvPr>
        <cdr:cNvSpPr txBox="1"/>
      </cdr:nvSpPr>
      <cdr:spPr>
        <a:xfrm xmlns:a="http://schemas.openxmlformats.org/drawingml/2006/main">
          <a:off x="4064569" y="429542"/>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0.08271</cdr:x>
      <cdr:y>0.28968</cdr:y>
    </cdr:from>
    <cdr:to>
      <cdr:x>0.12577</cdr:x>
      <cdr:y>0.36376</cdr:y>
    </cdr:to>
    <cdr:sp macro="" textlink="">
      <cdr:nvSpPr>
        <cdr:cNvPr id="6" name="TextBox 1">
          <a:extLst xmlns:a="http://schemas.openxmlformats.org/drawingml/2006/main">
            <a:ext uri="{FF2B5EF4-FFF2-40B4-BE49-F238E27FC236}">
              <a16:creationId xmlns:a16="http://schemas.microsoft.com/office/drawing/2014/main" id="{789FBF4F-1767-B19D-24C4-D8EF151704F4}"/>
            </a:ext>
          </a:extLst>
        </cdr:cNvPr>
        <cdr:cNvSpPr txBox="1"/>
      </cdr:nvSpPr>
      <cdr:spPr>
        <a:xfrm xmlns:a="http://schemas.openxmlformats.org/drawingml/2006/main">
          <a:off x="551006" y="769965"/>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0.2341</cdr:x>
      <cdr:y>0.292</cdr:y>
    </cdr:from>
    <cdr:to>
      <cdr:x>0.27715</cdr:x>
      <cdr:y>0.36607</cdr:y>
    </cdr:to>
    <cdr:sp macro="" textlink="">
      <cdr:nvSpPr>
        <cdr:cNvPr id="7" name="TextBox 1">
          <a:extLst xmlns:a="http://schemas.openxmlformats.org/drawingml/2006/main">
            <a:ext uri="{FF2B5EF4-FFF2-40B4-BE49-F238E27FC236}">
              <a16:creationId xmlns:a16="http://schemas.microsoft.com/office/drawing/2014/main" id="{BA672B56-3044-921D-04C1-18A12C3F4CC1}"/>
            </a:ext>
          </a:extLst>
        </cdr:cNvPr>
        <cdr:cNvSpPr txBox="1"/>
      </cdr:nvSpPr>
      <cdr:spPr>
        <a:xfrm xmlns:a="http://schemas.openxmlformats.org/drawingml/2006/main">
          <a:off x="1559538" y="776131"/>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0.15771</cdr:x>
      <cdr:y>0.29663</cdr:y>
    </cdr:from>
    <cdr:to>
      <cdr:x>0.20077</cdr:x>
      <cdr:y>0.3707</cdr:y>
    </cdr:to>
    <cdr:sp macro="" textlink="">
      <cdr:nvSpPr>
        <cdr:cNvPr id="8" name="TextBox 1">
          <a:extLst xmlns:a="http://schemas.openxmlformats.org/drawingml/2006/main">
            <a:ext uri="{FF2B5EF4-FFF2-40B4-BE49-F238E27FC236}">
              <a16:creationId xmlns:a16="http://schemas.microsoft.com/office/drawing/2014/main" id="{25E80646-DD98-250E-45D8-4772DA8F2AE4}"/>
            </a:ext>
          </a:extLst>
        </cdr:cNvPr>
        <cdr:cNvSpPr txBox="1"/>
      </cdr:nvSpPr>
      <cdr:spPr>
        <a:xfrm xmlns:a="http://schemas.openxmlformats.org/drawingml/2006/main">
          <a:off x="1050642" y="788438"/>
          <a:ext cx="286858"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0.3091</cdr:x>
      <cdr:y>0.28968</cdr:y>
    </cdr:from>
    <cdr:to>
      <cdr:x>0.35215</cdr:x>
      <cdr:y>0.36376</cdr:y>
    </cdr:to>
    <cdr:sp macro="" textlink="">
      <cdr:nvSpPr>
        <cdr:cNvPr id="9" name="TextBox 1">
          <a:extLst xmlns:a="http://schemas.openxmlformats.org/drawingml/2006/main">
            <a:ext uri="{FF2B5EF4-FFF2-40B4-BE49-F238E27FC236}">
              <a16:creationId xmlns:a16="http://schemas.microsoft.com/office/drawing/2014/main" id="{E5DE2771-9631-3C10-C0AA-D4C99712D6D3}"/>
            </a:ext>
          </a:extLst>
        </cdr:cNvPr>
        <cdr:cNvSpPr txBox="1"/>
      </cdr:nvSpPr>
      <cdr:spPr>
        <a:xfrm xmlns:a="http://schemas.openxmlformats.org/drawingml/2006/main">
          <a:off x="2059174" y="769965"/>
          <a:ext cx="286791"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0.68657</cdr:x>
      <cdr:y>0.34755</cdr:y>
    </cdr:from>
    <cdr:to>
      <cdr:x>0.72963</cdr:x>
      <cdr:y>0.42163</cdr:y>
    </cdr:to>
    <cdr:sp macro="" textlink="">
      <cdr:nvSpPr>
        <cdr:cNvPr id="10" name="TextBox 1">
          <a:extLst xmlns:a="http://schemas.openxmlformats.org/drawingml/2006/main">
            <a:ext uri="{FF2B5EF4-FFF2-40B4-BE49-F238E27FC236}">
              <a16:creationId xmlns:a16="http://schemas.microsoft.com/office/drawing/2014/main" id="{8ADE2002-EFB6-F71E-24AB-A8FB9CAE6FB6}"/>
            </a:ext>
          </a:extLst>
        </cdr:cNvPr>
        <cdr:cNvSpPr txBox="1"/>
      </cdr:nvSpPr>
      <cdr:spPr>
        <a:xfrm xmlns:a="http://schemas.openxmlformats.org/drawingml/2006/main">
          <a:off x="4573780" y="923784"/>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0.76019</cdr:x>
      <cdr:y>0.35218</cdr:y>
    </cdr:from>
    <cdr:to>
      <cdr:x>0.80324</cdr:x>
      <cdr:y>0.42626</cdr:y>
    </cdr:to>
    <cdr:sp macro="" textlink="">
      <cdr:nvSpPr>
        <cdr:cNvPr id="11" name="TextBox 1">
          <a:extLst xmlns:a="http://schemas.openxmlformats.org/drawingml/2006/main">
            <a:ext uri="{FF2B5EF4-FFF2-40B4-BE49-F238E27FC236}">
              <a16:creationId xmlns:a16="http://schemas.microsoft.com/office/drawing/2014/main" id="{B2F790F1-7586-6667-D508-93B1E65D59F2}"/>
            </a:ext>
          </a:extLst>
        </cdr:cNvPr>
        <cdr:cNvSpPr txBox="1"/>
      </cdr:nvSpPr>
      <cdr:spPr>
        <a:xfrm xmlns:a="http://schemas.openxmlformats.org/drawingml/2006/main">
          <a:off x="5064223" y="936090"/>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0.91653</cdr:x>
      <cdr:y>0.33442</cdr:y>
    </cdr:from>
    <cdr:to>
      <cdr:x>0.95958</cdr:x>
      <cdr:y>0.4085</cdr:y>
    </cdr:to>
    <cdr:sp macro="" textlink="">
      <cdr:nvSpPr>
        <cdr:cNvPr id="12" name="TextBox 1">
          <a:extLst xmlns:a="http://schemas.openxmlformats.org/drawingml/2006/main">
            <a:ext uri="{FF2B5EF4-FFF2-40B4-BE49-F238E27FC236}">
              <a16:creationId xmlns:a16="http://schemas.microsoft.com/office/drawing/2014/main" id="{718B77FB-B8B3-7FD7-6BF6-E40D4DA341CB}"/>
            </a:ext>
          </a:extLst>
        </cdr:cNvPr>
        <cdr:cNvSpPr txBox="1"/>
      </cdr:nvSpPr>
      <cdr:spPr>
        <a:xfrm xmlns:a="http://schemas.openxmlformats.org/drawingml/2006/main">
          <a:off x="6105744" y="888897"/>
          <a:ext cx="286792"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0.8338</cdr:x>
      <cdr:y>0.34061</cdr:y>
    </cdr:from>
    <cdr:to>
      <cdr:x>0.87685</cdr:x>
      <cdr:y>0.41468</cdr:y>
    </cdr:to>
    <cdr:sp macro="" textlink="">
      <cdr:nvSpPr>
        <cdr:cNvPr id="13" name="TextBox 1">
          <a:extLst xmlns:a="http://schemas.openxmlformats.org/drawingml/2006/main">
            <a:ext uri="{FF2B5EF4-FFF2-40B4-BE49-F238E27FC236}">
              <a16:creationId xmlns:a16="http://schemas.microsoft.com/office/drawing/2014/main" id="{27B639DE-CFDC-122B-CF94-930F449C0FE1}"/>
            </a:ext>
          </a:extLst>
        </cdr:cNvPr>
        <cdr:cNvSpPr txBox="1"/>
      </cdr:nvSpPr>
      <cdr:spPr>
        <a:xfrm xmlns:a="http://schemas.openxmlformats.org/drawingml/2006/main">
          <a:off x="5554599" y="905337"/>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0.67708</cdr:x>
      <cdr:y>0.15588</cdr:y>
    </cdr:from>
    <cdr:to>
      <cdr:x>0.72014</cdr:x>
      <cdr:y>0.23261</cdr:y>
    </cdr:to>
    <cdr:sp macro="" textlink="">
      <cdr:nvSpPr>
        <cdr:cNvPr id="2" name="TextBox 1">
          <a:extLst xmlns:a="http://schemas.openxmlformats.org/drawingml/2006/main">
            <a:ext uri="{FF2B5EF4-FFF2-40B4-BE49-F238E27FC236}">
              <a16:creationId xmlns:a16="http://schemas.microsoft.com/office/drawing/2014/main" id="{E2920882-492B-8527-2A60-AB2AED93FD75}"/>
            </a:ext>
          </a:extLst>
        </cdr:cNvPr>
        <cdr:cNvSpPr txBox="1"/>
      </cdr:nvSpPr>
      <cdr:spPr>
        <a:xfrm xmlns:a="http://schemas.openxmlformats.org/drawingml/2006/main">
          <a:off x="3095625" y="412750"/>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0.82639</cdr:x>
      <cdr:y>0.14748</cdr:y>
    </cdr:from>
    <cdr:to>
      <cdr:x>0.86944</cdr:x>
      <cdr:y>0.22422</cdr:y>
    </cdr:to>
    <cdr:sp macro="" textlink="">
      <cdr:nvSpPr>
        <cdr:cNvPr id="3" name="TextBox 1">
          <a:extLst xmlns:a="http://schemas.openxmlformats.org/drawingml/2006/main">
            <a:ext uri="{FF2B5EF4-FFF2-40B4-BE49-F238E27FC236}">
              <a16:creationId xmlns:a16="http://schemas.microsoft.com/office/drawing/2014/main" id="{7684324A-0864-D7D7-CD5A-7435E94C0FA4}"/>
            </a:ext>
          </a:extLst>
        </cdr:cNvPr>
        <cdr:cNvSpPr txBox="1"/>
      </cdr:nvSpPr>
      <cdr:spPr>
        <a:xfrm xmlns:a="http://schemas.openxmlformats.org/drawingml/2006/main">
          <a:off x="3778250" y="3905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0.75139</cdr:x>
      <cdr:y>0.16667</cdr:y>
    </cdr:from>
    <cdr:to>
      <cdr:x>0.79444</cdr:x>
      <cdr:y>0.24341</cdr:y>
    </cdr:to>
    <cdr:sp macro="" textlink="">
      <cdr:nvSpPr>
        <cdr:cNvPr id="4" name="TextBox 1">
          <a:extLst xmlns:a="http://schemas.openxmlformats.org/drawingml/2006/main">
            <a:ext uri="{FF2B5EF4-FFF2-40B4-BE49-F238E27FC236}">
              <a16:creationId xmlns:a16="http://schemas.microsoft.com/office/drawing/2014/main" id="{79DF7BC3-0F6F-42EC-5E99-82934857A7EE}"/>
            </a:ext>
          </a:extLst>
        </cdr:cNvPr>
        <cdr:cNvSpPr txBox="1"/>
      </cdr:nvSpPr>
      <cdr:spPr>
        <a:xfrm xmlns:a="http://schemas.openxmlformats.org/drawingml/2006/main">
          <a:off x="3435350" y="4413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0.90278</cdr:x>
      <cdr:y>0.16906</cdr:y>
    </cdr:from>
    <cdr:to>
      <cdr:x>0.94583</cdr:x>
      <cdr:y>0.2458</cdr:y>
    </cdr:to>
    <cdr:sp macro="" textlink="">
      <cdr:nvSpPr>
        <cdr:cNvPr id="5" name="TextBox 1">
          <a:extLst xmlns:a="http://schemas.openxmlformats.org/drawingml/2006/main">
            <a:ext uri="{FF2B5EF4-FFF2-40B4-BE49-F238E27FC236}">
              <a16:creationId xmlns:a16="http://schemas.microsoft.com/office/drawing/2014/main" id="{CF96E29A-E90A-54D1-62C1-7CE8AF321A10}"/>
            </a:ext>
          </a:extLst>
        </cdr:cNvPr>
        <cdr:cNvSpPr txBox="1"/>
      </cdr:nvSpPr>
      <cdr:spPr>
        <a:xfrm xmlns:a="http://schemas.openxmlformats.org/drawingml/2006/main">
          <a:off x="4127500" y="4476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0.07222</cdr:x>
      <cdr:y>0.28177</cdr:y>
    </cdr:from>
    <cdr:to>
      <cdr:x>0.11528</cdr:x>
      <cdr:y>0.35851</cdr:y>
    </cdr:to>
    <cdr:sp macro="" textlink="">
      <cdr:nvSpPr>
        <cdr:cNvPr id="6" name="TextBox 1">
          <a:extLst xmlns:a="http://schemas.openxmlformats.org/drawingml/2006/main">
            <a:ext uri="{FF2B5EF4-FFF2-40B4-BE49-F238E27FC236}">
              <a16:creationId xmlns:a16="http://schemas.microsoft.com/office/drawing/2014/main" id="{E8AC5D3E-3452-599F-481D-B35CFF0EF8DD}"/>
            </a:ext>
          </a:extLst>
        </cdr:cNvPr>
        <cdr:cNvSpPr txBox="1"/>
      </cdr:nvSpPr>
      <cdr:spPr>
        <a:xfrm xmlns:a="http://schemas.openxmlformats.org/drawingml/2006/main">
          <a:off x="330200" y="7461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0.22083</cdr:x>
      <cdr:y>0.27938</cdr:y>
    </cdr:from>
    <cdr:to>
      <cdr:x>0.26389</cdr:x>
      <cdr:y>0.35612</cdr:y>
    </cdr:to>
    <cdr:sp macro="" textlink="">
      <cdr:nvSpPr>
        <cdr:cNvPr id="7" name="TextBox 1">
          <a:extLst xmlns:a="http://schemas.openxmlformats.org/drawingml/2006/main">
            <a:ext uri="{FF2B5EF4-FFF2-40B4-BE49-F238E27FC236}">
              <a16:creationId xmlns:a16="http://schemas.microsoft.com/office/drawing/2014/main" id="{3D159F3C-47A1-715A-13E1-327B77172A14}"/>
            </a:ext>
          </a:extLst>
        </cdr:cNvPr>
        <cdr:cNvSpPr txBox="1"/>
      </cdr:nvSpPr>
      <cdr:spPr>
        <a:xfrm xmlns:a="http://schemas.openxmlformats.org/drawingml/2006/main">
          <a:off x="1009650" y="739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cdr:x>
      <cdr:y>0.27698</cdr:y>
    </cdr:from>
    <cdr:to>
      <cdr:x>0.19306</cdr:x>
      <cdr:y>0.35372</cdr:y>
    </cdr:to>
    <cdr:sp macro="" textlink="">
      <cdr:nvSpPr>
        <cdr:cNvPr id="8" name="TextBox 1">
          <a:extLst xmlns:a="http://schemas.openxmlformats.org/drawingml/2006/main">
            <a:ext uri="{FF2B5EF4-FFF2-40B4-BE49-F238E27FC236}">
              <a16:creationId xmlns:a16="http://schemas.microsoft.com/office/drawing/2014/main" id="{6B6DF9AB-6A7C-7C8F-D7CE-5B0D6CF14C4B}"/>
            </a:ext>
          </a:extLst>
        </cdr:cNvPr>
        <cdr:cNvSpPr txBox="1"/>
      </cdr:nvSpPr>
      <cdr:spPr>
        <a:xfrm xmlns:a="http://schemas.openxmlformats.org/drawingml/2006/main">
          <a:off x="685800" y="733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cdr:x>
      <cdr:y>0.27458</cdr:y>
    </cdr:from>
    <cdr:to>
      <cdr:x>0.34306</cdr:x>
      <cdr:y>0.35132</cdr:y>
    </cdr:to>
    <cdr:sp macro="" textlink="">
      <cdr:nvSpPr>
        <cdr:cNvPr id="9" name="TextBox 1">
          <a:extLst xmlns:a="http://schemas.openxmlformats.org/drawingml/2006/main">
            <a:ext uri="{FF2B5EF4-FFF2-40B4-BE49-F238E27FC236}">
              <a16:creationId xmlns:a16="http://schemas.microsoft.com/office/drawing/2014/main" id="{600C52A7-82DE-68DE-518B-7AB6633642B2}"/>
            </a:ext>
          </a:extLst>
        </cdr:cNvPr>
        <cdr:cNvSpPr txBox="1"/>
      </cdr:nvSpPr>
      <cdr:spPr>
        <a:xfrm xmlns:a="http://schemas.openxmlformats.org/drawingml/2006/main">
          <a:off x="1371600" y="7270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0.37361</cdr:x>
      <cdr:y>0.3753</cdr:y>
    </cdr:from>
    <cdr:to>
      <cdr:x>0.41667</cdr:x>
      <cdr:y>0.45204</cdr:y>
    </cdr:to>
    <cdr:sp macro="" textlink="">
      <cdr:nvSpPr>
        <cdr:cNvPr id="10" name="TextBox 1">
          <a:extLst xmlns:a="http://schemas.openxmlformats.org/drawingml/2006/main">
            <a:ext uri="{FF2B5EF4-FFF2-40B4-BE49-F238E27FC236}">
              <a16:creationId xmlns:a16="http://schemas.microsoft.com/office/drawing/2014/main" id="{3BBF94F5-AD86-AA70-7D18-27F94BFF71C7}"/>
            </a:ext>
          </a:extLst>
        </cdr:cNvPr>
        <cdr:cNvSpPr txBox="1"/>
      </cdr:nvSpPr>
      <cdr:spPr>
        <a:xfrm xmlns:a="http://schemas.openxmlformats.org/drawingml/2006/main">
          <a:off x="17081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0.45417</cdr:x>
      <cdr:y>0.3753</cdr:y>
    </cdr:from>
    <cdr:to>
      <cdr:x>0.49722</cdr:x>
      <cdr:y>0.45204</cdr:y>
    </cdr:to>
    <cdr:sp macro="" textlink="">
      <cdr:nvSpPr>
        <cdr:cNvPr id="11" name="TextBox 1">
          <a:extLst xmlns:a="http://schemas.openxmlformats.org/drawingml/2006/main">
            <a:ext uri="{FF2B5EF4-FFF2-40B4-BE49-F238E27FC236}">
              <a16:creationId xmlns:a16="http://schemas.microsoft.com/office/drawing/2014/main" id="{5DF889A2-9AC7-8673-8C68-06084073254D}"/>
            </a:ext>
          </a:extLst>
        </cdr:cNvPr>
        <cdr:cNvSpPr txBox="1"/>
      </cdr:nvSpPr>
      <cdr:spPr>
        <a:xfrm xmlns:a="http://schemas.openxmlformats.org/drawingml/2006/main">
          <a:off x="20764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0.60278</cdr:x>
      <cdr:y>0.3753</cdr:y>
    </cdr:from>
    <cdr:to>
      <cdr:x>0.64583</cdr:x>
      <cdr:y>0.45204</cdr:y>
    </cdr:to>
    <cdr:sp macro="" textlink="">
      <cdr:nvSpPr>
        <cdr:cNvPr id="12" name="TextBox 1">
          <a:extLst xmlns:a="http://schemas.openxmlformats.org/drawingml/2006/main">
            <a:ext uri="{FF2B5EF4-FFF2-40B4-BE49-F238E27FC236}">
              <a16:creationId xmlns:a16="http://schemas.microsoft.com/office/drawing/2014/main" id="{B28C3062-C6F3-27EE-3EF6-97B84222C71F}"/>
            </a:ext>
          </a:extLst>
        </cdr:cNvPr>
        <cdr:cNvSpPr txBox="1"/>
      </cdr:nvSpPr>
      <cdr:spPr>
        <a:xfrm xmlns:a="http://schemas.openxmlformats.org/drawingml/2006/main">
          <a:off x="275590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0.525</cdr:x>
      <cdr:y>0.3729</cdr:y>
    </cdr:from>
    <cdr:to>
      <cdr:x>0.56806</cdr:x>
      <cdr:y>0.44964</cdr:y>
    </cdr:to>
    <cdr:sp macro="" textlink="">
      <cdr:nvSpPr>
        <cdr:cNvPr id="13" name="TextBox 1">
          <a:extLst xmlns:a="http://schemas.openxmlformats.org/drawingml/2006/main">
            <a:ext uri="{FF2B5EF4-FFF2-40B4-BE49-F238E27FC236}">
              <a16:creationId xmlns:a16="http://schemas.microsoft.com/office/drawing/2014/main" id="{2878DC7F-D337-A9A8-6DD1-DDD5D41520FB}"/>
            </a:ext>
          </a:extLst>
        </cdr:cNvPr>
        <cdr:cNvSpPr txBox="1"/>
      </cdr:nvSpPr>
      <cdr:spPr>
        <a:xfrm xmlns:a="http://schemas.openxmlformats.org/drawingml/2006/main">
          <a:off x="2400300" y="987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9BCD3CA-0E4A-4899-ABA3-063A5BA7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16</Pages>
  <Words>4699</Words>
  <Characters>27213</Characters>
  <Application>Microsoft Office Word</Application>
  <DocSecurity>0</DocSecurity>
  <Lines>418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Lalhmangaihzuali Ralte</dc:creator>
  <cp:keywords/>
  <dc:description/>
  <cp:lastModifiedBy>R AG</cp:lastModifiedBy>
  <cp:revision>26</cp:revision>
  <dcterms:created xsi:type="dcterms:W3CDTF">2025-11-15T05:45:00Z</dcterms:created>
  <dcterms:modified xsi:type="dcterms:W3CDTF">2025-11-22T13:34:00Z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cc2447c4-ab62-48d2-92d8-f59e1a48e2db</vt:lpwstr>
  </property>
</Properties>
</file>