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F3FC" w14:textId="77777777" w:rsidR="00430349" w:rsidRDefault="00430349" w:rsidP="001E5B1A">
      <w:pPr>
        <w:spacing w:before="240" w:line="240" w:lineRule="auto"/>
        <w:jc w:val="both"/>
        <w:rPr>
          <w:rFonts w:ascii="Arial" w:hAnsi="Arial" w:cs="Arial"/>
          <w:b/>
          <w:sz w:val="24"/>
          <w:szCs w:val="24"/>
        </w:rPr>
      </w:pPr>
      <w:r w:rsidRPr="00430349">
        <w:rPr>
          <w:rFonts w:ascii="Arial" w:hAnsi="Arial" w:cs="Arial"/>
          <w:b/>
          <w:sz w:val="24"/>
          <w:szCs w:val="24"/>
        </w:rPr>
        <w:t>Original Research Article</w:t>
      </w:r>
    </w:p>
    <w:p w14:paraId="1EA52990" w14:textId="77777777" w:rsidR="00430349" w:rsidRDefault="00430349" w:rsidP="001E5B1A">
      <w:pPr>
        <w:spacing w:before="240" w:line="240" w:lineRule="auto"/>
        <w:jc w:val="both"/>
        <w:rPr>
          <w:rFonts w:ascii="Arial" w:hAnsi="Arial" w:cs="Arial"/>
          <w:b/>
          <w:sz w:val="24"/>
          <w:szCs w:val="24"/>
        </w:rPr>
      </w:pPr>
    </w:p>
    <w:p w14:paraId="066508A1" w14:textId="7ACCD21A" w:rsidR="001E5B1A" w:rsidRPr="00BB57AC" w:rsidRDefault="001E5B1A" w:rsidP="001E5B1A">
      <w:pPr>
        <w:spacing w:before="240" w:line="240" w:lineRule="auto"/>
        <w:jc w:val="both"/>
        <w:rPr>
          <w:rFonts w:ascii="Arial" w:hAnsi="Arial" w:cs="Arial"/>
          <w:b/>
          <w:sz w:val="24"/>
          <w:szCs w:val="24"/>
        </w:rPr>
      </w:pPr>
      <w:r w:rsidRPr="00BB57AC">
        <w:rPr>
          <w:rFonts w:ascii="Arial" w:hAnsi="Arial" w:cs="Arial"/>
          <w:b/>
          <w:sz w:val="24"/>
          <w:szCs w:val="24"/>
        </w:rPr>
        <w:t xml:space="preserve">Assessment of Pesticide Residue Levels in some food crops from markets and farms in </w:t>
      </w:r>
      <w:proofErr w:type="spellStart"/>
      <w:r w:rsidRPr="00BB57AC">
        <w:rPr>
          <w:rFonts w:ascii="Arial" w:hAnsi="Arial" w:cs="Arial"/>
          <w:b/>
          <w:sz w:val="24"/>
          <w:szCs w:val="24"/>
        </w:rPr>
        <w:t>Uyo</w:t>
      </w:r>
      <w:proofErr w:type="spellEnd"/>
      <w:r w:rsidRPr="00BB57AC">
        <w:rPr>
          <w:rFonts w:ascii="Arial" w:hAnsi="Arial" w:cs="Arial"/>
          <w:b/>
          <w:sz w:val="24"/>
          <w:szCs w:val="24"/>
        </w:rPr>
        <w:t xml:space="preserve">, </w:t>
      </w:r>
      <w:proofErr w:type="spellStart"/>
      <w:r w:rsidRPr="00BB57AC">
        <w:rPr>
          <w:rFonts w:ascii="Arial" w:hAnsi="Arial" w:cs="Arial"/>
          <w:b/>
          <w:sz w:val="24"/>
          <w:szCs w:val="24"/>
        </w:rPr>
        <w:t>Akwa</w:t>
      </w:r>
      <w:proofErr w:type="spellEnd"/>
      <w:r w:rsidRPr="00BB57AC">
        <w:rPr>
          <w:rFonts w:ascii="Arial" w:hAnsi="Arial" w:cs="Arial"/>
          <w:b/>
          <w:sz w:val="24"/>
          <w:szCs w:val="24"/>
        </w:rPr>
        <w:t xml:space="preserve"> Ibom State, Nigeria </w:t>
      </w:r>
    </w:p>
    <w:p w14:paraId="35D02DC9" w14:textId="1B496249" w:rsidR="00430349" w:rsidRDefault="00430349" w:rsidP="001E5B1A">
      <w:pPr>
        <w:spacing w:before="240" w:line="240" w:lineRule="auto"/>
        <w:jc w:val="both"/>
        <w:rPr>
          <w:rFonts w:ascii="Arial" w:hAnsi="Arial" w:cs="Arial"/>
          <w:sz w:val="24"/>
          <w:szCs w:val="24"/>
          <w:lang w:val="pt-BR"/>
        </w:rPr>
      </w:pPr>
    </w:p>
    <w:p w14:paraId="694C426A" w14:textId="77777777" w:rsidR="00214B2F" w:rsidRPr="0076661D" w:rsidRDefault="00214B2F" w:rsidP="001E5B1A">
      <w:pPr>
        <w:spacing w:before="240" w:line="240" w:lineRule="auto"/>
        <w:jc w:val="both"/>
        <w:rPr>
          <w:rFonts w:ascii="Arial" w:hAnsi="Arial" w:cs="Arial"/>
          <w:sz w:val="24"/>
          <w:szCs w:val="24"/>
          <w:lang w:val="pt-BR"/>
        </w:rPr>
      </w:pPr>
    </w:p>
    <w:p w14:paraId="7F0B48BC" w14:textId="77777777" w:rsidR="00AA03F6" w:rsidRDefault="00813DD2" w:rsidP="00852FBA">
      <w:pPr>
        <w:rPr>
          <w:rFonts w:ascii="Arial" w:hAnsi="Arial" w:cs="Arial"/>
          <w:b/>
        </w:rPr>
      </w:pPr>
      <w:r w:rsidRPr="00BB57AC">
        <w:rPr>
          <w:rFonts w:ascii="Arial" w:hAnsi="Arial" w:cs="Arial"/>
          <w:b/>
        </w:rPr>
        <w:t xml:space="preserve">ABSTRACT </w:t>
      </w:r>
    </w:p>
    <w:tbl>
      <w:tblPr>
        <w:tblStyle w:val="TableGrid"/>
        <w:tblW w:w="0" w:type="auto"/>
        <w:tblLook w:val="04A0" w:firstRow="1" w:lastRow="0" w:firstColumn="1" w:lastColumn="0" w:noHBand="0" w:noVBand="1"/>
      </w:tblPr>
      <w:tblGrid>
        <w:gridCol w:w="9243"/>
      </w:tblGrid>
      <w:tr w:rsidR="00EF760E" w14:paraId="4209A376" w14:textId="77777777" w:rsidTr="00EF760E">
        <w:tc>
          <w:tcPr>
            <w:tcW w:w="9243" w:type="dxa"/>
            <w:shd w:val="clear" w:color="auto" w:fill="F2F2F2" w:themeFill="background1" w:themeFillShade="F2"/>
          </w:tcPr>
          <w:p w14:paraId="6EF23F5E" w14:textId="77777777" w:rsidR="00EF760E" w:rsidRPr="00813DD2" w:rsidRDefault="00EF760E" w:rsidP="00EF760E">
            <w:pPr>
              <w:jc w:val="both"/>
              <w:rPr>
                <w:rFonts w:ascii="Arial" w:hAnsi="Arial" w:cs="Arial"/>
                <w:sz w:val="20"/>
              </w:rPr>
            </w:pPr>
            <w:r w:rsidRPr="00813DD2">
              <w:rPr>
                <w:rFonts w:ascii="Arial" w:hAnsi="Arial" w:cs="Arial"/>
                <w:b/>
                <w:sz w:val="20"/>
              </w:rPr>
              <w:t xml:space="preserve">Aim: </w:t>
            </w:r>
            <w:r w:rsidRPr="00813DD2">
              <w:rPr>
                <w:rFonts w:ascii="Arial" w:hAnsi="Arial" w:cs="Arial"/>
                <w:sz w:val="20"/>
              </w:rPr>
              <w:t xml:space="preserve">This study assessed the levels of organochlorine pesticide residues in selected food crops [fluted pumpkin, chili pepper, maize (white and yellow), and beans (white and brown)] obtained from farms and markets in </w:t>
            </w:r>
            <w:proofErr w:type="spellStart"/>
            <w:r w:rsidRPr="00813DD2">
              <w:rPr>
                <w:rFonts w:ascii="Arial" w:hAnsi="Arial" w:cs="Arial"/>
                <w:sz w:val="20"/>
              </w:rPr>
              <w:t>Uyo</w:t>
            </w:r>
            <w:proofErr w:type="spellEnd"/>
            <w:r w:rsidRPr="00813DD2">
              <w:rPr>
                <w:rFonts w:ascii="Arial" w:hAnsi="Arial" w:cs="Arial"/>
                <w:sz w:val="20"/>
              </w:rPr>
              <w:t xml:space="preserve">, </w:t>
            </w:r>
            <w:proofErr w:type="spellStart"/>
            <w:r w:rsidRPr="00813DD2">
              <w:rPr>
                <w:rFonts w:ascii="Arial" w:hAnsi="Arial" w:cs="Arial"/>
                <w:sz w:val="20"/>
              </w:rPr>
              <w:t>Akwa</w:t>
            </w:r>
            <w:proofErr w:type="spellEnd"/>
            <w:r w:rsidRPr="00813DD2">
              <w:rPr>
                <w:rFonts w:ascii="Arial" w:hAnsi="Arial" w:cs="Arial"/>
                <w:sz w:val="20"/>
              </w:rPr>
              <w:t xml:space="preserve"> Ibom State, Nigeria to quantify pesticide residues, evaluate potential dietary exposure and health risks.</w:t>
            </w:r>
          </w:p>
          <w:p w14:paraId="5E75E8B7" w14:textId="77777777" w:rsidR="00EF760E" w:rsidRPr="00813DD2" w:rsidRDefault="00EF760E" w:rsidP="00EF760E">
            <w:pPr>
              <w:jc w:val="both"/>
              <w:rPr>
                <w:rFonts w:ascii="Arial" w:hAnsi="Arial" w:cs="Arial"/>
                <w:sz w:val="20"/>
              </w:rPr>
            </w:pPr>
            <w:r w:rsidRPr="00813DD2">
              <w:rPr>
                <w:rFonts w:ascii="Arial" w:hAnsi="Arial" w:cs="Arial"/>
                <w:b/>
                <w:sz w:val="20"/>
              </w:rPr>
              <w:t xml:space="preserve">Methodology: </w:t>
            </w:r>
            <w:r w:rsidRPr="00813DD2">
              <w:rPr>
                <w:rFonts w:ascii="Arial" w:hAnsi="Arial" w:cs="Arial"/>
                <w:sz w:val="20"/>
              </w:rPr>
              <w:t xml:space="preserve">Samples were randomly collected </w:t>
            </w:r>
            <w:r w:rsidRPr="00291460">
              <w:rPr>
                <w:rFonts w:ascii="Arial" w:hAnsi="Arial" w:cs="Arial"/>
                <w:sz w:val="20"/>
                <w:szCs w:val="24"/>
              </w:rPr>
              <w:t>in February, 2025</w:t>
            </w:r>
            <w:r>
              <w:rPr>
                <w:rFonts w:ascii="Arial" w:hAnsi="Arial" w:cs="Arial"/>
                <w:sz w:val="20"/>
                <w:szCs w:val="24"/>
              </w:rPr>
              <w:t xml:space="preserve"> </w:t>
            </w:r>
            <w:r w:rsidRPr="00813DD2">
              <w:rPr>
                <w:rFonts w:ascii="Arial" w:hAnsi="Arial" w:cs="Arial"/>
                <w:sz w:val="20"/>
              </w:rPr>
              <w:t xml:space="preserve">from two farms and three major markets. Pesticide extraction and cleanup were performed using the </w:t>
            </w:r>
            <w:r w:rsidRPr="00813DD2">
              <w:rPr>
                <w:rFonts w:ascii="Arial" w:eastAsia="Calibri" w:hAnsi="Arial" w:cs="Arial"/>
                <w:sz w:val="20"/>
                <w:szCs w:val="24"/>
              </w:rPr>
              <w:t>Quick, Easy, Cheap, Effective, Rugged and Safe</w:t>
            </w:r>
            <w:r w:rsidRPr="00813DD2">
              <w:rPr>
                <w:rFonts w:ascii="Arial" w:hAnsi="Arial" w:cs="Arial"/>
                <w:sz w:val="20"/>
              </w:rPr>
              <w:t xml:space="preserve"> (</w:t>
            </w:r>
            <w:proofErr w:type="spellStart"/>
            <w:r w:rsidRPr="00813DD2">
              <w:rPr>
                <w:rFonts w:ascii="Arial" w:hAnsi="Arial" w:cs="Arial"/>
                <w:sz w:val="20"/>
              </w:rPr>
              <w:t>QuEChERS</w:t>
            </w:r>
            <w:proofErr w:type="spellEnd"/>
            <w:r w:rsidRPr="00813DD2">
              <w:rPr>
                <w:rFonts w:ascii="Arial" w:hAnsi="Arial" w:cs="Arial"/>
                <w:sz w:val="20"/>
              </w:rPr>
              <w:t xml:space="preserve">) method, while quantification was carried out with Gas Chromatography–Mass Spectrometry (GC–MS). Dietary exposure, hazard quotient (HQ), and hazard index (HI) were calculated to estimate potential health risks. Data were statistically </w:t>
            </w:r>
            <w:proofErr w:type="spellStart"/>
            <w:r w:rsidRPr="00813DD2">
              <w:rPr>
                <w:rFonts w:ascii="Arial" w:hAnsi="Arial" w:cs="Arial"/>
                <w:sz w:val="20"/>
              </w:rPr>
              <w:t>analysed</w:t>
            </w:r>
            <w:proofErr w:type="spellEnd"/>
            <w:r w:rsidRPr="00813DD2">
              <w:rPr>
                <w:rFonts w:ascii="Arial" w:hAnsi="Arial" w:cs="Arial"/>
                <w:sz w:val="20"/>
              </w:rPr>
              <w:t xml:space="preserve"> using ANOVA at a 0.05 significance level.</w:t>
            </w:r>
          </w:p>
          <w:p w14:paraId="6C6DA026" w14:textId="77777777" w:rsidR="00EF760E" w:rsidRPr="00813DD2" w:rsidRDefault="00EF760E" w:rsidP="00EF760E">
            <w:pPr>
              <w:jc w:val="both"/>
              <w:rPr>
                <w:rFonts w:ascii="Arial" w:hAnsi="Arial" w:cs="Arial"/>
                <w:sz w:val="20"/>
              </w:rPr>
            </w:pPr>
            <w:r w:rsidRPr="00813DD2">
              <w:rPr>
                <w:rFonts w:ascii="Arial" w:hAnsi="Arial" w:cs="Arial"/>
                <w:b/>
                <w:sz w:val="20"/>
              </w:rPr>
              <w:t xml:space="preserve">Results: </w:t>
            </w:r>
            <w:r w:rsidRPr="00813DD2">
              <w:rPr>
                <w:rFonts w:ascii="Arial" w:hAnsi="Arial" w:cs="Arial"/>
                <w:sz w:val="20"/>
              </w:rPr>
              <w:t xml:space="preserve">Results revealed the presence of multiple organochlorine pesticide residues in all samples. Most detected residues, including α-BHC, β-BHC, heptachlor, aldrin, and endosulfan, exceeded WHO/FAO permissible limits. </w:t>
            </w:r>
            <w:r w:rsidRPr="00813DD2">
              <w:rPr>
                <w:rFonts w:ascii="Arial" w:hAnsi="Arial" w:cs="Arial"/>
                <w:sz w:val="20"/>
                <w:szCs w:val="24"/>
              </w:rPr>
              <w:t xml:space="preserve">The HQ values ranged between </w:t>
            </w:r>
            <w:r w:rsidRPr="00813DD2">
              <w:rPr>
                <w:rFonts w:ascii="Arial" w:hAnsi="Arial" w:cs="Arial"/>
                <w:color w:val="000000"/>
                <w:sz w:val="20"/>
                <w:szCs w:val="24"/>
              </w:rPr>
              <w:t>2.26E-05</w:t>
            </w:r>
            <w:r w:rsidRPr="00813DD2">
              <w:rPr>
                <w:rFonts w:ascii="Arial" w:hAnsi="Arial" w:cs="Arial"/>
                <w:sz w:val="20"/>
                <w:szCs w:val="24"/>
              </w:rPr>
              <w:t xml:space="preserve"> and 4.54E-1. The highest HQ values were 2.11E-1 for Delta-BHC in white maize (WM), followed by 2.11E-1 for Aldrin in yellow maize (YM). The HI values ranged between </w:t>
            </w:r>
            <w:r w:rsidRPr="00813DD2">
              <w:rPr>
                <w:rFonts w:ascii="Arial" w:eastAsia="Times New Roman" w:hAnsi="Arial" w:cs="Arial"/>
                <w:color w:val="000000"/>
                <w:sz w:val="20"/>
                <w:szCs w:val="24"/>
              </w:rPr>
              <w:t>0.01581(</w:t>
            </w:r>
            <w:r w:rsidRPr="00813DD2">
              <w:rPr>
                <w:rFonts w:ascii="Arial" w:eastAsia="Times New Roman" w:hAnsi="Arial" w:cs="Arial"/>
                <w:sz w:val="20"/>
                <w:szCs w:val="24"/>
              </w:rPr>
              <w:t>PV)</w:t>
            </w:r>
            <w:r w:rsidRPr="00813DD2">
              <w:rPr>
                <w:rFonts w:ascii="Arial" w:eastAsia="Times New Roman" w:hAnsi="Arial" w:cs="Arial"/>
                <w:color w:val="000000"/>
                <w:sz w:val="20"/>
                <w:szCs w:val="24"/>
              </w:rPr>
              <w:t xml:space="preserve"> </w:t>
            </w:r>
            <w:r w:rsidRPr="00813DD2">
              <w:rPr>
                <w:rFonts w:ascii="Arial" w:hAnsi="Arial" w:cs="Arial"/>
                <w:sz w:val="20"/>
                <w:szCs w:val="24"/>
              </w:rPr>
              <w:t xml:space="preserve">to </w:t>
            </w:r>
            <w:r w:rsidRPr="00813DD2">
              <w:rPr>
                <w:rFonts w:ascii="Arial" w:hAnsi="Arial" w:cs="Arial"/>
                <w:color w:val="000000"/>
                <w:sz w:val="20"/>
                <w:szCs w:val="24"/>
              </w:rPr>
              <w:t>2.074778(</w:t>
            </w:r>
            <w:r w:rsidRPr="00813DD2">
              <w:rPr>
                <w:rFonts w:ascii="Arial" w:hAnsi="Arial" w:cs="Arial"/>
                <w:sz w:val="20"/>
                <w:szCs w:val="24"/>
              </w:rPr>
              <w:t xml:space="preserve">FR). The HI values observed for all the pesticide residues were found &lt; 1 except in </w:t>
            </w:r>
            <w:proofErr w:type="gramStart"/>
            <w:r w:rsidRPr="00813DD2">
              <w:rPr>
                <w:rFonts w:ascii="Arial" w:hAnsi="Arial" w:cs="Arial"/>
                <w:sz w:val="20"/>
                <w:szCs w:val="24"/>
              </w:rPr>
              <w:t>FR(</w:t>
            </w:r>
            <w:proofErr w:type="gramEnd"/>
            <w:r w:rsidRPr="00813DD2">
              <w:rPr>
                <w:rFonts w:ascii="Arial" w:hAnsi="Arial" w:cs="Arial"/>
                <w:sz w:val="20"/>
                <w:szCs w:val="24"/>
              </w:rPr>
              <w:t xml:space="preserve">2.0748). Therefore, FR was considered a risk to the consumers. ANOVA shows a </w:t>
            </w:r>
            <w:r>
              <w:rPr>
                <w:rFonts w:ascii="Arial" w:hAnsi="Arial" w:cs="Arial"/>
                <w:sz w:val="20"/>
                <w:szCs w:val="24"/>
              </w:rPr>
              <w:t>P-value of 0.015</w:t>
            </w:r>
            <w:r w:rsidRPr="00813DD2">
              <w:rPr>
                <w:rFonts w:ascii="Arial" w:hAnsi="Arial" w:cs="Arial"/>
                <w:sz w:val="20"/>
                <w:szCs w:val="24"/>
              </w:rPr>
              <w:t xml:space="preserve">, reflecting statistically significant difference in Pesticide residues levels in the different food crops </w:t>
            </w:r>
            <w:proofErr w:type="spellStart"/>
            <w:r w:rsidRPr="00813DD2">
              <w:rPr>
                <w:rFonts w:ascii="Arial" w:hAnsi="Arial" w:cs="Arial"/>
                <w:sz w:val="20"/>
                <w:szCs w:val="24"/>
              </w:rPr>
              <w:t>analysed</w:t>
            </w:r>
            <w:proofErr w:type="spellEnd"/>
            <w:r w:rsidRPr="00813DD2">
              <w:rPr>
                <w:rFonts w:ascii="Arial" w:hAnsi="Arial" w:cs="Arial"/>
                <w:sz w:val="20"/>
                <w:szCs w:val="24"/>
              </w:rPr>
              <w:t xml:space="preserve">. The F- value (2.20) was greater than the F-critical (1.83); </w:t>
            </w:r>
            <w:proofErr w:type="gramStart"/>
            <w:r w:rsidRPr="00813DD2">
              <w:rPr>
                <w:rFonts w:ascii="Arial" w:hAnsi="Arial" w:cs="Arial"/>
                <w:sz w:val="20"/>
                <w:szCs w:val="24"/>
              </w:rPr>
              <w:t>therefore</w:t>
            </w:r>
            <w:proofErr w:type="gramEnd"/>
            <w:r w:rsidRPr="00813DD2">
              <w:rPr>
                <w:rFonts w:ascii="Arial" w:hAnsi="Arial" w:cs="Arial"/>
                <w:sz w:val="20"/>
                <w:szCs w:val="24"/>
              </w:rPr>
              <w:t xml:space="preserve"> there is a statistically significant difference in pesticide residue levels between the different farms and markets samples.</w:t>
            </w:r>
          </w:p>
          <w:p w14:paraId="44A5D2AE" w14:textId="77777777" w:rsidR="00EF760E" w:rsidRPr="00813DD2" w:rsidRDefault="00EF760E" w:rsidP="00EF760E">
            <w:pPr>
              <w:pStyle w:val="my-0"/>
              <w:spacing w:before="0" w:beforeAutospacing="0" w:after="0" w:afterAutospacing="0"/>
              <w:jc w:val="both"/>
              <w:rPr>
                <w:rFonts w:ascii="Arial" w:hAnsi="Arial" w:cs="Arial"/>
                <w:sz w:val="20"/>
              </w:rPr>
            </w:pPr>
            <w:r w:rsidRPr="00813DD2">
              <w:rPr>
                <w:rFonts w:ascii="Arial" w:hAnsi="Arial" w:cs="Arial"/>
                <w:b/>
                <w:sz w:val="22"/>
              </w:rPr>
              <w:t xml:space="preserve">Conclusion: </w:t>
            </w:r>
            <w:r w:rsidRPr="00813DD2">
              <w:rPr>
                <w:rFonts w:ascii="Arial" w:hAnsi="Arial" w:cs="Arial"/>
                <w:sz w:val="20"/>
              </w:rPr>
              <w:t>These findings raise significant health concerns as prolonged exposure to high levels of organochlorine pesticides is known to pose serious risks to consumers. While the HQ and HI suggest that immediate risks might be low, the long-term presence of these banned substances underscores the need for urgent regulatory action.</w:t>
            </w:r>
          </w:p>
          <w:p w14:paraId="2890473C" w14:textId="77777777" w:rsidR="00EF760E" w:rsidRDefault="00EF760E" w:rsidP="00852FBA">
            <w:pPr>
              <w:rPr>
                <w:rFonts w:ascii="Arial" w:hAnsi="Arial" w:cs="Arial"/>
                <w:b/>
              </w:rPr>
            </w:pPr>
          </w:p>
        </w:tc>
      </w:tr>
    </w:tbl>
    <w:p w14:paraId="06D0B778" w14:textId="77777777" w:rsidR="00EF760E" w:rsidRPr="00BB57AC" w:rsidRDefault="00EF760E" w:rsidP="00852FBA">
      <w:pPr>
        <w:rPr>
          <w:rFonts w:ascii="Arial" w:hAnsi="Arial" w:cs="Arial"/>
          <w:b/>
        </w:rPr>
      </w:pPr>
    </w:p>
    <w:p w14:paraId="101B22A8" w14:textId="77777777" w:rsidR="00216B03" w:rsidRPr="00BB57AC" w:rsidRDefault="00216B03" w:rsidP="00216B03">
      <w:pPr>
        <w:pStyle w:val="my-0"/>
        <w:spacing w:before="240" w:beforeAutospacing="0" w:after="240" w:afterAutospacing="0"/>
        <w:jc w:val="both"/>
        <w:rPr>
          <w:rFonts w:ascii="Arial" w:hAnsi="Arial" w:cs="Arial"/>
          <w:i/>
          <w:sz w:val="20"/>
        </w:rPr>
      </w:pPr>
      <w:r w:rsidRPr="00BB57AC">
        <w:rPr>
          <w:rFonts w:ascii="Arial" w:hAnsi="Arial" w:cs="Arial"/>
          <w:i/>
          <w:sz w:val="20"/>
        </w:rPr>
        <w:t>Keywords: organochlorine pesticides; pesticide residues; food crops; health risk; consumers</w:t>
      </w:r>
    </w:p>
    <w:p w14:paraId="7C0D3303" w14:textId="77777777" w:rsidR="00EF760E" w:rsidRDefault="00216B03" w:rsidP="00291460">
      <w:pPr>
        <w:pStyle w:val="my-0"/>
        <w:spacing w:before="240" w:beforeAutospacing="0" w:after="240" w:afterAutospacing="0"/>
        <w:jc w:val="both"/>
        <w:rPr>
          <w:rFonts w:ascii="Arial" w:hAnsi="Arial" w:cs="Arial"/>
          <w:i/>
          <w:sz w:val="22"/>
        </w:rPr>
      </w:pPr>
      <w:r w:rsidRPr="00BB57AC">
        <w:rPr>
          <w:rFonts w:ascii="Arial" w:hAnsi="Arial" w:cs="Arial"/>
          <w:i/>
          <w:sz w:val="22"/>
        </w:rPr>
        <w:t xml:space="preserve"> </w:t>
      </w:r>
    </w:p>
    <w:p w14:paraId="216AEBD5" w14:textId="77777777" w:rsidR="00EF760E" w:rsidRDefault="00EF760E" w:rsidP="00291460">
      <w:pPr>
        <w:pStyle w:val="my-0"/>
        <w:spacing w:before="240" w:beforeAutospacing="0" w:after="240" w:afterAutospacing="0"/>
        <w:jc w:val="both"/>
        <w:rPr>
          <w:rFonts w:ascii="Arial" w:hAnsi="Arial" w:cs="Arial"/>
          <w:i/>
          <w:sz w:val="22"/>
        </w:rPr>
      </w:pPr>
    </w:p>
    <w:p w14:paraId="1DE61A08" w14:textId="77777777" w:rsidR="00EF760E" w:rsidRDefault="00EF760E" w:rsidP="00291460">
      <w:pPr>
        <w:pStyle w:val="my-0"/>
        <w:spacing w:before="240" w:beforeAutospacing="0" w:after="240" w:afterAutospacing="0"/>
        <w:jc w:val="both"/>
        <w:rPr>
          <w:rFonts w:ascii="Arial" w:hAnsi="Arial" w:cs="Arial"/>
          <w:i/>
          <w:sz w:val="22"/>
        </w:rPr>
      </w:pPr>
    </w:p>
    <w:p w14:paraId="1F815B9B" w14:textId="77777777" w:rsidR="00EF760E" w:rsidRDefault="00EF760E" w:rsidP="00291460">
      <w:pPr>
        <w:pStyle w:val="my-0"/>
        <w:spacing w:before="240" w:beforeAutospacing="0" w:after="240" w:afterAutospacing="0"/>
        <w:jc w:val="both"/>
        <w:rPr>
          <w:rFonts w:ascii="Arial" w:hAnsi="Arial" w:cs="Arial"/>
          <w:i/>
          <w:sz w:val="22"/>
        </w:rPr>
      </w:pPr>
    </w:p>
    <w:p w14:paraId="40A413B6" w14:textId="77777777" w:rsidR="00756436" w:rsidRDefault="00756436" w:rsidP="00291460">
      <w:pPr>
        <w:pStyle w:val="my-0"/>
        <w:spacing w:before="240" w:beforeAutospacing="0" w:after="240" w:afterAutospacing="0"/>
        <w:jc w:val="both"/>
        <w:rPr>
          <w:rFonts w:ascii="Arial" w:hAnsi="Arial" w:cs="Arial"/>
          <w:b/>
          <w:bCs/>
          <w:color w:val="202122"/>
          <w:sz w:val="22"/>
          <w:lang w:eastAsia="en-GB"/>
        </w:rPr>
      </w:pPr>
    </w:p>
    <w:p w14:paraId="7195151D" w14:textId="77777777" w:rsidR="00AA03F6" w:rsidRPr="00BB57AC" w:rsidRDefault="00AA03F6" w:rsidP="00291460">
      <w:pPr>
        <w:pStyle w:val="my-0"/>
        <w:spacing w:before="240" w:beforeAutospacing="0" w:after="240" w:afterAutospacing="0"/>
        <w:jc w:val="both"/>
        <w:rPr>
          <w:rFonts w:ascii="Arial" w:hAnsi="Arial" w:cs="Arial"/>
          <w:b/>
          <w:bCs/>
          <w:color w:val="202122"/>
          <w:sz w:val="22"/>
          <w:lang w:eastAsia="en-GB"/>
        </w:rPr>
      </w:pPr>
      <w:r w:rsidRPr="00BB57AC">
        <w:rPr>
          <w:rFonts w:ascii="Arial" w:hAnsi="Arial" w:cs="Arial"/>
          <w:b/>
          <w:bCs/>
          <w:color w:val="202122"/>
          <w:sz w:val="22"/>
          <w:lang w:eastAsia="en-GB"/>
        </w:rPr>
        <w:t>INTRODUCTION</w:t>
      </w:r>
    </w:p>
    <w:p w14:paraId="7F57FE3B" w14:textId="77777777"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 xml:space="preserve">Pesticides are substances that are introduced into the environment with the primary intent of controlling or destroying pests, animals as well as unwanted plant species (Yamada </w:t>
      </w:r>
      <w:r w:rsidRPr="00BB57AC">
        <w:rPr>
          <w:rFonts w:ascii="Arial" w:hAnsi="Arial" w:cs="Arial"/>
          <w:i/>
          <w:sz w:val="20"/>
          <w:szCs w:val="24"/>
        </w:rPr>
        <w:t>et al.,</w:t>
      </w:r>
      <w:r w:rsidRPr="00BB57AC">
        <w:rPr>
          <w:rFonts w:ascii="Arial" w:hAnsi="Arial" w:cs="Arial"/>
          <w:sz w:val="20"/>
          <w:szCs w:val="24"/>
        </w:rPr>
        <w:t xml:space="preserve"> 2019). The use of pesticides in agriculture has further increased due to fast growing human population which is estimated to reach 8.5 billion by 2030, hence the fear of the impact of this population on food security. On a global scale, the average usage of acaricides, fungicides, herbicides and fungicides </w:t>
      </w:r>
      <w:proofErr w:type="gramStart"/>
      <w:r w:rsidRPr="00BB57AC">
        <w:rPr>
          <w:rFonts w:ascii="Arial" w:hAnsi="Arial" w:cs="Arial"/>
          <w:sz w:val="20"/>
          <w:szCs w:val="24"/>
        </w:rPr>
        <w:t>was</w:t>
      </w:r>
      <w:proofErr w:type="gramEnd"/>
      <w:r w:rsidRPr="00BB57AC">
        <w:rPr>
          <w:rFonts w:ascii="Arial" w:hAnsi="Arial" w:cs="Arial"/>
          <w:sz w:val="20"/>
          <w:szCs w:val="24"/>
        </w:rPr>
        <w:t xml:space="preserve"> 353,000, 566,000, and 342,000 respectively (Liu </w:t>
      </w:r>
      <w:r w:rsidRPr="00BB57AC">
        <w:rPr>
          <w:rFonts w:ascii="Arial" w:hAnsi="Arial" w:cs="Arial"/>
          <w:i/>
          <w:sz w:val="20"/>
          <w:szCs w:val="24"/>
        </w:rPr>
        <w:t>et al.</w:t>
      </w:r>
      <w:r w:rsidRPr="00BB57AC">
        <w:rPr>
          <w:rFonts w:ascii="Arial" w:hAnsi="Arial" w:cs="Arial"/>
          <w:sz w:val="20"/>
          <w:szCs w:val="24"/>
        </w:rPr>
        <w:t>, 2015).</w:t>
      </w:r>
    </w:p>
    <w:p w14:paraId="6DC111A5" w14:textId="77777777"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lastRenderedPageBreak/>
        <w:t>The essence of pesticides application is for the control of varieties of weeds, disease causing organisms, and pests that are capable of causing damage to plants. Pesticides are therefore biocidal in nature and when applied to plants they eventually come in contact with man through crops. Pesticides are also of concern due to their potential of being carried across the various components of the environment. (</w:t>
      </w:r>
      <w:proofErr w:type="spellStart"/>
      <w:r w:rsidR="00DB7BE5" w:rsidRPr="00DB7BE5">
        <w:rPr>
          <w:rFonts w:ascii="Arial" w:hAnsi="Arial" w:cs="Arial"/>
          <w:color w:val="222222"/>
          <w:sz w:val="20"/>
          <w:szCs w:val="20"/>
          <w:shd w:val="clear" w:color="auto" w:fill="FFFFFF"/>
        </w:rPr>
        <w:t>Kazimierczak</w:t>
      </w:r>
      <w:proofErr w:type="spellEnd"/>
      <w:r w:rsidRPr="00BB57AC">
        <w:rPr>
          <w:rFonts w:ascii="Arial" w:hAnsi="Arial" w:cs="Arial"/>
          <w:sz w:val="20"/>
          <w:szCs w:val="24"/>
        </w:rPr>
        <w:t xml:space="preserve"> </w:t>
      </w:r>
      <w:r w:rsidRPr="00BB57AC">
        <w:rPr>
          <w:rFonts w:ascii="Arial" w:hAnsi="Arial" w:cs="Arial"/>
          <w:i/>
          <w:sz w:val="20"/>
          <w:szCs w:val="24"/>
        </w:rPr>
        <w:t>et al.,</w:t>
      </w:r>
      <w:r w:rsidR="00DB7BE5">
        <w:rPr>
          <w:rFonts w:ascii="Arial" w:hAnsi="Arial" w:cs="Arial"/>
          <w:sz w:val="20"/>
          <w:szCs w:val="24"/>
        </w:rPr>
        <w:t xml:space="preserve"> 2022</w:t>
      </w:r>
      <w:r w:rsidRPr="00BB57AC">
        <w:rPr>
          <w:rFonts w:ascii="Arial" w:hAnsi="Arial" w:cs="Arial"/>
          <w:sz w:val="20"/>
          <w:szCs w:val="24"/>
        </w:rPr>
        <w:t xml:space="preserve">). The need to resolve problems associated with global challenge of food security has resulted to the current shift in emphasis to organic based farming. </w:t>
      </w:r>
      <w:proofErr w:type="gramStart"/>
      <w:r w:rsidRPr="00BB57AC">
        <w:rPr>
          <w:rFonts w:ascii="Arial" w:hAnsi="Arial" w:cs="Arial"/>
          <w:sz w:val="20"/>
          <w:szCs w:val="24"/>
        </w:rPr>
        <w:t>However</w:t>
      </w:r>
      <w:proofErr w:type="gramEnd"/>
      <w:r w:rsidRPr="00BB57AC">
        <w:rPr>
          <w:rFonts w:ascii="Arial" w:hAnsi="Arial" w:cs="Arial"/>
          <w:sz w:val="20"/>
          <w:szCs w:val="24"/>
        </w:rPr>
        <w:t xml:space="preserve"> the general acceptance of this new trend in developing nations has been largely on the poor side due to several reasons.</w:t>
      </w:r>
    </w:p>
    <w:p w14:paraId="22CEDCA8" w14:textId="77777777"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 xml:space="preserve">There </w:t>
      </w:r>
      <w:proofErr w:type="gramStart"/>
      <w:r w:rsidRPr="00BB57AC">
        <w:rPr>
          <w:rFonts w:ascii="Arial" w:hAnsi="Arial" w:cs="Arial"/>
          <w:sz w:val="20"/>
          <w:szCs w:val="24"/>
        </w:rPr>
        <w:t>are</w:t>
      </w:r>
      <w:proofErr w:type="gramEnd"/>
      <w:r w:rsidRPr="00BB57AC">
        <w:rPr>
          <w:rFonts w:ascii="Arial" w:hAnsi="Arial" w:cs="Arial"/>
          <w:sz w:val="20"/>
          <w:szCs w:val="24"/>
        </w:rPr>
        <w:t xml:space="preserve"> different route through which humans get exposed to pesticides from food. Findings from various studies have documented that for some cereal grains the pesticide residues are mainly found in the outer covering hence processing such as milling and related processes can bring about the reduction in the amount of the pesticide residues. Usually cereal crops are sprayed with insecticides before storage so that they can be preserved for more than one year without being attacked by pests.</w:t>
      </w:r>
    </w:p>
    <w:p w14:paraId="74F3DA4A" w14:textId="77777777" w:rsidR="001E5B1A" w:rsidRPr="00BB57AC" w:rsidRDefault="003365A3" w:rsidP="005F3B82">
      <w:pPr>
        <w:pStyle w:val="Default"/>
        <w:jc w:val="both"/>
        <w:rPr>
          <w:rFonts w:ascii="Arial" w:hAnsi="Arial" w:cs="Arial"/>
          <w:sz w:val="20"/>
        </w:rPr>
      </w:pPr>
      <w:r>
        <w:rPr>
          <w:rFonts w:ascii="Arial" w:hAnsi="Arial" w:cs="Arial"/>
          <w:sz w:val="20"/>
        </w:rPr>
        <w:t xml:space="preserve">Organochlorine pesticide residues have been reported in different food commodities in Nigeria (Sosan </w:t>
      </w:r>
      <w:r w:rsidRPr="003365A3">
        <w:rPr>
          <w:rFonts w:ascii="Arial" w:hAnsi="Arial" w:cs="Arial"/>
          <w:i/>
          <w:sz w:val="20"/>
        </w:rPr>
        <w:t>et al.,</w:t>
      </w:r>
      <w:r>
        <w:rPr>
          <w:rFonts w:ascii="Arial" w:hAnsi="Arial" w:cs="Arial"/>
          <w:sz w:val="20"/>
        </w:rPr>
        <w:t xml:space="preserve"> 2020, Mohammad </w:t>
      </w:r>
      <w:r w:rsidRPr="003365A3">
        <w:rPr>
          <w:rFonts w:ascii="Arial" w:hAnsi="Arial" w:cs="Arial"/>
          <w:i/>
          <w:sz w:val="20"/>
        </w:rPr>
        <w:t>et al.,</w:t>
      </w:r>
      <w:r>
        <w:rPr>
          <w:rFonts w:ascii="Arial" w:hAnsi="Arial" w:cs="Arial"/>
          <w:sz w:val="20"/>
        </w:rPr>
        <w:t xml:space="preserve"> 2018, </w:t>
      </w:r>
      <w:proofErr w:type="spellStart"/>
      <w:r>
        <w:rPr>
          <w:rFonts w:ascii="Arial" w:hAnsi="Arial" w:cs="Arial"/>
          <w:sz w:val="20"/>
        </w:rPr>
        <w:t>Oshatunberu</w:t>
      </w:r>
      <w:proofErr w:type="spellEnd"/>
      <w:r>
        <w:rPr>
          <w:rFonts w:ascii="Arial" w:hAnsi="Arial" w:cs="Arial"/>
          <w:sz w:val="20"/>
        </w:rPr>
        <w:t xml:space="preserve">, 2023, Idowu </w:t>
      </w:r>
      <w:r w:rsidRPr="003365A3">
        <w:rPr>
          <w:rFonts w:ascii="Arial" w:hAnsi="Arial" w:cs="Arial"/>
          <w:i/>
          <w:sz w:val="20"/>
        </w:rPr>
        <w:t>et al.,</w:t>
      </w:r>
      <w:r>
        <w:rPr>
          <w:rFonts w:ascii="Arial" w:hAnsi="Arial" w:cs="Arial"/>
          <w:sz w:val="20"/>
        </w:rPr>
        <w:t xml:space="preserve"> 2022). Also, a study carried out in Nigeria showed contamination levels of DDT, endrin, dieldrin, and lindane in beans (P. vulgaris) collected from field and storage </w:t>
      </w:r>
      <w:r w:rsidRPr="003365A3">
        <w:rPr>
          <w:rFonts w:ascii="Arial" w:hAnsi="Arial" w:cs="Arial"/>
          <w:sz w:val="20"/>
          <w:szCs w:val="20"/>
        </w:rPr>
        <w:t xml:space="preserve">facilities (Fadina </w:t>
      </w:r>
      <w:r w:rsidRPr="008A01F3">
        <w:rPr>
          <w:rFonts w:ascii="Arial" w:hAnsi="Arial" w:cs="Arial"/>
          <w:i/>
          <w:sz w:val="20"/>
          <w:szCs w:val="20"/>
        </w:rPr>
        <w:t>et al.,</w:t>
      </w:r>
      <w:r w:rsidRPr="003365A3">
        <w:rPr>
          <w:rFonts w:ascii="Arial" w:hAnsi="Arial" w:cs="Arial"/>
          <w:sz w:val="20"/>
          <w:szCs w:val="20"/>
        </w:rPr>
        <w:t xml:space="preserve"> 2021). </w:t>
      </w:r>
      <w:proofErr w:type="spellStart"/>
      <w:r w:rsidRPr="003365A3">
        <w:rPr>
          <w:rFonts w:ascii="Arial" w:hAnsi="Arial" w:cs="Arial"/>
          <w:sz w:val="20"/>
          <w:szCs w:val="20"/>
        </w:rPr>
        <w:t>Adefemi</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(2018) reported multi-residue OCs pesticide and health risk assessment in edible vegetables while Akande </w:t>
      </w:r>
      <w:r w:rsidRPr="008A01F3">
        <w:rPr>
          <w:rFonts w:ascii="Arial" w:hAnsi="Arial" w:cs="Arial"/>
          <w:i/>
          <w:sz w:val="20"/>
          <w:szCs w:val="20"/>
        </w:rPr>
        <w:t>et al.,</w:t>
      </w:r>
      <w:r w:rsidRPr="003365A3">
        <w:rPr>
          <w:rFonts w:ascii="Arial" w:hAnsi="Arial" w:cs="Arial"/>
          <w:sz w:val="20"/>
          <w:szCs w:val="20"/>
        </w:rPr>
        <w:t xml:space="preserve"> (2020) also evaluated organophosphate insecticide in post–harvest cowpea in Gwagwalada Abuja. While Idowu </w:t>
      </w:r>
      <w:r w:rsidRPr="008A01F3">
        <w:rPr>
          <w:rFonts w:ascii="Arial" w:hAnsi="Arial" w:cs="Arial"/>
          <w:i/>
          <w:sz w:val="20"/>
          <w:szCs w:val="20"/>
        </w:rPr>
        <w:t>et al.</w:t>
      </w:r>
      <w:r w:rsidRPr="003365A3">
        <w:rPr>
          <w:rFonts w:ascii="Arial" w:hAnsi="Arial" w:cs="Arial"/>
          <w:sz w:val="20"/>
          <w:szCs w:val="20"/>
        </w:rPr>
        <w:t xml:space="preserve"> (2022) examined OCs residue in cocoa pods and beans. Similarly, </w:t>
      </w:r>
      <w:proofErr w:type="spellStart"/>
      <w:r w:rsidRPr="003365A3">
        <w:rPr>
          <w:rFonts w:ascii="Arial" w:hAnsi="Arial" w:cs="Arial"/>
          <w:sz w:val="20"/>
          <w:szCs w:val="20"/>
        </w:rPr>
        <w:t>Fagbohun</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(2023b) and </w:t>
      </w:r>
      <w:proofErr w:type="spellStart"/>
      <w:r w:rsidRPr="003365A3">
        <w:rPr>
          <w:rFonts w:ascii="Arial" w:hAnsi="Arial" w:cs="Arial"/>
          <w:sz w:val="20"/>
          <w:szCs w:val="20"/>
        </w:rPr>
        <w:t>Fagbohun</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(2024) assessed glyphosate residue in retailed cowpea and maize grains in FCT, Abuja markets respectively.</w:t>
      </w:r>
      <w:r>
        <w:rPr>
          <w:rFonts w:ascii="Arial" w:hAnsi="Arial" w:cs="Arial"/>
          <w:sz w:val="20"/>
        </w:rPr>
        <w:t xml:space="preserve"> </w:t>
      </w:r>
      <w:r w:rsidR="001E5B1A" w:rsidRPr="00BB57AC">
        <w:rPr>
          <w:rFonts w:ascii="Arial" w:hAnsi="Arial" w:cs="Arial"/>
          <w:sz w:val="20"/>
        </w:rPr>
        <w:t>The presence of pesticide residues on food crops poses significant health implications for consumers. There is a growing concern regarding the potential adverse effects of these contaminants on human health, including the risk of chronic diseases, developmental disorders, and various psychological and neurological disorders</w:t>
      </w:r>
      <w:r w:rsidR="00A51C9F" w:rsidRPr="00A51C9F">
        <w:rPr>
          <w:rFonts w:ascii="Arial" w:hAnsi="Arial" w:cs="Arial"/>
          <w:sz w:val="20"/>
        </w:rPr>
        <w:t xml:space="preserve"> (ATSDR</w:t>
      </w:r>
      <w:r w:rsidR="00A51C9F">
        <w:rPr>
          <w:rFonts w:ascii="Arial" w:hAnsi="Arial" w:cs="Arial"/>
          <w:sz w:val="20"/>
        </w:rPr>
        <w:t xml:space="preserve">, 2007; </w:t>
      </w:r>
      <w:r w:rsidR="00A51C9F" w:rsidRPr="00A51C9F">
        <w:rPr>
          <w:rFonts w:ascii="Arial" w:hAnsi="Arial" w:cs="Arial"/>
          <w:sz w:val="20"/>
        </w:rPr>
        <w:t>Mittal</w:t>
      </w:r>
      <w:r w:rsidR="00A51C9F">
        <w:rPr>
          <w:rFonts w:ascii="Arial" w:hAnsi="Arial" w:cs="Arial"/>
          <w:sz w:val="20"/>
        </w:rPr>
        <w:t xml:space="preserve"> </w:t>
      </w:r>
      <w:r w:rsidR="00A51C9F" w:rsidRPr="00A51C9F">
        <w:rPr>
          <w:rFonts w:ascii="Arial" w:hAnsi="Arial" w:cs="Arial"/>
          <w:i/>
          <w:sz w:val="20"/>
        </w:rPr>
        <w:t>et al.,</w:t>
      </w:r>
      <w:r w:rsidR="00A51C9F">
        <w:rPr>
          <w:rFonts w:ascii="Arial" w:hAnsi="Arial" w:cs="Arial"/>
          <w:sz w:val="20"/>
        </w:rPr>
        <w:t xml:space="preserve"> 2014)</w:t>
      </w:r>
      <w:r w:rsidR="001E5B1A" w:rsidRPr="00BB57AC">
        <w:rPr>
          <w:rFonts w:ascii="Arial" w:hAnsi="Arial" w:cs="Arial"/>
          <w:sz w:val="20"/>
        </w:rPr>
        <w:t xml:space="preserve">. Humans are exposed in so many ways, including water ingestion (oral intake of water) and dermal (skin contact), both of which constitute health concerns over time (Akpan </w:t>
      </w:r>
      <w:r w:rsidR="001E5B1A" w:rsidRPr="00BB57AC">
        <w:rPr>
          <w:rFonts w:ascii="Arial" w:hAnsi="Arial" w:cs="Arial"/>
          <w:i/>
          <w:sz w:val="20"/>
        </w:rPr>
        <w:t>et al.,</w:t>
      </w:r>
      <w:r w:rsidR="001E5B1A" w:rsidRPr="00BB57AC">
        <w:rPr>
          <w:rFonts w:ascii="Arial" w:hAnsi="Arial" w:cs="Arial"/>
          <w:sz w:val="20"/>
        </w:rPr>
        <w:t xml:space="preserve"> 2022). However, there is a need to comprehensively understand the extent of these health implications, evaluate the potential risks, and explore effective mitigation strategies to ensure food safety and protect public health. Hence the aim of this study is to assess the levels of pesticide residues in </w:t>
      </w:r>
      <w:r w:rsidR="001E5B1A" w:rsidRPr="00BB57AC">
        <w:rPr>
          <w:rFonts w:ascii="Arial" w:hAnsi="Arial" w:cs="Arial"/>
          <w:color w:val="auto"/>
          <w:sz w:val="20"/>
        </w:rPr>
        <w:t xml:space="preserve">food crops </w:t>
      </w:r>
      <w:r w:rsidR="001E5B1A" w:rsidRPr="00BB57AC">
        <w:rPr>
          <w:rFonts w:ascii="Arial" w:hAnsi="Arial" w:cs="Arial"/>
          <w:sz w:val="20"/>
        </w:rPr>
        <w:t>samples, evaluate the potential health risks associated with their consumption, and identify strategies to mitigate these risks.</w:t>
      </w:r>
    </w:p>
    <w:p w14:paraId="4A0A511A" w14:textId="77777777" w:rsidR="001E5B1A" w:rsidRPr="00BB57AC" w:rsidRDefault="00BB57AC" w:rsidP="005F3B82">
      <w:pPr>
        <w:pStyle w:val="Heading1"/>
        <w:spacing w:after="240"/>
        <w:rPr>
          <w:rFonts w:ascii="Arial" w:hAnsi="Arial" w:cs="Arial"/>
          <w:szCs w:val="24"/>
        </w:rPr>
      </w:pPr>
      <w:bookmarkStart w:id="0" w:name="_Toc182172212"/>
      <w:r>
        <w:rPr>
          <w:rFonts w:ascii="Arial" w:hAnsi="Arial" w:cs="Arial"/>
          <w:szCs w:val="24"/>
        </w:rPr>
        <w:t>2.</w:t>
      </w:r>
      <w:r w:rsidRPr="00BB57AC">
        <w:rPr>
          <w:rFonts w:ascii="Arial" w:hAnsi="Arial" w:cs="Arial"/>
          <w:sz w:val="22"/>
          <w:szCs w:val="24"/>
        </w:rPr>
        <w:tab/>
      </w:r>
      <w:r>
        <w:rPr>
          <w:rFonts w:ascii="Arial" w:hAnsi="Arial" w:cs="Arial"/>
          <w:sz w:val="22"/>
          <w:szCs w:val="24"/>
        </w:rPr>
        <w:t>MATERIAL</w:t>
      </w:r>
      <w:r w:rsidR="001E5B1A" w:rsidRPr="00BB57AC">
        <w:rPr>
          <w:rFonts w:ascii="Arial" w:hAnsi="Arial" w:cs="Arial"/>
          <w:sz w:val="22"/>
          <w:szCs w:val="24"/>
        </w:rPr>
        <w:t xml:space="preserve"> AND METHOD</w:t>
      </w:r>
      <w:bookmarkEnd w:id="0"/>
      <w:r>
        <w:rPr>
          <w:rFonts w:ascii="Arial" w:hAnsi="Arial" w:cs="Arial"/>
          <w:sz w:val="22"/>
          <w:szCs w:val="24"/>
        </w:rPr>
        <w:t>s</w:t>
      </w:r>
    </w:p>
    <w:p w14:paraId="08D634FB" w14:textId="77777777" w:rsidR="001E5B1A" w:rsidRPr="00BB57AC" w:rsidRDefault="001E5B1A" w:rsidP="005F3B82">
      <w:pPr>
        <w:pStyle w:val="Heading1"/>
        <w:spacing w:after="240"/>
        <w:rPr>
          <w:rFonts w:ascii="Arial" w:hAnsi="Arial" w:cs="Arial"/>
          <w:sz w:val="22"/>
        </w:rPr>
      </w:pPr>
      <w:bookmarkStart w:id="1" w:name="_Toc182172213"/>
      <w:r w:rsidRPr="00BB57AC">
        <w:rPr>
          <w:rFonts w:ascii="Arial" w:hAnsi="Arial" w:cs="Arial"/>
          <w:sz w:val="22"/>
        </w:rPr>
        <w:t>2.1</w:t>
      </w:r>
      <w:r w:rsidRPr="00BB57AC">
        <w:rPr>
          <w:rFonts w:ascii="Arial" w:hAnsi="Arial" w:cs="Arial"/>
          <w:sz w:val="22"/>
        </w:rPr>
        <w:tab/>
        <w:t>Sampling Site</w:t>
      </w:r>
      <w:bookmarkEnd w:id="1"/>
      <w:r w:rsidRPr="00BB57AC">
        <w:rPr>
          <w:rFonts w:ascii="Arial" w:hAnsi="Arial" w:cs="Arial"/>
          <w:sz w:val="22"/>
        </w:rPr>
        <w:t xml:space="preserve"> </w:t>
      </w:r>
    </w:p>
    <w:p w14:paraId="1CBB2F31" w14:textId="77777777" w:rsidR="001E5B1A" w:rsidRPr="00291460" w:rsidRDefault="001E5B1A" w:rsidP="005F3B82">
      <w:pPr>
        <w:tabs>
          <w:tab w:val="center" w:pos="2524"/>
        </w:tabs>
        <w:spacing w:before="240" w:after="31" w:line="240" w:lineRule="auto"/>
        <w:jc w:val="both"/>
        <w:rPr>
          <w:rFonts w:ascii="Arial" w:hAnsi="Arial" w:cs="Arial"/>
          <w:sz w:val="20"/>
          <w:szCs w:val="24"/>
        </w:rPr>
      </w:pPr>
      <w:r w:rsidRPr="00291460">
        <w:rPr>
          <w:rFonts w:ascii="Arial" w:hAnsi="Arial" w:cs="Arial"/>
          <w:sz w:val="20"/>
          <w:szCs w:val="24"/>
        </w:rPr>
        <w:t xml:space="preserve">Food crops including Fluted Pumpkin and fresh chili pepper were collected from two farms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Local Government Area, Maize (white and yellow) and Beans (white and brown) were collected from three different major markets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for pesticide residue analysis. The food crops were purchased from their sellers in the </w:t>
      </w:r>
      <w:proofErr w:type="gramStart"/>
      <w:r w:rsidRPr="00291460">
        <w:rPr>
          <w:rFonts w:ascii="Arial" w:hAnsi="Arial" w:cs="Arial"/>
          <w:sz w:val="20"/>
          <w:szCs w:val="24"/>
        </w:rPr>
        <w:t>open air</w:t>
      </w:r>
      <w:proofErr w:type="gramEnd"/>
      <w:r w:rsidRPr="00291460">
        <w:rPr>
          <w:rFonts w:ascii="Arial" w:hAnsi="Arial" w:cs="Arial"/>
          <w:sz w:val="20"/>
          <w:szCs w:val="24"/>
        </w:rPr>
        <w:t xml:space="preserve"> market the same way as the local buyers get the food crops for consumption. </w:t>
      </w:r>
    </w:p>
    <w:p w14:paraId="540E3282" w14:textId="77777777" w:rsidR="001E5B1A" w:rsidRPr="00BB57AC" w:rsidRDefault="001E5B1A" w:rsidP="005F3B82">
      <w:pPr>
        <w:pStyle w:val="Heading1"/>
        <w:spacing w:after="240"/>
        <w:rPr>
          <w:rFonts w:ascii="Arial" w:hAnsi="Arial" w:cs="Arial"/>
          <w:sz w:val="22"/>
        </w:rPr>
      </w:pPr>
      <w:bookmarkStart w:id="2" w:name="_Toc182172214"/>
      <w:r w:rsidRPr="00BB57AC">
        <w:rPr>
          <w:rFonts w:ascii="Arial" w:hAnsi="Arial" w:cs="Arial"/>
          <w:sz w:val="22"/>
        </w:rPr>
        <w:t>2.2</w:t>
      </w:r>
      <w:r w:rsidRPr="00BB57AC">
        <w:rPr>
          <w:rFonts w:ascii="Arial" w:hAnsi="Arial" w:cs="Arial"/>
          <w:sz w:val="22"/>
        </w:rPr>
        <w:tab/>
        <w:t>Sample Selection</w:t>
      </w:r>
      <w:bookmarkEnd w:id="2"/>
    </w:p>
    <w:p w14:paraId="3FB4788C"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The food crops were selected randomly from two (2) farms and three (3</w:t>
      </w:r>
      <w:proofErr w:type="gramStart"/>
      <w:r w:rsidRPr="00291460">
        <w:rPr>
          <w:rFonts w:ascii="Arial" w:hAnsi="Arial" w:cs="Arial"/>
          <w:sz w:val="20"/>
          <w:szCs w:val="24"/>
        </w:rPr>
        <w:t>)  different</w:t>
      </w:r>
      <w:proofErr w:type="gramEnd"/>
      <w:r w:rsidRPr="00291460">
        <w:rPr>
          <w:rFonts w:ascii="Arial" w:hAnsi="Arial" w:cs="Arial"/>
          <w:sz w:val="20"/>
          <w:szCs w:val="24"/>
        </w:rPr>
        <w:t xml:space="preserve"> markets for this study (namely: </w:t>
      </w:r>
      <w:proofErr w:type="spellStart"/>
      <w:r w:rsidRPr="00291460">
        <w:rPr>
          <w:rFonts w:ascii="Arial" w:hAnsi="Arial" w:cs="Arial"/>
          <w:sz w:val="20"/>
          <w:szCs w:val="24"/>
        </w:rPr>
        <w:t>Domitas</w:t>
      </w:r>
      <w:proofErr w:type="spellEnd"/>
      <w:r w:rsidRPr="00291460">
        <w:rPr>
          <w:rFonts w:ascii="Arial" w:hAnsi="Arial" w:cs="Arial"/>
          <w:sz w:val="20"/>
          <w:szCs w:val="24"/>
        </w:rPr>
        <w:t xml:space="preserve"> farm and </w:t>
      </w:r>
      <w:proofErr w:type="spellStart"/>
      <w:r w:rsidRPr="00291460">
        <w:rPr>
          <w:rFonts w:ascii="Arial" w:hAnsi="Arial" w:cs="Arial"/>
          <w:sz w:val="20"/>
          <w:szCs w:val="24"/>
        </w:rPr>
        <w:t>Vickas</w:t>
      </w:r>
      <w:proofErr w:type="spellEnd"/>
      <w:r w:rsidRPr="00291460">
        <w:rPr>
          <w:rFonts w:ascii="Arial" w:hAnsi="Arial" w:cs="Arial"/>
          <w:sz w:val="20"/>
          <w:szCs w:val="24"/>
        </w:rPr>
        <w:t xml:space="preserve"> farm, Akpan </w:t>
      </w:r>
      <w:proofErr w:type="spellStart"/>
      <w:r w:rsidRPr="00291460">
        <w:rPr>
          <w:rFonts w:ascii="Arial" w:hAnsi="Arial" w:cs="Arial"/>
          <w:sz w:val="20"/>
          <w:szCs w:val="24"/>
        </w:rPr>
        <w:t>Andem</w:t>
      </w:r>
      <w:proofErr w:type="spellEnd"/>
      <w:r w:rsidRPr="00291460">
        <w:rPr>
          <w:rFonts w:ascii="Arial" w:hAnsi="Arial" w:cs="Arial"/>
          <w:sz w:val="20"/>
          <w:szCs w:val="24"/>
        </w:rPr>
        <w:t xml:space="preserve">,  </w:t>
      </w:r>
      <w:proofErr w:type="spellStart"/>
      <w:r w:rsidRPr="00291460">
        <w:rPr>
          <w:rFonts w:ascii="Arial" w:hAnsi="Arial" w:cs="Arial"/>
          <w:sz w:val="20"/>
          <w:szCs w:val="24"/>
        </w:rPr>
        <w:t>Etuk</w:t>
      </w:r>
      <w:proofErr w:type="spellEnd"/>
      <w:r w:rsidRPr="00291460">
        <w:rPr>
          <w:rFonts w:ascii="Arial" w:hAnsi="Arial" w:cs="Arial"/>
          <w:sz w:val="20"/>
          <w:szCs w:val="24"/>
        </w:rPr>
        <w:t xml:space="preserve"> Street and </w:t>
      </w:r>
      <w:proofErr w:type="spellStart"/>
      <w:r w:rsidRPr="00291460">
        <w:rPr>
          <w:rFonts w:ascii="Arial" w:hAnsi="Arial" w:cs="Arial"/>
          <w:sz w:val="20"/>
          <w:szCs w:val="24"/>
        </w:rPr>
        <w:t>Itam</w:t>
      </w:r>
      <w:proofErr w:type="spellEnd"/>
      <w:r w:rsidRPr="00291460">
        <w:rPr>
          <w:rFonts w:ascii="Arial" w:hAnsi="Arial" w:cs="Arial"/>
          <w:sz w:val="20"/>
          <w:szCs w:val="24"/>
        </w:rPr>
        <w:t xml:space="preserve"> markets) all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w:t>
      </w:r>
      <w:proofErr w:type="spellStart"/>
      <w:r w:rsidRPr="00291460">
        <w:rPr>
          <w:rFonts w:ascii="Arial" w:hAnsi="Arial" w:cs="Arial"/>
          <w:sz w:val="20"/>
          <w:szCs w:val="24"/>
        </w:rPr>
        <w:t>Akwa</w:t>
      </w:r>
      <w:proofErr w:type="spellEnd"/>
      <w:r w:rsidRPr="00291460">
        <w:rPr>
          <w:rFonts w:ascii="Arial" w:hAnsi="Arial" w:cs="Arial"/>
          <w:sz w:val="20"/>
          <w:szCs w:val="24"/>
        </w:rPr>
        <w:t xml:space="preserve"> Ibom State, Nigeria were collected in February, 2025. The different types of food crops were sub grouped as follows: fluted pumpkin, fresh chili pepper, maize (white and yellow), and beans (white and brown species). These food crops are among the most commonly consumed crops in </w:t>
      </w:r>
      <w:proofErr w:type="spellStart"/>
      <w:r w:rsidRPr="00291460">
        <w:rPr>
          <w:rFonts w:ascii="Arial" w:hAnsi="Arial" w:cs="Arial"/>
          <w:sz w:val="20"/>
          <w:szCs w:val="24"/>
        </w:rPr>
        <w:t>Uyo</w:t>
      </w:r>
      <w:proofErr w:type="spellEnd"/>
      <w:r w:rsidRPr="00291460">
        <w:rPr>
          <w:rFonts w:ascii="Arial" w:hAnsi="Arial" w:cs="Arial"/>
          <w:sz w:val="20"/>
          <w:szCs w:val="24"/>
        </w:rPr>
        <w:t>. Each sub group is made up of 5 samples, each from two (2) farms and three (3) different markets. The fresh food samples fluted pumpkin, and cocoa bean were wrapped separately in a foil to prevent contamination. The dried food samples (maize and beans) were wrapped in black nylon bag. The amount of each sample collected was 1 kg for all the selected samples. All the wrapped fresh food samples were stored at 4°C before processing.</w:t>
      </w:r>
    </w:p>
    <w:p w14:paraId="09816C1A" w14:textId="77777777" w:rsidR="001E5B1A" w:rsidRPr="00BB57AC" w:rsidRDefault="001E5B1A" w:rsidP="005F3B82">
      <w:pPr>
        <w:pStyle w:val="Heading1"/>
        <w:spacing w:after="240"/>
        <w:rPr>
          <w:rFonts w:ascii="Arial" w:eastAsia="Calibri" w:hAnsi="Arial" w:cs="Arial"/>
          <w:sz w:val="22"/>
        </w:rPr>
      </w:pPr>
      <w:bookmarkStart w:id="3" w:name="_Toc182172215"/>
      <w:r w:rsidRPr="00BB57AC">
        <w:rPr>
          <w:rFonts w:ascii="Arial" w:eastAsia="Calibri" w:hAnsi="Arial" w:cs="Arial"/>
          <w:sz w:val="22"/>
        </w:rPr>
        <w:t>2.3</w:t>
      </w:r>
      <w:r w:rsidRPr="00BB57AC">
        <w:rPr>
          <w:rFonts w:ascii="Arial" w:eastAsia="Calibri" w:hAnsi="Arial" w:cs="Arial"/>
          <w:sz w:val="22"/>
        </w:rPr>
        <w:tab/>
        <w:t>Materials and chemicals</w:t>
      </w:r>
      <w:bookmarkEnd w:id="3"/>
    </w:p>
    <w:p w14:paraId="451CE1BC"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The individual certified organochlorine pesticide standards used for the identification and quantification (βHCH, γ-HCH, δ-HCH, heptachlor, aldrin, γ-chlordane, </w:t>
      </w:r>
      <w:proofErr w:type="spellStart"/>
      <w:proofErr w:type="gramStart"/>
      <w:r w:rsidRPr="00291460">
        <w:rPr>
          <w:rFonts w:ascii="Arial" w:eastAsia="Calibri" w:hAnsi="Arial" w:cs="Arial"/>
          <w:sz w:val="20"/>
          <w:szCs w:val="24"/>
        </w:rPr>
        <w:t>p,p</w:t>
      </w:r>
      <w:proofErr w:type="spellEnd"/>
      <w:proofErr w:type="gramEnd"/>
      <w:r w:rsidRPr="00291460">
        <w:rPr>
          <w:rFonts w:ascii="Arial" w:eastAsia="Calibri" w:hAnsi="Arial" w:cs="Arial"/>
          <w:sz w:val="20"/>
          <w:szCs w:val="24"/>
        </w:rPr>
        <w:t xml:space="preserve">´-DDE, </w:t>
      </w:r>
      <w:proofErr w:type="spellStart"/>
      <w:r w:rsidRPr="00291460">
        <w:rPr>
          <w:rFonts w:ascii="Arial" w:eastAsia="Calibri" w:hAnsi="Arial" w:cs="Arial"/>
          <w:sz w:val="20"/>
          <w:szCs w:val="24"/>
        </w:rPr>
        <w:t>p,p</w:t>
      </w:r>
      <w:proofErr w:type="spellEnd"/>
      <w:r w:rsidRPr="00291460">
        <w:rPr>
          <w:rFonts w:ascii="Arial" w:eastAsia="Calibri" w:hAnsi="Arial" w:cs="Arial"/>
          <w:sz w:val="20"/>
          <w:szCs w:val="24"/>
        </w:rPr>
        <w:t xml:space="preserve">´- DDT, </w:t>
      </w:r>
      <w:proofErr w:type="spellStart"/>
      <w:r w:rsidRPr="00291460">
        <w:rPr>
          <w:rFonts w:ascii="Arial" w:eastAsia="Calibri" w:hAnsi="Arial" w:cs="Arial"/>
          <w:sz w:val="20"/>
          <w:szCs w:val="24"/>
        </w:rPr>
        <w:t>p,p</w:t>
      </w:r>
      <w:proofErr w:type="spellEnd"/>
      <w:r w:rsidRPr="00291460">
        <w:rPr>
          <w:rFonts w:ascii="Arial" w:eastAsia="Calibri" w:hAnsi="Arial" w:cs="Arial"/>
          <w:sz w:val="20"/>
          <w:szCs w:val="24"/>
        </w:rPr>
        <w:t xml:space="preserve">´-DDD, dieldrin, endrin, α-endosulfan, β-endosulfan, endosulfan-sulfate and methoxychlor) were obtained from Sigma-Aldrich (St. Louis, MO, USA) with certified purity of 98 % and stored in the </w:t>
      </w:r>
      <w:r w:rsidRPr="00291460">
        <w:rPr>
          <w:rFonts w:ascii="Arial" w:eastAsia="Calibri" w:hAnsi="Arial" w:cs="Arial"/>
          <w:sz w:val="20"/>
          <w:szCs w:val="24"/>
        </w:rPr>
        <w:lastRenderedPageBreak/>
        <w:t>freezer to minimize degradation. Pesticide residue grade acetonitrile (99.5 %), acetone, sodium chloride (NaCl), anhydrous magnesium sulphate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Primary Secondary Amine (PSA) were purchased from a chemical shop in </w:t>
      </w:r>
      <w:proofErr w:type="spellStart"/>
      <w:r w:rsidRPr="00291460">
        <w:rPr>
          <w:rFonts w:ascii="Arial" w:eastAsia="Calibri" w:hAnsi="Arial" w:cs="Arial"/>
          <w:sz w:val="20"/>
          <w:szCs w:val="24"/>
        </w:rPr>
        <w:t>Uyo</w:t>
      </w:r>
      <w:proofErr w:type="spellEnd"/>
      <w:r w:rsidRPr="00291460">
        <w:rPr>
          <w:rFonts w:ascii="Arial" w:eastAsia="Calibri" w:hAnsi="Arial" w:cs="Arial"/>
          <w:sz w:val="20"/>
          <w:szCs w:val="24"/>
        </w:rPr>
        <w:t>.</w:t>
      </w:r>
    </w:p>
    <w:p w14:paraId="000CBD4C" w14:textId="77777777" w:rsidR="001E5B1A" w:rsidRPr="00BB57AC" w:rsidRDefault="001E5B1A" w:rsidP="005F3B82">
      <w:pPr>
        <w:tabs>
          <w:tab w:val="left" w:pos="720"/>
          <w:tab w:val="left" w:pos="1440"/>
          <w:tab w:val="left" w:pos="2160"/>
          <w:tab w:val="left" w:pos="3218"/>
        </w:tabs>
        <w:spacing w:before="240" w:line="240" w:lineRule="auto"/>
        <w:jc w:val="both"/>
        <w:rPr>
          <w:rFonts w:ascii="Arial" w:hAnsi="Arial" w:cs="Arial"/>
          <w:b/>
          <w:bCs/>
          <w:sz w:val="20"/>
          <w:szCs w:val="24"/>
          <w:u w:val="single"/>
        </w:rPr>
      </w:pPr>
      <w:r w:rsidRPr="00BB57AC">
        <w:rPr>
          <w:rFonts w:ascii="Arial" w:hAnsi="Arial" w:cs="Arial"/>
          <w:b/>
          <w:bCs/>
          <w:sz w:val="20"/>
          <w:szCs w:val="24"/>
          <w:u w:val="single"/>
        </w:rPr>
        <w:t>2.3.1</w:t>
      </w:r>
      <w:r w:rsidRPr="00BB57AC">
        <w:rPr>
          <w:rFonts w:ascii="Arial" w:hAnsi="Arial" w:cs="Arial"/>
          <w:b/>
          <w:bCs/>
          <w:sz w:val="20"/>
          <w:szCs w:val="24"/>
          <w:u w:val="single"/>
        </w:rPr>
        <w:tab/>
        <w:t>Analytical ap</w:t>
      </w:r>
      <w:r w:rsidR="00BB57AC">
        <w:rPr>
          <w:rFonts w:ascii="Arial" w:hAnsi="Arial" w:cs="Arial"/>
          <w:b/>
          <w:bCs/>
          <w:sz w:val="20"/>
          <w:szCs w:val="24"/>
          <w:u w:val="single"/>
        </w:rPr>
        <w:t xml:space="preserve">paratus </w:t>
      </w:r>
      <w:r w:rsidR="00291460">
        <w:rPr>
          <w:rFonts w:ascii="Arial" w:hAnsi="Arial" w:cs="Arial"/>
          <w:b/>
          <w:bCs/>
          <w:sz w:val="20"/>
          <w:szCs w:val="24"/>
          <w:u w:val="single"/>
        </w:rPr>
        <w:tab/>
      </w:r>
    </w:p>
    <w:p w14:paraId="03C6B17A" w14:textId="77777777" w:rsidR="001E5B1A" w:rsidRPr="00291460" w:rsidRDefault="001E5B1A" w:rsidP="005F3B82">
      <w:pPr>
        <w:spacing w:after="160" w:line="240" w:lineRule="auto"/>
        <w:jc w:val="both"/>
        <w:rPr>
          <w:rFonts w:ascii="Arial" w:hAnsi="Arial" w:cs="Arial"/>
          <w:sz w:val="20"/>
          <w:szCs w:val="24"/>
        </w:rPr>
      </w:pPr>
      <w:r w:rsidRPr="00291460">
        <w:rPr>
          <w:rFonts w:ascii="Arial" w:hAnsi="Arial" w:cs="Arial"/>
          <w:sz w:val="20"/>
          <w:szCs w:val="24"/>
        </w:rPr>
        <w:t xml:space="preserve">Electric balance, Model: AY- 220, Shimadzu Corporation, Japan, Centrifuge machine, Model: Sigma 3k 30, Germany, Vortex mixer, Model: Maxi max ii, USA, GC-2010, Shimadzu corporation, Japan, Electric blender. </w:t>
      </w:r>
      <w:r w:rsidRPr="00291460">
        <w:rPr>
          <w:rFonts w:ascii="Arial" w:eastAsia="Calibri" w:hAnsi="Arial" w:cs="Arial"/>
          <w:sz w:val="20"/>
          <w:szCs w:val="24"/>
        </w:rPr>
        <w:t>Other apparatus used for this experiment include conical flask, filter paper, beakers, porcelain mortar and pestle, foil paper, sample bottle</w:t>
      </w:r>
    </w:p>
    <w:p w14:paraId="789356E1" w14:textId="77777777" w:rsidR="001E5B1A" w:rsidRPr="00BB57AC" w:rsidRDefault="001E5B1A" w:rsidP="005F3B82">
      <w:pPr>
        <w:pStyle w:val="Heading1"/>
        <w:spacing w:after="240"/>
        <w:rPr>
          <w:rFonts w:ascii="Arial" w:eastAsia="Calibri" w:hAnsi="Arial" w:cs="Arial"/>
          <w:sz w:val="22"/>
        </w:rPr>
      </w:pPr>
      <w:bookmarkStart w:id="4" w:name="_Toc182172217"/>
      <w:r w:rsidRPr="00BB57AC">
        <w:rPr>
          <w:rFonts w:ascii="Arial" w:eastAsia="Calibri" w:hAnsi="Arial" w:cs="Arial"/>
          <w:sz w:val="22"/>
        </w:rPr>
        <w:t>2.4</w:t>
      </w:r>
      <w:r w:rsidRPr="00BB57AC">
        <w:rPr>
          <w:rFonts w:ascii="Arial" w:eastAsia="Calibri" w:hAnsi="Arial" w:cs="Arial"/>
          <w:sz w:val="22"/>
        </w:rPr>
        <w:tab/>
        <w:t>Preparation of Pesticide Standard Solution</w:t>
      </w:r>
      <w:bookmarkEnd w:id="4"/>
    </w:p>
    <w:p w14:paraId="47790120"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Pesticides standard stock solutions (1000 mg/L) of each of the certified reference organochlorine pesticide standards were prepared by pipetting the appropriate aliquot or weight of the certified reference pesticide into 25 mL volumetric flasks, and then dissolving and diluting with acetone with the aid of a vortex mixer. Stock solutions were stored in refrigerator. Working solutions of the pesticide standards for use as fortification standards in the procedural recovery process, and as calibration standards in the instrument calibration were freshly prepared through the dilution of an appropriate aliquot of the stock solutions with acetone. </w:t>
      </w:r>
    </w:p>
    <w:p w14:paraId="082CF4FB" w14:textId="77777777" w:rsidR="001E5B1A" w:rsidRPr="00BB57AC" w:rsidRDefault="001E5B1A" w:rsidP="005F3B82">
      <w:pPr>
        <w:pStyle w:val="Heading1"/>
        <w:spacing w:after="240"/>
        <w:rPr>
          <w:rFonts w:ascii="Arial" w:eastAsia="Calibri" w:hAnsi="Arial" w:cs="Arial"/>
          <w:sz w:val="22"/>
        </w:rPr>
      </w:pPr>
      <w:bookmarkStart w:id="5" w:name="_Toc182172218"/>
      <w:r w:rsidRPr="00BB57AC">
        <w:rPr>
          <w:rFonts w:ascii="Arial" w:eastAsia="Calibri" w:hAnsi="Arial" w:cs="Arial"/>
          <w:sz w:val="22"/>
        </w:rPr>
        <w:t>2.5</w:t>
      </w:r>
      <w:r w:rsidRPr="00BB57AC">
        <w:rPr>
          <w:rFonts w:ascii="Arial" w:eastAsia="Calibri" w:hAnsi="Arial" w:cs="Arial"/>
          <w:sz w:val="22"/>
        </w:rPr>
        <w:tab/>
        <w:t>Preparation of Samples</w:t>
      </w:r>
      <w:bookmarkEnd w:id="5"/>
    </w:p>
    <w:p w14:paraId="3FBEF82E"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whole unit of each pumpkin leaf sample cut into small pieces and mixed properly. Clean air tight polythene bags were used to store chopped sample in refrigerator at - 20°C until extraction and cleanup process started. 2 kg chili pepper samples were crushed with porcelain mortar and pestle under ambient laboratory conditions. Then 200 g of the pepper samples were further homogenized for 2 min and samples preserved in clean air tight polythene bags in refrigerator at - 20°C until extraction and cleanup process started.</w:t>
      </w:r>
    </w:p>
    <w:p w14:paraId="1C43E2FE"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Each dry sample, </w:t>
      </w:r>
      <w:r w:rsidRPr="00291460">
        <w:rPr>
          <w:rFonts w:ascii="Arial" w:hAnsi="Arial" w:cs="Arial"/>
          <w:sz w:val="20"/>
          <w:szCs w:val="24"/>
        </w:rPr>
        <w:t>maize (white and yellow) and beans (white and brown)</w:t>
      </w:r>
      <w:r w:rsidRPr="00291460">
        <w:rPr>
          <w:rFonts w:ascii="Arial" w:eastAsia="Calibri" w:hAnsi="Arial" w:cs="Arial"/>
          <w:sz w:val="20"/>
          <w:szCs w:val="24"/>
        </w:rPr>
        <w:t xml:space="preserve"> were individually pulverized using a porcelain mortar and pestle to achieve a powdered consistency. All pulverized samples were wrapped in aluminum foil and labeled properly.</w:t>
      </w:r>
    </w:p>
    <w:p w14:paraId="7367DB6C" w14:textId="77777777" w:rsidR="001E5B1A" w:rsidRPr="00BB57AC" w:rsidRDefault="001E5B1A" w:rsidP="005F3B82">
      <w:pPr>
        <w:pStyle w:val="Heading2"/>
        <w:spacing w:after="240" w:line="240" w:lineRule="auto"/>
        <w:rPr>
          <w:rFonts w:ascii="Arial" w:eastAsia="Calibri" w:hAnsi="Arial" w:cs="Arial"/>
          <w:sz w:val="22"/>
        </w:rPr>
      </w:pPr>
      <w:bookmarkStart w:id="6" w:name="_Toc182172219"/>
      <w:r w:rsidRPr="00BB57AC">
        <w:rPr>
          <w:rFonts w:ascii="Arial" w:eastAsia="Calibri" w:hAnsi="Arial" w:cs="Arial"/>
          <w:sz w:val="22"/>
        </w:rPr>
        <w:t>2.6</w:t>
      </w:r>
      <w:r w:rsidRPr="00BB57AC">
        <w:rPr>
          <w:rFonts w:ascii="Arial" w:eastAsia="Calibri" w:hAnsi="Arial" w:cs="Arial"/>
          <w:sz w:val="22"/>
        </w:rPr>
        <w:tab/>
        <w:t>Extraction and Clean up</w:t>
      </w:r>
      <w:bookmarkEnd w:id="6"/>
    </w:p>
    <w:p w14:paraId="7259C46E"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Quick, Easy, Cheap, Effective, Rugged and Safe (</w:t>
      </w:r>
      <w:proofErr w:type="spellStart"/>
      <w:r w:rsidRPr="00291460">
        <w:rPr>
          <w:rFonts w:ascii="Arial" w:eastAsia="Calibri" w:hAnsi="Arial" w:cs="Arial"/>
          <w:sz w:val="20"/>
          <w:szCs w:val="24"/>
        </w:rPr>
        <w:t>QuEChERS</w:t>
      </w:r>
      <w:proofErr w:type="spellEnd"/>
      <w:r w:rsidRPr="00291460">
        <w:rPr>
          <w:rFonts w:ascii="Arial" w:eastAsia="Calibri" w:hAnsi="Arial" w:cs="Arial"/>
          <w:sz w:val="20"/>
          <w:szCs w:val="24"/>
        </w:rPr>
        <w:t>) extraction method is one of the latest extractions and clean up techniques for pesticide residue analysis in food matrices which is an anagram for Quick, Easy, Cheap, Effective, Rugged and Safe. A representative 10 g portion of thoroughly homogenized samples were weighed into a 50 mL polypropylene centrifuge tubes. Then 10mL of acetonitrile (</w:t>
      </w:r>
      <w:proofErr w:type="spellStart"/>
      <w:r w:rsidRPr="00291460">
        <w:rPr>
          <w:rFonts w:ascii="Arial" w:eastAsia="Calibri" w:hAnsi="Arial" w:cs="Arial"/>
          <w:sz w:val="20"/>
          <w:szCs w:val="24"/>
        </w:rPr>
        <w:t>MeCN</w:t>
      </w:r>
      <w:proofErr w:type="spellEnd"/>
      <w:r w:rsidRPr="00291460">
        <w:rPr>
          <w:rFonts w:ascii="Arial" w:eastAsia="Calibri" w:hAnsi="Arial" w:cs="Arial"/>
          <w:sz w:val="20"/>
          <w:szCs w:val="24"/>
        </w:rPr>
        <w:t>) was added into the centrifuge tube. The centrifuge tube was closed properly and shaken vigorously for 30 s by the use of a vortex mixer. Then, 4 g of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 g of NaCl were added into the centrifuge tube, and it was shaken immediately by the vortex mixer for 1minute to prevent the formation of magnesium sulfate aggregates. Afterwards, the extract was centrifuged for 5 min at 5000 rpm (revolution per minute). An aliquot of 3 mL of the </w:t>
      </w:r>
      <w:proofErr w:type="spellStart"/>
      <w:r w:rsidRPr="00291460">
        <w:rPr>
          <w:rFonts w:ascii="Arial" w:eastAsia="Calibri" w:hAnsi="Arial" w:cs="Arial"/>
          <w:sz w:val="20"/>
          <w:szCs w:val="24"/>
        </w:rPr>
        <w:t>MeCN</w:t>
      </w:r>
      <w:proofErr w:type="spellEnd"/>
      <w:r w:rsidRPr="00291460">
        <w:rPr>
          <w:rFonts w:ascii="Arial" w:eastAsia="Calibri" w:hAnsi="Arial" w:cs="Arial"/>
          <w:sz w:val="20"/>
          <w:szCs w:val="24"/>
        </w:rPr>
        <w:t xml:space="preserve"> layer was transferred into a 15 mL micro centrifuge tube containing 600 mg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120 mg Primary Secondary Amine (PSA). Then it was thoroughly mixed by vortex for 30 seconds and centrifuged for 5min at 4000 rpm. (Laboratory Centrifuges, Sigma-3K30, Germany). After centrifuge, a 1 mL supernatant was filtered by a 0.2 </w:t>
      </w:r>
      <w:proofErr w:type="spellStart"/>
      <w:r w:rsidRPr="00291460">
        <w:rPr>
          <w:rFonts w:ascii="Arial" w:eastAsia="Calibri" w:hAnsi="Arial" w:cs="Arial"/>
          <w:sz w:val="20"/>
          <w:szCs w:val="24"/>
        </w:rPr>
        <w:t>μm</w:t>
      </w:r>
      <w:proofErr w:type="spellEnd"/>
      <w:r w:rsidRPr="00291460">
        <w:rPr>
          <w:rFonts w:ascii="Arial" w:eastAsia="Calibri" w:hAnsi="Arial" w:cs="Arial"/>
          <w:sz w:val="20"/>
          <w:szCs w:val="24"/>
        </w:rPr>
        <w:t xml:space="preserve"> PTFE filter, and then it was taken in a clean GC vial for injection.</w:t>
      </w:r>
    </w:p>
    <w:p w14:paraId="78D19616"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 xml:space="preserve">The extracted samples were concentrated using </w:t>
      </w:r>
      <w:proofErr w:type="spellStart"/>
      <w:r w:rsidRPr="00291460">
        <w:rPr>
          <w:rFonts w:ascii="Arial" w:hAnsi="Arial" w:cs="Arial"/>
          <w:sz w:val="20"/>
          <w:szCs w:val="24"/>
        </w:rPr>
        <w:t>Kuderna</w:t>
      </w:r>
      <w:proofErr w:type="spellEnd"/>
      <w:r w:rsidRPr="00291460">
        <w:rPr>
          <w:rFonts w:ascii="Arial" w:hAnsi="Arial" w:cs="Arial"/>
          <w:sz w:val="20"/>
          <w:szCs w:val="24"/>
        </w:rPr>
        <w:t>-Danish(K-D) concentrator.</w:t>
      </w:r>
    </w:p>
    <w:p w14:paraId="1B77BA03" w14:textId="77777777" w:rsidR="001E5B1A" w:rsidRPr="00BB57AC" w:rsidRDefault="001E5B1A" w:rsidP="005F3B82">
      <w:pPr>
        <w:pStyle w:val="Heading2"/>
        <w:spacing w:after="240" w:line="240" w:lineRule="auto"/>
        <w:rPr>
          <w:rFonts w:ascii="Arial" w:eastAsia="Calibri" w:hAnsi="Arial" w:cs="Arial"/>
          <w:sz w:val="22"/>
        </w:rPr>
      </w:pPr>
      <w:bookmarkStart w:id="7" w:name="_Toc182172220"/>
      <w:r w:rsidRPr="00BB57AC">
        <w:rPr>
          <w:rFonts w:ascii="Arial" w:eastAsia="Calibri" w:hAnsi="Arial" w:cs="Arial"/>
          <w:sz w:val="22"/>
        </w:rPr>
        <w:t>2.7</w:t>
      </w:r>
      <w:r w:rsidRPr="00BB57AC">
        <w:rPr>
          <w:rFonts w:ascii="Arial" w:eastAsia="Calibri" w:hAnsi="Arial" w:cs="Arial"/>
          <w:sz w:val="22"/>
        </w:rPr>
        <w:tab/>
        <w:t>Detection and quantification of pesticide residues in samples</w:t>
      </w:r>
      <w:bookmarkEnd w:id="7"/>
    </w:p>
    <w:p w14:paraId="5B27CDD8"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The concentrated extracts were subjected to analysis by Gas Chromatography (GC-2010 Shimadzu) with Mass spectrometer (MS) for the detection of organochlorine pesticides. An external standard method using peak area was employed in the quantification of residues in the sample extracts. A standard mixture of known concentration of organochlorine pesticides was run and the response of the detector for each compound ascertained. The area of the corresponding peak in the sample was compared with that of the standard and the peak areas whose retention times coincided with the standards were extrapolated on their corresponding calibration curves to obtain the concentration. All analyses were carried out in triplicates and the mean concentrations computed accordingly. The limit of reporting of the residues determined was based on the extract of the fortified samples that were serially diluted by factor of two to give different concentrations. One out of each concentration that </w:t>
      </w:r>
      <w:r w:rsidRPr="00291460">
        <w:rPr>
          <w:rFonts w:ascii="Arial" w:eastAsia="Calibri" w:hAnsi="Arial" w:cs="Arial"/>
          <w:sz w:val="20"/>
          <w:szCs w:val="24"/>
        </w:rPr>
        <w:lastRenderedPageBreak/>
        <w:t xml:space="preserve">gave a response three times the standard deviation of the least fortified sample was noted. This was used to estimate the statistical significance of differences between low level analyte responses and the combined uncertainties in both the analyte and the background measurement. The limit of reporting for the organochlorine pesticide residues was 0.005 mg/kg. </w:t>
      </w:r>
    </w:p>
    <w:p w14:paraId="2110BF9F" w14:textId="77777777"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The instrument conditions are described as follows: -</w:t>
      </w:r>
    </w:p>
    <w:p w14:paraId="1A93FCAC" w14:textId="77777777"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 xml:space="preserve">The extracted samples were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for organochlorine pesticides by Gas Chromatography- Mass Spectrometry with an Agilent 6890A gas chromatography (GC) interfaced with an Agilent 5973 mass selective detector (Agilent Technologies, Santa Clara, USA). A DB-5 capillary column (30 m length × 0.25 µm film thickness × 0.25 mm) was used for separation, and pure helium gas at a flow velocity of 1 mL/min was used as the carrier gas. The gas chromatographic column had an initial temperature of 80°C, which was held for 2 min, and was then increased from 25°C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to 150°C; it was further raised to 200°C at 3°C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and finally increased to 300°C at 2°C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Temperature of the injection port, ion source, quadrupole, and transfer line were 250, 230, 150, and 280°C respectively. The sample was injected into the GC via a pulsed </w:t>
      </w:r>
      <w:proofErr w:type="spellStart"/>
      <w:r w:rsidRPr="00291460">
        <w:rPr>
          <w:rFonts w:ascii="Arial" w:eastAsia="Calibri" w:hAnsi="Arial" w:cs="Arial"/>
          <w:sz w:val="20"/>
          <w:szCs w:val="24"/>
        </w:rPr>
        <w:t>splitless</w:t>
      </w:r>
      <w:proofErr w:type="spellEnd"/>
      <w:r w:rsidRPr="00291460">
        <w:rPr>
          <w:rFonts w:ascii="Arial" w:eastAsia="Calibri" w:hAnsi="Arial" w:cs="Arial"/>
          <w:sz w:val="20"/>
          <w:szCs w:val="24"/>
        </w:rPr>
        <w:t xml:space="preserve"> mode with an injection volume of 3 µL.</w:t>
      </w:r>
    </w:p>
    <w:p w14:paraId="3A511805" w14:textId="77777777" w:rsidR="001E5B1A" w:rsidRPr="00BB57AC" w:rsidRDefault="001E5B1A" w:rsidP="005F3B82">
      <w:pPr>
        <w:pStyle w:val="Heading1"/>
        <w:spacing w:after="240"/>
        <w:rPr>
          <w:rFonts w:ascii="Arial" w:eastAsia="Calibri" w:hAnsi="Arial" w:cs="Arial"/>
          <w:sz w:val="22"/>
        </w:rPr>
      </w:pPr>
      <w:bookmarkStart w:id="8" w:name="_Toc182172221"/>
      <w:r w:rsidRPr="00BB57AC">
        <w:rPr>
          <w:rFonts w:ascii="Arial" w:eastAsia="Calibri" w:hAnsi="Arial" w:cs="Arial"/>
          <w:sz w:val="22"/>
        </w:rPr>
        <w:t>2.8</w:t>
      </w:r>
      <w:r w:rsidRPr="00BB57AC">
        <w:rPr>
          <w:rFonts w:ascii="Arial" w:eastAsia="Calibri" w:hAnsi="Arial" w:cs="Arial"/>
          <w:sz w:val="22"/>
        </w:rPr>
        <w:tab/>
        <w:t>Quality Control and Quality Assurance</w:t>
      </w:r>
      <w:bookmarkEnd w:id="8"/>
      <w:r w:rsidRPr="00BB57AC">
        <w:rPr>
          <w:rFonts w:ascii="Arial" w:eastAsia="Calibri" w:hAnsi="Arial" w:cs="Arial"/>
          <w:sz w:val="22"/>
        </w:rPr>
        <w:t xml:space="preserve"> </w:t>
      </w:r>
    </w:p>
    <w:p w14:paraId="541340DF" w14:textId="77777777" w:rsidR="001E5B1A" w:rsidRPr="00291460" w:rsidRDefault="001E5B1A" w:rsidP="005F3B82">
      <w:pPr>
        <w:spacing w:line="240" w:lineRule="auto"/>
        <w:jc w:val="both"/>
        <w:rPr>
          <w:rFonts w:ascii="Arial" w:eastAsia="Calibri" w:hAnsi="Arial" w:cs="Arial"/>
          <w:sz w:val="20"/>
          <w:szCs w:val="24"/>
        </w:rPr>
      </w:pPr>
      <w:r w:rsidRPr="00291460">
        <w:rPr>
          <w:rFonts w:ascii="Arial" w:eastAsia="Calibri" w:hAnsi="Arial" w:cs="Arial"/>
          <w:sz w:val="20"/>
          <w:szCs w:val="24"/>
        </w:rPr>
        <w:t xml:space="preserve">Quality control and quality assurance were incorporated in the analytical scheme. To ensure the validity of results, the following measures were taken. All glass ware used for analysis (extraction and clean ups) were rigorously washed with detergent and tap water. They were then rinsed with distilled water, thoroughly rinsed with analytical grade acetone and dried overnight in an oven at 150°C. The glassware was then removed from the oven and allowed to cool down and stored in dust free cabinets. The quality of organochlorine pesticide residues was assured through the analysis of solvent blanks, procedural matrix blanks and triplicate samples. All reagents used during the analysis followed the same extraction procedures. Solvent used were run to verify any interfering substances within the runtime. Prior to sample analysis, standards for all 20 organochlorine pesticides were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to verify adequate system performance. There was satisfactory agreement of data with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standards prior to sample analyses and between sample runs. In order to prevent background contamination, reagent blank in triplicate were included in each batch of sample analysis and three spiked samples in triplicate were also done to confirm satisfactory pesticide recovery.</w:t>
      </w:r>
    </w:p>
    <w:p w14:paraId="01AC88AD" w14:textId="77777777" w:rsidR="001E5B1A" w:rsidRPr="00BB57AC" w:rsidRDefault="001E5B1A" w:rsidP="005F3B82">
      <w:pPr>
        <w:pStyle w:val="Heading1"/>
        <w:spacing w:after="240"/>
        <w:rPr>
          <w:rFonts w:ascii="Arial" w:hAnsi="Arial" w:cs="Arial"/>
          <w:sz w:val="22"/>
        </w:rPr>
      </w:pPr>
      <w:bookmarkStart w:id="9" w:name="_Toc182172222"/>
      <w:r w:rsidRPr="00BB57AC">
        <w:rPr>
          <w:rFonts w:ascii="Arial" w:hAnsi="Arial" w:cs="Arial"/>
          <w:sz w:val="22"/>
        </w:rPr>
        <w:t>2.9</w:t>
      </w:r>
      <w:r w:rsidRPr="00BB57AC">
        <w:rPr>
          <w:rFonts w:ascii="Arial" w:hAnsi="Arial" w:cs="Arial"/>
          <w:sz w:val="22"/>
        </w:rPr>
        <w:tab/>
        <w:t>Determination of dietary exposure (mg/kg/day)</w:t>
      </w:r>
      <w:bookmarkEnd w:id="9"/>
      <w:r w:rsidRPr="00BB57AC">
        <w:rPr>
          <w:rFonts w:ascii="Arial" w:hAnsi="Arial" w:cs="Arial"/>
          <w:sz w:val="22"/>
        </w:rPr>
        <w:t xml:space="preserve"> </w:t>
      </w:r>
    </w:p>
    <w:p w14:paraId="53040A45"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was then calculated by dividing the residue intake with the body weight (kg) of an adult. </w:t>
      </w:r>
    </w:p>
    <w:p w14:paraId="5D0AE676" w14:textId="77777777" w:rsidR="001E5B1A" w:rsidRPr="00291460" w:rsidRDefault="001E5B1A" w:rsidP="005F3B82">
      <w:pPr>
        <w:spacing w:line="240" w:lineRule="auto"/>
        <w:ind w:left="720" w:firstLine="720"/>
        <w:jc w:val="both"/>
        <w:rPr>
          <w:rFonts w:ascii="Arial" w:hAnsi="Arial" w:cs="Arial"/>
          <w:sz w:val="20"/>
          <w:szCs w:val="24"/>
        </w:rPr>
      </w:pPr>
      <w:r w:rsidRPr="00291460">
        <w:rPr>
          <w:rFonts w:ascii="Arial" w:hAnsi="Arial" w:cs="Arial"/>
          <w:sz w:val="20"/>
          <w:szCs w:val="24"/>
        </w:rPr>
        <w:t>Estimated daily intake (</w:t>
      </w:r>
      <w:proofErr w:type="gramStart"/>
      <w:r w:rsidRPr="00291460">
        <w:rPr>
          <w:rFonts w:ascii="Arial" w:hAnsi="Arial" w:cs="Arial"/>
          <w:sz w:val="20"/>
          <w:szCs w:val="24"/>
        </w:rPr>
        <w:t>EDI)  =</w:t>
      </w:r>
      <w:proofErr w:type="gramEnd"/>
      <w:r w:rsidRPr="00291460">
        <w:rPr>
          <w:rFonts w:ascii="Arial" w:hAnsi="Arial" w:cs="Arial"/>
          <w:sz w:val="20"/>
          <w:szCs w:val="24"/>
        </w:rPr>
        <w:t xml:space="preserve"> </w:t>
      </w:r>
      <m:oMath>
        <m:f>
          <m:fPr>
            <m:ctrlPr>
              <w:rPr>
                <w:rFonts w:ascii="Cambria Math" w:hAnsi="Cambria Math" w:cs="Arial"/>
                <w:i/>
                <w:sz w:val="20"/>
                <w:szCs w:val="24"/>
              </w:rPr>
            </m:ctrlPr>
          </m:fPr>
          <m:num>
            <m:r>
              <m:rPr>
                <m:sty m:val="p"/>
              </m:rPr>
              <w:rPr>
                <w:rFonts w:ascii="Cambria Math" w:hAnsi="Cambria Math" w:cs="Arial"/>
                <w:sz w:val="20"/>
                <w:szCs w:val="24"/>
              </w:rPr>
              <m:t xml:space="preserve">Food consumption × Pesticide residue amount </m:t>
            </m:r>
          </m:num>
          <m:den>
            <m:r>
              <m:rPr>
                <m:sty m:val="p"/>
              </m:rPr>
              <w:rPr>
                <w:rFonts w:ascii="Cambria Math" w:hAnsi="Cambria Math" w:cs="Arial"/>
                <w:sz w:val="20"/>
                <w:szCs w:val="24"/>
              </w:rPr>
              <m:t>Body weight</m:t>
            </m:r>
          </m:den>
        </m:f>
      </m:oMath>
    </w:p>
    <w:p w14:paraId="06383535"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consumption data for each food was obtained by extracting the mean daily consumption for an adult for Nigeria, which was developed to be used in the completion of quantitative risk assessments with regard to food chemicals (</w:t>
      </w:r>
      <w:proofErr w:type="spellStart"/>
      <w:r w:rsidRPr="00291460">
        <w:rPr>
          <w:rFonts w:ascii="Arial" w:hAnsi="Arial" w:cs="Arial"/>
          <w:sz w:val="20"/>
          <w:szCs w:val="24"/>
        </w:rPr>
        <w:t>Ingenbleek</w:t>
      </w:r>
      <w:proofErr w:type="spellEnd"/>
      <w:r w:rsidRPr="00291460">
        <w:rPr>
          <w:rFonts w:ascii="Arial" w:hAnsi="Arial" w:cs="Arial"/>
          <w:sz w:val="20"/>
          <w:szCs w:val="24"/>
        </w:rPr>
        <w:t xml:space="preserve"> </w:t>
      </w:r>
      <w:r w:rsidRPr="00291460">
        <w:rPr>
          <w:rFonts w:ascii="Arial" w:hAnsi="Arial" w:cs="Arial"/>
          <w:i/>
          <w:sz w:val="20"/>
          <w:szCs w:val="24"/>
        </w:rPr>
        <w:t>et al.,</w:t>
      </w:r>
      <w:r w:rsidRPr="00291460">
        <w:rPr>
          <w:rFonts w:ascii="Arial" w:hAnsi="Arial" w:cs="Arial"/>
          <w:sz w:val="20"/>
          <w:szCs w:val="24"/>
        </w:rPr>
        <w:t xml:space="preserve"> 2017).  The average adult body weight of 65 kg was used for the study. This was the average body weight of adult Nigerians. The per capita food consumption rates (kg/day) of the following food crops: fluted pumpkin 0.020, fresh chili pepper 0.008, beans (white and brown) 0.022, and maize (white and yellow) 0.150 (WHO/FAO, 2010) were used for the derivation of dietary exposure to pesticide residues in terms of estimated daily intake. </w:t>
      </w:r>
    </w:p>
    <w:p w14:paraId="355DDACB" w14:textId="77777777" w:rsidR="001E5B1A" w:rsidRPr="00BB57AC" w:rsidRDefault="001E5B1A" w:rsidP="005F3B82">
      <w:pPr>
        <w:pStyle w:val="Heading1"/>
        <w:spacing w:after="240"/>
        <w:rPr>
          <w:rFonts w:ascii="Arial" w:hAnsi="Arial" w:cs="Arial"/>
          <w:sz w:val="22"/>
        </w:rPr>
      </w:pPr>
      <w:bookmarkStart w:id="10" w:name="_Toc182172223"/>
      <w:r w:rsidRPr="00BB57AC">
        <w:rPr>
          <w:rFonts w:ascii="Arial" w:hAnsi="Arial" w:cs="Arial"/>
          <w:sz w:val="22"/>
        </w:rPr>
        <w:t>2.10</w:t>
      </w:r>
      <w:r w:rsidRPr="00BB57AC">
        <w:rPr>
          <w:rFonts w:ascii="Arial" w:hAnsi="Arial" w:cs="Arial"/>
          <w:sz w:val="22"/>
        </w:rPr>
        <w:tab/>
        <w:t>Chronic dietary risk assessment</w:t>
      </w:r>
      <w:bookmarkEnd w:id="10"/>
      <w:r w:rsidRPr="00BB57AC">
        <w:rPr>
          <w:rFonts w:ascii="Arial" w:hAnsi="Arial" w:cs="Arial"/>
          <w:sz w:val="22"/>
        </w:rPr>
        <w:t xml:space="preserve"> </w:t>
      </w:r>
    </w:p>
    <w:p w14:paraId="6C9F5B7C"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The risk for the long-term exposure of individual pesticide residues was assessed by using the Hazard Quotient (HQ), calculated by dividing the exposure (EDI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with the corresponding toxicological reference value, the acceptable daily intake (ADI,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(EPA, 2011). </w:t>
      </w:r>
    </w:p>
    <w:p w14:paraId="388597A9" w14:textId="77777777" w:rsidR="001E5B1A" w:rsidRPr="0076661D" w:rsidRDefault="001E5B1A" w:rsidP="005F3B82">
      <w:pPr>
        <w:spacing w:line="240" w:lineRule="auto"/>
        <w:ind w:left="720" w:firstLine="720"/>
        <w:jc w:val="both"/>
        <w:rPr>
          <w:rFonts w:ascii="Arial" w:hAnsi="Arial" w:cs="Arial"/>
          <w:sz w:val="20"/>
          <w:szCs w:val="24"/>
          <w:lang w:val="fr-FR"/>
        </w:rPr>
      </w:pPr>
      <w:r w:rsidRPr="0076661D">
        <w:rPr>
          <w:rFonts w:ascii="Arial" w:hAnsi="Arial" w:cs="Arial"/>
          <w:sz w:val="20"/>
          <w:szCs w:val="24"/>
          <w:lang w:val="fr-FR"/>
        </w:rPr>
        <w:t xml:space="preserve">Hazard Quotient (HQ) = </w:t>
      </w:r>
      <m:oMath>
        <m:f>
          <m:fPr>
            <m:ctrlPr>
              <w:rPr>
                <w:rFonts w:ascii="Cambria Math" w:hAnsi="Cambria Math" w:cs="Arial"/>
                <w:i/>
                <w:sz w:val="20"/>
                <w:szCs w:val="24"/>
              </w:rPr>
            </m:ctrlPr>
          </m:fPr>
          <m:num>
            <m:r>
              <m:rPr>
                <m:sty m:val="p"/>
              </m:rPr>
              <w:rPr>
                <w:rFonts w:ascii="Cambria Math" w:hAnsi="Cambria Math" w:cs="Arial"/>
                <w:sz w:val="20"/>
                <w:szCs w:val="24"/>
                <w:lang w:val="fr-FR"/>
              </w:rPr>
              <m:t>Estimated daily intake</m:t>
            </m:r>
          </m:num>
          <m:den>
            <m:r>
              <m:rPr>
                <m:sty m:val="p"/>
              </m:rPr>
              <w:rPr>
                <w:rFonts w:ascii="Cambria Math" w:hAnsi="Cambria Math" w:cs="Arial"/>
                <w:sz w:val="20"/>
                <w:szCs w:val="24"/>
                <w:lang w:val="fr-FR"/>
              </w:rPr>
              <m:t>Acceptable daily intake</m:t>
            </m:r>
          </m:den>
        </m:f>
      </m:oMath>
    </w:p>
    <w:p w14:paraId="781812B8"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The ADI is an estimate of the daily maximum intake of a substance over a lifetime that will not result in adverse effects at any stage in human life span. The ADI values for pesticides were taken from WHO/FAO. A value of HQ &lt; 1 indicates that lifetime consumption of commodity containing the measured level of pesticide residues could not pose health risks.  As residues of many pesticides were found in each commodity, the cumulative risk assessment of the combined exposure from a </w:t>
      </w:r>
      <w:r w:rsidRPr="00291460">
        <w:rPr>
          <w:rFonts w:ascii="Arial" w:hAnsi="Arial" w:cs="Arial"/>
          <w:sz w:val="20"/>
          <w:szCs w:val="24"/>
        </w:rPr>
        <w:lastRenderedPageBreak/>
        <w:t>given commodity was performed by using the Hazard Index (HI) method, which is calculated by summing the HQs of the individual pesticide residue.</w:t>
      </w:r>
    </w:p>
    <w:p w14:paraId="4E93255D" w14:textId="77777777"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ab/>
      </w:r>
      <w:r w:rsidRPr="00291460">
        <w:rPr>
          <w:rFonts w:ascii="Arial" w:hAnsi="Arial" w:cs="Arial"/>
          <w:sz w:val="20"/>
          <w:szCs w:val="24"/>
        </w:rPr>
        <w:tab/>
        <w:t xml:space="preserve">Hazard Index (HI) = </w:t>
      </w:r>
      <m:oMath>
        <m:nary>
          <m:naryPr>
            <m:chr m:val="∑"/>
            <m:limLoc m:val="undOvr"/>
            <m:ctrlPr>
              <w:rPr>
                <w:rFonts w:ascii="Cambria Math" w:hAnsi="Cambria Math" w:cs="Arial"/>
                <w:i/>
                <w:sz w:val="20"/>
                <w:szCs w:val="24"/>
              </w:rPr>
            </m:ctrlPr>
          </m:naryPr>
          <m:sub>
            <m:r>
              <w:rPr>
                <w:rFonts w:ascii="Cambria Math" w:hAnsi="Cambria Math" w:cs="Arial"/>
                <w:sz w:val="20"/>
                <w:szCs w:val="24"/>
              </w:rPr>
              <m:t>i=1</m:t>
            </m:r>
          </m:sub>
          <m:sup>
            <m:r>
              <w:rPr>
                <w:rFonts w:ascii="Cambria Math" w:hAnsi="Cambria Math" w:cs="Arial"/>
                <w:sz w:val="20"/>
                <w:szCs w:val="24"/>
              </w:rPr>
              <m:t>n</m:t>
            </m:r>
          </m:sup>
          <m:e>
            <m:sSub>
              <m:sSubPr>
                <m:ctrlPr>
                  <w:rPr>
                    <w:rFonts w:ascii="Cambria Math" w:hAnsi="Cambria Math" w:cs="Arial"/>
                    <w:i/>
                    <w:sz w:val="20"/>
                    <w:szCs w:val="24"/>
                  </w:rPr>
                </m:ctrlPr>
              </m:sSubPr>
              <m:e>
                <m:r>
                  <w:rPr>
                    <w:rFonts w:ascii="Cambria Math" w:hAnsi="Cambria Math" w:cs="Arial"/>
                    <w:sz w:val="20"/>
                    <w:szCs w:val="24"/>
                  </w:rPr>
                  <m:t>HQ</m:t>
                </m:r>
              </m:e>
              <m:sub>
                <m:r>
                  <w:rPr>
                    <w:rFonts w:ascii="Cambria Math" w:hAnsi="Cambria Math" w:cs="Arial"/>
                    <w:sz w:val="20"/>
                    <w:szCs w:val="24"/>
                  </w:rPr>
                  <m:t>i</m:t>
                </m:r>
              </m:sub>
            </m:sSub>
          </m:e>
        </m:nary>
      </m:oMath>
    </w:p>
    <w:p w14:paraId="7E0D38D3" w14:textId="77777777"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 xml:space="preserve">A HI value is greater than 1 indicates that the concerned commodity should be considered a risk to the consumers, whereas an HI index less than 1 indicates that its consumption should be considered safe (El Hawari </w:t>
      </w:r>
      <w:r w:rsidRPr="00291460">
        <w:rPr>
          <w:rFonts w:ascii="Arial" w:hAnsi="Arial" w:cs="Arial"/>
          <w:i/>
          <w:sz w:val="20"/>
          <w:szCs w:val="24"/>
        </w:rPr>
        <w:t>et al.,</w:t>
      </w:r>
      <w:r w:rsidRPr="00291460">
        <w:rPr>
          <w:rFonts w:ascii="Arial" w:hAnsi="Arial" w:cs="Arial"/>
          <w:sz w:val="20"/>
          <w:szCs w:val="24"/>
        </w:rPr>
        <w:t xml:space="preserve"> 2019; Gad </w:t>
      </w:r>
      <w:proofErr w:type="spellStart"/>
      <w:r w:rsidRPr="00291460">
        <w:rPr>
          <w:rFonts w:ascii="Arial" w:hAnsi="Arial" w:cs="Arial"/>
          <w:sz w:val="20"/>
          <w:szCs w:val="24"/>
        </w:rPr>
        <w:t>Alla</w:t>
      </w:r>
      <w:proofErr w:type="spellEnd"/>
      <w:r w:rsidRPr="00291460">
        <w:rPr>
          <w:rFonts w:ascii="Arial" w:hAnsi="Arial" w:cs="Arial"/>
          <w:sz w:val="20"/>
          <w:szCs w:val="24"/>
        </w:rPr>
        <w:t xml:space="preserve"> </w:t>
      </w:r>
      <w:r w:rsidRPr="00291460">
        <w:rPr>
          <w:rFonts w:ascii="Arial" w:hAnsi="Arial" w:cs="Arial"/>
          <w:i/>
          <w:sz w:val="20"/>
          <w:szCs w:val="24"/>
        </w:rPr>
        <w:t>et al.,</w:t>
      </w:r>
      <w:r w:rsidRPr="00291460">
        <w:rPr>
          <w:rFonts w:ascii="Arial" w:hAnsi="Arial" w:cs="Arial"/>
          <w:sz w:val="20"/>
          <w:szCs w:val="24"/>
        </w:rPr>
        <w:t xml:space="preserve"> 2015; Reffstrup </w:t>
      </w:r>
      <w:r w:rsidRPr="00291460">
        <w:rPr>
          <w:rFonts w:ascii="Arial" w:hAnsi="Arial" w:cs="Arial"/>
          <w:i/>
          <w:sz w:val="20"/>
          <w:szCs w:val="24"/>
        </w:rPr>
        <w:t>et al.,</w:t>
      </w:r>
      <w:r w:rsidRPr="00291460">
        <w:rPr>
          <w:rFonts w:ascii="Arial" w:hAnsi="Arial" w:cs="Arial"/>
          <w:sz w:val="20"/>
          <w:szCs w:val="24"/>
        </w:rPr>
        <w:t xml:space="preserve"> 2010).</w:t>
      </w:r>
    </w:p>
    <w:p w14:paraId="5C49E0E6" w14:textId="77777777" w:rsidR="001E5B1A" w:rsidRPr="00BB57AC" w:rsidRDefault="001E5B1A" w:rsidP="005F3B82">
      <w:pPr>
        <w:pStyle w:val="Heading1"/>
        <w:spacing w:after="240"/>
        <w:rPr>
          <w:rFonts w:ascii="Arial" w:hAnsi="Arial" w:cs="Arial"/>
          <w:sz w:val="22"/>
        </w:rPr>
      </w:pPr>
      <w:bookmarkStart w:id="11" w:name="_Toc182172224"/>
      <w:r w:rsidRPr="00BB57AC">
        <w:rPr>
          <w:rFonts w:ascii="Arial" w:hAnsi="Arial" w:cs="Arial"/>
          <w:sz w:val="22"/>
        </w:rPr>
        <w:t>2.11</w:t>
      </w:r>
      <w:r w:rsidRPr="00BB57AC">
        <w:rPr>
          <w:rFonts w:ascii="Arial" w:hAnsi="Arial" w:cs="Arial"/>
          <w:sz w:val="22"/>
        </w:rPr>
        <w:tab/>
        <w:t>Data analysis</w:t>
      </w:r>
      <w:bookmarkEnd w:id="11"/>
      <w:r w:rsidRPr="00BB57AC">
        <w:rPr>
          <w:rFonts w:ascii="Arial" w:hAnsi="Arial" w:cs="Arial"/>
          <w:sz w:val="22"/>
        </w:rPr>
        <w:t xml:space="preserve"> </w:t>
      </w:r>
    </w:p>
    <w:p w14:paraId="1945C747" w14:textId="77777777" w:rsidR="001E5B1A" w:rsidRPr="00BB57AC" w:rsidRDefault="001E5B1A" w:rsidP="005F3B82">
      <w:pPr>
        <w:spacing w:line="240" w:lineRule="auto"/>
        <w:jc w:val="both"/>
        <w:rPr>
          <w:rFonts w:ascii="Arial" w:hAnsi="Arial" w:cs="Arial"/>
          <w:szCs w:val="24"/>
        </w:rPr>
      </w:pPr>
      <w:r w:rsidRPr="00BB57AC">
        <w:rPr>
          <w:rFonts w:ascii="Arial" w:hAnsi="Arial" w:cs="Arial"/>
          <w:szCs w:val="24"/>
        </w:rPr>
        <w:t>Data were analyzed using the Statistical Package for the Social Sciences (SPSS) version 20.0. Descriptive statistics was done with the use of bar charts and pie charts of the median values of the variables, while inferential statistics was done by using the unpaired F-test. The level of significance was chosen as 0.05.</w:t>
      </w:r>
    </w:p>
    <w:p w14:paraId="24FA9B9A" w14:textId="77777777" w:rsidR="001E5B1A" w:rsidRPr="00813DD2" w:rsidRDefault="00813DD2" w:rsidP="005F3B82">
      <w:pPr>
        <w:pStyle w:val="Heading1"/>
        <w:spacing w:after="240"/>
        <w:rPr>
          <w:rFonts w:ascii="Arial" w:hAnsi="Arial" w:cs="Arial"/>
          <w:sz w:val="22"/>
        </w:rPr>
      </w:pPr>
      <w:bookmarkStart w:id="12" w:name="_Toc182172225"/>
      <w:r w:rsidRPr="00813DD2">
        <w:rPr>
          <w:rFonts w:ascii="Arial" w:hAnsi="Arial" w:cs="Arial"/>
          <w:sz w:val="22"/>
        </w:rPr>
        <w:t>3.</w:t>
      </w:r>
      <w:r w:rsidRPr="00813DD2">
        <w:rPr>
          <w:rFonts w:ascii="Arial" w:hAnsi="Arial" w:cs="Arial"/>
          <w:sz w:val="22"/>
        </w:rPr>
        <w:tab/>
      </w:r>
      <w:r w:rsidR="001E5B1A" w:rsidRPr="00813DD2">
        <w:rPr>
          <w:rFonts w:ascii="Arial" w:hAnsi="Arial" w:cs="Arial"/>
          <w:sz w:val="22"/>
        </w:rPr>
        <w:t>RESULTS AND DISCUSSION</w:t>
      </w:r>
      <w:bookmarkEnd w:id="12"/>
    </w:p>
    <w:p w14:paraId="3D302E40" w14:textId="77777777" w:rsidR="001E5B1A" w:rsidRPr="00813DD2" w:rsidRDefault="001E5B1A" w:rsidP="005F3B82">
      <w:pPr>
        <w:pStyle w:val="Heading1"/>
        <w:spacing w:after="240"/>
        <w:rPr>
          <w:rFonts w:ascii="Arial" w:hAnsi="Arial" w:cs="Arial"/>
          <w:sz w:val="22"/>
        </w:rPr>
      </w:pPr>
      <w:bookmarkStart w:id="13" w:name="_Toc182172226"/>
      <w:r w:rsidRPr="00813DD2">
        <w:rPr>
          <w:rFonts w:ascii="Arial" w:hAnsi="Arial" w:cs="Arial"/>
          <w:sz w:val="22"/>
        </w:rPr>
        <w:t>3.1</w:t>
      </w:r>
      <w:r w:rsidRPr="00813DD2">
        <w:rPr>
          <w:rFonts w:ascii="Arial" w:hAnsi="Arial" w:cs="Arial"/>
          <w:sz w:val="22"/>
        </w:rPr>
        <w:tab/>
        <w:t>RESULTS</w:t>
      </w:r>
      <w:bookmarkEnd w:id="13"/>
    </w:p>
    <w:p w14:paraId="7C6B15C7" w14:textId="77777777" w:rsidR="001E5B1A" w:rsidRPr="00291460" w:rsidRDefault="001E5B1A" w:rsidP="005F3B82">
      <w:pPr>
        <w:spacing w:after="0" w:line="240" w:lineRule="auto"/>
        <w:jc w:val="both"/>
        <w:rPr>
          <w:rFonts w:ascii="Arial" w:hAnsi="Arial" w:cs="Arial"/>
          <w:sz w:val="20"/>
          <w:szCs w:val="24"/>
        </w:rPr>
      </w:pPr>
      <w:r w:rsidRPr="00291460">
        <w:rPr>
          <w:rFonts w:ascii="Arial" w:hAnsi="Arial" w:cs="Arial"/>
          <w:sz w:val="20"/>
          <w:szCs w:val="24"/>
        </w:rPr>
        <w:t xml:space="preserve">The concentrated extracts of all the samples collected were </w:t>
      </w:r>
      <w:proofErr w:type="spellStart"/>
      <w:r w:rsidRPr="00291460">
        <w:rPr>
          <w:rFonts w:ascii="Arial" w:hAnsi="Arial" w:cs="Arial"/>
          <w:sz w:val="20"/>
          <w:szCs w:val="24"/>
        </w:rPr>
        <w:t>analysed</w:t>
      </w:r>
      <w:proofErr w:type="spellEnd"/>
      <w:r w:rsidRPr="00291460">
        <w:rPr>
          <w:rFonts w:ascii="Arial" w:hAnsi="Arial" w:cs="Arial"/>
          <w:sz w:val="20"/>
          <w:szCs w:val="24"/>
        </w:rPr>
        <w:t xml:space="preserve"> by Gas Chromatography (GC) with Mass Spectrometer (MS) Detector with the preset parameters. </w:t>
      </w:r>
    </w:p>
    <w:p w14:paraId="332F6CE7" w14:textId="77777777" w:rsidR="001E5B1A" w:rsidRDefault="001E5B1A" w:rsidP="005F3B82">
      <w:pPr>
        <w:spacing w:before="240" w:line="240" w:lineRule="auto"/>
        <w:jc w:val="both"/>
        <w:rPr>
          <w:rFonts w:ascii="Arial" w:hAnsi="Arial" w:cs="Arial"/>
          <w:sz w:val="20"/>
          <w:szCs w:val="24"/>
        </w:rPr>
      </w:pPr>
      <w:r w:rsidRPr="00291460">
        <w:rPr>
          <w:rFonts w:ascii="Arial" w:hAnsi="Arial" w:cs="Arial"/>
          <w:sz w:val="20"/>
          <w:szCs w:val="24"/>
        </w:rPr>
        <w:t xml:space="preserve">Out of the twenty pesticides tested for in subgroups of different food crops, 12(60%) were detected in fluted pumpkin from </w:t>
      </w:r>
      <w:proofErr w:type="spellStart"/>
      <w:r w:rsidRPr="00291460">
        <w:rPr>
          <w:rFonts w:ascii="Arial" w:hAnsi="Arial" w:cs="Arial"/>
          <w:sz w:val="20"/>
          <w:szCs w:val="24"/>
        </w:rPr>
        <w:t>Vickas</w:t>
      </w:r>
      <w:proofErr w:type="spellEnd"/>
      <w:r w:rsidRPr="00291460">
        <w:rPr>
          <w:rFonts w:ascii="Arial" w:hAnsi="Arial" w:cs="Arial"/>
          <w:sz w:val="20"/>
          <w:szCs w:val="24"/>
        </w:rPr>
        <w:t xml:space="preserve"> farm (PV) while 8(40%) were detected in fluted pumpkin from </w:t>
      </w:r>
      <w:proofErr w:type="spellStart"/>
      <w:r w:rsidRPr="00291460">
        <w:rPr>
          <w:rFonts w:ascii="Arial" w:hAnsi="Arial" w:cs="Arial"/>
          <w:sz w:val="20"/>
          <w:szCs w:val="24"/>
        </w:rPr>
        <w:t>Domitas</w:t>
      </w:r>
      <w:proofErr w:type="spellEnd"/>
      <w:r w:rsidRPr="00291460">
        <w:rPr>
          <w:rFonts w:ascii="Arial" w:hAnsi="Arial" w:cs="Arial"/>
          <w:sz w:val="20"/>
          <w:szCs w:val="24"/>
        </w:rPr>
        <w:t xml:space="preserve"> farm (PD) (Table 1). Of these 12 pesticides detected in the PV, only </w:t>
      </w:r>
      <w:r w:rsidRPr="00291460">
        <w:rPr>
          <w:rFonts w:ascii="Arial" w:eastAsia="Times New Roman" w:hAnsi="Arial" w:cs="Arial"/>
          <w:sz w:val="20"/>
          <w:szCs w:val="24"/>
        </w:rPr>
        <w:t xml:space="preserve">Gamma-Chlordane and Endosulfan 11 </w:t>
      </w:r>
      <w:r w:rsidRPr="00291460">
        <w:rPr>
          <w:rFonts w:ascii="Arial" w:hAnsi="Arial" w:cs="Arial"/>
          <w:sz w:val="20"/>
          <w:szCs w:val="24"/>
        </w:rPr>
        <w:t>were found at a level lower (0.041 mg/kg and 0.048 mg/kg respectively) than their maximum residue level (MRL) (0.05 mg/kg and 0.1 mg/kg respectively), whereas the other 10 pesticides were found at levels above their respective MRLs (Fig. 1). In PD, of these 8 pesticides detected, only endosulfan 1 was found at a level lower (0.034 mg/kg) than its maximum residue level (MRL) (0.1 mg/kg), the other 7 pesticides where found at levels above their respective MRLs (Fig. 1). Aldrin, alpha-chlordane, P, p' – DDE, P, p' – DDT, endrin aldehyde, endosulfan sulfate, methoxychlor and endrin ketone were not detected in any of the fluted pumpkin sub-groups.</w:t>
      </w:r>
    </w:p>
    <w:p w14:paraId="3D71AC44" w14:textId="77777777" w:rsidR="005F3B82" w:rsidRDefault="005F3B82" w:rsidP="005F3B82">
      <w:pPr>
        <w:spacing w:line="240" w:lineRule="auto"/>
        <w:jc w:val="both"/>
        <w:rPr>
          <w:rFonts w:ascii="Arial" w:hAnsi="Arial" w:cs="Arial"/>
          <w:sz w:val="20"/>
          <w:szCs w:val="24"/>
        </w:rPr>
      </w:pPr>
      <w:r w:rsidRPr="005F3B82">
        <w:rPr>
          <w:rFonts w:ascii="Arial" w:hAnsi="Arial" w:cs="Arial"/>
          <w:sz w:val="20"/>
          <w:szCs w:val="24"/>
        </w:rPr>
        <w:t xml:space="preserve">Out of the twenty pesticides tested for in subgroups of different food crops, 12(60%) were detected in chili pepper from </w:t>
      </w:r>
      <w:proofErr w:type="spellStart"/>
      <w:r w:rsidRPr="005F3B82">
        <w:rPr>
          <w:rFonts w:ascii="Arial" w:hAnsi="Arial" w:cs="Arial"/>
          <w:sz w:val="20"/>
          <w:szCs w:val="24"/>
        </w:rPr>
        <w:t>Vickas</w:t>
      </w:r>
      <w:proofErr w:type="spellEnd"/>
      <w:r w:rsidRPr="005F3B82">
        <w:rPr>
          <w:rFonts w:ascii="Arial" w:hAnsi="Arial" w:cs="Arial"/>
          <w:sz w:val="20"/>
          <w:szCs w:val="24"/>
        </w:rPr>
        <w:t xml:space="preserve"> farm (VP) while 11(55%) were detected in Chili pepper from </w:t>
      </w:r>
      <w:proofErr w:type="spellStart"/>
      <w:r w:rsidRPr="005F3B82">
        <w:rPr>
          <w:rFonts w:ascii="Arial" w:hAnsi="Arial" w:cs="Arial"/>
          <w:sz w:val="20"/>
          <w:szCs w:val="24"/>
        </w:rPr>
        <w:t>Domitas</w:t>
      </w:r>
      <w:proofErr w:type="spellEnd"/>
      <w:r w:rsidRPr="005F3B82">
        <w:rPr>
          <w:rFonts w:ascii="Arial" w:hAnsi="Arial" w:cs="Arial"/>
          <w:sz w:val="20"/>
          <w:szCs w:val="24"/>
        </w:rPr>
        <w:t xml:space="preserve"> farm (DP) (Table 1, Fig. 2). All the pesticides detected were found at a level higher than their maximum residue level (MRL). Delta-BHC, Gamma and alpha chlordane, endosulfan 1(in DP), P, p' – DDE, endosulfan 11 (in DP), P, p' – DDT, endrin aldehyde, methoxychlor (in VP) and endrin ketone were not detected in any of the chili pepper sub-group.</w:t>
      </w:r>
    </w:p>
    <w:p w14:paraId="4CEA7815" w14:textId="77777777" w:rsidR="005F3B82" w:rsidRPr="005F3B82" w:rsidRDefault="005F3B82" w:rsidP="005F3B82">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12(60%) were detected in brown beans (BB) and white beans (WB) (Table 2). In WB, of these 12 pesticides detected, endosulfan 11(0.040 mg/kg), endosulfan sulfate (0.041 mg/kg) and methoxychlor (0.142 mg/kg) were found at a level lower than their respective MRL, others were found at levels above their respective MRLs (Table 2 and Fig. 3). Of these 12 pesticides detected in the BB, only </w:t>
      </w:r>
      <w:r w:rsidRPr="005F3B82">
        <w:rPr>
          <w:rFonts w:ascii="Arial" w:eastAsia="Times New Roman" w:hAnsi="Arial" w:cs="Arial"/>
          <w:sz w:val="20"/>
          <w:szCs w:val="24"/>
        </w:rPr>
        <w:t>Endosulfan 11</w:t>
      </w:r>
      <w:r w:rsidRPr="005F3B82">
        <w:rPr>
          <w:rFonts w:ascii="Arial" w:hAnsi="Arial" w:cs="Arial"/>
          <w:sz w:val="20"/>
          <w:szCs w:val="24"/>
        </w:rPr>
        <w:t>(0.046 mg/kg) was found at a level lower than the maximum residue level (MRL) (0.1 mg/kg), the other 11 pesticides were found at levels above their respective MRLs (Table 2 and Fig. 3). Alpha-chlordane, dieldrin, P, p' – DDD, endrin aldehyde, and endrin ketone were not detected in any of the beans sub-groups.</w:t>
      </w:r>
    </w:p>
    <w:p w14:paraId="5A0D8D20" w14:textId="77777777" w:rsidR="00F047AF" w:rsidRPr="00F047AF" w:rsidRDefault="005F3B82" w:rsidP="00F047AF">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10(50%) were detected in white maize (WM) and yellow maize (YM) (Table 2 and Fig. 4). Of these 10 pesticides detected in the maize samples, only </w:t>
      </w:r>
      <w:r w:rsidRPr="005F3B82">
        <w:rPr>
          <w:rFonts w:ascii="Arial" w:eastAsia="Times New Roman" w:hAnsi="Arial" w:cs="Arial"/>
          <w:sz w:val="20"/>
          <w:szCs w:val="24"/>
        </w:rPr>
        <w:t xml:space="preserve">Endosulfan 1 and methoxychlor </w:t>
      </w:r>
      <w:r w:rsidRPr="005F3B82">
        <w:rPr>
          <w:rFonts w:ascii="Arial" w:hAnsi="Arial" w:cs="Arial"/>
          <w:sz w:val="20"/>
          <w:szCs w:val="24"/>
        </w:rPr>
        <w:t xml:space="preserve">were found at a level lower than the maximum residue level (MRL) (0.1 mg/kg and 0.5 mg/kg respectively), the other 8 pesticides were found at levels above their respective MRLs (Table 2). Alpha-chlordane, dieldrin, P, p' – DDE, P, p' – DDD, dieldrin, endrin, P, p' – DDT, endrin </w:t>
      </w:r>
      <w:proofErr w:type="spellStart"/>
      <w:proofErr w:type="gramStart"/>
      <w:r w:rsidRPr="005F3B82">
        <w:rPr>
          <w:rFonts w:ascii="Arial" w:hAnsi="Arial" w:cs="Arial"/>
          <w:sz w:val="20"/>
          <w:szCs w:val="24"/>
        </w:rPr>
        <w:t>aldehyde,endosulfan</w:t>
      </w:r>
      <w:proofErr w:type="spellEnd"/>
      <w:proofErr w:type="gramEnd"/>
      <w:r w:rsidRPr="005F3B82">
        <w:rPr>
          <w:rFonts w:ascii="Arial" w:hAnsi="Arial" w:cs="Arial"/>
          <w:sz w:val="20"/>
          <w:szCs w:val="24"/>
        </w:rPr>
        <w:t xml:space="preserve"> sulfate, and endrin ketone were not detected in any of the maize s</w:t>
      </w:r>
      <w:r w:rsidR="007E0E02">
        <w:rPr>
          <w:rFonts w:ascii="Arial" w:hAnsi="Arial" w:cs="Arial"/>
          <w:sz w:val="20"/>
          <w:szCs w:val="24"/>
        </w:rPr>
        <w:t>ub-groups.</w:t>
      </w:r>
    </w:p>
    <w:p w14:paraId="54EBFA1D" w14:textId="77777777" w:rsidR="00F047AF" w:rsidRDefault="00F047AF" w:rsidP="00F047AF">
      <w:pPr>
        <w:rPr>
          <w:rFonts w:ascii="Arial" w:hAnsi="Arial" w:cs="Arial"/>
          <w:szCs w:val="24"/>
        </w:rPr>
      </w:pPr>
    </w:p>
    <w:p w14:paraId="7BE6FD2D" w14:textId="77777777" w:rsidR="005F3B82" w:rsidRPr="00F047AF" w:rsidRDefault="005F3B82" w:rsidP="00F047AF">
      <w:pPr>
        <w:rPr>
          <w:rFonts w:ascii="Arial" w:hAnsi="Arial" w:cs="Arial"/>
          <w:szCs w:val="24"/>
        </w:rPr>
        <w:sectPr w:rsidR="005F3B82" w:rsidRPr="00F047AF" w:rsidSect="00EF760E">
          <w:headerReference w:type="even" r:id="rId7"/>
          <w:headerReference w:type="default" r:id="rId8"/>
          <w:footerReference w:type="even" r:id="rId9"/>
          <w:footerReference w:type="default" r:id="rId10"/>
          <w:headerReference w:type="first" r:id="rId11"/>
          <w:footerReference w:type="first" r:id="rId12"/>
          <w:pgSz w:w="11907" w:h="16839" w:code="9"/>
          <w:pgMar w:top="990" w:right="1440" w:bottom="990" w:left="1440" w:header="720" w:footer="720" w:gutter="0"/>
          <w:cols w:space="720"/>
          <w:titlePg/>
          <w:docGrid w:linePitch="360"/>
        </w:sectPr>
      </w:pPr>
    </w:p>
    <w:p w14:paraId="678BB4F6" w14:textId="77777777" w:rsidR="001E5B1A" w:rsidRPr="007E0E02" w:rsidRDefault="001E5B1A" w:rsidP="007E0E02">
      <w:pPr>
        <w:spacing w:line="240" w:lineRule="auto"/>
        <w:jc w:val="both"/>
        <w:rPr>
          <w:rFonts w:ascii="Arial" w:hAnsi="Arial" w:cs="Arial"/>
          <w:b/>
          <w:sz w:val="20"/>
          <w:szCs w:val="20"/>
        </w:rPr>
      </w:pPr>
      <w:r w:rsidRPr="007E0E02">
        <w:rPr>
          <w:rFonts w:ascii="Arial" w:hAnsi="Arial" w:cs="Arial"/>
          <w:b/>
          <w:sz w:val="20"/>
          <w:szCs w:val="20"/>
        </w:rPr>
        <w:lastRenderedPageBreak/>
        <w:t>Table 1: Descriptive Statistics of</w:t>
      </w:r>
      <w:r w:rsidRPr="007E0E02">
        <w:rPr>
          <w:rFonts w:ascii="Arial" w:hAnsi="Arial" w:cs="Arial"/>
          <w:sz w:val="20"/>
          <w:szCs w:val="20"/>
        </w:rPr>
        <w:t xml:space="preserve"> </w:t>
      </w:r>
      <w:r w:rsidRPr="007E0E02">
        <w:rPr>
          <w:rFonts w:ascii="Arial" w:hAnsi="Arial" w:cs="Arial"/>
          <w:b/>
          <w:sz w:val="20"/>
          <w:szCs w:val="20"/>
        </w:rPr>
        <w:t>Pesticide residues levels in fluted pumpkin and fresh chili pepper</w:t>
      </w:r>
    </w:p>
    <w:tbl>
      <w:tblPr>
        <w:tblStyle w:val="TableGrid"/>
        <w:tblW w:w="10963" w:type="dxa"/>
        <w:jc w:val="center"/>
        <w:tblLayout w:type="fixed"/>
        <w:tblLook w:val="04A0" w:firstRow="1" w:lastRow="0" w:firstColumn="1" w:lastColumn="0" w:noHBand="0" w:noVBand="1"/>
      </w:tblPr>
      <w:tblGrid>
        <w:gridCol w:w="850"/>
        <w:gridCol w:w="2162"/>
        <w:gridCol w:w="1462"/>
        <w:gridCol w:w="1530"/>
        <w:gridCol w:w="1530"/>
        <w:gridCol w:w="1719"/>
        <w:gridCol w:w="1710"/>
      </w:tblGrid>
      <w:tr w:rsidR="001E5B1A" w:rsidRPr="007E0E02" w14:paraId="4BFD6720" w14:textId="77777777" w:rsidTr="007E0E02">
        <w:trPr>
          <w:jc w:val="center"/>
        </w:trPr>
        <w:tc>
          <w:tcPr>
            <w:tcW w:w="850" w:type="dxa"/>
            <w:vMerge w:val="restart"/>
          </w:tcPr>
          <w:p w14:paraId="75AA26E4" w14:textId="77777777"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2" w:type="dxa"/>
            <w:vMerge w:val="restart"/>
          </w:tcPr>
          <w:p w14:paraId="1BA2FDC1" w14:textId="77777777" w:rsidR="001E5B1A" w:rsidRPr="007E0E02" w:rsidRDefault="001E5B1A" w:rsidP="007E0E0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6241" w:type="dxa"/>
            <w:gridSpan w:val="4"/>
            <w:tcBorders>
              <w:top w:val="single" w:sz="4" w:space="0" w:color="auto"/>
              <w:left w:val="nil"/>
              <w:bottom w:val="single" w:sz="4" w:space="0" w:color="auto"/>
              <w:right w:val="single" w:sz="4" w:space="0" w:color="auto"/>
            </w:tcBorders>
            <w:vAlign w:val="center"/>
          </w:tcPr>
          <w:p w14:paraId="56ED9194" w14:textId="77777777"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14:paraId="72F6CB01" w14:textId="77777777" w:rsidR="001E5B1A" w:rsidRPr="007E0E02" w:rsidRDefault="001E5B1A" w:rsidP="007E0E02">
            <w:pPr>
              <w:spacing w:line="480" w:lineRule="auto"/>
              <w:jc w:val="center"/>
              <w:rPr>
                <w:rFonts w:ascii="Arial" w:hAnsi="Arial" w:cs="Arial"/>
                <w:b/>
                <w:sz w:val="20"/>
                <w:szCs w:val="20"/>
              </w:rPr>
            </w:pPr>
          </w:p>
        </w:tc>
        <w:tc>
          <w:tcPr>
            <w:tcW w:w="1710" w:type="dxa"/>
            <w:vMerge w:val="restart"/>
            <w:tcBorders>
              <w:top w:val="single" w:sz="4" w:space="0" w:color="auto"/>
              <w:left w:val="nil"/>
              <w:right w:val="single" w:sz="4" w:space="0" w:color="auto"/>
            </w:tcBorders>
          </w:tcPr>
          <w:p w14:paraId="00D6E951" w14:textId="77777777" w:rsidR="001E5B1A"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p>
          <w:p w14:paraId="4FC176F5" w14:textId="77777777" w:rsidR="007E0E02" w:rsidRPr="007E0E02" w:rsidRDefault="007E0E02" w:rsidP="00B40080">
            <w:pPr>
              <w:spacing w:line="480" w:lineRule="auto"/>
              <w:jc w:val="center"/>
              <w:rPr>
                <w:rFonts w:ascii="Arial" w:eastAsia="Times New Roman" w:hAnsi="Arial" w:cs="Arial"/>
                <w:b/>
                <w:sz w:val="20"/>
                <w:szCs w:val="20"/>
              </w:rPr>
            </w:pPr>
            <w:r>
              <w:rPr>
                <w:rFonts w:ascii="Arial" w:eastAsia="Times New Roman" w:hAnsi="Arial" w:cs="Arial"/>
                <w:b/>
                <w:sz w:val="20"/>
                <w:szCs w:val="20"/>
              </w:rPr>
              <w:t>(WHO, 201</w:t>
            </w:r>
            <w:r w:rsidR="00B40080">
              <w:rPr>
                <w:rFonts w:ascii="Arial" w:eastAsia="Times New Roman" w:hAnsi="Arial" w:cs="Arial"/>
                <w:b/>
                <w:sz w:val="20"/>
                <w:szCs w:val="20"/>
              </w:rPr>
              <w:t>0</w:t>
            </w:r>
            <w:r>
              <w:rPr>
                <w:rFonts w:ascii="Arial" w:eastAsia="Times New Roman" w:hAnsi="Arial" w:cs="Arial"/>
                <w:b/>
                <w:sz w:val="20"/>
                <w:szCs w:val="20"/>
              </w:rPr>
              <w:t>)</w:t>
            </w:r>
          </w:p>
        </w:tc>
      </w:tr>
      <w:tr w:rsidR="001E5B1A" w:rsidRPr="007E0E02" w14:paraId="4E099E7A" w14:textId="77777777" w:rsidTr="007E0E02">
        <w:trPr>
          <w:jc w:val="center"/>
        </w:trPr>
        <w:tc>
          <w:tcPr>
            <w:tcW w:w="850" w:type="dxa"/>
            <w:vMerge/>
            <w:tcBorders>
              <w:bottom w:val="single" w:sz="4" w:space="0" w:color="auto"/>
            </w:tcBorders>
          </w:tcPr>
          <w:p w14:paraId="536A1EED" w14:textId="77777777" w:rsidR="001E5B1A" w:rsidRPr="007E0E02" w:rsidRDefault="001E5B1A" w:rsidP="007E0E02">
            <w:pPr>
              <w:spacing w:line="480" w:lineRule="auto"/>
              <w:jc w:val="center"/>
              <w:rPr>
                <w:rFonts w:ascii="Arial" w:hAnsi="Arial" w:cs="Arial"/>
                <w:b/>
                <w:sz w:val="20"/>
                <w:szCs w:val="20"/>
              </w:rPr>
            </w:pPr>
          </w:p>
        </w:tc>
        <w:tc>
          <w:tcPr>
            <w:tcW w:w="2162" w:type="dxa"/>
            <w:vMerge/>
            <w:tcBorders>
              <w:bottom w:val="single" w:sz="4" w:space="0" w:color="auto"/>
            </w:tcBorders>
            <w:vAlign w:val="center"/>
          </w:tcPr>
          <w:p w14:paraId="29313DF2" w14:textId="77777777" w:rsidR="001E5B1A" w:rsidRPr="007E0E02" w:rsidRDefault="001E5B1A" w:rsidP="007E0E02">
            <w:pPr>
              <w:spacing w:line="480" w:lineRule="auto"/>
              <w:jc w:val="center"/>
              <w:rPr>
                <w:rFonts w:ascii="Arial" w:hAnsi="Arial" w:cs="Arial"/>
                <w:b/>
                <w:sz w:val="20"/>
                <w:szCs w:val="20"/>
              </w:rPr>
            </w:pPr>
          </w:p>
        </w:tc>
        <w:tc>
          <w:tcPr>
            <w:tcW w:w="1462" w:type="dxa"/>
            <w:tcBorders>
              <w:top w:val="nil"/>
              <w:left w:val="nil"/>
              <w:bottom w:val="single" w:sz="4" w:space="0" w:color="auto"/>
              <w:right w:val="single" w:sz="4" w:space="0" w:color="auto"/>
            </w:tcBorders>
            <w:vAlign w:val="center"/>
          </w:tcPr>
          <w:p w14:paraId="61222A34"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PV</w:t>
            </w:r>
          </w:p>
        </w:tc>
        <w:tc>
          <w:tcPr>
            <w:tcW w:w="1530" w:type="dxa"/>
            <w:tcBorders>
              <w:top w:val="single" w:sz="4" w:space="0" w:color="auto"/>
              <w:left w:val="nil"/>
              <w:bottom w:val="single" w:sz="4" w:space="0" w:color="auto"/>
              <w:right w:val="single" w:sz="4" w:space="0" w:color="auto"/>
            </w:tcBorders>
            <w:vAlign w:val="center"/>
          </w:tcPr>
          <w:p w14:paraId="76B9FD0E"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PD</w:t>
            </w:r>
          </w:p>
        </w:tc>
        <w:tc>
          <w:tcPr>
            <w:tcW w:w="1530" w:type="dxa"/>
            <w:tcBorders>
              <w:top w:val="single" w:sz="4" w:space="0" w:color="auto"/>
              <w:left w:val="single" w:sz="4" w:space="0" w:color="auto"/>
              <w:bottom w:val="single" w:sz="4" w:space="0" w:color="auto"/>
              <w:right w:val="single" w:sz="4" w:space="0" w:color="auto"/>
            </w:tcBorders>
          </w:tcPr>
          <w:p w14:paraId="582DFF11"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VP</w:t>
            </w:r>
          </w:p>
        </w:tc>
        <w:tc>
          <w:tcPr>
            <w:tcW w:w="1719" w:type="dxa"/>
            <w:tcBorders>
              <w:top w:val="nil"/>
              <w:left w:val="single" w:sz="4" w:space="0" w:color="auto"/>
              <w:bottom w:val="single" w:sz="4" w:space="0" w:color="auto"/>
              <w:right w:val="single" w:sz="4" w:space="0" w:color="auto"/>
            </w:tcBorders>
            <w:vAlign w:val="center"/>
          </w:tcPr>
          <w:p w14:paraId="779F081D"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DP</w:t>
            </w:r>
          </w:p>
        </w:tc>
        <w:tc>
          <w:tcPr>
            <w:tcW w:w="1710" w:type="dxa"/>
            <w:vMerge/>
            <w:tcBorders>
              <w:left w:val="nil"/>
              <w:bottom w:val="single" w:sz="4" w:space="0" w:color="auto"/>
              <w:right w:val="single" w:sz="4" w:space="0" w:color="auto"/>
            </w:tcBorders>
          </w:tcPr>
          <w:p w14:paraId="2B0731AE" w14:textId="77777777" w:rsidR="001E5B1A" w:rsidRPr="007E0E02" w:rsidRDefault="001E5B1A" w:rsidP="007E0E02">
            <w:pPr>
              <w:spacing w:line="480" w:lineRule="auto"/>
              <w:jc w:val="center"/>
              <w:rPr>
                <w:rFonts w:ascii="Arial" w:hAnsi="Arial" w:cs="Arial"/>
                <w:b/>
                <w:sz w:val="20"/>
                <w:szCs w:val="20"/>
              </w:rPr>
            </w:pPr>
          </w:p>
        </w:tc>
      </w:tr>
      <w:tr w:rsidR="001E5B1A" w:rsidRPr="007E0E02" w14:paraId="732148DE" w14:textId="77777777" w:rsidTr="007E0E02">
        <w:trPr>
          <w:jc w:val="center"/>
        </w:trPr>
        <w:tc>
          <w:tcPr>
            <w:tcW w:w="850" w:type="dxa"/>
            <w:tcBorders>
              <w:top w:val="nil"/>
              <w:left w:val="single" w:sz="4" w:space="0" w:color="auto"/>
              <w:bottom w:val="single" w:sz="4" w:space="0" w:color="auto"/>
              <w:right w:val="single" w:sz="4" w:space="0" w:color="auto"/>
            </w:tcBorders>
          </w:tcPr>
          <w:p w14:paraId="621185FC"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2" w:type="dxa"/>
            <w:tcBorders>
              <w:top w:val="nil"/>
              <w:left w:val="single" w:sz="4" w:space="0" w:color="auto"/>
              <w:bottom w:val="single" w:sz="4" w:space="0" w:color="auto"/>
              <w:right w:val="single" w:sz="4" w:space="0" w:color="auto"/>
            </w:tcBorders>
            <w:vAlign w:val="center"/>
          </w:tcPr>
          <w:p w14:paraId="554E025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462" w:type="dxa"/>
            <w:tcBorders>
              <w:top w:val="nil"/>
              <w:left w:val="nil"/>
              <w:bottom w:val="single" w:sz="4" w:space="0" w:color="auto"/>
              <w:right w:val="single" w:sz="4" w:space="0" w:color="auto"/>
            </w:tcBorders>
            <w:vAlign w:val="center"/>
          </w:tcPr>
          <w:p w14:paraId="2CBBBB3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0.061±0.008</w:t>
            </w:r>
          </w:p>
        </w:tc>
        <w:tc>
          <w:tcPr>
            <w:tcW w:w="1530" w:type="dxa"/>
            <w:tcBorders>
              <w:top w:val="single" w:sz="4" w:space="0" w:color="auto"/>
              <w:left w:val="nil"/>
              <w:bottom w:val="single" w:sz="4" w:space="0" w:color="auto"/>
              <w:right w:val="single" w:sz="4" w:space="0" w:color="auto"/>
            </w:tcBorders>
            <w:vAlign w:val="center"/>
          </w:tcPr>
          <w:p w14:paraId="390AD68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0.093±0.072</w:t>
            </w:r>
          </w:p>
        </w:tc>
        <w:tc>
          <w:tcPr>
            <w:tcW w:w="1530" w:type="dxa"/>
            <w:tcBorders>
              <w:top w:val="single" w:sz="4" w:space="0" w:color="auto"/>
              <w:left w:val="single" w:sz="4" w:space="0" w:color="auto"/>
              <w:bottom w:val="single" w:sz="4" w:space="0" w:color="auto"/>
              <w:right w:val="single" w:sz="4" w:space="0" w:color="auto"/>
            </w:tcBorders>
          </w:tcPr>
          <w:p w14:paraId="6FD4917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0.161±0.018</w:t>
            </w:r>
          </w:p>
        </w:tc>
        <w:tc>
          <w:tcPr>
            <w:tcW w:w="1719" w:type="dxa"/>
            <w:tcBorders>
              <w:top w:val="nil"/>
              <w:left w:val="single" w:sz="4" w:space="0" w:color="auto"/>
              <w:bottom w:val="single" w:sz="4" w:space="0" w:color="auto"/>
              <w:right w:val="single" w:sz="4" w:space="0" w:color="auto"/>
            </w:tcBorders>
            <w:vAlign w:val="center"/>
          </w:tcPr>
          <w:p w14:paraId="48DD8AA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0.466±0.012</w:t>
            </w:r>
          </w:p>
        </w:tc>
        <w:tc>
          <w:tcPr>
            <w:tcW w:w="1710" w:type="dxa"/>
            <w:tcBorders>
              <w:top w:val="nil"/>
              <w:left w:val="nil"/>
              <w:bottom w:val="single" w:sz="4" w:space="0" w:color="auto"/>
              <w:right w:val="single" w:sz="4" w:space="0" w:color="auto"/>
            </w:tcBorders>
          </w:tcPr>
          <w:p w14:paraId="761DDFD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8242DF" w14:textId="77777777" w:rsidTr="007E0E02">
        <w:trPr>
          <w:jc w:val="center"/>
        </w:trPr>
        <w:tc>
          <w:tcPr>
            <w:tcW w:w="850" w:type="dxa"/>
            <w:tcBorders>
              <w:top w:val="nil"/>
              <w:left w:val="single" w:sz="4" w:space="0" w:color="auto"/>
              <w:bottom w:val="single" w:sz="4" w:space="0" w:color="auto"/>
              <w:right w:val="single" w:sz="4" w:space="0" w:color="auto"/>
            </w:tcBorders>
          </w:tcPr>
          <w:p w14:paraId="5EF55FF6"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2" w:type="dxa"/>
            <w:tcBorders>
              <w:top w:val="nil"/>
              <w:left w:val="single" w:sz="4" w:space="0" w:color="auto"/>
              <w:bottom w:val="single" w:sz="4" w:space="0" w:color="auto"/>
              <w:right w:val="single" w:sz="4" w:space="0" w:color="auto"/>
            </w:tcBorders>
            <w:vAlign w:val="center"/>
          </w:tcPr>
          <w:p w14:paraId="066F4F3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462" w:type="dxa"/>
            <w:tcBorders>
              <w:top w:val="nil"/>
              <w:left w:val="nil"/>
              <w:bottom w:val="single" w:sz="4" w:space="0" w:color="auto"/>
              <w:right w:val="single" w:sz="4" w:space="0" w:color="auto"/>
            </w:tcBorders>
            <w:vAlign w:val="center"/>
          </w:tcPr>
          <w:p w14:paraId="773DB0B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0.040±0.020</w:t>
            </w:r>
          </w:p>
        </w:tc>
        <w:tc>
          <w:tcPr>
            <w:tcW w:w="1530" w:type="dxa"/>
            <w:tcBorders>
              <w:top w:val="single" w:sz="4" w:space="0" w:color="auto"/>
              <w:left w:val="nil"/>
              <w:bottom w:val="single" w:sz="4" w:space="0" w:color="auto"/>
              <w:right w:val="single" w:sz="4" w:space="0" w:color="auto"/>
            </w:tcBorders>
            <w:vAlign w:val="center"/>
          </w:tcPr>
          <w:p w14:paraId="14B132E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0.123±0.036</w:t>
            </w:r>
          </w:p>
        </w:tc>
        <w:tc>
          <w:tcPr>
            <w:tcW w:w="1530" w:type="dxa"/>
            <w:tcBorders>
              <w:top w:val="single" w:sz="4" w:space="0" w:color="auto"/>
              <w:left w:val="single" w:sz="4" w:space="0" w:color="auto"/>
              <w:bottom w:val="single" w:sz="4" w:space="0" w:color="auto"/>
              <w:right w:val="single" w:sz="4" w:space="0" w:color="auto"/>
            </w:tcBorders>
          </w:tcPr>
          <w:p w14:paraId="6CF97F7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0.088±0.012</w:t>
            </w:r>
          </w:p>
        </w:tc>
        <w:tc>
          <w:tcPr>
            <w:tcW w:w="1719" w:type="dxa"/>
            <w:tcBorders>
              <w:top w:val="nil"/>
              <w:left w:val="single" w:sz="4" w:space="0" w:color="auto"/>
              <w:bottom w:val="single" w:sz="4" w:space="0" w:color="auto"/>
              <w:right w:val="single" w:sz="4" w:space="0" w:color="auto"/>
            </w:tcBorders>
            <w:vAlign w:val="center"/>
          </w:tcPr>
          <w:p w14:paraId="3A9C962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2.595±0.004</w:t>
            </w:r>
          </w:p>
        </w:tc>
        <w:tc>
          <w:tcPr>
            <w:tcW w:w="1710" w:type="dxa"/>
            <w:tcBorders>
              <w:top w:val="nil"/>
              <w:left w:val="nil"/>
              <w:bottom w:val="single" w:sz="4" w:space="0" w:color="auto"/>
              <w:right w:val="single" w:sz="4" w:space="0" w:color="auto"/>
            </w:tcBorders>
          </w:tcPr>
          <w:p w14:paraId="24395BC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238C6B4B" w14:textId="77777777" w:rsidTr="007E0E02">
        <w:trPr>
          <w:jc w:val="center"/>
        </w:trPr>
        <w:tc>
          <w:tcPr>
            <w:tcW w:w="850" w:type="dxa"/>
            <w:tcBorders>
              <w:top w:val="nil"/>
              <w:left w:val="single" w:sz="4" w:space="0" w:color="auto"/>
              <w:bottom w:val="single" w:sz="4" w:space="0" w:color="auto"/>
              <w:right w:val="single" w:sz="4" w:space="0" w:color="auto"/>
            </w:tcBorders>
          </w:tcPr>
          <w:p w14:paraId="6B4C489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2" w:type="dxa"/>
            <w:tcBorders>
              <w:top w:val="nil"/>
              <w:left w:val="single" w:sz="4" w:space="0" w:color="auto"/>
              <w:bottom w:val="single" w:sz="4" w:space="0" w:color="auto"/>
              <w:right w:val="single" w:sz="4" w:space="0" w:color="auto"/>
            </w:tcBorders>
            <w:vAlign w:val="center"/>
          </w:tcPr>
          <w:p w14:paraId="6889B20D"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462" w:type="dxa"/>
            <w:tcBorders>
              <w:top w:val="nil"/>
              <w:left w:val="nil"/>
              <w:bottom w:val="single" w:sz="4" w:space="0" w:color="auto"/>
              <w:right w:val="single" w:sz="4" w:space="0" w:color="auto"/>
            </w:tcBorders>
            <w:vAlign w:val="center"/>
          </w:tcPr>
          <w:p w14:paraId="05809DD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0.069±0.006</w:t>
            </w:r>
          </w:p>
        </w:tc>
        <w:tc>
          <w:tcPr>
            <w:tcW w:w="1530" w:type="dxa"/>
            <w:tcBorders>
              <w:top w:val="single" w:sz="4" w:space="0" w:color="auto"/>
              <w:left w:val="nil"/>
              <w:bottom w:val="single" w:sz="4" w:space="0" w:color="auto"/>
              <w:right w:val="single" w:sz="4" w:space="0" w:color="auto"/>
            </w:tcBorders>
            <w:vAlign w:val="center"/>
          </w:tcPr>
          <w:p w14:paraId="3233803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0.507±0.032</w:t>
            </w:r>
          </w:p>
        </w:tc>
        <w:tc>
          <w:tcPr>
            <w:tcW w:w="1530" w:type="dxa"/>
            <w:tcBorders>
              <w:top w:val="single" w:sz="4" w:space="0" w:color="auto"/>
              <w:left w:val="single" w:sz="4" w:space="0" w:color="auto"/>
              <w:bottom w:val="single" w:sz="4" w:space="0" w:color="auto"/>
              <w:right w:val="single" w:sz="4" w:space="0" w:color="auto"/>
            </w:tcBorders>
          </w:tcPr>
          <w:p w14:paraId="7CCAB2A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0.221±0.091</w:t>
            </w:r>
          </w:p>
        </w:tc>
        <w:tc>
          <w:tcPr>
            <w:tcW w:w="1719" w:type="dxa"/>
            <w:tcBorders>
              <w:top w:val="nil"/>
              <w:left w:val="single" w:sz="4" w:space="0" w:color="auto"/>
              <w:bottom w:val="single" w:sz="4" w:space="0" w:color="auto"/>
              <w:right w:val="single" w:sz="4" w:space="0" w:color="auto"/>
            </w:tcBorders>
            <w:vAlign w:val="center"/>
          </w:tcPr>
          <w:p w14:paraId="073436A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0.128±0.028</w:t>
            </w:r>
          </w:p>
        </w:tc>
        <w:tc>
          <w:tcPr>
            <w:tcW w:w="1710" w:type="dxa"/>
            <w:tcBorders>
              <w:top w:val="nil"/>
              <w:left w:val="nil"/>
              <w:bottom w:val="single" w:sz="4" w:space="0" w:color="auto"/>
              <w:right w:val="single" w:sz="4" w:space="0" w:color="auto"/>
            </w:tcBorders>
          </w:tcPr>
          <w:p w14:paraId="7921DF9C"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F27A380" w14:textId="77777777" w:rsidTr="007E0E02">
        <w:trPr>
          <w:jc w:val="center"/>
        </w:trPr>
        <w:tc>
          <w:tcPr>
            <w:tcW w:w="850" w:type="dxa"/>
            <w:tcBorders>
              <w:top w:val="nil"/>
              <w:left w:val="single" w:sz="4" w:space="0" w:color="auto"/>
              <w:bottom w:val="single" w:sz="4" w:space="0" w:color="auto"/>
              <w:right w:val="single" w:sz="4" w:space="0" w:color="auto"/>
            </w:tcBorders>
          </w:tcPr>
          <w:p w14:paraId="5CFCED6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2" w:type="dxa"/>
            <w:tcBorders>
              <w:top w:val="nil"/>
              <w:left w:val="single" w:sz="4" w:space="0" w:color="auto"/>
              <w:bottom w:val="single" w:sz="4" w:space="0" w:color="auto"/>
              <w:right w:val="single" w:sz="4" w:space="0" w:color="auto"/>
            </w:tcBorders>
            <w:vAlign w:val="center"/>
          </w:tcPr>
          <w:p w14:paraId="6E2C0AAA"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462" w:type="dxa"/>
            <w:tcBorders>
              <w:top w:val="nil"/>
              <w:left w:val="nil"/>
              <w:bottom w:val="single" w:sz="4" w:space="0" w:color="auto"/>
              <w:right w:val="single" w:sz="4" w:space="0" w:color="auto"/>
            </w:tcBorders>
            <w:vAlign w:val="center"/>
          </w:tcPr>
          <w:p w14:paraId="2AA206D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0.096±0.008</w:t>
            </w:r>
          </w:p>
        </w:tc>
        <w:tc>
          <w:tcPr>
            <w:tcW w:w="1530" w:type="dxa"/>
            <w:tcBorders>
              <w:top w:val="single" w:sz="4" w:space="0" w:color="auto"/>
              <w:left w:val="nil"/>
              <w:bottom w:val="single" w:sz="4" w:space="0" w:color="auto"/>
              <w:right w:val="single" w:sz="4" w:space="0" w:color="auto"/>
            </w:tcBorders>
            <w:vAlign w:val="center"/>
          </w:tcPr>
          <w:p w14:paraId="24ECE29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0.839±0.060</w:t>
            </w:r>
          </w:p>
        </w:tc>
        <w:tc>
          <w:tcPr>
            <w:tcW w:w="1530" w:type="dxa"/>
            <w:tcBorders>
              <w:top w:val="single" w:sz="4" w:space="0" w:color="auto"/>
              <w:left w:val="single" w:sz="4" w:space="0" w:color="auto"/>
              <w:bottom w:val="single" w:sz="4" w:space="0" w:color="auto"/>
              <w:right w:val="single" w:sz="4" w:space="0" w:color="auto"/>
            </w:tcBorders>
          </w:tcPr>
          <w:p w14:paraId="2EBD59BA"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0.528±0.008</w:t>
            </w:r>
          </w:p>
        </w:tc>
        <w:tc>
          <w:tcPr>
            <w:tcW w:w="1719" w:type="dxa"/>
            <w:tcBorders>
              <w:top w:val="nil"/>
              <w:left w:val="single" w:sz="4" w:space="0" w:color="auto"/>
              <w:bottom w:val="single" w:sz="4" w:space="0" w:color="auto"/>
              <w:right w:val="single" w:sz="4" w:space="0" w:color="auto"/>
            </w:tcBorders>
            <w:vAlign w:val="center"/>
          </w:tcPr>
          <w:p w14:paraId="3128081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0.476±0.002</w:t>
            </w:r>
          </w:p>
        </w:tc>
        <w:tc>
          <w:tcPr>
            <w:tcW w:w="1710" w:type="dxa"/>
            <w:tcBorders>
              <w:top w:val="nil"/>
              <w:left w:val="nil"/>
              <w:bottom w:val="single" w:sz="4" w:space="0" w:color="auto"/>
              <w:right w:val="single" w:sz="4" w:space="0" w:color="auto"/>
            </w:tcBorders>
          </w:tcPr>
          <w:p w14:paraId="67CC2EA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F89FA97" w14:textId="77777777" w:rsidTr="007E0E02">
        <w:trPr>
          <w:jc w:val="center"/>
        </w:trPr>
        <w:tc>
          <w:tcPr>
            <w:tcW w:w="850" w:type="dxa"/>
            <w:tcBorders>
              <w:top w:val="nil"/>
              <w:left w:val="single" w:sz="4" w:space="0" w:color="auto"/>
              <w:bottom w:val="single" w:sz="4" w:space="0" w:color="auto"/>
              <w:right w:val="single" w:sz="4" w:space="0" w:color="auto"/>
            </w:tcBorders>
          </w:tcPr>
          <w:p w14:paraId="4EB83A9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2" w:type="dxa"/>
            <w:tcBorders>
              <w:top w:val="nil"/>
              <w:left w:val="single" w:sz="4" w:space="0" w:color="auto"/>
              <w:bottom w:val="single" w:sz="4" w:space="0" w:color="auto"/>
              <w:right w:val="single" w:sz="4" w:space="0" w:color="auto"/>
            </w:tcBorders>
            <w:vAlign w:val="center"/>
          </w:tcPr>
          <w:p w14:paraId="0CADA66E"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462" w:type="dxa"/>
            <w:tcBorders>
              <w:top w:val="nil"/>
              <w:left w:val="nil"/>
              <w:bottom w:val="single" w:sz="4" w:space="0" w:color="auto"/>
              <w:right w:val="single" w:sz="4" w:space="0" w:color="auto"/>
            </w:tcBorders>
            <w:vAlign w:val="center"/>
          </w:tcPr>
          <w:p w14:paraId="7CD6741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0.065±0.010</w:t>
            </w:r>
          </w:p>
        </w:tc>
        <w:tc>
          <w:tcPr>
            <w:tcW w:w="1530" w:type="dxa"/>
            <w:tcBorders>
              <w:top w:val="single" w:sz="4" w:space="0" w:color="auto"/>
              <w:left w:val="nil"/>
              <w:bottom w:val="single" w:sz="4" w:space="0" w:color="auto"/>
              <w:right w:val="single" w:sz="4" w:space="0" w:color="auto"/>
            </w:tcBorders>
            <w:vAlign w:val="center"/>
          </w:tcPr>
          <w:p w14:paraId="4A2FB38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0.132±0.008</w:t>
            </w:r>
          </w:p>
        </w:tc>
        <w:tc>
          <w:tcPr>
            <w:tcW w:w="1530" w:type="dxa"/>
            <w:tcBorders>
              <w:top w:val="single" w:sz="4" w:space="0" w:color="auto"/>
              <w:left w:val="single" w:sz="4" w:space="0" w:color="auto"/>
              <w:bottom w:val="single" w:sz="4" w:space="0" w:color="auto"/>
              <w:right w:val="single" w:sz="4" w:space="0" w:color="auto"/>
            </w:tcBorders>
          </w:tcPr>
          <w:p w14:paraId="2307058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5F6CE55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6FA607E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20FA3821" w14:textId="77777777" w:rsidTr="007E0E02">
        <w:trPr>
          <w:jc w:val="center"/>
        </w:trPr>
        <w:tc>
          <w:tcPr>
            <w:tcW w:w="850" w:type="dxa"/>
            <w:tcBorders>
              <w:top w:val="nil"/>
              <w:left w:val="single" w:sz="4" w:space="0" w:color="auto"/>
              <w:bottom w:val="single" w:sz="4" w:space="0" w:color="auto"/>
              <w:right w:val="single" w:sz="4" w:space="0" w:color="auto"/>
            </w:tcBorders>
          </w:tcPr>
          <w:p w14:paraId="7B5F4C6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2" w:type="dxa"/>
            <w:tcBorders>
              <w:top w:val="nil"/>
              <w:left w:val="single" w:sz="4" w:space="0" w:color="auto"/>
              <w:bottom w:val="single" w:sz="4" w:space="0" w:color="auto"/>
              <w:right w:val="single" w:sz="4" w:space="0" w:color="auto"/>
            </w:tcBorders>
            <w:vAlign w:val="center"/>
          </w:tcPr>
          <w:p w14:paraId="12029AD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462" w:type="dxa"/>
            <w:tcBorders>
              <w:top w:val="nil"/>
              <w:left w:val="nil"/>
              <w:bottom w:val="single" w:sz="4" w:space="0" w:color="auto"/>
              <w:right w:val="single" w:sz="4" w:space="0" w:color="auto"/>
            </w:tcBorders>
            <w:vAlign w:val="center"/>
          </w:tcPr>
          <w:p w14:paraId="08FB8739" w14:textId="77777777" w:rsidR="001E5B1A" w:rsidRPr="007E0E02" w:rsidRDefault="001E5B1A" w:rsidP="007E0E02">
            <w:pPr>
              <w:spacing w:line="480" w:lineRule="auto"/>
              <w:jc w:val="center"/>
              <w:rPr>
                <w:rFonts w:ascii="Arial" w:hAnsi="Arial" w:cs="Arial"/>
                <w:sz w:val="20"/>
                <w:szCs w:val="20"/>
              </w:rPr>
            </w:pPr>
            <w:proofErr w:type="gramStart"/>
            <w:r w:rsidRPr="007E0E02">
              <w:rPr>
                <w:rFonts w:ascii="Arial" w:hAnsi="Arial" w:cs="Arial"/>
                <w:sz w:val="20"/>
                <w:szCs w:val="20"/>
              </w:rPr>
              <w:t>N.D</w:t>
            </w:r>
            <w:proofErr w:type="gramEnd"/>
          </w:p>
        </w:tc>
        <w:tc>
          <w:tcPr>
            <w:tcW w:w="1530" w:type="dxa"/>
            <w:tcBorders>
              <w:top w:val="single" w:sz="4" w:space="0" w:color="auto"/>
              <w:left w:val="nil"/>
              <w:bottom w:val="single" w:sz="4" w:space="0" w:color="auto"/>
              <w:right w:val="single" w:sz="4" w:space="0" w:color="auto"/>
            </w:tcBorders>
            <w:vAlign w:val="center"/>
          </w:tcPr>
          <w:p w14:paraId="347F4A02" w14:textId="77777777" w:rsidR="001E5B1A" w:rsidRPr="007E0E02" w:rsidRDefault="001E5B1A" w:rsidP="007E0E02">
            <w:pPr>
              <w:spacing w:line="480" w:lineRule="auto"/>
              <w:jc w:val="center"/>
              <w:rPr>
                <w:rFonts w:ascii="Arial" w:hAnsi="Arial" w:cs="Arial"/>
                <w:sz w:val="20"/>
                <w:szCs w:val="20"/>
              </w:rPr>
            </w:pPr>
            <w:proofErr w:type="gramStart"/>
            <w:r w:rsidRPr="007E0E02">
              <w:rPr>
                <w:rFonts w:ascii="Arial" w:hAnsi="Arial" w:cs="Arial"/>
                <w:sz w:val="20"/>
                <w:szCs w:val="20"/>
              </w:rPr>
              <w:t>N.D</w:t>
            </w:r>
            <w:proofErr w:type="gramEnd"/>
          </w:p>
        </w:tc>
        <w:tc>
          <w:tcPr>
            <w:tcW w:w="1530" w:type="dxa"/>
            <w:tcBorders>
              <w:top w:val="single" w:sz="4" w:space="0" w:color="auto"/>
              <w:left w:val="single" w:sz="4" w:space="0" w:color="auto"/>
              <w:bottom w:val="single" w:sz="4" w:space="0" w:color="auto"/>
              <w:right w:val="single" w:sz="4" w:space="0" w:color="auto"/>
            </w:tcBorders>
          </w:tcPr>
          <w:p w14:paraId="1247005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0.304±0.022</w:t>
            </w:r>
          </w:p>
        </w:tc>
        <w:tc>
          <w:tcPr>
            <w:tcW w:w="1719" w:type="dxa"/>
            <w:tcBorders>
              <w:top w:val="nil"/>
              <w:left w:val="single" w:sz="4" w:space="0" w:color="auto"/>
              <w:bottom w:val="single" w:sz="4" w:space="0" w:color="auto"/>
              <w:right w:val="single" w:sz="4" w:space="0" w:color="auto"/>
            </w:tcBorders>
            <w:vAlign w:val="center"/>
          </w:tcPr>
          <w:p w14:paraId="48E44293"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0.579±0.038</w:t>
            </w:r>
          </w:p>
        </w:tc>
        <w:tc>
          <w:tcPr>
            <w:tcW w:w="1710" w:type="dxa"/>
            <w:tcBorders>
              <w:top w:val="nil"/>
              <w:left w:val="nil"/>
              <w:bottom w:val="single" w:sz="4" w:space="0" w:color="auto"/>
              <w:right w:val="single" w:sz="4" w:space="0" w:color="auto"/>
            </w:tcBorders>
          </w:tcPr>
          <w:p w14:paraId="77DAD3BF"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69396391" w14:textId="77777777" w:rsidTr="007E0E02">
        <w:trPr>
          <w:jc w:val="center"/>
        </w:trPr>
        <w:tc>
          <w:tcPr>
            <w:tcW w:w="850" w:type="dxa"/>
            <w:tcBorders>
              <w:top w:val="nil"/>
              <w:left w:val="single" w:sz="4" w:space="0" w:color="auto"/>
              <w:bottom w:val="single" w:sz="4" w:space="0" w:color="auto"/>
              <w:right w:val="single" w:sz="4" w:space="0" w:color="auto"/>
            </w:tcBorders>
          </w:tcPr>
          <w:p w14:paraId="3A4819A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2" w:type="dxa"/>
            <w:tcBorders>
              <w:top w:val="nil"/>
              <w:left w:val="single" w:sz="4" w:space="0" w:color="auto"/>
              <w:bottom w:val="single" w:sz="4" w:space="0" w:color="auto"/>
              <w:right w:val="single" w:sz="4" w:space="0" w:color="auto"/>
            </w:tcBorders>
            <w:vAlign w:val="center"/>
          </w:tcPr>
          <w:p w14:paraId="7B0C5F4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462" w:type="dxa"/>
            <w:tcBorders>
              <w:top w:val="nil"/>
              <w:left w:val="nil"/>
              <w:bottom w:val="single" w:sz="4" w:space="0" w:color="auto"/>
              <w:right w:val="single" w:sz="4" w:space="0" w:color="auto"/>
            </w:tcBorders>
            <w:vAlign w:val="center"/>
          </w:tcPr>
          <w:p w14:paraId="24AFF133"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0.042±0.031</w:t>
            </w:r>
          </w:p>
        </w:tc>
        <w:tc>
          <w:tcPr>
            <w:tcW w:w="1530" w:type="dxa"/>
            <w:tcBorders>
              <w:top w:val="single" w:sz="4" w:space="0" w:color="auto"/>
              <w:left w:val="nil"/>
              <w:bottom w:val="single" w:sz="4" w:space="0" w:color="auto"/>
              <w:right w:val="single" w:sz="4" w:space="0" w:color="auto"/>
            </w:tcBorders>
            <w:vAlign w:val="center"/>
          </w:tcPr>
          <w:p w14:paraId="0CC4F33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0.029±0.010</w:t>
            </w:r>
          </w:p>
        </w:tc>
        <w:tc>
          <w:tcPr>
            <w:tcW w:w="1530" w:type="dxa"/>
            <w:tcBorders>
              <w:top w:val="single" w:sz="4" w:space="0" w:color="auto"/>
              <w:left w:val="single" w:sz="4" w:space="0" w:color="auto"/>
              <w:bottom w:val="single" w:sz="4" w:space="0" w:color="auto"/>
              <w:right w:val="single" w:sz="4" w:space="0" w:color="auto"/>
            </w:tcBorders>
          </w:tcPr>
          <w:p w14:paraId="7AB4507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0.291±0.078</w:t>
            </w:r>
          </w:p>
        </w:tc>
        <w:tc>
          <w:tcPr>
            <w:tcW w:w="1719" w:type="dxa"/>
            <w:tcBorders>
              <w:top w:val="nil"/>
              <w:left w:val="single" w:sz="4" w:space="0" w:color="auto"/>
              <w:bottom w:val="single" w:sz="4" w:space="0" w:color="auto"/>
              <w:right w:val="single" w:sz="4" w:space="0" w:color="auto"/>
            </w:tcBorders>
            <w:vAlign w:val="center"/>
          </w:tcPr>
          <w:p w14:paraId="727FAEE2"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0.184±0.012</w:t>
            </w:r>
          </w:p>
        </w:tc>
        <w:tc>
          <w:tcPr>
            <w:tcW w:w="1710" w:type="dxa"/>
            <w:tcBorders>
              <w:top w:val="nil"/>
              <w:left w:val="nil"/>
              <w:bottom w:val="single" w:sz="4" w:space="0" w:color="auto"/>
              <w:right w:val="single" w:sz="4" w:space="0" w:color="auto"/>
            </w:tcBorders>
          </w:tcPr>
          <w:p w14:paraId="2765033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14:paraId="0EFC582B" w14:textId="77777777" w:rsidTr="007E0E02">
        <w:trPr>
          <w:jc w:val="center"/>
        </w:trPr>
        <w:tc>
          <w:tcPr>
            <w:tcW w:w="850" w:type="dxa"/>
            <w:tcBorders>
              <w:top w:val="nil"/>
              <w:left w:val="single" w:sz="4" w:space="0" w:color="auto"/>
              <w:bottom w:val="single" w:sz="4" w:space="0" w:color="auto"/>
              <w:right w:val="single" w:sz="4" w:space="0" w:color="auto"/>
            </w:tcBorders>
          </w:tcPr>
          <w:p w14:paraId="59ADA4EA"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2" w:type="dxa"/>
            <w:tcBorders>
              <w:top w:val="nil"/>
              <w:left w:val="single" w:sz="4" w:space="0" w:color="auto"/>
              <w:bottom w:val="single" w:sz="4" w:space="0" w:color="auto"/>
              <w:right w:val="single" w:sz="4" w:space="0" w:color="auto"/>
            </w:tcBorders>
            <w:vAlign w:val="center"/>
          </w:tcPr>
          <w:p w14:paraId="759C8CC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462" w:type="dxa"/>
            <w:tcBorders>
              <w:top w:val="nil"/>
              <w:left w:val="nil"/>
              <w:bottom w:val="single" w:sz="4" w:space="0" w:color="auto"/>
              <w:right w:val="single" w:sz="4" w:space="0" w:color="auto"/>
            </w:tcBorders>
            <w:vAlign w:val="center"/>
          </w:tcPr>
          <w:p w14:paraId="11D1C47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0.041±0.008</w:t>
            </w:r>
          </w:p>
        </w:tc>
        <w:tc>
          <w:tcPr>
            <w:tcW w:w="1530" w:type="dxa"/>
            <w:tcBorders>
              <w:top w:val="single" w:sz="4" w:space="0" w:color="auto"/>
              <w:left w:val="nil"/>
              <w:bottom w:val="single" w:sz="4" w:space="0" w:color="auto"/>
              <w:right w:val="single" w:sz="4" w:space="0" w:color="auto"/>
            </w:tcBorders>
            <w:vAlign w:val="center"/>
          </w:tcPr>
          <w:p w14:paraId="376A49E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0.081±0.018</w:t>
            </w:r>
          </w:p>
        </w:tc>
        <w:tc>
          <w:tcPr>
            <w:tcW w:w="1530" w:type="dxa"/>
            <w:tcBorders>
              <w:top w:val="single" w:sz="4" w:space="0" w:color="auto"/>
              <w:left w:val="single" w:sz="4" w:space="0" w:color="auto"/>
              <w:bottom w:val="single" w:sz="4" w:space="0" w:color="auto"/>
              <w:right w:val="single" w:sz="4" w:space="0" w:color="auto"/>
            </w:tcBorders>
            <w:vAlign w:val="center"/>
          </w:tcPr>
          <w:p w14:paraId="03A2838F"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0C9DA77F"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172F5C8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3736C0AA" w14:textId="77777777" w:rsidTr="007E0E02">
        <w:trPr>
          <w:jc w:val="center"/>
        </w:trPr>
        <w:tc>
          <w:tcPr>
            <w:tcW w:w="850" w:type="dxa"/>
            <w:tcBorders>
              <w:top w:val="nil"/>
              <w:left w:val="single" w:sz="4" w:space="0" w:color="auto"/>
              <w:bottom w:val="single" w:sz="4" w:space="0" w:color="auto"/>
              <w:right w:val="single" w:sz="4" w:space="0" w:color="auto"/>
            </w:tcBorders>
          </w:tcPr>
          <w:p w14:paraId="01CF2FE8"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2" w:type="dxa"/>
            <w:tcBorders>
              <w:top w:val="nil"/>
              <w:left w:val="single" w:sz="4" w:space="0" w:color="auto"/>
              <w:bottom w:val="single" w:sz="4" w:space="0" w:color="auto"/>
              <w:right w:val="single" w:sz="4" w:space="0" w:color="auto"/>
            </w:tcBorders>
            <w:vAlign w:val="center"/>
          </w:tcPr>
          <w:p w14:paraId="046D994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462" w:type="dxa"/>
            <w:tcBorders>
              <w:top w:val="nil"/>
              <w:left w:val="nil"/>
              <w:bottom w:val="single" w:sz="4" w:space="0" w:color="auto"/>
              <w:right w:val="single" w:sz="4" w:space="0" w:color="auto"/>
            </w:tcBorders>
            <w:vAlign w:val="center"/>
          </w:tcPr>
          <w:p w14:paraId="7B9EAD0F" w14:textId="77777777" w:rsidR="001E5B1A" w:rsidRPr="007E0E02" w:rsidRDefault="001E5B1A" w:rsidP="007E0E02">
            <w:pPr>
              <w:spacing w:line="480" w:lineRule="auto"/>
              <w:jc w:val="center"/>
              <w:rPr>
                <w:rFonts w:ascii="Arial" w:hAnsi="Arial" w:cs="Arial"/>
                <w:sz w:val="20"/>
                <w:szCs w:val="20"/>
              </w:rPr>
            </w:pPr>
            <w:proofErr w:type="gramStart"/>
            <w:r w:rsidRPr="007E0E02">
              <w:rPr>
                <w:rFonts w:ascii="Arial" w:hAnsi="Arial" w:cs="Arial"/>
                <w:sz w:val="20"/>
                <w:szCs w:val="20"/>
              </w:rPr>
              <w:t>N.D</w:t>
            </w:r>
            <w:proofErr w:type="gramEnd"/>
          </w:p>
        </w:tc>
        <w:tc>
          <w:tcPr>
            <w:tcW w:w="1530" w:type="dxa"/>
            <w:tcBorders>
              <w:top w:val="single" w:sz="4" w:space="0" w:color="auto"/>
              <w:left w:val="nil"/>
              <w:bottom w:val="single" w:sz="4" w:space="0" w:color="auto"/>
              <w:right w:val="single" w:sz="4" w:space="0" w:color="auto"/>
            </w:tcBorders>
            <w:vAlign w:val="center"/>
          </w:tcPr>
          <w:p w14:paraId="11620EFB" w14:textId="77777777" w:rsidR="001E5B1A" w:rsidRPr="007E0E02" w:rsidRDefault="001E5B1A" w:rsidP="007E0E02">
            <w:pPr>
              <w:spacing w:line="480" w:lineRule="auto"/>
              <w:jc w:val="center"/>
              <w:rPr>
                <w:rFonts w:ascii="Arial" w:hAnsi="Arial" w:cs="Arial"/>
                <w:sz w:val="20"/>
                <w:szCs w:val="20"/>
              </w:rPr>
            </w:pPr>
            <w:proofErr w:type="gramStart"/>
            <w:r w:rsidRPr="007E0E02">
              <w:rPr>
                <w:rFonts w:ascii="Arial" w:hAnsi="Arial" w:cs="Arial"/>
                <w:sz w:val="20"/>
                <w:szCs w:val="20"/>
              </w:rPr>
              <w:t>N.D</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79E5652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7066B5A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2F53A6E7"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276A1962" w14:textId="77777777" w:rsidTr="007E0E02">
        <w:trPr>
          <w:jc w:val="center"/>
        </w:trPr>
        <w:tc>
          <w:tcPr>
            <w:tcW w:w="850" w:type="dxa"/>
            <w:tcBorders>
              <w:top w:val="nil"/>
              <w:left w:val="single" w:sz="4" w:space="0" w:color="auto"/>
              <w:bottom w:val="single" w:sz="4" w:space="0" w:color="auto"/>
              <w:right w:val="single" w:sz="4" w:space="0" w:color="auto"/>
            </w:tcBorders>
          </w:tcPr>
          <w:p w14:paraId="4A89FDF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2" w:type="dxa"/>
            <w:tcBorders>
              <w:top w:val="nil"/>
              <w:left w:val="single" w:sz="4" w:space="0" w:color="auto"/>
              <w:bottom w:val="single" w:sz="4" w:space="0" w:color="auto"/>
              <w:right w:val="single" w:sz="4" w:space="0" w:color="auto"/>
            </w:tcBorders>
            <w:vAlign w:val="center"/>
          </w:tcPr>
          <w:p w14:paraId="2ADFEBA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462" w:type="dxa"/>
            <w:tcBorders>
              <w:top w:val="nil"/>
              <w:left w:val="nil"/>
              <w:bottom w:val="single" w:sz="4" w:space="0" w:color="auto"/>
              <w:right w:val="single" w:sz="4" w:space="0" w:color="auto"/>
            </w:tcBorders>
            <w:vAlign w:val="center"/>
          </w:tcPr>
          <w:p w14:paraId="6B5F5A9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0.424±0.004</w:t>
            </w:r>
          </w:p>
        </w:tc>
        <w:tc>
          <w:tcPr>
            <w:tcW w:w="1530" w:type="dxa"/>
            <w:tcBorders>
              <w:top w:val="single" w:sz="4" w:space="0" w:color="auto"/>
              <w:left w:val="nil"/>
              <w:bottom w:val="single" w:sz="4" w:space="0" w:color="auto"/>
              <w:right w:val="single" w:sz="4" w:space="0" w:color="auto"/>
            </w:tcBorders>
            <w:vAlign w:val="center"/>
          </w:tcPr>
          <w:p w14:paraId="44239AF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0.034±0.001</w:t>
            </w:r>
          </w:p>
        </w:tc>
        <w:tc>
          <w:tcPr>
            <w:tcW w:w="1530" w:type="dxa"/>
            <w:tcBorders>
              <w:top w:val="single" w:sz="4" w:space="0" w:color="auto"/>
              <w:left w:val="single" w:sz="4" w:space="0" w:color="auto"/>
              <w:bottom w:val="single" w:sz="4" w:space="0" w:color="auto"/>
              <w:right w:val="single" w:sz="4" w:space="0" w:color="auto"/>
            </w:tcBorders>
          </w:tcPr>
          <w:p w14:paraId="24FDBC0C"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0.099±0.004</w:t>
            </w:r>
          </w:p>
        </w:tc>
        <w:tc>
          <w:tcPr>
            <w:tcW w:w="1719" w:type="dxa"/>
            <w:tcBorders>
              <w:top w:val="nil"/>
              <w:left w:val="single" w:sz="4" w:space="0" w:color="auto"/>
              <w:bottom w:val="single" w:sz="4" w:space="0" w:color="auto"/>
              <w:right w:val="single" w:sz="4" w:space="0" w:color="auto"/>
            </w:tcBorders>
            <w:vAlign w:val="center"/>
          </w:tcPr>
          <w:p w14:paraId="3523CD8F"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3991BF7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14:paraId="301BDE45" w14:textId="77777777" w:rsidTr="007E0E02">
        <w:trPr>
          <w:jc w:val="center"/>
        </w:trPr>
        <w:tc>
          <w:tcPr>
            <w:tcW w:w="850" w:type="dxa"/>
            <w:tcBorders>
              <w:top w:val="nil"/>
              <w:left w:val="single" w:sz="4" w:space="0" w:color="auto"/>
              <w:bottom w:val="single" w:sz="4" w:space="0" w:color="auto"/>
              <w:right w:val="single" w:sz="4" w:space="0" w:color="auto"/>
            </w:tcBorders>
          </w:tcPr>
          <w:p w14:paraId="2C5C9B72"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2" w:type="dxa"/>
            <w:tcBorders>
              <w:top w:val="nil"/>
              <w:left w:val="single" w:sz="4" w:space="0" w:color="auto"/>
              <w:bottom w:val="single" w:sz="4" w:space="0" w:color="auto"/>
              <w:right w:val="single" w:sz="4" w:space="0" w:color="auto"/>
            </w:tcBorders>
            <w:vAlign w:val="center"/>
          </w:tcPr>
          <w:p w14:paraId="77C42BE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462" w:type="dxa"/>
            <w:tcBorders>
              <w:top w:val="nil"/>
              <w:left w:val="nil"/>
              <w:bottom w:val="single" w:sz="4" w:space="0" w:color="auto"/>
              <w:right w:val="single" w:sz="4" w:space="0" w:color="auto"/>
            </w:tcBorders>
            <w:vAlign w:val="center"/>
          </w:tcPr>
          <w:p w14:paraId="3BD4D4F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6EFB13C5"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3132591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738F954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665D9B4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1B1E5BFB" w14:textId="77777777" w:rsidTr="007E0E02">
        <w:trPr>
          <w:jc w:val="center"/>
        </w:trPr>
        <w:tc>
          <w:tcPr>
            <w:tcW w:w="850" w:type="dxa"/>
            <w:tcBorders>
              <w:top w:val="nil"/>
              <w:left w:val="single" w:sz="4" w:space="0" w:color="auto"/>
              <w:bottom w:val="single" w:sz="4" w:space="0" w:color="auto"/>
              <w:right w:val="single" w:sz="4" w:space="0" w:color="auto"/>
            </w:tcBorders>
          </w:tcPr>
          <w:p w14:paraId="382ADC3A"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2" w:type="dxa"/>
            <w:tcBorders>
              <w:top w:val="nil"/>
              <w:left w:val="single" w:sz="4" w:space="0" w:color="auto"/>
              <w:bottom w:val="single" w:sz="4" w:space="0" w:color="auto"/>
              <w:right w:val="single" w:sz="4" w:space="0" w:color="auto"/>
            </w:tcBorders>
            <w:vAlign w:val="center"/>
          </w:tcPr>
          <w:p w14:paraId="5F4F6AC5"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462" w:type="dxa"/>
            <w:tcBorders>
              <w:top w:val="nil"/>
              <w:left w:val="nil"/>
              <w:bottom w:val="single" w:sz="4" w:space="0" w:color="auto"/>
              <w:right w:val="single" w:sz="4" w:space="0" w:color="auto"/>
            </w:tcBorders>
            <w:vAlign w:val="center"/>
          </w:tcPr>
          <w:p w14:paraId="04BFEF4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0.045±0.008</w:t>
            </w:r>
          </w:p>
        </w:tc>
        <w:tc>
          <w:tcPr>
            <w:tcW w:w="1530" w:type="dxa"/>
            <w:tcBorders>
              <w:top w:val="single" w:sz="4" w:space="0" w:color="auto"/>
              <w:left w:val="nil"/>
              <w:bottom w:val="single" w:sz="4" w:space="0" w:color="auto"/>
              <w:right w:val="single" w:sz="4" w:space="0" w:color="auto"/>
            </w:tcBorders>
            <w:vAlign w:val="center"/>
          </w:tcPr>
          <w:p w14:paraId="524AEC8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1F60D54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0.730</w:t>
            </w:r>
            <w:r w:rsidRPr="007E0E02">
              <w:rPr>
                <w:rFonts w:ascii="Arial" w:hAnsi="Arial" w:cs="Arial"/>
                <w:sz w:val="20"/>
                <w:szCs w:val="20"/>
              </w:rPr>
              <w:t>±0.108</w:t>
            </w:r>
          </w:p>
        </w:tc>
        <w:tc>
          <w:tcPr>
            <w:tcW w:w="1719" w:type="dxa"/>
            <w:tcBorders>
              <w:top w:val="nil"/>
              <w:left w:val="single" w:sz="4" w:space="0" w:color="auto"/>
              <w:bottom w:val="single" w:sz="4" w:space="0" w:color="auto"/>
              <w:right w:val="single" w:sz="4" w:space="0" w:color="auto"/>
            </w:tcBorders>
            <w:vAlign w:val="center"/>
          </w:tcPr>
          <w:p w14:paraId="60E3D82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1.255±0.108</w:t>
            </w:r>
          </w:p>
        </w:tc>
        <w:tc>
          <w:tcPr>
            <w:tcW w:w="1710" w:type="dxa"/>
            <w:tcBorders>
              <w:top w:val="nil"/>
              <w:left w:val="nil"/>
              <w:bottom w:val="single" w:sz="4" w:space="0" w:color="auto"/>
              <w:right w:val="single" w:sz="4" w:space="0" w:color="auto"/>
            </w:tcBorders>
          </w:tcPr>
          <w:p w14:paraId="1FE7CFDF"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23866AA4" w14:textId="77777777" w:rsidTr="007E0E02">
        <w:trPr>
          <w:jc w:val="center"/>
        </w:trPr>
        <w:tc>
          <w:tcPr>
            <w:tcW w:w="850" w:type="dxa"/>
            <w:tcBorders>
              <w:top w:val="nil"/>
              <w:left w:val="single" w:sz="4" w:space="0" w:color="auto"/>
              <w:bottom w:val="single" w:sz="4" w:space="0" w:color="auto"/>
              <w:right w:val="single" w:sz="4" w:space="0" w:color="auto"/>
            </w:tcBorders>
          </w:tcPr>
          <w:p w14:paraId="76BB67F9"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2" w:type="dxa"/>
            <w:tcBorders>
              <w:top w:val="nil"/>
              <w:left w:val="single" w:sz="4" w:space="0" w:color="auto"/>
              <w:bottom w:val="single" w:sz="4" w:space="0" w:color="auto"/>
              <w:right w:val="single" w:sz="4" w:space="0" w:color="auto"/>
            </w:tcBorders>
            <w:vAlign w:val="center"/>
          </w:tcPr>
          <w:p w14:paraId="0E90B9B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462" w:type="dxa"/>
            <w:tcBorders>
              <w:top w:val="nil"/>
              <w:left w:val="nil"/>
              <w:bottom w:val="single" w:sz="4" w:space="0" w:color="auto"/>
              <w:right w:val="single" w:sz="4" w:space="0" w:color="auto"/>
            </w:tcBorders>
            <w:vAlign w:val="center"/>
          </w:tcPr>
          <w:p w14:paraId="6131578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0.050±0.005</w:t>
            </w:r>
          </w:p>
        </w:tc>
        <w:tc>
          <w:tcPr>
            <w:tcW w:w="1530" w:type="dxa"/>
            <w:tcBorders>
              <w:top w:val="single" w:sz="4" w:space="0" w:color="auto"/>
              <w:left w:val="nil"/>
              <w:bottom w:val="single" w:sz="4" w:space="0" w:color="auto"/>
              <w:right w:val="single" w:sz="4" w:space="0" w:color="auto"/>
            </w:tcBorders>
            <w:vAlign w:val="center"/>
          </w:tcPr>
          <w:p w14:paraId="3CF6C84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626E3285"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0.529</w:t>
            </w:r>
            <w:r w:rsidRPr="007E0E02">
              <w:rPr>
                <w:rFonts w:ascii="Arial" w:hAnsi="Arial" w:cs="Arial"/>
                <w:sz w:val="20"/>
                <w:szCs w:val="20"/>
              </w:rPr>
              <w:t>±0.090</w:t>
            </w:r>
          </w:p>
        </w:tc>
        <w:tc>
          <w:tcPr>
            <w:tcW w:w="1719" w:type="dxa"/>
            <w:tcBorders>
              <w:top w:val="nil"/>
              <w:left w:val="single" w:sz="4" w:space="0" w:color="auto"/>
              <w:bottom w:val="single" w:sz="4" w:space="0" w:color="auto"/>
              <w:right w:val="single" w:sz="4" w:space="0" w:color="auto"/>
            </w:tcBorders>
            <w:vAlign w:val="center"/>
          </w:tcPr>
          <w:p w14:paraId="3894F34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0.316±0.023</w:t>
            </w:r>
          </w:p>
        </w:tc>
        <w:tc>
          <w:tcPr>
            <w:tcW w:w="1710" w:type="dxa"/>
            <w:tcBorders>
              <w:top w:val="nil"/>
              <w:left w:val="nil"/>
              <w:bottom w:val="single" w:sz="4" w:space="0" w:color="auto"/>
              <w:right w:val="single" w:sz="4" w:space="0" w:color="auto"/>
            </w:tcBorders>
          </w:tcPr>
          <w:p w14:paraId="4545D84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30255226" w14:textId="77777777" w:rsidTr="007E0E02">
        <w:trPr>
          <w:jc w:val="center"/>
        </w:trPr>
        <w:tc>
          <w:tcPr>
            <w:tcW w:w="850" w:type="dxa"/>
            <w:tcBorders>
              <w:top w:val="nil"/>
              <w:left w:val="single" w:sz="4" w:space="0" w:color="auto"/>
              <w:bottom w:val="single" w:sz="4" w:space="0" w:color="auto"/>
              <w:right w:val="single" w:sz="4" w:space="0" w:color="auto"/>
            </w:tcBorders>
          </w:tcPr>
          <w:p w14:paraId="76B5E96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2" w:type="dxa"/>
            <w:tcBorders>
              <w:top w:val="nil"/>
              <w:left w:val="single" w:sz="4" w:space="0" w:color="auto"/>
              <w:bottom w:val="single" w:sz="4" w:space="0" w:color="auto"/>
              <w:right w:val="single" w:sz="4" w:space="0" w:color="auto"/>
            </w:tcBorders>
            <w:vAlign w:val="center"/>
          </w:tcPr>
          <w:p w14:paraId="3BC8B7E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462" w:type="dxa"/>
            <w:tcBorders>
              <w:top w:val="nil"/>
              <w:left w:val="nil"/>
              <w:bottom w:val="single" w:sz="4" w:space="0" w:color="auto"/>
              <w:right w:val="single" w:sz="4" w:space="0" w:color="auto"/>
            </w:tcBorders>
            <w:vAlign w:val="center"/>
          </w:tcPr>
          <w:p w14:paraId="1E436FC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0.057±0.001</w:t>
            </w:r>
          </w:p>
        </w:tc>
        <w:tc>
          <w:tcPr>
            <w:tcW w:w="1530" w:type="dxa"/>
            <w:tcBorders>
              <w:top w:val="single" w:sz="4" w:space="0" w:color="auto"/>
              <w:left w:val="nil"/>
              <w:bottom w:val="single" w:sz="4" w:space="0" w:color="auto"/>
              <w:right w:val="single" w:sz="4" w:space="0" w:color="auto"/>
            </w:tcBorders>
            <w:vAlign w:val="center"/>
          </w:tcPr>
          <w:p w14:paraId="1C24303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335A585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0.134</w:t>
            </w:r>
            <w:r w:rsidRPr="007E0E02">
              <w:rPr>
                <w:rFonts w:ascii="Arial" w:hAnsi="Arial" w:cs="Arial"/>
                <w:sz w:val="20"/>
                <w:szCs w:val="20"/>
              </w:rPr>
              <w:t>±0.008</w:t>
            </w:r>
          </w:p>
        </w:tc>
        <w:tc>
          <w:tcPr>
            <w:tcW w:w="1719" w:type="dxa"/>
            <w:tcBorders>
              <w:top w:val="nil"/>
              <w:left w:val="single" w:sz="4" w:space="0" w:color="auto"/>
              <w:bottom w:val="single" w:sz="4" w:space="0" w:color="auto"/>
              <w:right w:val="single" w:sz="4" w:space="0" w:color="auto"/>
            </w:tcBorders>
            <w:vAlign w:val="center"/>
          </w:tcPr>
          <w:p w14:paraId="2BFAE6F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1.504±0.005</w:t>
            </w:r>
          </w:p>
        </w:tc>
        <w:tc>
          <w:tcPr>
            <w:tcW w:w="1710" w:type="dxa"/>
            <w:tcBorders>
              <w:top w:val="nil"/>
              <w:left w:val="nil"/>
              <w:bottom w:val="single" w:sz="4" w:space="0" w:color="auto"/>
              <w:right w:val="single" w:sz="4" w:space="0" w:color="auto"/>
            </w:tcBorders>
          </w:tcPr>
          <w:p w14:paraId="537AFC1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1A72078F" w14:textId="77777777" w:rsidTr="007E0E02">
        <w:trPr>
          <w:jc w:val="center"/>
        </w:trPr>
        <w:tc>
          <w:tcPr>
            <w:tcW w:w="850" w:type="dxa"/>
            <w:tcBorders>
              <w:top w:val="nil"/>
              <w:left w:val="single" w:sz="4" w:space="0" w:color="auto"/>
              <w:bottom w:val="single" w:sz="4" w:space="0" w:color="auto"/>
              <w:right w:val="single" w:sz="4" w:space="0" w:color="auto"/>
            </w:tcBorders>
          </w:tcPr>
          <w:p w14:paraId="22CD4F3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2" w:type="dxa"/>
            <w:tcBorders>
              <w:top w:val="nil"/>
              <w:left w:val="single" w:sz="4" w:space="0" w:color="auto"/>
              <w:bottom w:val="single" w:sz="4" w:space="0" w:color="auto"/>
              <w:right w:val="single" w:sz="4" w:space="0" w:color="auto"/>
            </w:tcBorders>
            <w:vAlign w:val="center"/>
          </w:tcPr>
          <w:p w14:paraId="396437B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462" w:type="dxa"/>
            <w:tcBorders>
              <w:top w:val="nil"/>
              <w:left w:val="nil"/>
              <w:bottom w:val="single" w:sz="4" w:space="0" w:color="auto"/>
              <w:right w:val="single" w:sz="4" w:space="0" w:color="auto"/>
            </w:tcBorders>
            <w:vAlign w:val="center"/>
          </w:tcPr>
          <w:p w14:paraId="54BB09D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0.048±0.005</w:t>
            </w:r>
          </w:p>
        </w:tc>
        <w:tc>
          <w:tcPr>
            <w:tcW w:w="1530" w:type="dxa"/>
            <w:tcBorders>
              <w:top w:val="single" w:sz="4" w:space="0" w:color="auto"/>
              <w:left w:val="nil"/>
              <w:bottom w:val="single" w:sz="4" w:space="0" w:color="auto"/>
              <w:right w:val="single" w:sz="4" w:space="0" w:color="auto"/>
            </w:tcBorders>
            <w:vAlign w:val="center"/>
          </w:tcPr>
          <w:p w14:paraId="2674DE63"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6C8443A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0.102</w:t>
            </w:r>
            <w:r w:rsidRPr="007E0E02">
              <w:rPr>
                <w:rFonts w:ascii="Arial" w:hAnsi="Arial" w:cs="Arial"/>
                <w:sz w:val="20"/>
                <w:szCs w:val="20"/>
              </w:rPr>
              <w:t>±0.052</w:t>
            </w:r>
          </w:p>
        </w:tc>
        <w:tc>
          <w:tcPr>
            <w:tcW w:w="1719" w:type="dxa"/>
            <w:tcBorders>
              <w:top w:val="nil"/>
              <w:left w:val="single" w:sz="4" w:space="0" w:color="auto"/>
              <w:bottom w:val="single" w:sz="4" w:space="0" w:color="auto"/>
              <w:right w:val="single" w:sz="4" w:space="0" w:color="auto"/>
            </w:tcBorders>
            <w:vAlign w:val="center"/>
          </w:tcPr>
          <w:p w14:paraId="2924F0C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0936E81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2F654559" w14:textId="77777777" w:rsidTr="007E0E02">
        <w:trPr>
          <w:jc w:val="center"/>
        </w:trPr>
        <w:tc>
          <w:tcPr>
            <w:tcW w:w="850" w:type="dxa"/>
            <w:tcBorders>
              <w:top w:val="nil"/>
              <w:left w:val="single" w:sz="4" w:space="0" w:color="auto"/>
              <w:bottom w:val="single" w:sz="4" w:space="0" w:color="auto"/>
              <w:right w:val="single" w:sz="4" w:space="0" w:color="auto"/>
            </w:tcBorders>
          </w:tcPr>
          <w:p w14:paraId="2398A695"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2" w:type="dxa"/>
            <w:tcBorders>
              <w:top w:val="nil"/>
              <w:left w:val="single" w:sz="4" w:space="0" w:color="auto"/>
              <w:bottom w:val="single" w:sz="4" w:space="0" w:color="auto"/>
              <w:right w:val="single" w:sz="4" w:space="0" w:color="auto"/>
            </w:tcBorders>
            <w:vAlign w:val="center"/>
          </w:tcPr>
          <w:p w14:paraId="323B6D5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462" w:type="dxa"/>
            <w:tcBorders>
              <w:top w:val="nil"/>
              <w:left w:val="nil"/>
              <w:bottom w:val="single" w:sz="4" w:space="0" w:color="auto"/>
              <w:right w:val="single" w:sz="4" w:space="0" w:color="auto"/>
            </w:tcBorders>
            <w:vAlign w:val="center"/>
          </w:tcPr>
          <w:p w14:paraId="2CDF23F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077451E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14774FE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40413F3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2222E2D8"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602C4EF9" w14:textId="77777777" w:rsidTr="007E0E02">
        <w:trPr>
          <w:jc w:val="center"/>
        </w:trPr>
        <w:tc>
          <w:tcPr>
            <w:tcW w:w="850" w:type="dxa"/>
            <w:tcBorders>
              <w:top w:val="nil"/>
              <w:left w:val="single" w:sz="4" w:space="0" w:color="auto"/>
              <w:bottom w:val="single" w:sz="4" w:space="0" w:color="auto"/>
              <w:right w:val="single" w:sz="4" w:space="0" w:color="auto"/>
            </w:tcBorders>
          </w:tcPr>
          <w:p w14:paraId="5B2228B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2" w:type="dxa"/>
            <w:tcBorders>
              <w:top w:val="nil"/>
              <w:left w:val="single" w:sz="4" w:space="0" w:color="auto"/>
              <w:bottom w:val="single" w:sz="4" w:space="0" w:color="auto"/>
              <w:right w:val="single" w:sz="4" w:space="0" w:color="auto"/>
            </w:tcBorders>
            <w:vAlign w:val="center"/>
          </w:tcPr>
          <w:p w14:paraId="4881F0D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462" w:type="dxa"/>
            <w:tcBorders>
              <w:top w:val="nil"/>
              <w:left w:val="nil"/>
              <w:bottom w:val="single" w:sz="4" w:space="0" w:color="auto"/>
              <w:right w:val="single" w:sz="4" w:space="0" w:color="auto"/>
            </w:tcBorders>
            <w:vAlign w:val="center"/>
          </w:tcPr>
          <w:p w14:paraId="3C005C1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74D8BF5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3A31F55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299D675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16915310"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14:paraId="36F79357" w14:textId="77777777" w:rsidTr="007E0E02">
        <w:trPr>
          <w:jc w:val="center"/>
        </w:trPr>
        <w:tc>
          <w:tcPr>
            <w:tcW w:w="850" w:type="dxa"/>
            <w:tcBorders>
              <w:top w:val="nil"/>
              <w:left w:val="single" w:sz="4" w:space="0" w:color="auto"/>
              <w:bottom w:val="single" w:sz="4" w:space="0" w:color="auto"/>
              <w:right w:val="single" w:sz="4" w:space="0" w:color="auto"/>
            </w:tcBorders>
          </w:tcPr>
          <w:p w14:paraId="1EDE8F36"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2" w:type="dxa"/>
            <w:tcBorders>
              <w:top w:val="nil"/>
              <w:left w:val="single" w:sz="4" w:space="0" w:color="auto"/>
              <w:bottom w:val="single" w:sz="4" w:space="0" w:color="auto"/>
              <w:right w:val="single" w:sz="4" w:space="0" w:color="auto"/>
            </w:tcBorders>
            <w:vAlign w:val="center"/>
          </w:tcPr>
          <w:p w14:paraId="5B28BB8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462" w:type="dxa"/>
            <w:tcBorders>
              <w:top w:val="nil"/>
              <w:left w:val="nil"/>
              <w:bottom w:val="single" w:sz="4" w:space="0" w:color="auto"/>
              <w:right w:val="single" w:sz="4" w:space="0" w:color="auto"/>
            </w:tcBorders>
            <w:vAlign w:val="center"/>
          </w:tcPr>
          <w:p w14:paraId="44AFB4CA"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23B7757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0210B2D"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0.231</w:t>
            </w:r>
            <w:r w:rsidRPr="007E0E02">
              <w:rPr>
                <w:rFonts w:ascii="Arial" w:hAnsi="Arial" w:cs="Arial"/>
                <w:sz w:val="20"/>
                <w:szCs w:val="20"/>
              </w:rPr>
              <w:t>±0.038</w:t>
            </w:r>
          </w:p>
        </w:tc>
        <w:tc>
          <w:tcPr>
            <w:tcW w:w="1719" w:type="dxa"/>
            <w:tcBorders>
              <w:top w:val="nil"/>
              <w:left w:val="single" w:sz="4" w:space="0" w:color="auto"/>
              <w:bottom w:val="single" w:sz="4" w:space="0" w:color="auto"/>
              <w:right w:val="single" w:sz="4" w:space="0" w:color="auto"/>
            </w:tcBorders>
            <w:vAlign w:val="center"/>
          </w:tcPr>
          <w:p w14:paraId="1EB68DC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0.554±0.080</w:t>
            </w:r>
          </w:p>
        </w:tc>
        <w:tc>
          <w:tcPr>
            <w:tcW w:w="1710" w:type="dxa"/>
            <w:tcBorders>
              <w:top w:val="nil"/>
              <w:left w:val="nil"/>
              <w:bottom w:val="single" w:sz="4" w:space="0" w:color="auto"/>
              <w:right w:val="single" w:sz="4" w:space="0" w:color="auto"/>
            </w:tcBorders>
          </w:tcPr>
          <w:p w14:paraId="5C68AE6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10440EC1" w14:textId="77777777" w:rsidTr="007E0E02">
        <w:trPr>
          <w:jc w:val="center"/>
        </w:trPr>
        <w:tc>
          <w:tcPr>
            <w:tcW w:w="850" w:type="dxa"/>
            <w:tcBorders>
              <w:top w:val="nil"/>
              <w:left w:val="single" w:sz="4" w:space="0" w:color="auto"/>
              <w:bottom w:val="single" w:sz="4" w:space="0" w:color="auto"/>
              <w:right w:val="single" w:sz="4" w:space="0" w:color="auto"/>
            </w:tcBorders>
          </w:tcPr>
          <w:p w14:paraId="52DC35FD"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2" w:type="dxa"/>
            <w:tcBorders>
              <w:top w:val="nil"/>
              <w:left w:val="single" w:sz="4" w:space="0" w:color="auto"/>
              <w:bottom w:val="single" w:sz="4" w:space="0" w:color="auto"/>
              <w:right w:val="single" w:sz="4" w:space="0" w:color="auto"/>
            </w:tcBorders>
            <w:vAlign w:val="center"/>
          </w:tcPr>
          <w:p w14:paraId="65100C6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462" w:type="dxa"/>
            <w:tcBorders>
              <w:top w:val="nil"/>
              <w:left w:val="nil"/>
              <w:bottom w:val="single" w:sz="4" w:space="0" w:color="auto"/>
              <w:right w:val="single" w:sz="4" w:space="0" w:color="auto"/>
            </w:tcBorders>
            <w:vAlign w:val="center"/>
          </w:tcPr>
          <w:p w14:paraId="33B83E3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3E383879"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0DDB4809"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30673F1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0.810±0.076</w:t>
            </w:r>
          </w:p>
        </w:tc>
        <w:tc>
          <w:tcPr>
            <w:tcW w:w="1710" w:type="dxa"/>
            <w:tcBorders>
              <w:top w:val="nil"/>
              <w:left w:val="nil"/>
              <w:bottom w:val="single" w:sz="4" w:space="0" w:color="auto"/>
              <w:right w:val="single" w:sz="4" w:space="0" w:color="auto"/>
            </w:tcBorders>
          </w:tcPr>
          <w:p w14:paraId="03EC033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14:paraId="2A1F3507" w14:textId="77777777" w:rsidTr="007E0E02">
        <w:trPr>
          <w:jc w:val="center"/>
        </w:trPr>
        <w:tc>
          <w:tcPr>
            <w:tcW w:w="850" w:type="dxa"/>
            <w:tcBorders>
              <w:top w:val="nil"/>
              <w:left w:val="single" w:sz="4" w:space="0" w:color="auto"/>
              <w:bottom w:val="single" w:sz="4" w:space="0" w:color="auto"/>
              <w:right w:val="single" w:sz="4" w:space="0" w:color="auto"/>
            </w:tcBorders>
          </w:tcPr>
          <w:p w14:paraId="1DF6B75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2" w:type="dxa"/>
            <w:tcBorders>
              <w:top w:val="nil"/>
              <w:left w:val="single" w:sz="4" w:space="0" w:color="auto"/>
              <w:bottom w:val="single" w:sz="4" w:space="0" w:color="auto"/>
              <w:right w:val="single" w:sz="4" w:space="0" w:color="auto"/>
            </w:tcBorders>
            <w:vAlign w:val="center"/>
          </w:tcPr>
          <w:p w14:paraId="1CE3508E"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462" w:type="dxa"/>
            <w:tcBorders>
              <w:top w:val="nil"/>
              <w:left w:val="nil"/>
              <w:bottom w:val="single" w:sz="4" w:space="0" w:color="auto"/>
              <w:right w:val="single" w:sz="4" w:space="0" w:color="auto"/>
            </w:tcBorders>
            <w:vAlign w:val="center"/>
          </w:tcPr>
          <w:p w14:paraId="57961EE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tcPr>
          <w:p w14:paraId="352CF43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18A1A97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0CEEF8A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46C5B78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14:paraId="0A4205BE" w14:textId="77777777" w:rsidR="001E5B1A" w:rsidRPr="007E0E02" w:rsidRDefault="001E5B1A" w:rsidP="00756436">
      <w:pPr>
        <w:spacing w:after="0" w:line="240" w:lineRule="auto"/>
        <w:rPr>
          <w:rFonts w:ascii="Arial" w:hAnsi="Arial" w:cs="Arial"/>
          <w:vertAlign w:val="superscript"/>
        </w:rPr>
        <w:sectPr w:rsidR="001E5B1A" w:rsidRPr="007E0E02" w:rsidSect="007E7592">
          <w:pgSz w:w="11907" w:h="16839" w:code="9"/>
          <w:pgMar w:top="1440" w:right="1530" w:bottom="1440" w:left="1350" w:header="720" w:footer="720" w:gutter="0"/>
          <w:cols w:space="720"/>
          <w:docGrid w:linePitch="360"/>
        </w:sectPr>
      </w:pPr>
      <w:r w:rsidRPr="007E0E02">
        <w:rPr>
          <w:rFonts w:ascii="Arial" w:hAnsi="Arial" w:cs="Arial"/>
          <w:sz w:val="20"/>
          <w:szCs w:val="20"/>
          <w:vertAlign w:val="superscript"/>
        </w:rPr>
        <w:t xml:space="preserve">BHC: </w:t>
      </w:r>
      <w:proofErr w:type="spellStart"/>
      <w:r w:rsidRPr="007E0E02">
        <w:rPr>
          <w:rFonts w:ascii="Arial" w:hAnsi="Arial" w:cs="Arial"/>
          <w:sz w:val="20"/>
          <w:szCs w:val="20"/>
          <w:vertAlign w:val="superscript"/>
        </w:rPr>
        <w:t>benzenehexachloride</w:t>
      </w:r>
      <w:proofErr w:type="spellEnd"/>
      <w:r w:rsidRPr="007E0E02">
        <w:rPr>
          <w:rFonts w:ascii="Arial" w:hAnsi="Arial" w:cs="Arial"/>
          <w:sz w:val="20"/>
          <w:szCs w:val="20"/>
          <w:vertAlign w:val="superscript"/>
        </w:rPr>
        <w:t xml:space="preserve">; </w:t>
      </w:r>
      <w:proofErr w:type="spellStart"/>
      <w:proofErr w:type="gramStart"/>
      <w:r w:rsidRPr="007E0E02">
        <w:rPr>
          <w:rFonts w:ascii="Arial" w:hAnsi="Arial" w:cs="Arial"/>
          <w:sz w:val="20"/>
          <w:szCs w:val="20"/>
          <w:vertAlign w:val="superscript"/>
        </w:rPr>
        <w:t>P,p</w:t>
      </w:r>
      <w:proofErr w:type="spellEnd"/>
      <w:proofErr w:type="gramEnd"/>
      <w:r w:rsidRPr="007E0E02">
        <w:rPr>
          <w:rFonts w:ascii="Arial" w:hAnsi="Arial" w:cs="Arial"/>
          <w:sz w:val="20"/>
          <w:szCs w:val="20"/>
          <w:vertAlign w:val="superscript"/>
        </w:rPr>
        <w:t xml:space="preserve">': Para, para; DDE: </w:t>
      </w:r>
      <w:proofErr w:type="spellStart"/>
      <w:r w:rsidRPr="007E0E02">
        <w:rPr>
          <w:rFonts w:ascii="Arial" w:hAnsi="Arial" w:cs="Arial"/>
          <w:sz w:val="20"/>
          <w:szCs w:val="20"/>
          <w:vertAlign w:val="superscript"/>
        </w:rPr>
        <w:t>Dichlorodiphenyldichloroethylene</w:t>
      </w:r>
      <w:proofErr w:type="spellEnd"/>
      <w:r w:rsidRPr="007E0E02">
        <w:rPr>
          <w:rFonts w:ascii="Arial" w:hAnsi="Arial" w:cs="Arial"/>
          <w:sz w:val="20"/>
          <w:szCs w:val="20"/>
          <w:vertAlign w:val="superscript"/>
        </w:rPr>
        <w:t>; DDD: Dichlorodiphenyldichloroethane; DDT:</w:t>
      </w:r>
      <w:r w:rsidR="007E0E02" w:rsidRPr="007E0E02">
        <w:rPr>
          <w:rFonts w:ascii="Arial" w:hAnsi="Arial" w:cs="Arial"/>
          <w:sz w:val="20"/>
          <w:szCs w:val="20"/>
          <w:vertAlign w:val="superscript"/>
        </w:rPr>
        <w:t xml:space="preserve">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14:paraId="21E30658" w14:textId="77777777" w:rsidR="001E5B1A" w:rsidRPr="007E0E02" w:rsidRDefault="001E5B1A" w:rsidP="001E5B1A">
      <w:pPr>
        <w:spacing w:line="360" w:lineRule="auto"/>
        <w:jc w:val="both"/>
        <w:rPr>
          <w:rFonts w:ascii="Arial" w:hAnsi="Arial" w:cs="Arial"/>
          <w:b/>
          <w:sz w:val="20"/>
          <w:szCs w:val="20"/>
        </w:rPr>
      </w:pPr>
      <w:r w:rsidRPr="007E0E02">
        <w:rPr>
          <w:rFonts w:ascii="Arial" w:hAnsi="Arial" w:cs="Arial"/>
          <w:b/>
          <w:sz w:val="20"/>
          <w:szCs w:val="20"/>
        </w:rPr>
        <w:lastRenderedPageBreak/>
        <w:t>Table 2: Descriptive Statistics of</w:t>
      </w:r>
      <w:r w:rsidRPr="007E0E02">
        <w:rPr>
          <w:rFonts w:ascii="Arial" w:hAnsi="Arial" w:cs="Arial"/>
          <w:sz w:val="20"/>
          <w:szCs w:val="20"/>
        </w:rPr>
        <w:t xml:space="preserve"> </w:t>
      </w:r>
      <w:r w:rsidRPr="007E0E02">
        <w:rPr>
          <w:rFonts w:ascii="Arial" w:hAnsi="Arial" w:cs="Arial"/>
          <w:b/>
          <w:sz w:val="20"/>
          <w:szCs w:val="20"/>
        </w:rPr>
        <w:t>Pesticide residues levels in beans (White and Brown) and maize (White and Yellow)</w:t>
      </w:r>
    </w:p>
    <w:tbl>
      <w:tblPr>
        <w:tblStyle w:val="TableGrid"/>
        <w:tblW w:w="11070" w:type="dxa"/>
        <w:jc w:val="center"/>
        <w:tblLayout w:type="fixed"/>
        <w:tblLook w:val="04A0" w:firstRow="1" w:lastRow="0" w:firstColumn="1" w:lastColumn="0" w:noHBand="0" w:noVBand="1"/>
      </w:tblPr>
      <w:tblGrid>
        <w:gridCol w:w="900"/>
        <w:gridCol w:w="2160"/>
        <w:gridCol w:w="1350"/>
        <w:gridCol w:w="1530"/>
        <w:gridCol w:w="1530"/>
        <w:gridCol w:w="1530"/>
        <w:gridCol w:w="2070"/>
      </w:tblGrid>
      <w:tr w:rsidR="007E7592" w:rsidRPr="007E0E02" w14:paraId="0D9BCE3E" w14:textId="77777777" w:rsidTr="001A1E90">
        <w:trPr>
          <w:jc w:val="center"/>
        </w:trPr>
        <w:tc>
          <w:tcPr>
            <w:tcW w:w="900" w:type="dxa"/>
            <w:vMerge w:val="restart"/>
          </w:tcPr>
          <w:p w14:paraId="1D7719EA" w14:textId="77777777"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0" w:type="dxa"/>
            <w:vMerge w:val="restart"/>
          </w:tcPr>
          <w:p w14:paraId="7D29E578" w14:textId="77777777" w:rsidR="007E7592" w:rsidRPr="007E0E02" w:rsidRDefault="007E7592" w:rsidP="007E759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5940" w:type="dxa"/>
            <w:gridSpan w:val="4"/>
            <w:tcBorders>
              <w:top w:val="single" w:sz="4" w:space="0" w:color="auto"/>
              <w:left w:val="nil"/>
              <w:bottom w:val="single" w:sz="4" w:space="0" w:color="auto"/>
              <w:right w:val="single" w:sz="4" w:space="0" w:color="auto"/>
            </w:tcBorders>
            <w:vAlign w:val="center"/>
          </w:tcPr>
          <w:p w14:paraId="4B552707" w14:textId="77777777"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14:paraId="1CC709E4" w14:textId="77777777" w:rsidR="007E7592" w:rsidRPr="007E0E02" w:rsidRDefault="007E7592" w:rsidP="007E7592">
            <w:pPr>
              <w:spacing w:line="480" w:lineRule="auto"/>
              <w:jc w:val="center"/>
              <w:rPr>
                <w:rFonts w:ascii="Arial" w:hAnsi="Arial" w:cs="Arial"/>
                <w:b/>
                <w:sz w:val="20"/>
                <w:szCs w:val="20"/>
              </w:rPr>
            </w:pPr>
          </w:p>
        </w:tc>
        <w:tc>
          <w:tcPr>
            <w:tcW w:w="2070" w:type="dxa"/>
            <w:vMerge w:val="restart"/>
            <w:tcBorders>
              <w:top w:val="single" w:sz="4" w:space="0" w:color="auto"/>
              <w:left w:val="nil"/>
              <w:right w:val="single" w:sz="4" w:space="0" w:color="auto"/>
            </w:tcBorders>
          </w:tcPr>
          <w:p w14:paraId="1AD33B35" w14:textId="77777777" w:rsidR="007E759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r>
              <w:rPr>
                <w:rFonts w:ascii="Arial" w:eastAsia="Times New Roman" w:hAnsi="Arial" w:cs="Arial"/>
                <w:b/>
                <w:sz w:val="20"/>
                <w:szCs w:val="20"/>
              </w:rPr>
              <w:t xml:space="preserve"> </w:t>
            </w:r>
          </w:p>
          <w:p w14:paraId="34932FC1" w14:textId="77777777" w:rsidR="007E7592" w:rsidRPr="007E0E02" w:rsidRDefault="007E7592" w:rsidP="007E7592">
            <w:pPr>
              <w:spacing w:line="480" w:lineRule="auto"/>
              <w:jc w:val="center"/>
              <w:rPr>
                <w:rFonts w:ascii="Arial" w:eastAsia="Times New Roman" w:hAnsi="Arial" w:cs="Arial"/>
                <w:b/>
                <w:sz w:val="20"/>
                <w:szCs w:val="20"/>
              </w:rPr>
            </w:pPr>
            <w:r>
              <w:rPr>
                <w:rFonts w:ascii="Arial" w:eastAsia="Times New Roman" w:hAnsi="Arial" w:cs="Arial"/>
                <w:b/>
                <w:sz w:val="20"/>
                <w:szCs w:val="20"/>
              </w:rPr>
              <w:t>(</w:t>
            </w:r>
            <w:r w:rsidR="00B40080">
              <w:rPr>
                <w:rFonts w:ascii="Arial" w:eastAsia="Times New Roman" w:hAnsi="Arial" w:cs="Arial"/>
                <w:b/>
                <w:sz w:val="20"/>
                <w:szCs w:val="20"/>
              </w:rPr>
              <w:t>WHO, 2010</w:t>
            </w:r>
            <w:r>
              <w:rPr>
                <w:rFonts w:ascii="Arial" w:eastAsia="Times New Roman" w:hAnsi="Arial" w:cs="Arial"/>
                <w:b/>
                <w:sz w:val="20"/>
                <w:szCs w:val="20"/>
              </w:rPr>
              <w:t>)</w:t>
            </w:r>
          </w:p>
        </w:tc>
      </w:tr>
      <w:tr w:rsidR="007E7592" w:rsidRPr="007E0E02" w14:paraId="590BB8C9" w14:textId="77777777" w:rsidTr="001A1E90">
        <w:trPr>
          <w:jc w:val="center"/>
        </w:trPr>
        <w:tc>
          <w:tcPr>
            <w:tcW w:w="900" w:type="dxa"/>
            <w:vMerge/>
            <w:tcBorders>
              <w:bottom w:val="single" w:sz="4" w:space="0" w:color="auto"/>
            </w:tcBorders>
          </w:tcPr>
          <w:p w14:paraId="2D43CCCF" w14:textId="77777777" w:rsidR="007E7592" w:rsidRPr="007E0E02" w:rsidRDefault="007E7592" w:rsidP="007E7592">
            <w:pPr>
              <w:spacing w:line="480" w:lineRule="auto"/>
              <w:jc w:val="center"/>
              <w:rPr>
                <w:rFonts w:ascii="Arial" w:hAnsi="Arial" w:cs="Arial"/>
                <w:b/>
                <w:sz w:val="20"/>
                <w:szCs w:val="20"/>
              </w:rPr>
            </w:pPr>
          </w:p>
        </w:tc>
        <w:tc>
          <w:tcPr>
            <w:tcW w:w="2160" w:type="dxa"/>
            <w:vMerge/>
            <w:tcBorders>
              <w:bottom w:val="single" w:sz="4" w:space="0" w:color="auto"/>
            </w:tcBorders>
            <w:vAlign w:val="center"/>
          </w:tcPr>
          <w:p w14:paraId="1D14E217" w14:textId="77777777" w:rsidR="007E7592" w:rsidRPr="007E0E02" w:rsidRDefault="007E7592" w:rsidP="007E7592">
            <w:pPr>
              <w:spacing w:line="480" w:lineRule="auto"/>
              <w:jc w:val="center"/>
              <w:rPr>
                <w:rFonts w:ascii="Arial" w:hAnsi="Arial" w:cs="Arial"/>
                <w:b/>
                <w:sz w:val="20"/>
                <w:szCs w:val="20"/>
              </w:rPr>
            </w:pPr>
          </w:p>
        </w:tc>
        <w:tc>
          <w:tcPr>
            <w:tcW w:w="1350" w:type="dxa"/>
            <w:tcBorders>
              <w:top w:val="nil"/>
              <w:left w:val="nil"/>
              <w:bottom w:val="single" w:sz="4" w:space="0" w:color="auto"/>
              <w:right w:val="single" w:sz="4" w:space="0" w:color="auto"/>
            </w:tcBorders>
          </w:tcPr>
          <w:p w14:paraId="45324B5F"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BB</w:t>
            </w:r>
          </w:p>
        </w:tc>
        <w:tc>
          <w:tcPr>
            <w:tcW w:w="1530" w:type="dxa"/>
            <w:tcBorders>
              <w:top w:val="single" w:sz="4" w:space="0" w:color="auto"/>
              <w:left w:val="nil"/>
              <w:bottom w:val="single" w:sz="4" w:space="0" w:color="auto"/>
              <w:right w:val="single" w:sz="4" w:space="0" w:color="auto"/>
            </w:tcBorders>
          </w:tcPr>
          <w:p w14:paraId="35824C23"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WB</w:t>
            </w:r>
          </w:p>
        </w:tc>
        <w:tc>
          <w:tcPr>
            <w:tcW w:w="1530" w:type="dxa"/>
            <w:tcBorders>
              <w:top w:val="single" w:sz="4" w:space="0" w:color="auto"/>
              <w:left w:val="single" w:sz="4" w:space="0" w:color="auto"/>
              <w:bottom w:val="single" w:sz="4" w:space="0" w:color="auto"/>
              <w:right w:val="single" w:sz="4" w:space="0" w:color="auto"/>
            </w:tcBorders>
          </w:tcPr>
          <w:p w14:paraId="62AF9F46"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WM</w:t>
            </w:r>
          </w:p>
        </w:tc>
        <w:tc>
          <w:tcPr>
            <w:tcW w:w="1530" w:type="dxa"/>
            <w:tcBorders>
              <w:top w:val="nil"/>
              <w:left w:val="single" w:sz="4" w:space="0" w:color="auto"/>
              <w:bottom w:val="single" w:sz="4" w:space="0" w:color="auto"/>
              <w:right w:val="single" w:sz="4" w:space="0" w:color="auto"/>
            </w:tcBorders>
          </w:tcPr>
          <w:p w14:paraId="067E21FD"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YM</w:t>
            </w:r>
          </w:p>
        </w:tc>
        <w:tc>
          <w:tcPr>
            <w:tcW w:w="2070" w:type="dxa"/>
            <w:vMerge/>
            <w:tcBorders>
              <w:left w:val="nil"/>
              <w:bottom w:val="single" w:sz="4" w:space="0" w:color="auto"/>
              <w:right w:val="single" w:sz="4" w:space="0" w:color="auto"/>
            </w:tcBorders>
          </w:tcPr>
          <w:p w14:paraId="2FEAAD6B" w14:textId="77777777" w:rsidR="007E7592" w:rsidRPr="007E0E02" w:rsidRDefault="007E7592" w:rsidP="007E7592">
            <w:pPr>
              <w:spacing w:line="480" w:lineRule="auto"/>
              <w:jc w:val="center"/>
              <w:rPr>
                <w:rFonts w:ascii="Arial" w:hAnsi="Arial" w:cs="Arial"/>
                <w:b/>
                <w:sz w:val="20"/>
                <w:szCs w:val="20"/>
              </w:rPr>
            </w:pPr>
          </w:p>
        </w:tc>
      </w:tr>
      <w:tr w:rsidR="001E5B1A" w:rsidRPr="007E0E02" w14:paraId="6AEC5FC5" w14:textId="77777777" w:rsidTr="001E5B1A">
        <w:trPr>
          <w:jc w:val="center"/>
        </w:trPr>
        <w:tc>
          <w:tcPr>
            <w:tcW w:w="900" w:type="dxa"/>
            <w:tcBorders>
              <w:top w:val="nil"/>
              <w:left w:val="single" w:sz="4" w:space="0" w:color="auto"/>
              <w:bottom w:val="single" w:sz="4" w:space="0" w:color="auto"/>
              <w:right w:val="single" w:sz="4" w:space="0" w:color="auto"/>
            </w:tcBorders>
          </w:tcPr>
          <w:p w14:paraId="31BCEBD5"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0" w:type="dxa"/>
            <w:tcBorders>
              <w:top w:val="nil"/>
              <w:left w:val="single" w:sz="4" w:space="0" w:color="auto"/>
              <w:bottom w:val="single" w:sz="4" w:space="0" w:color="auto"/>
              <w:right w:val="single" w:sz="4" w:space="0" w:color="auto"/>
            </w:tcBorders>
            <w:vAlign w:val="center"/>
          </w:tcPr>
          <w:p w14:paraId="37B02B0A"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350" w:type="dxa"/>
            <w:tcBorders>
              <w:top w:val="nil"/>
              <w:left w:val="nil"/>
              <w:bottom w:val="single" w:sz="4" w:space="0" w:color="auto"/>
              <w:right w:val="single" w:sz="4" w:space="0" w:color="auto"/>
            </w:tcBorders>
          </w:tcPr>
          <w:p w14:paraId="7C6FDE3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0.107±0.012</w:t>
            </w:r>
          </w:p>
        </w:tc>
        <w:tc>
          <w:tcPr>
            <w:tcW w:w="1530" w:type="dxa"/>
            <w:tcBorders>
              <w:top w:val="single" w:sz="4" w:space="0" w:color="auto"/>
              <w:left w:val="nil"/>
              <w:bottom w:val="single" w:sz="4" w:space="0" w:color="auto"/>
              <w:right w:val="single" w:sz="4" w:space="0" w:color="auto"/>
            </w:tcBorders>
          </w:tcPr>
          <w:p w14:paraId="6AADF8E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0.364±0.024</w:t>
            </w:r>
          </w:p>
        </w:tc>
        <w:tc>
          <w:tcPr>
            <w:tcW w:w="1530" w:type="dxa"/>
            <w:tcBorders>
              <w:top w:val="single" w:sz="4" w:space="0" w:color="auto"/>
              <w:left w:val="single" w:sz="4" w:space="0" w:color="auto"/>
              <w:bottom w:val="single" w:sz="4" w:space="0" w:color="auto"/>
              <w:right w:val="single" w:sz="4" w:space="0" w:color="auto"/>
            </w:tcBorders>
          </w:tcPr>
          <w:p w14:paraId="2F32332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0.253±0.025</w:t>
            </w:r>
          </w:p>
        </w:tc>
        <w:tc>
          <w:tcPr>
            <w:tcW w:w="1530" w:type="dxa"/>
            <w:tcBorders>
              <w:top w:val="nil"/>
              <w:left w:val="single" w:sz="4" w:space="0" w:color="auto"/>
              <w:bottom w:val="single" w:sz="4" w:space="0" w:color="auto"/>
              <w:right w:val="single" w:sz="4" w:space="0" w:color="auto"/>
            </w:tcBorders>
          </w:tcPr>
          <w:p w14:paraId="33E0F6F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0.219±0.045</w:t>
            </w:r>
          </w:p>
        </w:tc>
        <w:tc>
          <w:tcPr>
            <w:tcW w:w="2070" w:type="dxa"/>
            <w:tcBorders>
              <w:top w:val="nil"/>
              <w:left w:val="nil"/>
              <w:bottom w:val="single" w:sz="4" w:space="0" w:color="auto"/>
              <w:right w:val="single" w:sz="4" w:space="0" w:color="auto"/>
            </w:tcBorders>
          </w:tcPr>
          <w:p w14:paraId="58706555"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B00466" w14:textId="77777777" w:rsidTr="001E5B1A">
        <w:trPr>
          <w:jc w:val="center"/>
        </w:trPr>
        <w:tc>
          <w:tcPr>
            <w:tcW w:w="900" w:type="dxa"/>
            <w:tcBorders>
              <w:top w:val="nil"/>
              <w:left w:val="single" w:sz="4" w:space="0" w:color="auto"/>
              <w:bottom w:val="single" w:sz="4" w:space="0" w:color="auto"/>
              <w:right w:val="single" w:sz="4" w:space="0" w:color="auto"/>
            </w:tcBorders>
          </w:tcPr>
          <w:p w14:paraId="0922E601"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0" w:type="dxa"/>
            <w:tcBorders>
              <w:top w:val="nil"/>
              <w:left w:val="single" w:sz="4" w:space="0" w:color="auto"/>
              <w:bottom w:val="single" w:sz="4" w:space="0" w:color="auto"/>
              <w:right w:val="single" w:sz="4" w:space="0" w:color="auto"/>
            </w:tcBorders>
            <w:vAlign w:val="center"/>
          </w:tcPr>
          <w:p w14:paraId="1ADE7B5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350" w:type="dxa"/>
            <w:tcBorders>
              <w:top w:val="nil"/>
              <w:left w:val="nil"/>
              <w:bottom w:val="single" w:sz="4" w:space="0" w:color="auto"/>
              <w:right w:val="single" w:sz="4" w:space="0" w:color="auto"/>
            </w:tcBorders>
          </w:tcPr>
          <w:p w14:paraId="642DD32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2.086±0.100</w:t>
            </w:r>
          </w:p>
        </w:tc>
        <w:tc>
          <w:tcPr>
            <w:tcW w:w="1530" w:type="dxa"/>
            <w:tcBorders>
              <w:top w:val="single" w:sz="4" w:space="0" w:color="auto"/>
              <w:left w:val="nil"/>
              <w:bottom w:val="single" w:sz="4" w:space="0" w:color="auto"/>
              <w:right w:val="single" w:sz="4" w:space="0" w:color="auto"/>
            </w:tcBorders>
          </w:tcPr>
          <w:p w14:paraId="4D0A5B4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3.550±0.011</w:t>
            </w:r>
          </w:p>
        </w:tc>
        <w:tc>
          <w:tcPr>
            <w:tcW w:w="1530" w:type="dxa"/>
            <w:tcBorders>
              <w:top w:val="single" w:sz="4" w:space="0" w:color="auto"/>
              <w:left w:val="single" w:sz="4" w:space="0" w:color="auto"/>
              <w:bottom w:val="single" w:sz="4" w:space="0" w:color="auto"/>
              <w:right w:val="single" w:sz="4" w:space="0" w:color="auto"/>
            </w:tcBorders>
          </w:tcPr>
          <w:p w14:paraId="215BAF8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0.027±0.003</w:t>
            </w:r>
          </w:p>
        </w:tc>
        <w:tc>
          <w:tcPr>
            <w:tcW w:w="1530" w:type="dxa"/>
            <w:tcBorders>
              <w:top w:val="nil"/>
              <w:left w:val="single" w:sz="4" w:space="0" w:color="auto"/>
              <w:bottom w:val="single" w:sz="4" w:space="0" w:color="auto"/>
              <w:right w:val="single" w:sz="4" w:space="0" w:color="auto"/>
            </w:tcBorders>
          </w:tcPr>
          <w:p w14:paraId="5569522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0.232±0.004</w:t>
            </w:r>
          </w:p>
        </w:tc>
        <w:tc>
          <w:tcPr>
            <w:tcW w:w="2070" w:type="dxa"/>
            <w:tcBorders>
              <w:top w:val="nil"/>
              <w:left w:val="nil"/>
              <w:bottom w:val="single" w:sz="4" w:space="0" w:color="auto"/>
              <w:right w:val="single" w:sz="4" w:space="0" w:color="auto"/>
            </w:tcBorders>
          </w:tcPr>
          <w:p w14:paraId="4481EEB9"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15B3DB5" w14:textId="77777777" w:rsidTr="001E5B1A">
        <w:trPr>
          <w:jc w:val="center"/>
        </w:trPr>
        <w:tc>
          <w:tcPr>
            <w:tcW w:w="900" w:type="dxa"/>
            <w:tcBorders>
              <w:top w:val="nil"/>
              <w:left w:val="single" w:sz="4" w:space="0" w:color="auto"/>
              <w:bottom w:val="single" w:sz="4" w:space="0" w:color="auto"/>
              <w:right w:val="single" w:sz="4" w:space="0" w:color="auto"/>
            </w:tcBorders>
          </w:tcPr>
          <w:p w14:paraId="46A5AB0D"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0" w:type="dxa"/>
            <w:tcBorders>
              <w:top w:val="nil"/>
              <w:left w:val="single" w:sz="4" w:space="0" w:color="auto"/>
              <w:bottom w:val="single" w:sz="4" w:space="0" w:color="auto"/>
              <w:right w:val="single" w:sz="4" w:space="0" w:color="auto"/>
            </w:tcBorders>
            <w:vAlign w:val="center"/>
          </w:tcPr>
          <w:p w14:paraId="5C9FDE1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350" w:type="dxa"/>
            <w:tcBorders>
              <w:top w:val="nil"/>
              <w:left w:val="nil"/>
              <w:bottom w:val="single" w:sz="4" w:space="0" w:color="auto"/>
              <w:right w:val="single" w:sz="4" w:space="0" w:color="auto"/>
            </w:tcBorders>
          </w:tcPr>
          <w:p w14:paraId="7C175C4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1.217±0.091</w:t>
            </w:r>
          </w:p>
        </w:tc>
        <w:tc>
          <w:tcPr>
            <w:tcW w:w="1530" w:type="dxa"/>
            <w:tcBorders>
              <w:top w:val="single" w:sz="4" w:space="0" w:color="auto"/>
              <w:left w:val="nil"/>
              <w:bottom w:val="single" w:sz="4" w:space="0" w:color="auto"/>
              <w:right w:val="single" w:sz="4" w:space="0" w:color="auto"/>
            </w:tcBorders>
          </w:tcPr>
          <w:p w14:paraId="273B5C9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2.323±0.020</w:t>
            </w:r>
          </w:p>
        </w:tc>
        <w:tc>
          <w:tcPr>
            <w:tcW w:w="1530" w:type="dxa"/>
            <w:tcBorders>
              <w:top w:val="single" w:sz="4" w:space="0" w:color="auto"/>
              <w:left w:val="single" w:sz="4" w:space="0" w:color="auto"/>
              <w:bottom w:val="single" w:sz="4" w:space="0" w:color="auto"/>
              <w:right w:val="single" w:sz="4" w:space="0" w:color="auto"/>
            </w:tcBorders>
          </w:tcPr>
          <w:p w14:paraId="2B5CF0F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0.276±0.020</w:t>
            </w:r>
          </w:p>
        </w:tc>
        <w:tc>
          <w:tcPr>
            <w:tcW w:w="1530" w:type="dxa"/>
            <w:tcBorders>
              <w:top w:val="nil"/>
              <w:left w:val="single" w:sz="4" w:space="0" w:color="auto"/>
              <w:bottom w:val="single" w:sz="4" w:space="0" w:color="auto"/>
              <w:right w:val="single" w:sz="4" w:space="0" w:color="auto"/>
            </w:tcBorders>
          </w:tcPr>
          <w:p w14:paraId="279600B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0.871±0.029</w:t>
            </w:r>
          </w:p>
        </w:tc>
        <w:tc>
          <w:tcPr>
            <w:tcW w:w="2070" w:type="dxa"/>
            <w:tcBorders>
              <w:top w:val="nil"/>
              <w:left w:val="nil"/>
              <w:bottom w:val="single" w:sz="4" w:space="0" w:color="auto"/>
              <w:right w:val="single" w:sz="4" w:space="0" w:color="auto"/>
            </w:tcBorders>
          </w:tcPr>
          <w:p w14:paraId="40A6280C"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6DCF4B0D" w14:textId="77777777" w:rsidTr="001E5B1A">
        <w:trPr>
          <w:jc w:val="center"/>
        </w:trPr>
        <w:tc>
          <w:tcPr>
            <w:tcW w:w="900" w:type="dxa"/>
            <w:tcBorders>
              <w:top w:val="nil"/>
              <w:left w:val="single" w:sz="4" w:space="0" w:color="auto"/>
              <w:bottom w:val="single" w:sz="4" w:space="0" w:color="auto"/>
              <w:right w:val="single" w:sz="4" w:space="0" w:color="auto"/>
            </w:tcBorders>
          </w:tcPr>
          <w:p w14:paraId="645B316D"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0" w:type="dxa"/>
            <w:tcBorders>
              <w:top w:val="nil"/>
              <w:left w:val="single" w:sz="4" w:space="0" w:color="auto"/>
              <w:bottom w:val="single" w:sz="4" w:space="0" w:color="auto"/>
              <w:right w:val="single" w:sz="4" w:space="0" w:color="auto"/>
            </w:tcBorders>
            <w:vAlign w:val="center"/>
          </w:tcPr>
          <w:p w14:paraId="1984194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350" w:type="dxa"/>
            <w:tcBorders>
              <w:top w:val="nil"/>
              <w:left w:val="nil"/>
              <w:bottom w:val="single" w:sz="4" w:space="0" w:color="auto"/>
              <w:right w:val="single" w:sz="4" w:space="0" w:color="auto"/>
            </w:tcBorders>
          </w:tcPr>
          <w:p w14:paraId="7BCAD49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0.027±0.002</w:t>
            </w:r>
          </w:p>
        </w:tc>
        <w:tc>
          <w:tcPr>
            <w:tcW w:w="1530" w:type="dxa"/>
            <w:tcBorders>
              <w:top w:val="single" w:sz="4" w:space="0" w:color="auto"/>
              <w:left w:val="nil"/>
              <w:bottom w:val="single" w:sz="4" w:space="0" w:color="auto"/>
              <w:right w:val="single" w:sz="4" w:space="0" w:color="auto"/>
            </w:tcBorders>
          </w:tcPr>
          <w:p w14:paraId="2F49B0B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0.687±0.008</w:t>
            </w:r>
          </w:p>
        </w:tc>
        <w:tc>
          <w:tcPr>
            <w:tcW w:w="1530" w:type="dxa"/>
            <w:tcBorders>
              <w:top w:val="single" w:sz="4" w:space="0" w:color="auto"/>
              <w:left w:val="single" w:sz="4" w:space="0" w:color="auto"/>
              <w:bottom w:val="single" w:sz="4" w:space="0" w:color="auto"/>
              <w:right w:val="single" w:sz="4" w:space="0" w:color="auto"/>
            </w:tcBorders>
          </w:tcPr>
          <w:p w14:paraId="390D480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4D901AF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0.085±0.001</w:t>
            </w:r>
          </w:p>
        </w:tc>
        <w:tc>
          <w:tcPr>
            <w:tcW w:w="2070" w:type="dxa"/>
            <w:tcBorders>
              <w:top w:val="nil"/>
              <w:left w:val="nil"/>
              <w:bottom w:val="single" w:sz="4" w:space="0" w:color="auto"/>
              <w:right w:val="single" w:sz="4" w:space="0" w:color="auto"/>
            </w:tcBorders>
          </w:tcPr>
          <w:p w14:paraId="2C665B74"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F08757B" w14:textId="77777777" w:rsidTr="001E5B1A">
        <w:trPr>
          <w:jc w:val="center"/>
        </w:trPr>
        <w:tc>
          <w:tcPr>
            <w:tcW w:w="900" w:type="dxa"/>
            <w:tcBorders>
              <w:top w:val="nil"/>
              <w:left w:val="single" w:sz="4" w:space="0" w:color="auto"/>
              <w:bottom w:val="single" w:sz="4" w:space="0" w:color="auto"/>
              <w:right w:val="single" w:sz="4" w:space="0" w:color="auto"/>
            </w:tcBorders>
          </w:tcPr>
          <w:p w14:paraId="447F30B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0" w:type="dxa"/>
            <w:tcBorders>
              <w:top w:val="nil"/>
              <w:left w:val="single" w:sz="4" w:space="0" w:color="auto"/>
              <w:bottom w:val="single" w:sz="4" w:space="0" w:color="auto"/>
              <w:right w:val="single" w:sz="4" w:space="0" w:color="auto"/>
            </w:tcBorders>
            <w:vAlign w:val="center"/>
          </w:tcPr>
          <w:p w14:paraId="5E7D24E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350" w:type="dxa"/>
            <w:tcBorders>
              <w:top w:val="nil"/>
              <w:left w:val="nil"/>
              <w:bottom w:val="single" w:sz="4" w:space="0" w:color="auto"/>
              <w:right w:val="single" w:sz="4" w:space="0" w:color="auto"/>
            </w:tcBorders>
          </w:tcPr>
          <w:p w14:paraId="01FDFA9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0.565±0.061</w:t>
            </w:r>
          </w:p>
        </w:tc>
        <w:tc>
          <w:tcPr>
            <w:tcW w:w="1530" w:type="dxa"/>
            <w:tcBorders>
              <w:top w:val="single" w:sz="4" w:space="0" w:color="auto"/>
              <w:left w:val="nil"/>
              <w:bottom w:val="single" w:sz="4" w:space="0" w:color="auto"/>
              <w:right w:val="single" w:sz="4" w:space="0" w:color="auto"/>
            </w:tcBorders>
          </w:tcPr>
          <w:p w14:paraId="0782C3E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0.444±0.003</w:t>
            </w:r>
          </w:p>
        </w:tc>
        <w:tc>
          <w:tcPr>
            <w:tcW w:w="1530" w:type="dxa"/>
            <w:tcBorders>
              <w:top w:val="single" w:sz="4" w:space="0" w:color="auto"/>
              <w:left w:val="single" w:sz="4" w:space="0" w:color="auto"/>
              <w:bottom w:val="single" w:sz="4" w:space="0" w:color="auto"/>
              <w:right w:val="single" w:sz="4" w:space="0" w:color="auto"/>
            </w:tcBorders>
          </w:tcPr>
          <w:p w14:paraId="3EA1467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0.915±0.011</w:t>
            </w:r>
          </w:p>
        </w:tc>
        <w:tc>
          <w:tcPr>
            <w:tcW w:w="1530" w:type="dxa"/>
            <w:tcBorders>
              <w:top w:val="nil"/>
              <w:left w:val="single" w:sz="4" w:space="0" w:color="auto"/>
              <w:bottom w:val="single" w:sz="4" w:space="0" w:color="auto"/>
              <w:right w:val="single" w:sz="4" w:space="0" w:color="auto"/>
            </w:tcBorders>
          </w:tcPr>
          <w:p w14:paraId="4C19F94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1B7CD51D"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C4B720A" w14:textId="77777777" w:rsidTr="001E5B1A">
        <w:trPr>
          <w:jc w:val="center"/>
        </w:trPr>
        <w:tc>
          <w:tcPr>
            <w:tcW w:w="900" w:type="dxa"/>
            <w:tcBorders>
              <w:top w:val="nil"/>
              <w:left w:val="single" w:sz="4" w:space="0" w:color="auto"/>
              <w:bottom w:val="single" w:sz="4" w:space="0" w:color="auto"/>
              <w:right w:val="single" w:sz="4" w:space="0" w:color="auto"/>
            </w:tcBorders>
          </w:tcPr>
          <w:p w14:paraId="228FAF2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0" w:type="dxa"/>
            <w:tcBorders>
              <w:top w:val="nil"/>
              <w:left w:val="single" w:sz="4" w:space="0" w:color="auto"/>
              <w:bottom w:val="single" w:sz="4" w:space="0" w:color="auto"/>
              <w:right w:val="single" w:sz="4" w:space="0" w:color="auto"/>
            </w:tcBorders>
            <w:vAlign w:val="center"/>
          </w:tcPr>
          <w:p w14:paraId="7D3F18DF"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350" w:type="dxa"/>
            <w:tcBorders>
              <w:top w:val="nil"/>
              <w:left w:val="nil"/>
              <w:bottom w:val="single" w:sz="4" w:space="0" w:color="auto"/>
              <w:right w:val="single" w:sz="4" w:space="0" w:color="auto"/>
            </w:tcBorders>
          </w:tcPr>
          <w:p w14:paraId="78AA1B9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0.146±0.003</w:t>
            </w:r>
          </w:p>
        </w:tc>
        <w:tc>
          <w:tcPr>
            <w:tcW w:w="1530" w:type="dxa"/>
            <w:tcBorders>
              <w:top w:val="single" w:sz="4" w:space="0" w:color="auto"/>
              <w:left w:val="nil"/>
              <w:bottom w:val="single" w:sz="4" w:space="0" w:color="auto"/>
              <w:right w:val="single" w:sz="4" w:space="0" w:color="auto"/>
            </w:tcBorders>
          </w:tcPr>
          <w:p w14:paraId="30F093E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0.294±0.001</w:t>
            </w:r>
          </w:p>
        </w:tc>
        <w:tc>
          <w:tcPr>
            <w:tcW w:w="1530" w:type="dxa"/>
            <w:tcBorders>
              <w:top w:val="single" w:sz="4" w:space="0" w:color="auto"/>
              <w:left w:val="single" w:sz="4" w:space="0" w:color="auto"/>
              <w:bottom w:val="single" w:sz="4" w:space="0" w:color="auto"/>
              <w:right w:val="single" w:sz="4" w:space="0" w:color="auto"/>
            </w:tcBorders>
          </w:tcPr>
          <w:p w14:paraId="18677D2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0.340±0.008</w:t>
            </w:r>
          </w:p>
        </w:tc>
        <w:tc>
          <w:tcPr>
            <w:tcW w:w="1530" w:type="dxa"/>
            <w:tcBorders>
              <w:top w:val="nil"/>
              <w:left w:val="single" w:sz="4" w:space="0" w:color="auto"/>
              <w:bottom w:val="single" w:sz="4" w:space="0" w:color="auto"/>
              <w:right w:val="single" w:sz="4" w:space="0" w:color="auto"/>
            </w:tcBorders>
          </w:tcPr>
          <w:p w14:paraId="553938C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0.913±0.124</w:t>
            </w:r>
          </w:p>
        </w:tc>
        <w:tc>
          <w:tcPr>
            <w:tcW w:w="2070" w:type="dxa"/>
            <w:tcBorders>
              <w:top w:val="nil"/>
              <w:left w:val="nil"/>
              <w:bottom w:val="single" w:sz="4" w:space="0" w:color="auto"/>
              <w:right w:val="single" w:sz="4" w:space="0" w:color="auto"/>
            </w:tcBorders>
          </w:tcPr>
          <w:p w14:paraId="0F431A0F"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834C18" w14:textId="77777777" w:rsidTr="001E5B1A">
        <w:trPr>
          <w:jc w:val="center"/>
        </w:trPr>
        <w:tc>
          <w:tcPr>
            <w:tcW w:w="900" w:type="dxa"/>
            <w:tcBorders>
              <w:top w:val="nil"/>
              <w:left w:val="single" w:sz="4" w:space="0" w:color="auto"/>
              <w:bottom w:val="single" w:sz="4" w:space="0" w:color="auto"/>
              <w:right w:val="single" w:sz="4" w:space="0" w:color="auto"/>
            </w:tcBorders>
          </w:tcPr>
          <w:p w14:paraId="1562B32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0" w:type="dxa"/>
            <w:tcBorders>
              <w:top w:val="nil"/>
              <w:left w:val="single" w:sz="4" w:space="0" w:color="auto"/>
              <w:bottom w:val="single" w:sz="4" w:space="0" w:color="auto"/>
              <w:right w:val="single" w:sz="4" w:space="0" w:color="auto"/>
            </w:tcBorders>
            <w:vAlign w:val="center"/>
          </w:tcPr>
          <w:p w14:paraId="067F26D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350" w:type="dxa"/>
            <w:tcBorders>
              <w:top w:val="nil"/>
              <w:left w:val="nil"/>
              <w:bottom w:val="single" w:sz="4" w:space="0" w:color="auto"/>
              <w:right w:val="single" w:sz="4" w:space="0" w:color="auto"/>
            </w:tcBorders>
          </w:tcPr>
          <w:p w14:paraId="57012FB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0.425±0.007</w:t>
            </w:r>
          </w:p>
        </w:tc>
        <w:tc>
          <w:tcPr>
            <w:tcW w:w="1530" w:type="dxa"/>
            <w:tcBorders>
              <w:top w:val="single" w:sz="4" w:space="0" w:color="auto"/>
              <w:left w:val="nil"/>
              <w:bottom w:val="single" w:sz="4" w:space="0" w:color="auto"/>
              <w:right w:val="single" w:sz="4" w:space="0" w:color="auto"/>
            </w:tcBorders>
          </w:tcPr>
          <w:p w14:paraId="639048C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0.595±0.012</w:t>
            </w:r>
          </w:p>
        </w:tc>
        <w:tc>
          <w:tcPr>
            <w:tcW w:w="1530" w:type="dxa"/>
            <w:tcBorders>
              <w:top w:val="single" w:sz="4" w:space="0" w:color="auto"/>
              <w:left w:val="single" w:sz="4" w:space="0" w:color="auto"/>
              <w:bottom w:val="single" w:sz="4" w:space="0" w:color="auto"/>
              <w:right w:val="single" w:sz="4" w:space="0" w:color="auto"/>
            </w:tcBorders>
          </w:tcPr>
          <w:p w14:paraId="31442D0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1F80CE6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1.051±0.090</w:t>
            </w:r>
          </w:p>
        </w:tc>
        <w:tc>
          <w:tcPr>
            <w:tcW w:w="2070" w:type="dxa"/>
            <w:tcBorders>
              <w:top w:val="nil"/>
              <w:left w:val="nil"/>
              <w:bottom w:val="single" w:sz="4" w:space="0" w:color="auto"/>
              <w:right w:val="single" w:sz="4" w:space="0" w:color="auto"/>
            </w:tcBorders>
          </w:tcPr>
          <w:p w14:paraId="2B7BCD64"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14:paraId="067E08C3" w14:textId="77777777" w:rsidTr="001E5B1A">
        <w:trPr>
          <w:jc w:val="center"/>
        </w:trPr>
        <w:tc>
          <w:tcPr>
            <w:tcW w:w="900" w:type="dxa"/>
            <w:tcBorders>
              <w:top w:val="nil"/>
              <w:left w:val="single" w:sz="4" w:space="0" w:color="auto"/>
              <w:bottom w:val="single" w:sz="4" w:space="0" w:color="auto"/>
              <w:right w:val="single" w:sz="4" w:space="0" w:color="auto"/>
            </w:tcBorders>
          </w:tcPr>
          <w:p w14:paraId="130B1B9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0" w:type="dxa"/>
            <w:tcBorders>
              <w:top w:val="nil"/>
              <w:left w:val="single" w:sz="4" w:space="0" w:color="auto"/>
              <w:bottom w:val="single" w:sz="4" w:space="0" w:color="auto"/>
              <w:right w:val="single" w:sz="4" w:space="0" w:color="auto"/>
            </w:tcBorders>
            <w:vAlign w:val="center"/>
          </w:tcPr>
          <w:p w14:paraId="2C2E7F1F"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350" w:type="dxa"/>
            <w:tcBorders>
              <w:top w:val="nil"/>
              <w:left w:val="nil"/>
              <w:bottom w:val="single" w:sz="4" w:space="0" w:color="auto"/>
              <w:right w:val="single" w:sz="4" w:space="0" w:color="auto"/>
            </w:tcBorders>
          </w:tcPr>
          <w:p w14:paraId="0ECF872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0.294±0.013</w:t>
            </w:r>
          </w:p>
        </w:tc>
        <w:tc>
          <w:tcPr>
            <w:tcW w:w="1530" w:type="dxa"/>
            <w:tcBorders>
              <w:top w:val="single" w:sz="4" w:space="0" w:color="auto"/>
              <w:left w:val="nil"/>
              <w:bottom w:val="single" w:sz="4" w:space="0" w:color="auto"/>
              <w:right w:val="single" w:sz="4" w:space="0" w:color="auto"/>
            </w:tcBorders>
          </w:tcPr>
          <w:p w14:paraId="4A7FBFA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21E91CA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0.689±0.093</w:t>
            </w:r>
          </w:p>
        </w:tc>
        <w:tc>
          <w:tcPr>
            <w:tcW w:w="1530" w:type="dxa"/>
            <w:tcBorders>
              <w:top w:val="nil"/>
              <w:left w:val="single" w:sz="4" w:space="0" w:color="auto"/>
              <w:bottom w:val="single" w:sz="4" w:space="0" w:color="auto"/>
              <w:right w:val="single" w:sz="4" w:space="0" w:color="auto"/>
            </w:tcBorders>
          </w:tcPr>
          <w:p w14:paraId="06FCED1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0.808±0.022</w:t>
            </w:r>
          </w:p>
        </w:tc>
        <w:tc>
          <w:tcPr>
            <w:tcW w:w="2070" w:type="dxa"/>
            <w:tcBorders>
              <w:top w:val="nil"/>
              <w:left w:val="nil"/>
              <w:bottom w:val="single" w:sz="4" w:space="0" w:color="auto"/>
              <w:right w:val="single" w:sz="4" w:space="0" w:color="auto"/>
            </w:tcBorders>
          </w:tcPr>
          <w:p w14:paraId="30213F16"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1F722496" w14:textId="77777777" w:rsidTr="001E5B1A">
        <w:trPr>
          <w:jc w:val="center"/>
        </w:trPr>
        <w:tc>
          <w:tcPr>
            <w:tcW w:w="900" w:type="dxa"/>
            <w:tcBorders>
              <w:top w:val="nil"/>
              <w:left w:val="single" w:sz="4" w:space="0" w:color="auto"/>
              <w:bottom w:val="single" w:sz="4" w:space="0" w:color="auto"/>
              <w:right w:val="single" w:sz="4" w:space="0" w:color="auto"/>
            </w:tcBorders>
          </w:tcPr>
          <w:p w14:paraId="2C22C52E"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0" w:type="dxa"/>
            <w:tcBorders>
              <w:top w:val="nil"/>
              <w:left w:val="single" w:sz="4" w:space="0" w:color="auto"/>
              <w:bottom w:val="single" w:sz="4" w:space="0" w:color="auto"/>
              <w:right w:val="single" w:sz="4" w:space="0" w:color="auto"/>
            </w:tcBorders>
            <w:vAlign w:val="center"/>
          </w:tcPr>
          <w:p w14:paraId="4CF3533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350" w:type="dxa"/>
            <w:tcBorders>
              <w:top w:val="nil"/>
              <w:left w:val="nil"/>
              <w:bottom w:val="single" w:sz="4" w:space="0" w:color="auto"/>
              <w:right w:val="single" w:sz="4" w:space="0" w:color="auto"/>
            </w:tcBorders>
          </w:tcPr>
          <w:p w14:paraId="2DCC7F8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1946603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3BE64B4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0CE334E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0370F4F6"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6651A463" w14:textId="77777777" w:rsidTr="001E5B1A">
        <w:trPr>
          <w:jc w:val="center"/>
        </w:trPr>
        <w:tc>
          <w:tcPr>
            <w:tcW w:w="900" w:type="dxa"/>
            <w:tcBorders>
              <w:top w:val="nil"/>
              <w:left w:val="single" w:sz="4" w:space="0" w:color="auto"/>
              <w:bottom w:val="single" w:sz="4" w:space="0" w:color="auto"/>
              <w:right w:val="single" w:sz="4" w:space="0" w:color="auto"/>
            </w:tcBorders>
          </w:tcPr>
          <w:p w14:paraId="78F2503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0" w:type="dxa"/>
            <w:tcBorders>
              <w:top w:val="nil"/>
              <w:left w:val="single" w:sz="4" w:space="0" w:color="auto"/>
              <w:bottom w:val="single" w:sz="4" w:space="0" w:color="auto"/>
              <w:right w:val="single" w:sz="4" w:space="0" w:color="auto"/>
            </w:tcBorders>
            <w:vAlign w:val="center"/>
          </w:tcPr>
          <w:p w14:paraId="02FBC03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350" w:type="dxa"/>
            <w:tcBorders>
              <w:top w:val="nil"/>
              <w:left w:val="nil"/>
              <w:bottom w:val="single" w:sz="4" w:space="0" w:color="auto"/>
              <w:right w:val="single" w:sz="4" w:space="0" w:color="auto"/>
            </w:tcBorders>
          </w:tcPr>
          <w:p w14:paraId="0F0907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0.196±0.008</w:t>
            </w:r>
          </w:p>
        </w:tc>
        <w:tc>
          <w:tcPr>
            <w:tcW w:w="1530" w:type="dxa"/>
            <w:tcBorders>
              <w:top w:val="single" w:sz="4" w:space="0" w:color="auto"/>
              <w:left w:val="nil"/>
              <w:bottom w:val="single" w:sz="4" w:space="0" w:color="auto"/>
              <w:right w:val="single" w:sz="4" w:space="0" w:color="auto"/>
            </w:tcBorders>
          </w:tcPr>
          <w:p w14:paraId="687DCBF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0.359±0.010</w:t>
            </w:r>
          </w:p>
        </w:tc>
        <w:tc>
          <w:tcPr>
            <w:tcW w:w="1530" w:type="dxa"/>
            <w:tcBorders>
              <w:top w:val="single" w:sz="4" w:space="0" w:color="auto"/>
              <w:left w:val="single" w:sz="4" w:space="0" w:color="auto"/>
              <w:bottom w:val="single" w:sz="4" w:space="0" w:color="auto"/>
              <w:right w:val="single" w:sz="4" w:space="0" w:color="auto"/>
            </w:tcBorders>
          </w:tcPr>
          <w:p w14:paraId="3D06E14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0.025±0.001</w:t>
            </w:r>
          </w:p>
        </w:tc>
        <w:tc>
          <w:tcPr>
            <w:tcW w:w="1530" w:type="dxa"/>
            <w:tcBorders>
              <w:top w:val="nil"/>
              <w:left w:val="single" w:sz="4" w:space="0" w:color="auto"/>
              <w:bottom w:val="single" w:sz="4" w:space="0" w:color="auto"/>
              <w:right w:val="single" w:sz="4" w:space="0" w:color="auto"/>
            </w:tcBorders>
          </w:tcPr>
          <w:p w14:paraId="4BFD481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0.040±0.003</w:t>
            </w:r>
          </w:p>
        </w:tc>
        <w:tc>
          <w:tcPr>
            <w:tcW w:w="2070" w:type="dxa"/>
            <w:tcBorders>
              <w:top w:val="nil"/>
              <w:left w:val="nil"/>
              <w:bottom w:val="single" w:sz="4" w:space="0" w:color="auto"/>
              <w:right w:val="single" w:sz="4" w:space="0" w:color="auto"/>
            </w:tcBorders>
          </w:tcPr>
          <w:p w14:paraId="4EC4933F"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14:paraId="1472B264" w14:textId="77777777" w:rsidTr="001E5B1A">
        <w:trPr>
          <w:jc w:val="center"/>
        </w:trPr>
        <w:tc>
          <w:tcPr>
            <w:tcW w:w="900" w:type="dxa"/>
            <w:tcBorders>
              <w:top w:val="nil"/>
              <w:left w:val="single" w:sz="4" w:space="0" w:color="auto"/>
              <w:bottom w:val="single" w:sz="4" w:space="0" w:color="auto"/>
              <w:right w:val="single" w:sz="4" w:space="0" w:color="auto"/>
            </w:tcBorders>
          </w:tcPr>
          <w:p w14:paraId="651C554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0" w:type="dxa"/>
            <w:tcBorders>
              <w:top w:val="nil"/>
              <w:left w:val="single" w:sz="4" w:space="0" w:color="auto"/>
              <w:bottom w:val="single" w:sz="4" w:space="0" w:color="auto"/>
              <w:right w:val="single" w:sz="4" w:space="0" w:color="auto"/>
            </w:tcBorders>
            <w:vAlign w:val="center"/>
          </w:tcPr>
          <w:p w14:paraId="0AFFC96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350" w:type="dxa"/>
            <w:tcBorders>
              <w:top w:val="nil"/>
              <w:left w:val="nil"/>
              <w:bottom w:val="single" w:sz="4" w:space="0" w:color="auto"/>
              <w:right w:val="single" w:sz="4" w:space="0" w:color="auto"/>
            </w:tcBorders>
          </w:tcPr>
          <w:p w14:paraId="11DD402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0.156±0.024</w:t>
            </w:r>
          </w:p>
        </w:tc>
        <w:tc>
          <w:tcPr>
            <w:tcW w:w="1530" w:type="dxa"/>
            <w:tcBorders>
              <w:top w:val="single" w:sz="4" w:space="0" w:color="auto"/>
              <w:left w:val="nil"/>
              <w:bottom w:val="single" w:sz="4" w:space="0" w:color="auto"/>
              <w:right w:val="single" w:sz="4" w:space="0" w:color="auto"/>
            </w:tcBorders>
          </w:tcPr>
          <w:p w14:paraId="6FF27DD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44D390D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0368E7E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6A95EB5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47BDD413" w14:textId="77777777" w:rsidTr="001E5B1A">
        <w:trPr>
          <w:jc w:val="center"/>
        </w:trPr>
        <w:tc>
          <w:tcPr>
            <w:tcW w:w="900" w:type="dxa"/>
            <w:tcBorders>
              <w:top w:val="nil"/>
              <w:left w:val="single" w:sz="4" w:space="0" w:color="auto"/>
              <w:bottom w:val="single" w:sz="4" w:space="0" w:color="auto"/>
              <w:right w:val="single" w:sz="4" w:space="0" w:color="auto"/>
            </w:tcBorders>
          </w:tcPr>
          <w:p w14:paraId="0F325FE0"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0" w:type="dxa"/>
            <w:tcBorders>
              <w:top w:val="nil"/>
              <w:left w:val="single" w:sz="4" w:space="0" w:color="auto"/>
              <w:bottom w:val="single" w:sz="4" w:space="0" w:color="auto"/>
              <w:right w:val="single" w:sz="4" w:space="0" w:color="auto"/>
            </w:tcBorders>
            <w:vAlign w:val="center"/>
          </w:tcPr>
          <w:p w14:paraId="1A94DB0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350" w:type="dxa"/>
            <w:tcBorders>
              <w:top w:val="nil"/>
              <w:left w:val="nil"/>
              <w:bottom w:val="single" w:sz="4" w:space="0" w:color="auto"/>
              <w:right w:val="single" w:sz="4" w:space="0" w:color="auto"/>
            </w:tcBorders>
          </w:tcPr>
          <w:p w14:paraId="5BA3A6C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30414D0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435A6C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294B8C2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524BF9DF"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003A7282" w14:textId="77777777" w:rsidTr="001E5B1A">
        <w:trPr>
          <w:jc w:val="center"/>
        </w:trPr>
        <w:tc>
          <w:tcPr>
            <w:tcW w:w="900" w:type="dxa"/>
            <w:tcBorders>
              <w:top w:val="nil"/>
              <w:left w:val="single" w:sz="4" w:space="0" w:color="auto"/>
              <w:bottom w:val="single" w:sz="4" w:space="0" w:color="auto"/>
              <w:right w:val="single" w:sz="4" w:space="0" w:color="auto"/>
            </w:tcBorders>
          </w:tcPr>
          <w:p w14:paraId="587DC49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0" w:type="dxa"/>
            <w:tcBorders>
              <w:top w:val="nil"/>
              <w:left w:val="single" w:sz="4" w:space="0" w:color="auto"/>
              <w:bottom w:val="single" w:sz="4" w:space="0" w:color="auto"/>
              <w:right w:val="single" w:sz="4" w:space="0" w:color="auto"/>
            </w:tcBorders>
            <w:vAlign w:val="center"/>
          </w:tcPr>
          <w:p w14:paraId="6BEC30C5"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350" w:type="dxa"/>
            <w:tcBorders>
              <w:top w:val="nil"/>
              <w:left w:val="nil"/>
              <w:bottom w:val="single" w:sz="4" w:space="0" w:color="auto"/>
              <w:right w:val="single" w:sz="4" w:space="0" w:color="auto"/>
            </w:tcBorders>
          </w:tcPr>
          <w:p w14:paraId="5F17D3D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0.470±0.084</w:t>
            </w:r>
          </w:p>
        </w:tc>
        <w:tc>
          <w:tcPr>
            <w:tcW w:w="1530" w:type="dxa"/>
            <w:tcBorders>
              <w:top w:val="single" w:sz="4" w:space="0" w:color="auto"/>
              <w:left w:val="nil"/>
              <w:bottom w:val="single" w:sz="4" w:space="0" w:color="auto"/>
              <w:right w:val="single" w:sz="4" w:space="0" w:color="auto"/>
            </w:tcBorders>
          </w:tcPr>
          <w:p w14:paraId="302632F9"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447E54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3D88D86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5E1BDC8"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1C55ED77" w14:textId="77777777" w:rsidTr="001E5B1A">
        <w:trPr>
          <w:jc w:val="center"/>
        </w:trPr>
        <w:tc>
          <w:tcPr>
            <w:tcW w:w="900" w:type="dxa"/>
            <w:tcBorders>
              <w:top w:val="nil"/>
              <w:left w:val="single" w:sz="4" w:space="0" w:color="auto"/>
              <w:bottom w:val="single" w:sz="4" w:space="0" w:color="auto"/>
              <w:right w:val="single" w:sz="4" w:space="0" w:color="auto"/>
            </w:tcBorders>
          </w:tcPr>
          <w:p w14:paraId="5D47985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0" w:type="dxa"/>
            <w:tcBorders>
              <w:top w:val="nil"/>
              <w:left w:val="single" w:sz="4" w:space="0" w:color="auto"/>
              <w:bottom w:val="single" w:sz="4" w:space="0" w:color="auto"/>
              <w:right w:val="single" w:sz="4" w:space="0" w:color="auto"/>
            </w:tcBorders>
            <w:vAlign w:val="center"/>
          </w:tcPr>
          <w:p w14:paraId="1EABA3B7"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350" w:type="dxa"/>
            <w:tcBorders>
              <w:top w:val="nil"/>
              <w:left w:val="nil"/>
              <w:bottom w:val="single" w:sz="4" w:space="0" w:color="auto"/>
              <w:right w:val="single" w:sz="4" w:space="0" w:color="auto"/>
            </w:tcBorders>
          </w:tcPr>
          <w:p w14:paraId="39B4532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55E62D4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7A639BC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0.711±0.037</w:t>
            </w:r>
          </w:p>
        </w:tc>
        <w:tc>
          <w:tcPr>
            <w:tcW w:w="1530" w:type="dxa"/>
            <w:tcBorders>
              <w:top w:val="nil"/>
              <w:left w:val="single" w:sz="4" w:space="0" w:color="auto"/>
              <w:bottom w:val="single" w:sz="4" w:space="0" w:color="auto"/>
              <w:right w:val="single" w:sz="4" w:space="0" w:color="auto"/>
            </w:tcBorders>
          </w:tcPr>
          <w:p w14:paraId="5A5D5C0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AA0F7F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7C526FA2" w14:textId="77777777" w:rsidTr="001E5B1A">
        <w:trPr>
          <w:jc w:val="center"/>
        </w:trPr>
        <w:tc>
          <w:tcPr>
            <w:tcW w:w="900" w:type="dxa"/>
            <w:tcBorders>
              <w:top w:val="nil"/>
              <w:left w:val="single" w:sz="4" w:space="0" w:color="auto"/>
              <w:bottom w:val="single" w:sz="4" w:space="0" w:color="auto"/>
              <w:right w:val="single" w:sz="4" w:space="0" w:color="auto"/>
            </w:tcBorders>
          </w:tcPr>
          <w:p w14:paraId="2783B830"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0" w:type="dxa"/>
            <w:tcBorders>
              <w:top w:val="nil"/>
              <w:left w:val="single" w:sz="4" w:space="0" w:color="auto"/>
              <w:bottom w:val="single" w:sz="4" w:space="0" w:color="auto"/>
              <w:right w:val="single" w:sz="4" w:space="0" w:color="auto"/>
            </w:tcBorders>
            <w:vAlign w:val="center"/>
          </w:tcPr>
          <w:p w14:paraId="033DC7A2"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350" w:type="dxa"/>
            <w:tcBorders>
              <w:top w:val="nil"/>
              <w:left w:val="nil"/>
              <w:bottom w:val="single" w:sz="4" w:space="0" w:color="auto"/>
              <w:right w:val="single" w:sz="4" w:space="0" w:color="auto"/>
            </w:tcBorders>
          </w:tcPr>
          <w:p w14:paraId="74203C2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0.046±0.009</w:t>
            </w:r>
          </w:p>
        </w:tc>
        <w:tc>
          <w:tcPr>
            <w:tcW w:w="1530" w:type="dxa"/>
            <w:tcBorders>
              <w:top w:val="single" w:sz="4" w:space="0" w:color="auto"/>
              <w:left w:val="nil"/>
              <w:bottom w:val="single" w:sz="4" w:space="0" w:color="auto"/>
              <w:right w:val="single" w:sz="4" w:space="0" w:color="auto"/>
            </w:tcBorders>
          </w:tcPr>
          <w:p w14:paraId="13B1C8F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0.040±0.002</w:t>
            </w:r>
          </w:p>
        </w:tc>
        <w:tc>
          <w:tcPr>
            <w:tcW w:w="1530" w:type="dxa"/>
            <w:tcBorders>
              <w:top w:val="single" w:sz="4" w:space="0" w:color="auto"/>
              <w:left w:val="single" w:sz="4" w:space="0" w:color="auto"/>
              <w:bottom w:val="single" w:sz="4" w:space="0" w:color="auto"/>
              <w:right w:val="single" w:sz="4" w:space="0" w:color="auto"/>
            </w:tcBorders>
          </w:tcPr>
          <w:p w14:paraId="2677A03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0.228±0.004</w:t>
            </w:r>
          </w:p>
        </w:tc>
        <w:tc>
          <w:tcPr>
            <w:tcW w:w="1530" w:type="dxa"/>
            <w:tcBorders>
              <w:top w:val="nil"/>
              <w:left w:val="single" w:sz="4" w:space="0" w:color="auto"/>
              <w:bottom w:val="single" w:sz="4" w:space="0" w:color="auto"/>
              <w:right w:val="single" w:sz="4" w:space="0" w:color="auto"/>
            </w:tcBorders>
          </w:tcPr>
          <w:p w14:paraId="564B55A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0.319±0.024</w:t>
            </w:r>
          </w:p>
        </w:tc>
        <w:tc>
          <w:tcPr>
            <w:tcW w:w="2070" w:type="dxa"/>
            <w:tcBorders>
              <w:top w:val="nil"/>
              <w:left w:val="nil"/>
              <w:bottom w:val="single" w:sz="4" w:space="0" w:color="auto"/>
              <w:right w:val="single" w:sz="4" w:space="0" w:color="auto"/>
            </w:tcBorders>
          </w:tcPr>
          <w:p w14:paraId="2322779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1CC7C429" w14:textId="77777777" w:rsidTr="001E5B1A">
        <w:trPr>
          <w:jc w:val="center"/>
        </w:trPr>
        <w:tc>
          <w:tcPr>
            <w:tcW w:w="900" w:type="dxa"/>
            <w:tcBorders>
              <w:top w:val="nil"/>
              <w:left w:val="single" w:sz="4" w:space="0" w:color="auto"/>
              <w:bottom w:val="single" w:sz="4" w:space="0" w:color="auto"/>
              <w:right w:val="single" w:sz="4" w:space="0" w:color="auto"/>
            </w:tcBorders>
          </w:tcPr>
          <w:p w14:paraId="01919842"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0" w:type="dxa"/>
            <w:tcBorders>
              <w:top w:val="nil"/>
              <w:left w:val="single" w:sz="4" w:space="0" w:color="auto"/>
              <w:bottom w:val="single" w:sz="4" w:space="0" w:color="auto"/>
              <w:right w:val="single" w:sz="4" w:space="0" w:color="auto"/>
            </w:tcBorders>
            <w:vAlign w:val="center"/>
          </w:tcPr>
          <w:p w14:paraId="498ADFF0"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350" w:type="dxa"/>
            <w:tcBorders>
              <w:top w:val="nil"/>
              <w:left w:val="nil"/>
              <w:bottom w:val="single" w:sz="4" w:space="0" w:color="auto"/>
              <w:right w:val="single" w:sz="4" w:space="0" w:color="auto"/>
            </w:tcBorders>
          </w:tcPr>
          <w:p w14:paraId="6FBDCA5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5F091E5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0.333±0.005</w:t>
            </w:r>
          </w:p>
        </w:tc>
        <w:tc>
          <w:tcPr>
            <w:tcW w:w="1530" w:type="dxa"/>
            <w:tcBorders>
              <w:top w:val="single" w:sz="4" w:space="0" w:color="auto"/>
              <w:left w:val="single" w:sz="4" w:space="0" w:color="auto"/>
              <w:bottom w:val="single" w:sz="4" w:space="0" w:color="auto"/>
              <w:right w:val="single" w:sz="4" w:space="0" w:color="auto"/>
            </w:tcBorders>
          </w:tcPr>
          <w:p w14:paraId="7BDEA1D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26F3769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651975C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68703C0C" w14:textId="77777777" w:rsidTr="001E5B1A">
        <w:trPr>
          <w:jc w:val="center"/>
        </w:trPr>
        <w:tc>
          <w:tcPr>
            <w:tcW w:w="900" w:type="dxa"/>
            <w:tcBorders>
              <w:top w:val="nil"/>
              <w:left w:val="single" w:sz="4" w:space="0" w:color="auto"/>
              <w:bottom w:val="single" w:sz="4" w:space="0" w:color="auto"/>
              <w:right w:val="single" w:sz="4" w:space="0" w:color="auto"/>
            </w:tcBorders>
          </w:tcPr>
          <w:p w14:paraId="36BD183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0" w:type="dxa"/>
            <w:tcBorders>
              <w:top w:val="nil"/>
              <w:left w:val="single" w:sz="4" w:space="0" w:color="auto"/>
              <w:bottom w:val="single" w:sz="4" w:space="0" w:color="auto"/>
              <w:right w:val="single" w:sz="4" w:space="0" w:color="auto"/>
            </w:tcBorders>
            <w:vAlign w:val="center"/>
          </w:tcPr>
          <w:p w14:paraId="0F5695C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350" w:type="dxa"/>
            <w:tcBorders>
              <w:top w:val="nil"/>
              <w:left w:val="nil"/>
              <w:bottom w:val="single" w:sz="4" w:space="0" w:color="auto"/>
              <w:right w:val="single" w:sz="4" w:space="0" w:color="auto"/>
            </w:tcBorders>
          </w:tcPr>
          <w:p w14:paraId="07BBC13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48EF317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1B4A8D8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1625782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368005EE"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14:paraId="4D23DFFB" w14:textId="77777777" w:rsidTr="001E5B1A">
        <w:trPr>
          <w:jc w:val="center"/>
        </w:trPr>
        <w:tc>
          <w:tcPr>
            <w:tcW w:w="900" w:type="dxa"/>
            <w:tcBorders>
              <w:top w:val="nil"/>
              <w:left w:val="single" w:sz="4" w:space="0" w:color="auto"/>
              <w:bottom w:val="single" w:sz="4" w:space="0" w:color="auto"/>
              <w:right w:val="single" w:sz="4" w:space="0" w:color="auto"/>
            </w:tcBorders>
          </w:tcPr>
          <w:p w14:paraId="34BC883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0" w:type="dxa"/>
            <w:tcBorders>
              <w:top w:val="nil"/>
              <w:left w:val="single" w:sz="4" w:space="0" w:color="auto"/>
              <w:bottom w:val="single" w:sz="4" w:space="0" w:color="auto"/>
              <w:right w:val="single" w:sz="4" w:space="0" w:color="auto"/>
            </w:tcBorders>
            <w:vAlign w:val="center"/>
          </w:tcPr>
          <w:p w14:paraId="3FC2FA2D"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350" w:type="dxa"/>
            <w:tcBorders>
              <w:top w:val="nil"/>
              <w:left w:val="nil"/>
              <w:bottom w:val="single" w:sz="4" w:space="0" w:color="auto"/>
              <w:right w:val="single" w:sz="4" w:space="0" w:color="auto"/>
            </w:tcBorders>
          </w:tcPr>
          <w:p w14:paraId="360479C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64C06A3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0.041±0.001</w:t>
            </w:r>
          </w:p>
        </w:tc>
        <w:tc>
          <w:tcPr>
            <w:tcW w:w="1530" w:type="dxa"/>
            <w:tcBorders>
              <w:top w:val="single" w:sz="4" w:space="0" w:color="auto"/>
              <w:left w:val="single" w:sz="4" w:space="0" w:color="auto"/>
              <w:bottom w:val="single" w:sz="4" w:space="0" w:color="auto"/>
              <w:right w:val="single" w:sz="4" w:space="0" w:color="auto"/>
            </w:tcBorders>
          </w:tcPr>
          <w:p w14:paraId="44B765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4AC9F8B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1574CA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742D9284" w14:textId="77777777" w:rsidTr="001E5B1A">
        <w:trPr>
          <w:jc w:val="center"/>
        </w:trPr>
        <w:tc>
          <w:tcPr>
            <w:tcW w:w="900" w:type="dxa"/>
            <w:tcBorders>
              <w:top w:val="nil"/>
              <w:left w:val="single" w:sz="4" w:space="0" w:color="auto"/>
              <w:bottom w:val="single" w:sz="4" w:space="0" w:color="auto"/>
              <w:right w:val="single" w:sz="4" w:space="0" w:color="auto"/>
            </w:tcBorders>
          </w:tcPr>
          <w:p w14:paraId="7454870F"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0" w:type="dxa"/>
            <w:tcBorders>
              <w:top w:val="nil"/>
              <w:left w:val="single" w:sz="4" w:space="0" w:color="auto"/>
              <w:bottom w:val="single" w:sz="4" w:space="0" w:color="auto"/>
              <w:right w:val="single" w:sz="4" w:space="0" w:color="auto"/>
            </w:tcBorders>
            <w:vAlign w:val="center"/>
          </w:tcPr>
          <w:p w14:paraId="69CE335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350" w:type="dxa"/>
            <w:tcBorders>
              <w:top w:val="nil"/>
              <w:left w:val="nil"/>
              <w:bottom w:val="single" w:sz="4" w:space="0" w:color="auto"/>
              <w:right w:val="single" w:sz="4" w:space="0" w:color="auto"/>
            </w:tcBorders>
          </w:tcPr>
          <w:p w14:paraId="2694C29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33F8D10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0.142±0.002</w:t>
            </w:r>
          </w:p>
        </w:tc>
        <w:tc>
          <w:tcPr>
            <w:tcW w:w="1530" w:type="dxa"/>
            <w:tcBorders>
              <w:top w:val="single" w:sz="4" w:space="0" w:color="auto"/>
              <w:left w:val="single" w:sz="4" w:space="0" w:color="auto"/>
              <w:bottom w:val="single" w:sz="4" w:space="0" w:color="auto"/>
              <w:right w:val="single" w:sz="4" w:space="0" w:color="auto"/>
            </w:tcBorders>
          </w:tcPr>
          <w:p w14:paraId="6B76B9C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0.443±0.020</w:t>
            </w:r>
          </w:p>
        </w:tc>
        <w:tc>
          <w:tcPr>
            <w:tcW w:w="1530" w:type="dxa"/>
            <w:tcBorders>
              <w:top w:val="nil"/>
              <w:left w:val="single" w:sz="4" w:space="0" w:color="auto"/>
              <w:bottom w:val="single" w:sz="4" w:space="0" w:color="auto"/>
              <w:right w:val="single" w:sz="4" w:space="0" w:color="auto"/>
            </w:tcBorders>
          </w:tcPr>
          <w:p w14:paraId="44C2CE4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0.202±0.005</w:t>
            </w:r>
          </w:p>
        </w:tc>
        <w:tc>
          <w:tcPr>
            <w:tcW w:w="2070" w:type="dxa"/>
            <w:tcBorders>
              <w:top w:val="nil"/>
              <w:left w:val="nil"/>
              <w:bottom w:val="single" w:sz="4" w:space="0" w:color="auto"/>
              <w:right w:val="single" w:sz="4" w:space="0" w:color="auto"/>
            </w:tcBorders>
          </w:tcPr>
          <w:p w14:paraId="00706DB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14:paraId="3E6FA829" w14:textId="77777777" w:rsidTr="001E5B1A">
        <w:trPr>
          <w:jc w:val="center"/>
        </w:trPr>
        <w:tc>
          <w:tcPr>
            <w:tcW w:w="900" w:type="dxa"/>
            <w:tcBorders>
              <w:top w:val="nil"/>
              <w:left w:val="single" w:sz="4" w:space="0" w:color="auto"/>
              <w:bottom w:val="single" w:sz="4" w:space="0" w:color="auto"/>
              <w:right w:val="single" w:sz="4" w:space="0" w:color="auto"/>
            </w:tcBorders>
          </w:tcPr>
          <w:p w14:paraId="135AC30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0" w:type="dxa"/>
            <w:tcBorders>
              <w:top w:val="nil"/>
              <w:left w:val="single" w:sz="4" w:space="0" w:color="auto"/>
              <w:bottom w:val="single" w:sz="4" w:space="0" w:color="auto"/>
              <w:right w:val="single" w:sz="4" w:space="0" w:color="auto"/>
            </w:tcBorders>
            <w:vAlign w:val="center"/>
          </w:tcPr>
          <w:p w14:paraId="1BF87FF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350" w:type="dxa"/>
            <w:tcBorders>
              <w:top w:val="nil"/>
              <w:left w:val="nil"/>
              <w:bottom w:val="single" w:sz="4" w:space="0" w:color="auto"/>
              <w:right w:val="single" w:sz="4" w:space="0" w:color="auto"/>
            </w:tcBorders>
          </w:tcPr>
          <w:p w14:paraId="2751145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6C856A79"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552983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5CA77F2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20C4F17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14:paraId="5C930F80" w14:textId="77777777" w:rsidR="001E5B1A" w:rsidRPr="007E7592" w:rsidRDefault="001E5B1A" w:rsidP="00756436">
      <w:pPr>
        <w:spacing w:after="0" w:line="240" w:lineRule="auto"/>
        <w:rPr>
          <w:rFonts w:ascii="Arial" w:hAnsi="Arial" w:cs="Arial"/>
          <w:sz w:val="24"/>
          <w:szCs w:val="24"/>
          <w:vertAlign w:val="superscript"/>
        </w:rPr>
        <w:sectPr w:rsidR="001E5B1A" w:rsidRPr="007E7592" w:rsidSect="007E7592">
          <w:pgSz w:w="11907" w:h="16839" w:code="9"/>
          <w:pgMar w:top="1440" w:right="1530" w:bottom="1440" w:left="1350" w:header="720" w:footer="720" w:gutter="0"/>
          <w:cols w:space="720"/>
          <w:docGrid w:linePitch="360"/>
        </w:sectPr>
      </w:pPr>
      <w:r w:rsidRPr="007E7592">
        <w:rPr>
          <w:rFonts w:ascii="Arial" w:hAnsi="Arial" w:cs="Arial"/>
          <w:sz w:val="20"/>
          <w:szCs w:val="20"/>
          <w:vertAlign w:val="superscript"/>
        </w:rPr>
        <w:t xml:space="preserve">BHC: </w:t>
      </w:r>
      <w:proofErr w:type="spellStart"/>
      <w:r w:rsidRPr="007E7592">
        <w:rPr>
          <w:rFonts w:ascii="Arial" w:hAnsi="Arial" w:cs="Arial"/>
          <w:sz w:val="20"/>
          <w:szCs w:val="20"/>
          <w:vertAlign w:val="superscript"/>
        </w:rPr>
        <w:t>benzenehexachloride</w:t>
      </w:r>
      <w:proofErr w:type="spellEnd"/>
      <w:r w:rsidRPr="007E7592">
        <w:rPr>
          <w:rFonts w:ascii="Arial" w:hAnsi="Arial" w:cs="Arial"/>
          <w:sz w:val="20"/>
          <w:szCs w:val="20"/>
          <w:vertAlign w:val="superscript"/>
        </w:rPr>
        <w:t xml:space="preserve">; </w:t>
      </w:r>
      <w:proofErr w:type="spellStart"/>
      <w:proofErr w:type="gramStart"/>
      <w:r w:rsidRPr="007E7592">
        <w:rPr>
          <w:rFonts w:ascii="Arial" w:hAnsi="Arial" w:cs="Arial"/>
          <w:sz w:val="20"/>
          <w:szCs w:val="20"/>
          <w:vertAlign w:val="superscript"/>
        </w:rPr>
        <w:t>P,p</w:t>
      </w:r>
      <w:proofErr w:type="spellEnd"/>
      <w:proofErr w:type="gramEnd"/>
      <w:r w:rsidRPr="007E7592">
        <w:rPr>
          <w:rFonts w:ascii="Arial" w:hAnsi="Arial" w:cs="Arial"/>
          <w:sz w:val="20"/>
          <w:szCs w:val="20"/>
          <w:vertAlign w:val="superscript"/>
        </w:rPr>
        <w:t xml:space="preserve">': Para, para; DDE: </w:t>
      </w:r>
      <w:proofErr w:type="spellStart"/>
      <w:r w:rsidRPr="007E7592">
        <w:rPr>
          <w:rFonts w:ascii="Arial" w:hAnsi="Arial" w:cs="Arial"/>
          <w:sz w:val="20"/>
          <w:szCs w:val="20"/>
          <w:vertAlign w:val="superscript"/>
        </w:rPr>
        <w:t>Dichlorodiphenyldichloroethylene</w:t>
      </w:r>
      <w:proofErr w:type="spellEnd"/>
      <w:r w:rsidRPr="007E7592">
        <w:rPr>
          <w:rFonts w:ascii="Arial" w:hAnsi="Arial" w:cs="Arial"/>
          <w:sz w:val="20"/>
          <w:szCs w:val="20"/>
          <w:vertAlign w:val="superscript"/>
        </w:rPr>
        <w:t>; DDD: Dichlorodiphenyldichloroethane; DDT: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14:paraId="10C67CD7"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lastRenderedPageBreak/>
        <w:drawing>
          <wp:inline distT="0" distB="0" distL="0" distR="0" wp14:anchorId="0BEEB40C" wp14:editId="5F7DDC7E">
            <wp:extent cx="6186055" cy="3622964"/>
            <wp:effectExtent l="0" t="0" r="2476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007B1"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1: Pesticide residue levels detected in Fluted pumpkin. </w:t>
      </w:r>
    </w:p>
    <w:p w14:paraId="6123E4FE"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14:anchorId="7A80A716" wp14:editId="3496E49D">
            <wp:extent cx="5638800" cy="3553691"/>
            <wp:effectExtent l="0" t="0" r="19050" b="279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14E05B"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2: Pesticide residue levels detected in chili pepper. </w:t>
      </w:r>
    </w:p>
    <w:p w14:paraId="70EFD51A"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sz w:val="24"/>
          <w:szCs w:val="24"/>
        </w:rPr>
        <w:lastRenderedPageBreak/>
        <w:drawing>
          <wp:inline distT="0" distB="0" distL="0" distR="0" wp14:anchorId="1BCD2AFC" wp14:editId="28F6D81F">
            <wp:extent cx="5518150" cy="31369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CF42AD"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Fig. 3: Pesticide residue levels detected in beans (brown and white)</w:t>
      </w:r>
    </w:p>
    <w:p w14:paraId="193DC6FC"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14:anchorId="20CDD72F" wp14:editId="13C4E937">
            <wp:extent cx="5492750" cy="3067050"/>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0766BE" w14:textId="77777777" w:rsidR="001E5B1A" w:rsidRPr="00A20879" w:rsidRDefault="001E5B1A" w:rsidP="0025682E">
      <w:pPr>
        <w:spacing w:before="240" w:after="0" w:line="360" w:lineRule="auto"/>
        <w:jc w:val="both"/>
        <w:rPr>
          <w:rFonts w:ascii="Arial" w:hAnsi="Arial" w:cs="Arial"/>
          <w:b/>
          <w:sz w:val="20"/>
          <w:szCs w:val="24"/>
        </w:rPr>
      </w:pPr>
      <w:r w:rsidRPr="00A20879">
        <w:rPr>
          <w:rFonts w:ascii="Arial" w:hAnsi="Arial" w:cs="Arial"/>
          <w:b/>
          <w:sz w:val="20"/>
          <w:szCs w:val="24"/>
        </w:rPr>
        <w:t xml:space="preserve">Fig. 4: Pesticide residue levels detected in maize (white and yellow) </w:t>
      </w:r>
    </w:p>
    <w:p w14:paraId="20FD85E1" w14:textId="77777777" w:rsidR="001E5B1A" w:rsidRPr="007E7592" w:rsidRDefault="001E5B1A" w:rsidP="0025682E">
      <w:pPr>
        <w:spacing w:before="240" w:line="360" w:lineRule="auto"/>
        <w:jc w:val="both"/>
        <w:rPr>
          <w:rFonts w:ascii="Arial" w:hAnsi="Arial" w:cs="Arial"/>
          <w:b/>
          <w:szCs w:val="24"/>
        </w:rPr>
      </w:pPr>
      <w:r w:rsidRPr="007E7592">
        <w:rPr>
          <w:rFonts w:ascii="Arial" w:hAnsi="Arial" w:cs="Arial"/>
          <w:b/>
          <w:szCs w:val="24"/>
        </w:rPr>
        <w:t>3.2</w:t>
      </w:r>
      <w:r w:rsidRPr="007E7592">
        <w:rPr>
          <w:rFonts w:ascii="Arial" w:hAnsi="Arial" w:cs="Arial"/>
          <w:b/>
          <w:szCs w:val="24"/>
        </w:rPr>
        <w:tab/>
        <w:t>DISCUSSION</w:t>
      </w:r>
    </w:p>
    <w:p w14:paraId="3905D025" w14:textId="77777777" w:rsidR="001E5B1A" w:rsidRPr="007E7592" w:rsidRDefault="001E5B1A" w:rsidP="0025682E">
      <w:pPr>
        <w:pStyle w:val="Heading1"/>
        <w:spacing w:after="240"/>
        <w:rPr>
          <w:rFonts w:ascii="Arial" w:hAnsi="Arial" w:cs="Arial"/>
          <w:sz w:val="20"/>
          <w:u w:val="single"/>
        </w:rPr>
      </w:pPr>
      <w:bookmarkStart w:id="14" w:name="_Toc182172236"/>
      <w:r w:rsidRPr="007E7592">
        <w:rPr>
          <w:rFonts w:ascii="Arial" w:hAnsi="Arial" w:cs="Arial"/>
          <w:sz w:val="20"/>
          <w:u w:val="single"/>
        </w:rPr>
        <w:t>3.2.1</w:t>
      </w:r>
      <w:r w:rsidRPr="007E7592">
        <w:rPr>
          <w:rFonts w:ascii="Arial" w:hAnsi="Arial" w:cs="Arial"/>
          <w:sz w:val="20"/>
          <w:u w:val="single"/>
        </w:rPr>
        <w:tab/>
        <w:t>Evaluation of risk assessment in collected samples</w:t>
      </w:r>
      <w:bookmarkEnd w:id="14"/>
    </w:p>
    <w:p w14:paraId="2F0EF941" w14:textId="77777777" w:rsidR="001E5B1A" w:rsidRPr="007E7592" w:rsidRDefault="001E5B1A" w:rsidP="0025682E">
      <w:pPr>
        <w:spacing w:line="240" w:lineRule="auto"/>
        <w:jc w:val="both"/>
        <w:rPr>
          <w:rFonts w:ascii="Arial" w:hAnsi="Arial" w:cs="Arial"/>
          <w:sz w:val="20"/>
          <w:szCs w:val="24"/>
        </w:rPr>
      </w:pPr>
      <w:r w:rsidRPr="007E7592">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w:t>
      </w:r>
      <w:proofErr w:type="spellStart"/>
      <w:r w:rsidRPr="007E7592">
        <w:rPr>
          <w:rFonts w:ascii="Arial" w:hAnsi="Arial" w:cs="Arial"/>
          <w:sz w:val="20"/>
          <w:szCs w:val="24"/>
        </w:rPr>
        <w:t>bw</w:t>
      </w:r>
      <w:proofErr w:type="spellEnd"/>
      <w:r w:rsidRPr="007E7592">
        <w:rPr>
          <w:rFonts w:ascii="Arial" w:hAnsi="Arial" w:cs="Arial"/>
          <w:sz w:val="20"/>
          <w:szCs w:val="24"/>
        </w:rPr>
        <w:t xml:space="preserve"> per day) was then calculated by dividing the residue intake with the body weight (kg) of an adult and the result presented in Table 3. </w:t>
      </w:r>
    </w:p>
    <w:p w14:paraId="6C7CF5F9" w14:textId="77777777" w:rsidR="007E7592" w:rsidRDefault="001E5B1A" w:rsidP="0025682E">
      <w:pPr>
        <w:spacing w:before="240" w:line="240" w:lineRule="auto"/>
        <w:jc w:val="both"/>
        <w:rPr>
          <w:rFonts w:ascii="Arial" w:hAnsi="Arial" w:cs="Arial"/>
          <w:sz w:val="20"/>
          <w:szCs w:val="24"/>
        </w:rPr>
      </w:pPr>
      <w:r w:rsidRPr="007E7592">
        <w:rPr>
          <w:rFonts w:ascii="Arial" w:hAnsi="Arial" w:cs="Arial"/>
          <w:sz w:val="20"/>
          <w:szCs w:val="24"/>
        </w:rPr>
        <w:lastRenderedPageBreak/>
        <w:t xml:space="preserve">The HQ of pesticides through consumption of fluted pumpkin, fresh chili pepper, beans and maize has been calculated and results tabulated in Table 4. The HQ values ranged between </w:t>
      </w:r>
      <w:r w:rsidRPr="007E7592">
        <w:rPr>
          <w:rFonts w:ascii="Arial" w:hAnsi="Arial" w:cs="Arial"/>
          <w:color w:val="000000"/>
          <w:sz w:val="20"/>
          <w:szCs w:val="24"/>
        </w:rPr>
        <w:t>2.26E-05</w:t>
      </w:r>
      <w:r w:rsidRPr="007E7592">
        <w:rPr>
          <w:rFonts w:ascii="Arial" w:hAnsi="Arial" w:cs="Arial"/>
          <w:sz w:val="20"/>
          <w:szCs w:val="24"/>
        </w:rPr>
        <w:t xml:space="preserve"> and 4.54E-1. The highest HQ values were 2.11E-1 for Delta-BHC in White maize (WM), followed by 2.11E-1 for Aldrin in yellow maize (YM) (Table 4). Worthy of note, is the fact that the concentration of these pesticide residues found in these samples are below in the dietary exposure to specific residue (mg/kg/day) of 65 kg man. None of the samples reported HQ values &gt;1, thereby indicating that daily intake of these did not pose health risk. Therefore, they are considered in this study to pose no immediate threat to man or animals that eat or forage on them (Mahdavi </w:t>
      </w:r>
      <w:r w:rsidRPr="007E7592">
        <w:rPr>
          <w:rFonts w:ascii="Arial" w:hAnsi="Arial" w:cs="Arial"/>
          <w:i/>
          <w:sz w:val="20"/>
          <w:szCs w:val="24"/>
        </w:rPr>
        <w:t>et al.,</w:t>
      </w:r>
      <w:r w:rsidRPr="007E7592">
        <w:rPr>
          <w:rFonts w:ascii="Arial" w:hAnsi="Arial" w:cs="Arial"/>
          <w:sz w:val="20"/>
          <w:szCs w:val="24"/>
        </w:rPr>
        <w:t xml:space="preserve"> 2022).</w:t>
      </w:r>
    </w:p>
    <w:p w14:paraId="10F5369D"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Though </w:t>
      </w:r>
      <w:proofErr w:type="spellStart"/>
      <w:r w:rsidRPr="007E7592">
        <w:rPr>
          <w:rFonts w:ascii="Arial" w:hAnsi="Arial" w:cs="Arial"/>
          <w:sz w:val="20"/>
          <w:szCs w:val="24"/>
        </w:rPr>
        <w:t>Onojoh</w:t>
      </w:r>
      <w:proofErr w:type="spellEnd"/>
      <w:r w:rsidRPr="007E7592">
        <w:rPr>
          <w:rFonts w:ascii="Arial" w:hAnsi="Arial" w:cs="Arial"/>
          <w:sz w:val="20"/>
          <w:szCs w:val="24"/>
        </w:rPr>
        <w:t xml:space="preserve"> </w:t>
      </w:r>
      <w:r w:rsidRPr="007E7592">
        <w:rPr>
          <w:rFonts w:ascii="Arial" w:hAnsi="Arial" w:cs="Arial"/>
          <w:i/>
          <w:sz w:val="20"/>
          <w:szCs w:val="24"/>
        </w:rPr>
        <w:t>et al.</w:t>
      </w:r>
      <w:r w:rsidRPr="007E7592">
        <w:rPr>
          <w:rFonts w:ascii="Arial" w:hAnsi="Arial" w:cs="Arial"/>
          <w:sz w:val="20"/>
          <w:szCs w:val="24"/>
        </w:rPr>
        <w:t xml:space="preserve"> (2013) did not equally estimate dietary exposure to specific residue of an adult man as well as the hazard index of the pesticides as obtainable in this study, they reported similar findings in their analysis of pesticides in husked rice grain and rice plant leaves collected from Omala area of Kogi State, Nigeria. These are important factors before conclusion is drawn for safety in consummation. </w:t>
      </w:r>
    </w:p>
    <w:p w14:paraId="2A3CE0E8"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There is every possibility that these pesticide residues may bioaccumulate in the body system of the animals and man who eventually eat them and may initiate chronic pathophysiological problems. Reports have shown that organochlorine residues may concentrate in the adipose tissues and in the blood serum of animals leading to environmental persistence, bioconcentration and biomagnifications, through the food chain pesticide concentration of chicken and meat, resulting from continuously feeding on a diet containing low concentration of pesticides (Aulakh </w:t>
      </w:r>
      <w:r w:rsidRPr="007E7592">
        <w:rPr>
          <w:rFonts w:ascii="Arial" w:hAnsi="Arial" w:cs="Arial"/>
          <w:i/>
          <w:sz w:val="20"/>
          <w:szCs w:val="24"/>
        </w:rPr>
        <w:t>et al.,</w:t>
      </w:r>
      <w:r w:rsidRPr="007E7592">
        <w:rPr>
          <w:rFonts w:ascii="Arial" w:hAnsi="Arial" w:cs="Arial"/>
          <w:sz w:val="20"/>
          <w:szCs w:val="24"/>
        </w:rPr>
        <w:t xml:space="preserve"> 2006).</w:t>
      </w:r>
    </w:p>
    <w:p w14:paraId="7C8CDCC6"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 HI values obtained from consumption of fluted pumpkin, fresh chili pepper, beans and maize were evaluated for a mixture of pesticides in the collected samples and results presented in Table 4. The HI values ranged between </w:t>
      </w:r>
      <w:r w:rsidRPr="007E7592">
        <w:rPr>
          <w:rFonts w:ascii="Arial" w:eastAsia="Times New Roman" w:hAnsi="Arial" w:cs="Arial"/>
          <w:color w:val="000000"/>
          <w:sz w:val="20"/>
          <w:szCs w:val="24"/>
        </w:rPr>
        <w:t>0.01581(</w:t>
      </w:r>
      <w:r w:rsidRPr="007E7592">
        <w:rPr>
          <w:rFonts w:ascii="Arial" w:eastAsia="Times New Roman" w:hAnsi="Arial" w:cs="Arial"/>
          <w:sz w:val="20"/>
          <w:szCs w:val="24"/>
        </w:rPr>
        <w:t>PV)</w:t>
      </w:r>
      <w:r w:rsidRPr="007E7592">
        <w:rPr>
          <w:rFonts w:ascii="Arial" w:eastAsia="Times New Roman" w:hAnsi="Arial" w:cs="Arial"/>
          <w:color w:val="000000"/>
          <w:sz w:val="20"/>
          <w:szCs w:val="24"/>
        </w:rPr>
        <w:t xml:space="preserve"> </w:t>
      </w:r>
      <w:r w:rsidRPr="007E7592">
        <w:rPr>
          <w:rFonts w:ascii="Arial" w:hAnsi="Arial" w:cs="Arial"/>
          <w:sz w:val="20"/>
          <w:szCs w:val="24"/>
        </w:rPr>
        <w:t xml:space="preserve">and </w:t>
      </w:r>
      <w:r w:rsidRPr="007E7592">
        <w:rPr>
          <w:rFonts w:ascii="Arial" w:hAnsi="Arial" w:cs="Arial"/>
          <w:color w:val="000000"/>
          <w:sz w:val="20"/>
          <w:szCs w:val="24"/>
        </w:rPr>
        <w:t>2.074778(</w:t>
      </w:r>
      <w:r w:rsidRPr="007E7592">
        <w:rPr>
          <w:rFonts w:ascii="Arial" w:hAnsi="Arial" w:cs="Arial"/>
          <w:sz w:val="20"/>
          <w:szCs w:val="24"/>
        </w:rPr>
        <w:t xml:space="preserve">FR) (Table 4). The HI values observed for all the pesticide residues were found &lt; 1 except in FR. According to Akpan </w:t>
      </w:r>
      <w:r w:rsidRPr="007E7592">
        <w:rPr>
          <w:rFonts w:ascii="Arial" w:hAnsi="Arial" w:cs="Arial"/>
          <w:i/>
          <w:sz w:val="20"/>
          <w:szCs w:val="24"/>
        </w:rPr>
        <w:t>et al.,</w:t>
      </w:r>
      <w:r w:rsidRPr="007E7592">
        <w:rPr>
          <w:rFonts w:ascii="Arial" w:hAnsi="Arial" w:cs="Arial"/>
          <w:sz w:val="20"/>
          <w:szCs w:val="24"/>
        </w:rPr>
        <w:t xml:space="preserve"> 2025; El Hawari </w:t>
      </w:r>
      <w:r w:rsidRPr="007E7592">
        <w:rPr>
          <w:rFonts w:ascii="Arial" w:hAnsi="Arial" w:cs="Arial"/>
          <w:i/>
          <w:sz w:val="20"/>
          <w:szCs w:val="24"/>
        </w:rPr>
        <w:t>et al.,</w:t>
      </w:r>
      <w:r w:rsidRPr="007E7592">
        <w:rPr>
          <w:rFonts w:ascii="Arial" w:hAnsi="Arial" w:cs="Arial"/>
          <w:sz w:val="20"/>
          <w:szCs w:val="24"/>
        </w:rPr>
        <w:t xml:space="preserve"> 2019; Gad </w:t>
      </w:r>
      <w:proofErr w:type="spellStart"/>
      <w:r w:rsidRPr="007E7592">
        <w:rPr>
          <w:rFonts w:ascii="Arial" w:hAnsi="Arial" w:cs="Arial"/>
          <w:sz w:val="20"/>
          <w:szCs w:val="24"/>
        </w:rPr>
        <w:t>Alla</w:t>
      </w:r>
      <w:proofErr w:type="spellEnd"/>
      <w:r w:rsidRPr="007E7592">
        <w:rPr>
          <w:rFonts w:ascii="Arial" w:hAnsi="Arial" w:cs="Arial"/>
          <w:sz w:val="20"/>
          <w:szCs w:val="24"/>
        </w:rPr>
        <w:t xml:space="preserve"> </w:t>
      </w:r>
      <w:r w:rsidRPr="007E7592">
        <w:rPr>
          <w:rFonts w:ascii="Arial" w:hAnsi="Arial" w:cs="Arial"/>
          <w:i/>
          <w:sz w:val="20"/>
          <w:szCs w:val="24"/>
        </w:rPr>
        <w:t>et al.,</w:t>
      </w:r>
      <w:r w:rsidRPr="007E7592">
        <w:rPr>
          <w:rFonts w:ascii="Arial" w:hAnsi="Arial" w:cs="Arial"/>
          <w:sz w:val="20"/>
          <w:szCs w:val="24"/>
        </w:rPr>
        <w:t xml:space="preserve"> 2015 and Reffstrup </w:t>
      </w:r>
      <w:r w:rsidRPr="007E7592">
        <w:rPr>
          <w:rFonts w:ascii="Arial" w:hAnsi="Arial" w:cs="Arial"/>
          <w:i/>
          <w:sz w:val="20"/>
          <w:szCs w:val="24"/>
        </w:rPr>
        <w:t>et al.,</w:t>
      </w:r>
      <w:r w:rsidRPr="007E7592">
        <w:rPr>
          <w:rFonts w:ascii="Arial" w:hAnsi="Arial" w:cs="Arial"/>
          <w:sz w:val="20"/>
          <w:szCs w:val="24"/>
        </w:rPr>
        <w:t xml:space="preserve"> 2010, HI values greater than 1 indicates that the concerned commodity should be considered a risk to the consumers. Therefore, FR with HI value of 2.0748 is considered a risk to the consumers.</w:t>
      </w:r>
    </w:p>
    <w:p w14:paraId="42FE967C" w14:textId="77777777" w:rsidR="001E5B1A" w:rsidRPr="007E7592" w:rsidRDefault="001E5B1A" w:rsidP="001E5B1A">
      <w:pPr>
        <w:spacing w:before="240" w:line="360" w:lineRule="auto"/>
        <w:jc w:val="both"/>
        <w:rPr>
          <w:rFonts w:ascii="Arial" w:hAnsi="Arial" w:cs="Arial"/>
          <w:sz w:val="20"/>
          <w:szCs w:val="24"/>
        </w:rPr>
      </w:pPr>
      <w:r w:rsidRPr="007E7592">
        <w:rPr>
          <w:rFonts w:ascii="Arial" w:hAnsi="Arial" w:cs="Arial"/>
          <w:sz w:val="20"/>
          <w:szCs w:val="24"/>
        </w:rPr>
        <w:t xml:space="preserve"> </w:t>
      </w:r>
    </w:p>
    <w:p w14:paraId="3BDFE4F2" w14:textId="77777777" w:rsidR="007E7592" w:rsidRPr="00BB57AC" w:rsidRDefault="007E7592" w:rsidP="001E5B1A">
      <w:pPr>
        <w:spacing w:line="360" w:lineRule="auto"/>
        <w:jc w:val="both"/>
        <w:rPr>
          <w:rFonts w:ascii="Arial" w:hAnsi="Arial" w:cs="Arial"/>
          <w:sz w:val="24"/>
          <w:szCs w:val="24"/>
        </w:rPr>
        <w:sectPr w:rsidR="007E7592" w:rsidRPr="00BB57AC" w:rsidSect="007E7592">
          <w:pgSz w:w="11907" w:h="16839" w:code="9"/>
          <w:pgMar w:top="1440" w:right="1350" w:bottom="1440" w:left="1530" w:header="720" w:footer="720" w:gutter="0"/>
          <w:cols w:space="720"/>
          <w:docGrid w:linePitch="360"/>
        </w:sectPr>
      </w:pPr>
    </w:p>
    <w:p w14:paraId="175EDFD9" w14:textId="77777777" w:rsidR="001E5B1A" w:rsidRPr="007E7592" w:rsidRDefault="001E5B1A" w:rsidP="001E5B1A">
      <w:pPr>
        <w:spacing w:after="0" w:line="360" w:lineRule="auto"/>
        <w:jc w:val="both"/>
        <w:rPr>
          <w:rFonts w:ascii="Arial" w:hAnsi="Arial" w:cs="Arial"/>
          <w:b/>
          <w:sz w:val="20"/>
          <w:szCs w:val="24"/>
        </w:rPr>
      </w:pPr>
      <w:r w:rsidRPr="007E7592">
        <w:rPr>
          <w:rFonts w:ascii="Arial" w:hAnsi="Arial" w:cs="Arial"/>
          <w:b/>
          <w:sz w:val="20"/>
          <w:szCs w:val="24"/>
        </w:rPr>
        <w:lastRenderedPageBreak/>
        <w:t>Table 3: Estimated dietary intake (mg/kg/day) of Pesticide residues in adults</w:t>
      </w:r>
    </w:p>
    <w:tbl>
      <w:tblPr>
        <w:tblStyle w:val="TableGrid"/>
        <w:tblW w:w="14338" w:type="dxa"/>
        <w:jc w:val="center"/>
        <w:tblLayout w:type="fixed"/>
        <w:tblLook w:val="04A0" w:firstRow="1" w:lastRow="0" w:firstColumn="1" w:lastColumn="0" w:noHBand="0" w:noVBand="1"/>
      </w:tblPr>
      <w:tblGrid>
        <w:gridCol w:w="820"/>
        <w:gridCol w:w="2180"/>
        <w:gridCol w:w="1440"/>
        <w:gridCol w:w="1440"/>
        <w:gridCol w:w="1440"/>
        <w:gridCol w:w="1530"/>
        <w:gridCol w:w="1440"/>
        <w:gridCol w:w="1170"/>
        <w:gridCol w:w="1440"/>
        <w:gridCol w:w="1438"/>
      </w:tblGrid>
      <w:tr w:rsidR="001E5B1A" w:rsidRPr="007E7592" w14:paraId="68934326" w14:textId="77777777" w:rsidTr="00B40080">
        <w:trPr>
          <w:jc w:val="center"/>
        </w:trPr>
        <w:tc>
          <w:tcPr>
            <w:tcW w:w="820" w:type="dxa"/>
            <w:vMerge w:val="restart"/>
            <w:tcBorders>
              <w:top w:val="single" w:sz="4" w:space="0" w:color="auto"/>
              <w:left w:val="single" w:sz="4" w:space="0" w:color="auto"/>
              <w:right w:val="single" w:sz="4" w:space="0" w:color="auto"/>
            </w:tcBorders>
          </w:tcPr>
          <w:p w14:paraId="2DBE49B2" w14:textId="77777777" w:rsidR="001E5B1A" w:rsidRPr="007E7592" w:rsidRDefault="001E5B1A" w:rsidP="007E7592">
            <w:pPr>
              <w:spacing w:line="480" w:lineRule="auto"/>
              <w:jc w:val="center"/>
              <w:rPr>
                <w:rFonts w:ascii="Arial" w:eastAsia="Times New Roman" w:hAnsi="Arial" w:cs="Arial"/>
                <w:b/>
                <w:sz w:val="20"/>
                <w:szCs w:val="20"/>
              </w:rPr>
            </w:pPr>
            <w:r w:rsidRPr="007E7592">
              <w:rPr>
                <w:rFonts w:ascii="Arial" w:eastAsia="Times New Roman" w:hAnsi="Arial" w:cs="Arial"/>
                <w:b/>
                <w:sz w:val="20"/>
                <w:szCs w:val="20"/>
              </w:rPr>
              <w:t>S/ No.</w:t>
            </w:r>
          </w:p>
        </w:tc>
        <w:tc>
          <w:tcPr>
            <w:tcW w:w="2180" w:type="dxa"/>
            <w:vMerge w:val="restart"/>
            <w:tcBorders>
              <w:top w:val="single" w:sz="4" w:space="0" w:color="auto"/>
              <w:left w:val="single" w:sz="4" w:space="0" w:color="auto"/>
              <w:right w:val="single" w:sz="4" w:space="0" w:color="auto"/>
            </w:tcBorders>
            <w:vAlign w:val="center"/>
          </w:tcPr>
          <w:p w14:paraId="781DFE8A" w14:textId="77777777" w:rsidR="001E5B1A" w:rsidRPr="007E7592" w:rsidRDefault="001E5B1A" w:rsidP="007E7592">
            <w:pPr>
              <w:spacing w:line="480" w:lineRule="auto"/>
              <w:rPr>
                <w:rFonts w:ascii="Arial" w:eastAsia="Times New Roman" w:hAnsi="Arial" w:cs="Arial"/>
                <w:sz w:val="20"/>
                <w:szCs w:val="20"/>
              </w:rPr>
            </w:pPr>
            <w:r w:rsidRPr="007E7592">
              <w:rPr>
                <w:rFonts w:ascii="Arial" w:eastAsia="Times New Roman" w:hAnsi="Arial" w:cs="Arial"/>
                <w:b/>
                <w:sz w:val="20"/>
                <w:szCs w:val="20"/>
              </w:rPr>
              <w:t>Compounds</w:t>
            </w:r>
          </w:p>
        </w:tc>
        <w:tc>
          <w:tcPr>
            <w:tcW w:w="11338" w:type="dxa"/>
            <w:gridSpan w:val="8"/>
            <w:tcBorders>
              <w:top w:val="single" w:sz="4" w:space="0" w:color="auto"/>
              <w:left w:val="nil"/>
              <w:bottom w:val="single" w:sz="4" w:space="0" w:color="auto"/>
            </w:tcBorders>
            <w:vAlign w:val="center"/>
          </w:tcPr>
          <w:p w14:paraId="31BADBE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eastAsia="Times New Roman" w:hAnsi="Arial" w:cs="Arial"/>
                <w:b/>
                <w:sz w:val="20"/>
                <w:szCs w:val="20"/>
              </w:rPr>
              <w:t>Estimated daily intake (EDI)</w:t>
            </w:r>
          </w:p>
        </w:tc>
      </w:tr>
      <w:tr w:rsidR="001E5B1A" w:rsidRPr="007E7592" w14:paraId="170DD8D1" w14:textId="77777777" w:rsidTr="00B40080">
        <w:trPr>
          <w:jc w:val="center"/>
        </w:trPr>
        <w:tc>
          <w:tcPr>
            <w:tcW w:w="820" w:type="dxa"/>
            <w:vMerge/>
            <w:tcBorders>
              <w:left w:val="single" w:sz="4" w:space="0" w:color="auto"/>
              <w:bottom w:val="single" w:sz="4" w:space="0" w:color="auto"/>
              <w:right w:val="single" w:sz="4" w:space="0" w:color="auto"/>
            </w:tcBorders>
          </w:tcPr>
          <w:p w14:paraId="7483E9E9" w14:textId="77777777" w:rsidR="001E5B1A" w:rsidRPr="007E7592" w:rsidRDefault="001E5B1A" w:rsidP="007E7592">
            <w:pPr>
              <w:spacing w:line="480" w:lineRule="auto"/>
              <w:jc w:val="center"/>
              <w:rPr>
                <w:rFonts w:ascii="Arial" w:eastAsia="Times New Roman" w:hAnsi="Arial" w:cs="Arial"/>
                <w:sz w:val="20"/>
                <w:szCs w:val="20"/>
              </w:rPr>
            </w:pPr>
          </w:p>
        </w:tc>
        <w:tc>
          <w:tcPr>
            <w:tcW w:w="2180" w:type="dxa"/>
            <w:vMerge/>
            <w:tcBorders>
              <w:left w:val="single" w:sz="4" w:space="0" w:color="auto"/>
              <w:bottom w:val="single" w:sz="4" w:space="0" w:color="auto"/>
              <w:right w:val="single" w:sz="4" w:space="0" w:color="auto"/>
            </w:tcBorders>
            <w:vAlign w:val="center"/>
          </w:tcPr>
          <w:p w14:paraId="03B17913" w14:textId="77777777" w:rsidR="001E5B1A" w:rsidRPr="007E7592" w:rsidRDefault="001E5B1A" w:rsidP="007E7592">
            <w:pPr>
              <w:spacing w:line="480" w:lineRule="auto"/>
              <w:jc w:val="center"/>
              <w:rPr>
                <w:rFonts w:ascii="Arial" w:eastAsia="Times New Roman" w:hAnsi="Arial" w:cs="Arial"/>
                <w:sz w:val="20"/>
                <w:szCs w:val="20"/>
              </w:rPr>
            </w:pPr>
          </w:p>
        </w:tc>
        <w:tc>
          <w:tcPr>
            <w:tcW w:w="1440" w:type="dxa"/>
            <w:tcBorders>
              <w:top w:val="single" w:sz="4" w:space="0" w:color="auto"/>
              <w:left w:val="nil"/>
              <w:bottom w:val="single" w:sz="4" w:space="0" w:color="auto"/>
              <w:right w:val="single" w:sz="4" w:space="0" w:color="auto"/>
            </w:tcBorders>
            <w:vAlign w:val="center"/>
          </w:tcPr>
          <w:p w14:paraId="4A7E70E5"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PV</w:t>
            </w:r>
          </w:p>
        </w:tc>
        <w:tc>
          <w:tcPr>
            <w:tcW w:w="1440" w:type="dxa"/>
            <w:tcBorders>
              <w:top w:val="single" w:sz="4" w:space="0" w:color="auto"/>
              <w:left w:val="nil"/>
              <w:bottom w:val="single" w:sz="4" w:space="0" w:color="auto"/>
              <w:right w:val="single" w:sz="4" w:space="0" w:color="auto"/>
            </w:tcBorders>
            <w:vAlign w:val="center"/>
          </w:tcPr>
          <w:p w14:paraId="6FBDD45C"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PD</w:t>
            </w:r>
          </w:p>
        </w:tc>
        <w:tc>
          <w:tcPr>
            <w:tcW w:w="1440" w:type="dxa"/>
            <w:tcBorders>
              <w:top w:val="single" w:sz="4" w:space="0" w:color="auto"/>
              <w:left w:val="nil"/>
              <w:bottom w:val="single" w:sz="4" w:space="0" w:color="auto"/>
              <w:right w:val="single" w:sz="4" w:space="0" w:color="auto"/>
            </w:tcBorders>
          </w:tcPr>
          <w:p w14:paraId="6088BF16"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VP</w:t>
            </w:r>
          </w:p>
        </w:tc>
        <w:tc>
          <w:tcPr>
            <w:tcW w:w="1530" w:type="dxa"/>
            <w:tcBorders>
              <w:top w:val="single" w:sz="4" w:space="0" w:color="auto"/>
              <w:left w:val="nil"/>
              <w:bottom w:val="single" w:sz="4" w:space="0" w:color="auto"/>
              <w:right w:val="single" w:sz="4" w:space="0" w:color="auto"/>
            </w:tcBorders>
          </w:tcPr>
          <w:p w14:paraId="79179DF5"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DP</w:t>
            </w:r>
          </w:p>
        </w:tc>
        <w:tc>
          <w:tcPr>
            <w:tcW w:w="1440" w:type="dxa"/>
            <w:tcBorders>
              <w:top w:val="single" w:sz="4" w:space="0" w:color="auto"/>
              <w:left w:val="nil"/>
              <w:bottom w:val="single" w:sz="4" w:space="0" w:color="auto"/>
              <w:right w:val="single" w:sz="4" w:space="0" w:color="auto"/>
            </w:tcBorders>
          </w:tcPr>
          <w:p w14:paraId="1A13C095"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BB</w:t>
            </w:r>
          </w:p>
        </w:tc>
        <w:tc>
          <w:tcPr>
            <w:tcW w:w="1170" w:type="dxa"/>
            <w:tcBorders>
              <w:top w:val="single" w:sz="4" w:space="0" w:color="auto"/>
              <w:left w:val="nil"/>
              <w:bottom w:val="single" w:sz="4" w:space="0" w:color="auto"/>
              <w:right w:val="single" w:sz="4" w:space="0" w:color="auto"/>
            </w:tcBorders>
          </w:tcPr>
          <w:p w14:paraId="02CFE248"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WB</w:t>
            </w:r>
          </w:p>
        </w:tc>
        <w:tc>
          <w:tcPr>
            <w:tcW w:w="1440" w:type="dxa"/>
            <w:tcBorders>
              <w:top w:val="single" w:sz="4" w:space="0" w:color="auto"/>
              <w:left w:val="nil"/>
              <w:bottom w:val="single" w:sz="4" w:space="0" w:color="auto"/>
              <w:right w:val="single" w:sz="4" w:space="0" w:color="auto"/>
            </w:tcBorders>
          </w:tcPr>
          <w:p w14:paraId="7C28A8F0"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WM</w:t>
            </w:r>
          </w:p>
        </w:tc>
        <w:tc>
          <w:tcPr>
            <w:tcW w:w="1438" w:type="dxa"/>
            <w:tcBorders>
              <w:top w:val="single" w:sz="4" w:space="0" w:color="auto"/>
              <w:left w:val="single" w:sz="4" w:space="0" w:color="auto"/>
              <w:bottom w:val="single" w:sz="4" w:space="0" w:color="auto"/>
              <w:right w:val="single" w:sz="4" w:space="0" w:color="auto"/>
            </w:tcBorders>
          </w:tcPr>
          <w:p w14:paraId="3EE5F5A7"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YM</w:t>
            </w:r>
          </w:p>
        </w:tc>
      </w:tr>
      <w:tr w:rsidR="001E5B1A" w:rsidRPr="007E7592" w14:paraId="5260BBBB" w14:textId="77777777" w:rsidTr="00B40080">
        <w:trPr>
          <w:jc w:val="center"/>
        </w:trPr>
        <w:tc>
          <w:tcPr>
            <w:tcW w:w="820" w:type="dxa"/>
            <w:tcBorders>
              <w:top w:val="single" w:sz="4" w:space="0" w:color="auto"/>
              <w:left w:val="single" w:sz="4" w:space="0" w:color="auto"/>
              <w:bottom w:val="single" w:sz="4" w:space="0" w:color="auto"/>
              <w:right w:val="single" w:sz="4" w:space="0" w:color="auto"/>
            </w:tcBorders>
          </w:tcPr>
          <w:p w14:paraId="094398E7"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w:t>
            </w:r>
          </w:p>
        </w:tc>
        <w:tc>
          <w:tcPr>
            <w:tcW w:w="2180" w:type="dxa"/>
            <w:tcBorders>
              <w:top w:val="single" w:sz="4" w:space="0" w:color="auto"/>
              <w:left w:val="single" w:sz="4" w:space="0" w:color="auto"/>
              <w:bottom w:val="single" w:sz="4" w:space="0" w:color="auto"/>
              <w:right w:val="single" w:sz="4" w:space="0" w:color="auto"/>
            </w:tcBorders>
            <w:vAlign w:val="center"/>
          </w:tcPr>
          <w:p w14:paraId="014D9AA2"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Alpha-BHC</w:t>
            </w:r>
          </w:p>
        </w:tc>
        <w:tc>
          <w:tcPr>
            <w:tcW w:w="1440" w:type="dxa"/>
            <w:tcBorders>
              <w:top w:val="single" w:sz="4" w:space="0" w:color="auto"/>
              <w:left w:val="nil"/>
              <w:bottom w:val="single" w:sz="4" w:space="0" w:color="auto"/>
              <w:right w:val="single" w:sz="4" w:space="0" w:color="auto"/>
            </w:tcBorders>
            <w:vAlign w:val="center"/>
          </w:tcPr>
          <w:p w14:paraId="1931DB9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1.8769E-05</w:t>
            </w:r>
          </w:p>
        </w:tc>
        <w:tc>
          <w:tcPr>
            <w:tcW w:w="1440" w:type="dxa"/>
            <w:tcBorders>
              <w:top w:val="single" w:sz="4" w:space="0" w:color="auto"/>
              <w:left w:val="nil"/>
              <w:bottom w:val="single" w:sz="4" w:space="0" w:color="auto"/>
              <w:right w:val="single" w:sz="4" w:space="0" w:color="auto"/>
            </w:tcBorders>
            <w:vAlign w:val="center"/>
          </w:tcPr>
          <w:p w14:paraId="28C3210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2.8615E-05</w:t>
            </w:r>
          </w:p>
        </w:tc>
        <w:tc>
          <w:tcPr>
            <w:tcW w:w="1440" w:type="dxa"/>
            <w:tcBorders>
              <w:top w:val="single" w:sz="4" w:space="0" w:color="auto"/>
              <w:left w:val="nil"/>
              <w:bottom w:val="single" w:sz="4" w:space="0" w:color="auto"/>
              <w:right w:val="single" w:sz="4" w:space="0" w:color="auto"/>
            </w:tcBorders>
            <w:vAlign w:val="center"/>
          </w:tcPr>
          <w:p w14:paraId="60D6ECB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1.9815E-05</w:t>
            </w:r>
          </w:p>
        </w:tc>
        <w:tc>
          <w:tcPr>
            <w:tcW w:w="1530" w:type="dxa"/>
            <w:tcBorders>
              <w:top w:val="single" w:sz="4" w:space="0" w:color="auto"/>
              <w:left w:val="nil"/>
              <w:bottom w:val="single" w:sz="4" w:space="0" w:color="auto"/>
              <w:right w:val="single" w:sz="4" w:space="0" w:color="auto"/>
            </w:tcBorders>
            <w:vAlign w:val="center"/>
          </w:tcPr>
          <w:p w14:paraId="3043D82C"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5.73538E-05</w:t>
            </w:r>
          </w:p>
        </w:tc>
        <w:tc>
          <w:tcPr>
            <w:tcW w:w="1440" w:type="dxa"/>
            <w:tcBorders>
              <w:top w:val="single" w:sz="4" w:space="0" w:color="auto"/>
              <w:left w:val="nil"/>
              <w:bottom w:val="single" w:sz="4" w:space="0" w:color="auto"/>
              <w:right w:val="single" w:sz="4" w:space="0" w:color="auto"/>
            </w:tcBorders>
            <w:vAlign w:val="center"/>
          </w:tcPr>
          <w:p w14:paraId="35C8EE3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3.6215E-05</w:t>
            </w:r>
          </w:p>
        </w:tc>
        <w:tc>
          <w:tcPr>
            <w:tcW w:w="1170" w:type="dxa"/>
            <w:tcBorders>
              <w:top w:val="single" w:sz="4" w:space="0" w:color="auto"/>
              <w:left w:val="nil"/>
              <w:bottom w:val="single" w:sz="4" w:space="0" w:color="auto"/>
              <w:right w:val="single" w:sz="4" w:space="0" w:color="auto"/>
            </w:tcBorders>
            <w:vAlign w:val="center"/>
          </w:tcPr>
          <w:p w14:paraId="7868ADB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0.000123</w:t>
            </w:r>
          </w:p>
        </w:tc>
        <w:tc>
          <w:tcPr>
            <w:tcW w:w="1440" w:type="dxa"/>
            <w:tcBorders>
              <w:top w:val="single" w:sz="4" w:space="0" w:color="auto"/>
              <w:left w:val="nil"/>
              <w:bottom w:val="single" w:sz="4" w:space="0" w:color="auto"/>
              <w:right w:val="single" w:sz="4" w:space="0" w:color="auto"/>
            </w:tcBorders>
            <w:vAlign w:val="center"/>
          </w:tcPr>
          <w:p w14:paraId="62DC521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0.00058385</w:t>
            </w:r>
          </w:p>
        </w:tc>
        <w:tc>
          <w:tcPr>
            <w:tcW w:w="1438" w:type="dxa"/>
            <w:tcBorders>
              <w:top w:val="single" w:sz="4" w:space="0" w:color="auto"/>
              <w:left w:val="single" w:sz="4" w:space="0" w:color="auto"/>
              <w:bottom w:val="single" w:sz="4" w:space="0" w:color="auto"/>
              <w:right w:val="single" w:sz="4" w:space="0" w:color="auto"/>
            </w:tcBorders>
            <w:vAlign w:val="center"/>
          </w:tcPr>
          <w:p w14:paraId="394620A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0.00050538</w:t>
            </w:r>
          </w:p>
        </w:tc>
      </w:tr>
      <w:tr w:rsidR="001E5B1A" w:rsidRPr="007E7592" w14:paraId="495501E3" w14:textId="77777777" w:rsidTr="00B40080">
        <w:trPr>
          <w:jc w:val="center"/>
        </w:trPr>
        <w:tc>
          <w:tcPr>
            <w:tcW w:w="820" w:type="dxa"/>
            <w:tcBorders>
              <w:top w:val="nil"/>
              <w:left w:val="single" w:sz="4" w:space="0" w:color="auto"/>
              <w:bottom w:val="single" w:sz="4" w:space="0" w:color="auto"/>
              <w:right w:val="single" w:sz="4" w:space="0" w:color="auto"/>
            </w:tcBorders>
          </w:tcPr>
          <w:p w14:paraId="640ECCD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w:t>
            </w:r>
          </w:p>
        </w:tc>
        <w:tc>
          <w:tcPr>
            <w:tcW w:w="2180" w:type="dxa"/>
            <w:tcBorders>
              <w:top w:val="nil"/>
              <w:left w:val="single" w:sz="4" w:space="0" w:color="auto"/>
              <w:bottom w:val="single" w:sz="4" w:space="0" w:color="auto"/>
              <w:right w:val="single" w:sz="4" w:space="0" w:color="auto"/>
            </w:tcBorders>
            <w:vAlign w:val="center"/>
          </w:tcPr>
          <w:p w14:paraId="26D496F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Beta- BHC</w:t>
            </w:r>
          </w:p>
        </w:tc>
        <w:tc>
          <w:tcPr>
            <w:tcW w:w="1440" w:type="dxa"/>
            <w:tcBorders>
              <w:top w:val="nil"/>
              <w:left w:val="nil"/>
              <w:bottom w:val="single" w:sz="4" w:space="0" w:color="auto"/>
              <w:right w:val="single" w:sz="4" w:space="0" w:color="auto"/>
            </w:tcBorders>
            <w:vAlign w:val="center"/>
          </w:tcPr>
          <w:p w14:paraId="44B0532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1.2308E-05</w:t>
            </w:r>
          </w:p>
        </w:tc>
        <w:tc>
          <w:tcPr>
            <w:tcW w:w="1440" w:type="dxa"/>
            <w:tcBorders>
              <w:top w:val="nil"/>
              <w:left w:val="nil"/>
              <w:bottom w:val="single" w:sz="4" w:space="0" w:color="auto"/>
              <w:right w:val="single" w:sz="4" w:space="0" w:color="auto"/>
            </w:tcBorders>
            <w:vAlign w:val="center"/>
          </w:tcPr>
          <w:p w14:paraId="3B73D03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3.7846E-05</w:t>
            </w:r>
          </w:p>
        </w:tc>
        <w:tc>
          <w:tcPr>
            <w:tcW w:w="1440" w:type="dxa"/>
            <w:tcBorders>
              <w:top w:val="nil"/>
              <w:left w:val="nil"/>
              <w:bottom w:val="single" w:sz="4" w:space="0" w:color="auto"/>
              <w:right w:val="single" w:sz="4" w:space="0" w:color="auto"/>
            </w:tcBorders>
            <w:vAlign w:val="center"/>
          </w:tcPr>
          <w:p w14:paraId="6506E8C0"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1.0831E-05</w:t>
            </w:r>
          </w:p>
        </w:tc>
        <w:tc>
          <w:tcPr>
            <w:tcW w:w="1530" w:type="dxa"/>
            <w:tcBorders>
              <w:top w:val="nil"/>
              <w:left w:val="nil"/>
              <w:bottom w:val="single" w:sz="4" w:space="0" w:color="auto"/>
              <w:right w:val="single" w:sz="4" w:space="0" w:color="auto"/>
            </w:tcBorders>
            <w:vAlign w:val="center"/>
          </w:tcPr>
          <w:p w14:paraId="551BFEBE"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0.000319385</w:t>
            </w:r>
          </w:p>
        </w:tc>
        <w:tc>
          <w:tcPr>
            <w:tcW w:w="1440" w:type="dxa"/>
            <w:tcBorders>
              <w:top w:val="nil"/>
              <w:left w:val="nil"/>
              <w:bottom w:val="single" w:sz="4" w:space="0" w:color="auto"/>
              <w:right w:val="single" w:sz="4" w:space="0" w:color="auto"/>
            </w:tcBorders>
            <w:vAlign w:val="center"/>
          </w:tcPr>
          <w:p w14:paraId="2E08959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0.00070603</w:t>
            </w:r>
          </w:p>
        </w:tc>
        <w:tc>
          <w:tcPr>
            <w:tcW w:w="1170" w:type="dxa"/>
            <w:tcBorders>
              <w:top w:val="nil"/>
              <w:left w:val="nil"/>
              <w:bottom w:val="single" w:sz="4" w:space="0" w:color="auto"/>
              <w:right w:val="single" w:sz="4" w:space="0" w:color="auto"/>
            </w:tcBorders>
            <w:vAlign w:val="center"/>
          </w:tcPr>
          <w:p w14:paraId="1A5EAD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0.001202</w:t>
            </w:r>
          </w:p>
        </w:tc>
        <w:tc>
          <w:tcPr>
            <w:tcW w:w="1440" w:type="dxa"/>
            <w:tcBorders>
              <w:top w:val="single" w:sz="4" w:space="0" w:color="auto"/>
              <w:left w:val="nil"/>
              <w:bottom w:val="single" w:sz="4" w:space="0" w:color="auto"/>
              <w:right w:val="single" w:sz="4" w:space="0" w:color="auto"/>
            </w:tcBorders>
            <w:vAlign w:val="center"/>
          </w:tcPr>
          <w:p w14:paraId="3D38883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6.2308E-05</w:t>
            </w:r>
          </w:p>
        </w:tc>
        <w:tc>
          <w:tcPr>
            <w:tcW w:w="1438" w:type="dxa"/>
            <w:tcBorders>
              <w:top w:val="single" w:sz="4" w:space="0" w:color="auto"/>
              <w:left w:val="single" w:sz="4" w:space="0" w:color="auto"/>
              <w:bottom w:val="single" w:sz="4" w:space="0" w:color="auto"/>
              <w:right w:val="single" w:sz="4" w:space="0" w:color="auto"/>
            </w:tcBorders>
            <w:vAlign w:val="center"/>
          </w:tcPr>
          <w:p w14:paraId="3CCE16F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0.00053538</w:t>
            </w:r>
          </w:p>
        </w:tc>
      </w:tr>
      <w:tr w:rsidR="001E5B1A" w:rsidRPr="007E7592" w14:paraId="535DFBAE" w14:textId="77777777" w:rsidTr="00B40080">
        <w:trPr>
          <w:jc w:val="center"/>
        </w:trPr>
        <w:tc>
          <w:tcPr>
            <w:tcW w:w="820" w:type="dxa"/>
            <w:tcBorders>
              <w:top w:val="nil"/>
              <w:left w:val="single" w:sz="4" w:space="0" w:color="auto"/>
              <w:bottom w:val="single" w:sz="4" w:space="0" w:color="auto"/>
              <w:right w:val="single" w:sz="4" w:space="0" w:color="auto"/>
            </w:tcBorders>
          </w:tcPr>
          <w:p w14:paraId="5D3645B8"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3</w:t>
            </w:r>
          </w:p>
        </w:tc>
        <w:tc>
          <w:tcPr>
            <w:tcW w:w="2180" w:type="dxa"/>
            <w:tcBorders>
              <w:top w:val="nil"/>
              <w:left w:val="single" w:sz="4" w:space="0" w:color="auto"/>
              <w:bottom w:val="single" w:sz="4" w:space="0" w:color="auto"/>
              <w:right w:val="single" w:sz="4" w:space="0" w:color="auto"/>
            </w:tcBorders>
            <w:vAlign w:val="center"/>
          </w:tcPr>
          <w:p w14:paraId="061D7F09"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Gamma-BHC</w:t>
            </w:r>
          </w:p>
        </w:tc>
        <w:tc>
          <w:tcPr>
            <w:tcW w:w="1440" w:type="dxa"/>
            <w:tcBorders>
              <w:top w:val="nil"/>
              <w:left w:val="nil"/>
              <w:bottom w:val="single" w:sz="4" w:space="0" w:color="auto"/>
              <w:right w:val="single" w:sz="4" w:space="0" w:color="auto"/>
            </w:tcBorders>
            <w:vAlign w:val="center"/>
          </w:tcPr>
          <w:p w14:paraId="349F31E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2.1231E-05</w:t>
            </w:r>
          </w:p>
        </w:tc>
        <w:tc>
          <w:tcPr>
            <w:tcW w:w="1440" w:type="dxa"/>
            <w:tcBorders>
              <w:top w:val="nil"/>
              <w:left w:val="nil"/>
              <w:bottom w:val="single" w:sz="4" w:space="0" w:color="auto"/>
              <w:right w:val="single" w:sz="4" w:space="0" w:color="auto"/>
            </w:tcBorders>
            <w:vAlign w:val="center"/>
          </w:tcPr>
          <w:p w14:paraId="5A4AE04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0.000156</w:t>
            </w:r>
          </w:p>
        </w:tc>
        <w:tc>
          <w:tcPr>
            <w:tcW w:w="1440" w:type="dxa"/>
            <w:tcBorders>
              <w:top w:val="nil"/>
              <w:left w:val="nil"/>
              <w:bottom w:val="single" w:sz="4" w:space="0" w:color="auto"/>
              <w:right w:val="single" w:sz="4" w:space="0" w:color="auto"/>
            </w:tcBorders>
            <w:vAlign w:val="center"/>
          </w:tcPr>
          <w:p w14:paraId="058C0BA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0.0000272</w:t>
            </w:r>
          </w:p>
        </w:tc>
        <w:tc>
          <w:tcPr>
            <w:tcW w:w="1530" w:type="dxa"/>
            <w:tcBorders>
              <w:top w:val="nil"/>
              <w:left w:val="nil"/>
              <w:bottom w:val="single" w:sz="4" w:space="0" w:color="auto"/>
              <w:right w:val="single" w:sz="4" w:space="0" w:color="auto"/>
            </w:tcBorders>
            <w:vAlign w:val="center"/>
          </w:tcPr>
          <w:p w14:paraId="68A8783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1.57538E-05</w:t>
            </w:r>
          </w:p>
        </w:tc>
        <w:tc>
          <w:tcPr>
            <w:tcW w:w="1440" w:type="dxa"/>
            <w:tcBorders>
              <w:top w:val="nil"/>
              <w:left w:val="nil"/>
              <w:bottom w:val="single" w:sz="4" w:space="0" w:color="auto"/>
              <w:right w:val="single" w:sz="4" w:space="0" w:color="auto"/>
            </w:tcBorders>
            <w:vAlign w:val="center"/>
          </w:tcPr>
          <w:p w14:paraId="2218885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0.00041191</w:t>
            </w:r>
          </w:p>
        </w:tc>
        <w:tc>
          <w:tcPr>
            <w:tcW w:w="1170" w:type="dxa"/>
            <w:tcBorders>
              <w:top w:val="nil"/>
              <w:left w:val="nil"/>
              <w:bottom w:val="single" w:sz="4" w:space="0" w:color="auto"/>
              <w:right w:val="single" w:sz="4" w:space="0" w:color="auto"/>
            </w:tcBorders>
            <w:vAlign w:val="center"/>
          </w:tcPr>
          <w:p w14:paraId="223301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0.000786</w:t>
            </w:r>
          </w:p>
        </w:tc>
        <w:tc>
          <w:tcPr>
            <w:tcW w:w="1440" w:type="dxa"/>
            <w:tcBorders>
              <w:top w:val="single" w:sz="4" w:space="0" w:color="auto"/>
              <w:left w:val="nil"/>
              <w:bottom w:val="single" w:sz="4" w:space="0" w:color="auto"/>
              <w:right w:val="single" w:sz="4" w:space="0" w:color="auto"/>
            </w:tcBorders>
            <w:vAlign w:val="center"/>
          </w:tcPr>
          <w:p w14:paraId="19BEA66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0.00063692</w:t>
            </w:r>
          </w:p>
        </w:tc>
        <w:tc>
          <w:tcPr>
            <w:tcW w:w="1438" w:type="dxa"/>
            <w:tcBorders>
              <w:top w:val="single" w:sz="4" w:space="0" w:color="auto"/>
              <w:left w:val="single" w:sz="4" w:space="0" w:color="auto"/>
              <w:bottom w:val="single" w:sz="4" w:space="0" w:color="auto"/>
              <w:right w:val="single" w:sz="4" w:space="0" w:color="auto"/>
            </w:tcBorders>
            <w:vAlign w:val="center"/>
          </w:tcPr>
          <w:p w14:paraId="42019FD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0.00201</w:t>
            </w:r>
          </w:p>
        </w:tc>
      </w:tr>
      <w:tr w:rsidR="001E5B1A" w:rsidRPr="007E7592" w14:paraId="2D43E95B" w14:textId="77777777" w:rsidTr="00B40080">
        <w:trPr>
          <w:jc w:val="center"/>
        </w:trPr>
        <w:tc>
          <w:tcPr>
            <w:tcW w:w="820" w:type="dxa"/>
            <w:tcBorders>
              <w:top w:val="nil"/>
              <w:left w:val="single" w:sz="4" w:space="0" w:color="auto"/>
              <w:bottom w:val="single" w:sz="4" w:space="0" w:color="auto"/>
              <w:right w:val="single" w:sz="4" w:space="0" w:color="auto"/>
            </w:tcBorders>
          </w:tcPr>
          <w:p w14:paraId="578D36B9"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4</w:t>
            </w:r>
          </w:p>
        </w:tc>
        <w:tc>
          <w:tcPr>
            <w:tcW w:w="2180" w:type="dxa"/>
            <w:tcBorders>
              <w:top w:val="nil"/>
              <w:left w:val="single" w:sz="4" w:space="0" w:color="auto"/>
              <w:bottom w:val="single" w:sz="4" w:space="0" w:color="auto"/>
              <w:right w:val="single" w:sz="4" w:space="0" w:color="auto"/>
            </w:tcBorders>
            <w:vAlign w:val="center"/>
          </w:tcPr>
          <w:p w14:paraId="5F79425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w:t>
            </w:r>
          </w:p>
        </w:tc>
        <w:tc>
          <w:tcPr>
            <w:tcW w:w="1440" w:type="dxa"/>
            <w:tcBorders>
              <w:top w:val="nil"/>
              <w:left w:val="nil"/>
              <w:bottom w:val="single" w:sz="4" w:space="0" w:color="auto"/>
              <w:right w:val="single" w:sz="4" w:space="0" w:color="auto"/>
            </w:tcBorders>
            <w:vAlign w:val="center"/>
          </w:tcPr>
          <w:p w14:paraId="49F36D2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2.9538E-05</w:t>
            </w:r>
          </w:p>
        </w:tc>
        <w:tc>
          <w:tcPr>
            <w:tcW w:w="1440" w:type="dxa"/>
            <w:tcBorders>
              <w:top w:val="nil"/>
              <w:left w:val="nil"/>
              <w:bottom w:val="single" w:sz="4" w:space="0" w:color="auto"/>
              <w:right w:val="single" w:sz="4" w:space="0" w:color="auto"/>
            </w:tcBorders>
            <w:vAlign w:val="center"/>
          </w:tcPr>
          <w:p w14:paraId="1AAF780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0.00025815</w:t>
            </w:r>
          </w:p>
        </w:tc>
        <w:tc>
          <w:tcPr>
            <w:tcW w:w="1440" w:type="dxa"/>
            <w:tcBorders>
              <w:top w:val="nil"/>
              <w:left w:val="nil"/>
              <w:bottom w:val="single" w:sz="4" w:space="0" w:color="auto"/>
              <w:right w:val="single" w:sz="4" w:space="0" w:color="auto"/>
            </w:tcBorders>
            <w:vAlign w:val="center"/>
          </w:tcPr>
          <w:p w14:paraId="589CEFA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6.4985E-05</w:t>
            </w:r>
          </w:p>
        </w:tc>
        <w:tc>
          <w:tcPr>
            <w:tcW w:w="1530" w:type="dxa"/>
            <w:tcBorders>
              <w:top w:val="nil"/>
              <w:left w:val="nil"/>
              <w:bottom w:val="single" w:sz="4" w:space="0" w:color="auto"/>
              <w:right w:val="single" w:sz="4" w:space="0" w:color="auto"/>
            </w:tcBorders>
            <w:vAlign w:val="center"/>
          </w:tcPr>
          <w:p w14:paraId="17A383BC"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5.85846E-05</w:t>
            </w:r>
          </w:p>
        </w:tc>
        <w:tc>
          <w:tcPr>
            <w:tcW w:w="1440" w:type="dxa"/>
            <w:tcBorders>
              <w:top w:val="nil"/>
              <w:left w:val="nil"/>
              <w:bottom w:val="single" w:sz="4" w:space="0" w:color="auto"/>
              <w:right w:val="single" w:sz="4" w:space="0" w:color="auto"/>
            </w:tcBorders>
            <w:vAlign w:val="center"/>
          </w:tcPr>
          <w:p w14:paraId="77018C8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9.1385E-06</w:t>
            </w:r>
          </w:p>
        </w:tc>
        <w:tc>
          <w:tcPr>
            <w:tcW w:w="1170" w:type="dxa"/>
            <w:tcBorders>
              <w:top w:val="nil"/>
              <w:left w:val="nil"/>
              <w:bottom w:val="single" w:sz="4" w:space="0" w:color="auto"/>
              <w:right w:val="single" w:sz="4" w:space="0" w:color="auto"/>
            </w:tcBorders>
            <w:vAlign w:val="center"/>
          </w:tcPr>
          <w:p w14:paraId="1177F61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0.000233</w:t>
            </w:r>
          </w:p>
        </w:tc>
        <w:tc>
          <w:tcPr>
            <w:tcW w:w="1440" w:type="dxa"/>
            <w:tcBorders>
              <w:top w:val="single" w:sz="4" w:space="0" w:color="auto"/>
              <w:left w:val="nil"/>
              <w:bottom w:val="single" w:sz="4" w:space="0" w:color="auto"/>
              <w:right w:val="single" w:sz="4" w:space="0" w:color="auto"/>
            </w:tcBorders>
            <w:vAlign w:val="center"/>
          </w:tcPr>
          <w:p w14:paraId="4228F0A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7A4184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0.00019615</w:t>
            </w:r>
          </w:p>
        </w:tc>
      </w:tr>
      <w:tr w:rsidR="001E5B1A" w:rsidRPr="007E7592" w14:paraId="64879CC9" w14:textId="77777777" w:rsidTr="00B40080">
        <w:trPr>
          <w:jc w:val="center"/>
        </w:trPr>
        <w:tc>
          <w:tcPr>
            <w:tcW w:w="820" w:type="dxa"/>
            <w:tcBorders>
              <w:top w:val="nil"/>
              <w:left w:val="single" w:sz="4" w:space="0" w:color="auto"/>
              <w:bottom w:val="single" w:sz="4" w:space="0" w:color="auto"/>
              <w:right w:val="single" w:sz="4" w:space="0" w:color="auto"/>
            </w:tcBorders>
          </w:tcPr>
          <w:p w14:paraId="215C1D2E"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5</w:t>
            </w:r>
          </w:p>
        </w:tc>
        <w:tc>
          <w:tcPr>
            <w:tcW w:w="2180" w:type="dxa"/>
            <w:tcBorders>
              <w:top w:val="nil"/>
              <w:left w:val="single" w:sz="4" w:space="0" w:color="auto"/>
              <w:bottom w:val="single" w:sz="4" w:space="0" w:color="auto"/>
              <w:right w:val="single" w:sz="4" w:space="0" w:color="auto"/>
            </w:tcBorders>
            <w:vAlign w:val="center"/>
          </w:tcPr>
          <w:p w14:paraId="65D82E5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Delta-BHC</w:t>
            </w:r>
          </w:p>
        </w:tc>
        <w:tc>
          <w:tcPr>
            <w:tcW w:w="1440" w:type="dxa"/>
            <w:tcBorders>
              <w:top w:val="nil"/>
              <w:left w:val="nil"/>
              <w:bottom w:val="single" w:sz="4" w:space="0" w:color="auto"/>
              <w:right w:val="single" w:sz="4" w:space="0" w:color="auto"/>
            </w:tcBorders>
            <w:vAlign w:val="center"/>
          </w:tcPr>
          <w:p w14:paraId="3177E95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w:t>
            </w:r>
          </w:p>
        </w:tc>
        <w:tc>
          <w:tcPr>
            <w:tcW w:w="1440" w:type="dxa"/>
            <w:tcBorders>
              <w:top w:val="nil"/>
              <w:left w:val="nil"/>
              <w:bottom w:val="single" w:sz="4" w:space="0" w:color="auto"/>
              <w:right w:val="single" w:sz="4" w:space="0" w:color="auto"/>
            </w:tcBorders>
            <w:vAlign w:val="center"/>
          </w:tcPr>
          <w:p w14:paraId="603FD85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4.0615E-05</w:t>
            </w:r>
          </w:p>
        </w:tc>
        <w:tc>
          <w:tcPr>
            <w:tcW w:w="1440" w:type="dxa"/>
            <w:tcBorders>
              <w:top w:val="nil"/>
              <w:left w:val="nil"/>
              <w:bottom w:val="single" w:sz="4" w:space="0" w:color="auto"/>
              <w:right w:val="single" w:sz="4" w:space="0" w:color="auto"/>
            </w:tcBorders>
            <w:vAlign w:val="center"/>
          </w:tcPr>
          <w:p w14:paraId="0C5A853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7B5C7D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3BFEDF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0.00019123</w:t>
            </w:r>
          </w:p>
        </w:tc>
        <w:tc>
          <w:tcPr>
            <w:tcW w:w="1170" w:type="dxa"/>
            <w:tcBorders>
              <w:top w:val="nil"/>
              <w:left w:val="nil"/>
              <w:bottom w:val="single" w:sz="4" w:space="0" w:color="auto"/>
              <w:right w:val="single" w:sz="4" w:space="0" w:color="auto"/>
            </w:tcBorders>
            <w:vAlign w:val="center"/>
          </w:tcPr>
          <w:p w14:paraId="551961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w:t>
            </w:r>
          </w:p>
        </w:tc>
        <w:tc>
          <w:tcPr>
            <w:tcW w:w="1440" w:type="dxa"/>
            <w:tcBorders>
              <w:top w:val="single" w:sz="4" w:space="0" w:color="auto"/>
              <w:left w:val="nil"/>
              <w:bottom w:val="single" w:sz="4" w:space="0" w:color="auto"/>
              <w:right w:val="single" w:sz="4" w:space="0" w:color="auto"/>
            </w:tcBorders>
            <w:vAlign w:val="center"/>
          </w:tcPr>
          <w:p w14:paraId="49AF98C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0.00211154</w:t>
            </w:r>
          </w:p>
        </w:tc>
        <w:tc>
          <w:tcPr>
            <w:tcW w:w="1438" w:type="dxa"/>
            <w:tcBorders>
              <w:top w:val="single" w:sz="4" w:space="0" w:color="auto"/>
              <w:left w:val="single" w:sz="4" w:space="0" w:color="auto"/>
              <w:bottom w:val="single" w:sz="4" w:space="0" w:color="auto"/>
              <w:right w:val="single" w:sz="4" w:space="0" w:color="auto"/>
            </w:tcBorders>
            <w:vAlign w:val="center"/>
          </w:tcPr>
          <w:p w14:paraId="7086200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EF7D164" w14:textId="77777777" w:rsidTr="00B40080">
        <w:trPr>
          <w:jc w:val="center"/>
        </w:trPr>
        <w:tc>
          <w:tcPr>
            <w:tcW w:w="820" w:type="dxa"/>
            <w:tcBorders>
              <w:top w:val="nil"/>
              <w:left w:val="single" w:sz="4" w:space="0" w:color="auto"/>
              <w:bottom w:val="single" w:sz="4" w:space="0" w:color="auto"/>
              <w:right w:val="single" w:sz="4" w:space="0" w:color="auto"/>
            </w:tcBorders>
          </w:tcPr>
          <w:p w14:paraId="4196A8C1"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6</w:t>
            </w:r>
          </w:p>
        </w:tc>
        <w:tc>
          <w:tcPr>
            <w:tcW w:w="2180" w:type="dxa"/>
            <w:tcBorders>
              <w:top w:val="nil"/>
              <w:left w:val="single" w:sz="4" w:space="0" w:color="auto"/>
              <w:bottom w:val="single" w:sz="4" w:space="0" w:color="auto"/>
              <w:right w:val="single" w:sz="4" w:space="0" w:color="auto"/>
            </w:tcBorders>
            <w:vAlign w:val="center"/>
          </w:tcPr>
          <w:p w14:paraId="4BD4D6DE"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Aldrin</w:t>
            </w:r>
          </w:p>
        </w:tc>
        <w:tc>
          <w:tcPr>
            <w:tcW w:w="1440" w:type="dxa"/>
            <w:tcBorders>
              <w:top w:val="nil"/>
              <w:left w:val="nil"/>
              <w:bottom w:val="single" w:sz="4" w:space="0" w:color="auto"/>
              <w:right w:val="single" w:sz="4" w:space="0" w:color="auto"/>
            </w:tcBorders>
            <w:vAlign w:val="center"/>
          </w:tcPr>
          <w:p w14:paraId="3F43EBE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BBE9E7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AD1297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3.7415E-05</w:t>
            </w:r>
          </w:p>
        </w:tc>
        <w:tc>
          <w:tcPr>
            <w:tcW w:w="1530" w:type="dxa"/>
            <w:tcBorders>
              <w:top w:val="nil"/>
              <w:left w:val="nil"/>
              <w:bottom w:val="single" w:sz="4" w:space="0" w:color="auto"/>
              <w:right w:val="single" w:sz="4" w:space="0" w:color="auto"/>
            </w:tcBorders>
            <w:vAlign w:val="center"/>
          </w:tcPr>
          <w:p w14:paraId="5531BBC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7.12615E-05</w:t>
            </w:r>
          </w:p>
        </w:tc>
        <w:tc>
          <w:tcPr>
            <w:tcW w:w="1440" w:type="dxa"/>
            <w:tcBorders>
              <w:top w:val="nil"/>
              <w:left w:val="nil"/>
              <w:bottom w:val="single" w:sz="4" w:space="0" w:color="auto"/>
              <w:right w:val="single" w:sz="4" w:space="0" w:color="auto"/>
            </w:tcBorders>
            <w:vAlign w:val="center"/>
          </w:tcPr>
          <w:p w14:paraId="6FFEE9C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4.9415E-05</w:t>
            </w:r>
          </w:p>
        </w:tc>
        <w:tc>
          <w:tcPr>
            <w:tcW w:w="1170" w:type="dxa"/>
            <w:tcBorders>
              <w:top w:val="nil"/>
              <w:left w:val="nil"/>
              <w:bottom w:val="single" w:sz="4" w:space="0" w:color="auto"/>
              <w:right w:val="single" w:sz="4" w:space="0" w:color="auto"/>
            </w:tcBorders>
            <w:vAlign w:val="center"/>
          </w:tcPr>
          <w:p w14:paraId="215AB77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9.95E-05</w:t>
            </w:r>
          </w:p>
        </w:tc>
        <w:tc>
          <w:tcPr>
            <w:tcW w:w="1440" w:type="dxa"/>
            <w:tcBorders>
              <w:top w:val="single" w:sz="4" w:space="0" w:color="auto"/>
              <w:left w:val="nil"/>
              <w:bottom w:val="single" w:sz="4" w:space="0" w:color="auto"/>
              <w:right w:val="single" w:sz="4" w:space="0" w:color="auto"/>
            </w:tcBorders>
            <w:vAlign w:val="center"/>
          </w:tcPr>
          <w:p w14:paraId="303CC04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0.00078462</w:t>
            </w:r>
          </w:p>
        </w:tc>
        <w:tc>
          <w:tcPr>
            <w:tcW w:w="1438" w:type="dxa"/>
            <w:tcBorders>
              <w:top w:val="single" w:sz="4" w:space="0" w:color="auto"/>
              <w:left w:val="single" w:sz="4" w:space="0" w:color="auto"/>
              <w:bottom w:val="single" w:sz="4" w:space="0" w:color="auto"/>
              <w:right w:val="single" w:sz="4" w:space="0" w:color="auto"/>
            </w:tcBorders>
            <w:vAlign w:val="center"/>
          </w:tcPr>
          <w:p w14:paraId="25A8FCD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0.00210692</w:t>
            </w:r>
          </w:p>
        </w:tc>
      </w:tr>
      <w:tr w:rsidR="001E5B1A" w:rsidRPr="007E7592" w14:paraId="0EB7D130" w14:textId="77777777" w:rsidTr="00B40080">
        <w:trPr>
          <w:jc w:val="center"/>
        </w:trPr>
        <w:tc>
          <w:tcPr>
            <w:tcW w:w="820" w:type="dxa"/>
            <w:tcBorders>
              <w:top w:val="nil"/>
              <w:left w:val="single" w:sz="4" w:space="0" w:color="auto"/>
              <w:bottom w:val="single" w:sz="4" w:space="0" w:color="auto"/>
              <w:right w:val="single" w:sz="4" w:space="0" w:color="auto"/>
            </w:tcBorders>
          </w:tcPr>
          <w:p w14:paraId="6428BFA5"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7</w:t>
            </w:r>
          </w:p>
        </w:tc>
        <w:tc>
          <w:tcPr>
            <w:tcW w:w="2180" w:type="dxa"/>
            <w:tcBorders>
              <w:top w:val="nil"/>
              <w:left w:val="single" w:sz="4" w:space="0" w:color="auto"/>
              <w:bottom w:val="single" w:sz="4" w:space="0" w:color="auto"/>
              <w:right w:val="single" w:sz="4" w:space="0" w:color="auto"/>
            </w:tcBorders>
            <w:vAlign w:val="center"/>
          </w:tcPr>
          <w:p w14:paraId="0A4D0060"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 Epoxide</w:t>
            </w:r>
          </w:p>
        </w:tc>
        <w:tc>
          <w:tcPr>
            <w:tcW w:w="1440" w:type="dxa"/>
            <w:tcBorders>
              <w:top w:val="nil"/>
              <w:left w:val="nil"/>
              <w:bottom w:val="single" w:sz="4" w:space="0" w:color="auto"/>
              <w:right w:val="single" w:sz="4" w:space="0" w:color="auto"/>
            </w:tcBorders>
            <w:vAlign w:val="center"/>
          </w:tcPr>
          <w:p w14:paraId="471417C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1.2923E-05</w:t>
            </w:r>
          </w:p>
        </w:tc>
        <w:tc>
          <w:tcPr>
            <w:tcW w:w="1440" w:type="dxa"/>
            <w:tcBorders>
              <w:top w:val="nil"/>
              <w:left w:val="nil"/>
              <w:bottom w:val="single" w:sz="4" w:space="0" w:color="auto"/>
              <w:right w:val="single" w:sz="4" w:space="0" w:color="auto"/>
            </w:tcBorders>
            <w:vAlign w:val="center"/>
          </w:tcPr>
          <w:p w14:paraId="68E0E9E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8.9231E-06</w:t>
            </w:r>
          </w:p>
        </w:tc>
        <w:tc>
          <w:tcPr>
            <w:tcW w:w="1440" w:type="dxa"/>
            <w:tcBorders>
              <w:top w:val="nil"/>
              <w:left w:val="nil"/>
              <w:bottom w:val="single" w:sz="4" w:space="0" w:color="auto"/>
              <w:right w:val="single" w:sz="4" w:space="0" w:color="auto"/>
            </w:tcBorders>
            <w:vAlign w:val="center"/>
          </w:tcPr>
          <w:p w14:paraId="177A677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3.5815E-05</w:t>
            </w:r>
          </w:p>
        </w:tc>
        <w:tc>
          <w:tcPr>
            <w:tcW w:w="1530" w:type="dxa"/>
            <w:tcBorders>
              <w:top w:val="nil"/>
              <w:left w:val="nil"/>
              <w:bottom w:val="single" w:sz="4" w:space="0" w:color="auto"/>
              <w:right w:val="single" w:sz="4" w:space="0" w:color="auto"/>
            </w:tcBorders>
            <w:vAlign w:val="center"/>
          </w:tcPr>
          <w:p w14:paraId="4DDFEF36"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2.26462E-05</w:t>
            </w:r>
          </w:p>
        </w:tc>
        <w:tc>
          <w:tcPr>
            <w:tcW w:w="1440" w:type="dxa"/>
            <w:tcBorders>
              <w:top w:val="nil"/>
              <w:left w:val="nil"/>
              <w:bottom w:val="single" w:sz="4" w:space="0" w:color="auto"/>
              <w:right w:val="single" w:sz="4" w:space="0" w:color="auto"/>
            </w:tcBorders>
            <w:vAlign w:val="center"/>
          </w:tcPr>
          <w:p w14:paraId="22E8C03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0.00014385</w:t>
            </w:r>
          </w:p>
        </w:tc>
        <w:tc>
          <w:tcPr>
            <w:tcW w:w="1170" w:type="dxa"/>
            <w:tcBorders>
              <w:top w:val="nil"/>
              <w:left w:val="nil"/>
              <w:bottom w:val="single" w:sz="4" w:space="0" w:color="auto"/>
              <w:right w:val="single" w:sz="4" w:space="0" w:color="auto"/>
            </w:tcBorders>
            <w:vAlign w:val="center"/>
          </w:tcPr>
          <w:p w14:paraId="5621B58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0.000201</w:t>
            </w:r>
          </w:p>
        </w:tc>
        <w:tc>
          <w:tcPr>
            <w:tcW w:w="1440" w:type="dxa"/>
            <w:tcBorders>
              <w:top w:val="single" w:sz="4" w:space="0" w:color="auto"/>
              <w:left w:val="nil"/>
              <w:bottom w:val="single" w:sz="4" w:space="0" w:color="auto"/>
              <w:right w:val="single" w:sz="4" w:space="0" w:color="auto"/>
            </w:tcBorders>
            <w:vAlign w:val="center"/>
          </w:tcPr>
          <w:p w14:paraId="663E99F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AA59E5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0.00242538</w:t>
            </w:r>
          </w:p>
        </w:tc>
      </w:tr>
      <w:tr w:rsidR="001E5B1A" w:rsidRPr="007E7592" w14:paraId="0D1DB49D" w14:textId="77777777" w:rsidTr="00B40080">
        <w:trPr>
          <w:jc w:val="center"/>
        </w:trPr>
        <w:tc>
          <w:tcPr>
            <w:tcW w:w="820" w:type="dxa"/>
            <w:tcBorders>
              <w:top w:val="nil"/>
              <w:left w:val="single" w:sz="4" w:space="0" w:color="auto"/>
              <w:bottom w:val="single" w:sz="4" w:space="0" w:color="auto"/>
              <w:right w:val="single" w:sz="4" w:space="0" w:color="auto"/>
            </w:tcBorders>
          </w:tcPr>
          <w:p w14:paraId="3CE0DBA8"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8</w:t>
            </w:r>
          </w:p>
        </w:tc>
        <w:tc>
          <w:tcPr>
            <w:tcW w:w="2180" w:type="dxa"/>
            <w:tcBorders>
              <w:top w:val="nil"/>
              <w:left w:val="single" w:sz="4" w:space="0" w:color="auto"/>
              <w:bottom w:val="single" w:sz="4" w:space="0" w:color="auto"/>
              <w:right w:val="single" w:sz="4" w:space="0" w:color="auto"/>
            </w:tcBorders>
            <w:vAlign w:val="center"/>
          </w:tcPr>
          <w:p w14:paraId="19577ED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Gamma-Chlordane</w:t>
            </w:r>
          </w:p>
        </w:tc>
        <w:tc>
          <w:tcPr>
            <w:tcW w:w="1440" w:type="dxa"/>
            <w:tcBorders>
              <w:top w:val="nil"/>
              <w:left w:val="nil"/>
              <w:bottom w:val="single" w:sz="4" w:space="0" w:color="auto"/>
              <w:right w:val="single" w:sz="4" w:space="0" w:color="auto"/>
            </w:tcBorders>
            <w:vAlign w:val="center"/>
          </w:tcPr>
          <w:p w14:paraId="4CAAE563"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1.2615E-05</w:t>
            </w:r>
          </w:p>
        </w:tc>
        <w:tc>
          <w:tcPr>
            <w:tcW w:w="1440" w:type="dxa"/>
            <w:tcBorders>
              <w:top w:val="nil"/>
              <w:left w:val="nil"/>
              <w:bottom w:val="single" w:sz="4" w:space="0" w:color="auto"/>
              <w:right w:val="single" w:sz="4" w:space="0" w:color="auto"/>
            </w:tcBorders>
            <w:vAlign w:val="center"/>
          </w:tcPr>
          <w:p w14:paraId="532EDF8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2.4923E-05</w:t>
            </w:r>
          </w:p>
        </w:tc>
        <w:tc>
          <w:tcPr>
            <w:tcW w:w="1440" w:type="dxa"/>
            <w:tcBorders>
              <w:top w:val="nil"/>
              <w:left w:val="nil"/>
              <w:bottom w:val="single" w:sz="4" w:space="0" w:color="auto"/>
              <w:right w:val="single" w:sz="4" w:space="0" w:color="auto"/>
            </w:tcBorders>
            <w:vAlign w:val="center"/>
          </w:tcPr>
          <w:p w14:paraId="484232B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2EA01C7A"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F713C2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9.9508E-05</w:t>
            </w:r>
          </w:p>
        </w:tc>
        <w:tc>
          <w:tcPr>
            <w:tcW w:w="1170" w:type="dxa"/>
            <w:tcBorders>
              <w:top w:val="nil"/>
              <w:left w:val="nil"/>
              <w:bottom w:val="single" w:sz="4" w:space="0" w:color="auto"/>
              <w:right w:val="single" w:sz="4" w:space="0" w:color="auto"/>
            </w:tcBorders>
            <w:vAlign w:val="center"/>
          </w:tcPr>
          <w:p w14:paraId="461E6B9B"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812EA4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0.00159</w:t>
            </w:r>
          </w:p>
        </w:tc>
        <w:tc>
          <w:tcPr>
            <w:tcW w:w="1438" w:type="dxa"/>
            <w:tcBorders>
              <w:top w:val="single" w:sz="4" w:space="0" w:color="auto"/>
              <w:left w:val="single" w:sz="4" w:space="0" w:color="auto"/>
              <w:bottom w:val="single" w:sz="4" w:space="0" w:color="auto"/>
              <w:right w:val="single" w:sz="4" w:space="0" w:color="auto"/>
            </w:tcBorders>
            <w:vAlign w:val="center"/>
          </w:tcPr>
          <w:p w14:paraId="28B399B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0.00186462</w:t>
            </w:r>
          </w:p>
        </w:tc>
      </w:tr>
      <w:tr w:rsidR="001E5B1A" w:rsidRPr="007E7592" w14:paraId="5275122C" w14:textId="77777777" w:rsidTr="00B40080">
        <w:trPr>
          <w:jc w:val="center"/>
        </w:trPr>
        <w:tc>
          <w:tcPr>
            <w:tcW w:w="820" w:type="dxa"/>
            <w:tcBorders>
              <w:top w:val="nil"/>
              <w:left w:val="single" w:sz="4" w:space="0" w:color="auto"/>
              <w:bottom w:val="single" w:sz="4" w:space="0" w:color="auto"/>
              <w:right w:val="single" w:sz="4" w:space="0" w:color="auto"/>
            </w:tcBorders>
          </w:tcPr>
          <w:p w14:paraId="47A6B36A"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9</w:t>
            </w:r>
          </w:p>
        </w:tc>
        <w:tc>
          <w:tcPr>
            <w:tcW w:w="2180" w:type="dxa"/>
            <w:tcBorders>
              <w:top w:val="nil"/>
              <w:left w:val="single" w:sz="4" w:space="0" w:color="auto"/>
              <w:bottom w:val="single" w:sz="4" w:space="0" w:color="auto"/>
              <w:right w:val="single" w:sz="4" w:space="0" w:color="auto"/>
            </w:tcBorders>
            <w:vAlign w:val="center"/>
          </w:tcPr>
          <w:p w14:paraId="613DD52E"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Alpha-Chlordane</w:t>
            </w:r>
          </w:p>
        </w:tc>
        <w:tc>
          <w:tcPr>
            <w:tcW w:w="1440" w:type="dxa"/>
            <w:tcBorders>
              <w:top w:val="nil"/>
              <w:left w:val="nil"/>
              <w:bottom w:val="single" w:sz="4" w:space="0" w:color="auto"/>
              <w:right w:val="single" w:sz="4" w:space="0" w:color="auto"/>
            </w:tcBorders>
            <w:vAlign w:val="center"/>
          </w:tcPr>
          <w:p w14:paraId="1C28203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A6914B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3C4D249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7681D32D"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D8F5E2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301B10B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95C6E7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A073B2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93DCC8B" w14:textId="77777777" w:rsidTr="00B40080">
        <w:trPr>
          <w:jc w:val="center"/>
        </w:trPr>
        <w:tc>
          <w:tcPr>
            <w:tcW w:w="820" w:type="dxa"/>
            <w:tcBorders>
              <w:top w:val="nil"/>
              <w:left w:val="single" w:sz="4" w:space="0" w:color="auto"/>
              <w:bottom w:val="single" w:sz="4" w:space="0" w:color="auto"/>
              <w:right w:val="single" w:sz="4" w:space="0" w:color="auto"/>
            </w:tcBorders>
          </w:tcPr>
          <w:p w14:paraId="7046F501"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10</w:t>
            </w:r>
          </w:p>
        </w:tc>
        <w:tc>
          <w:tcPr>
            <w:tcW w:w="2180" w:type="dxa"/>
            <w:tcBorders>
              <w:top w:val="nil"/>
              <w:left w:val="single" w:sz="4" w:space="0" w:color="auto"/>
              <w:bottom w:val="single" w:sz="4" w:space="0" w:color="auto"/>
              <w:right w:val="single" w:sz="4" w:space="0" w:color="auto"/>
            </w:tcBorders>
            <w:vAlign w:val="center"/>
          </w:tcPr>
          <w:p w14:paraId="6D320B1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w:t>
            </w:r>
          </w:p>
        </w:tc>
        <w:tc>
          <w:tcPr>
            <w:tcW w:w="1440" w:type="dxa"/>
            <w:tcBorders>
              <w:top w:val="nil"/>
              <w:left w:val="nil"/>
              <w:bottom w:val="single" w:sz="4" w:space="0" w:color="auto"/>
              <w:right w:val="single" w:sz="4" w:space="0" w:color="auto"/>
            </w:tcBorders>
            <w:vAlign w:val="center"/>
          </w:tcPr>
          <w:p w14:paraId="33E0689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0.00013046</w:t>
            </w:r>
          </w:p>
        </w:tc>
        <w:tc>
          <w:tcPr>
            <w:tcW w:w="1440" w:type="dxa"/>
            <w:tcBorders>
              <w:top w:val="nil"/>
              <w:left w:val="nil"/>
              <w:bottom w:val="single" w:sz="4" w:space="0" w:color="auto"/>
              <w:right w:val="single" w:sz="4" w:space="0" w:color="auto"/>
            </w:tcBorders>
            <w:vAlign w:val="center"/>
          </w:tcPr>
          <w:p w14:paraId="43185C3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1.0462E-05</w:t>
            </w:r>
          </w:p>
        </w:tc>
        <w:tc>
          <w:tcPr>
            <w:tcW w:w="1440" w:type="dxa"/>
            <w:tcBorders>
              <w:top w:val="nil"/>
              <w:left w:val="nil"/>
              <w:bottom w:val="single" w:sz="4" w:space="0" w:color="auto"/>
              <w:right w:val="single" w:sz="4" w:space="0" w:color="auto"/>
            </w:tcBorders>
            <w:vAlign w:val="center"/>
          </w:tcPr>
          <w:p w14:paraId="1896862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1.2185E-05</w:t>
            </w:r>
          </w:p>
        </w:tc>
        <w:tc>
          <w:tcPr>
            <w:tcW w:w="1530" w:type="dxa"/>
            <w:tcBorders>
              <w:top w:val="nil"/>
              <w:left w:val="nil"/>
              <w:bottom w:val="single" w:sz="4" w:space="0" w:color="auto"/>
              <w:right w:val="single" w:sz="4" w:space="0" w:color="auto"/>
            </w:tcBorders>
            <w:vAlign w:val="center"/>
          </w:tcPr>
          <w:p w14:paraId="61A4FCF3"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188E95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6.6338E-05</w:t>
            </w:r>
          </w:p>
        </w:tc>
        <w:tc>
          <w:tcPr>
            <w:tcW w:w="1170" w:type="dxa"/>
            <w:tcBorders>
              <w:top w:val="nil"/>
              <w:left w:val="nil"/>
              <w:bottom w:val="single" w:sz="4" w:space="0" w:color="auto"/>
              <w:right w:val="single" w:sz="4" w:space="0" w:color="auto"/>
            </w:tcBorders>
            <w:vAlign w:val="center"/>
          </w:tcPr>
          <w:p w14:paraId="4C6D94F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0.000122</w:t>
            </w:r>
          </w:p>
        </w:tc>
        <w:tc>
          <w:tcPr>
            <w:tcW w:w="1440" w:type="dxa"/>
            <w:tcBorders>
              <w:top w:val="single" w:sz="4" w:space="0" w:color="auto"/>
              <w:left w:val="nil"/>
              <w:bottom w:val="single" w:sz="4" w:space="0" w:color="auto"/>
              <w:right w:val="single" w:sz="4" w:space="0" w:color="auto"/>
            </w:tcBorders>
            <w:vAlign w:val="center"/>
          </w:tcPr>
          <w:p w14:paraId="22F97F9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5.7692E-05</w:t>
            </w:r>
          </w:p>
        </w:tc>
        <w:tc>
          <w:tcPr>
            <w:tcW w:w="1438" w:type="dxa"/>
            <w:tcBorders>
              <w:top w:val="single" w:sz="4" w:space="0" w:color="auto"/>
              <w:left w:val="single" w:sz="4" w:space="0" w:color="auto"/>
              <w:bottom w:val="single" w:sz="4" w:space="0" w:color="auto"/>
              <w:right w:val="single" w:sz="4" w:space="0" w:color="auto"/>
            </w:tcBorders>
            <w:vAlign w:val="center"/>
          </w:tcPr>
          <w:p w14:paraId="58A0508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9.2308E-05</w:t>
            </w:r>
          </w:p>
        </w:tc>
      </w:tr>
      <w:tr w:rsidR="001E5B1A" w:rsidRPr="007E7592" w14:paraId="59BC9B75" w14:textId="77777777" w:rsidTr="00B40080">
        <w:trPr>
          <w:jc w:val="center"/>
        </w:trPr>
        <w:tc>
          <w:tcPr>
            <w:tcW w:w="820" w:type="dxa"/>
            <w:tcBorders>
              <w:top w:val="nil"/>
              <w:left w:val="single" w:sz="4" w:space="0" w:color="auto"/>
              <w:bottom w:val="single" w:sz="4" w:space="0" w:color="auto"/>
              <w:right w:val="single" w:sz="4" w:space="0" w:color="auto"/>
            </w:tcBorders>
          </w:tcPr>
          <w:p w14:paraId="72DCBC3F"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11</w:t>
            </w:r>
          </w:p>
        </w:tc>
        <w:tc>
          <w:tcPr>
            <w:tcW w:w="2180" w:type="dxa"/>
            <w:tcBorders>
              <w:top w:val="nil"/>
              <w:left w:val="single" w:sz="4" w:space="0" w:color="auto"/>
              <w:bottom w:val="single" w:sz="4" w:space="0" w:color="auto"/>
              <w:right w:val="single" w:sz="4" w:space="0" w:color="auto"/>
            </w:tcBorders>
            <w:vAlign w:val="center"/>
          </w:tcPr>
          <w:p w14:paraId="192EAF3B"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p'-DDE</w:t>
            </w:r>
          </w:p>
        </w:tc>
        <w:tc>
          <w:tcPr>
            <w:tcW w:w="1440" w:type="dxa"/>
            <w:tcBorders>
              <w:top w:val="nil"/>
              <w:left w:val="nil"/>
              <w:bottom w:val="single" w:sz="4" w:space="0" w:color="auto"/>
              <w:right w:val="single" w:sz="4" w:space="0" w:color="auto"/>
            </w:tcBorders>
            <w:vAlign w:val="center"/>
          </w:tcPr>
          <w:p w14:paraId="2F05251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36D38E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02CC35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104DECB2"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87E1C3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0.0000528</w:t>
            </w:r>
          </w:p>
        </w:tc>
        <w:tc>
          <w:tcPr>
            <w:tcW w:w="1170" w:type="dxa"/>
            <w:tcBorders>
              <w:top w:val="nil"/>
              <w:left w:val="nil"/>
              <w:bottom w:val="single" w:sz="4" w:space="0" w:color="auto"/>
              <w:right w:val="single" w:sz="4" w:space="0" w:color="auto"/>
            </w:tcBorders>
            <w:vAlign w:val="center"/>
          </w:tcPr>
          <w:p w14:paraId="390D429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4CC1A30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B98388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93BBE86" w14:textId="77777777" w:rsidTr="00B40080">
        <w:trPr>
          <w:jc w:val="center"/>
        </w:trPr>
        <w:tc>
          <w:tcPr>
            <w:tcW w:w="820" w:type="dxa"/>
            <w:tcBorders>
              <w:top w:val="nil"/>
              <w:left w:val="single" w:sz="4" w:space="0" w:color="auto"/>
              <w:bottom w:val="single" w:sz="4" w:space="0" w:color="auto"/>
              <w:right w:val="single" w:sz="4" w:space="0" w:color="auto"/>
            </w:tcBorders>
          </w:tcPr>
          <w:p w14:paraId="33A4B53E"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12</w:t>
            </w:r>
          </w:p>
        </w:tc>
        <w:tc>
          <w:tcPr>
            <w:tcW w:w="2180" w:type="dxa"/>
            <w:tcBorders>
              <w:top w:val="nil"/>
              <w:left w:val="single" w:sz="4" w:space="0" w:color="auto"/>
              <w:bottom w:val="single" w:sz="4" w:space="0" w:color="auto"/>
              <w:right w:val="single" w:sz="4" w:space="0" w:color="auto"/>
            </w:tcBorders>
            <w:vAlign w:val="center"/>
          </w:tcPr>
          <w:p w14:paraId="50C9C7E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Dieldrin</w:t>
            </w:r>
          </w:p>
        </w:tc>
        <w:tc>
          <w:tcPr>
            <w:tcW w:w="1440" w:type="dxa"/>
            <w:tcBorders>
              <w:top w:val="nil"/>
              <w:left w:val="nil"/>
              <w:bottom w:val="single" w:sz="4" w:space="0" w:color="auto"/>
              <w:right w:val="single" w:sz="4" w:space="0" w:color="auto"/>
            </w:tcBorders>
            <w:vAlign w:val="center"/>
          </w:tcPr>
          <w:p w14:paraId="6807454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1.3846E-05</w:t>
            </w:r>
          </w:p>
        </w:tc>
        <w:tc>
          <w:tcPr>
            <w:tcW w:w="1440" w:type="dxa"/>
            <w:tcBorders>
              <w:top w:val="nil"/>
              <w:left w:val="nil"/>
              <w:bottom w:val="single" w:sz="4" w:space="0" w:color="auto"/>
              <w:right w:val="single" w:sz="4" w:space="0" w:color="auto"/>
            </w:tcBorders>
            <w:vAlign w:val="center"/>
          </w:tcPr>
          <w:p w14:paraId="79F9BCD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CCF3EB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8.9846E-05</w:t>
            </w:r>
          </w:p>
        </w:tc>
        <w:tc>
          <w:tcPr>
            <w:tcW w:w="1530" w:type="dxa"/>
            <w:tcBorders>
              <w:top w:val="nil"/>
              <w:left w:val="nil"/>
              <w:bottom w:val="single" w:sz="4" w:space="0" w:color="auto"/>
              <w:right w:val="single" w:sz="4" w:space="0" w:color="auto"/>
            </w:tcBorders>
            <w:vAlign w:val="center"/>
          </w:tcPr>
          <w:p w14:paraId="35A65AA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0.000154462</w:t>
            </w:r>
          </w:p>
        </w:tc>
        <w:tc>
          <w:tcPr>
            <w:tcW w:w="1440" w:type="dxa"/>
            <w:tcBorders>
              <w:top w:val="nil"/>
              <w:left w:val="nil"/>
              <w:bottom w:val="single" w:sz="4" w:space="0" w:color="auto"/>
              <w:right w:val="single" w:sz="4" w:space="0" w:color="auto"/>
            </w:tcBorders>
            <w:vAlign w:val="center"/>
          </w:tcPr>
          <w:p w14:paraId="49F1C1D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5AA54B6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249F45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A2FDCF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2875487" w14:textId="77777777" w:rsidTr="00B40080">
        <w:trPr>
          <w:jc w:val="center"/>
        </w:trPr>
        <w:tc>
          <w:tcPr>
            <w:tcW w:w="820" w:type="dxa"/>
            <w:tcBorders>
              <w:top w:val="nil"/>
              <w:left w:val="single" w:sz="4" w:space="0" w:color="auto"/>
              <w:bottom w:val="single" w:sz="4" w:space="0" w:color="auto"/>
              <w:right w:val="single" w:sz="4" w:space="0" w:color="auto"/>
            </w:tcBorders>
          </w:tcPr>
          <w:p w14:paraId="640904A0"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13</w:t>
            </w:r>
          </w:p>
        </w:tc>
        <w:tc>
          <w:tcPr>
            <w:tcW w:w="2180" w:type="dxa"/>
            <w:tcBorders>
              <w:top w:val="nil"/>
              <w:left w:val="single" w:sz="4" w:space="0" w:color="auto"/>
              <w:bottom w:val="single" w:sz="4" w:space="0" w:color="auto"/>
              <w:right w:val="single" w:sz="4" w:space="0" w:color="auto"/>
            </w:tcBorders>
            <w:vAlign w:val="center"/>
          </w:tcPr>
          <w:p w14:paraId="4903682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w:t>
            </w:r>
          </w:p>
        </w:tc>
        <w:tc>
          <w:tcPr>
            <w:tcW w:w="1440" w:type="dxa"/>
            <w:tcBorders>
              <w:top w:val="nil"/>
              <w:left w:val="nil"/>
              <w:bottom w:val="single" w:sz="4" w:space="0" w:color="auto"/>
              <w:right w:val="single" w:sz="4" w:space="0" w:color="auto"/>
            </w:tcBorders>
            <w:vAlign w:val="center"/>
          </w:tcPr>
          <w:p w14:paraId="22C0A8C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1.5385E-05</w:t>
            </w:r>
          </w:p>
        </w:tc>
        <w:tc>
          <w:tcPr>
            <w:tcW w:w="1440" w:type="dxa"/>
            <w:tcBorders>
              <w:top w:val="nil"/>
              <w:left w:val="nil"/>
              <w:bottom w:val="single" w:sz="4" w:space="0" w:color="auto"/>
              <w:right w:val="single" w:sz="4" w:space="0" w:color="auto"/>
            </w:tcBorders>
            <w:vAlign w:val="center"/>
          </w:tcPr>
          <w:p w14:paraId="541845C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23A529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6.5108E-05</w:t>
            </w:r>
          </w:p>
        </w:tc>
        <w:tc>
          <w:tcPr>
            <w:tcW w:w="1530" w:type="dxa"/>
            <w:tcBorders>
              <w:top w:val="nil"/>
              <w:left w:val="nil"/>
              <w:bottom w:val="single" w:sz="4" w:space="0" w:color="auto"/>
              <w:right w:val="single" w:sz="4" w:space="0" w:color="auto"/>
            </w:tcBorders>
            <w:vAlign w:val="center"/>
          </w:tcPr>
          <w:p w14:paraId="52803104"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3.88923E-05</w:t>
            </w:r>
          </w:p>
        </w:tc>
        <w:tc>
          <w:tcPr>
            <w:tcW w:w="1440" w:type="dxa"/>
            <w:tcBorders>
              <w:top w:val="nil"/>
              <w:left w:val="nil"/>
              <w:bottom w:val="single" w:sz="4" w:space="0" w:color="auto"/>
              <w:right w:val="single" w:sz="4" w:space="0" w:color="auto"/>
            </w:tcBorders>
            <w:vAlign w:val="center"/>
          </w:tcPr>
          <w:p w14:paraId="1AE55A7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0.00015908</w:t>
            </w:r>
          </w:p>
        </w:tc>
        <w:tc>
          <w:tcPr>
            <w:tcW w:w="1170" w:type="dxa"/>
            <w:tcBorders>
              <w:top w:val="nil"/>
              <w:left w:val="nil"/>
              <w:bottom w:val="single" w:sz="4" w:space="0" w:color="auto"/>
              <w:right w:val="single" w:sz="4" w:space="0" w:color="auto"/>
            </w:tcBorders>
            <w:vAlign w:val="center"/>
          </w:tcPr>
          <w:p w14:paraId="6BCB81C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793EC29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77BC6BF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8E5CB65" w14:textId="77777777" w:rsidTr="00B40080">
        <w:trPr>
          <w:jc w:val="center"/>
        </w:trPr>
        <w:tc>
          <w:tcPr>
            <w:tcW w:w="820" w:type="dxa"/>
            <w:tcBorders>
              <w:top w:val="nil"/>
              <w:left w:val="single" w:sz="4" w:space="0" w:color="auto"/>
              <w:bottom w:val="single" w:sz="4" w:space="0" w:color="auto"/>
              <w:right w:val="single" w:sz="4" w:space="0" w:color="auto"/>
            </w:tcBorders>
          </w:tcPr>
          <w:p w14:paraId="6CC2788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14</w:t>
            </w:r>
          </w:p>
        </w:tc>
        <w:tc>
          <w:tcPr>
            <w:tcW w:w="2180" w:type="dxa"/>
            <w:tcBorders>
              <w:top w:val="nil"/>
              <w:left w:val="single" w:sz="4" w:space="0" w:color="auto"/>
              <w:bottom w:val="single" w:sz="4" w:space="0" w:color="auto"/>
              <w:right w:val="single" w:sz="4" w:space="0" w:color="auto"/>
            </w:tcBorders>
            <w:vAlign w:val="center"/>
          </w:tcPr>
          <w:p w14:paraId="7B961FA4"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DDD</w:t>
            </w:r>
          </w:p>
        </w:tc>
        <w:tc>
          <w:tcPr>
            <w:tcW w:w="1440" w:type="dxa"/>
            <w:tcBorders>
              <w:top w:val="nil"/>
              <w:left w:val="nil"/>
              <w:bottom w:val="single" w:sz="4" w:space="0" w:color="auto"/>
              <w:right w:val="single" w:sz="4" w:space="0" w:color="auto"/>
            </w:tcBorders>
            <w:vAlign w:val="center"/>
          </w:tcPr>
          <w:p w14:paraId="4948BFB4"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1.7538E-05</w:t>
            </w:r>
          </w:p>
        </w:tc>
        <w:tc>
          <w:tcPr>
            <w:tcW w:w="1440" w:type="dxa"/>
            <w:tcBorders>
              <w:top w:val="nil"/>
              <w:left w:val="nil"/>
              <w:bottom w:val="single" w:sz="4" w:space="0" w:color="auto"/>
              <w:right w:val="single" w:sz="4" w:space="0" w:color="auto"/>
            </w:tcBorders>
            <w:vAlign w:val="center"/>
          </w:tcPr>
          <w:p w14:paraId="06EF303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11A5174"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1.6492E-05</w:t>
            </w:r>
          </w:p>
        </w:tc>
        <w:tc>
          <w:tcPr>
            <w:tcW w:w="1530" w:type="dxa"/>
            <w:tcBorders>
              <w:top w:val="nil"/>
              <w:left w:val="nil"/>
              <w:bottom w:val="single" w:sz="4" w:space="0" w:color="auto"/>
              <w:right w:val="single" w:sz="4" w:space="0" w:color="auto"/>
            </w:tcBorders>
            <w:vAlign w:val="center"/>
          </w:tcPr>
          <w:p w14:paraId="09B398F3"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0.000185108</w:t>
            </w:r>
          </w:p>
        </w:tc>
        <w:tc>
          <w:tcPr>
            <w:tcW w:w="1440" w:type="dxa"/>
            <w:tcBorders>
              <w:top w:val="nil"/>
              <w:left w:val="nil"/>
              <w:bottom w:val="single" w:sz="4" w:space="0" w:color="auto"/>
              <w:right w:val="single" w:sz="4" w:space="0" w:color="auto"/>
            </w:tcBorders>
            <w:vAlign w:val="center"/>
          </w:tcPr>
          <w:p w14:paraId="49FF528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630E045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2BC9951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0.00164077</w:t>
            </w:r>
          </w:p>
        </w:tc>
        <w:tc>
          <w:tcPr>
            <w:tcW w:w="1438" w:type="dxa"/>
            <w:tcBorders>
              <w:top w:val="single" w:sz="4" w:space="0" w:color="auto"/>
              <w:left w:val="single" w:sz="4" w:space="0" w:color="auto"/>
              <w:bottom w:val="single" w:sz="4" w:space="0" w:color="auto"/>
              <w:right w:val="single" w:sz="4" w:space="0" w:color="auto"/>
            </w:tcBorders>
            <w:vAlign w:val="center"/>
          </w:tcPr>
          <w:p w14:paraId="6F6A37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25A42F77" w14:textId="77777777" w:rsidTr="00B40080">
        <w:trPr>
          <w:jc w:val="center"/>
        </w:trPr>
        <w:tc>
          <w:tcPr>
            <w:tcW w:w="820" w:type="dxa"/>
            <w:tcBorders>
              <w:top w:val="nil"/>
              <w:left w:val="single" w:sz="4" w:space="0" w:color="auto"/>
              <w:bottom w:val="single" w:sz="4" w:space="0" w:color="auto"/>
              <w:right w:val="single" w:sz="4" w:space="0" w:color="auto"/>
            </w:tcBorders>
          </w:tcPr>
          <w:p w14:paraId="02B8D7B5"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15</w:t>
            </w:r>
          </w:p>
        </w:tc>
        <w:tc>
          <w:tcPr>
            <w:tcW w:w="2180" w:type="dxa"/>
            <w:tcBorders>
              <w:top w:val="nil"/>
              <w:left w:val="single" w:sz="4" w:space="0" w:color="auto"/>
              <w:bottom w:val="single" w:sz="4" w:space="0" w:color="auto"/>
              <w:right w:val="single" w:sz="4" w:space="0" w:color="auto"/>
            </w:tcBorders>
            <w:vAlign w:val="center"/>
          </w:tcPr>
          <w:p w14:paraId="0837F175"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11</w:t>
            </w:r>
          </w:p>
        </w:tc>
        <w:tc>
          <w:tcPr>
            <w:tcW w:w="1440" w:type="dxa"/>
            <w:tcBorders>
              <w:top w:val="nil"/>
              <w:left w:val="nil"/>
              <w:bottom w:val="single" w:sz="4" w:space="0" w:color="auto"/>
              <w:right w:val="single" w:sz="4" w:space="0" w:color="auto"/>
            </w:tcBorders>
            <w:vAlign w:val="center"/>
          </w:tcPr>
          <w:p w14:paraId="6536B98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1.4769E-05</w:t>
            </w:r>
          </w:p>
        </w:tc>
        <w:tc>
          <w:tcPr>
            <w:tcW w:w="1440" w:type="dxa"/>
            <w:tcBorders>
              <w:top w:val="nil"/>
              <w:left w:val="nil"/>
              <w:bottom w:val="single" w:sz="4" w:space="0" w:color="auto"/>
              <w:right w:val="single" w:sz="4" w:space="0" w:color="auto"/>
            </w:tcBorders>
            <w:vAlign w:val="center"/>
          </w:tcPr>
          <w:p w14:paraId="7F79087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1478FC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1.2554E-05</w:t>
            </w:r>
          </w:p>
        </w:tc>
        <w:tc>
          <w:tcPr>
            <w:tcW w:w="1530" w:type="dxa"/>
            <w:tcBorders>
              <w:top w:val="nil"/>
              <w:left w:val="nil"/>
              <w:bottom w:val="single" w:sz="4" w:space="0" w:color="auto"/>
              <w:right w:val="single" w:sz="4" w:space="0" w:color="auto"/>
            </w:tcBorders>
            <w:vAlign w:val="center"/>
          </w:tcPr>
          <w:p w14:paraId="1162D222"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7240ED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1.5569E-05</w:t>
            </w:r>
          </w:p>
        </w:tc>
        <w:tc>
          <w:tcPr>
            <w:tcW w:w="1170" w:type="dxa"/>
            <w:tcBorders>
              <w:top w:val="nil"/>
              <w:left w:val="nil"/>
              <w:bottom w:val="single" w:sz="4" w:space="0" w:color="auto"/>
              <w:right w:val="single" w:sz="4" w:space="0" w:color="auto"/>
            </w:tcBorders>
            <w:vAlign w:val="center"/>
          </w:tcPr>
          <w:p w14:paraId="5D5AE3B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1.35E-05</w:t>
            </w:r>
          </w:p>
        </w:tc>
        <w:tc>
          <w:tcPr>
            <w:tcW w:w="1440" w:type="dxa"/>
            <w:tcBorders>
              <w:top w:val="single" w:sz="4" w:space="0" w:color="auto"/>
              <w:left w:val="nil"/>
              <w:bottom w:val="single" w:sz="4" w:space="0" w:color="auto"/>
              <w:right w:val="single" w:sz="4" w:space="0" w:color="auto"/>
            </w:tcBorders>
            <w:vAlign w:val="center"/>
          </w:tcPr>
          <w:p w14:paraId="02DEBC8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0.00052615</w:t>
            </w:r>
          </w:p>
        </w:tc>
        <w:tc>
          <w:tcPr>
            <w:tcW w:w="1438" w:type="dxa"/>
            <w:tcBorders>
              <w:top w:val="single" w:sz="4" w:space="0" w:color="auto"/>
              <w:left w:val="single" w:sz="4" w:space="0" w:color="auto"/>
              <w:bottom w:val="single" w:sz="4" w:space="0" w:color="auto"/>
              <w:right w:val="single" w:sz="4" w:space="0" w:color="auto"/>
            </w:tcBorders>
            <w:vAlign w:val="center"/>
          </w:tcPr>
          <w:p w14:paraId="35F225E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0.00073615</w:t>
            </w:r>
          </w:p>
        </w:tc>
      </w:tr>
      <w:tr w:rsidR="001E5B1A" w:rsidRPr="007E7592" w14:paraId="6C21B0AB" w14:textId="77777777" w:rsidTr="00B40080">
        <w:trPr>
          <w:jc w:val="center"/>
        </w:trPr>
        <w:tc>
          <w:tcPr>
            <w:tcW w:w="820" w:type="dxa"/>
            <w:tcBorders>
              <w:top w:val="nil"/>
              <w:left w:val="single" w:sz="4" w:space="0" w:color="auto"/>
              <w:bottom w:val="single" w:sz="4" w:space="0" w:color="auto"/>
              <w:right w:val="single" w:sz="4" w:space="0" w:color="auto"/>
            </w:tcBorders>
          </w:tcPr>
          <w:p w14:paraId="26BDA2FA"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16</w:t>
            </w:r>
          </w:p>
        </w:tc>
        <w:tc>
          <w:tcPr>
            <w:tcW w:w="2180" w:type="dxa"/>
            <w:tcBorders>
              <w:top w:val="nil"/>
              <w:left w:val="single" w:sz="4" w:space="0" w:color="auto"/>
              <w:bottom w:val="single" w:sz="4" w:space="0" w:color="auto"/>
              <w:right w:val="single" w:sz="4" w:space="0" w:color="auto"/>
            </w:tcBorders>
            <w:vAlign w:val="center"/>
          </w:tcPr>
          <w:p w14:paraId="542213E1"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DDT</w:t>
            </w:r>
          </w:p>
        </w:tc>
        <w:tc>
          <w:tcPr>
            <w:tcW w:w="1440" w:type="dxa"/>
            <w:tcBorders>
              <w:top w:val="nil"/>
              <w:left w:val="nil"/>
              <w:bottom w:val="single" w:sz="4" w:space="0" w:color="auto"/>
              <w:right w:val="single" w:sz="4" w:space="0" w:color="auto"/>
            </w:tcBorders>
            <w:vAlign w:val="center"/>
          </w:tcPr>
          <w:p w14:paraId="3A618E6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BA011CE"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56D7DB4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3203617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6C01BE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52FB53CB"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0.000113</w:t>
            </w:r>
          </w:p>
        </w:tc>
        <w:tc>
          <w:tcPr>
            <w:tcW w:w="1440" w:type="dxa"/>
            <w:tcBorders>
              <w:top w:val="single" w:sz="4" w:space="0" w:color="auto"/>
              <w:left w:val="nil"/>
              <w:bottom w:val="single" w:sz="4" w:space="0" w:color="auto"/>
              <w:right w:val="single" w:sz="4" w:space="0" w:color="auto"/>
            </w:tcBorders>
            <w:vAlign w:val="center"/>
          </w:tcPr>
          <w:p w14:paraId="0ECA7B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8F64E2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0FEA5372" w14:textId="77777777" w:rsidTr="00B40080">
        <w:trPr>
          <w:jc w:val="center"/>
        </w:trPr>
        <w:tc>
          <w:tcPr>
            <w:tcW w:w="820" w:type="dxa"/>
            <w:tcBorders>
              <w:top w:val="nil"/>
              <w:left w:val="single" w:sz="4" w:space="0" w:color="auto"/>
              <w:bottom w:val="single" w:sz="4" w:space="0" w:color="auto"/>
              <w:right w:val="single" w:sz="4" w:space="0" w:color="auto"/>
            </w:tcBorders>
          </w:tcPr>
          <w:p w14:paraId="63838349"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lastRenderedPageBreak/>
              <w:t>17</w:t>
            </w:r>
          </w:p>
        </w:tc>
        <w:tc>
          <w:tcPr>
            <w:tcW w:w="2180" w:type="dxa"/>
            <w:tcBorders>
              <w:top w:val="nil"/>
              <w:left w:val="single" w:sz="4" w:space="0" w:color="auto"/>
              <w:bottom w:val="single" w:sz="4" w:space="0" w:color="auto"/>
              <w:right w:val="single" w:sz="4" w:space="0" w:color="auto"/>
            </w:tcBorders>
            <w:vAlign w:val="center"/>
          </w:tcPr>
          <w:p w14:paraId="4750686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aldehyde</w:t>
            </w:r>
          </w:p>
        </w:tc>
        <w:tc>
          <w:tcPr>
            <w:tcW w:w="1440" w:type="dxa"/>
            <w:tcBorders>
              <w:top w:val="nil"/>
              <w:left w:val="nil"/>
              <w:bottom w:val="single" w:sz="4" w:space="0" w:color="auto"/>
              <w:right w:val="single" w:sz="4" w:space="0" w:color="auto"/>
            </w:tcBorders>
            <w:vAlign w:val="center"/>
          </w:tcPr>
          <w:p w14:paraId="72C20BE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950CBD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BA8758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18B1C35E"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6A0A24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B7E28F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01F5E41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513C432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949C41B" w14:textId="77777777" w:rsidTr="00B40080">
        <w:trPr>
          <w:jc w:val="center"/>
        </w:trPr>
        <w:tc>
          <w:tcPr>
            <w:tcW w:w="820" w:type="dxa"/>
            <w:tcBorders>
              <w:top w:val="nil"/>
              <w:left w:val="single" w:sz="4" w:space="0" w:color="auto"/>
              <w:bottom w:val="single" w:sz="4" w:space="0" w:color="auto"/>
              <w:right w:val="single" w:sz="4" w:space="0" w:color="auto"/>
            </w:tcBorders>
          </w:tcPr>
          <w:p w14:paraId="2B90001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18</w:t>
            </w:r>
          </w:p>
        </w:tc>
        <w:tc>
          <w:tcPr>
            <w:tcW w:w="2180" w:type="dxa"/>
            <w:tcBorders>
              <w:top w:val="nil"/>
              <w:left w:val="single" w:sz="4" w:space="0" w:color="auto"/>
              <w:bottom w:val="single" w:sz="4" w:space="0" w:color="auto"/>
              <w:right w:val="single" w:sz="4" w:space="0" w:color="auto"/>
            </w:tcBorders>
            <w:vAlign w:val="center"/>
          </w:tcPr>
          <w:p w14:paraId="4E5FB391"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sulfate</w:t>
            </w:r>
          </w:p>
        </w:tc>
        <w:tc>
          <w:tcPr>
            <w:tcW w:w="1440" w:type="dxa"/>
            <w:tcBorders>
              <w:top w:val="nil"/>
              <w:left w:val="nil"/>
              <w:bottom w:val="single" w:sz="4" w:space="0" w:color="auto"/>
              <w:right w:val="single" w:sz="4" w:space="0" w:color="auto"/>
            </w:tcBorders>
            <w:vAlign w:val="center"/>
          </w:tcPr>
          <w:p w14:paraId="4878934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54B6B6D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00919B8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2.8431E-05</w:t>
            </w:r>
          </w:p>
        </w:tc>
        <w:tc>
          <w:tcPr>
            <w:tcW w:w="1530" w:type="dxa"/>
            <w:tcBorders>
              <w:top w:val="nil"/>
              <w:left w:val="nil"/>
              <w:bottom w:val="single" w:sz="4" w:space="0" w:color="auto"/>
              <w:right w:val="single" w:sz="4" w:space="0" w:color="auto"/>
            </w:tcBorders>
            <w:vAlign w:val="bottom"/>
          </w:tcPr>
          <w:p w14:paraId="6D08EEDF" w14:textId="77777777" w:rsidR="001E5B1A" w:rsidRPr="007E7592" w:rsidRDefault="00B40080" w:rsidP="00B40080">
            <w:pPr>
              <w:spacing w:line="480" w:lineRule="auto"/>
              <w:jc w:val="right"/>
              <w:rPr>
                <w:rFonts w:ascii="Arial" w:hAnsi="Arial" w:cs="Arial"/>
                <w:color w:val="000000"/>
                <w:sz w:val="20"/>
                <w:szCs w:val="20"/>
              </w:rPr>
            </w:pPr>
            <w:r>
              <w:rPr>
                <w:rFonts w:ascii="Arial" w:hAnsi="Arial" w:cs="Arial"/>
                <w:color w:val="000000"/>
                <w:sz w:val="20"/>
                <w:szCs w:val="20"/>
              </w:rPr>
              <w:t>6.81846E-05</w:t>
            </w:r>
          </w:p>
        </w:tc>
        <w:tc>
          <w:tcPr>
            <w:tcW w:w="1440" w:type="dxa"/>
            <w:tcBorders>
              <w:top w:val="nil"/>
              <w:left w:val="nil"/>
              <w:bottom w:val="single" w:sz="4" w:space="0" w:color="auto"/>
              <w:right w:val="single" w:sz="4" w:space="0" w:color="auto"/>
            </w:tcBorders>
            <w:vAlign w:val="center"/>
          </w:tcPr>
          <w:p w14:paraId="0AC0D6E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23002A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1.39E-05</w:t>
            </w:r>
          </w:p>
        </w:tc>
        <w:tc>
          <w:tcPr>
            <w:tcW w:w="1440" w:type="dxa"/>
            <w:tcBorders>
              <w:top w:val="single" w:sz="4" w:space="0" w:color="auto"/>
              <w:left w:val="nil"/>
              <w:bottom w:val="single" w:sz="4" w:space="0" w:color="auto"/>
              <w:right w:val="single" w:sz="4" w:space="0" w:color="auto"/>
            </w:tcBorders>
            <w:vAlign w:val="center"/>
          </w:tcPr>
          <w:p w14:paraId="585C731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6DB87AB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0625CF9" w14:textId="77777777" w:rsidTr="00B40080">
        <w:trPr>
          <w:jc w:val="center"/>
        </w:trPr>
        <w:tc>
          <w:tcPr>
            <w:tcW w:w="820" w:type="dxa"/>
            <w:tcBorders>
              <w:top w:val="nil"/>
              <w:left w:val="single" w:sz="4" w:space="0" w:color="auto"/>
              <w:bottom w:val="single" w:sz="4" w:space="0" w:color="auto"/>
              <w:right w:val="single" w:sz="4" w:space="0" w:color="auto"/>
            </w:tcBorders>
          </w:tcPr>
          <w:p w14:paraId="7DF52E06"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19</w:t>
            </w:r>
          </w:p>
        </w:tc>
        <w:tc>
          <w:tcPr>
            <w:tcW w:w="2180" w:type="dxa"/>
            <w:tcBorders>
              <w:top w:val="nil"/>
              <w:left w:val="single" w:sz="4" w:space="0" w:color="auto"/>
              <w:bottom w:val="single" w:sz="4" w:space="0" w:color="auto"/>
              <w:right w:val="single" w:sz="4" w:space="0" w:color="auto"/>
            </w:tcBorders>
            <w:vAlign w:val="center"/>
          </w:tcPr>
          <w:p w14:paraId="41F3A3CD"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Methoxychlor</w:t>
            </w:r>
          </w:p>
        </w:tc>
        <w:tc>
          <w:tcPr>
            <w:tcW w:w="1440" w:type="dxa"/>
            <w:tcBorders>
              <w:top w:val="nil"/>
              <w:left w:val="nil"/>
              <w:bottom w:val="single" w:sz="4" w:space="0" w:color="auto"/>
              <w:right w:val="single" w:sz="4" w:space="0" w:color="auto"/>
            </w:tcBorders>
            <w:vAlign w:val="center"/>
          </w:tcPr>
          <w:p w14:paraId="3ADFC09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34ED62B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1F1B15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02E52A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9.96923E-05</w:t>
            </w:r>
          </w:p>
        </w:tc>
        <w:tc>
          <w:tcPr>
            <w:tcW w:w="1440" w:type="dxa"/>
            <w:tcBorders>
              <w:top w:val="nil"/>
              <w:left w:val="nil"/>
              <w:bottom w:val="single" w:sz="4" w:space="0" w:color="auto"/>
              <w:right w:val="single" w:sz="4" w:space="0" w:color="auto"/>
            </w:tcBorders>
            <w:vAlign w:val="center"/>
          </w:tcPr>
          <w:p w14:paraId="0C25423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C69C2E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4.81E-05</w:t>
            </w:r>
          </w:p>
        </w:tc>
        <w:tc>
          <w:tcPr>
            <w:tcW w:w="1440" w:type="dxa"/>
            <w:tcBorders>
              <w:top w:val="single" w:sz="4" w:space="0" w:color="auto"/>
              <w:left w:val="nil"/>
              <w:bottom w:val="single" w:sz="4" w:space="0" w:color="auto"/>
              <w:right w:val="single" w:sz="4" w:space="0" w:color="auto"/>
            </w:tcBorders>
            <w:vAlign w:val="center"/>
          </w:tcPr>
          <w:p w14:paraId="5067AD8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0.00102231</w:t>
            </w:r>
          </w:p>
        </w:tc>
        <w:tc>
          <w:tcPr>
            <w:tcW w:w="1438" w:type="dxa"/>
            <w:tcBorders>
              <w:top w:val="single" w:sz="4" w:space="0" w:color="auto"/>
              <w:left w:val="single" w:sz="4" w:space="0" w:color="auto"/>
              <w:bottom w:val="single" w:sz="4" w:space="0" w:color="auto"/>
              <w:right w:val="single" w:sz="4" w:space="0" w:color="auto"/>
            </w:tcBorders>
            <w:vAlign w:val="center"/>
          </w:tcPr>
          <w:p w14:paraId="3478911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0.00046615</w:t>
            </w:r>
          </w:p>
        </w:tc>
      </w:tr>
      <w:tr w:rsidR="001E5B1A" w:rsidRPr="007E7592" w14:paraId="60A10837" w14:textId="77777777" w:rsidTr="00B40080">
        <w:trPr>
          <w:jc w:val="center"/>
        </w:trPr>
        <w:tc>
          <w:tcPr>
            <w:tcW w:w="820" w:type="dxa"/>
            <w:tcBorders>
              <w:top w:val="nil"/>
              <w:left w:val="single" w:sz="4" w:space="0" w:color="auto"/>
              <w:bottom w:val="single" w:sz="4" w:space="0" w:color="auto"/>
              <w:right w:val="single" w:sz="4" w:space="0" w:color="auto"/>
            </w:tcBorders>
          </w:tcPr>
          <w:p w14:paraId="2895727B"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20</w:t>
            </w:r>
          </w:p>
        </w:tc>
        <w:tc>
          <w:tcPr>
            <w:tcW w:w="2180" w:type="dxa"/>
            <w:tcBorders>
              <w:top w:val="nil"/>
              <w:left w:val="single" w:sz="4" w:space="0" w:color="auto"/>
              <w:bottom w:val="single" w:sz="4" w:space="0" w:color="auto"/>
              <w:right w:val="single" w:sz="4" w:space="0" w:color="auto"/>
            </w:tcBorders>
            <w:vAlign w:val="center"/>
          </w:tcPr>
          <w:p w14:paraId="0855B11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ketone</w:t>
            </w:r>
          </w:p>
        </w:tc>
        <w:tc>
          <w:tcPr>
            <w:tcW w:w="1440" w:type="dxa"/>
            <w:tcBorders>
              <w:top w:val="nil"/>
              <w:left w:val="nil"/>
              <w:bottom w:val="single" w:sz="4" w:space="0" w:color="auto"/>
              <w:right w:val="single" w:sz="4" w:space="0" w:color="auto"/>
            </w:tcBorders>
            <w:vAlign w:val="center"/>
          </w:tcPr>
          <w:p w14:paraId="5A77F2C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6AACA2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11A745E"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EEEFC17"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0149ABD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252146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21E556D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7642180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bl>
    <w:p w14:paraId="1CC520A4" w14:textId="77777777" w:rsidR="001E5B1A" w:rsidRPr="00BB57AC" w:rsidRDefault="001E5B1A" w:rsidP="001E5B1A">
      <w:pPr>
        <w:spacing w:before="240" w:line="360" w:lineRule="auto"/>
        <w:jc w:val="both"/>
        <w:rPr>
          <w:rFonts w:ascii="Arial" w:hAnsi="Arial" w:cs="Arial"/>
          <w:b/>
          <w:sz w:val="24"/>
          <w:szCs w:val="24"/>
        </w:rPr>
      </w:pPr>
      <w:r w:rsidRPr="00BB57AC">
        <w:rPr>
          <w:rFonts w:ascii="Arial" w:hAnsi="Arial" w:cs="Arial"/>
          <w:b/>
          <w:sz w:val="24"/>
          <w:szCs w:val="24"/>
        </w:rPr>
        <w:t>Table 4: Hazard Quotient and Hazard Index of Pesticide residues in adults</w:t>
      </w:r>
    </w:p>
    <w:tbl>
      <w:tblPr>
        <w:tblStyle w:val="TableGrid"/>
        <w:tblW w:w="12906" w:type="dxa"/>
        <w:jc w:val="center"/>
        <w:tblLayout w:type="fixed"/>
        <w:tblLook w:val="04A0" w:firstRow="1" w:lastRow="0" w:firstColumn="1" w:lastColumn="0" w:noHBand="0" w:noVBand="1"/>
      </w:tblPr>
      <w:tblGrid>
        <w:gridCol w:w="560"/>
        <w:gridCol w:w="2293"/>
        <w:gridCol w:w="1260"/>
        <w:gridCol w:w="1350"/>
        <w:gridCol w:w="1260"/>
        <w:gridCol w:w="1260"/>
        <w:gridCol w:w="1260"/>
        <w:gridCol w:w="1350"/>
        <w:gridCol w:w="1170"/>
        <w:gridCol w:w="1143"/>
      </w:tblGrid>
      <w:tr w:rsidR="001E5B1A" w:rsidRPr="0025682E" w14:paraId="4A8722C4" w14:textId="77777777" w:rsidTr="001E5B1A">
        <w:trPr>
          <w:trHeight w:val="278"/>
          <w:jc w:val="center"/>
        </w:trPr>
        <w:tc>
          <w:tcPr>
            <w:tcW w:w="560" w:type="dxa"/>
            <w:vMerge w:val="restart"/>
            <w:tcBorders>
              <w:top w:val="single" w:sz="4" w:space="0" w:color="auto"/>
              <w:left w:val="single" w:sz="4" w:space="0" w:color="auto"/>
              <w:right w:val="single" w:sz="4" w:space="0" w:color="auto"/>
            </w:tcBorders>
          </w:tcPr>
          <w:p w14:paraId="5181F451" w14:textId="77777777" w:rsidR="001E5B1A" w:rsidRPr="0025682E" w:rsidRDefault="001E5B1A" w:rsidP="0025682E">
            <w:pPr>
              <w:spacing w:line="480" w:lineRule="auto"/>
              <w:jc w:val="center"/>
              <w:rPr>
                <w:rFonts w:ascii="Arial" w:eastAsia="Times New Roman" w:hAnsi="Arial" w:cs="Arial"/>
                <w:b/>
                <w:sz w:val="20"/>
                <w:szCs w:val="20"/>
              </w:rPr>
            </w:pPr>
            <w:r w:rsidRPr="0025682E">
              <w:rPr>
                <w:rFonts w:ascii="Arial" w:eastAsia="Times New Roman" w:hAnsi="Arial" w:cs="Arial"/>
                <w:b/>
                <w:sz w:val="20"/>
                <w:szCs w:val="20"/>
              </w:rPr>
              <w:t>S/N</w:t>
            </w:r>
          </w:p>
        </w:tc>
        <w:tc>
          <w:tcPr>
            <w:tcW w:w="2293" w:type="dxa"/>
            <w:vMerge w:val="restart"/>
            <w:tcBorders>
              <w:top w:val="single" w:sz="4" w:space="0" w:color="auto"/>
              <w:left w:val="single" w:sz="4" w:space="0" w:color="auto"/>
              <w:right w:val="single" w:sz="4" w:space="0" w:color="auto"/>
            </w:tcBorders>
          </w:tcPr>
          <w:p w14:paraId="01869EDF" w14:textId="77777777" w:rsidR="001E5B1A" w:rsidRPr="0025682E" w:rsidRDefault="001E5B1A" w:rsidP="0025682E">
            <w:pPr>
              <w:spacing w:line="480" w:lineRule="auto"/>
              <w:jc w:val="center"/>
              <w:rPr>
                <w:rFonts w:ascii="Arial" w:hAnsi="Arial" w:cs="Arial"/>
                <w:b/>
                <w:sz w:val="20"/>
                <w:szCs w:val="20"/>
              </w:rPr>
            </w:pPr>
            <w:r w:rsidRPr="0025682E">
              <w:rPr>
                <w:rFonts w:ascii="Arial" w:eastAsia="Times New Roman" w:hAnsi="Arial" w:cs="Arial"/>
                <w:b/>
                <w:sz w:val="20"/>
                <w:szCs w:val="20"/>
              </w:rPr>
              <w:t>Compounds</w:t>
            </w:r>
          </w:p>
        </w:tc>
        <w:tc>
          <w:tcPr>
            <w:tcW w:w="10053" w:type="dxa"/>
            <w:gridSpan w:val="8"/>
            <w:tcBorders>
              <w:top w:val="single" w:sz="4" w:space="0" w:color="auto"/>
              <w:left w:val="nil"/>
              <w:bottom w:val="single" w:sz="4" w:space="0" w:color="auto"/>
              <w:right w:val="single" w:sz="4" w:space="0" w:color="auto"/>
            </w:tcBorders>
            <w:vAlign w:val="bottom"/>
          </w:tcPr>
          <w:p w14:paraId="24898384"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eastAsia="Times New Roman" w:hAnsi="Arial" w:cs="Arial"/>
                <w:b/>
                <w:sz w:val="20"/>
                <w:szCs w:val="20"/>
              </w:rPr>
              <w:t>Hazard quotient (HQ)</w:t>
            </w:r>
          </w:p>
        </w:tc>
      </w:tr>
      <w:tr w:rsidR="001E5B1A" w:rsidRPr="0025682E" w14:paraId="42BD7E9E" w14:textId="77777777" w:rsidTr="001E5B1A">
        <w:trPr>
          <w:trHeight w:val="413"/>
          <w:jc w:val="center"/>
        </w:trPr>
        <w:tc>
          <w:tcPr>
            <w:tcW w:w="560" w:type="dxa"/>
            <w:vMerge/>
            <w:tcBorders>
              <w:left w:val="single" w:sz="4" w:space="0" w:color="auto"/>
              <w:bottom w:val="single" w:sz="4" w:space="0" w:color="auto"/>
              <w:right w:val="single" w:sz="4" w:space="0" w:color="auto"/>
            </w:tcBorders>
          </w:tcPr>
          <w:p w14:paraId="3D4D86F1" w14:textId="77777777" w:rsidR="001E5B1A" w:rsidRPr="0025682E" w:rsidRDefault="001E5B1A" w:rsidP="0025682E">
            <w:pPr>
              <w:spacing w:line="480" w:lineRule="auto"/>
              <w:jc w:val="center"/>
              <w:rPr>
                <w:rFonts w:ascii="Arial" w:eastAsia="Times New Roman" w:hAnsi="Arial" w:cs="Arial"/>
                <w:sz w:val="20"/>
                <w:szCs w:val="20"/>
              </w:rPr>
            </w:pPr>
          </w:p>
        </w:tc>
        <w:tc>
          <w:tcPr>
            <w:tcW w:w="2293" w:type="dxa"/>
            <w:vMerge/>
            <w:tcBorders>
              <w:left w:val="single" w:sz="4" w:space="0" w:color="auto"/>
              <w:bottom w:val="single" w:sz="4" w:space="0" w:color="auto"/>
              <w:right w:val="single" w:sz="4" w:space="0" w:color="auto"/>
            </w:tcBorders>
            <w:vAlign w:val="center"/>
          </w:tcPr>
          <w:p w14:paraId="623EA384" w14:textId="77777777" w:rsidR="001E5B1A" w:rsidRPr="0025682E" w:rsidRDefault="001E5B1A" w:rsidP="0025682E">
            <w:pPr>
              <w:spacing w:line="480" w:lineRule="auto"/>
              <w:jc w:val="center"/>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auto"/>
            </w:tcBorders>
            <w:vAlign w:val="center"/>
          </w:tcPr>
          <w:p w14:paraId="1813E23C"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PV</w:t>
            </w:r>
          </w:p>
        </w:tc>
        <w:tc>
          <w:tcPr>
            <w:tcW w:w="1350" w:type="dxa"/>
            <w:tcBorders>
              <w:top w:val="single" w:sz="4" w:space="0" w:color="auto"/>
              <w:left w:val="nil"/>
              <w:bottom w:val="single" w:sz="4" w:space="0" w:color="auto"/>
              <w:right w:val="single" w:sz="4" w:space="0" w:color="auto"/>
            </w:tcBorders>
            <w:vAlign w:val="center"/>
          </w:tcPr>
          <w:p w14:paraId="4DDAE51F"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PD</w:t>
            </w:r>
          </w:p>
        </w:tc>
        <w:tc>
          <w:tcPr>
            <w:tcW w:w="1260" w:type="dxa"/>
            <w:tcBorders>
              <w:top w:val="single" w:sz="4" w:space="0" w:color="auto"/>
              <w:left w:val="nil"/>
              <w:bottom w:val="single" w:sz="4" w:space="0" w:color="auto"/>
              <w:right w:val="single" w:sz="4" w:space="0" w:color="auto"/>
            </w:tcBorders>
          </w:tcPr>
          <w:p w14:paraId="6194C17B"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VP</w:t>
            </w:r>
          </w:p>
        </w:tc>
        <w:tc>
          <w:tcPr>
            <w:tcW w:w="1260" w:type="dxa"/>
            <w:tcBorders>
              <w:top w:val="single" w:sz="4" w:space="0" w:color="auto"/>
              <w:left w:val="single" w:sz="4" w:space="0" w:color="auto"/>
              <w:bottom w:val="single" w:sz="4" w:space="0" w:color="auto"/>
              <w:right w:val="single" w:sz="4" w:space="0" w:color="auto"/>
            </w:tcBorders>
          </w:tcPr>
          <w:p w14:paraId="22CF891E"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DP</w:t>
            </w:r>
          </w:p>
        </w:tc>
        <w:tc>
          <w:tcPr>
            <w:tcW w:w="1260" w:type="dxa"/>
            <w:tcBorders>
              <w:top w:val="single" w:sz="4" w:space="0" w:color="auto"/>
              <w:left w:val="single" w:sz="4" w:space="0" w:color="auto"/>
              <w:bottom w:val="single" w:sz="4" w:space="0" w:color="auto"/>
              <w:right w:val="single" w:sz="4" w:space="0" w:color="auto"/>
            </w:tcBorders>
          </w:tcPr>
          <w:p w14:paraId="0ECBF9ED"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BB</w:t>
            </w:r>
          </w:p>
        </w:tc>
        <w:tc>
          <w:tcPr>
            <w:tcW w:w="1350" w:type="dxa"/>
            <w:tcBorders>
              <w:top w:val="single" w:sz="4" w:space="0" w:color="auto"/>
              <w:left w:val="single" w:sz="4" w:space="0" w:color="auto"/>
              <w:bottom w:val="single" w:sz="4" w:space="0" w:color="auto"/>
              <w:right w:val="single" w:sz="4" w:space="0" w:color="auto"/>
            </w:tcBorders>
          </w:tcPr>
          <w:p w14:paraId="423FAB26"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WB</w:t>
            </w:r>
          </w:p>
        </w:tc>
        <w:tc>
          <w:tcPr>
            <w:tcW w:w="1170" w:type="dxa"/>
            <w:tcBorders>
              <w:top w:val="single" w:sz="4" w:space="0" w:color="auto"/>
              <w:left w:val="single" w:sz="4" w:space="0" w:color="auto"/>
              <w:bottom w:val="single" w:sz="4" w:space="0" w:color="auto"/>
              <w:right w:val="single" w:sz="4" w:space="0" w:color="auto"/>
            </w:tcBorders>
          </w:tcPr>
          <w:p w14:paraId="1F95B789"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WM</w:t>
            </w:r>
          </w:p>
        </w:tc>
        <w:tc>
          <w:tcPr>
            <w:tcW w:w="1143" w:type="dxa"/>
            <w:tcBorders>
              <w:top w:val="single" w:sz="4" w:space="0" w:color="auto"/>
              <w:left w:val="single" w:sz="4" w:space="0" w:color="auto"/>
              <w:bottom w:val="single" w:sz="4" w:space="0" w:color="auto"/>
              <w:right w:val="single" w:sz="4" w:space="0" w:color="auto"/>
            </w:tcBorders>
          </w:tcPr>
          <w:p w14:paraId="4DAEB75E"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YM</w:t>
            </w:r>
          </w:p>
        </w:tc>
      </w:tr>
      <w:tr w:rsidR="001E5B1A" w:rsidRPr="0025682E" w14:paraId="3225DFD7"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7AAF5BB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w:t>
            </w:r>
          </w:p>
        </w:tc>
        <w:tc>
          <w:tcPr>
            <w:tcW w:w="2293" w:type="dxa"/>
            <w:tcBorders>
              <w:top w:val="single" w:sz="4" w:space="0" w:color="auto"/>
              <w:left w:val="single" w:sz="4" w:space="0" w:color="auto"/>
              <w:bottom w:val="single" w:sz="4" w:space="0" w:color="auto"/>
              <w:right w:val="single" w:sz="4" w:space="0" w:color="auto"/>
            </w:tcBorders>
            <w:vAlign w:val="center"/>
          </w:tcPr>
          <w:p w14:paraId="345DB5E0"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Alpha-BHC</w:t>
            </w:r>
          </w:p>
        </w:tc>
        <w:tc>
          <w:tcPr>
            <w:tcW w:w="1260" w:type="dxa"/>
            <w:tcBorders>
              <w:top w:val="single" w:sz="4" w:space="0" w:color="auto"/>
              <w:left w:val="nil"/>
              <w:bottom w:val="single" w:sz="4" w:space="0" w:color="auto"/>
              <w:right w:val="single" w:sz="4" w:space="0" w:color="auto"/>
            </w:tcBorders>
            <w:vAlign w:val="bottom"/>
          </w:tcPr>
          <w:p w14:paraId="0A170FB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0.001877</w:t>
            </w:r>
          </w:p>
        </w:tc>
        <w:tc>
          <w:tcPr>
            <w:tcW w:w="1350" w:type="dxa"/>
            <w:tcBorders>
              <w:top w:val="single" w:sz="4" w:space="0" w:color="auto"/>
              <w:left w:val="nil"/>
              <w:bottom w:val="single" w:sz="4" w:space="0" w:color="auto"/>
              <w:right w:val="single" w:sz="4" w:space="0" w:color="auto"/>
            </w:tcBorders>
            <w:vAlign w:val="bottom"/>
          </w:tcPr>
          <w:p w14:paraId="31C3BCC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0.002862</w:t>
            </w:r>
          </w:p>
        </w:tc>
        <w:tc>
          <w:tcPr>
            <w:tcW w:w="1260" w:type="dxa"/>
            <w:tcBorders>
              <w:top w:val="single" w:sz="4" w:space="0" w:color="auto"/>
              <w:left w:val="nil"/>
              <w:bottom w:val="single" w:sz="4" w:space="0" w:color="auto"/>
              <w:right w:val="single" w:sz="4" w:space="0" w:color="auto"/>
            </w:tcBorders>
            <w:vAlign w:val="bottom"/>
          </w:tcPr>
          <w:p w14:paraId="3D2EB09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0.001982</w:t>
            </w:r>
          </w:p>
        </w:tc>
        <w:tc>
          <w:tcPr>
            <w:tcW w:w="1260" w:type="dxa"/>
            <w:tcBorders>
              <w:top w:val="single" w:sz="4" w:space="0" w:color="auto"/>
              <w:left w:val="single" w:sz="4" w:space="0" w:color="auto"/>
              <w:bottom w:val="single" w:sz="4" w:space="0" w:color="auto"/>
              <w:right w:val="single" w:sz="4" w:space="0" w:color="auto"/>
            </w:tcBorders>
            <w:vAlign w:val="bottom"/>
          </w:tcPr>
          <w:p w14:paraId="433A03A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0.005735</w:t>
            </w:r>
          </w:p>
        </w:tc>
        <w:tc>
          <w:tcPr>
            <w:tcW w:w="1260" w:type="dxa"/>
            <w:tcBorders>
              <w:top w:val="single" w:sz="4" w:space="0" w:color="auto"/>
              <w:left w:val="single" w:sz="4" w:space="0" w:color="auto"/>
              <w:bottom w:val="single" w:sz="4" w:space="0" w:color="auto"/>
              <w:right w:val="single" w:sz="4" w:space="0" w:color="auto"/>
            </w:tcBorders>
            <w:vAlign w:val="bottom"/>
          </w:tcPr>
          <w:p w14:paraId="23A9D86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0.003622</w:t>
            </w:r>
          </w:p>
        </w:tc>
        <w:tc>
          <w:tcPr>
            <w:tcW w:w="1350" w:type="dxa"/>
            <w:tcBorders>
              <w:top w:val="single" w:sz="4" w:space="0" w:color="auto"/>
              <w:left w:val="single" w:sz="4" w:space="0" w:color="auto"/>
              <w:bottom w:val="single" w:sz="4" w:space="0" w:color="auto"/>
              <w:right w:val="single" w:sz="4" w:space="0" w:color="auto"/>
            </w:tcBorders>
            <w:vAlign w:val="bottom"/>
          </w:tcPr>
          <w:p w14:paraId="45DEF77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0.01232</w:t>
            </w:r>
          </w:p>
        </w:tc>
        <w:tc>
          <w:tcPr>
            <w:tcW w:w="1170" w:type="dxa"/>
            <w:tcBorders>
              <w:top w:val="single" w:sz="4" w:space="0" w:color="auto"/>
              <w:left w:val="single" w:sz="4" w:space="0" w:color="auto"/>
              <w:bottom w:val="single" w:sz="4" w:space="0" w:color="auto"/>
              <w:right w:val="single" w:sz="4" w:space="0" w:color="auto"/>
            </w:tcBorders>
            <w:vAlign w:val="bottom"/>
          </w:tcPr>
          <w:p w14:paraId="15C8CEE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0.058385</w:t>
            </w:r>
          </w:p>
        </w:tc>
        <w:tc>
          <w:tcPr>
            <w:tcW w:w="1143" w:type="dxa"/>
            <w:tcBorders>
              <w:top w:val="single" w:sz="4" w:space="0" w:color="auto"/>
              <w:left w:val="single" w:sz="4" w:space="0" w:color="auto"/>
              <w:bottom w:val="single" w:sz="4" w:space="0" w:color="auto"/>
              <w:right w:val="single" w:sz="4" w:space="0" w:color="auto"/>
            </w:tcBorders>
            <w:vAlign w:val="bottom"/>
          </w:tcPr>
          <w:p w14:paraId="53B7182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0.050538</w:t>
            </w:r>
          </w:p>
        </w:tc>
      </w:tr>
      <w:tr w:rsidR="001E5B1A" w:rsidRPr="0025682E" w14:paraId="49DAD6EA" w14:textId="77777777" w:rsidTr="001E5B1A">
        <w:trPr>
          <w:jc w:val="center"/>
        </w:trPr>
        <w:tc>
          <w:tcPr>
            <w:tcW w:w="560" w:type="dxa"/>
            <w:tcBorders>
              <w:top w:val="nil"/>
              <w:left w:val="single" w:sz="4" w:space="0" w:color="auto"/>
              <w:bottom w:val="single" w:sz="4" w:space="0" w:color="auto"/>
              <w:right w:val="single" w:sz="4" w:space="0" w:color="auto"/>
            </w:tcBorders>
          </w:tcPr>
          <w:p w14:paraId="72090EDF"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w:t>
            </w:r>
          </w:p>
        </w:tc>
        <w:tc>
          <w:tcPr>
            <w:tcW w:w="2293" w:type="dxa"/>
            <w:tcBorders>
              <w:top w:val="nil"/>
              <w:left w:val="single" w:sz="4" w:space="0" w:color="auto"/>
              <w:bottom w:val="single" w:sz="4" w:space="0" w:color="auto"/>
              <w:right w:val="single" w:sz="4" w:space="0" w:color="auto"/>
            </w:tcBorders>
            <w:vAlign w:val="center"/>
          </w:tcPr>
          <w:p w14:paraId="608C840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Beta- BHC</w:t>
            </w:r>
          </w:p>
        </w:tc>
        <w:tc>
          <w:tcPr>
            <w:tcW w:w="1260" w:type="dxa"/>
            <w:tcBorders>
              <w:top w:val="nil"/>
              <w:left w:val="nil"/>
              <w:bottom w:val="single" w:sz="4" w:space="0" w:color="auto"/>
              <w:right w:val="single" w:sz="4" w:space="0" w:color="auto"/>
            </w:tcBorders>
            <w:vAlign w:val="bottom"/>
          </w:tcPr>
          <w:p w14:paraId="09B327D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0.001231</w:t>
            </w:r>
          </w:p>
        </w:tc>
        <w:tc>
          <w:tcPr>
            <w:tcW w:w="1350" w:type="dxa"/>
            <w:tcBorders>
              <w:top w:val="nil"/>
              <w:left w:val="nil"/>
              <w:bottom w:val="single" w:sz="4" w:space="0" w:color="auto"/>
              <w:right w:val="single" w:sz="4" w:space="0" w:color="auto"/>
            </w:tcBorders>
            <w:vAlign w:val="bottom"/>
          </w:tcPr>
          <w:p w14:paraId="390B33C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0.003785</w:t>
            </w:r>
          </w:p>
        </w:tc>
        <w:tc>
          <w:tcPr>
            <w:tcW w:w="1260" w:type="dxa"/>
            <w:tcBorders>
              <w:top w:val="single" w:sz="4" w:space="0" w:color="auto"/>
              <w:left w:val="nil"/>
              <w:bottom w:val="single" w:sz="4" w:space="0" w:color="auto"/>
              <w:right w:val="single" w:sz="4" w:space="0" w:color="auto"/>
            </w:tcBorders>
            <w:vAlign w:val="bottom"/>
          </w:tcPr>
          <w:p w14:paraId="7DCE0B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0.001083</w:t>
            </w:r>
          </w:p>
        </w:tc>
        <w:tc>
          <w:tcPr>
            <w:tcW w:w="1260" w:type="dxa"/>
            <w:tcBorders>
              <w:top w:val="single" w:sz="4" w:space="0" w:color="auto"/>
              <w:left w:val="single" w:sz="4" w:space="0" w:color="auto"/>
              <w:bottom w:val="single" w:sz="4" w:space="0" w:color="auto"/>
              <w:right w:val="single" w:sz="4" w:space="0" w:color="auto"/>
            </w:tcBorders>
            <w:vAlign w:val="bottom"/>
          </w:tcPr>
          <w:p w14:paraId="649335D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0.031938</w:t>
            </w:r>
          </w:p>
        </w:tc>
        <w:tc>
          <w:tcPr>
            <w:tcW w:w="1260" w:type="dxa"/>
            <w:tcBorders>
              <w:top w:val="nil"/>
              <w:left w:val="single" w:sz="4" w:space="0" w:color="auto"/>
              <w:bottom w:val="single" w:sz="4" w:space="0" w:color="auto"/>
              <w:right w:val="single" w:sz="4" w:space="0" w:color="auto"/>
            </w:tcBorders>
            <w:vAlign w:val="bottom"/>
          </w:tcPr>
          <w:p w14:paraId="7E84BEE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0.070603</w:t>
            </w:r>
          </w:p>
        </w:tc>
        <w:tc>
          <w:tcPr>
            <w:tcW w:w="1350" w:type="dxa"/>
            <w:tcBorders>
              <w:top w:val="nil"/>
              <w:left w:val="single" w:sz="4" w:space="0" w:color="auto"/>
              <w:bottom w:val="single" w:sz="4" w:space="0" w:color="auto"/>
              <w:right w:val="single" w:sz="4" w:space="0" w:color="auto"/>
            </w:tcBorders>
            <w:vAlign w:val="bottom"/>
          </w:tcPr>
          <w:p w14:paraId="459BDF2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0.120154</w:t>
            </w:r>
          </w:p>
        </w:tc>
        <w:tc>
          <w:tcPr>
            <w:tcW w:w="1170" w:type="dxa"/>
            <w:tcBorders>
              <w:top w:val="nil"/>
              <w:left w:val="single" w:sz="4" w:space="0" w:color="auto"/>
              <w:bottom w:val="single" w:sz="4" w:space="0" w:color="auto"/>
              <w:right w:val="single" w:sz="4" w:space="0" w:color="auto"/>
            </w:tcBorders>
            <w:vAlign w:val="bottom"/>
          </w:tcPr>
          <w:p w14:paraId="07CBFF1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0.006231</w:t>
            </w:r>
          </w:p>
        </w:tc>
        <w:tc>
          <w:tcPr>
            <w:tcW w:w="1143" w:type="dxa"/>
            <w:tcBorders>
              <w:top w:val="nil"/>
              <w:left w:val="single" w:sz="4" w:space="0" w:color="auto"/>
              <w:bottom w:val="single" w:sz="4" w:space="0" w:color="auto"/>
              <w:right w:val="single" w:sz="4" w:space="0" w:color="auto"/>
            </w:tcBorders>
            <w:vAlign w:val="bottom"/>
          </w:tcPr>
          <w:p w14:paraId="3805996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0.053538</w:t>
            </w:r>
          </w:p>
        </w:tc>
      </w:tr>
      <w:tr w:rsidR="001E5B1A" w:rsidRPr="0025682E" w14:paraId="00F195BD" w14:textId="77777777" w:rsidTr="001E5B1A">
        <w:trPr>
          <w:jc w:val="center"/>
        </w:trPr>
        <w:tc>
          <w:tcPr>
            <w:tcW w:w="560" w:type="dxa"/>
            <w:tcBorders>
              <w:top w:val="nil"/>
              <w:left w:val="single" w:sz="4" w:space="0" w:color="auto"/>
              <w:bottom w:val="single" w:sz="4" w:space="0" w:color="auto"/>
              <w:right w:val="single" w:sz="4" w:space="0" w:color="auto"/>
            </w:tcBorders>
          </w:tcPr>
          <w:p w14:paraId="6B73A85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3</w:t>
            </w:r>
          </w:p>
        </w:tc>
        <w:tc>
          <w:tcPr>
            <w:tcW w:w="2293" w:type="dxa"/>
            <w:tcBorders>
              <w:top w:val="nil"/>
              <w:left w:val="single" w:sz="4" w:space="0" w:color="auto"/>
              <w:bottom w:val="single" w:sz="4" w:space="0" w:color="auto"/>
              <w:right w:val="single" w:sz="4" w:space="0" w:color="auto"/>
            </w:tcBorders>
            <w:vAlign w:val="center"/>
          </w:tcPr>
          <w:p w14:paraId="4F0D3F6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Gamma-BHC</w:t>
            </w:r>
          </w:p>
        </w:tc>
        <w:tc>
          <w:tcPr>
            <w:tcW w:w="1260" w:type="dxa"/>
            <w:tcBorders>
              <w:top w:val="nil"/>
              <w:left w:val="nil"/>
              <w:bottom w:val="single" w:sz="4" w:space="0" w:color="auto"/>
              <w:right w:val="single" w:sz="4" w:space="0" w:color="auto"/>
            </w:tcBorders>
            <w:vAlign w:val="bottom"/>
          </w:tcPr>
          <w:p w14:paraId="4A466F1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0.002123</w:t>
            </w:r>
          </w:p>
        </w:tc>
        <w:tc>
          <w:tcPr>
            <w:tcW w:w="1350" w:type="dxa"/>
            <w:tcBorders>
              <w:top w:val="nil"/>
              <w:left w:val="nil"/>
              <w:bottom w:val="single" w:sz="4" w:space="0" w:color="auto"/>
              <w:right w:val="single" w:sz="4" w:space="0" w:color="auto"/>
            </w:tcBorders>
            <w:vAlign w:val="bottom"/>
          </w:tcPr>
          <w:p w14:paraId="0B20BE4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0.0156</w:t>
            </w:r>
          </w:p>
        </w:tc>
        <w:tc>
          <w:tcPr>
            <w:tcW w:w="1260" w:type="dxa"/>
            <w:tcBorders>
              <w:top w:val="single" w:sz="4" w:space="0" w:color="auto"/>
              <w:left w:val="nil"/>
              <w:bottom w:val="single" w:sz="4" w:space="0" w:color="auto"/>
              <w:right w:val="single" w:sz="4" w:space="0" w:color="auto"/>
            </w:tcBorders>
            <w:vAlign w:val="bottom"/>
          </w:tcPr>
          <w:p w14:paraId="0230FD2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0.00272</w:t>
            </w:r>
          </w:p>
        </w:tc>
        <w:tc>
          <w:tcPr>
            <w:tcW w:w="1260" w:type="dxa"/>
            <w:tcBorders>
              <w:top w:val="single" w:sz="4" w:space="0" w:color="auto"/>
              <w:left w:val="single" w:sz="4" w:space="0" w:color="auto"/>
              <w:bottom w:val="single" w:sz="4" w:space="0" w:color="auto"/>
              <w:right w:val="single" w:sz="4" w:space="0" w:color="auto"/>
            </w:tcBorders>
            <w:vAlign w:val="bottom"/>
          </w:tcPr>
          <w:p w14:paraId="2C6D1DC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0.001575</w:t>
            </w:r>
          </w:p>
        </w:tc>
        <w:tc>
          <w:tcPr>
            <w:tcW w:w="1260" w:type="dxa"/>
            <w:tcBorders>
              <w:top w:val="nil"/>
              <w:left w:val="single" w:sz="4" w:space="0" w:color="auto"/>
              <w:bottom w:val="single" w:sz="4" w:space="0" w:color="auto"/>
              <w:right w:val="single" w:sz="4" w:space="0" w:color="auto"/>
            </w:tcBorders>
            <w:vAlign w:val="bottom"/>
          </w:tcPr>
          <w:p w14:paraId="711B6BB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0.041191</w:t>
            </w:r>
          </w:p>
        </w:tc>
        <w:tc>
          <w:tcPr>
            <w:tcW w:w="1350" w:type="dxa"/>
            <w:tcBorders>
              <w:top w:val="nil"/>
              <w:left w:val="single" w:sz="4" w:space="0" w:color="auto"/>
              <w:bottom w:val="single" w:sz="4" w:space="0" w:color="auto"/>
              <w:right w:val="single" w:sz="4" w:space="0" w:color="auto"/>
            </w:tcBorders>
            <w:vAlign w:val="bottom"/>
          </w:tcPr>
          <w:p w14:paraId="44009DA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0.078625</w:t>
            </w:r>
          </w:p>
        </w:tc>
        <w:tc>
          <w:tcPr>
            <w:tcW w:w="1170" w:type="dxa"/>
            <w:tcBorders>
              <w:top w:val="nil"/>
              <w:left w:val="single" w:sz="4" w:space="0" w:color="auto"/>
              <w:bottom w:val="single" w:sz="4" w:space="0" w:color="auto"/>
              <w:right w:val="single" w:sz="4" w:space="0" w:color="auto"/>
            </w:tcBorders>
            <w:vAlign w:val="bottom"/>
          </w:tcPr>
          <w:p w14:paraId="66ACFCD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0.063692</w:t>
            </w:r>
          </w:p>
        </w:tc>
        <w:tc>
          <w:tcPr>
            <w:tcW w:w="1143" w:type="dxa"/>
            <w:tcBorders>
              <w:top w:val="nil"/>
              <w:left w:val="single" w:sz="4" w:space="0" w:color="auto"/>
              <w:bottom w:val="single" w:sz="4" w:space="0" w:color="auto"/>
              <w:right w:val="single" w:sz="4" w:space="0" w:color="auto"/>
            </w:tcBorders>
            <w:vAlign w:val="bottom"/>
          </w:tcPr>
          <w:p w14:paraId="156C908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0.201</w:t>
            </w:r>
          </w:p>
        </w:tc>
      </w:tr>
      <w:tr w:rsidR="001E5B1A" w:rsidRPr="0025682E" w14:paraId="3B875FD0" w14:textId="77777777" w:rsidTr="001E5B1A">
        <w:trPr>
          <w:jc w:val="center"/>
        </w:trPr>
        <w:tc>
          <w:tcPr>
            <w:tcW w:w="560" w:type="dxa"/>
            <w:tcBorders>
              <w:top w:val="nil"/>
              <w:left w:val="single" w:sz="4" w:space="0" w:color="auto"/>
              <w:bottom w:val="single" w:sz="4" w:space="0" w:color="auto"/>
              <w:right w:val="single" w:sz="4" w:space="0" w:color="auto"/>
            </w:tcBorders>
          </w:tcPr>
          <w:p w14:paraId="4F0A2F74"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4</w:t>
            </w:r>
          </w:p>
        </w:tc>
        <w:tc>
          <w:tcPr>
            <w:tcW w:w="2293" w:type="dxa"/>
            <w:tcBorders>
              <w:top w:val="nil"/>
              <w:left w:val="single" w:sz="4" w:space="0" w:color="auto"/>
              <w:bottom w:val="single" w:sz="4" w:space="0" w:color="auto"/>
              <w:right w:val="single" w:sz="4" w:space="0" w:color="auto"/>
            </w:tcBorders>
            <w:vAlign w:val="center"/>
          </w:tcPr>
          <w:p w14:paraId="54CB4D08"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w:t>
            </w:r>
          </w:p>
        </w:tc>
        <w:tc>
          <w:tcPr>
            <w:tcW w:w="1260" w:type="dxa"/>
            <w:tcBorders>
              <w:top w:val="nil"/>
              <w:left w:val="nil"/>
              <w:bottom w:val="single" w:sz="4" w:space="0" w:color="auto"/>
              <w:right w:val="single" w:sz="4" w:space="0" w:color="auto"/>
            </w:tcBorders>
            <w:vAlign w:val="bottom"/>
          </w:tcPr>
          <w:p w14:paraId="165713A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0.002954</w:t>
            </w:r>
          </w:p>
        </w:tc>
        <w:tc>
          <w:tcPr>
            <w:tcW w:w="1350" w:type="dxa"/>
            <w:tcBorders>
              <w:top w:val="nil"/>
              <w:left w:val="nil"/>
              <w:bottom w:val="single" w:sz="4" w:space="0" w:color="auto"/>
              <w:right w:val="single" w:sz="4" w:space="0" w:color="auto"/>
            </w:tcBorders>
            <w:vAlign w:val="bottom"/>
          </w:tcPr>
          <w:p w14:paraId="259AEA0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0.025815</w:t>
            </w:r>
          </w:p>
        </w:tc>
        <w:tc>
          <w:tcPr>
            <w:tcW w:w="1260" w:type="dxa"/>
            <w:tcBorders>
              <w:top w:val="single" w:sz="4" w:space="0" w:color="auto"/>
              <w:left w:val="nil"/>
              <w:bottom w:val="single" w:sz="4" w:space="0" w:color="auto"/>
              <w:right w:val="single" w:sz="4" w:space="0" w:color="auto"/>
            </w:tcBorders>
            <w:vAlign w:val="bottom"/>
          </w:tcPr>
          <w:p w14:paraId="4310028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0.006498</w:t>
            </w:r>
          </w:p>
        </w:tc>
        <w:tc>
          <w:tcPr>
            <w:tcW w:w="1260" w:type="dxa"/>
            <w:tcBorders>
              <w:top w:val="single" w:sz="4" w:space="0" w:color="auto"/>
              <w:left w:val="single" w:sz="4" w:space="0" w:color="auto"/>
              <w:bottom w:val="single" w:sz="4" w:space="0" w:color="auto"/>
              <w:right w:val="single" w:sz="4" w:space="0" w:color="auto"/>
            </w:tcBorders>
            <w:vAlign w:val="bottom"/>
          </w:tcPr>
          <w:p w14:paraId="583CD60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0.005858</w:t>
            </w:r>
          </w:p>
        </w:tc>
        <w:tc>
          <w:tcPr>
            <w:tcW w:w="1260" w:type="dxa"/>
            <w:tcBorders>
              <w:top w:val="nil"/>
              <w:left w:val="single" w:sz="4" w:space="0" w:color="auto"/>
              <w:bottom w:val="single" w:sz="4" w:space="0" w:color="auto"/>
              <w:right w:val="single" w:sz="4" w:space="0" w:color="auto"/>
            </w:tcBorders>
            <w:vAlign w:val="bottom"/>
          </w:tcPr>
          <w:p w14:paraId="30EC53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0.000914</w:t>
            </w:r>
          </w:p>
        </w:tc>
        <w:tc>
          <w:tcPr>
            <w:tcW w:w="1350" w:type="dxa"/>
            <w:tcBorders>
              <w:top w:val="nil"/>
              <w:left w:val="single" w:sz="4" w:space="0" w:color="auto"/>
              <w:bottom w:val="single" w:sz="4" w:space="0" w:color="auto"/>
              <w:right w:val="single" w:sz="4" w:space="0" w:color="auto"/>
            </w:tcBorders>
            <w:vAlign w:val="bottom"/>
          </w:tcPr>
          <w:p w14:paraId="7543276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0.023252</w:t>
            </w:r>
          </w:p>
        </w:tc>
        <w:tc>
          <w:tcPr>
            <w:tcW w:w="1170" w:type="dxa"/>
            <w:tcBorders>
              <w:top w:val="nil"/>
              <w:left w:val="single" w:sz="4" w:space="0" w:color="auto"/>
              <w:bottom w:val="single" w:sz="4" w:space="0" w:color="auto"/>
              <w:right w:val="single" w:sz="4" w:space="0" w:color="auto"/>
            </w:tcBorders>
            <w:vAlign w:val="bottom"/>
          </w:tcPr>
          <w:p w14:paraId="2C4C64A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09BD3A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0.019615</w:t>
            </w:r>
          </w:p>
        </w:tc>
      </w:tr>
      <w:tr w:rsidR="001E5B1A" w:rsidRPr="0025682E" w14:paraId="27E814A0" w14:textId="77777777" w:rsidTr="001E5B1A">
        <w:trPr>
          <w:jc w:val="center"/>
        </w:trPr>
        <w:tc>
          <w:tcPr>
            <w:tcW w:w="560" w:type="dxa"/>
            <w:tcBorders>
              <w:top w:val="nil"/>
              <w:left w:val="single" w:sz="4" w:space="0" w:color="auto"/>
              <w:bottom w:val="single" w:sz="4" w:space="0" w:color="auto"/>
              <w:right w:val="single" w:sz="4" w:space="0" w:color="auto"/>
            </w:tcBorders>
          </w:tcPr>
          <w:p w14:paraId="53738541"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5</w:t>
            </w:r>
          </w:p>
        </w:tc>
        <w:tc>
          <w:tcPr>
            <w:tcW w:w="2293" w:type="dxa"/>
            <w:tcBorders>
              <w:top w:val="nil"/>
              <w:left w:val="single" w:sz="4" w:space="0" w:color="auto"/>
              <w:bottom w:val="single" w:sz="4" w:space="0" w:color="auto"/>
              <w:right w:val="single" w:sz="4" w:space="0" w:color="auto"/>
            </w:tcBorders>
            <w:vAlign w:val="center"/>
          </w:tcPr>
          <w:p w14:paraId="11CBEE8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Delta-BHC</w:t>
            </w:r>
          </w:p>
        </w:tc>
        <w:tc>
          <w:tcPr>
            <w:tcW w:w="1260" w:type="dxa"/>
            <w:tcBorders>
              <w:top w:val="nil"/>
              <w:left w:val="nil"/>
              <w:bottom w:val="single" w:sz="4" w:space="0" w:color="auto"/>
              <w:right w:val="single" w:sz="4" w:space="0" w:color="auto"/>
            </w:tcBorders>
            <w:vAlign w:val="bottom"/>
          </w:tcPr>
          <w:p w14:paraId="578A515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w:t>
            </w:r>
          </w:p>
        </w:tc>
        <w:tc>
          <w:tcPr>
            <w:tcW w:w="1350" w:type="dxa"/>
            <w:tcBorders>
              <w:top w:val="nil"/>
              <w:left w:val="nil"/>
              <w:bottom w:val="single" w:sz="4" w:space="0" w:color="auto"/>
              <w:right w:val="single" w:sz="4" w:space="0" w:color="auto"/>
            </w:tcBorders>
            <w:vAlign w:val="bottom"/>
          </w:tcPr>
          <w:p w14:paraId="705F351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0.004062</w:t>
            </w:r>
          </w:p>
        </w:tc>
        <w:tc>
          <w:tcPr>
            <w:tcW w:w="1260" w:type="dxa"/>
            <w:tcBorders>
              <w:top w:val="single" w:sz="4" w:space="0" w:color="auto"/>
              <w:left w:val="nil"/>
              <w:bottom w:val="single" w:sz="4" w:space="0" w:color="auto"/>
              <w:right w:val="single" w:sz="4" w:space="0" w:color="auto"/>
            </w:tcBorders>
            <w:vAlign w:val="bottom"/>
          </w:tcPr>
          <w:p w14:paraId="0F84C64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73B7E65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10D63A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0.019123</w:t>
            </w:r>
          </w:p>
        </w:tc>
        <w:tc>
          <w:tcPr>
            <w:tcW w:w="1350" w:type="dxa"/>
            <w:tcBorders>
              <w:top w:val="nil"/>
              <w:left w:val="single" w:sz="4" w:space="0" w:color="auto"/>
              <w:bottom w:val="single" w:sz="4" w:space="0" w:color="auto"/>
              <w:right w:val="single" w:sz="4" w:space="0" w:color="auto"/>
            </w:tcBorders>
            <w:vAlign w:val="bottom"/>
          </w:tcPr>
          <w:p w14:paraId="29B631F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0.015028</w:t>
            </w:r>
          </w:p>
        </w:tc>
        <w:tc>
          <w:tcPr>
            <w:tcW w:w="1170" w:type="dxa"/>
            <w:tcBorders>
              <w:top w:val="nil"/>
              <w:left w:val="single" w:sz="4" w:space="0" w:color="auto"/>
              <w:bottom w:val="single" w:sz="4" w:space="0" w:color="auto"/>
              <w:right w:val="single" w:sz="4" w:space="0" w:color="auto"/>
            </w:tcBorders>
            <w:vAlign w:val="bottom"/>
          </w:tcPr>
          <w:p w14:paraId="4DA811F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0.211154</w:t>
            </w:r>
          </w:p>
        </w:tc>
        <w:tc>
          <w:tcPr>
            <w:tcW w:w="1143" w:type="dxa"/>
            <w:tcBorders>
              <w:top w:val="nil"/>
              <w:left w:val="single" w:sz="4" w:space="0" w:color="auto"/>
              <w:bottom w:val="single" w:sz="4" w:space="0" w:color="auto"/>
              <w:right w:val="single" w:sz="4" w:space="0" w:color="auto"/>
            </w:tcBorders>
            <w:vAlign w:val="bottom"/>
          </w:tcPr>
          <w:p w14:paraId="43C6423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F179EC3" w14:textId="77777777" w:rsidTr="001E5B1A">
        <w:trPr>
          <w:jc w:val="center"/>
        </w:trPr>
        <w:tc>
          <w:tcPr>
            <w:tcW w:w="560" w:type="dxa"/>
            <w:tcBorders>
              <w:top w:val="nil"/>
              <w:left w:val="single" w:sz="4" w:space="0" w:color="auto"/>
              <w:bottom w:val="single" w:sz="4" w:space="0" w:color="auto"/>
              <w:right w:val="single" w:sz="4" w:space="0" w:color="auto"/>
            </w:tcBorders>
          </w:tcPr>
          <w:p w14:paraId="0D6BF84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6</w:t>
            </w:r>
          </w:p>
        </w:tc>
        <w:tc>
          <w:tcPr>
            <w:tcW w:w="2293" w:type="dxa"/>
            <w:tcBorders>
              <w:top w:val="nil"/>
              <w:left w:val="single" w:sz="4" w:space="0" w:color="auto"/>
              <w:bottom w:val="single" w:sz="4" w:space="0" w:color="auto"/>
              <w:right w:val="single" w:sz="4" w:space="0" w:color="auto"/>
            </w:tcBorders>
            <w:vAlign w:val="center"/>
          </w:tcPr>
          <w:p w14:paraId="0220471C"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Aldrin</w:t>
            </w:r>
          </w:p>
        </w:tc>
        <w:tc>
          <w:tcPr>
            <w:tcW w:w="1260" w:type="dxa"/>
            <w:tcBorders>
              <w:top w:val="nil"/>
              <w:left w:val="nil"/>
              <w:bottom w:val="single" w:sz="4" w:space="0" w:color="auto"/>
              <w:right w:val="single" w:sz="4" w:space="0" w:color="auto"/>
            </w:tcBorders>
            <w:vAlign w:val="bottom"/>
          </w:tcPr>
          <w:p w14:paraId="2B54C10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6D7F25A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1D47A4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0.003742</w:t>
            </w:r>
          </w:p>
        </w:tc>
        <w:tc>
          <w:tcPr>
            <w:tcW w:w="1260" w:type="dxa"/>
            <w:tcBorders>
              <w:top w:val="single" w:sz="4" w:space="0" w:color="auto"/>
              <w:left w:val="single" w:sz="4" w:space="0" w:color="auto"/>
              <w:bottom w:val="single" w:sz="4" w:space="0" w:color="auto"/>
              <w:right w:val="single" w:sz="4" w:space="0" w:color="auto"/>
            </w:tcBorders>
            <w:vAlign w:val="bottom"/>
          </w:tcPr>
          <w:p w14:paraId="0F6373A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0.007126</w:t>
            </w:r>
          </w:p>
        </w:tc>
        <w:tc>
          <w:tcPr>
            <w:tcW w:w="1260" w:type="dxa"/>
            <w:tcBorders>
              <w:top w:val="nil"/>
              <w:left w:val="single" w:sz="4" w:space="0" w:color="auto"/>
              <w:bottom w:val="single" w:sz="4" w:space="0" w:color="auto"/>
              <w:right w:val="single" w:sz="4" w:space="0" w:color="auto"/>
            </w:tcBorders>
            <w:vAlign w:val="bottom"/>
          </w:tcPr>
          <w:p w14:paraId="75576A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0.004942</w:t>
            </w:r>
          </w:p>
        </w:tc>
        <w:tc>
          <w:tcPr>
            <w:tcW w:w="1350" w:type="dxa"/>
            <w:tcBorders>
              <w:top w:val="nil"/>
              <w:left w:val="single" w:sz="4" w:space="0" w:color="auto"/>
              <w:bottom w:val="single" w:sz="4" w:space="0" w:color="auto"/>
              <w:right w:val="single" w:sz="4" w:space="0" w:color="auto"/>
            </w:tcBorders>
            <w:vAlign w:val="bottom"/>
          </w:tcPr>
          <w:p w14:paraId="35973B5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0.009951</w:t>
            </w:r>
          </w:p>
        </w:tc>
        <w:tc>
          <w:tcPr>
            <w:tcW w:w="1170" w:type="dxa"/>
            <w:tcBorders>
              <w:top w:val="nil"/>
              <w:left w:val="single" w:sz="4" w:space="0" w:color="auto"/>
              <w:bottom w:val="single" w:sz="4" w:space="0" w:color="auto"/>
              <w:right w:val="single" w:sz="4" w:space="0" w:color="auto"/>
            </w:tcBorders>
            <w:vAlign w:val="bottom"/>
          </w:tcPr>
          <w:p w14:paraId="05CC20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0.078462</w:t>
            </w:r>
          </w:p>
        </w:tc>
        <w:tc>
          <w:tcPr>
            <w:tcW w:w="1143" w:type="dxa"/>
            <w:tcBorders>
              <w:top w:val="nil"/>
              <w:left w:val="single" w:sz="4" w:space="0" w:color="auto"/>
              <w:bottom w:val="single" w:sz="4" w:space="0" w:color="auto"/>
              <w:right w:val="single" w:sz="4" w:space="0" w:color="auto"/>
            </w:tcBorders>
            <w:vAlign w:val="bottom"/>
          </w:tcPr>
          <w:p w14:paraId="0314C6B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0.210692</w:t>
            </w:r>
          </w:p>
        </w:tc>
      </w:tr>
      <w:tr w:rsidR="001E5B1A" w:rsidRPr="0025682E" w14:paraId="34A889E3" w14:textId="77777777" w:rsidTr="001E5B1A">
        <w:trPr>
          <w:jc w:val="center"/>
        </w:trPr>
        <w:tc>
          <w:tcPr>
            <w:tcW w:w="560" w:type="dxa"/>
            <w:tcBorders>
              <w:top w:val="nil"/>
              <w:left w:val="single" w:sz="4" w:space="0" w:color="auto"/>
              <w:bottom w:val="single" w:sz="4" w:space="0" w:color="auto"/>
              <w:right w:val="single" w:sz="4" w:space="0" w:color="auto"/>
            </w:tcBorders>
          </w:tcPr>
          <w:p w14:paraId="58328199"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7</w:t>
            </w:r>
          </w:p>
        </w:tc>
        <w:tc>
          <w:tcPr>
            <w:tcW w:w="2293" w:type="dxa"/>
            <w:tcBorders>
              <w:top w:val="nil"/>
              <w:left w:val="single" w:sz="4" w:space="0" w:color="auto"/>
              <w:bottom w:val="single" w:sz="4" w:space="0" w:color="auto"/>
              <w:right w:val="single" w:sz="4" w:space="0" w:color="auto"/>
            </w:tcBorders>
            <w:vAlign w:val="center"/>
          </w:tcPr>
          <w:p w14:paraId="24A2A47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 Epoxide</w:t>
            </w:r>
          </w:p>
        </w:tc>
        <w:tc>
          <w:tcPr>
            <w:tcW w:w="1260" w:type="dxa"/>
            <w:tcBorders>
              <w:top w:val="nil"/>
              <w:left w:val="nil"/>
              <w:bottom w:val="single" w:sz="4" w:space="0" w:color="auto"/>
              <w:right w:val="single" w:sz="4" w:space="0" w:color="auto"/>
            </w:tcBorders>
            <w:vAlign w:val="bottom"/>
          </w:tcPr>
          <w:p w14:paraId="0E8D74C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0.000646</w:t>
            </w:r>
          </w:p>
        </w:tc>
        <w:tc>
          <w:tcPr>
            <w:tcW w:w="1350" w:type="dxa"/>
            <w:tcBorders>
              <w:top w:val="nil"/>
              <w:left w:val="nil"/>
              <w:bottom w:val="single" w:sz="4" w:space="0" w:color="auto"/>
              <w:right w:val="single" w:sz="4" w:space="0" w:color="auto"/>
            </w:tcBorders>
            <w:vAlign w:val="bottom"/>
          </w:tcPr>
          <w:p w14:paraId="63C5CB8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0.000446</w:t>
            </w:r>
          </w:p>
        </w:tc>
        <w:tc>
          <w:tcPr>
            <w:tcW w:w="1260" w:type="dxa"/>
            <w:tcBorders>
              <w:top w:val="single" w:sz="4" w:space="0" w:color="auto"/>
              <w:left w:val="nil"/>
              <w:bottom w:val="single" w:sz="4" w:space="0" w:color="auto"/>
              <w:right w:val="single" w:sz="4" w:space="0" w:color="auto"/>
            </w:tcBorders>
            <w:vAlign w:val="bottom"/>
          </w:tcPr>
          <w:p w14:paraId="361F21E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0.001791</w:t>
            </w:r>
          </w:p>
        </w:tc>
        <w:tc>
          <w:tcPr>
            <w:tcW w:w="1260" w:type="dxa"/>
            <w:tcBorders>
              <w:top w:val="single" w:sz="4" w:space="0" w:color="auto"/>
              <w:left w:val="single" w:sz="4" w:space="0" w:color="auto"/>
              <w:bottom w:val="single" w:sz="4" w:space="0" w:color="auto"/>
              <w:right w:val="single" w:sz="4" w:space="0" w:color="auto"/>
            </w:tcBorders>
            <w:vAlign w:val="bottom"/>
          </w:tcPr>
          <w:p w14:paraId="6364D63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0.001132</w:t>
            </w:r>
          </w:p>
        </w:tc>
        <w:tc>
          <w:tcPr>
            <w:tcW w:w="1260" w:type="dxa"/>
            <w:tcBorders>
              <w:top w:val="nil"/>
              <w:left w:val="single" w:sz="4" w:space="0" w:color="auto"/>
              <w:bottom w:val="single" w:sz="4" w:space="0" w:color="auto"/>
              <w:right w:val="single" w:sz="4" w:space="0" w:color="auto"/>
            </w:tcBorders>
            <w:vAlign w:val="bottom"/>
          </w:tcPr>
          <w:p w14:paraId="2E7BBFE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0.007192</w:t>
            </w:r>
          </w:p>
        </w:tc>
        <w:tc>
          <w:tcPr>
            <w:tcW w:w="1350" w:type="dxa"/>
            <w:tcBorders>
              <w:top w:val="nil"/>
              <w:left w:val="single" w:sz="4" w:space="0" w:color="auto"/>
              <w:bottom w:val="single" w:sz="4" w:space="0" w:color="auto"/>
              <w:right w:val="single" w:sz="4" w:space="0" w:color="auto"/>
            </w:tcBorders>
            <w:vAlign w:val="bottom"/>
          </w:tcPr>
          <w:p w14:paraId="5C7D96F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0.010069</w:t>
            </w:r>
          </w:p>
        </w:tc>
        <w:tc>
          <w:tcPr>
            <w:tcW w:w="1170" w:type="dxa"/>
            <w:tcBorders>
              <w:top w:val="nil"/>
              <w:left w:val="single" w:sz="4" w:space="0" w:color="auto"/>
              <w:bottom w:val="single" w:sz="4" w:space="0" w:color="auto"/>
              <w:right w:val="single" w:sz="4" w:space="0" w:color="auto"/>
            </w:tcBorders>
            <w:vAlign w:val="bottom"/>
          </w:tcPr>
          <w:p w14:paraId="5914AB3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08F8322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0.121269</w:t>
            </w:r>
          </w:p>
        </w:tc>
      </w:tr>
      <w:tr w:rsidR="001E5B1A" w:rsidRPr="0025682E" w14:paraId="474A41A8" w14:textId="77777777" w:rsidTr="001E5B1A">
        <w:trPr>
          <w:jc w:val="center"/>
        </w:trPr>
        <w:tc>
          <w:tcPr>
            <w:tcW w:w="560" w:type="dxa"/>
            <w:tcBorders>
              <w:top w:val="nil"/>
              <w:left w:val="single" w:sz="4" w:space="0" w:color="auto"/>
              <w:bottom w:val="single" w:sz="4" w:space="0" w:color="auto"/>
              <w:right w:val="single" w:sz="4" w:space="0" w:color="auto"/>
            </w:tcBorders>
          </w:tcPr>
          <w:p w14:paraId="40BE9824"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8</w:t>
            </w:r>
          </w:p>
        </w:tc>
        <w:tc>
          <w:tcPr>
            <w:tcW w:w="2293" w:type="dxa"/>
            <w:tcBorders>
              <w:top w:val="nil"/>
              <w:left w:val="single" w:sz="4" w:space="0" w:color="auto"/>
              <w:bottom w:val="single" w:sz="4" w:space="0" w:color="auto"/>
              <w:right w:val="single" w:sz="4" w:space="0" w:color="auto"/>
            </w:tcBorders>
            <w:vAlign w:val="center"/>
          </w:tcPr>
          <w:p w14:paraId="6ADF6C4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Gamma-Chlordane</w:t>
            </w:r>
          </w:p>
        </w:tc>
        <w:tc>
          <w:tcPr>
            <w:tcW w:w="1260" w:type="dxa"/>
            <w:tcBorders>
              <w:top w:val="nil"/>
              <w:left w:val="nil"/>
              <w:bottom w:val="single" w:sz="4" w:space="0" w:color="auto"/>
              <w:right w:val="single" w:sz="4" w:space="0" w:color="auto"/>
            </w:tcBorders>
            <w:vAlign w:val="bottom"/>
          </w:tcPr>
          <w:p w14:paraId="1849B96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0.000252</w:t>
            </w:r>
          </w:p>
        </w:tc>
        <w:tc>
          <w:tcPr>
            <w:tcW w:w="1350" w:type="dxa"/>
            <w:tcBorders>
              <w:top w:val="nil"/>
              <w:left w:val="nil"/>
              <w:bottom w:val="single" w:sz="4" w:space="0" w:color="auto"/>
              <w:right w:val="single" w:sz="4" w:space="0" w:color="auto"/>
            </w:tcBorders>
            <w:vAlign w:val="bottom"/>
          </w:tcPr>
          <w:p w14:paraId="5F5AADE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0.000498</w:t>
            </w:r>
          </w:p>
        </w:tc>
        <w:tc>
          <w:tcPr>
            <w:tcW w:w="1260" w:type="dxa"/>
            <w:tcBorders>
              <w:top w:val="single" w:sz="4" w:space="0" w:color="auto"/>
              <w:left w:val="nil"/>
              <w:bottom w:val="single" w:sz="4" w:space="0" w:color="auto"/>
              <w:right w:val="single" w:sz="4" w:space="0" w:color="auto"/>
            </w:tcBorders>
            <w:vAlign w:val="bottom"/>
          </w:tcPr>
          <w:p w14:paraId="34CEA96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77457B2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3F9283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0.00199</w:t>
            </w:r>
          </w:p>
        </w:tc>
        <w:tc>
          <w:tcPr>
            <w:tcW w:w="1350" w:type="dxa"/>
            <w:tcBorders>
              <w:top w:val="nil"/>
              <w:left w:val="single" w:sz="4" w:space="0" w:color="auto"/>
              <w:bottom w:val="single" w:sz="4" w:space="0" w:color="auto"/>
              <w:right w:val="single" w:sz="4" w:space="0" w:color="auto"/>
            </w:tcBorders>
            <w:vAlign w:val="bottom"/>
          </w:tcPr>
          <w:p w14:paraId="72D8FF4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9C5889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0.0318</w:t>
            </w:r>
          </w:p>
        </w:tc>
        <w:tc>
          <w:tcPr>
            <w:tcW w:w="1143" w:type="dxa"/>
            <w:tcBorders>
              <w:top w:val="nil"/>
              <w:left w:val="single" w:sz="4" w:space="0" w:color="auto"/>
              <w:bottom w:val="single" w:sz="4" w:space="0" w:color="auto"/>
              <w:right w:val="single" w:sz="4" w:space="0" w:color="auto"/>
            </w:tcBorders>
            <w:vAlign w:val="bottom"/>
          </w:tcPr>
          <w:p w14:paraId="7A165F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0.037292</w:t>
            </w:r>
          </w:p>
        </w:tc>
      </w:tr>
      <w:tr w:rsidR="001E5B1A" w:rsidRPr="0025682E" w14:paraId="39F5C56C" w14:textId="77777777" w:rsidTr="001E5B1A">
        <w:trPr>
          <w:jc w:val="center"/>
        </w:trPr>
        <w:tc>
          <w:tcPr>
            <w:tcW w:w="560" w:type="dxa"/>
            <w:tcBorders>
              <w:top w:val="nil"/>
              <w:left w:val="single" w:sz="4" w:space="0" w:color="auto"/>
              <w:bottom w:val="single" w:sz="4" w:space="0" w:color="auto"/>
              <w:right w:val="single" w:sz="4" w:space="0" w:color="auto"/>
            </w:tcBorders>
          </w:tcPr>
          <w:p w14:paraId="06C59749"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9</w:t>
            </w:r>
          </w:p>
        </w:tc>
        <w:tc>
          <w:tcPr>
            <w:tcW w:w="2293" w:type="dxa"/>
            <w:tcBorders>
              <w:top w:val="nil"/>
              <w:left w:val="single" w:sz="4" w:space="0" w:color="auto"/>
              <w:bottom w:val="single" w:sz="4" w:space="0" w:color="auto"/>
              <w:right w:val="single" w:sz="4" w:space="0" w:color="auto"/>
            </w:tcBorders>
            <w:vAlign w:val="center"/>
          </w:tcPr>
          <w:p w14:paraId="6549896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Alpha-Chlordane</w:t>
            </w:r>
          </w:p>
        </w:tc>
        <w:tc>
          <w:tcPr>
            <w:tcW w:w="1260" w:type="dxa"/>
            <w:tcBorders>
              <w:top w:val="nil"/>
              <w:left w:val="nil"/>
              <w:bottom w:val="single" w:sz="4" w:space="0" w:color="auto"/>
              <w:right w:val="single" w:sz="4" w:space="0" w:color="auto"/>
            </w:tcBorders>
            <w:vAlign w:val="bottom"/>
          </w:tcPr>
          <w:p w14:paraId="51295C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3AC804E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26707AC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4422862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B821F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49EEF49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6F2B2DA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668290B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12F7AAD1" w14:textId="77777777" w:rsidTr="001E5B1A">
        <w:trPr>
          <w:jc w:val="center"/>
        </w:trPr>
        <w:tc>
          <w:tcPr>
            <w:tcW w:w="560" w:type="dxa"/>
            <w:tcBorders>
              <w:top w:val="nil"/>
              <w:left w:val="single" w:sz="4" w:space="0" w:color="auto"/>
              <w:bottom w:val="single" w:sz="4" w:space="0" w:color="auto"/>
              <w:right w:val="single" w:sz="4" w:space="0" w:color="auto"/>
            </w:tcBorders>
          </w:tcPr>
          <w:p w14:paraId="24A3820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10</w:t>
            </w:r>
          </w:p>
        </w:tc>
        <w:tc>
          <w:tcPr>
            <w:tcW w:w="2293" w:type="dxa"/>
            <w:tcBorders>
              <w:top w:val="nil"/>
              <w:left w:val="single" w:sz="4" w:space="0" w:color="auto"/>
              <w:bottom w:val="single" w:sz="4" w:space="0" w:color="auto"/>
              <w:right w:val="single" w:sz="4" w:space="0" w:color="auto"/>
            </w:tcBorders>
            <w:vAlign w:val="center"/>
          </w:tcPr>
          <w:p w14:paraId="2FBFE617"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w:t>
            </w:r>
          </w:p>
        </w:tc>
        <w:tc>
          <w:tcPr>
            <w:tcW w:w="1260" w:type="dxa"/>
            <w:tcBorders>
              <w:top w:val="nil"/>
              <w:left w:val="nil"/>
              <w:bottom w:val="single" w:sz="4" w:space="0" w:color="auto"/>
              <w:right w:val="single" w:sz="4" w:space="0" w:color="auto"/>
            </w:tcBorders>
            <w:vAlign w:val="bottom"/>
          </w:tcPr>
          <w:p w14:paraId="6FEAC5E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0.001305</w:t>
            </w:r>
          </w:p>
        </w:tc>
        <w:tc>
          <w:tcPr>
            <w:tcW w:w="1350" w:type="dxa"/>
            <w:tcBorders>
              <w:top w:val="nil"/>
              <w:left w:val="nil"/>
              <w:bottom w:val="single" w:sz="4" w:space="0" w:color="auto"/>
              <w:right w:val="single" w:sz="4" w:space="0" w:color="auto"/>
            </w:tcBorders>
            <w:vAlign w:val="bottom"/>
          </w:tcPr>
          <w:p w14:paraId="1CB684E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0.000105</w:t>
            </w:r>
          </w:p>
        </w:tc>
        <w:tc>
          <w:tcPr>
            <w:tcW w:w="1260" w:type="dxa"/>
            <w:tcBorders>
              <w:top w:val="single" w:sz="4" w:space="0" w:color="auto"/>
              <w:left w:val="nil"/>
              <w:bottom w:val="single" w:sz="4" w:space="0" w:color="auto"/>
              <w:right w:val="single" w:sz="4" w:space="0" w:color="auto"/>
            </w:tcBorders>
            <w:vAlign w:val="bottom"/>
          </w:tcPr>
          <w:p w14:paraId="2114AFD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0.000122</w:t>
            </w:r>
          </w:p>
        </w:tc>
        <w:tc>
          <w:tcPr>
            <w:tcW w:w="1260" w:type="dxa"/>
            <w:tcBorders>
              <w:top w:val="single" w:sz="4" w:space="0" w:color="auto"/>
              <w:left w:val="single" w:sz="4" w:space="0" w:color="auto"/>
              <w:bottom w:val="single" w:sz="4" w:space="0" w:color="auto"/>
              <w:right w:val="single" w:sz="4" w:space="0" w:color="auto"/>
            </w:tcBorders>
            <w:vAlign w:val="bottom"/>
          </w:tcPr>
          <w:p w14:paraId="31AA87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61CFC6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0.000663</w:t>
            </w:r>
          </w:p>
        </w:tc>
        <w:tc>
          <w:tcPr>
            <w:tcW w:w="1350" w:type="dxa"/>
            <w:tcBorders>
              <w:top w:val="nil"/>
              <w:left w:val="single" w:sz="4" w:space="0" w:color="auto"/>
              <w:bottom w:val="single" w:sz="4" w:space="0" w:color="auto"/>
              <w:right w:val="single" w:sz="4" w:space="0" w:color="auto"/>
            </w:tcBorders>
            <w:vAlign w:val="bottom"/>
          </w:tcPr>
          <w:p w14:paraId="510C29D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0.001215</w:t>
            </w:r>
          </w:p>
        </w:tc>
        <w:tc>
          <w:tcPr>
            <w:tcW w:w="1170" w:type="dxa"/>
            <w:tcBorders>
              <w:top w:val="nil"/>
              <w:left w:val="single" w:sz="4" w:space="0" w:color="auto"/>
              <w:bottom w:val="single" w:sz="4" w:space="0" w:color="auto"/>
              <w:right w:val="single" w:sz="4" w:space="0" w:color="auto"/>
            </w:tcBorders>
            <w:vAlign w:val="bottom"/>
          </w:tcPr>
          <w:p w14:paraId="5AAE64A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0.000577</w:t>
            </w:r>
          </w:p>
        </w:tc>
        <w:tc>
          <w:tcPr>
            <w:tcW w:w="1143" w:type="dxa"/>
            <w:tcBorders>
              <w:top w:val="nil"/>
              <w:left w:val="single" w:sz="4" w:space="0" w:color="auto"/>
              <w:bottom w:val="single" w:sz="4" w:space="0" w:color="auto"/>
              <w:right w:val="single" w:sz="4" w:space="0" w:color="auto"/>
            </w:tcBorders>
            <w:vAlign w:val="bottom"/>
          </w:tcPr>
          <w:p w14:paraId="6F57B64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0.000923</w:t>
            </w:r>
          </w:p>
        </w:tc>
      </w:tr>
      <w:tr w:rsidR="001E5B1A" w:rsidRPr="0025682E" w14:paraId="01B8DA63" w14:textId="77777777" w:rsidTr="001E5B1A">
        <w:trPr>
          <w:jc w:val="center"/>
        </w:trPr>
        <w:tc>
          <w:tcPr>
            <w:tcW w:w="560" w:type="dxa"/>
            <w:tcBorders>
              <w:top w:val="nil"/>
              <w:left w:val="single" w:sz="4" w:space="0" w:color="auto"/>
              <w:bottom w:val="single" w:sz="4" w:space="0" w:color="auto"/>
              <w:right w:val="single" w:sz="4" w:space="0" w:color="auto"/>
            </w:tcBorders>
          </w:tcPr>
          <w:p w14:paraId="4260C740"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lastRenderedPageBreak/>
              <w:t>11</w:t>
            </w:r>
          </w:p>
        </w:tc>
        <w:tc>
          <w:tcPr>
            <w:tcW w:w="2293" w:type="dxa"/>
            <w:tcBorders>
              <w:top w:val="nil"/>
              <w:left w:val="single" w:sz="4" w:space="0" w:color="auto"/>
              <w:bottom w:val="single" w:sz="4" w:space="0" w:color="auto"/>
              <w:right w:val="single" w:sz="4" w:space="0" w:color="auto"/>
            </w:tcBorders>
            <w:vAlign w:val="center"/>
          </w:tcPr>
          <w:p w14:paraId="15C8CC5A"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p'-DDE</w:t>
            </w:r>
          </w:p>
        </w:tc>
        <w:tc>
          <w:tcPr>
            <w:tcW w:w="1260" w:type="dxa"/>
            <w:tcBorders>
              <w:top w:val="nil"/>
              <w:left w:val="nil"/>
              <w:bottom w:val="single" w:sz="4" w:space="0" w:color="auto"/>
              <w:right w:val="single" w:sz="4" w:space="0" w:color="auto"/>
            </w:tcBorders>
            <w:vAlign w:val="bottom"/>
          </w:tcPr>
          <w:p w14:paraId="535453F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6525F83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7CAFDC0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0199AD8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FA3B0F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0.001056</w:t>
            </w:r>
          </w:p>
        </w:tc>
        <w:tc>
          <w:tcPr>
            <w:tcW w:w="1350" w:type="dxa"/>
            <w:tcBorders>
              <w:top w:val="nil"/>
              <w:left w:val="single" w:sz="4" w:space="0" w:color="auto"/>
              <w:bottom w:val="single" w:sz="4" w:space="0" w:color="auto"/>
              <w:right w:val="single" w:sz="4" w:space="0" w:color="auto"/>
            </w:tcBorders>
            <w:vAlign w:val="bottom"/>
          </w:tcPr>
          <w:p w14:paraId="45C9F80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703C542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5574ED1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62A13948" w14:textId="77777777" w:rsidTr="001E5B1A">
        <w:trPr>
          <w:jc w:val="center"/>
        </w:trPr>
        <w:tc>
          <w:tcPr>
            <w:tcW w:w="560" w:type="dxa"/>
            <w:tcBorders>
              <w:top w:val="nil"/>
              <w:left w:val="single" w:sz="4" w:space="0" w:color="auto"/>
              <w:bottom w:val="single" w:sz="4" w:space="0" w:color="auto"/>
              <w:right w:val="single" w:sz="4" w:space="0" w:color="auto"/>
            </w:tcBorders>
          </w:tcPr>
          <w:p w14:paraId="2B9EB69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12</w:t>
            </w:r>
          </w:p>
        </w:tc>
        <w:tc>
          <w:tcPr>
            <w:tcW w:w="2293" w:type="dxa"/>
            <w:tcBorders>
              <w:top w:val="nil"/>
              <w:left w:val="single" w:sz="4" w:space="0" w:color="auto"/>
              <w:bottom w:val="single" w:sz="4" w:space="0" w:color="auto"/>
              <w:right w:val="single" w:sz="4" w:space="0" w:color="auto"/>
            </w:tcBorders>
            <w:vAlign w:val="center"/>
          </w:tcPr>
          <w:p w14:paraId="02CED823"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Dieldrin</w:t>
            </w:r>
          </w:p>
        </w:tc>
        <w:tc>
          <w:tcPr>
            <w:tcW w:w="1260" w:type="dxa"/>
            <w:tcBorders>
              <w:top w:val="nil"/>
              <w:left w:val="nil"/>
              <w:bottom w:val="single" w:sz="4" w:space="0" w:color="auto"/>
              <w:right w:val="single" w:sz="4" w:space="0" w:color="auto"/>
            </w:tcBorders>
            <w:vAlign w:val="bottom"/>
          </w:tcPr>
          <w:p w14:paraId="544659B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0.001385</w:t>
            </w:r>
          </w:p>
        </w:tc>
        <w:tc>
          <w:tcPr>
            <w:tcW w:w="1350" w:type="dxa"/>
            <w:tcBorders>
              <w:top w:val="nil"/>
              <w:left w:val="nil"/>
              <w:bottom w:val="single" w:sz="4" w:space="0" w:color="auto"/>
              <w:right w:val="single" w:sz="4" w:space="0" w:color="auto"/>
            </w:tcBorders>
            <w:vAlign w:val="bottom"/>
          </w:tcPr>
          <w:p w14:paraId="29EC47E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6890316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0.008985</w:t>
            </w:r>
          </w:p>
        </w:tc>
        <w:tc>
          <w:tcPr>
            <w:tcW w:w="1260" w:type="dxa"/>
            <w:tcBorders>
              <w:top w:val="single" w:sz="4" w:space="0" w:color="auto"/>
              <w:left w:val="single" w:sz="4" w:space="0" w:color="auto"/>
              <w:bottom w:val="single" w:sz="4" w:space="0" w:color="auto"/>
              <w:right w:val="single" w:sz="4" w:space="0" w:color="auto"/>
            </w:tcBorders>
            <w:vAlign w:val="bottom"/>
          </w:tcPr>
          <w:p w14:paraId="7EC4223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0.015446</w:t>
            </w:r>
          </w:p>
        </w:tc>
        <w:tc>
          <w:tcPr>
            <w:tcW w:w="1260" w:type="dxa"/>
            <w:tcBorders>
              <w:top w:val="nil"/>
              <w:left w:val="single" w:sz="4" w:space="0" w:color="auto"/>
              <w:bottom w:val="single" w:sz="4" w:space="0" w:color="auto"/>
              <w:right w:val="single" w:sz="4" w:space="0" w:color="auto"/>
            </w:tcBorders>
            <w:vAlign w:val="bottom"/>
          </w:tcPr>
          <w:p w14:paraId="45629EF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7378EF5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1831B1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1DB2778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5308ADE9" w14:textId="77777777" w:rsidTr="001E5B1A">
        <w:trPr>
          <w:jc w:val="center"/>
        </w:trPr>
        <w:tc>
          <w:tcPr>
            <w:tcW w:w="560" w:type="dxa"/>
            <w:tcBorders>
              <w:top w:val="nil"/>
              <w:left w:val="single" w:sz="4" w:space="0" w:color="auto"/>
              <w:bottom w:val="single" w:sz="4" w:space="0" w:color="auto"/>
              <w:right w:val="single" w:sz="4" w:space="0" w:color="auto"/>
            </w:tcBorders>
          </w:tcPr>
          <w:p w14:paraId="5E1F7B6C"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13</w:t>
            </w:r>
          </w:p>
        </w:tc>
        <w:tc>
          <w:tcPr>
            <w:tcW w:w="2293" w:type="dxa"/>
            <w:tcBorders>
              <w:top w:val="nil"/>
              <w:left w:val="single" w:sz="4" w:space="0" w:color="auto"/>
              <w:bottom w:val="single" w:sz="4" w:space="0" w:color="auto"/>
              <w:right w:val="single" w:sz="4" w:space="0" w:color="auto"/>
            </w:tcBorders>
            <w:vAlign w:val="center"/>
          </w:tcPr>
          <w:p w14:paraId="78CED4EB"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w:t>
            </w:r>
          </w:p>
        </w:tc>
        <w:tc>
          <w:tcPr>
            <w:tcW w:w="1260" w:type="dxa"/>
            <w:tcBorders>
              <w:top w:val="nil"/>
              <w:left w:val="nil"/>
              <w:bottom w:val="single" w:sz="4" w:space="0" w:color="auto"/>
              <w:right w:val="single" w:sz="4" w:space="0" w:color="auto"/>
            </w:tcBorders>
            <w:vAlign w:val="bottom"/>
          </w:tcPr>
          <w:p w14:paraId="31CB30C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0.001538</w:t>
            </w:r>
          </w:p>
        </w:tc>
        <w:tc>
          <w:tcPr>
            <w:tcW w:w="1350" w:type="dxa"/>
            <w:tcBorders>
              <w:top w:val="nil"/>
              <w:left w:val="nil"/>
              <w:bottom w:val="single" w:sz="4" w:space="0" w:color="auto"/>
              <w:right w:val="single" w:sz="4" w:space="0" w:color="auto"/>
            </w:tcBorders>
            <w:vAlign w:val="bottom"/>
          </w:tcPr>
          <w:p w14:paraId="5B1B5AC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37629E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0.006511</w:t>
            </w:r>
          </w:p>
        </w:tc>
        <w:tc>
          <w:tcPr>
            <w:tcW w:w="1260" w:type="dxa"/>
            <w:tcBorders>
              <w:top w:val="single" w:sz="4" w:space="0" w:color="auto"/>
              <w:left w:val="single" w:sz="4" w:space="0" w:color="auto"/>
              <w:bottom w:val="single" w:sz="4" w:space="0" w:color="auto"/>
              <w:right w:val="single" w:sz="4" w:space="0" w:color="auto"/>
            </w:tcBorders>
            <w:vAlign w:val="bottom"/>
          </w:tcPr>
          <w:p w14:paraId="27328A2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0.003889</w:t>
            </w:r>
          </w:p>
        </w:tc>
        <w:tc>
          <w:tcPr>
            <w:tcW w:w="1260" w:type="dxa"/>
            <w:tcBorders>
              <w:top w:val="nil"/>
              <w:left w:val="single" w:sz="4" w:space="0" w:color="auto"/>
              <w:bottom w:val="single" w:sz="4" w:space="0" w:color="auto"/>
              <w:right w:val="single" w:sz="4" w:space="0" w:color="auto"/>
            </w:tcBorders>
            <w:vAlign w:val="bottom"/>
          </w:tcPr>
          <w:p w14:paraId="58EB41C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0.015908</w:t>
            </w:r>
          </w:p>
        </w:tc>
        <w:tc>
          <w:tcPr>
            <w:tcW w:w="1350" w:type="dxa"/>
            <w:tcBorders>
              <w:top w:val="nil"/>
              <w:left w:val="single" w:sz="4" w:space="0" w:color="auto"/>
              <w:bottom w:val="single" w:sz="4" w:space="0" w:color="auto"/>
              <w:right w:val="single" w:sz="4" w:space="0" w:color="auto"/>
            </w:tcBorders>
            <w:vAlign w:val="bottom"/>
          </w:tcPr>
          <w:p w14:paraId="544744E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4D2C76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3DC1E8B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9604222" w14:textId="77777777" w:rsidTr="001E5B1A">
        <w:trPr>
          <w:jc w:val="center"/>
        </w:trPr>
        <w:tc>
          <w:tcPr>
            <w:tcW w:w="560" w:type="dxa"/>
            <w:tcBorders>
              <w:top w:val="nil"/>
              <w:left w:val="single" w:sz="4" w:space="0" w:color="auto"/>
              <w:bottom w:val="single" w:sz="4" w:space="0" w:color="auto"/>
              <w:right w:val="single" w:sz="4" w:space="0" w:color="auto"/>
            </w:tcBorders>
          </w:tcPr>
          <w:p w14:paraId="0F0494CC"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14</w:t>
            </w:r>
          </w:p>
        </w:tc>
        <w:tc>
          <w:tcPr>
            <w:tcW w:w="2293" w:type="dxa"/>
            <w:tcBorders>
              <w:top w:val="nil"/>
              <w:left w:val="single" w:sz="4" w:space="0" w:color="auto"/>
              <w:bottom w:val="single" w:sz="4" w:space="0" w:color="auto"/>
              <w:right w:val="single" w:sz="4" w:space="0" w:color="auto"/>
            </w:tcBorders>
            <w:vAlign w:val="center"/>
          </w:tcPr>
          <w:p w14:paraId="3DCCFEB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DDD</w:t>
            </w:r>
          </w:p>
        </w:tc>
        <w:tc>
          <w:tcPr>
            <w:tcW w:w="1260" w:type="dxa"/>
            <w:tcBorders>
              <w:top w:val="nil"/>
              <w:left w:val="nil"/>
              <w:bottom w:val="single" w:sz="4" w:space="0" w:color="auto"/>
              <w:right w:val="single" w:sz="4" w:space="0" w:color="auto"/>
            </w:tcBorders>
            <w:vAlign w:val="bottom"/>
          </w:tcPr>
          <w:p w14:paraId="7C54C3E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0.000351</w:t>
            </w:r>
          </w:p>
        </w:tc>
        <w:tc>
          <w:tcPr>
            <w:tcW w:w="1350" w:type="dxa"/>
            <w:tcBorders>
              <w:top w:val="nil"/>
              <w:left w:val="nil"/>
              <w:bottom w:val="single" w:sz="4" w:space="0" w:color="auto"/>
              <w:right w:val="single" w:sz="4" w:space="0" w:color="auto"/>
            </w:tcBorders>
            <w:vAlign w:val="bottom"/>
          </w:tcPr>
          <w:p w14:paraId="5AECD7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B142E2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0.00033</w:t>
            </w:r>
          </w:p>
        </w:tc>
        <w:tc>
          <w:tcPr>
            <w:tcW w:w="1260" w:type="dxa"/>
            <w:tcBorders>
              <w:top w:val="single" w:sz="4" w:space="0" w:color="auto"/>
              <w:left w:val="single" w:sz="4" w:space="0" w:color="auto"/>
              <w:bottom w:val="single" w:sz="4" w:space="0" w:color="auto"/>
              <w:right w:val="single" w:sz="4" w:space="0" w:color="auto"/>
            </w:tcBorders>
            <w:vAlign w:val="bottom"/>
          </w:tcPr>
          <w:p w14:paraId="603A7FA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0.003702</w:t>
            </w:r>
          </w:p>
        </w:tc>
        <w:tc>
          <w:tcPr>
            <w:tcW w:w="1260" w:type="dxa"/>
            <w:tcBorders>
              <w:top w:val="nil"/>
              <w:left w:val="single" w:sz="4" w:space="0" w:color="auto"/>
              <w:bottom w:val="single" w:sz="4" w:space="0" w:color="auto"/>
              <w:right w:val="single" w:sz="4" w:space="0" w:color="auto"/>
            </w:tcBorders>
            <w:vAlign w:val="bottom"/>
          </w:tcPr>
          <w:p w14:paraId="3F40177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18D001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7ED64ED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0.032815</w:t>
            </w:r>
          </w:p>
        </w:tc>
        <w:tc>
          <w:tcPr>
            <w:tcW w:w="1143" w:type="dxa"/>
            <w:tcBorders>
              <w:top w:val="nil"/>
              <w:left w:val="single" w:sz="4" w:space="0" w:color="auto"/>
              <w:bottom w:val="single" w:sz="4" w:space="0" w:color="auto"/>
              <w:right w:val="single" w:sz="4" w:space="0" w:color="auto"/>
            </w:tcBorders>
            <w:vAlign w:val="bottom"/>
          </w:tcPr>
          <w:p w14:paraId="7E9C33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5D4F525A" w14:textId="77777777" w:rsidTr="001E5B1A">
        <w:trPr>
          <w:jc w:val="center"/>
        </w:trPr>
        <w:tc>
          <w:tcPr>
            <w:tcW w:w="560" w:type="dxa"/>
            <w:tcBorders>
              <w:top w:val="nil"/>
              <w:left w:val="single" w:sz="4" w:space="0" w:color="auto"/>
              <w:bottom w:val="single" w:sz="4" w:space="0" w:color="auto"/>
              <w:right w:val="single" w:sz="4" w:space="0" w:color="auto"/>
            </w:tcBorders>
          </w:tcPr>
          <w:p w14:paraId="0CD5F14A"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15</w:t>
            </w:r>
          </w:p>
        </w:tc>
        <w:tc>
          <w:tcPr>
            <w:tcW w:w="2293" w:type="dxa"/>
            <w:tcBorders>
              <w:top w:val="nil"/>
              <w:left w:val="single" w:sz="4" w:space="0" w:color="auto"/>
              <w:bottom w:val="single" w:sz="4" w:space="0" w:color="auto"/>
              <w:right w:val="single" w:sz="4" w:space="0" w:color="auto"/>
            </w:tcBorders>
            <w:vAlign w:val="center"/>
          </w:tcPr>
          <w:p w14:paraId="06965CA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11</w:t>
            </w:r>
          </w:p>
        </w:tc>
        <w:tc>
          <w:tcPr>
            <w:tcW w:w="1260" w:type="dxa"/>
            <w:tcBorders>
              <w:top w:val="nil"/>
              <w:left w:val="nil"/>
              <w:bottom w:val="single" w:sz="4" w:space="0" w:color="auto"/>
              <w:right w:val="single" w:sz="4" w:space="0" w:color="auto"/>
            </w:tcBorders>
            <w:vAlign w:val="bottom"/>
          </w:tcPr>
          <w:p w14:paraId="516E4CE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0.000148</w:t>
            </w:r>
          </w:p>
        </w:tc>
        <w:tc>
          <w:tcPr>
            <w:tcW w:w="1350" w:type="dxa"/>
            <w:tcBorders>
              <w:top w:val="nil"/>
              <w:left w:val="nil"/>
              <w:bottom w:val="single" w:sz="4" w:space="0" w:color="auto"/>
              <w:right w:val="single" w:sz="4" w:space="0" w:color="auto"/>
            </w:tcBorders>
            <w:vAlign w:val="bottom"/>
          </w:tcPr>
          <w:p w14:paraId="0F896E5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265B0EC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0.000126</w:t>
            </w:r>
          </w:p>
        </w:tc>
        <w:tc>
          <w:tcPr>
            <w:tcW w:w="1260" w:type="dxa"/>
            <w:tcBorders>
              <w:top w:val="single" w:sz="4" w:space="0" w:color="auto"/>
              <w:left w:val="single" w:sz="4" w:space="0" w:color="auto"/>
              <w:bottom w:val="single" w:sz="4" w:space="0" w:color="auto"/>
              <w:right w:val="single" w:sz="4" w:space="0" w:color="auto"/>
            </w:tcBorders>
            <w:vAlign w:val="bottom"/>
          </w:tcPr>
          <w:p w14:paraId="0E53600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2F96F38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0.000156</w:t>
            </w:r>
          </w:p>
        </w:tc>
        <w:tc>
          <w:tcPr>
            <w:tcW w:w="1350" w:type="dxa"/>
            <w:tcBorders>
              <w:top w:val="nil"/>
              <w:left w:val="single" w:sz="4" w:space="0" w:color="auto"/>
              <w:bottom w:val="single" w:sz="4" w:space="0" w:color="auto"/>
              <w:right w:val="single" w:sz="4" w:space="0" w:color="auto"/>
            </w:tcBorders>
            <w:vAlign w:val="bottom"/>
          </w:tcPr>
          <w:p w14:paraId="4D099B3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0.000135</w:t>
            </w:r>
          </w:p>
        </w:tc>
        <w:tc>
          <w:tcPr>
            <w:tcW w:w="1170" w:type="dxa"/>
            <w:tcBorders>
              <w:top w:val="nil"/>
              <w:left w:val="single" w:sz="4" w:space="0" w:color="auto"/>
              <w:bottom w:val="single" w:sz="4" w:space="0" w:color="auto"/>
              <w:right w:val="single" w:sz="4" w:space="0" w:color="auto"/>
            </w:tcBorders>
            <w:vAlign w:val="bottom"/>
          </w:tcPr>
          <w:p w14:paraId="0493B17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0.005262</w:t>
            </w:r>
          </w:p>
        </w:tc>
        <w:tc>
          <w:tcPr>
            <w:tcW w:w="1143" w:type="dxa"/>
            <w:tcBorders>
              <w:top w:val="nil"/>
              <w:left w:val="single" w:sz="4" w:space="0" w:color="auto"/>
              <w:bottom w:val="single" w:sz="4" w:space="0" w:color="auto"/>
              <w:right w:val="single" w:sz="4" w:space="0" w:color="auto"/>
            </w:tcBorders>
            <w:vAlign w:val="bottom"/>
          </w:tcPr>
          <w:p w14:paraId="310D10E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0.007362</w:t>
            </w:r>
          </w:p>
        </w:tc>
      </w:tr>
      <w:tr w:rsidR="001E5B1A" w:rsidRPr="0025682E" w14:paraId="3F941641" w14:textId="77777777" w:rsidTr="001E5B1A">
        <w:trPr>
          <w:jc w:val="center"/>
        </w:trPr>
        <w:tc>
          <w:tcPr>
            <w:tcW w:w="560" w:type="dxa"/>
            <w:tcBorders>
              <w:top w:val="nil"/>
              <w:left w:val="single" w:sz="4" w:space="0" w:color="auto"/>
              <w:bottom w:val="single" w:sz="4" w:space="0" w:color="auto"/>
              <w:right w:val="single" w:sz="4" w:space="0" w:color="auto"/>
            </w:tcBorders>
          </w:tcPr>
          <w:p w14:paraId="4717230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16</w:t>
            </w:r>
          </w:p>
        </w:tc>
        <w:tc>
          <w:tcPr>
            <w:tcW w:w="2293" w:type="dxa"/>
            <w:tcBorders>
              <w:top w:val="nil"/>
              <w:left w:val="single" w:sz="4" w:space="0" w:color="auto"/>
              <w:bottom w:val="single" w:sz="4" w:space="0" w:color="auto"/>
              <w:right w:val="single" w:sz="4" w:space="0" w:color="auto"/>
            </w:tcBorders>
            <w:vAlign w:val="center"/>
          </w:tcPr>
          <w:p w14:paraId="5DA6D52C"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DDT</w:t>
            </w:r>
          </w:p>
        </w:tc>
        <w:tc>
          <w:tcPr>
            <w:tcW w:w="1260" w:type="dxa"/>
            <w:tcBorders>
              <w:top w:val="nil"/>
              <w:left w:val="nil"/>
              <w:bottom w:val="single" w:sz="4" w:space="0" w:color="auto"/>
              <w:right w:val="single" w:sz="4" w:space="0" w:color="auto"/>
            </w:tcBorders>
            <w:vAlign w:val="bottom"/>
          </w:tcPr>
          <w:p w14:paraId="644CE3D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74CD3CF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00A8C0B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64F64FB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585E4AB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3465759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0.002254</w:t>
            </w:r>
          </w:p>
        </w:tc>
        <w:tc>
          <w:tcPr>
            <w:tcW w:w="1170" w:type="dxa"/>
            <w:tcBorders>
              <w:top w:val="nil"/>
              <w:left w:val="single" w:sz="4" w:space="0" w:color="auto"/>
              <w:bottom w:val="single" w:sz="4" w:space="0" w:color="auto"/>
              <w:right w:val="single" w:sz="4" w:space="0" w:color="auto"/>
            </w:tcBorders>
            <w:vAlign w:val="bottom"/>
          </w:tcPr>
          <w:p w14:paraId="335C3E2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74C8348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2A75FC51" w14:textId="77777777" w:rsidTr="001E5B1A">
        <w:trPr>
          <w:jc w:val="center"/>
        </w:trPr>
        <w:tc>
          <w:tcPr>
            <w:tcW w:w="560" w:type="dxa"/>
            <w:tcBorders>
              <w:top w:val="nil"/>
              <w:left w:val="single" w:sz="4" w:space="0" w:color="auto"/>
              <w:bottom w:val="single" w:sz="4" w:space="0" w:color="auto"/>
              <w:right w:val="single" w:sz="4" w:space="0" w:color="auto"/>
            </w:tcBorders>
          </w:tcPr>
          <w:p w14:paraId="2F269527"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17</w:t>
            </w:r>
          </w:p>
        </w:tc>
        <w:tc>
          <w:tcPr>
            <w:tcW w:w="2293" w:type="dxa"/>
            <w:tcBorders>
              <w:top w:val="nil"/>
              <w:left w:val="single" w:sz="4" w:space="0" w:color="auto"/>
              <w:bottom w:val="single" w:sz="4" w:space="0" w:color="auto"/>
              <w:right w:val="single" w:sz="4" w:space="0" w:color="auto"/>
            </w:tcBorders>
            <w:vAlign w:val="center"/>
          </w:tcPr>
          <w:p w14:paraId="7634D554"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aldehyde</w:t>
            </w:r>
          </w:p>
        </w:tc>
        <w:tc>
          <w:tcPr>
            <w:tcW w:w="1260" w:type="dxa"/>
            <w:tcBorders>
              <w:top w:val="nil"/>
              <w:left w:val="nil"/>
              <w:bottom w:val="single" w:sz="4" w:space="0" w:color="auto"/>
              <w:right w:val="single" w:sz="4" w:space="0" w:color="auto"/>
            </w:tcBorders>
            <w:vAlign w:val="bottom"/>
          </w:tcPr>
          <w:p w14:paraId="63E8E16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781B862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52F580C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2F5ADFA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4C43302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489B5F9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BAF4E1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5F53BC9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D0A4B01" w14:textId="77777777" w:rsidTr="001E5B1A">
        <w:trPr>
          <w:jc w:val="center"/>
        </w:trPr>
        <w:tc>
          <w:tcPr>
            <w:tcW w:w="560" w:type="dxa"/>
            <w:tcBorders>
              <w:top w:val="nil"/>
              <w:left w:val="single" w:sz="4" w:space="0" w:color="auto"/>
              <w:bottom w:val="single" w:sz="4" w:space="0" w:color="auto"/>
              <w:right w:val="single" w:sz="4" w:space="0" w:color="auto"/>
            </w:tcBorders>
          </w:tcPr>
          <w:p w14:paraId="0B5D69A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18</w:t>
            </w:r>
          </w:p>
        </w:tc>
        <w:tc>
          <w:tcPr>
            <w:tcW w:w="2293" w:type="dxa"/>
            <w:tcBorders>
              <w:top w:val="nil"/>
              <w:left w:val="single" w:sz="4" w:space="0" w:color="auto"/>
              <w:bottom w:val="single" w:sz="4" w:space="0" w:color="auto"/>
              <w:right w:val="single" w:sz="4" w:space="0" w:color="auto"/>
            </w:tcBorders>
            <w:vAlign w:val="center"/>
          </w:tcPr>
          <w:p w14:paraId="19AABDF4"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sulfate</w:t>
            </w:r>
          </w:p>
        </w:tc>
        <w:tc>
          <w:tcPr>
            <w:tcW w:w="1260" w:type="dxa"/>
            <w:tcBorders>
              <w:top w:val="nil"/>
              <w:left w:val="nil"/>
              <w:bottom w:val="single" w:sz="4" w:space="0" w:color="auto"/>
              <w:right w:val="single" w:sz="4" w:space="0" w:color="auto"/>
            </w:tcBorders>
            <w:vAlign w:val="bottom"/>
          </w:tcPr>
          <w:p w14:paraId="4645F96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057DD45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748B57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0.000284</w:t>
            </w:r>
          </w:p>
        </w:tc>
        <w:tc>
          <w:tcPr>
            <w:tcW w:w="1260" w:type="dxa"/>
            <w:tcBorders>
              <w:top w:val="single" w:sz="4" w:space="0" w:color="auto"/>
              <w:left w:val="single" w:sz="4" w:space="0" w:color="auto"/>
              <w:bottom w:val="single" w:sz="4" w:space="0" w:color="auto"/>
              <w:right w:val="single" w:sz="4" w:space="0" w:color="auto"/>
            </w:tcBorders>
            <w:vAlign w:val="bottom"/>
          </w:tcPr>
          <w:p w14:paraId="4B67AE7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0.000682</w:t>
            </w:r>
          </w:p>
        </w:tc>
        <w:tc>
          <w:tcPr>
            <w:tcW w:w="1260" w:type="dxa"/>
            <w:tcBorders>
              <w:top w:val="nil"/>
              <w:left w:val="single" w:sz="4" w:space="0" w:color="auto"/>
              <w:bottom w:val="single" w:sz="4" w:space="0" w:color="auto"/>
              <w:right w:val="single" w:sz="4" w:space="0" w:color="auto"/>
            </w:tcBorders>
            <w:vAlign w:val="bottom"/>
          </w:tcPr>
          <w:p w14:paraId="639BEEB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70215E6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0.000139</w:t>
            </w:r>
          </w:p>
        </w:tc>
        <w:tc>
          <w:tcPr>
            <w:tcW w:w="1170" w:type="dxa"/>
            <w:tcBorders>
              <w:top w:val="nil"/>
              <w:left w:val="single" w:sz="4" w:space="0" w:color="auto"/>
              <w:bottom w:val="single" w:sz="4" w:space="0" w:color="auto"/>
              <w:right w:val="single" w:sz="4" w:space="0" w:color="auto"/>
            </w:tcBorders>
            <w:vAlign w:val="bottom"/>
          </w:tcPr>
          <w:p w14:paraId="4B30A98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24E3AA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29A099CF" w14:textId="77777777" w:rsidTr="001E5B1A">
        <w:trPr>
          <w:jc w:val="center"/>
        </w:trPr>
        <w:tc>
          <w:tcPr>
            <w:tcW w:w="560" w:type="dxa"/>
            <w:tcBorders>
              <w:top w:val="nil"/>
              <w:left w:val="single" w:sz="4" w:space="0" w:color="auto"/>
              <w:bottom w:val="single" w:sz="4" w:space="0" w:color="auto"/>
              <w:right w:val="single" w:sz="4" w:space="0" w:color="auto"/>
            </w:tcBorders>
          </w:tcPr>
          <w:p w14:paraId="1EEC542F"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19</w:t>
            </w:r>
          </w:p>
        </w:tc>
        <w:tc>
          <w:tcPr>
            <w:tcW w:w="2293" w:type="dxa"/>
            <w:tcBorders>
              <w:top w:val="nil"/>
              <w:left w:val="single" w:sz="4" w:space="0" w:color="auto"/>
              <w:bottom w:val="single" w:sz="4" w:space="0" w:color="auto"/>
              <w:right w:val="single" w:sz="4" w:space="0" w:color="auto"/>
            </w:tcBorders>
            <w:vAlign w:val="center"/>
          </w:tcPr>
          <w:p w14:paraId="6B665B5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Methoxychlor</w:t>
            </w:r>
          </w:p>
        </w:tc>
        <w:tc>
          <w:tcPr>
            <w:tcW w:w="1260" w:type="dxa"/>
            <w:tcBorders>
              <w:top w:val="nil"/>
              <w:left w:val="nil"/>
              <w:bottom w:val="single" w:sz="4" w:space="0" w:color="auto"/>
              <w:right w:val="single" w:sz="4" w:space="0" w:color="auto"/>
            </w:tcBorders>
            <w:vAlign w:val="bottom"/>
          </w:tcPr>
          <w:p w14:paraId="50CB621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257ED07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0D10435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43F43FD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0.000199</w:t>
            </w:r>
          </w:p>
        </w:tc>
        <w:tc>
          <w:tcPr>
            <w:tcW w:w="1260" w:type="dxa"/>
            <w:tcBorders>
              <w:top w:val="nil"/>
              <w:left w:val="single" w:sz="4" w:space="0" w:color="auto"/>
              <w:bottom w:val="single" w:sz="4" w:space="0" w:color="auto"/>
              <w:right w:val="single" w:sz="4" w:space="0" w:color="auto"/>
            </w:tcBorders>
            <w:vAlign w:val="bottom"/>
          </w:tcPr>
          <w:p w14:paraId="0C41EFC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5898628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9.61E-05</w:t>
            </w:r>
          </w:p>
        </w:tc>
        <w:tc>
          <w:tcPr>
            <w:tcW w:w="1170" w:type="dxa"/>
            <w:tcBorders>
              <w:top w:val="nil"/>
              <w:left w:val="single" w:sz="4" w:space="0" w:color="auto"/>
              <w:bottom w:val="single" w:sz="4" w:space="0" w:color="auto"/>
              <w:right w:val="single" w:sz="4" w:space="0" w:color="auto"/>
            </w:tcBorders>
            <w:vAlign w:val="bottom"/>
          </w:tcPr>
          <w:p w14:paraId="6907FE6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0.002045</w:t>
            </w:r>
          </w:p>
        </w:tc>
        <w:tc>
          <w:tcPr>
            <w:tcW w:w="1143" w:type="dxa"/>
            <w:tcBorders>
              <w:top w:val="nil"/>
              <w:left w:val="single" w:sz="4" w:space="0" w:color="auto"/>
              <w:bottom w:val="single" w:sz="4" w:space="0" w:color="auto"/>
              <w:right w:val="single" w:sz="4" w:space="0" w:color="auto"/>
            </w:tcBorders>
            <w:vAlign w:val="bottom"/>
          </w:tcPr>
          <w:p w14:paraId="72B876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0.000932</w:t>
            </w:r>
          </w:p>
        </w:tc>
      </w:tr>
      <w:tr w:rsidR="001E5B1A" w:rsidRPr="0025682E" w14:paraId="3F18D835"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113968A7"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20</w:t>
            </w:r>
          </w:p>
        </w:tc>
        <w:tc>
          <w:tcPr>
            <w:tcW w:w="2293" w:type="dxa"/>
            <w:tcBorders>
              <w:top w:val="single" w:sz="4" w:space="0" w:color="auto"/>
              <w:left w:val="single" w:sz="4" w:space="0" w:color="auto"/>
              <w:bottom w:val="single" w:sz="4" w:space="0" w:color="auto"/>
              <w:right w:val="single" w:sz="4" w:space="0" w:color="auto"/>
            </w:tcBorders>
            <w:vAlign w:val="center"/>
          </w:tcPr>
          <w:p w14:paraId="627088F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ketone</w:t>
            </w:r>
          </w:p>
        </w:tc>
        <w:tc>
          <w:tcPr>
            <w:tcW w:w="1260" w:type="dxa"/>
            <w:tcBorders>
              <w:top w:val="single" w:sz="4" w:space="0" w:color="auto"/>
              <w:left w:val="nil"/>
              <w:bottom w:val="single" w:sz="4" w:space="0" w:color="auto"/>
              <w:right w:val="single" w:sz="4" w:space="0" w:color="auto"/>
            </w:tcBorders>
            <w:vAlign w:val="bottom"/>
          </w:tcPr>
          <w:p w14:paraId="12432B59"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nil"/>
              <w:bottom w:val="single" w:sz="4" w:space="0" w:color="auto"/>
              <w:right w:val="single" w:sz="4" w:space="0" w:color="auto"/>
            </w:tcBorders>
            <w:vAlign w:val="bottom"/>
          </w:tcPr>
          <w:p w14:paraId="35E2B0FA"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nil"/>
              <w:bottom w:val="single" w:sz="4" w:space="0" w:color="auto"/>
              <w:right w:val="single" w:sz="4" w:space="0" w:color="auto"/>
            </w:tcBorders>
            <w:vAlign w:val="bottom"/>
          </w:tcPr>
          <w:p w14:paraId="54AC30C6"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14:paraId="6CD8007B"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14:paraId="359765BF"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vAlign w:val="bottom"/>
          </w:tcPr>
          <w:p w14:paraId="0C271BFE"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vAlign w:val="bottom"/>
          </w:tcPr>
          <w:p w14:paraId="53699D50"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43" w:type="dxa"/>
            <w:tcBorders>
              <w:top w:val="single" w:sz="4" w:space="0" w:color="auto"/>
              <w:left w:val="single" w:sz="4" w:space="0" w:color="auto"/>
              <w:bottom w:val="single" w:sz="4" w:space="0" w:color="auto"/>
              <w:right w:val="single" w:sz="4" w:space="0" w:color="auto"/>
            </w:tcBorders>
            <w:vAlign w:val="bottom"/>
          </w:tcPr>
          <w:p w14:paraId="15C4EF31"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r>
      <w:tr w:rsidR="001E5B1A" w:rsidRPr="0025682E" w14:paraId="541A4E39"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372B45F1" w14:textId="77777777" w:rsidR="001E5B1A" w:rsidRPr="0025682E" w:rsidRDefault="001E5B1A" w:rsidP="0025682E">
            <w:pPr>
              <w:spacing w:line="480" w:lineRule="auto"/>
              <w:jc w:val="center"/>
              <w:rPr>
                <w:rFonts w:ascii="Arial" w:eastAsia="Times New Roman" w:hAnsi="Arial" w:cs="Arial"/>
                <w:sz w:val="20"/>
                <w:szCs w:val="20"/>
              </w:rPr>
            </w:pPr>
          </w:p>
        </w:tc>
        <w:tc>
          <w:tcPr>
            <w:tcW w:w="2293" w:type="dxa"/>
            <w:tcBorders>
              <w:top w:val="single" w:sz="4" w:space="0" w:color="auto"/>
              <w:left w:val="single" w:sz="4" w:space="0" w:color="auto"/>
              <w:bottom w:val="single" w:sz="4" w:space="0" w:color="auto"/>
              <w:right w:val="single" w:sz="4" w:space="0" w:color="auto"/>
            </w:tcBorders>
            <w:vAlign w:val="center"/>
          </w:tcPr>
          <w:p w14:paraId="1226FC7B" w14:textId="77777777" w:rsidR="001E5B1A" w:rsidRPr="0025682E" w:rsidRDefault="001E5B1A" w:rsidP="0025682E">
            <w:pPr>
              <w:pStyle w:val="NormalWeb"/>
              <w:spacing w:before="0" w:beforeAutospacing="0" w:after="0" w:afterAutospacing="0" w:line="480" w:lineRule="auto"/>
              <w:jc w:val="center"/>
              <w:rPr>
                <w:rFonts w:ascii="Arial" w:hAnsi="Arial" w:cs="Arial"/>
                <w:sz w:val="20"/>
                <w:szCs w:val="20"/>
              </w:rPr>
            </w:pPr>
            <w:r w:rsidRPr="0025682E">
              <w:rPr>
                <w:rFonts w:ascii="Arial" w:hAnsi="Arial" w:cs="Arial"/>
                <w:b/>
                <w:bCs/>
                <w:color w:val="000000" w:themeColor="text1"/>
                <w:kern w:val="24"/>
                <w:sz w:val="20"/>
                <w:szCs w:val="20"/>
              </w:rPr>
              <w:t xml:space="preserve">Hazard </w:t>
            </w:r>
            <w:proofErr w:type="gramStart"/>
            <w:r w:rsidRPr="0025682E">
              <w:rPr>
                <w:rFonts w:ascii="Arial" w:hAnsi="Arial" w:cs="Arial"/>
                <w:b/>
                <w:bCs/>
                <w:color w:val="000000" w:themeColor="text1"/>
                <w:kern w:val="24"/>
                <w:sz w:val="20"/>
                <w:szCs w:val="20"/>
              </w:rPr>
              <w:t>Index(</w:t>
            </w:r>
            <w:proofErr w:type="gramEnd"/>
            <w:r w:rsidRPr="0025682E">
              <w:rPr>
                <w:rFonts w:ascii="Arial" w:hAnsi="Arial" w:cs="Arial"/>
                <w:b/>
                <w:bCs/>
                <w:color w:val="000000" w:themeColor="text1"/>
                <w:kern w:val="24"/>
                <w:sz w:val="20"/>
                <w:szCs w:val="20"/>
              </w:rPr>
              <w:t>HI)</w:t>
            </w:r>
          </w:p>
        </w:tc>
        <w:tc>
          <w:tcPr>
            <w:tcW w:w="1260" w:type="dxa"/>
            <w:tcBorders>
              <w:top w:val="single" w:sz="4" w:space="0" w:color="auto"/>
              <w:left w:val="nil"/>
              <w:bottom w:val="single" w:sz="4" w:space="0" w:color="auto"/>
              <w:right w:val="single" w:sz="4" w:space="0" w:color="auto"/>
            </w:tcBorders>
          </w:tcPr>
          <w:p w14:paraId="7CB0AA8F"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0.024815</w:t>
            </w:r>
          </w:p>
        </w:tc>
        <w:tc>
          <w:tcPr>
            <w:tcW w:w="1350" w:type="dxa"/>
            <w:tcBorders>
              <w:top w:val="single" w:sz="4" w:space="0" w:color="auto"/>
              <w:left w:val="nil"/>
              <w:bottom w:val="single" w:sz="4" w:space="0" w:color="auto"/>
              <w:right w:val="single" w:sz="4" w:space="0" w:color="auto"/>
            </w:tcBorders>
          </w:tcPr>
          <w:p w14:paraId="208C32C7"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0.050358</w:t>
            </w:r>
          </w:p>
        </w:tc>
        <w:tc>
          <w:tcPr>
            <w:tcW w:w="1260" w:type="dxa"/>
            <w:tcBorders>
              <w:top w:val="single" w:sz="4" w:space="0" w:color="auto"/>
              <w:left w:val="nil"/>
              <w:bottom w:val="single" w:sz="4" w:space="0" w:color="auto"/>
              <w:right w:val="single" w:sz="4" w:space="0" w:color="auto"/>
            </w:tcBorders>
          </w:tcPr>
          <w:p w14:paraId="3D84B577"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0.015810</w:t>
            </w:r>
          </w:p>
        </w:tc>
        <w:tc>
          <w:tcPr>
            <w:tcW w:w="1260" w:type="dxa"/>
            <w:tcBorders>
              <w:top w:val="single" w:sz="4" w:space="0" w:color="auto"/>
              <w:left w:val="single" w:sz="4" w:space="0" w:color="auto"/>
              <w:bottom w:val="single" w:sz="4" w:space="0" w:color="auto"/>
              <w:right w:val="single" w:sz="4" w:space="0" w:color="auto"/>
            </w:tcBorders>
          </w:tcPr>
          <w:p w14:paraId="27326069"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0.053173</w:t>
            </w:r>
          </w:p>
        </w:tc>
        <w:tc>
          <w:tcPr>
            <w:tcW w:w="1260" w:type="dxa"/>
            <w:tcBorders>
              <w:top w:val="single" w:sz="4" w:space="0" w:color="auto"/>
              <w:left w:val="single" w:sz="4" w:space="0" w:color="auto"/>
              <w:bottom w:val="single" w:sz="4" w:space="0" w:color="auto"/>
              <w:right w:val="single" w:sz="4" w:space="0" w:color="auto"/>
            </w:tcBorders>
          </w:tcPr>
          <w:p w14:paraId="52A96F3D"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0.034174</w:t>
            </w:r>
          </w:p>
        </w:tc>
        <w:tc>
          <w:tcPr>
            <w:tcW w:w="1350" w:type="dxa"/>
            <w:tcBorders>
              <w:top w:val="single" w:sz="4" w:space="0" w:color="auto"/>
              <w:left w:val="single" w:sz="4" w:space="0" w:color="auto"/>
              <w:bottom w:val="single" w:sz="4" w:space="0" w:color="auto"/>
              <w:right w:val="single" w:sz="4" w:space="0" w:color="auto"/>
            </w:tcBorders>
          </w:tcPr>
          <w:p w14:paraId="491D61DC"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0.077282</w:t>
            </w:r>
          </w:p>
        </w:tc>
        <w:tc>
          <w:tcPr>
            <w:tcW w:w="1170" w:type="dxa"/>
            <w:tcBorders>
              <w:top w:val="single" w:sz="4" w:space="0" w:color="auto"/>
              <w:left w:val="single" w:sz="4" w:space="0" w:color="auto"/>
              <w:bottom w:val="single" w:sz="4" w:space="0" w:color="auto"/>
              <w:right w:val="single" w:sz="4" w:space="0" w:color="auto"/>
            </w:tcBorders>
          </w:tcPr>
          <w:p w14:paraId="07400194"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0.167360</w:t>
            </w:r>
          </w:p>
        </w:tc>
        <w:tc>
          <w:tcPr>
            <w:tcW w:w="1143" w:type="dxa"/>
            <w:tcBorders>
              <w:top w:val="single" w:sz="4" w:space="0" w:color="auto"/>
              <w:left w:val="single" w:sz="4" w:space="0" w:color="auto"/>
              <w:bottom w:val="single" w:sz="4" w:space="0" w:color="auto"/>
              <w:right w:val="single" w:sz="4" w:space="0" w:color="auto"/>
            </w:tcBorders>
          </w:tcPr>
          <w:p w14:paraId="3D893746"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0.273238</w:t>
            </w:r>
          </w:p>
        </w:tc>
      </w:tr>
    </w:tbl>
    <w:p w14:paraId="1037B9BA" w14:textId="77777777" w:rsidR="001E5B1A" w:rsidRPr="00BB57AC" w:rsidRDefault="001E5B1A" w:rsidP="001E5B1A">
      <w:pPr>
        <w:spacing w:before="240" w:line="360" w:lineRule="auto"/>
        <w:jc w:val="both"/>
        <w:rPr>
          <w:rFonts w:ascii="Arial" w:hAnsi="Arial" w:cs="Arial"/>
          <w:b/>
          <w:sz w:val="24"/>
          <w:szCs w:val="24"/>
        </w:rPr>
        <w:sectPr w:rsidR="001E5B1A" w:rsidRPr="00BB57AC" w:rsidSect="00A20879">
          <w:pgSz w:w="16839" w:h="11907" w:orient="landscape" w:code="9"/>
          <w:pgMar w:top="1350" w:right="1440" w:bottom="1530" w:left="1440" w:header="720" w:footer="720" w:gutter="0"/>
          <w:cols w:space="720"/>
          <w:docGrid w:linePitch="360"/>
        </w:sectPr>
      </w:pPr>
    </w:p>
    <w:p w14:paraId="44DCBFF4" w14:textId="77777777" w:rsidR="001E5B1A" w:rsidRPr="0025682E" w:rsidRDefault="001E5B1A" w:rsidP="0025682E">
      <w:pPr>
        <w:spacing w:line="240" w:lineRule="auto"/>
        <w:jc w:val="both"/>
        <w:rPr>
          <w:rFonts w:ascii="Arial" w:hAnsi="Arial" w:cs="Arial"/>
          <w:b/>
          <w:szCs w:val="24"/>
        </w:rPr>
      </w:pPr>
      <w:bookmarkStart w:id="15" w:name="_Toc182172239"/>
      <w:r w:rsidRPr="0025682E">
        <w:rPr>
          <w:rFonts w:ascii="Arial" w:hAnsi="Arial" w:cs="Arial"/>
          <w:b/>
          <w:szCs w:val="24"/>
        </w:rPr>
        <w:lastRenderedPageBreak/>
        <w:t>3.3</w:t>
      </w:r>
      <w:r w:rsidRPr="0025682E">
        <w:rPr>
          <w:rFonts w:ascii="Arial" w:hAnsi="Arial" w:cs="Arial"/>
          <w:b/>
          <w:szCs w:val="24"/>
        </w:rPr>
        <w:tab/>
        <w:t>Analysis of Variance (ANOVA)</w:t>
      </w:r>
      <w:bookmarkEnd w:id="15"/>
    </w:p>
    <w:p w14:paraId="63BCD3FF" w14:textId="77777777" w:rsidR="001E5B1A" w:rsidRPr="0025682E" w:rsidRDefault="001E5B1A" w:rsidP="0025682E">
      <w:pPr>
        <w:spacing w:before="240" w:line="240" w:lineRule="auto"/>
        <w:jc w:val="both"/>
        <w:rPr>
          <w:rFonts w:ascii="Arial" w:hAnsi="Arial" w:cs="Arial"/>
          <w:sz w:val="20"/>
          <w:szCs w:val="24"/>
        </w:rPr>
      </w:pPr>
      <w:r w:rsidRPr="0025682E">
        <w:rPr>
          <w:rFonts w:ascii="Arial" w:hAnsi="Arial" w:cs="Arial"/>
          <w:sz w:val="20"/>
          <w:szCs w:val="24"/>
        </w:rPr>
        <w:t xml:space="preserve">Comparison of pesticide residues levels in the </w:t>
      </w:r>
      <w:proofErr w:type="spellStart"/>
      <w:r w:rsidRPr="0025682E">
        <w:rPr>
          <w:rFonts w:ascii="Arial" w:hAnsi="Arial" w:cs="Arial"/>
          <w:sz w:val="20"/>
          <w:szCs w:val="24"/>
        </w:rPr>
        <w:t>analysed</w:t>
      </w:r>
      <w:proofErr w:type="spellEnd"/>
      <w:r w:rsidRPr="0025682E">
        <w:rPr>
          <w:rFonts w:ascii="Arial" w:hAnsi="Arial" w:cs="Arial"/>
          <w:sz w:val="20"/>
          <w:szCs w:val="24"/>
        </w:rPr>
        <w:t xml:space="preserve"> samples from different sources was determined by a two-tailed F-test at 0.05 level of significance, using the data analysis function of Microsoft Excel 2019. This was to determine if there was a significant difference between the pesticides used in different farms and markets to produce and preserve the products.</w:t>
      </w:r>
    </w:p>
    <w:p w14:paraId="5E1DCE1A" w14:textId="77777777" w:rsidR="001E5B1A" w:rsidRPr="0025682E" w:rsidRDefault="001E5B1A" w:rsidP="0025682E">
      <w:pPr>
        <w:spacing w:line="240" w:lineRule="auto"/>
        <w:ind w:right="5"/>
        <w:jc w:val="both"/>
        <w:rPr>
          <w:rFonts w:ascii="Arial" w:eastAsia="Calibri" w:hAnsi="Arial" w:cs="Arial"/>
          <w:b/>
          <w:bCs/>
          <w:sz w:val="20"/>
          <w:szCs w:val="24"/>
        </w:rPr>
      </w:pPr>
      <w:r w:rsidRPr="0025682E">
        <w:rPr>
          <w:rFonts w:ascii="Arial" w:eastAsia="Calibri" w:hAnsi="Arial" w:cs="Arial"/>
          <w:b/>
          <w:bCs/>
          <w:sz w:val="20"/>
          <w:szCs w:val="24"/>
        </w:rPr>
        <w:t xml:space="preserve">Table 5: ANOVA Result for the </w:t>
      </w:r>
      <w:proofErr w:type="spellStart"/>
      <w:r w:rsidRPr="0025682E">
        <w:rPr>
          <w:rFonts w:ascii="Arial" w:eastAsia="Calibri" w:hAnsi="Arial" w:cs="Arial"/>
          <w:b/>
          <w:bCs/>
          <w:sz w:val="20"/>
          <w:szCs w:val="24"/>
        </w:rPr>
        <w:t>analysed</w:t>
      </w:r>
      <w:proofErr w:type="spellEnd"/>
      <w:r w:rsidRPr="0025682E">
        <w:rPr>
          <w:rFonts w:ascii="Arial" w:eastAsia="Calibri" w:hAnsi="Arial" w:cs="Arial"/>
          <w:b/>
          <w:bCs/>
          <w:sz w:val="20"/>
          <w:szCs w:val="24"/>
        </w:rPr>
        <w:t xml:space="preserve"> samples</w:t>
      </w:r>
    </w:p>
    <w:tbl>
      <w:tblPr>
        <w:tblW w:w="8780" w:type="dxa"/>
        <w:tblInd w:w="93" w:type="dxa"/>
        <w:tblLook w:val="04A0" w:firstRow="1" w:lastRow="0" w:firstColumn="1" w:lastColumn="0" w:noHBand="0" w:noVBand="1"/>
      </w:tblPr>
      <w:tblGrid>
        <w:gridCol w:w="2360"/>
        <w:gridCol w:w="1116"/>
        <w:gridCol w:w="960"/>
        <w:gridCol w:w="1116"/>
        <w:gridCol w:w="1116"/>
        <w:gridCol w:w="996"/>
        <w:gridCol w:w="1116"/>
      </w:tblGrid>
      <w:tr w:rsidR="001E5B1A" w:rsidRPr="0025682E" w14:paraId="7E8B2F17" w14:textId="77777777" w:rsidTr="001E5B1A">
        <w:trPr>
          <w:trHeight w:val="320"/>
        </w:trPr>
        <w:tc>
          <w:tcPr>
            <w:tcW w:w="2360" w:type="dxa"/>
            <w:tcBorders>
              <w:top w:val="nil"/>
              <w:left w:val="nil"/>
              <w:bottom w:val="single" w:sz="8" w:space="0" w:color="auto"/>
              <w:right w:val="nil"/>
            </w:tcBorders>
            <w:noWrap/>
            <w:vAlign w:val="bottom"/>
            <w:hideMark/>
          </w:tcPr>
          <w:p w14:paraId="3878ADF0"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ANOVA</w:t>
            </w:r>
          </w:p>
        </w:tc>
        <w:tc>
          <w:tcPr>
            <w:tcW w:w="1116" w:type="dxa"/>
            <w:tcBorders>
              <w:top w:val="nil"/>
              <w:left w:val="nil"/>
              <w:bottom w:val="single" w:sz="8" w:space="0" w:color="auto"/>
              <w:right w:val="nil"/>
            </w:tcBorders>
            <w:noWrap/>
            <w:vAlign w:val="bottom"/>
            <w:hideMark/>
          </w:tcPr>
          <w:p w14:paraId="08B598A6"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60" w:type="dxa"/>
            <w:tcBorders>
              <w:top w:val="nil"/>
              <w:left w:val="nil"/>
              <w:bottom w:val="single" w:sz="8" w:space="0" w:color="auto"/>
              <w:right w:val="nil"/>
            </w:tcBorders>
            <w:noWrap/>
            <w:vAlign w:val="bottom"/>
            <w:hideMark/>
          </w:tcPr>
          <w:p w14:paraId="39ADBE38"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596740BC"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692B56B1"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single" w:sz="8" w:space="0" w:color="auto"/>
              <w:right w:val="nil"/>
            </w:tcBorders>
            <w:noWrap/>
            <w:vAlign w:val="bottom"/>
            <w:hideMark/>
          </w:tcPr>
          <w:p w14:paraId="3EA9C1CE"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117CDF32" w14:textId="77777777"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14:paraId="162AD287" w14:textId="77777777" w:rsidTr="001E5B1A">
        <w:trPr>
          <w:trHeight w:val="320"/>
        </w:trPr>
        <w:tc>
          <w:tcPr>
            <w:tcW w:w="2360" w:type="dxa"/>
            <w:tcBorders>
              <w:top w:val="single" w:sz="8" w:space="0" w:color="auto"/>
              <w:left w:val="nil"/>
              <w:bottom w:val="single" w:sz="4" w:space="0" w:color="auto"/>
              <w:right w:val="nil"/>
            </w:tcBorders>
            <w:noWrap/>
            <w:vAlign w:val="bottom"/>
            <w:hideMark/>
          </w:tcPr>
          <w:p w14:paraId="3C9A92D2"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Source of Variation</w:t>
            </w:r>
          </w:p>
        </w:tc>
        <w:tc>
          <w:tcPr>
            <w:tcW w:w="1116" w:type="dxa"/>
            <w:tcBorders>
              <w:top w:val="single" w:sz="8" w:space="0" w:color="auto"/>
              <w:left w:val="nil"/>
              <w:bottom w:val="single" w:sz="4" w:space="0" w:color="auto"/>
              <w:right w:val="nil"/>
            </w:tcBorders>
            <w:noWrap/>
            <w:vAlign w:val="bottom"/>
            <w:hideMark/>
          </w:tcPr>
          <w:p w14:paraId="10FF59BC"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SS</w:t>
            </w:r>
          </w:p>
        </w:tc>
        <w:tc>
          <w:tcPr>
            <w:tcW w:w="960" w:type="dxa"/>
            <w:tcBorders>
              <w:top w:val="single" w:sz="8" w:space="0" w:color="auto"/>
              <w:left w:val="nil"/>
              <w:bottom w:val="single" w:sz="4" w:space="0" w:color="auto"/>
              <w:right w:val="nil"/>
            </w:tcBorders>
            <w:noWrap/>
            <w:vAlign w:val="bottom"/>
            <w:hideMark/>
          </w:tcPr>
          <w:p w14:paraId="2F2233CD"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df</w:t>
            </w:r>
          </w:p>
        </w:tc>
        <w:tc>
          <w:tcPr>
            <w:tcW w:w="1116" w:type="dxa"/>
            <w:tcBorders>
              <w:top w:val="single" w:sz="8" w:space="0" w:color="auto"/>
              <w:left w:val="nil"/>
              <w:bottom w:val="single" w:sz="4" w:space="0" w:color="auto"/>
              <w:right w:val="nil"/>
            </w:tcBorders>
            <w:noWrap/>
            <w:vAlign w:val="bottom"/>
            <w:hideMark/>
          </w:tcPr>
          <w:p w14:paraId="4E2A0348"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MS</w:t>
            </w:r>
          </w:p>
        </w:tc>
        <w:tc>
          <w:tcPr>
            <w:tcW w:w="1116" w:type="dxa"/>
            <w:tcBorders>
              <w:top w:val="single" w:sz="8" w:space="0" w:color="auto"/>
              <w:left w:val="nil"/>
              <w:bottom w:val="single" w:sz="4" w:space="0" w:color="auto"/>
              <w:right w:val="nil"/>
            </w:tcBorders>
            <w:noWrap/>
            <w:vAlign w:val="bottom"/>
            <w:hideMark/>
          </w:tcPr>
          <w:p w14:paraId="3CCCC9C2"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w:t>
            </w:r>
          </w:p>
        </w:tc>
        <w:tc>
          <w:tcPr>
            <w:tcW w:w="996" w:type="dxa"/>
            <w:tcBorders>
              <w:top w:val="single" w:sz="8" w:space="0" w:color="auto"/>
              <w:left w:val="nil"/>
              <w:bottom w:val="single" w:sz="4" w:space="0" w:color="auto"/>
              <w:right w:val="nil"/>
            </w:tcBorders>
            <w:noWrap/>
            <w:vAlign w:val="bottom"/>
            <w:hideMark/>
          </w:tcPr>
          <w:p w14:paraId="1764E0D6"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P-value</w:t>
            </w:r>
          </w:p>
        </w:tc>
        <w:tc>
          <w:tcPr>
            <w:tcW w:w="1116" w:type="dxa"/>
            <w:tcBorders>
              <w:top w:val="single" w:sz="8" w:space="0" w:color="auto"/>
              <w:left w:val="nil"/>
              <w:bottom w:val="single" w:sz="4" w:space="0" w:color="auto"/>
              <w:right w:val="nil"/>
            </w:tcBorders>
            <w:noWrap/>
            <w:vAlign w:val="bottom"/>
            <w:hideMark/>
          </w:tcPr>
          <w:p w14:paraId="14121E8D"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 crit</w:t>
            </w:r>
          </w:p>
        </w:tc>
      </w:tr>
      <w:tr w:rsidR="001E5B1A" w:rsidRPr="0025682E" w14:paraId="4511AAB5" w14:textId="77777777" w:rsidTr="001E5B1A">
        <w:trPr>
          <w:trHeight w:val="290"/>
        </w:trPr>
        <w:tc>
          <w:tcPr>
            <w:tcW w:w="2360" w:type="dxa"/>
            <w:tcBorders>
              <w:top w:val="single" w:sz="4" w:space="0" w:color="auto"/>
              <w:left w:val="nil"/>
              <w:bottom w:val="nil"/>
              <w:right w:val="nil"/>
            </w:tcBorders>
            <w:noWrap/>
            <w:vAlign w:val="bottom"/>
            <w:hideMark/>
          </w:tcPr>
          <w:p w14:paraId="03DB4D94"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Between Groups</w:t>
            </w:r>
          </w:p>
        </w:tc>
        <w:tc>
          <w:tcPr>
            <w:tcW w:w="1116" w:type="dxa"/>
            <w:tcBorders>
              <w:top w:val="single" w:sz="4" w:space="0" w:color="auto"/>
              <w:left w:val="nil"/>
              <w:bottom w:val="nil"/>
              <w:right w:val="nil"/>
            </w:tcBorders>
            <w:noWrap/>
            <w:vAlign w:val="bottom"/>
            <w:hideMark/>
          </w:tcPr>
          <w:p w14:paraId="0F3BD3A7"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8.645654</w:t>
            </w:r>
          </w:p>
        </w:tc>
        <w:tc>
          <w:tcPr>
            <w:tcW w:w="960" w:type="dxa"/>
            <w:tcBorders>
              <w:top w:val="single" w:sz="4" w:space="0" w:color="auto"/>
              <w:left w:val="nil"/>
              <w:bottom w:val="nil"/>
              <w:right w:val="nil"/>
            </w:tcBorders>
            <w:noWrap/>
            <w:vAlign w:val="bottom"/>
            <w:hideMark/>
          </w:tcPr>
          <w:p w14:paraId="05335994"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11</w:t>
            </w:r>
          </w:p>
        </w:tc>
        <w:tc>
          <w:tcPr>
            <w:tcW w:w="1116" w:type="dxa"/>
            <w:tcBorders>
              <w:top w:val="single" w:sz="4" w:space="0" w:color="auto"/>
              <w:left w:val="nil"/>
              <w:bottom w:val="nil"/>
              <w:right w:val="nil"/>
            </w:tcBorders>
            <w:noWrap/>
            <w:vAlign w:val="bottom"/>
            <w:hideMark/>
          </w:tcPr>
          <w:p w14:paraId="1E00472D"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0.785969</w:t>
            </w:r>
          </w:p>
        </w:tc>
        <w:tc>
          <w:tcPr>
            <w:tcW w:w="1116" w:type="dxa"/>
            <w:tcBorders>
              <w:top w:val="single" w:sz="4" w:space="0" w:color="auto"/>
              <w:left w:val="nil"/>
              <w:bottom w:val="nil"/>
              <w:right w:val="nil"/>
            </w:tcBorders>
            <w:noWrap/>
            <w:vAlign w:val="bottom"/>
            <w:hideMark/>
          </w:tcPr>
          <w:p w14:paraId="0BB75CF9" w14:textId="77777777"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2.20</w:t>
            </w:r>
          </w:p>
        </w:tc>
        <w:tc>
          <w:tcPr>
            <w:tcW w:w="996" w:type="dxa"/>
            <w:tcBorders>
              <w:top w:val="single" w:sz="4" w:space="0" w:color="auto"/>
              <w:left w:val="nil"/>
              <w:bottom w:val="nil"/>
              <w:right w:val="nil"/>
            </w:tcBorders>
            <w:noWrap/>
            <w:vAlign w:val="bottom"/>
            <w:hideMark/>
          </w:tcPr>
          <w:p w14:paraId="147664D9" w14:textId="77777777"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0.015</w:t>
            </w:r>
          </w:p>
        </w:tc>
        <w:tc>
          <w:tcPr>
            <w:tcW w:w="1116" w:type="dxa"/>
            <w:tcBorders>
              <w:top w:val="single" w:sz="4" w:space="0" w:color="auto"/>
              <w:left w:val="nil"/>
              <w:bottom w:val="nil"/>
              <w:right w:val="nil"/>
            </w:tcBorders>
            <w:noWrap/>
            <w:vAlign w:val="bottom"/>
            <w:hideMark/>
          </w:tcPr>
          <w:p w14:paraId="1D0788A4"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w:t>
            </w:r>
            <w:r w:rsidR="00ED715F">
              <w:rPr>
                <w:rFonts w:ascii="Arial" w:eastAsia="Times New Roman" w:hAnsi="Arial" w:cs="Arial"/>
                <w:color w:val="000000"/>
                <w:sz w:val="20"/>
                <w:szCs w:val="20"/>
              </w:rPr>
              <w:t>.83</w:t>
            </w:r>
          </w:p>
        </w:tc>
      </w:tr>
      <w:tr w:rsidR="001E5B1A" w:rsidRPr="0025682E" w14:paraId="52B27BD4" w14:textId="77777777" w:rsidTr="001E5B1A">
        <w:trPr>
          <w:trHeight w:val="290"/>
        </w:trPr>
        <w:tc>
          <w:tcPr>
            <w:tcW w:w="2360" w:type="dxa"/>
            <w:tcBorders>
              <w:top w:val="nil"/>
              <w:left w:val="nil"/>
              <w:bottom w:val="nil"/>
              <w:right w:val="nil"/>
            </w:tcBorders>
            <w:noWrap/>
            <w:vAlign w:val="bottom"/>
            <w:hideMark/>
          </w:tcPr>
          <w:p w14:paraId="51CEC542"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Within Groups</w:t>
            </w:r>
          </w:p>
        </w:tc>
        <w:tc>
          <w:tcPr>
            <w:tcW w:w="1116" w:type="dxa"/>
            <w:tcBorders>
              <w:top w:val="nil"/>
              <w:left w:val="nil"/>
              <w:bottom w:val="nil"/>
              <w:right w:val="nil"/>
            </w:tcBorders>
            <w:noWrap/>
            <w:vAlign w:val="bottom"/>
            <w:hideMark/>
          </w:tcPr>
          <w:p w14:paraId="04725736"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81.29904</w:t>
            </w:r>
          </w:p>
        </w:tc>
        <w:tc>
          <w:tcPr>
            <w:tcW w:w="960" w:type="dxa"/>
            <w:tcBorders>
              <w:top w:val="nil"/>
              <w:left w:val="nil"/>
              <w:bottom w:val="nil"/>
              <w:right w:val="nil"/>
            </w:tcBorders>
            <w:noWrap/>
            <w:vAlign w:val="bottom"/>
            <w:hideMark/>
          </w:tcPr>
          <w:p w14:paraId="31886B1D"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228</w:t>
            </w:r>
          </w:p>
        </w:tc>
        <w:tc>
          <w:tcPr>
            <w:tcW w:w="1116" w:type="dxa"/>
            <w:tcBorders>
              <w:top w:val="nil"/>
              <w:left w:val="nil"/>
              <w:bottom w:val="nil"/>
              <w:right w:val="nil"/>
            </w:tcBorders>
            <w:noWrap/>
            <w:vAlign w:val="bottom"/>
            <w:hideMark/>
          </w:tcPr>
          <w:p w14:paraId="59820FB9"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0.356575</w:t>
            </w:r>
          </w:p>
        </w:tc>
        <w:tc>
          <w:tcPr>
            <w:tcW w:w="1116" w:type="dxa"/>
            <w:tcBorders>
              <w:top w:val="nil"/>
              <w:left w:val="nil"/>
              <w:bottom w:val="nil"/>
              <w:right w:val="nil"/>
            </w:tcBorders>
            <w:noWrap/>
            <w:vAlign w:val="bottom"/>
            <w:hideMark/>
          </w:tcPr>
          <w:p w14:paraId="6DA22464"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nil"/>
              <w:right w:val="nil"/>
            </w:tcBorders>
            <w:noWrap/>
            <w:vAlign w:val="bottom"/>
            <w:hideMark/>
          </w:tcPr>
          <w:p w14:paraId="005AF7A9"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nil"/>
              <w:right w:val="nil"/>
            </w:tcBorders>
            <w:noWrap/>
            <w:vAlign w:val="bottom"/>
            <w:hideMark/>
          </w:tcPr>
          <w:p w14:paraId="3CDBAE17" w14:textId="77777777"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14:paraId="14743A4B" w14:textId="77777777" w:rsidTr="001E5B1A">
        <w:trPr>
          <w:trHeight w:val="300"/>
        </w:trPr>
        <w:tc>
          <w:tcPr>
            <w:tcW w:w="2360" w:type="dxa"/>
            <w:tcBorders>
              <w:top w:val="nil"/>
              <w:left w:val="nil"/>
              <w:bottom w:val="single" w:sz="8" w:space="0" w:color="auto"/>
              <w:right w:val="nil"/>
            </w:tcBorders>
            <w:noWrap/>
            <w:vAlign w:val="bottom"/>
            <w:hideMark/>
          </w:tcPr>
          <w:p w14:paraId="24454338"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Total</w:t>
            </w:r>
          </w:p>
        </w:tc>
        <w:tc>
          <w:tcPr>
            <w:tcW w:w="1116" w:type="dxa"/>
            <w:tcBorders>
              <w:top w:val="nil"/>
              <w:left w:val="nil"/>
              <w:bottom w:val="single" w:sz="8" w:space="0" w:color="auto"/>
              <w:right w:val="nil"/>
            </w:tcBorders>
            <w:noWrap/>
            <w:vAlign w:val="bottom"/>
            <w:hideMark/>
          </w:tcPr>
          <w:p w14:paraId="10306E99"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89.9447</w:t>
            </w:r>
          </w:p>
        </w:tc>
        <w:tc>
          <w:tcPr>
            <w:tcW w:w="960" w:type="dxa"/>
            <w:tcBorders>
              <w:top w:val="nil"/>
              <w:left w:val="nil"/>
              <w:bottom w:val="single" w:sz="8" w:space="0" w:color="auto"/>
              <w:right w:val="nil"/>
            </w:tcBorders>
            <w:noWrap/>
            <w:vAlign w:val="bottom"/>
            <w:hideMark/>
          </w:tcPr>
          <w:p w14:paraId="2D0FA05A"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239</w:t>
            </w:r>
          </w:p>
        </w:tc>
        <w:tc>
          <w:tcPr>
            <w:tcW w:w="1116" w:type="dxa"/>
            <w:tcBorders>
              <w:top w:val="nil"/>
              <w:left w:val="nil"/>
              <w:bottom w:val="single" w:sz="8" w:space="0" w:color="auto"/>
              <w:right w:val="nil"/>
            </w:tcBorders>
            <w:noWrap/>
            <w:vAlign w:val="bottom"/>
            <w:hideMark/>
          </w:tcPr>
          <w:p w14:paraId="4B875C16"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14:paraId="22E48518"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996" w:type="dxa"/>
            <w:tcBorders>
              <w:top w:val="nil"/>
              <w:left w:val="nil"/>
              <w:bottom w:val="single" w:sz="8" w:space="0" w:color="auto"/>
              <w:right w:val="nil"/>
            </w:tcBorders>
            <w:noWrap/>
            <w:vAlign w:val="bottom"/>
            <w:hideMark/>
          </w:tcPr>
          <w:p w14:paraId="33D2C00A"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14:paraId="371DFCB3"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r>
    </w:tbl>
    <w:p w14:paraId="49ED0BDD" w14:textId="77777777" w:rsidR="001E5B1A" w:rsidRPr="0025682E" w:rsidRDefault="000C6DF9" w:rsidP="0025682E">
      <w:pPr>
        <w:tabs>
          <w:tab w:val="left" w:pos="360"/>
        </w:tabs>
        <w:spacing w:before="240" w:line="240" w:lineRule="auto"/>
        <w:jc w:val="both"/>
        <w:rPr>
          <w:rFonts w:ascii="Arial" w:hAnsi="Arial" w:cs="Arial"/>
          <w:sz w:val="20"/>
          <w:szCs w:val="20"/>
        </w:rPr>
      </w:pPr>
      <w:r w:rsidRPr="0025682E">
        <w:rPr>
          <w:rFonts w:ascii="Arial" w:hAnsi="Arial" w:cs="Arial"/>
          <w:sz w:val="20"/>
          <w:szCs w:val="20"/>
        </w:rPr>
        <w:t xml:space="preserve">As seen in Table </w:t>
      </w:r>
      <w:r w:rsidR="001E5B1A" w:rsidRPr="0025682E">
        <w:rPr>
          <w:rFonts w:ascii="Arial" w:hAnsi="Arial" w:cs="Arial"/>
          <w:sz w:val="20"/>
          <w:szCs w:val="20"/>
        </w:rPr>
        <w:t xml:space="preserve">5, with the </w:t>
      </w:r>
      <w:r w:rsidR="001E5B1A" w:rsidRPr="00ED715F">
        <w:rPr>
          <w:rFonts w:ascii="Arial" w:hAnsi="Arial" w:cs="Arial"/>
          <w:i/>
          <w:sz w:val="20"/>
          <w:szCs w:val="20"/>
        </w:rPr>
        <w:t>P</w:t>
      </w:r>
      <w:r w:rsidR="00ED715F">
        <w:rPr>
          <w:rFonts w:ascii="Arial" w:hAnsi="Arial" w:cs="Arial"/>
          <w:sz w:val="20"/>
          <w:szCs w:val="20"/>
        </w:rPr>
        <w:t>-value of 0.015</w:t>
      </w:r>
      <w:r w:rsidR="001E5B1A" w:rsidRPr="0025682E">
        <w:rPr>
          <w:rFonts w:ascii="Arial" w:hAnsi="Arial" w:cs="Arial"/>
          <w:sz w:val="20"/>
          <w:szCs w:val="20"/>
        </w:rPr>
        <w:t xml:space="preserve">, it could be said that there was a statistically significant difference in Pesticide residues levels in the different food crops </w:t>
      </w:r>
      <w:proofErr w:type="spellStart"/>
      <w:r w:rsidR="001E5B1A" w:rsidRPr="0025682E">
        <w:rPr>
          <w:rFonts w:ascii="Arial" w:hAnsi="Arial" w:cs="Arial"/>
          <w:sz w:val="20"/>
          <w:szCs w:val="20"/>
        </w:rPr>
        <w:t>analysed</w:t>
      </w:r>
      <w:proofErr w:type="spellEnd"/>
      <w:r w:rsidR="001E5B1A" w:rsidRPr="0025682E">
        <w:rPr>
          <w:rFonts w:ascii="Arial" w:hAnsi="Arial" w:cs="Arial"/>
          <w:sz w:val="20"/>
          <w:szCs w:val="20"/>
        </w:rPr>
        <w:t>. The F statistics value of 2.20 also suggests that the variance in pesticide residues level between the groups (different samples) is substantial relative to the variance within each sample sites. Since the F- value (2.20) is greater than the F-critical (1.83), therefore there is a statistically significant difference in pesticide residue levels between the different farms and markets samples. This could imply that pesticides or residue levels are not consistent across the farms and markets included in the study.</w:t>
      </w:r>
    </w:p>
    <w:p w14:paraId="25ECF51A" w14:textId="77777777" w:rsidR="001E5B1A" w:rsidRPr="0025682E" w:rsidRDefault="001E5B1A" w:rsidP="0025682E">
      <w:pPr>
        <w:pStyle w:val="Heading1"/>
        <w:spacing w:after="240"/>
        <w:rPr>
          <w:rFonts w:ascii="Arial" w:hAnsi="Arial" w:cs="Arial"/>
          <w:b w:val="0"/>
          <w:sz w:val="20"/>
          <w:szCs w:val="20"/>
        </w:rPr>
      </w:pPr>
      <w:r w:rsidRPr="0025682E">
        <w:rPr>
          <w:rFonts w:ascii="Arial" w:hAnsi="Arial" w:cs="Arial"/>
          <w:b w:val="0"/>
          <w:sz w:val="20"/>
          <w:szCs w:val="20"/>
        </w:rPr>
        <w:t>4.</w:t>
      </w:r>
      <w:r w:rsidRPr="0025682E">
        <w:rPr>
          <w:rFonts w:ascii="Arial" w:hAnsi="Arial" w:cs="Arial"/>
          <w:b w:val="0"/>
          <w:sz w:val="20"/>
          <w:szCs w:val="20"/>
        </w:rPr>
        <w:tab/>
        <w:t xml:space="preserve"> </w:t>
      </w:r>
      <w:r w:rsidRPr="0025682E">
        <w:rPr>
          <w:rStyle w:val="Strong"/>
          <w:rFonts w:ascii="Arial" w:hAnsi="Arial" w:cs="Arial"/>
          <w:b/>
          <w:sz w:val="20"/>
          <w:szCs w:val="20"/>
        </w:rPr>
        <w:t>CONCLUSION AND RECOMMENDATIONS</w:t>
      </w:r>
    </w:p>
    <w:p w14:paraId="0E83BBCB" w14:textId="77777777" w:rsidR="001E5B1A" w:rsidRPr="0025682E" w:rsidRDefault="001E5B1A" w:rsidP="0025682E">
      <w:pPr>
        <w:pStyle w:val="my-0"/>
        <w:jc w:val="both"/>
        <w:rPr>
          <w:rFonts w:ascii="Arial" w:hAnsi="Arial" w:cs="Arial"/>
          <w:sz w:val="20"/>
          <w:szCs w:val="20"/>
        </w:rPr>
      </w:pPr>
      <w:r w:rsidRPr="0025682E">
        <w:rPr>
          <w:rFonts w:ascii="Arial" w:hAnsi="Arial" w:cs="Arial"/>
          <w:sz w:val="20"/>
          <w:szCs w:val="20"/>
        </w:rPr>
        <w:t>The study investigated the presence of organochlorine pesticide residues in various food crop. Twelve organochlorine pesticides were detected in fluted pumpkin leaves (PV only), chili peppers, and beans, while maize samples contained ten different residues and fluted pumpkin leaves (PD) contained 8 organochlorine pesticides. Almost all detected pesticide residues concentrations exceeded the WHO/FAO recommended maximum residue levels (MRLs), with several pesticides identified as banned by the US EPA. Endosulfan I, Heptachlor, Dieldrin, and Beta-BHC were seen to have highest concentrations in some crops included. The persistence of these chemicals in food crops is likely attributable to their continued illegal use for preservation or lingering from previous applications during cultivation. These findings raise significant health concerns as prolonged exposure to high levels of organochlorine pesticides is known to pose serious risks to consumers. While the hazard quotient (HQ) and hazard index (HI) suggest that immediate risks might be low, the long-term presence of these banned substances underscores the need for urgent regulatory action.</w:t>
      </w:r>
    </w:p>
    <w:p w14:paraId="6EC809F3" w14:textId="77777777" w:rsidR="001E5B1A" w:rsidRDefault="001E5B1A" w:rsidP="0025682E">
      <w:pPr>
        <w:pStyle w:val="my-0"/>
        <w:jc w:val="both"/>
        <w:rPr>
          <w:rFonts w:ascii="Arial" w:hAnsi="Arial" w:cs="Arial"/>
          <w:sz w:val="20"/>
          <w:szCs w:val="20"/>
        </w:rPr>
      </w:pPr>
      <w:r w:rsidRPr="0025682E">
        <w:rPr>
          <w:rFonts w:ascii="Arial" w:hAnsi="Arial" w:cs="Arial"/>
          <w:sz w:val="20"/>
          <w:szCs w:val="20"/>
        </w:rPr>
        <w:t>To mitigate these risks, the study recommends that government enforcement agencies, such as the Ministry of Agriculture and the Environmental Protection Agency of Nigeria, adopt stricter measures to prevent the importation, sale, and use of banned or unapproved pesticides. It also emphasizes the importance of routine monitoring both during crop production and at the point of sale to control and reduce environmental pesticide pollution and consequent human health risks. Furthermore, commercial farmers should be regularly educated about the approved types, correct dosages, and safe application frequencies of pesticides to discourage the misuse of hazardous substances. Strengthening pesticide regulations and monitoring is critical to protect public health and enhance the international acceptance of Nigerian agricultural exports.</w:t>
      </w:r>
    </w:p>
    <w:p w14:paraId="69190E56" w14:textId="77777777" w:rsidR="00E37BAF" w:rsidRDefault="00E37BAF" w:rsidP="00E37BAF">
      <w:pPr>
        <w:pStyle w:val="ReferHead"/>
        <w:spacing w:after="0"/>
        <w:jc w:val="both"/>
        <w:rPr>
          <w:rFonts w:ascii="Arial" w:hAnsi="Arial" w:cs="Arial"/>
          <w:b w:val="0"/>
          <w:caps w:val="0"/>
          <w:sz w:val="20"/>
        </w:rPr>
      </w:pPr>
      <w:bookmarkStart w:id="16" w:name="_GoBack"/>
      <w:bookmarkEnd w:id="16"/>
    </w:p>
    <w:p w14:paraId="0147E093" w14:textId="77777777" w:rsidR="001E5B1A" w:rsidRDefault="001E5B1A" w:rsidP="001E5B1A">
      <w:pPr>
        <w:rPr>
          <w:rFonts w:ascii="Arial" w:hAnsi="Arial" w:cs="Arial"/>
          <w:b/>
          <w:sz w:val="20"/>
          <w:szCs w:val="20"/>
        </w:rPr>
      </w:pPr>
      <w:r w:rsidRPr="0025682E">
        <w:rPr>
          <w:rFonts w:ascii="Arial" w:hAnsi="Arial" w:cs="Arial"/>
          <w:b/>
          <w:sz w:val="20"/>
          <w:szCs w:val="20"/>
        </w:rPr>
        <w:t>REFERENCES</w:t>
      </w:r>
    </w:p>
    <w:p w14:paraId="39E8BFE7" w14:textId="36AD02B2" w:rsidR="0076661D" w:rsidRDefault="0076661D" w:rsidP="00A51C9F">
      <w:pPr>
        <w:ind w:left="720" w:hanging="720"/>
        <w:jc w:val="both"/>
        <w:rPr>
          <w:rFonts w:ascii="Arial" w:hAnsi="Arial" w:cs="Arial"/>
          <w:sz w:val="20"/>
        </w:rPr>
      </w:pPr>
      <w:proofErr w:type="spellStart"/>
      <w:r w:rsidRPr="0076661D">
        <w:rPr>
          <w:rFonts w:ascii="Arial" w:hAnsi="Arial" w:cs="Arial"/>
          <w:sz w:val="20"/>
        </w:rPr>
        <w:t>Adefemi</w:t>
      </w:r>
      <w:proofErr w:type="spellEnd"/>
      <w:r w:rsidRPr="0076661D">
        <w:rPr>
          <w:rFonts w:ascii="Arial" w:hAnsi="Arial" w:cs="Arial"/>
          <w:sz w:val="20"/>
        </w:rPr>
        <w:t xml:space="preserve">, S. O., </w:t>
      </w:r>
      <w:proofErr w:type="spellStart"/>
      <w:r w:rsidRPr="0076661D">
        <w:rPr>
          <w:rFonts w:ascii="Arial" w:hAnsi="Arial" w:cs="Arial"/>
          <w:sz w:val="20"/>
        </w:rPr>
        <w:t>Asaolu</w:t>
      </w:r>
      <w:proofErr w:type="spellEnd"/>
      <w:r w:rsidRPr="0076661D">
        <w:rPr>
          <w:rFonts w:ascii="Arial" w:hAnsi="Arial" w:cs="Arial"/>
          <w:sz w:val="20"/>
        </w:rPr>
        <w:t xml:space="preserve">, S. S., </w:t>
      </w:r>
      <w:proofErr w:type="spellStart"/>
      <w:r w:rsidRPr="0076661D">
        <w:rPr>
          <w:rFonts w:ascii="Arial" w:hAnsi="Arial" w:cs="Arial"/>
          <w:sz w:val="20"/>
        </w:rPr>
        <w:t>Ibigbami</w:t>
      </w:r>
      <w:proofErr w:type="spellEnd"/>
      <w:r w:rsidRPr="0076661D">
        <w:rPr>
          <w:rFonts w:ascii="Arial" w:hAnsi="Arial" w:cs="Arial"/>
          <w:sz w:val="20"/>
        </w:rPr>
        <w:t xml:space="preserve">, O. A., </w:t>
      </w:r>
      <w:proofErr w:type="spellStart"/>
      <w:r w:rsidRPr="0076661D">
        <w:rPr>
          <w:rFonts w:ascii="Arial" w:hAnsi="Arial" w:cs="Arial"/>
          <w:sz w:val="20"/>
        </w:rPr>
        <w:t>Orege</w:t>
      </w:r>
      <w:proofErr w:type="spellEnd"/>
      <w:r w:rsidRPr="0076661D">
        <w:rPr>
          <w:rFonts w:ascii="Arial" w:hAnsi="Arial" w:cs="Arial"/>
          <w:sz w:val="20"/>
        </w:rPr>
        <w:t xml:space="preserve">, J. I., Azeez, M. A., &amp; </w:t>
      </w:r>
      <w:proofErr w:type="spellStart"/>
      <w:r w:rsidRPr="0076661D">
        <w:rPr>
          <w:rFonts w:ascii="Arial" w:hAnsi="Arial" w:cs="Arial"/>
          <w:sz w:val="20"/>
        </w:rPr>
        <w:t>Akinsola</w:t>
      </w:r>
      <w:proofErr w:type="spellEnd"/>
      <w:r w:rsidRPr="0076661D">
        <w:rPr>
          <w:rFonts w:ascii="Arial" w:hAnsi="Arial" w:cs="Arial"/>
          <w:sz w:val="20"/>
        </w:rPr>
        <w:t xml:space="preserve">, A. F. (2018). Multi-residue levels of persistent organochlorine pesticides in edible vegetables: a human </w:t>
      </w:r>
      <w:r w:rsidRPr="0076661D">
        <w:rPr>
          <w:rFonts w:ascii="Arial" w:hAnsi="Arial" w:cs="Arial"/>
          <w:sz w:val="20"/>
        </w:rPr>
        <w:lastRenderedPageBreak/>
        <w:t xml:space="preserve">health risk assessment. Journal of Agricultural Chemistry and Environment, 7(4), 143-152. </w:t>
      </w:r>
      <w:hyperlink r:id="rId17" w:history="1">
        <w:r w:rsidRPr="001655EE">
          <w:rPr>
            <w:rStyle w:val="Hyperlink"/>
            <w:rFonts w:ascii="Arial" w:hAnsi="Arial" w:cs="Arial"/>
            <w:sz w:val="20"/>
          </w:rPr>
          <w:t>https://doi.org/10.4236/jacen.2018.74013</w:t>
        </w:r>
      </w:hyperlink>
    </w:p>
    <w:p w14:paraId="35C54890" w14:textId="3C7FC664" w:rsidR="0076661D" w:rsidRPr="0076661D" w:rsidRDefault="0076661D" w:rsidP="00A51C9F">
      <w:pPr>
        <w:ind w:left="720" w:hanging="720"/>
        <w:jc w:val="both"/>
        <w:rPr>
          <w:rFonts w:ascii="Arial" w:hAnsi="Arial" w:cs="Arial"/>
          <w:sz w:val="20"/>
          <w:lang w:val="fr-FR"/>
        </w:rPr>
      </w:pPr>
      <w:r w:rsidRPr="0076661D">
        <w:rPr>
          <w:rFonts w:ascii="Arial" w:hAnsi="Arial" w:cs="Arial"/>
          <w:sz w:val="20"/>
        </w:rPr>
        <w:t xml:space="preserve">Agency for Toxic Substances and Disease Registry (ATSDR). (2007). Toxicological Profile for Heptachlor and Heptachlor Epoxide. US Department of Health and Human Services, Public Health Service. </w:t>
      </w:r>
      <w:hyperlink r:id="rId18" w:history="1">
        <w:r w:rsidRPr="0076661D">
          <w:rPr>
            <w:rStyle w:val="Hyperlink"/>
            <w:rFonts w:ascii="Arial" w:hAnsi="Arial" w:cs="Arial"/>
            <w:sz w:val="20"/>
            <w:lang w:val="fr-FR"/>
          </w:rPr>
          <w:t>https://stacks.cdc.gov/view/cdc/7166</w:t>
        </w:r>
      </w:hyperlink>
    </w:p>
    <w:p w14:paraId="77B4DE97" w14:textId="509CB603" w:rsidR="0076661D" w:rsidRDefault="0076661D" w:rsidP="001E5B1A">
      <w:pPr>
        <w:ind w:left="720" w:hanging="720"/>
        <w:jc w:val="both"/>
        <w:rPr>
          <w:rFonts w:ascii="Arial" w:hAnsi="Arial" w:cs="Arial"/>
          <w:sz w:val="20"/>
          <w:szCs w:val="20"/>
          <w:lang w:val="en-IN"/>
        </w:rPr>
      </w:pPr>
      <w:proofErr w:type="spellStart"/>
      <w:r w:rsidRPr="0076661D">
        <w:rPr>
          <w:rFonts w:ascii="Arial" w:hAnsi="Arial" w:cs="Arial"/>
          <w:sz w:val="20"/>
          <w:szCs w:val="20"/>
          <w:lang w:val="fr-FR"/>
        </w:rPr>
        <w:t>Akande</w:t>
      </w:r>
      <w:proofErr w:type="spellEnd"/>
      <w:r w:rsidRPr="0076661D">
        <w:rPr>
          <w:rFonts w:ascii="Arial" w:hAnsi="Arial" w:cs="Arial"/>
          <w:sz w:val="20"/>
          <w:szCs w:val="20"/>
          <w:lang w:val="fr-FR"/>
        </w:rPr>
        <w:t xml:space="preserve">, M. G., </w:t>
      </w:r>
      <w:proofErr w:type="spellStart"/>
      <w:r w:rsidRPr="0076661D">
        <w:rPr>
          <w:rFonts w:ascii="Arial" w:hAnsi="Arial" w:cs="Arial"/>
          <w:sz w:val="20"/>
          <w:szCs w:val="20"/>
          <w:lang w:val="fr-FR"/>
        </w:rPr>
        <w:t>Sanni</w:t>
      </w:r>
      <w:proofErr w:type="spellEnd"/>
      <w:r w:rsidRPr="0076661D">
        <w:rPr>
          <w:rFonts w:ascii="Arial" w:hAnsi="Arial" w:cs="Arial"/>
          <w:sz w:val="20"/>
          <w:szCs w:val="20"/>
          <w:lang w:val="fr-FR"/>
        </w:rPr>
        <w:t xml:space="preserve">, F. S., &amp; </w:t>
      </w:r>
      <w:proofErr w:type="spellStart"/>
      <w:r w:rsidRPr="0076661D">
        <w:rPr>
          <w:rFonts w:ascii="Arial" w:hAnsi="Arial" w:cs="Arial"/>
          <w:sz w:val="20"/>
          <w:szCs w:val="20"/>
          <w:lang w:val="fr-FR"/>
        </w:rPr>
        <w:t>Enefe</w:t>
      </w:r>
      <w:proofErr w:type="spellEnd"/>
      <w:r w:rsidRPr="0076661D">
        <w:rPr>
          <w:rFonts w:ascii="Arial" w:hAnsi="Arial" w:cs="Arial"/>
          <w:sz w:val="20"/>
          <w:szCs w:val="20"/>
          <w:lang w:val="fr-FR"/>
        </w:rPr>
        <w:t xml:space="preserve">, N. G. (2021). </w:t>
      </w:r>
      <w:r w:rsidRPr="0076661D">
        <w:rPr>
          <w:rFonts w:ascii="Arial" w:hAnsi="Arial" w:cs="Arial"/>
          <w:sz w:val="20"/>
          <w:szCs w:val="20"/>
          <w:lang w:val="en-IN"/>
        </w:rPr>
        <w:t>Assessment of the concentrations and health risk of some heavy metals in cowpea (</w:t>
      </w:r>
      <w:proofErr w:type="spellStart"/>
      <w:r w:rsidRPr="0076661D">
        <w:rPr>
          <w:rFonts w:ascii="Arial" w:hAnsi="Arial" w:cs="Arial"/>
          <w:sz w:val="20"/>
          <w:szCs w:val="20"/>
          <w:lang w:val="en-IN"/>
        </w:rPr>
        <w:t>Vignus</w:t>
      </w:r>
      <w:proofErr w:type="spellEnd"/>
      <w:r w:rsidRPr="0076661D">
        <w:rPr>
          <w:rFonts w:ascii="Arial" w:hAnsi="Arial" w:cs="Arial"/>
          <w:sz w:val="20"/>
          <w:szCs w:val="20"/>
          <w:lang w:val="en-IN"/>
        </w:rPr>
        <w:t xml:space="preserve"> </w:t>
      </w:r>
      <w:proofErr w:type="spellStart"/>
      <w:r w:rsidRPr="0076661D">
        <w:rPr>
          <w:rFonts w:ascii="Arial" w:hAnsi="Arial" w:cs="Arial"/>
          <w:sz w:val="20"/>
          <w:szCs w:val="20"/>
          <w:lang w:val="en-IN"/>
        </w:rPr>
        <w:t>unguiculata</w:t>
      </w:r>
      <w:proofErr w:type="spellEnd"/>
      <w:r w:rsidRPr="0076661D">
        <w:rPr>
          <w:rFonts w:ascii="Arial" w:hAnsi="Arial" w:cs="Arial"/>
          <w:sz w:val="20"/>
          <w:szCs w:val="20"/>
          <w:lang w:val="en-IN"/>
        </w:rPr>
        <w:t xml:space="preserve">) in Gwagwalada, Nigeria. Drug and Chemical Toxicology, 44(5), 518-523 </w:t>
      </w:r>
      <w:hyperlink r:id="rId19" w:history="1">
        <w:r w:rsidRPr="001655EE">
          <w:rPr>
            <w:rStyle w:val="Hyperlink"/>
            <w:rFonts w:ascii="Arial" w:hAnsi="Arial" w:cs="Arial"/>
            <w:sz w:val="20"/>
            <w:szCs w:val="20"/>
            <w:lang w:val="en-IN"/>
          </w:rPr>
          <w:t>https://doi.org/10.1080/01480545.2019.1621334</w:t>
        </w:r>
      </w:hyperlink>
    </w:p>
    <w:p w14:paraId="64626955" w14:textId="4CD1981F" w:rsidR="0076661D" w:rsidRPr="0076661D" w:rsidRDefault="0076661D" w:rsidP="001E5B1A">
      <w:pPr>
        <w:ind w:left="720" w:hanging="720"/>
        <w:jc w:val="both"/>
        <w:rPr>
          <w:rFonts w:ascii="Arial" w:hAnsi="Arial" w:cs="Arial"/>
          <w:sz w:val="20"/>
          <w:szCs w:val="20"/>
          <w:lang w:val="fr-FR"/>
        </w:rPr>
      </w:pPr>
      <w:r w:rsidRPr="0076661D">
        <w:rPr>
          <w:rFonts w:ascii="Arial" w:hAnsi="Arial" w:cs="Arial"/>
          <w:sz w:val="20"/>
          <w:szCs w:val="20"/>
        </w:rPr>
        <w:t xml:space="preserve">Akpan, A. D., </w:t>
      </w:r>
      <w:proofErr w:type="spellStart"/>
      <w:r w:rsidRPr="0076661D">
        <w:rPr>
          <w:rFonts w:ascii="Arial" w:hAnsi="Arial" w:cs="Arial"/>
          <w:sz w:val="20"/>
          <w:szCs w:val="20"/>
        </w:rPr>
        <w:t>Asuquo</w:t>
      </w:r>
      <w:proofErr w:type="spellEnd"/>
      <w:r w:rsidRPr="0076661D">
        <w:rPr>
          <w:rFonts w:ascii="Arial" w:hAnsi="Arial" w:cs="Arial"/>
          <w:sz w:val="20"/>
          <w:szCs w:val="20"/>
        </w:rPr>
        <w:t xml:space="preserve">, P. O., &amp; </w:t>
      </w:r>
      <w:proofErr w:type="spellStart"/>
      <w:r w:rsidRPr="0076661D">
        <w:rPr>
          <w:rFonts w:ascii="Arial" w:hAnsi="Arial" w:cs="Arial"/>
          <w:sz w:val="20"/>
          <w:szCs w:val="20"/>
        </w:rPr>
        <w:t>Okori</w:t>
      </w:r>
      <w:proofErr w:type="spellEnd"/>
      <w:r w:rsidRPr="0076661D">
        <w:rPr>
          <w:rFonts w:ascii="Arial" w:hAnsi="Arial" w:cs="Arial"/>
          <w:sz w:val="20"/>
          <w:szCs w:val="20"/>
        </w:rPr>
        <w:t>, B. S.-U. (2025). Health risk assessment of heavy metals in sediment, shrimp (</w:t>
      </w:r>
      <w:proofErr w:type="spellStart"/>
      <w:r w:rsidRPr="0076661D">
        <w:rPr>
          <w:rFonts w:ascii="Arial" w:hAnsi="Arial" w:cs="Arial"/>
          <w:sz w:val="20"/>
          <w:szCs w:val="20"/>
        </w:rPr>
        <w:t>Parapenaeopsis</w:t>
      </w:r>
      <w:proofErr w:type="spellEnd"/>
      <w:r w:rsidRPr="0076661D">
        <w:rPr>
          <w:rFonts w:ascii="Arial" w:hAnsi="Arial" w:cs="Arial"/>
          <w:sz w:val="20"/>
          <w:szCs w:val="20"/>
        </w:rPr>
        <w:t xml:space="preserve"> </w:t>
      </w:r>
      <w:proofErr w:type="spellStart"/>
      <w:r w:rsidRPr="0076661D">
        <w:rPr>
          <w:rFonts w:ascii="Arial" w:hAnsi="Arial" w:cs="Arial"/>
          <w:sz w:val="20"/>
          <w:szCs w:val="20"/>
        </w:rPr>
        <w:t>atlantica</w:t>
      </w:r>
      <w:proofErr w:type="spellEnd"/>
      <w:r w:rsidRPr="0076661D">
        <w:rPr>
          <w:rFonts w:ascii="Arial" w:hAnsi="Arial" w:cs="Arial"/>
          <w:sz w:val="20"/>
          <w:szCs w:val="20"/>
        </w:rPr>
        <w:t>), and periwinkles (</w:t>
      </w:r>
      <w:proofErr w:type="spellStart"/>
      <w:r w:rsidRPr="0076661D">
        <w:rPr>
          <w:rFonts w:ascii="Arial" w:hAnsi="Arial" w:cs="Arial"/>
          <w:sz w:val="20"/>
          <w:szCs w:val="20"/>
        </w:rPr>
        <w:t>Tympanotonus</w:t>
      </w:r>
      <w:proofErr w:type="spellEnd"/>
      <w:r w:rsidRPr="0076661D">
        <w:rPr>
          <w:rFonts w:ascii="Arial" w:hAnsi="Arial" w:cs="Arial"/>
          <w:sz w:val="20"/>
          <w:szCs w:val="20"/>
        </w:rPr>
        <w:t xml:space="preserve"> </w:t>
      </w:r>
      <w:proofErr w:type="spellStart"/>
      <w:r w:rsidRPr="0076661D">
        <w:rPr>
          <w:rFonts w:ascii="Arial" w:hAnsi="Arial" w:cs="Arial"/>
          <w:sz w:val="20"/>
          <w:szCs w:val="20"/>
        </w:rPr>
        <w:t>fuscatus</w:t>
      </w:r>
      <w:proofErr w:type="spellEnd"/>
      <w:r w:rsidRPr="0076661D">
        <w:rPr>
          <w:rFonts w:ascii="Arial" w:hAnsi="Arial" w:cs="Arial"/>
          <w:sz w:val="20"/>
          <w:szCs w:val="20"/>
        </w:rPr>
        <w:t xml:space="preserve">) from </w:t>
      </w:r>
      <w:proofErr w:type="spellStart"/>
      <w:r w:rsidRPr="0076661D">
        <w:rPr>
          <w:rFonts w:ascii="Arial" w:hAnsi="Arial" w:cs="Arial"/>
          <w:sz w:val="20"/>
          <w:szCs w:val="20"/>
        </w:rPr>
        <w:t>Esuk</w:t>
      </w:r>
      <w:proofErr w:type="spellEnd"/>
      <w:r w:rsidRPr="0076661D">
        <w:rPr>
          <w:rFonts w:ascii="Arial" w:hAnsi="Arial" w:cs="Arial"/>
          <w:sz w:val="20"/>
          <w:szCs w:val="20"/>
        </w:rPr>
        <w:t xml:space="preserve"> </w:t>
      </w:r>
      <w:proofErr w:type="spellStart"/>
      <w:r w:rsidRPr="0076661D">
        <w:rPr>
          <w:rFonts w:ascii="Arial" w:hAnsi="Arial" w:cs="Arial"/>
          <w:sz w:val="20"/>
          <w:szCs w:val="20"/>
        </w:rPr>
        <w:t>Ibeno</w:t>
      </w:r>
      <w:proofErr w:type="spellEnd"/>
      <w:r w:rsidRPr="0076661D">
        <w:rPr>
          <w:rFonts w:ascii="Arial" w:hAnsi="Arial" w:cs="Arial"/>
          <w:sz w:val="20"/>
          <w:szCs w:val="20"/>
        </w:rPr>
        <w:t xml:space="preserve"> Beach, </w:t>
      </w:r>
      <w:proofErr w:type="spellStart"/>
      <w:r w:rsidRPr="0076661D">
        <w:rPr>
          <w:rFonts w:ascii="Arial" w:hAnsi="Arial" w:cs="Arial"/>
          <w:sz w:val="20"/>
          <w:szCs w:val="20"/>
        </w:rPr>
        <w:t>Akwa</w:t>
      </w:r>
      <w:proofErr w:type="spellEnd"/>
      <w:r w:rsidRPr="0076661D">
        <w:rPr>
          <w:rFonts w:ascii="Arial" w:hAnsi="Arial" w:cs="Arial"/>
          <w:sz w:val="20"/>
          <w:szCs w:val="20"/>
        </w:rPr>
        <w:t xml:space="preserve"> Ibom State, Nigeria. European Journal of Chemistry, 16(3), 259-266. </w:t>
      </w:r>
      <w:hyperlink r:id="rId20" w:history="1">
        <w:r w:rsidRPr="0076661D">
          <w:rPr>
            <w:rStyle w:val="Hyperlink"/>
            <w:rFonts w:ascii="Arial" w:hAnsi="Arial" w:cs="Arial"/>
            <w:sz w:val="20"/>
            <w:szCs w:val="20"/>
            <w:lang w:val="fr-FR"/>
          </w:rPr>
          <w:t>https://doi.org/10.5155/eurjchem.16.3.259-266.2620</w:t>
        </w:r>
      </w:hyperlink>
    </w:p>
    <w:p w14:paraId="3D92D32A" w14:textId="26F31C7D" w:rsidR="0076661D" w:rsidRDefault="0076661D" w:rsidP="001E5B1A">
      <w:pPr>
        <w:ind w:left="720" w:hanging="720"/>
        <w:jc w:val="both"/>
        <w:rPr>
          <w:rFonts w:ascii="Arial" w:hAnsi="Arial" w:cs="Arial"/>
          <w:sz w:val="20"/>
          <w:szCs w:val="20"/>
          <w:lang w:val="en-IN"/>
        </w:rPr>
      </w:pPr>
      <w:r w:rsidRPr="0076661D">
        <w:rPr>
          <w:rFonts w:ascii="Arial" w:hAnsi="Arial" w:cs="Arial"/>
          <w:sz w:val="20"/>
          <w:szCs w:val="20"/>
          <w:lang w:val="en-IN"/>
        </w:rPr>
        <w:t xml:space="preserve">Akpan, A. D., </w:t>
      </w:r>
      <w:proofErr w:type="spellStart"/>
      <w:r w:rsidRPr="0076661D">
        <w:rPr>
          <w:rFonts w:ascii="Arial" w:hAnsi="Arial" w:cs="Arial"/>
          <w:sz w:val="20"/>
          <w:szCs w:val="20"/>
          <w:lang w:val="en-IN"/>
        </w:rPr>
        <w:t>Okori</w:t>
      </w:r>
      <w:proofErr w:type="spellEnd"/>
      <w:r w:rsidRPr="0076661D">
        <w:rPr>
          <w:rFonts w:ascii="Arial" w:hAnsi="Arial" w:cs="Arial"/>
          <w:sz w:val="20"/>
          <w:szCs w:val="20"/>
          <w:lang w:val="en-IN"/>
        </w:rPr>
        <w:t xml:space="preserve">, B. S., &amp; </w:t>
      </w:r>
      <w:proofErr w:type="spellStart"/>
      <w:r w:rsidRPr="0076661D">
        <w:rPr>
          <w:rFonts w:ascii="Arial" w:hAnsi="Arial" w:cs="Arial"/>
          <w:sz w:val="20"/>
          <w:szCs w:val="20"/>
          <w:lang w:val="en-IN"/>
        </w:rPr>
        <w:t>Ekpechi</w:t>
      </w:r>
      <w:proofErr w:type="spellEnd"/>
      <w:r w:rsidRPr="0076661D">
        <w:rPr>
          <w:rFonts w:ascii="Arial" w:hAnsi="Arial" w:cs="Arial"/>
          <w:sz w:val="20"/>
          <w:szCs w:val="20"/>
          <w:lang w:val="en-IN"/>
        </w:rPr>
        <w:t xml:space="preserve">, D. C. (2022). Human Health Risk Assessment of Polycyclic Aromatic Hydrocarbons in Water Samples around </w:t>
      </w:r>
      <w:proofErr w:type="spellStart"/>
      <w:r w:rsidRPr="0076661D">
        <w:rPr>
          <w:rFonts w:ascii="Arial" w:hAnsi="Arial" w:cs="Arial"/>
          <w:sz w:val="20"/>
          <w:szCs w:val="20"/>
          <w:lang w:val="en-IN"/>
        </w:rPr>
        <w:t>Eket</w:t>
      </w:r>
      <w:proofErr w:type="spellEnd"/>
      <w:r w:rsidRPr="0076661D">
        <w:rPr>
          <w:rFonts w:ascii="Arial" w:hAnsi="Arial" w:cs="Arial"/>
          <w:sz w:val="20"/>
          <w:szCs w:val="20"/>
          <w:lang w:val="en-IN"/>
        </w:rPr>
        <w:t xml:space="preserve"> Metropolis, </w:t>
      </w:r>
      <w:proofErr w:type="spellStart"/>
      <w:r w:rsidRPr="0076661D">
        <w:rPr>
          <w:rFonts w:ascii="Arial" w:hAnsi="Arial" w:cs="Arial"/>
          <w:sz w:val="20"/>
          <w:szCs w:val="20"/>
          <w:lang w:val="en-IN"/>
        </w:rPr>
        <w:t>Akwa</w:t>
      </w:r>
      <w:proofErr w:type="spellEnd"/>
      <w:r w:rsidRPr="0076661D">
        <w:rPr>
          <w:rFonts w:ascii="Arial" w:hAnsi="Arial" w:cs="Arial"/>
          <w:sz w:val="20"/>
          <w:szCs w:val="20"/>
          <w:lang w:val="en-IN"/>
        </w:rPr>
        <w:t xml:space="preserve"> Ibom State, Nigeria. Asian Journal of Environment &amp; Ecology. </w:t>
      </w:r>
      <w:hyperlink r:id="rId21" w:history="1">
        <w:r w:rsidRPr="001655EE">
          <w:rPr>
            <w:rStyle w:val="Hyperlink"/>
            <w:rFonts w:ascii="Arial" w:hAnsi="Arial" w:cs="Arial"/>
            <w:sz w:val="20"/>
            <w:szCs w:val="20"/>
            <w:lang w:val="en-IN"/>
          </w:rPr>
          <w:t>https://doi.org/10.9734/ajee/2022/v19i4419</w:t>
        </w:r>
      </w:hyperlink>
    </w:p>
    <w:p w14:paraId="001C3256" w14:textId="7F79C540" w:rsidR="0076661D" w:rsidRDefault="0076661D" w:rsidP="001E5B1A">
      <w:pPr>
        <w:ind w:left="720" w:hanging="720"/>
        <w:jc w:val="both"/>
        <w:rPr>
          <w:rFonts w:ascii="Arial" w:hAnsi="Arial" w:cs="Arial"/>
          <w:sz w:val="20"/>
          <w:szCs w:val="20"/>
        </w:rPr>
      </w:pPr>
      <w:proofErr w:type="spellStart"/>
      <w:r w:rsidRPr="0076661D">
        <w:rPr>
          <w:rFonts w:ascii="Arial" w:hAnsi="Arial" w:cs="Arial"/>
          <w:sz w:val="20"/>
          <w:szCs w:val="20"/>
        </w:rPr>
        <w:t>Aulakh</w:t>
      </w:r>
      <w:proofErr w:type="spellEnd"/>
      <w:r w:rsidRPr="0076661D">
        <w:rPr>
          <w:rFonts w:ascii="Arial" w:hAnsi="Arial" w:cs="Arial"/>
          <w:sz w:val="20"/>
          <w:szCs w:val="20"/>
        </w:rPr>
        <w:t xml:space="preserve">, R. S., Gill, J. P., </w:t>
      </w:r>
      <w:proofErr w:type="spellStart"/>
      <w:r w:rsidRPr="0076661D">
        <w:rPr>
          <w:rFonts w:ascii="Arial" w:hAnsi="Arial" w:cs="Arial"/>
          <w:sz w:val="20"/>
          <w:szCs w:val="20"/>
        </w:rPr>
        <w:t>Bedi</w:t>
      </w:r>
      <w:proofErr w:type="spellEnd"/>
      <w:r w:rsidRPr="0076661D">
        <w:rPr>
          <w:rFonts w:ascii="Arial" w:hAnsi="Arial" w:cs="Arial"/>
          <w:sz w:val="20"/>
          <w:szCs w:val="20"/>
        </w:rPr>
        <w:t xml:space="preserve">, J., Sharma, J. K., </w:t>
      </w:r>
      <w:proofErr w:type="spellStart"/>
      <w:r w:rsidRPr="0076661D">
        <w:rPr>
          <w:rFonts w:ascii="Arial" w:hAnsi="Arial" w:cs="Arial"/>
          <w:sz w:val="20"/>
          <w:szCs w:val="20"/>
        </w:rPr>
        <w:t>Joia</w:t>
      </w:r>
      <w:proofErr w:type="spellEnd"/>
      <w:r w:rsidRPr="0076661D">
        <w:rPr>
          <w:rFonts w:ascii="Arial" w:hAnsi="Arial" w:cs="Arial"/>
          <w:sz w:val="20"/>
          <w:szCs w:val="20"/>
        </w:rPr>
        <w:t xml:space="preserve">, B. S., &amp; </w:t>
      </w:r>
      <w:proofErr w:type="spellStart"/>
      <w:r w:rsidRPr="0076661D">
        <w:rPr>
          <w:rFonts w:ascii="Arial" w:hAnsi="Arial" w:cs="Arial"/>
          <w:sz w:val="20"/>
          <w:szCs w:val="20"/>
        </w:rPr>
        <w:t>Ockerman</w:t>
      </w:r>
      <w:proofErr w:type="spellEnd"/>
      <w:r w:rsidRPr="0076661D">
        <w:rPr>
          <w:rFonts w:ascii="Arial" w:hAnsi="Arial" w:cs="Arial"/>
          <w:sz w:val="20"/>
          <w:szCs w:val="20"/>
        </w:rPr>
        <w:t xml:space="preserve">, H. W. (2006). Organochlorine pesticide residues in poultry feed, chicken muscle and eggs at a poultry farm in Punjab, India. Journal of the Science of Food and Agriculture, 86(5), 741-744. </w:t>
      </w:r>
      <w:hyperlink r:id="rId22" w:history="1">
        <w:r w:rsidRPr="001655EE">
          <w:rPr>
            <w:rStyle w:val="Hyperlink"/>
            <w:rFonts w:ascii="Arial" w:hAnsi="Arial" w:cs="Arial"/>
            <w:sz w:val="20"/>
            <w:szCs w:val="20"/>
          </w:rPr>
          <w:t>https://doi.org/10.1002/JSFA.2407</w:t>
        </w:r>
      </w:hyperlink>
    </w:p>
    <w:p w14:paraId="3E8957CD" w14:textId="446A417F"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El </w:t>
      </w:r>
      <w:proofErr w:type="spellStart"/>
      <w:r w:rsidRPr="0076661D">
        <w:rPr>
          <w:rFonts w:ascii="Arial" w:hAnsi="Arial" w:cs="Arial"/>
          <w:sz w:val="20"/>
          <w:szCs w:val="20"/>
        </w:rPr>
        <w:t>Hawari</w:t>
      </w:r>
      <w:proofErr w:type="spellEnd"/>
      <w:r w:rsidRPr="0076661D">
        <w:rPr>
          <w:rFonts w:ascii="Arial" w:hAnsi="Arial" w:cs="Arial"/>
          <w:sz w:val="20"/>
          <w:szCs w:val="20"/>
        </w:rPr>
        <w:t xml:space="preserve">, K., </w:t>
      </w:r>
      <w:proofErr w:type="spellStart"/>
      <w:r w:rsidRPr="0076661D">
        <w:rPr>
          <w:rFonts w:ascii="Arial" w:hAnsi="Arial" w:cs="Arial"/>
          <w:sz w:val="20"/>
          <w:szCs w:val="20"/>
        </w:rPr>
        <w:t>Mokh</w:t>
      </w:r>
      <w:proofErr w:type="spellEnd"/>
      <w:r w:rsidRPr="0076661D">
        <w:rPr>
          <w:rFonts w:ascii="Arial" w:hAnsi="Arial" w:cs="Arial"/>
          <w:sz w:val="20"/>
          <w:szCs w:val="20"/>
        </w:rPr>
        <w:t xml:space="preserve">, S., Al </w:t>
      </w:r>
      <w:proofErr w:type="spellStart"/>
      <w:r w:rsidRPr="0076661D">
        <w:rPr>
          <w:rFonts w:ascii="Arial" w:hAnsi="Arial" w:cs="Arial"/>
          <w:sz w:val="20"/>
          <w:szCs w:val="20"/>
        </w:rPr>
        <w:t>Iskandarani</w:t>
      </w:r>
      <w:proofErr w:type="spellEnd"/>
      <w:r w:rsidRPr="0076661D">
        <w:rPr>
          <w:rFonts w:ascii="Arial" w:hAnsi="Arial" w:cs="Arial"/>
          <w:sz w:val="20"/>
          <w:szCs w:val="20"/>
        </w:rPr>
        <w:t xml:space="preserve">, M., </w:t>
      </w:r>
      <w:proofErr w:type="spellStart"/>
      <w:r w:rsidRPr="0076661D">
        <w:rPr>
          <w:rFonts w:ascii="Arial" w:hAnsi="Arial" w:cs="Arial"/>
          <w:sz w:val="20"/>
          <w:szCs w:val="20"/>
        </w:rPr>
        <w:t>Halloum</w:t>
      </w:r>
      <w:proofErr w:type="spellEnd"/>
      <w:r w:rsidRPr="0076661D">
        <w:rPr>
          <w:rFonts w:ascii="Arial" w:hAnsi="Arial" w:cs="Arial"/>
          <w:sz w:val="20"/>
          <w:szCs w:val="20"/>
        </w:rPr>
        <w:t xml:space="preserve">, W., &amp; Jaber, F. (2019). Pesticide residues in Lebanese apples and health risk assessment. Food Additives and Contaminants: Part B Surveillance, 12(2), 81–89. </w:t>
      </w:r>
      <w:hyperlink r:id="rId23" w:history="1">
        <w:r w:rsidRPr="001655EE">
          <w:rPr>
            <w:rStyle w:val="Hyperlink"/>
            <w:rFonts w:ascii="Arial" w:hAnsi="Arial" w:cs="Arial"/>
            <w:sz w:val="20"/>
            <w:szCs w:val="20"/>
          </w:rPr>
          <w:t>https://doi.org/10.1080/19393210.2018.1564370</w:t>
        </w:r>
      </w:hyperlink>
    </w:p>
    <w:p w14:paraId="6F875278" w14:textId="21C69D36"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Environmental Protection Agency (EPA). (2011). EPA’s National-scale Air Toxics Assessment </w:t>
      </w:r>
      <w:proofErr w:type="gramStart"/>
      <w:r w:rsidRPr="0076661D">
        <w:rPr>
          <w:rFonts w:ascii="Arial" w:hAnsi="Arial" w:cs="Arial"/>
          <w:sz w:val="20"/>
          <w:szCs w:val="20"/>
        </w:rPr>
        <w:t>An</w:t>
      </w:r>
      <w:proofErr w:type="gramEnd"/>
      <w:r w:rsidRPr="0076661D">
        <w:rPr>
          <w:rFonts w:ascii="Arial" w:hAnsi="Arial" w:cs="Arial"/>
          <w:sz w:val="20"/>
          <w:szCs w:val="20"/>
        </w:rPr>
        <w:t xml:space="preserve"> Overview of Methods for EPA’s National-Scale Air Toxics Assessment. </w:t>
      </w:r>
      <w:hyperlink r:id="rId24" w:history="1">
        <w:r w:rsidRPr="001655EE">
          <w:rPr>
            <w:rStyle w:val="Hyperlink"/>
            <w:rFonts w:ascii="Arial" w:hAnsi="Arial" w:cs="Arial"/>
            <w:sz w:val="20"/>
            <w:szCs w:val="20"/>
          </w:rPr>
          <w:t>https://www.epa.gov/sites/production/files/2015-10/documents/2005-nata-tmd.pdf</w:t>
        </w:r>
      </w:hyperlink>
    </w:p>
    <w:p w14:paraId="7FC5C53F" w14:textId="0AC374A6" w:rsidR="0076661D" w:rsidRPr="0076661D" w:rsidRDefault="0076661D" w:rsidP="001E5B1A">
      <w:pPr>
        <w:ind w:left="720" w:hanging="720"/>
        <w:jc w:val="both"/>
        <w:rPr>
          <w:rFonts w:ascii="Arial" w:hAnsi="Arial" w:cs="Arial"/>
          <w:sz w:val="20"/>
          <w:lang w:val="pt-BR"/>
        </w:rPr>
      </w:pPr>
      <w:proofErr w:type="spellStart"/>
      <w:r w:rsidRPr="0076661D">
        <w:rPr>
          <w:rFonts w:ascii="Arial" w:hAnsi="Arial" w:cs="Arial"/>
          <w:sz w:val="20"/>
        </w:rPr>
        <w:t>Fagbohun</w:t>
      </w:r>
      <w:proofErr w:type="spellEnd"/>
      <w:r w:rsidRPr="0076661D">
        <w:rPr>
          <w:rFonts w:ascii="Arial" w:hAnsi="Arial" w:cs="Arial"/>
          <w:sz w:val="20"/>
        </w:rPr>
        <w:t xml:space="preserve">, A. A., Dauda, M. S., &amp; </w:t>
      </w:r>
      <w:proofErr w:type="spellStart"/>
      <w:r w:rsidRPr="0076661D">
        <w:rPr>
          <w:rFonts w:ascii="Arial" w:hAnsi="Arial" w:cs="Arial"/>
          <w:sz w:val="20"/>
        </w:rPr>
        <w:t>Anjorin</w:t>
      </w:r>
      <w:proofErr w:type="spellEnd"/>
      <w:r w:rsidRPr="0076661D">
        <w:rPr>
          <w:rFonts w:ascii="Arial" w:hAnsi="Arial" w:cs="Arial"/>
          <w:sz w:val="20"/>
        </w:rPr>
        <w:t xml:space="preserve">, T. S. (2023). Comparative profile of glyphosate residues in cowpea grains sold in the municipal and satellite towns of Abuja, Nigeria. World Journal of Advanced Research and Reviews. </w:t>
      </w:r>
      <w:hyperlink r:id="rId25" w:history="1">
        <w:r w:rsidRPr="0076661D">
          <w:rPr>
            <w:rStyle w:val="Hyperlink"/>
            <w:rFonts w:ascii="Arial" w:hAnsi="Arial" w:cs="Arial"/>
            <w:sz w:val="20"/>
            <w:lang w:val="pt-BR"/>
          </w:rPr>
          <w:t>https://doi.org/10.30574/wjarr.2023.19.1.1308</w:t>
        </w:r>
      </w:hyperlink>
    </w:p>
    <w:p w14:paraId="12D6A6FC" w14:textId="0CA6D50F" w:rsidR="0076661D" w:rsidRDefault="0076661D" w:rsidP="001E5B1A">
      <w:pPr>
        <w:ind w:left="720" w:hanging="720"/>
        <w:jc w:val="both"/>
        <w:rPr>
          <w:rFonts w:ascii="Arial" w:hAnsi="Arial" w:cs="Arial"/>
          <w:sz w:val="20"/>
          <w:lang w:val="en-IN"/>
        </w:rPr>
      </w:pPr>
      <w:proofErr w:type="spellStart"/>
      <w:r w:rsidRPr="0076661D">
        <w:rPr>
          <w:rFonts w:ascii="Arial" w:hAnsi="Arial" w:cs="Arial"/>
          <w:sz w:val="20"/>
          <w:lang w:val="en-IN"/>
        </w:rPr>
        <w:t>Fagbohun</w:t>
      </w:r>
      <w:proofErr w:type="spellEnd"/>
      <w:r w:rsidRPr="0076661D">
        <w:rPr>
          <w:rFonts w:ascii="Arial" w:hAnsi="Arial" w:cs="Arial"/>
          <w:sz w:val="20"/>
          <w:lang w:val="en-IN"/>
        </w:rPr>
        <w:t xml:space="preserve">, A. A., Dauda, M. S., &amp; </w:t>
      </w:r>
      <w:proofErr w:type="spellStart"/>
      <w:r w:rsidRPr="0076661D">
        <w:rPr>
          <w:rFonts w:ascii="Arial" w:hAnsi="Arial" w:cs="Arial"/>
          <w:sz w:val="20"/>
          <w:lang w:val="en-IN"/>
        </w:rPr>
        <w:t>Anjorin</w:t>
      </w:r>
      <w:proofErr w:type="spellEnd"/>
      <w:r w:rsidRPr="0076661D">
        <w:rPr>
          <w:rFonts w:ascii="Arial" w:hAnsi="Arial" w:cs="Arial"/>
          <w:sz w:val="20"/>
          <w:lang w:val="en-IN"/>
        </w:rPr>
        <w:t xml:space="preserve">, T. S. (2024). Assessing the Profile of Glyphosate Residues in Maize Grains Sold in the Federal Capital Territory Abuja, Nigeria. Journal of Science and Mathematics Letters, 12(2), 25-33. </w:t>
      </w:r>
      <w:hyperlink r:id="rId26" w:history="1">
        <w:r w:rsidRPr="001655EE">
          <w:rPr>
            <w:rStyle w:val="Hyperlink"/>
            <w:rFonts w:ascii="Arial" w:hAnsi="Arial" w:cs="Arial"/>
            <w:sz w:val="20"/>
            <w:lang w:val="en-IN"/>
          </w:rPr>
          <w:t>https://doi.org/10.37134/jsml.vol12.2.2.2024</w:t>
        </w:r>
      </w:hyperlink>
    </w:p>
    <w:p w14:paraId="14496A73" w14:textId="6E86CF1F" w:rsidR="0076661D" w:rsidRDefault="0076661D" w:rsidP="001E5B1A">
      <w:pPr>
        <w:ind w:left="720" w:hanging="720"/>
        <w:jc w:val="both"/>
        <w:rPr>
          <w:rFonts w:ascii="Arial" w:hAnsi="Arial" w:cs="Arial"/>
          <w:sz w:val="20"/>
        </w:rPr>
      </w:pPr>
      <w:r w:rsidRPr="0076661D">
        <w:rPr>
          <w:rFonts w:ascii="Arial" w:hAnsi="Arial" w:cs="Arial"/>
          <w:sz w:val="20"/>
          <w:lang w:val="pt-BR"/>
        </w:rPr>
        <w:t xml:space="preserve">Fadina, O. O., Daodu, B. J., Fayinminnu, O. O., &amp; Nwanguma, C. S. (2021). </w:t>
      </w:r>
      <w:r w:rsidRPr="0076661D">
        <w:rPr>
          <w:rFonts w:ascii="Arial" w:hAnsi="Arial" w:cs="Arial"/>
          <w:sz w:val="20"/>
        </w:rPr>
        <w:t xml:space="preserve">Determination of Organochlorine Residues in Cowpea (Vigna </w:t>
      </w:r>
      <w:proofErr w:type="spellStart"/>
      <w:r w:rsidRPr="0076661D">
        <w:rPr>
          <w:rFonts w:ascii="Arial" w:hAnsi="Arial" w:cs="Arial"/>
          <w:sz w:val="20"/>
        </w:rPr>
        <w:t>unguiculata</w:t>
      </w:r>
      <w:proofErr w:type="spellEnd"/>
      <w:r w:rsidRPr="0076661D">
        <w:rPr>
          <w:rFonts w:ascii="Arial" w:hAnsi="Arial" w:cs="Arial"/>
          <w:sz w:val="20"/>
        </w:rPr>
        <w:t xml:space="preserve"> L. WALP) From Selected Markets in Ibadan, Oyo State, Nigeria. Journal of Agricultural Studies, 9(4), 72-86. </w:t>
      </w:r>
      <w:hyperlink r:id="rId27" w:history="1">
        <w:r w:rsidRPr="001655EE">
          <w:rPr>
            <w:rStyle w:val="Hyperlink"/>
            <w:rFonts w:ascii="Arial" w:hAnsi="Arial" w:cs="Arial"/>
            <w:sz w:val="20"/>
          </w:rPr>
          <w:t>https://doi.org/10.5296/jas.v9i4.19228</w:t>
        </w:r>
      </w:hyperlink>
    </w:p>
    <w:p w14:paraId="10AB4901" w14:textId="6E22691F"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Gad </w:t>
      </w:r>
      <w:proofErr w:type="spellStart"/>
      <w:r w:rsidRPr="0076661D">
        <w:rPr>
          <w:rFonts w:ascii="Arial" w:hAnsi="Arial" w:cs="Arial"/>
          <w:sz w:val="20"/>
          <w:szCs w:val="20"/>
        </w:rPr>
        <w:t>Alla</w:t>
      </w:r>
      <w:proofErr w:type="spellEnd"/>
      <w:r w:rsidRPr="0076661D">
        <w:rPr>
          <w:rFonts w:ascii="Arial" w:hAnsi="Arial" w:cs="Arial"/>
          <w:sz w:val="20"/>
          <w:szCs w:val="20"/>
        </w:rPr>
        <w:t xml:space="preserve">, S. A., </w:t>
      </w:r>
      <w:proofErr w:type="spellStart"/>
      <w:r w:rsidRPr="0076661D">
        <w:rPr>
          <w:rFonts w:ascii="Arial" w:hAnsi="Arial" w:cs="Arial"/>
          <w:sz w:val="20"/>
          <w:szCs w:val="20"/>
        </w:rPr>
        <w:t>Loutfy</w:t>
      </w:r>
      <w:proofErr w:type="spellEnd"/>
      <w:r w:rsidRPr="0076661D">
        <w:rPr>
          <w:rFonts w:ascii="Arial" w:hAnsi="Arial" w:cs="Arial"/>
          <w:sz w:val="20"/>
          <w:szCs w:val="20"/>
        </w:rPr>
        <w:t xml:space="preserve">, N. M., </w:t>
      </w:r>
      <w:proofErr w:type="spellStart"/>
      <w:r w:rsidRPr="0076661D">
        <w:rPr>
          <w:rFonts w:ascii="Arial" w:hAnsi="Arial" w:cs="Arial"/>
          <w:sz w:val="20"/>
          <w:szCs w:val="20"/>
        </w:rPr>
        <w:t>Shendy</w:t>
      </w:r>
      <w:proofErr w:type="spellEnd"/>
      <w:r w:rsidRPr="0076661D">
        <w:rPr>
          <w:rFonts w:ascii="Arial" w:hAnsi="Arial" w:cs="Arial"/>
          <w:sz w:val="20"/>
          <w:szCs w:val="20"/>
        </w:rPr>
        <w:t xml:space="preserve">, A. H., &amp; Ahmed, M. T. (2015). Hazard index, a tool for a </w:t>
      </w:r>
      <w:proofErr w:type="gramStart"/>
      <w:r w:rsidRPr="0076661D">
        <w:rPr>
          <w:rFonts w:ascii="Arial" w:hAnsi="Arial" w:cs="Arial"/>
          <w:sz w:val="20"/>
          <w:szCs w:val="20"/>
        </w:rPr>
        <w:t>long term</w:t>
      </w:r>
      <w:proofErr w:type="gramEnd"/>
      <w:r w:rsidRPr="0076661D">
        <w:rPr>
          <w:rFonts w:ascii="Arial" w:hAnsi="Arial" w:cs="Arial"/>
          <w:sz w:val="20"/>
          <w:szCs w:val="20"/>
        </w:rPr>
        <w:t xml:space="preserve"> risk assessment of pesticide residues in some commodities, a pilot study. Regulatory Toxicology and Pharmacology. </w:t>
      </w:r>
      <w:hyperlink r:id="rId28" w:history="1">
        <w:r w:rsidRPr="001655EE">
          <w:rPr>
            <w:rStyle w:val="Hyperlink"/>
            <w:rFonts w:ascii="Arial" w:hAnsi="Arial" w:cs="Arial"/>
            <w:sz w:val="20"/>
            <w:szCs w:val="20"/>
          </w:rPr>
          <w:t>https://doi.org/10.1016/j.yrtph.2015.09.016</w:t>
        </w:r>
      </w:hyperlink>
    </w:p>
    <w:p w14:paraId="7B2DFEBC" w14:textId="14522B34" w:rsidR="0076661D" w:rsidRPr="0076661D" w:rsidRDefault="0076661D" w:rsidP="001E5B1A">
      <w:pPr>
        <w:ind w:left="720" w:hanging="720"/>
        <w:jc w:val="both"/>
        <w:rPr>
          <w:rFonts w:ascii="Arial" w:hAnsi="Arial" w:cs="Arial"/>
          <w:sz w:val="20"/>
          <w:lang w:val="pt-BR"/>
        </w:rPr>
      </w:pPr>
      <w:r w:rsidRPr="0076661D">
        <w:rPr>
          <w:rFonts w:ascii="Arial" w:hAnsi="Arial" w:cs="Arial"/>
          <w:sz w:val="20"/>
        </w:rPr>
        <w:t xml:space="preserve">Idowu, G. A., </w:t>
      </w:r>
      <w:proofErr w:type="spellStart"/>
      <w:r w:rsidRPr="0076661D">
        <w:rPr>
          <w:rFonts w:ascii="Arial" w:hAnsi="Arial" w:cs="Arial"/>
          <w:sz w:val="20"/>
        </w:rPr>
        <w:t>Aiyesanmi</w:t>
      </w:r>
      <w:proofErr w:type="spellEnd"/>
      <w:r w:rsidRPr="0076661D">
        <w:rPr>
          <w:rFonts w:ascii="Arial" w:hAnsi="Arial" w:cs="Arial"/>
          <w:sz w:val="20"/>
        </w:rPr>
        <w:t xml:space="preserve">, A. F., &amp; </w:t>
      </w:r>
      <w:proofErr w:type="spellStart"/>
      <w:r w:rsidRPr="0076661D">
        <w:rPr>
          <w:rFonts w:ascii="Arial" w:hAnsi="Arial" w:cs="Arial"/>
          <w:sz w:val="20"/>
        </w:rPr>
        <w:t>Oyegoke</w:t>
      </w:r>
      <w:proofErr w:type="spellEnd"/>
      <w:r w:rsidRPr="0076661D">
        <w:rPr>
          <w:rFonts w:ascii="Arial" w:hAnsi="Arial" w:cs="Arial"/>
          <w:sz w:val="20"/>
        </w:rPr>
        <w:t xml:space="preserve">, F. O. (2021). Organochlorine pesticide residues in pods and beans of cocoa (Theobroma cacao L.) from Ondo State Central District, Nigeria. Environmental Advances. </w:t>
      </w:r>
      <w:hyperlink r:id="rId29" w:history="1">
        <w:r w:rsidRPr="0076661D">
          <w:rPr>
            <w:rStyle w:val="Hyperlink"/>
            <w:rFonts w:ascii="Arial" w:hAnsi="Arial" w:cs="Arial"/>
            <w:sz w:val="20"/>
            <w:lang w:val="pt-BR"/>
          </w:rPr>
          <w:t>https://doi.org/10.1016/j.envadv.2021.100162</w:t>
        </w:r>
      </w:hyperlink>
    </w:p>
    <w:p w14:paraId="5B905E87" w14:textId="52646CF6" w:rsidR="0076661D" w:rsidRDefault="0076661D" w:rsidP="001E5B1A">
      <w:pPr>
        <w:ind w:left="720" w:hanging="720"/>
        <w:jc w:val="both"/>
        <w:rPr>
          <w:rFonts w:ascii="Arial" w:hAnsi="Arial" w:cs="Arial"/>
          <w:sz w:val="20"/>
          <w:szCs w:val="20"/>
          <w:lang w:val="en-IN"/>
        </w:rPr>
      </w:pPr>
      <w:r w:rsidRPr="0076661D">
        <w:rPr>
          <w:rFonts w:ascii="Arial" w:hAnsi="Arial" w:cs="Arial"/>
          <w:sz w:val="20"/>
          <w:szCs w:val="20"/>
          <w:lang w:val="pt-BR"/>
        </w:rPr>
        <w:t xml:space="preserve">Ingenbleek, L., Jazet, E., Dzossa, A. D., Adebayo, S. B., Ogungbangbe, J., Dansou, S., Diallo, Z. J., Kouebou, C., Adegboye, A., Hossou, E., Coulibaly, S., Eyangoh, S., Le Bizec, B., Verger, P., </w:t>
      </w:r>
      <w:r w:rsidRPr="0076661D">
        <w:rPr>
          <w:rFonts w:ascii="Arial" w:hAnsi="Arial" w:cs="Arial"/>
          <w:sz w:val="20"/>
          <w:szCs w:val="20"/>
          <w:lang w:val="pt-BR"/>
        </w:rPr>
        <w:lastRenderedPageBreak/>
        <w:t xml:space="preserve">Kamanzi, J., Merten, C., &amp; Leblanc, J. C. (2017). </w:t>
      </w:r>
      <w:r w:rsidRPr="0076661D">
        <w:rPr>
          <w:rFonts w:ascii="Arial" w:hAnsi="Arial" w:cs="Arial"/>
          <w:sz w:val="20"/>
          <w:szCs w:val="20"/>
          <w:lang w:val="en-IN"/>
        </w:rPr>
        <w:t xml:space="preserve">Methodology design of the regional Sub-Saharan Africa Total Diet Study in Benin, Cameroon, Mali and Nigeria. Food and Chemical Toxicology, 109, 155–169. </w:t>
      </w:r>
      <w:hyperlink r:id="rId30" w:history="1">
        <w:r w:rsidRPr="001655EE">
          <w:rPr>
            <w:rStyle w:val="Hyperlink"/>
            <w:rFonts w:ascii="Arial" w:hAnsi="Arial" w:cs="Arial"/>
            <w:sz w:val="20"/>
            <w:szCs w:val="20"/>
            <w:lang w:val="en-IN"/>
          </w:rPr>
          <w:t>https://doi.org/10.1016/j.fct.2017.08.017</w:t>
        </w:r>
      </w:hyperlink>
    </w:p>
    <w:p w14:paraId="6CBBF891" w14:textId="7F00ACDA" w:rsidR="0076661D" w:rsidRDefault="0076661D" w:rsidP="001E5B1A">
      <w:pPr>
        <w:ind w:left="720" w:hanging="720"/>
        <w:jc w:val="both"/>
        <w:rPr>
          <w:rFonts w:ascii="Arial" w:hAnsi="Arial" w:cs="Arial"/>
          <w:sz w:val="20"/>
          <w:szCs w:val="20"/>
        </w:rPr>
      </w:pPr>
      <w:r w:rsidRPr="0076661D">
        <w:rPr>
          <w:rFonts w:ascii="Arial" w:hAnsi="Arial" w:cs="Arial"/>
          <w:sz w:val="20"/>
          <w:szCs w:val="20"/>
          <w:lang w:val="fr-FR"/>
        </w:rPr>
        <w:t xml:space="preserve">Liu, Y., Pan, X., &amp; Li, J. (2015). </w:t>
      </w:r>
      <w:r w:rsidRPr="0076661D">
        <w:rPr>
          <w:rFonts w:ascii="Arial" w:hAnsi="Arial" w:cs="Arial"/>
          <w:sz w:val="20"/>
          <w:szCs w:val="20"/>
        </w:rPr>
        <w:t xml:space="preserve">A 1961–2010 record of fertilizer use, pesticide application and cereal yields: a review. Agronomy for Sustainable Development, 35(1), 83–93. </w:t>
      </w:r>
      <w:hyperlink r:id="rId31" w:history="1">
        <w:r w:rsidRPr="001655EE">
          <w:rPr>
            <w:rStyle w:val="Hyperlink"/>
            <w:rFonts w:ascii="Arial" w:hAnsi="Arial" w:cs="Arial"/>
            <w:sz w:val="20"/>
            <w:szCs w:val="20"/>
          </w:rPr>
          <w:t>https://doi.org/10.1007/s13593-014-0259-9</w:t>
        </w:r>
      </w:hyperlink>
    </w:p>
    <w:p w14:paraId="475B0DE1" w14:textId="446C04A2" w:rsidR="0076661D" w:rsidRDefault="0076661D" w:rsidP="00A51C9F">
      <w:pPr>
        <w:ind w:left="720" w:hanging="720"/>
        <w:jc w:val="both"/>
        <w:rPr>
          <w:rStyle w:val="Hyperlink"/>
          <w:rFonts w:ascii="Arial" w:hAnsi="Arial" w:cs="Arial"/>
          <w:sz w:val="20"/>
          <w:szCs w:val="20"/>
        </w:rPr>
      </w:pPr>
      <w:r w:rsidRPr="0076661D">
        <w:rPr>
          <w:rStyle w:val="Hyperlink"/>
          <w:rFonts w:ascii="Arial" w:hAnsi="Arial" w:cs="Arial"/>
          <w:sz w:val="20"/>
          <w:szCs w:val="20"/>
        </w:rPr>
        <w:t xml:space="preserve">Mittal, S., Kaur, G., &amp; Vishwakarma, G. S. (2014). Effects of environmental pesticides on the health of rural communities in the </w:t>
      </w:r>
      <w:proofErr w:type="spellStart"/>
      <w:r w:rsidRPr="0076661D">
        <w:rPr>
          <w:rStyle w:val="Hyperlink"/>
          <w:rFonts w:ascii="Arial" w:hAnsi="Arial" w:cs="Arial"/>
          <w:sz w:val="20"/>
          <w:szCs w:val="20"/>
        </w:rPr>
        <w:t>Malwa</w:t>
      </w:r>
      <w:proofErr w:type="spellEnd"/>
      <w:r w:rsidRPr="0076661D">
        <w:rPr>
          <w:rStyle w:val="Hyperlink"/>
          <w:rFonts w:ascii="Arial" w:hAnsi="Arial" w:cs="Arial"/>
          <w:sz w:val="20"/>
          <w:szCs w:val="20"/>
        </w:rPr>
        <w:t xml:space="preserve"> Region of Punjab, India: A Review. Human and Ecological Risk Assessment: An International Journal, 20(2), 366–387. </w:t>
      </w:r>
      <w:hyperlink r:id="rId32" w:history="1">
        <w:r w:rsidRPr="001655EE">
          <w:rPr>
            <w:rStyle w:val="Hyperlink"/>
            <w:rFonts w:ascii="Arial" w:hAnsi="Arial" w:cs="Arial"/>
            <w:sz w:val="20"/>
            <w:szCs w:val="20"/>
          </w:rPr>
          <w:t>https://doi.org/10.1080/10807039.2013.788972</w:t>
        </w:r>
      </w:hyperlink>
    </w:p>
    <w:p w14:paraId="17FA5BD8" w14:textId="12A7B86E" w:rsidR="0076661D" w:rsidRDefault="0076661D" w:rsidP="00A51C9F">
      <w:pPr>
        <w:ind w:left="720" w:hanging="720"/>
        <w:jc w:val="both"/>
        <w:rPr>
          <w:rFonts w:ascii="Arial" w:hAnsi="Arial" w:cs="Arial"/>
          <w:sz w:val="20"/>
        </w:rPr>
      </w:pPr>
      <w:r w:rsidRPr="0076661D">
        <w:rPr>
          <w:rFonts w:ascii="Arial" w:hAnsi="Arial" w:cs="Arial"/>
          <w:sz w:val="20"/>
        </w:rPr>
        <w:t xml:space="preserve">Mittal, S., Kaur, G., &amp; Vishwakarma, G. S. (2014). Effects of environmental pesticides on the health of rural communities in the </w:t>
      </w:r>
      <w:proofErr w:type="spellStart"/>
      <w:r w:rsidRPr="0076661D">
        <w:rPr>
          <w:rFonts w:ascii="Arial" w:hAnsi="Arial" w:cs="Arial"/>
          <w:sz w:val="20"/>
        </w:rPr>
        <w:t>Malwa</w:t>
      </w:r>
      <w:proofErr w:type="spellEnd"/>
      <w:r w:rsidRPr="0076661D">
        <w:rPr>
          <w:rFonts w:ascii="Arial" w:hAnsi="Arial" w:cs="Arial"/>
          <w:sz w:val="20"/>
        </w:rPr>
        <w:t xml:space="preserve"> Region of Punjab, India: A Review. Human and Ecological Risk Assessment: An International Journal, 20(2), 366–387. </w:t>
      </w:r>
      <w:hyperlink r:id="rId33" w:history="1">
        <w:r w:rsidRPr="001655EE">
          <w:rPr>
            <w:rStyle w:val="Hyperlink"/>
            <w:rFonts w:ascii="Arial" w:hAnsi="Arial" w:cs="Arial"/>
            <w:sz w:val="20"/>
          </w:rPr>
          <w:t>https://doi.org/10.1080/10807039.2013.788972</w:t>
        </w:r>
      </w:hyperlink>
    </w:p>
    <w:p w14:paraId="617B22D9" w14:textId="17AE22B9" w:rsidR="0076661D" w:rsidRDefault="0076661D" w:rsidP="001E5B1A">
      <w:pPr>
        <w:ind w:left="720" w:hanging="720"/>
        <w:jc w:val="both"/>
        <w:rPr>
          <w:rFonts w:ascii="Arial" w:hAnsi="Arial" w:cs="Arial"/>
          <w:sz w:val="20"/>
        </w:rPr>
      </w:pPr>
      <w:r w:rsidRPr="0076661D">
        <w:rPr>
          <w:rFonts w:ascii="Arial" w:hAnsi="Arial" w:cs="Arial"/>
          <w:sz w:val="20"/>
        </w:rPr>
        <w:t xml:space="preserve">Mohammad, A. M., Chowdhury, T., Biswas, B., &amp; </w:t>
      </w:r>
      <w:proofErr w:type="spellStart"/>
      <w:r w:rsidRPr="0076661D">
        <w:rPr>
          <w:rFonts w:ascii="Arial" w:hAnsi="Arial" w:cs="Arial"/>
          <w:sz w:val="20"/>
        </w:rPr>
        <w:t>Absar</w:t>
      </w:r>
      <w:proofErr w:type="spellEnd"/>
      <w:r w:rsidRPr="0076661D">
        <w:rPr>
          <w:rFonts w:ascii="Arial" w:hAnsi="Arial" w:cs="Arial"/>
          <w:sz w:val="20"/>
        </w:rPr>
        <w:t xml:space="preserve">, N. (2018). Food poisoning and intoxication: A global leading concern for human health. In Food safety and preservation (pp. 307-352). Academic Press. </w:t>
      </w:r>
      <w:hyperlink r:id="rId34" w:history="1">
        <w:r w:rsidRPr="001655EE">
          <w:rPr>
            <w:rStyle w:val="Hyperlink"/>
            <w:rFonts w:ascii="Arial" w:hAnsi="Arial" w:cs="Arial"/>
            <w:sz w:val="20"/>
          </w:rPr>
          <w:t>https://doi.org/10.1016/B978-0-12-814956-0.00011-1</w:t>
        </w:r>
      </w:hyperlink>
    </w:p>
    <w:p w14:paraId="4897AE86" w14:textId="5AE36A8A" w:rsidR="001E5B1A" w:rsidRDefault="001E5B1A" w:rsidP="001E5B1A">
      <w:pPr>
        <w:ind w:left="720" w:hanging="720"/>
        <w:jc w:val="both"/>
        <w:rPr>
          <w:rFonts w:ascii="Arial" w:hAnsi="Arial" w:cs="Arial"/>
          <w:sz w:val="20"/>
          <w:szCs w:val="20"/>
        </w:rPr>
      </w:pPr>
      <w:proofErr w:type="spellStart"/>
      <w:r w:rsidRPr="0025682E">
        <w:rPr>
          <w:rFonts w:ascii="Arial" w:hAnsi="Arial" w:cs="Arial"/>
          <w:sz w:val="20"/>
          <w:szCs w:val="20"/>
        </w:rPr>
        <w:t>Onojoh</w:t>
      </w:r>
      <w:proofErr w:type="spellEnd"/>
      <w:r w:rsidRPr="0025682E">
        <w:rPr>
          <w:rFonts w:ascii="Arial" w:hAnsi="Arial" w:cs="Arial"/>
          <w:sz w:val="20"/>
          <w:szCs w:val="20"/>
        </w:rPr>
        <w:t xml:space="preserve">, P. K., </w:t>
      </w:r>
      <w:proofErr w:type="spellStart"/>
      <w:r w:rsidRPr="0025682E">
        <w:rPr>
          <w:rFonts w:ascii="Arial" w:hAnsi="Arial" w:cs="Arial"/>
          <w:sz w:val="20"/>
          <w:szCs w:val="20"/>
        </w:rPr>
        <w:t>Nsi</w:t>
      </w:r>
      <w:proofErr w:type="spellEnd"/>
      <w:r w:rsidRPr="0025682E">
        <w:rPr>
          <w:rFonts w:ascii="Arial" w:hAnsi="Arial" w:cs="Arial"/>
          <w:sz w:val="20"/>
          <w:szCs w:val="20"/>
        </w:rPr>
        <w:t>, E. W., and Aliyu, A. O. C. (2013). Determination of Residual contents of pesticides in Rice Plant and Rice Grains (</w:t>
      </w:r>
      <w:proofErr w:type="spellStart"/>
      <w:r w:rsidRPr="0025682E">
        <w:rPr>
          <w:rFonts w:ascii="Arial" w:hAnsi="Arial" w:cs="Arial"/>
          <w:sz w:val="20"/>
          <w:szCs w:val="20"/>
        </w:rPr>
        <w:t>Oriza</w:t>
      </w:r>
      <w:proofErr w:type="spellEnd"/>
      <w:r w:rsidRPr="0025682E">
        <w:rPr>
          <w:rFonts w:ascii="Arial" w:hAnsi="Arial" w:cs="Arial"/>
          <w:sz w:val="20"/>
          <w:szCs w:val="20"/>
        </w:rPr>
        <w:t xml:space="preserve"> Sativa) from Four different regions of Omala LGA, Kogi State, Nigeria. </w:t>
      </w:r>
      <w:r w:rsidRPr="0025682E">
        <w:rPr>
          <w:rFonts w:ascii="Arial" w:hAnsi="Arial" w:cs="Arial"/>
          <w:i/>
          <w:sz w:val="20"/>
          <w:szCs w:val="20"/>
        </w:rPr>
        <w:t>The International Journal’s Research Journal of Science, 2</w:t>
      </w:r>
      <w:r w:rsidRPr="0025682E">
        <w:rPr>
          <w:rFonts w:ascii="Arial" w:hAnsi="Arial" w:cs="Arial"/>
          <w:sz w:val="20"/>
          <w:szCs w:val="20"/>
        </w:rPr>
        <w:t>(3), 12-16.</w:t>
      </w:r>
    </w:p>
    <w:p w14:paraId="7E0F17DA" w14:textId="77777777" w:rsidR="008A01F3" w:rsidRPr="008A01F3" w:rsidRDefault="008A01F3" w:rsidP="001E5B1A">
      <w:pPr>
        <w:ind w:left="720" w:hanging="720"/>
        <w:jc w:val="both"/>
        <w:rPr>
          <w:rFonts w:ascii="Arial" w:hAnsi="Arial" w:cs="Arial"/>
          <w:sz w:val="18"/>
          <w:szCs w:val="20"/>
        </w:rPr>
      </w:pPr>
      <w:proofErr w:type="spellStart"/>
      <w:r w:rsidRPr="008A01F3">
        <w:rPr>
          <w:rFonts w:ascii="Arial" w:hAnsi="Arial" w:cs="Arial"/>
          <w:sz w:val="20"/>
        </w:rPr>
        <w:t>Oshatunberu</w:t>
      </w:r>
      <w:proofErr w:type="spellEnd"/>
      <w:r w:rsidRPr="008A01F3">
        <w:rPr>
          <w:rFonts w:ascii="Arial" w:hAnsi="Arial" w:cs="Arial"/>
          <w:sz w:val="20"/>
        </w:rPr>
        <w:t>, M. A. (2023). Evaluation of Pesticide Residues in Grains Sold at Selected Markets of Southwest Nigeria (Doctoral dissertation, Kwara State University (Nigeria)</w:t>
      </w:r>
      <w:r>
        <w:rPr>
          <w:rFonts w:ascii="Arial" w:hAnsi="Arial" w:cs="Arial"/>
          <w:sz w:val="20"/>
        </w:rPr>
        <w:t>.</w:t>
      </w:r>
    </w:p>
    <w:p w14:paraId="3E8DA5D8" w14:textId="37703332" w:rsidR="0076661D" w:rsidRDefault="0076661D" w:rsidP="00A51C9F">
      <w:pPr>
        <w:ind w:left="720" w:hanging="720"/>
        <w:jc w:val="both"/>
        <w:rPr>
          <w:rFonts w:ascii="Arial" w:hAnsi="Arial" w:cs="Arial"/>
          <w:sz w:val="20"/>
          <w:szCs w:val="20"/>
        </w:rPr>
      </w:pPr>
      <w:proofErr w:type="spellStart"/>
      <w:r w:rsidRPr="0076661D">
        <w:rPr>
          <w:rFonts w:ascii="Arial" w:hAnsi="Arial" w:cs="Arial"/>
          <w:sz w:val="20"/>
          <w:szCs w:val="20"/>
        </w:rPr>
        <w:t>Reffstrup</w:t>
      </w:r>
      <w:proofErr w:type="spellEnd"/>
      <w:r w:rsidRPr="0076661D">
        <w:rPr>
          <w:rFonts w:ascii="Arial" w:hAnsi="Arial" w:cs="Arial"/>
          <w:sz w:val="20"/>
          <w:szCs w:val="20"/>
        </w:rPr>
        <w:t xml:space="preserve">, T. K., Larsen, J. C., &amp; Meyer, O. (2010). Risk assessment of mixtures of pesticides. Current approaches and future strategies. Regulatory Toxicology and Pharmacology, 56(2), 174–192. </w:t>
      </w:r>
      <w:hyperlink r:id="rId35" w:history="1">
        <w:r w:rsidRPr="001655EE">
          <w:rPr>
            <w:rStyle w:val="Hyperlink"/>
            <w:rFonts w:ascii="Arial" w:hAnsi="Arial" w:cs="Arial"/>
            <w:sz w:val="20"/>
            <w:szCs w:val="20"/>
          </w:rPr>
          <w:t>https://doi.org/10.1016/j.yrtph.2009.09.013</w:t>
        </w:r>
      </w:hyperlink>
    </w:p>
    <w:p w14:paraId="683C278B" w14:textId="2015F303" w:rsidR="0076661D" w:rsidRDefault="0076661D" w:rsidP="001E5B1A">
      <w:pPr>
        <w:ind w:left="720" w:hanging="720"/>
        <w:jc w:val="both"/>
        <w:rPr>
          <w:rFonts w:ascii="Arial" w:hAnsi="Arial" w:cs="Arial"/>
          <w:sz w:val="20"/>
          <w:szCs w:val="20"/>
        </w:rPr>
      </w:pPr>
      <w:proofErr w:type="spellStart"/>
      <w:r w:rsidRPr="0076661D">
        <w:rPr>
          <w:rFonts w:ascii="Arial" w:hAnsi="Arial" w:cs="Arial"/>
          <w:sz w:val="20"/>
          <w:szCs w:val="20"/>
        </w:rPr>
        <w:t>Sosan</w:t>
      </w:r>
      <w:proofErr w:type="spellEnd"/>
      <w:r w:rsidRPr="0076661D">
        <w:rPr>
          <w:rFonts w:ascii="Arial" w:hAnsi="Arial" w:cs="Arial"/>
          <w:sz w:val="20"/>
          <w:szCs w:val="20"/>
        </w:rPr>
        <w:t xml:space="preserve">, M. B., </w:t>
      </w:r>
      <w:proofErr w:type="spellStart"/>
      <w:r w:rsidRPr="0076661D">
        <w:rPr>
          <w:rFonts w:ascii="Arial" w:hAnsi="Arial" w:cs="Arial"/>
          <w:sz w:val="20"/>
          <w:szCs w:val="20"/>
        </w:rPr>
        <w:t>Adeleye</w:t>
      </w:r>
      <w:proofErr w:type="spellEnd"/>
      <w:r w:rsidRPr="0076661D">
        <w:rPr>
          <w:rFonts w:ascii="Arial" w:hAnsi="Arial" w:cs="Arial"/>
          <w:sz w:val="20"/>
          <w:szCs w:val="20"/>
        </w:rPr>
        <w:t xml:space="preserve">, A. O., </w:t>
      </w:r>
      <w:proofErr w:type="spellStart"/>
      <w:r w:rsidRPr="0076661D">
        <w:rPr>
          <w:rFonts w:ascii="Arial" w:hAnsi="Arial" w:cs="Arial"/>
          <w:sz w:val="20"/>
          <w:szCs w:val="20"/>
        </w:rPr>
        <w:t>Oyekunle</w:t>
      </w:r>
      <w:proofErr w:type="spellEnd"/>
      <w:r w:rsidRPr="0076661D">
        <w:rPr>
          <w:rFonts w:ascii="Arial" w:hAnsi="Arial" w:cs="Arial"/>
          <w:sz w:val="20"/>
          <w:szCs w:val="20"/>
        </w:rPr>
        <w:t xml:space="preserve">, J. A. O., </w:t>
      </w:r>
      <w:proofErr w:type="spellStart"/>
      <w:r w:rsidRPr="0076661D">
        <w:rPr>
          <w:rFonts w:ascii="Arial" w:hAnsi="Arial" w:cs="Arial"/>
          <w:sz w:val="20"/>
          <w:szCs w:val="20"/>
        </w:rPr>
        <w:t>Udah</w:t>
      </w:r>
      <w:proofErr w:type="spellEnd"/>
      <w:r w:rsidRPr="0076661D">
        <w:rPr>
          <w:rFonts w:ascii="Arial" w:hAnsi="Arial" w:cs="Arial"/>
          <w:sz w:val="20"/>
          <w:szCs w:val="20"/>
        </w:rPr>
        <w:t xml:space="preserve">, O., </w:t>
      </w:r>
      <w:proofErr w:type="spellStart"/>
      <w:r w:rsidRPr="0076661D">
        <w:rPr>
          <w:rFonts w:ascii="Arial" w:hAnsi="Arial" w:cs="Arial"/>
          <w:sz w:val="20"/>
          <w:szCs w:val="20"/>
        </w:rPr>
        <w:t>Oloruntunbi</w:t>
      </w:r>
      <w:proofErr w:type="spellEnd"/>
      <w:r w:rsidRPr="0076661D">
        <w:rPr>
          <w:rFonts w:ascii="Arial" w:hAnsi="Arial" w:cs="Arial"/>
          <w:sz w:val="20"/>
          <w:szCs w:val="20"/>
        </w:rPr>
        <w:t xml:space="preserve">, P. M., Daramola, M. O., &amp; Saka, W. T. (2020). Dietary risk assessment of organochlorine pesticide residues in maize-based </w:t>
      </w:r>
      <w:proofErr w:type="spellStart"/>
      <w:r w:rsidRPr="0076661D">
        <w:rPr>
          <w:rFonts w:ascii="Arial" w:hAnsi="Arial" w:cs="Arial"/>
          <w:sz w:val="20"/>
          <w:szCs w:val="20"/>
        </w:rPr>
        <w:t>complementary</w:t>
      </w:r>
      <w:proofErr w:type="spellEnd"/>
      <w:r w:rsidRPr="0076661D">
        <w:rPr>
          <w:rFonts w:ascii="Arial" w:hAnsi="Arial" w:cs="Arial"/>
          <w:sz w:val="20"/>
          <w:szCs w:val="20"/>
        </w:rPr>
        <w:t xml:space="preserve"> breakfast food products in Nigeria. </w:t>
      </w:r>
      <w:proofErr w:type="spellStart"/>
      <w:r w:rsidRPr="0076661D">
        <w:rPr>
          <w:rFonts w:ascii="Arial" w:hAnsi="Arial" w:cs="Arial"/>
          <w:sz w:val="20"/>
          <w:szCs w:val="20"/>
        </w:rPr>
        <w:t>Heliyon</w:t>
      </w:r>
      <w:proofErr w:type="spellEnd"/>
      <w:r w:rsidRPr="0076661D">
        <w:rPr>
          <w:rFonts w:ascii="Arial" w:hAnsi="Arial" w:cs="Arial"/>
          <w:sz w:val="20"/>
          <w:szCs w:val="20"/>
        </w:rPr>
        <w:t xml:space="preserve">, 6(12). </w:t>
      </w:r>
      <w:hyperlink r:id="rId36" w:history="1">
        <w:r w:rsidRPr="001655EE">
          <w:rPr>
            <w:rStyle w:val="Hyperlink"/>
            <w:rFonts w:ascii="Arial" w:hAnsi="Arial" w:cs="Arial"/>
            <w:sz w:val="20"/>
            <w:szCs w:val="20"/>
          </w:rPr>
          <w:t>https://doi.org/10.1016/j.heliyon.2020.e05803</w:t>
        </w:r>
      </w:hyperlink>
    </w:p>
    <w:p w14:paraId="62722E13" w14:textId="04B24BE4" w:rsidR="0076661D" w:rsidRDefault="0076661D" w:rsidP="001E5B1A">
      <w:pPr>
        <w:ind w:left="720" w:hanging="720"/>
        <w:jc w:val="both"/>
        <w:rPr>
          <w:rFonts w:ascii="Arial" w:hAnsi="Arial" w:cs="Arial"/>
          <w:color w:val="222222"/>
          <w:sz w:val="20"/>
          <w:szCs w:val="20"/>
          <w:shd w:val="clear" w:color="auto" w:fill="FFFFFF"/>
        </w:rPr>
      </w:pPr>
      <w:proofErr w:type="spellStart"/>
      <w:r w:rsidRPr="0076661D">
        <w:rPr>
          <w:rFonts w:ascii="Arial" w:hAnsi="Arial" w:cs="Arial"/>
          <w:color w:val="222222"/>
          <w:sz w:val="20"/>
          <w:szCs w:val="20"/>
          <w:shd w:val="clear" w:color="auto" w:fill="FFFFFF"/>
        </w:rPr>
        <w:t>Kazimierczak</w:t>
      </w:r>
      <w:proofErr w:type="spellEnd"/>
      <w:r w:rsidRPr="0076661D">
        <w:rPr>
          <w:rFonts w:ascii="Arial" w:hAnsi="Arial" w:cs="Arial"/>
          <w:color w:val="222222"/>
          <w:sz w:val="20"/>
          <w:szCs w:val="20"/>
          <w:shd w:val="clear" w:color="auto" w:fill="FFFFFF"/>
        </w:rPr>
        <w:t xml:space="preserve">, R., </w:t>
      </w:r>
      <w:proofErr w:type="spellStart"/>
      <w:r w:rsidRPr="0076661D">
        <w:rPr>
          <w:rFonts w:ascii="Arial" w:hAnsi="Arial" w:cs="Arial"/>
          <w:color w:val="222222"/>
          <w:sz w:val="20"/>
          <w:szCs w:val="20"/>
          <w:shd w:val="clear" w:color="auto" w:fill="FFFFFF"/>
        </w:rPr>
        <w:t>Średnicka-Tober</w:t>
      </w:r>
      <w:proofErr w:type="spellEnd"/>
      <w:r w:rsidRPr="0076661D">
        <w:rPr>
          <w:rFonts w:ascii="Arial" w:hAnsi="Arial" w:cs="Arial"/>
          <w:color w:val="222222"/>
          <w:sz w:val="20"/>
          <w:szCs w:val="20"/>
          <w:shd w:val="clear" w:color="auto" w:fill="FFFFFF"/>
        </w:rPr>
        <w:t xml:space="preserve">, D., </w:t>
      </w:r>
      <w:proofErr w:type="spellStart"/>
      <w:r w:rsidRPr="0076661D">
        <w:rPr>
          <w:rFonts w:ascii="Arial" w:hAnsi="Arial" w:cs="Arial"/>
          <w:color w:val="222222"/>
          <w:sz w:val="20"/>
          <w:szCs w:val="20"/>
          <w:shd w:val="clear" w:color="auto" w:fill="FFFFFF"/>
        </w:rPr>
        <w:t>Golba</w:t>
      </w:r>
      <w:proofErr w:type="spellEnd"/>
      <w:r w:rsidRPr="0076661D">
        <w:rPr>
          <w:rFonts w:ascii="Arial" w:hAnsi="Arial" w:cs="Arial"/>
          <w:color w:val="222222"/>
          <w:sz w:val="20"/>
          <w:szCs w:val="20"/>
          <w:shd w:val="clear" w:color="auto" w:fill="FFFFFF"/>
        </w:rPr>
        <w:t xml:space="preserve">, J., </w:t>
      </w:r>
      <w:proofErr w:type="spellStart"/>
      <w:r w:rsidRPr="0076661D">
        <w:rPr>
          <w:rFonts w:ascii="Arial" w:hAnsi="Arial" w:cs="Arial"/>
          <w:color w:val="222222"/>
          <w:sz w:val="20"/>
          <w:szCs w:val="20"/>
          <w:shd w:val="clear" w:color="auto" w:fill="FFFFFF"/>
        </w:rPr>
        <w:t>Nowacka</w:t>
      </w:r>
      <w:proofErr w:type="spellEnd"/>
      <w:r w:rsidRPr="0076661D">
        <w:rPr>
          <w:rFonts w:ascii="Arial" w:hAnsi="Arial" w:cs="Arial"/>
          <w:color w:val="222222"/>
          <w:sz w:val="20"/>
          <w:szCs w:val="20"/>
          <w:shd w:val="clear" w:color="auto" w:fill="FFFFFF"/>
        </w:rPr>
        <w:t xml:space="preserve">, A., </w:t>
      </w:r>
      <w:proofErr w:type="spellStart"/>
      <w:r w:rsidRPr="0076661D">
        <w:rPr>
          <w:rFonts w:ascii="Arial" w:hAnsi="Arial" w:cs="Arial"/>
          <w:color w:val="222222"/>
          <w:sz w:val="20"/>
          <w:szCs w:val="20"/>
          <w:shd w:val="clear" w:color="auto" w:fill="FFFFFF"/>
        </w:rPr>
        <w:t>Hołodyńska-Kulas</w:t>
      </w:r>
      <w:proofErr w:type="spellEnd"/>
      <w:r w:rsidRPr="0076661D">
        <w:rPr>
          <w:rFonts w:ascii="Arial" w:hAnsi="Arial" w:cs="Arial"/>
          <w:color w:val="222222"/>
          <w:sz w:val="20"/>
          <w:szCs w:val="20"/>
          <w:shd w:val="clear" w:color="auto" w:fill="FFFFFF"/>
        </w:rPr>
        <w:t xml:space="preserve">, A., </w:t>
      </w:r>
      <w:proofErr w:type="spellStart"/>
      <w:r w:rsidRPr="0076661D">
        <w:rPr>
          <w:rFonts w:ascii="Arial" w:hAnsi="Arial" w:cs="Arial"/>
          <w:color w:val="222222"/>
          <w:sz w:val="20"/>
          <w:szCs w:val="20"/>
          <w:shd w:val="clear" w:color="auto" w:fill="FFFFFF"/>
        </w:rPr>
        <w:t>Kopczyńska</w:t>
      </w:r>
      <w:proofErr w:type="spellEnd"/>
      <w:r w:rsidRPr="0076661D">
        <w:rPr>
          <w:rFonts w:ascii="Arial" w:hAnsi="Arial" w:cs="Arial"/>
          <w:color w:val="222222"/>
          <w:sz w:val="20"/>
          <w:szCs w:val="20"/>
          <w:shd w:val="clear" w:color="auto" w:fill="FFFFFF"/>
        </w:rPr>
        <w:t xml:space="preserve">, K., </w:t>
      </w:r>
      <w:proofErr w:type="spellStart"/>
      <w:r w:rsidRPr="0076661D">
        <w:rPr>
          <w:rFonts w:ascii="Arial" w:hAnsi="Arial" w:cs="Arial"/>
          <w:color w:val="222222"/>
          <w:sz w:val="20"/>
          <w:szCs w:val="20"/>
          <w:shd w:val="clear" w:color="auto" w:fill="FFFFFF"/>
        </w:rPr>
        <w:t>Góralska</w:t>
      </w:r>
      <w:proofErr w:type="spellEnd"/>
      <w:r w:rsidRPr="0076661D">
        <w:rPr>
          <w:rFonts w:ascii="Arial" w:hAnsi="Arial" w:cs="Arial"/>
          <w:color w:val="222222"/>
          <w:sz w:val="20"/>
          <w:szCs w:val="20"/>
          <w:shd w:val="clear" w:color="auto" w:fill="FFFFFF"/>
        </w:rPr>
        <w:t xml:space="preserve">-Walczak, R., &amp; </w:t>
      </w:r>
      <w:proofErr w:type="spellStart"/>
      <w:r w:rsidRPr="0076661D">
        <w:rPr>
          <w:rFonts w:ascii="Arial" w:hAnsi="Arial" w:cs="Arial"/>
          <w:color w:val="222222"/>
          <w:sz w:val="20"/>
          <w:szCs w:val="20"/>
          <w:shd w:val="clear" w:color="auto" w:fill="FFFFFF"/>
        </w:rPr>
        <w:t>Gnusowski</w:t>
      </w:r>
      <w:proofErr w:type="spellEnd"/>
      <w:r w:rsidRPr="0076661D">
        <w:rPr>
          <w:rFonts w:ascii="Arial" w:hAnsi="Arial" w:cs="Arial"/>
          <w:color w:val="222222"/>
          <w:sz w:val="20"/>
          <w:szCs w:val="20"/>
          <w:shd w:val="clear" w:color="auto" w:fill="FFFFFF"/>
        </w:rPr>
        <w:t xml:space="preserve">, B. (2022). Evaluation of Pesticide Residues Occurrence in Random Samples of Organic Fruits and Vegetables Marketed in Poland. Foods, 11(13), 1963. </w:t>
      </w:r>
      <w:hyperlink r:id="rId37" w:history="1">
        <w:r w:rsidRPr="001655EE">
          <w:rPr>
            <w:rStyle w:val="Hyperlink"/>
            <w:rFonts w:ascii="Arial" w:hAnsi="Arial" w:cs="Arial"/>
            <w:sz w:val="20"/>
            <w:szCs w:val="20"/>
            <w:shd w:val="clear" w:color="auto" w:fill="FFFFFF"/>
          </w:rPr>
          <w:t>https://doi.org/10.3390/foods11131963</w:t>
        </w:r>
      </w:hyperlink>
    </w:p>
    <w:p w14:paraId="1B826A9E" w14:textId="651941B7"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Joint FAO/WHO Meeting on Pesticide Residues. (2010). Pesticide residues in food 2010: Report of the Joint Meeting of the FAO Panel of Experts on Pesticide Residues in Food and the Environment and the WHO Core Assessment Group on Pesticide Residues. Food and Agriculture Organization of the United Nations and World Health Organization. </w:t>
      </w:r>
      <w:hyperlink r:id="rId38" w:history="1">
        <w:r w:rsidRPr="001655EE">
          <w:rPr>
            <w:rStyle w:val="Hyperlink"/>
            <w:rFonts w:ascii="Arial" w:hAnsi="Arial" w:cs="Arial"/>
            <w:sz w:val="20"/>
            <w:szCs w:val="20"/>
          </w:rPr>
          <w:t>https://www.fao.org/3/i1909e/i1909e.pdf</w:t>
        </w:r>
      </w:hyperlink>
    </w:p>
    <w:p w14:paraId="7702A354" w14:textId="77777777" w:rsidR="0076661D" w:rsidRDefault="0076661D" w:rsidP="001E5B1A">
      <w:pPr>
        <w:spacing w:after="0" w:line="360" w:lineRule="auto"/>
        <w:jc w:val="both"/>
        <w:rPr>
          <w:rFonts w:ascii="Arial" w:hAnsi="Arial" w:cs="Arial"/>
          <w:sz w:val="20"/>
          <w:szCs w:val="20"/>
        </w:rPr>
      </w:pPr>
      <w:r w:rsidRPr="0076661D">
        <w:rPr>
          <w:rFonts w:ascii="Arial" w:hAnsi="Arial" w:cs="Arial"/>
          <w:sz w:val="20"/>
          <w:szCs w:val="20"/>
        </w:rPr>
        <w:t xml:space="preserve">Yamada, Y. (2017). Importance of Codex Maximum Residue Limits for Pesticides for the Health of Consumers and International Trade. In Á. </w:t>
      </w:r>
      <w:proofErr w:type="spellStart"/>
      <w:r w:rsidRPr="0076661D">
        <w:rPr>
          <w:rFonts w:ascii="Arial" w:hAnsi="Arial" w:cs="Arial"/>
          <w:sz w:val="20"/>
          <w:szCs w:val="20"/>
        </w:rPr>
        <w:t>Ambrus</w:t>
      </w:r>
      <w:proofErr w:type="spellEnd"/>
      <w:r w:rsidRPr="0076661D">
        <w:rPr>
          <w:rFonts w:ascii="Arial" w:hAnsi="Arial" w:cs="Arial"/>
          <w:sz w:val="20"/>
          <w:szCs w:val="20"/>
        </w:rPr>
        <w:t xml:space="preserve"> &amp; D. Hamilton (Eds.), Food Safety Assessment of Pesticide Residues (pp. 269–282). World Scientific Publishing. https://doi.org/10.1142/9781786341693_0007</w:t>
      </w:r>
    </w:p>
    <w:p w14:paraId="0400A6A7" w14:textId="1280ECA1" w:rsidR="0076661D" w:rsidRPr="0076661D" w:rsidRDefault="0076661D" w:rsidP="001E5B1A">
      <w:pPr>
        <w:spacing w:after="0" w:line="360" w:lineRule="auto"/>
        <w:jc w:val="both"/>
        <w:rPr>
          <w:rFonts w:ascii="Arial" w:hAnsi="Arial" w:cs="Arial"/>
          <w:sz w:val="20"/>
          <w:szCs w:val="20"/>
        </w:rPr>
        <w:sectPr w:rsidR="0076661D" w:rsidRPr="0076661D" w:rsidSect="0076661D">
          <w:pgSz w:w="11907" w:h="16839" w:code="9"/>
          <w:pgMar w:top="1440" w:right="1530" w:bottom="1440" w:left="1350" w:header="720" w:footer="720" w:gutter="0"/>
          <w:cols w:space="720"/>
          <w:docGrid w:linePitch="360"/>
        </w:sectPr>
      </w:pPr>
    </w:p>
    <w:p w14:paraId="28061209" w14:textId="77777777" w:rsidR="001E5B1A" w:rsidRPr="00BB57AC" w:rsidRDefault="001E5B1A">
      <w:pPr>
        <w:rPr>
          <w:rFonts w:ascii="Arial" w:hAnsi="Arial" w:cs="Arial"/>
        </w:rPr>
      </w:pPr>
    </w:p>
    <w:sectPr w:rsidR="001E5B1A" w:rsidRPr="00BB57AC" w:rsidSect="007E7592">
      <w:pgSz w:w="11907" w:h="16839" w:code="9"/>
      <w:pgMar w:top="1440" w:right="153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28AE8" w14:textId="77777777" w:rsidR="00C60214" w:rsidRDefault="00C60214" w:rsidP="00EF760E">
      <w:pPr>
        <w:spacing w:after="0" w:line="240" w:lineRule="auto"/>
      </w:pPr>
      <w:r>
        <w:separator/>
      </w:r>
    </w:p>
  </w:endnote>
  <w:endnote w:type="continuationSeparator" w:id="0">
    <w:p w14:paraId="46EAFBE8" w14:textId="77777777" w:rsidR="00C60214" w:rsidRDefault="00C60214" w:rsidP="00EF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F94E" w14:textId="77777777" w:rsidR="00214B2F" w:rsidRDefault="0021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8B04" w14:textId="77777777" w:rsidR="00214B2F" w:rsidRDefault="0021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132D" w14:textId="77777777" w:rsidR="00214B2F" w:rsidRDefault="0021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56CDA" w14:textId="77777777" w:rsidR="00C60214" w:rsidRDefault="00C60214" w:rsidP="00EF760E">
      <w:pPr>
        <w:spacing w:after="0" w:line="240" w:lineRule="auto"/>
      </w:pPr>
      <w:r>
        <w:separator/>
      </w:r>
    </w:p>
  </w:footnote>
  <w:footnote w:type="continuationSeparator" w:id="0">
    <w:p w14:paraId="02C6F11C" w14:textId="77777777" w:rsidR="00C60214" w:rsidRDefault="00C60214" w:rsidP="00EF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E4A3" w14:textId="6E1FA184" w:rsidR="00214B2F" w:rsidRDefault="00214B2F">
    <w:pPr>
      <w:pStyle w:val="Header"/>
    </w:pPr>
    <w:r>
      <w:rPr>
        <w:noProof/>
      </w:rPr>
      <w:pict w14:anchorId="7A0D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27B9" w14:textId="412AF7FD" w:rsidR="00214B2F" w:rsidRDefault="00214B2F">
    <w:pPr>
      <w:pStyle w:val="Header"/>
    </w:pPr>
    <w:r>
      <w:rPr>
        <w:noProof/>
      </w:rPr>
      <w:pict w14:anchorId="6DDFE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B7AF" w14:textId="720E35B1" w:rsidR="00214B2F" w:rsidRDefault="00214B2F">
    <w:pPr>
      <w:pStyle w:val="Header"/>
    </w:pPr>
    <w:r>
      <w:rPr>
        <w:noProof/>
      </w:rPr>
      <w:pict w14:anchorId="3F9C8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40B32"/>
    <w:multiLevelType w:val="hybridMultilevel"/>
    <w:tmpl w:val="6C14CD52"/>
    <w:lvl w:ilvl="0" w:tplc="6BE6E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1360AB"/>
    <w:multiLevelType w:val="hybridMultilevel"/>
    <w:tmpl w:val="C2E4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B44CD"/>
    <w:multiLevelType w:val="hybridMultilevel"/>
    <w:tmpl w:val="7E5E3C3E"/>
    <w:lvl w:ilvl="0" w:tplc="04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7F344BE8"/>
    <w:multiLevelType w:val="hybridMultilevel"/>
    <w:tmpl w:val="8C541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B1A"/>
    <w:rsid w:val="000C6DF9"/>
    <w:rsid w:val="001A1E90"/>
    <w:rsid w:val="001E5B1A"/>
    <w:rsid w:val="00214B2F"/>
    <w:rsid w:val="00216B03"/>
    <w:rsid w:val="0025682E"/>
    <w:rsid w:val="00291460"/>
    <w:rsid w:val="003102BB"/>
    <w:rsid w:val="003365A3"/>
    <w:rsid w:val="00430349"/>
    <w:rsid w:val="005F3B82"/>
    <w:rsid w:val="006B1363"/>
    <w:rsid w:val="0074510C"/>
    <w:rsid w:val="00756436"/>
    <w:rsid w:val="0076661D"/>
    <w:rsid w:val="007C4A78"/>
    <w:rsid w:val="007E0E02"/>
    <w:rsid w:val="007E7592"/>
    <w:rsid w:val="00813DD2"/>
    <w:rsid w:val="00852FBA"/>
    <w:rsid w:val="008A01F3"/>
    <w:rsid w:val="008E45FD"/>
    <w:rsid w:val="00954C89"/>
    <w:rsid w:val="00995CAF"/>
    <w:rsid w:val="009D1A0C"/>
    <w:rsid w:val="00A20879"/>
    <w:rsid w:val="00A51C9F"/>
    <w:rsid w:val="00AA03F6"/>
    <w:rsid w:val="00B40080"/>
    <w:rsid w:val="00BB57AC"/>
    <w:rsid w:val="00C60214"/>
    <w:rsid w:val="00CE7350"/>
    <w:rsid w:val="00D7119A"/>
    <w:rsid w:val="00DB7BE5"/>
    <w:rsid w:val="00DE4060"/>
    <w:rsid w:val="00E04A49"/>
    <w:rsid w:val="00E37BAF"/>
    <w:rsid w:val="00E8550A"/>
    <w:rsid w:val="00EC3702"/>
    <w:rsid w:val="00ED715F"/>
    <w:rsid w:val="00EF760E"/>
    <w:rsid w:val="00F047AF"/>
    <w:rsid w:val="00F5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B25B6"/>
  <w15:docId w15:val="{760A86A4-77CA-4F59-9328-CBE880CD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B1A"/>
  </w:style>
  <w:style w:type="paragraph" w:styleId="Heading1">
    <w:name w:val="heading 1"/>
    <w:basedOn w:val="Normal"/>
    <w:next w:val="Normal"/>
    <w:link w:val="Heading1Char"/>
    <w:uiPriority w:val="9"/>
    <w:qFormat/>
    <w:rsid w:val="001E5B1A"/>
    <w:pPr>
      <w:keepNext/>
      <w:keepLines/>
      <w:spacing w:before="240" w:after="0" w:line="24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E5B1A"/>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B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E5B1A"/>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1E5B1A"/>
    <w:pPr>
      <w:ind w:left="720"/>
      <w:contextualSpacing/>
    </w:pPr>
  </w:style>
  <w:style w:type="paragraph" w:styleId="BalloonText">
    <w:name w:val="Balloon Text"/>
    <w:basedOn w:val="Normal"/>
    <w:link w:val="BalloonTextChar"/>
    <w:uiPriority w:val="99"/>
    <w:semiHidden/>
    <w:unhideWhenUsed/>
    <w:rsid w:val="001E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1A"/>
    <w:rPr>
      <w:rFonts w:ascii="Tahoma" w:hAnsi="Tahoma" w:cs="Tahoma"/>
      <w:sz w:val="16"/>
      <w:szCs w:val="16"/>
    </w:rPr>
  </w:style>
  <w:style w:type="table" w:styleId="TableGrid">
    <w:name w:val="Table Grid"/>
    <w:basedOn w:val="TableNormal"/>
    <w:uiPriority w:val="39"/>
    <w:rsid w:val="001E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1E5B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B1A"/>
    <w:rPr>
      <w:b/>
      <w:bCs/>
    </w:rPr>
  </w:style>
  <w:style w:type="paragraph" w:customStyle="1" w:styleId="Default">
    <w:name w:val="Default"/>
    <w:rsid w:val="001E5B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5B1A"/>
    <w:rPr>
      <w:color w:val="0000FF" w:themeColor="hyperlink"/>
      <w:u w:val="single"/>
    </w:rPr>
  </w:style>
  <w:style w:type="paragraph" w:styleId="NormalWeb">
    <w:name w:val="Normal (Web)"/>
    <w:basedOn w:val="Normal"/>
    <w:uiPriority w:val="99"/>
    <w:unhideWhenUsed/>
    <w:rsid w:val="001E5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37BAF"/>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E37BA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7BA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EF7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0E"/>
  </w:style>
  <w:style w:type="paragraph" w:styleId="Footer">
    <w:name w:val="footer"/>
    <w:basedOn w:val="Normal"/>
    <w:link w:val="FooterChar"/>
    <w:unhideWhenUsed/>
    <w:rsid w:val="00EF760E"/>
    <w:pPr>
      <w:tabs>
        <w:tab w:val="center" w:pos="4680"/>
        <w:tab w:val="right" w:pos="9360"/>
      </w:tabs>
      <w:spacing w:after="0" w:line="240" w:lineRule="auto"/>
    </w:pPr>
  </w:style>
  <w:style w:type="character" w:customStyle="1" w:styleId="FooterChar">
    <w:name w:val="Footer Char"/>
    <w:basedOn w:val="DefaultParagraphFont"/>
    <w:link w:val="Footer"/>
    <w:rsid w:val="00EF760E"/>
  </w:style>
  <w:style w:type="character" w:styleId="Emphasis">
    <w:name w:val="Emphasis"/>
    <w:basedOn w:val="DefaultParagraphFont"/>
    <w:uiPriority w:val="20"/>
    <w:qFormat/>
    <w:rsid w:val="00DB7BE5"/>
    <w:rPr>
      <w:i/>
      <w:iCs/>
    </w:rPr>
  </w:style>
  <w:style w:type="character" w:styleId="UnresolvedMention">
    <w:name w:val="Unresolved Mention"/>
    <w:basedOn w:val="DefaultParagraphFont"/>
    <w:uiPriority w:val="99"/>
    <w:semiHidden/>
    <w:unhideWhenUsed/>
    <w:rsid w:val="0043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stacks.cdc.gov/view/cdc/7166" TargetMode="External"/><Relationship Id="rId26" Type="http://schemas.openxmlformats.org/officeDocument/2006/relationships/hyperlink" Target="https://doi.org/10.37134/jsml.vol12.2.2.2024" TargetMode="External"/><Relationship Id="rId39" Type="http://schemas.openxmlformats.org/officeDocument/2006/relationships/fontTable" Target="fontTable.xml"/><Relationship Id="rId21" Type="http://schemas.openxmlformats.org/officeDocument/2006/relationships/hyperlink" Target="https://doi.org/10.9734/ajee/2022/v19i4419" TargetMode="External"/><Relationship Id="rId34" Type="http://schemas.openxmlformats.org/officeDocument/2006/relationships/hyperlink" Target="https://doi.org/10.1016/B978-0-12-814956-0.00011-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236/jacen.2018.74013" TargetMode="External"/><Relationship Id="rId25" Type="http://schemas.openxmlformats.org/officeDocument/2006/relationships/hyperlink" Target="https://doi.org/10.30574/wjarr.2023.19.1.1308" TargetMode="External"/><Relationship Id="rId33" Type="http://schemas.openxmlformats.org/officeDocument/2006/relationships/hyperlink" Target="https://doi.org/10.1080/10807039.2013.788972" TargetMode="External"/><Relationship Id="rId38" Type="http://schemas.openxmlformats.org/officeDocument/2006/relationships/hyperlink" Target="https://www.fao.org/3/i1909e/i1909e.pdf"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5155/eurjchem.16.3.259-266.2620" TargetMode="External"/><Relationship Id="rId29" Type="http://schemas.openxmlformats.org/officeDocument/2006/relationships/hyperlink" Target="https://doi.org/10.1016/j.envadv.2021.1001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epa.gov/sites/production/files/2015-10/documents/2005-nata-tmd.pdf" TargetMode="External"/><Relationship Id="rId32" Type="http://schemas.openxmlformats.org/officeDocument/2006/relationships/hyperlink" Target="https://doi.org/10.1080/10807039.2013.788972" TargetMode="External"/><Relationship Id="rId37" Type="http://schemas.openxmlformats.org/officeDocument/2006/relationships/hyperlink" Target="https://doi.org/10.3390/foods11131963"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80/19393210.2018.1564370" TargetMode="External"/><Relationship Id="rId28" Type="http://schemas.openxmlformats.org/officeDocument/2006/relationships/hyperlink" Target="https://doi.org/10.1016/j.yrtph.2015.09.016" TargetMode="External"/><Relationship Id="rId36" Type="http://schemas.openxmlformats.org/officeDocument/2006/relationships/hyperlink" Target="https://doi.org/10.1016/j.heliyon.2020.e05803" TargetMode="External"/><Relationship Id="rId10" Type="http://schemas.openxmlformats.org/officeDocument/2006/relationships/footer" Target="footer2.xml"/><Relationship Id="rId19" Type="http://schemas.openxmlformats.org/officeDocument/2006/relationships/hyperlink" Target="https://doi.org/10.1080/01480545.2019.1621334" TargetMode="External"/><Relationship Id="rId31" Type="http://schemas.openxmlformats.org/officeDocument/2006/relationships/hyperlink" Target="https://doi.org/10.1007/s13593-014-0259-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02/JSFA.2407" TargetMode="External"/><Relationship Id="rId27" Type="http://schemas.openxmlformats.org/officeDocument/2006/relationships/hyperlink" Target="https://doi.org/10.5296/jas.v9i4.19228" TargetMode="External"/><Relationship Id="rId30" Type="http://schemas.openxmlformats.org/officeDocument/2006/relationships/hyperlink" Target="https://doi.org/10.1016/j.fct.2017.08.017" TargetMode="External"/><Relationship Id="rId35" Type="http://schemas.openxmlformats.org/officeDocument/2006/relationships/hyperlink" Target="https://doi.org/10.1016/j.yrtph.2009.09.013" TargetMode="External"/><Relationship Id="rId8" Type="http://schemas.openxmlformats.org/officeDocument/2006/relationships/header" Target="head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EXCEL%20VICTOR%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PV</c:v>
                </c:pt>
              </c:strCache>
            </c:strRef>
          </c:tx>
          <c:invertIfNegative val="0"/>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Sheet2!$B$2:$B$13</c:f>
              <c:numCache>
                <c:formatCode>General</c:formatCode>
                <c:ptCount val="12"/>
                <c:pt idx="0">
                  <c:v>6.0999999999999999E-2</c:v>
                </c:pt>
                <c:pt idx="1">
                  <c:v>0.04</c:v>
                </c:pt>
                <c:pt idx="2">
                  <c:v>6.9000000000000006E-2</c:v>
                </c:pt>
                <c:pt idx="3">
                  <c:v>9.6000000000000002E-2</c:v>
                </c:pt>
                <c:pt idx="4">
                  <c:v>6.5000000000000002E-2</c:v>
                </c:pt>
                <c:pt idx="5">
                  <c:v>4.2000000000000003E-2</c:v>
                </c:pt>
                <c:pt idx="6">
                  <c:v>4.1000000000000002E-2</c:v>
                </c:pt>
                <c:pt idx="7">
                  <c:v>0.42399999999999999</c:v>
                </c:pt>
                <c:pt idx="8">
                  <c:v>4.4999999999999998E-2</c:v>
                </c:pt>
                <c:pt idx="9">
                  <c:v>0.05</c:v>
                </c:pt>
                <c:pt idx="10">
                  <c:v>5.7000000000000002E-2</c:v>
                </c:pt>
                <c:pt idx="11">
                  <c:v>4.8000000000000001E-2</c:v>
                </c:pt>
              </c:numCache>
            </c:numRef>
          </c:val>
          <c:extLst>
            <c:ext xmlns:c16="http://schemas.microsoft.com/office/drawing/2014/chart" uri="{C3380CC4-5D6E-409C-BE32-E72D297353CC}">
              <c16:uniqueId val="{00000000-DD93-4FF0-A00D-F51AC1EABEE9}"/>
            </c:ext>
          </c:extLst>
        </c:ser>
        <c:ser>
          <c:idx val="1"/>
          <c:order val="1"/>
          <c:tx>
            <c:strRef>
              <c:f>Sheet2!$C$1</c:f>
              <c:strCache>
                <c:ptCount val="1"/>
                <c:pt idx="0">
                  <c:v>PD</c:v>
                </c:pt>
              </c:strCache>
            </c:strRef>
          </c:tx>
          <c:invertIfNegative val="0"/>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Sheet2!$C$2:$C$13</c:f>
              <c:numCache>
                <c:formatCode>General</c:formatCode>
                <c:ptCount val="12"/>
                <c:pt idx="0">
                  <c:v>9.2999999999999999E-2</c:v>
                </c:pt>
                <c:pt idx="1">
                  <c:v>0.123</c:v>
                </c:pt>
                <c:pt idx="2">
                  <c:v>0.50700000000000001</c:v>
                </c:pt>
                <c:pt idx="3">
                  <c:v>0.83899999999999997</c:v>
                </c:pt>
                <c:pt idx="4">
                  <c:v>0.13200000000000001</c:v>
                </c:pt>
                <c:pt idx="5">
                  <c:v>2.9000000000000001E-2</c:v>
                </c:pt>
                <c:pt idx="6">
                  <c:v>8.1000000000000003E-2</c:v>
                </c:pt>
                <c:pt idx="7">
                  <c:v>3.4000000000000002E-2</c:v>
                </c:pt>
                <c:pt idx="8">
                  <c:v>0</c:v>
                </c:pt>
                <c:pt idx="9">
                  <c:v>0</c:v>
                </c:pt>
                <c:pt idx="10">
                  <c:v>0</c:v>
                </c:pt>
                <c:pt idx="11">
                  <c:v>0</c:v>
                </c:pt>
              </c:numCache>
            </c:numRef>
          </c:val>
          <c:extLst>
            <c:ext xmlns:c16="http://schemas.microsoft.com/office/drawing/2014/chart" uri="{C3380CC4-5D6E-409C-BE32-E72D297353CC}">
              <c16:uniqueId val="{00000001-DD93-4FF0-A00D-F51AC1EABEE9}"/>
            </c:ext>
          </c:extLst>
        </c:ser>
        <c:dLbls>
          <c:showLegendKey val="0"/>
          <c:showVal val="0"/>
          <c:showCatName val="0"/>
          <c:showSerName val="0"/>
          <c:showPercent val="0"/>
          <c:showBubbleSize val="0"/>
        </c:dLbls>
        <c:gapWidth val="150"/>
        <c:axId val="160485760"/>
        <c:axId val="160487680"/>
      </c:barChart>
      <c:catAx>
        <c:axId val="160485760"/>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0487680"/>
        <c:crosses val="autoZero"/>
        <c:auto val="1"/>
        <c:lblAlgn val="ctr"/>
        <c:lblOffset val="100"/>
        <c:noMultiLvlLbl val="0"/>
      </c:catAx>
      <c:valAx>
        <c:axId val="160487680"/>
        <c:scaling>
          <c:orientation val="minMax"/>
        </c:scaling>
        <c:delete val="0"/>
        <c:axPos val="l"/>
        <c:title>
          <c:tx>
            <c:rich>
              <a:bodyPr rot="-5400000" vert="horz"/>
              <a:lstStyle/>
              <a:p>
                <a:pPr>
                  <a:defRPr/>
                </a:pPr>
                <a:r>
                  <a:rPr lang="en-US"/>
                  <a:t>Concentrations</a:t>
                </a:r>
                <a:r>
                  <a:rPr lang="en-US" baseline="0"/>
                  <a:t> in mg/kg</a:t>
                </a:r>
                <a:endParaRPr lang="en-US"/>
              </a:p>
            </c:rich>
          </c:tx>
          <c:overlay val="0"/>
        </c:title>
        <c:numFmt formatCode="General" sourceLinked="1"/>
        <c:majorTickMark val="out"/>
        <c:minorTickMark val="none"/>
        <c:tickLblPos val="nextTo"/>
        <c:crossAx val="160485760"/>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Sheet11!$H$1</c:f>
              <c:strCache>
                <c:ptCount val="1"/>
                <c:pt idx="0">
                  <c:v>VP</c:v>
                </c:pt>
              </c:strCache>
            </c:strRef>
          </c:tx>
          <c:invertIfNegative val="0"/>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Sheet11!$H$2:$H$14</c:f>
              <c:numCache>
                <c:formatCode>General</c:formatCode>
                <c:ptCount val="13"/>
                <c:pt idx="0">
                  <c:v>0.161</c:v>
                </c:pt>
                <c:pt idx="1">
                  <c:v>8.7999999999999995E-2</c:v>
                </c:pt>
                <c:pt idx="2">
                  <c:v>0.221</c:v>
                </c:pt>
                <c:pt idx="3">
                  <c:v>0.52800000000000002</c:v>
                </c:pt>
                <c:pt idx="4">
                  <c:v>0.30399999999999999</c:v>
                </c:pt>
                <c:pt idx="5">
                  <c:v>0.29099999999999998</c:v>
                </c:pt>
                <c:pt idx="6">
                  <c:v>9.9000000000000005E-2</c:v>
                </c:pt>
                <c:pt idx="7">
                  <c:v>0.73</c:v>
                </c:pt>
                <c:pt idx="8">
                  <c:v>0.52900000000000003</c:v>
                </c:pt>
                <c:pt idx="9">
                  <c:v>0.13400000000000001</c:v>
                </c:pt>
                <c:pt idx="10">
                  <c:v>0.10199999999999999</c:v>
                </c:pt>
                <c:pt idx="11">
                  <c:v>0.23100000000000001</c:v>
                </c:pt>
                <c:pt idx="12">
                  <c:v>0</c:v>
                </c:pt>
              </c:numCache>
            </c:numRef>
          </c:val>
          <c:extLst>
            <c:ext xmlns:c16="http://schemas.microsoft.com/office/drawing/2014/chart" uri="{C3380CC4-5D6E-409C-BE32-E72D297353CC}">
              <c16:uniqueId val="{00000000-0BE3-4E94-AC6C-06EC1F9B5607}"/>
            </c:ext>
          </c:extLst>
        </c:ser>
        <c:ser>
          <c:idx val="1"/>
          <c:order val="1"/>
          <c:tx>
            <c:strRef>
              <c:f>Sheet11!$I$1</c:f>
              <c:strCache>
                <c:ptCount val="1"/>
                <c:pt idx="0">
                  <c:v>DP</c:v>
                </c:pt>
              </c:strCache>
            </c:strRef>
          </c:tx>
          <c:invertIfNegative val="0"/>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Sheet11!$I$2:$I$14</c:f>
              <c:numCache>
                <c:formatCode>General</c:formatCode>
                <c:ptCount val="13"/>
                <c:pt idx="0">
                  <c:v>0.46600000000000003</c:v>
                </c:pt>
                <c:pt idx="1">
                  <c:v>2.5950000000000002</c:v>
                </c:pt>
                <c:pt idx="2">
                  <c:v>0.128</c:v>
                </c:pt>
                <c:pt idx="3">
                  <c:v>0.47599999999999998</c:v>
                </c:pt>
                <c:pt idx="4">
                  <c:v>0.57899999999999996</c:v>
                </c:pt>
                <c:pt idx="5">
                  <c:v>0.184</c:v>
                </c:pt>
                <c:pt idx="6">
                  <c:v>0</c:v>
                </c:pt>
                <c:pt idx="7">
                  <c:v>1.2549999999999999</c:v>
                </c:pt>
                <c:pt idx="8">
                  <c:v>0.316</c:v>
                </c:pt>
                <c:pt idx="9">
                  <c:v>1.504</c:v>
                </c:pt>
                <c:pt idx="10">
                  <c:v>0</c:v>
                </c:pt>
                <c:pt idx="11">
                  <c:v>0.55400000000000005</c:v>
                </c:pt>
                <c:pt idx="12">
                  <c:v>0.81</c:v>
                </c:pt>
              </c:numCache>
            </c:numRef>
          </c:val>
          <c:extLst>
            <c:ext xmlns:c16="http://schemas.microsoft.com/office/drawing/2014/chart" uri="{C3380CC4-5D6E-409C-BE32-E72D297353CC}">
              <c16:uniqueId val="{00000001-0BE3-4E94-AC6C-06EC1F9B5607}"/>
            </c:ext>
          </c:extLst>
        </c:ser>
        <c:dLbls>
          <c:showLegendKey val="0"/>
          <c:showVal val="0"/>
          <c:showCatName val="0"/>
          <c:showSerName val="0"/>
          <c:showPercent val="0"/>
          <c:showBubbleSize val="0"/>
        </c:dLbls>
        <c:gapWidth val="150"/>
        <c:axId val="160623232"/>
        <c:axId val="160633600"/>
      </c:barChart>
      <c:catAx>
        <c:axId val="160623232"/>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0633600"/>
        <c:crosses val="autoZero"/>
        <c:auto val="1"/>
        <c:lblAlgn val="ctr"/>
        <c:lblOffset val="100"/>
        <c:noMultiLvlLbl val="0"/>
      </c:catAx>
      <c:valAx>
        <c:axId val="160633600"/>
        <c:scaling>
          <c:orientation val="minMax"/>
        </c:scaling>
        <c:delete val="0"/>
        <c:axPos val="l"/>
        <c:title>
          <c:tx>
            <c:rich>
              <a:bodyPr rot="-5400000" vert="horz"/>
              <a:lstStyle/>
              <a:p>
                <a:pPr>
                  <a:defRPr/>
                </a:pPr>
                <a:r>
                  <a:rPr lang="en-US"/>
                  <a:t>Concentrations in mg/kg</a:t>
                </a:r>
              </a:p>
            </c:rich>
          </c:tx>
          <c:overlay val="0"/>
        </c:title>
        <c:numFmt formatCode="General" sourceLinked="1"/>
        <c:majorTickMark val="out"/>
        <c:minorTickMark val="none"/>
        <c:tickLblPos val="nextTo"/>
        <c:crossAx val="1606232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Sheet5!$B$1</c:f>
              <c:strCache>
                <c:ptCount val="1"/>
                <c:pt idx="0">
                  <c:v>BB</c:v>
                </c:pt>
              </c:strCache>
            </c:strRef>
          </c:tx>
          <c:invertIfNegative val="0"/>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Sheet5!$B$2:$B$16</c:f>
              <c:numCache>
                <c:formatCode>General</c:formatCode>
                <c:ptCount val="15"/>
                <c:pt idx="0">
                  <c:v>0.107</c:v>
                </c:pt>
                <c:pt idx="1">
                  <c:v>2.0859999999999999</c:v>
                </c:pt>
                <c:pt idx="2">
                  <c:v>1.2170000000000001</c:v>
                </c:pt>
                <c:pt idx="3">
                  <c:v>2.7E-2</c:v>
                </c:pt>
                <c:pt idx="4">
                  <c:v>0.56499999999999995</c:v>
                </c:pt>
                <c:pt idx="5">
                  <c:v>0.14599999999999999</c:v>
                </c:pt>
                <c:pt idx="6">
                  <c:v>0.42499999999999999</c:v>
                </c:pt>
                <c:pt idx="7">
                  <c:v>2.9000000000000001E-2</c:v>
                </c:pt>
                <c:pt idx="8">
                  <c:v>0.19600000000000001</c:v>
                </c:pt>
                <c:pt idx="9">
                  <c:v>1.6E-2</c:v>
                </c:pt>
                <c:pt idx="10">
                  <c:v>4.7E-2</c:v>
                </c:pt>
                <c:pt idx="11">
                  <c:v>0.05</c:v>
                </c:pt>
                <c:pt idx="12">
                  <c:v>0</c:v>
                </c:pt>
                <c:pt idx="13">
                  <c:v>0</c:v>
                </c:pt>
                <c:pt idx="14">
                  <c:v>0</c:v>
                </c:pt>
              </c:numCache>
            </c:numRef>
          </c:val>
          <c:extLst>
            <c:ext xmlns:c16="http://schemas.microsoft.com/office/drawing/2014/chart" uri="{C3380CC4-5D6E-409C-BE32-E72D297353CC}">
              <c16:uniqueId val="{00000000-0F41-4000-AF91-50742FB911CF}"/>
            </c:ext>
          </c:extLst>
        </c:ser>
        <c:ser>
          <c:idx val="1"/>
          <c:order val="1"/>
          <c:tx>
            <c:strRef>
              <c:f>Sheet5!$C$1</c:f>
              <c:strCache>
                <c:ptCount val="1"/>
                <c:pt idx="0">
                  <c:v>WB</c:v>
                </c:pt>
              </c:strCache>
            </c:strRef>
          </c:tx>
          <c:invertIfNegative val="0"/>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Sheet5!$C$2:$C$16</c:f>
              <c:numCache>
                <c:formatCode>General</c:formatCode>
                <c:ptCount val="15"/>
                <c:pt idx="0">
                  <c:v>0.36399999999999999</c:v>
                </c:pt>
                <c:pt idx="1">
                  <c:v>3.55</c:v>
                </c:pt>
                <c:pt idx="2">
                  <c:v>2.323</c:v>
                </c:pt>
                <c:pt idx="3">
                  <c:v>0.68700000000000006</c:v>
                </c:pt>
                <c:pt idx="4">
                  <c:v>0.44400000000000001</c:v>
                </c:pt>
                <c:pt idx="5">
                  <c:v>0.29399999999999998</c:v>
                </c:pt>
                <c:pt idx="6">
                  <c:v>0.59499999999999997</c:v>
                </c:pt>
                <c:pt idx="7">
                  <c:v>0</c:v>
                </c:pt>
                <c:pt idx="8">
                  <c:v>0.35899999999999999</c:v>
                </c:pt>
                <c:pt idx="9">
                  <c:v>0</c:v>
                </c:pt>
                <c:pt idx="10">
                  <c:v>0</c:v>
                </c:pt>
                <c:pt idx="11">
                  <c:v>0.04</c:v>
                </c:pt>
                <c:pt idx="12">
                  <c:v>0.33300000000000002</c:v>
                </c:pt>
                <c:pt idx="13">
                  <c:v>4.1000000000000002E-2</c:v>
                </c:pt>
                <c:pt idx="14">
                  <c:v>0.14199999999999999</c:v>
                </c:pt>
              </c:numCache>
            </c:numRef>
          </c:val>
          <c:extLst>
            <c:ext xmlns:c16="http://schemas.microsoft.com/office/drawing/2014/chart" uri="{C3380CC4-5D6E-409C-BE32-E72D297353CC}">
              <c16:uniqueId val="{00000001-0F41-4000-AF91-50742FB911CF}"/>
            </c:ext>
          </c:extLst>
        </c:ser>
        <c:dLbls>
          <c:showLegendKey val="0"/>
          <c:showVal val="0"/>
          <c:showCatName val="0"/>
          <c:showSerName val="0"/>
          <c:showPercent val="0"/>
          <c:showBubbleSize val="0"/>
        </c:dLbls>
        <c:gapWidth val="150"/>
        <c:axId val="160679424"/>
        <c:axId val="160681344"/>
      </c:barChart>
      <c:catAx>
        <c:axId val="160679424"/>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Compounds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60681344"/>
        <c:crosses val="autoZero"/>
        <c:auto val="1"/>
        <c:lblAlgn val="ctr"/>
        <c:lblOffset val="100"/>
        <c:noMultiLvlLbl val="0"/>
      </c:catAx>
      <c:valAx>
        <c:axId val="160681344"/>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Concentrations in mg/kg</a:t>
                </a:r>
              </a:p>
            </c:rich>
          </c:tx>
          <c:overlay val="0"/>
        </c:title>
        <c:numFmt formatCode="General" sourceLinked="1"/>
        <c:majorTickMark val="out"/>
        <c:minorTickMark val="none"/>
        <c:tickLblPos val="nextTo"/>
        <c:crossAx val="1606794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Sheet12!$B$1</c:f>
              <c:strCache>
                <c:ptCount val="1"/>
                <c:pt idx="0">
                  <c:v>WM</c:v>
                </c:pt>
              </c:strCache>
            </c:strRef>
          </c:tx>
          <c:invertIfNegative val="0"/>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Sheet12!$B$2:$B$11</c:f>
              <c:numCache>
                <c:formatCode>General</c:formatCode>
                <c:ptCount val="10"/>
                <c:pt idx="0">
                  <c:v>0.253</c:v>
                </c:pt>
                <c:pt idx="1">
                  <c:v>2.7E-2</c:v>
                </c:pt>
                <c:pt idx="2">
                  <c:v>0.27600000000000002</c:v>
                </c:pt>
                <c:pt idx="3">
                  <c:v>0.91500000000000004</c:v>
                </c:pt>
                <c:pt idx="4">
                  <c:v>0.34</c:v>
                </c:pt>
                <c:pt idx="5">
                  <c:v>0.68899999999999995</c:v>
                </c:pt>
                <c:pt idx="6">
                  <c:v>2.5000000000000001E-2</c:v>
                </c:pt>
                <c:pt idx="7">
                  <c:v>0.71099999999999997</c:v>
                </c:pt>
                <c:pt idx="8">
                  <c:v>0.22800000000000001</c:v>
                </c:pt>
                <c:pt idx="9">
                  <c:v>0.443</c:v>
                </c:pt>
              </c:numCache>
            </c:numRef>
          </c:val>
          <c:extLst>
            <c:ext xmlns:c16="http://schemas.microsoft.com/office/drawing/2014/chart" uri="{C3380CC4-5D6E-409C-BE32-E72D297353CC}">
              <c16:uniqueId val="{00000000-7B89-47B1-94D4-86314A1CF662}"/>
            </c:ext>
          </c:extLst>
        </c:ser>
        <c:ser>
          <c:idx val="1"/>
          <c:order val="1"/>
          <c:tx>
            <c:strRef>
              <c:f>Sheet12!$C$1</c:f>
              <c:strCache>
                <c:ptCount val="1"/>
                <c:pt idx="0">
                  <c:v>YM</c:v>
                </c:pt>
              </c:strCache>
            </c:strRef>
          </c:tx>
          <c:invertIfNegative val="0"/>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Sheet12!$C$2:$C$11</c:f>
              <c:numCache>
                <c:formatCode>General</c:formatCode>
                <c:ptCount val="10"/>
                <c:pt idx="0">
                  <c:v>0.219</c:v>
                </c:pt>
                <c:pt idx="1">
                  <c:v>0.23200000000000001</c:v>
                </c:pt>
                <c:pt idx="2">
                  <c:v>0.871</c:v>
                </c:pt>
                <c:pt idx="3">
                  <c:v>0</c:v>
                </c:pt>
                <c:pt idx="4">
                  <c:v>0.91300000000000003</c:v>
                </c:pt>
                <c:pt idx="5">
                  <c:v>0.80800000000000005</c:v>
                </c:pt>
                <c:pt idx="6">
                  <c:v>0.04</c:v>
                </c:pt>
                <c:pt idx="7">
                  <c:v>0</c:v>
                </c:pt>
                <c:pt idx="8">
                  <c:v>0.31900000000000001</c:v>
                </c:pt>
                <c:pt idx="9">
                  <c:v>0.20200000000000001</c:v>
                </c:pt>
              </c:numCache>
            </c:numRef>
          </c:val>
          <c:extLst>
            <c:ext xmlns:c16="http://schemas.microsoft.com/office/drawing/2014/chart" uri="{C3380CC4-5D6E-409C-BE32-E72D297353CC}">
              <c16:uniqueId val="{00000001-7B89-47B1-94D4-86314A1CF662}"/>
            </c:ext>
          </c:extLst>
        </c:ser>
        <c:dLbls>
          <c:showLegendKey val="0"/>
          <c:showVal val="0"/>
          <c:showCatName val="0"/>
          <c:showSerName val="0"/>
          <c:showPercent val="0"/>
          <c:showBubbleSize val="0"/>
        </c:dLbls>
        <c:gapWidth val="150"/>
        <c:axId val="160739712"/>
        <c:axId val="160741632"/>
      </c:barChart>
      <c:catAx>
        <c:axId val="160739712"/>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0741632"/>
        <c:crosses val="autoZero"/>
        <c:auto val="1"/>
        <c:lblAlgn val="ctr"/>
        <c:lblOffset val="100"/>
        <c:noMultiLvlLbl val="0"/>
      </c:catAx>
      <c:valAx>
        <c:axId val="160741632"/>
        <c:scaling>
          <c:orientation val="minMax"/>
        </c:scaling>
        <c:delete val="0"/>
        <c:axPos val="l"/>
        <c:title>
          <c:tx>
            <c:rich>
              <a:bodyPr rot="-5400000" vert="horz"/>
              <a:lstStyle/>
              <a:p>
                <a:pPr>
                  <a:defRPr/>
                </a:pPr>
                <a:r>
                  <a:rPr lang="en-US"/>
                  <a:t>Concentrations in mg/kg</a:t>
                </a:r>
              </a:p>
            </c:rich>
          </c:tx>
          <c:overlay val="0"/>
        </c:title>
        <c:numFmt formatCode="General" sourceLinked="1"/>
        <c:majorTickMark val="out"/>
        <c:minorTickMark val="none"/>
        <c:tickLblPos val="nextTo"/>
        <c:crossAx val="1607397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17</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cp:revision>
  <dcterms:created xsi:type="dcterms:W3CDTF">2025-10-18T14:47:00Z</dcterms:created>
  <dcterms:modified xsi:type="dcterms:W3CDTF">2025-12-05T14:21:00Z</dcterms:modified>
</cp:coreProperties>
</file>